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D7E8A" w14:textId="77777777" w:rsidR="00750D12" w:rsidRPr="009710B6" w:rsidRDefault="003C04D4" w:rsidP="00D120F2">
      <w:pPr>
        <w:pStyle w:val="Footer"/>
        <w:jc w:val="both"/>
      </w:pPr>
      <w:r>
        <w:rPr>
          <w:noProof/>
          <w:lang w:val="fr-BE" w:eastAsia="fr-BE"/>
        </w:rPr>
        <w:drawing>
          <wp:anchor distT="0" distB="0" distL="114300" distR="114300" simplePos="0" relativeHeight="251658240" behindDoc="0" locked="0" layoutInCell="1" allowOverlap="1" wp14:anchorId="04D06D24" wp14:editId="4AF7AB42">
            <wp:simplePos x="0" y="0"/>
            <wp:positionH relativeFrom="column">
              <wp:posOffset>-763905</wp:posOffset>
            </wp:positionH>
            <wp:positionV relativeFrom="paragraph">
              <wp:posOffset>-1200150</wp:posOffset>
            </wp:positionV>
            <wp:extent cx="7840980" cy="9133205"/>
            <wp:effectExtent l="0" t="0" r="7620" b="0"/>
            <wp:wrapNone/>
            <wp:docPr id="9" name="Picture 2" descr="Description: POSITION_COUV_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OSITION_COUV_LAW"/>
                    <pic:cNvPicPr>
                      <a:picLocks noChangeAspect="1" noChangeArrowheads="1"/>
                    </pic:cNvPicPr>
                  </pic:nvPicPr>
                  <pic:blipFill>
                    <a:blip r:embed="rId8" cstate="print">
                      <a:extLst>
                        <a:ext uri="{28A0092B-C50C-407E-A947-70E740481C1C}">
                          <a14:useLocalDpi xmlns:a14="http://schemas.microsoft.com/office/drawing/2010/main" val="0"/>
                        </a:ext>
                      </a:extLst>
                    </a:blip>
                    <a:srcRect b="5954"/>
                    <a:stretch>
                      <a:fillRect/>
                    </a:stretch>
                  </pic:blipFill>
                  <pic:spPr bwMode="auto">
                    <a:xfrm>
                      <a:off x="0" y="0"/>
                      <a:ext cx="7840980" cy="9133205"/>
                    </a:xfrm>
                    <a:prstGeom prst="rect">
                      <a:avLst/>
                    </a:prstGeom>
                    <a:noFill/>
                    <a:ln>
                      <a:noFill/>
                    </a:ln>
                  </pic:spPr>
                </pic:pic>
              </a:graphicData>
            </a:graphic>
          </wp:anchor>
        </w:drawing>
      </w:r>
      <w:r w:rsidR="008E1F16" w:rsidRPr="009710B6">
        <w:t xml:space="preserve"> </w:t>
      </w:r>
    </w:p>
    <w:p w14:paraId="3A7C57DD" w14:textId="77777777" w:rsidR="008E1F16" w:rsidRPr="009710B6" w:rsidRDefault="008E1F16" w:rsidP="00D120F2">
      <w:pPr>
        <w:pStyle w:val="Footer"/>
        <w:jc w:val="both"/>
      </w:pPr>
    </w:p>
    <w:p w14:paraId="4F438A0F" w14:textId="77777777" w:rsidR="008E1F16" w:rsidRPr="009710B6" w:rsidRDefault="008E1F16" w:rsidP="00D120F2">
      <w:pPr>
        <w:pStyle w:val="Footer"/>
        <w:jc w:val="both"/>
      </w:pPr>
    </w:p>
    <w:p w14:paraId="6D1433F1" w14:textId="77777777" w:rsidR="008E1F16" w:rsidRPr="009710B6" w:rsidRDefault="008E1F16" w:rsidP="00D120F2">
      <w:pPr>
        <w:pStyle w:val="Footer"/>
        <w:jc w:val="both"/>
      </w:pPr>
    </w:p>
    <w:p w14:paraId="3B19A43B" w14:textId="77777777" w:rsidR="008E1F16" w:rsidRPr="009710B6" w:rsidRDefault="008E1F16" w:rsidP="00D120F2">
      <w:pPr>
        <w:pStyle w:val="Footer"/>
        <w:jc w:val="both"/>
      </w:pPr>
    </w:p>
    <w:p w14:paraId="61BE32B0" w14:textId="77777777" w:rsidR="008E1F16" w:rsidRPr="009710B6" w:rsidRDefault="008E1F16" w:rsidP="00D120F2">
      <w:pPr>
        <w:pStyle w:val="Footer"/>
        <w:jc w:val="both"/>
      </w:pPr>
    </w:p>
    <w:p w14:paraId="58AB802C" w14:textId="77777777" w:rsidR="008E1F16" w:rsidRPr="009710B6" w:rsidRDefault="008E1F16" w:rsidP="00D120F2">
      <w:pPr>
        <w:pStyle w:val="Footer"/>
        <w:jc w:val="both"/>
      </w:pPr>
    </w:p>
    <w:bookmarkStart w:id="0" w:name="_Toc520472937"/>
    <w:p w14:paraId="466109F3" w14:textId="77777777" w:rsidR="005066EF" w:rsidRDefault="0030679B" w:rsidP="00510BF6">
      <w:pPr>
        <w:pStyle w:val="Heading1"/>
        <w:rPr>
          <w:lang w:val="en-US"/>
        </w:rPr>
      </w:pPr>
      <w:r>
        <w:rPr>
          <w:noProof/>
          <w:lang w:val="fr-BE" w:eastAsia="fr-BE"/>
        </w:rPr>
        <mc:AlternateContent>
          <mc:Choice Requires="wps">
            <w:drawing>
              <wp:anchor distT="0" distB="0" distL="114300" distR="114300" simplePos="0" relativeHeight="251659264" behindDoc="0" locked="0" layoutInCell="1" allowOverlap="1" wp14:anchorId="1A71F120" wp14:editId="203C0C8D">
                <wp:simplePos x="0" y="0"/>
                <wp:positionH relativeFrom="column">
                  <wp:posOffset>-461645</wp:posOffset>
                </wp:positionH>
                <wp:positionV relativeFrom="paragraph">
                  <wp:posOffset>4904740</wp:posOffset>
                </wp:positionV>
                <wp:extent cx="1997710" cy="36576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657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A518F" w14:textId="77777777" w:rsidR="00D7792D" w:rsidRPr="00DA2918" w:rsidRDefault="00603E63" w:rsidP="00510BF6">
                            <w:pPr>
                              <w:pStyle w:val="Subtitle"/>
                            </w:pPr>
                            <w:r>
                              <w:t xml:space="preserve"> July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6.35pt;margin-top:386.2pt;width:157.3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" fillcolor="red" stroked="f">
                <v:textbox>
                  <w:txbxContent>
                    <w:p w:rsidR="00D7792D" w:rsidRPr="00DA2918" w:rsidRDefault="00603E63" w:rsidP="00510BF6">
                      <w:pPr>
                        <w:pStyle w:val="Subtitle"/>
                      </w:pPr>
                      <w:r>
                        <w:t xml:space="preserve"> July 2018</w:t>
                      </w:r>
                    </w:p>
                  </w:txbxContent>
                </v:textbox>
              </v:shape>
            </w:pict>
          </mc:Fallback>
        </mc:AlternateContent>
      </w:r>
      <w:r>
        <w:rPr>
          <w:noProof/>
          <w:lang w:val="fr-BE" w:eastAsia="fr-BE"/>
        </w:rPr>
        <mc:AlternateContent>
          <mc:Choice Requires="wps">
            <w:drawing>
              <wp:anchor distT="0" distB="0" distL="114300" distR="114300" simplePos="0" relativeHeight="251660288" behindDoc="0" locked="0" layoutInCell="1" allowOverlap="1" wp14:anchorId="3ABA5258" wp14:editId="18F5BAA2">
                <wp:simplePos x="0" y="0"/>
                <wp:positionH relativeFrom="column">
                  <wp:posOffset>-401955</wp:posOffset>
                </wp:positionH>
                <wp:positionV relativeFrom="paragraph">
                  <wp:posOffset>1814195</wp:posOffset>
                </wp:positionV>
                <wp:extent cx="7136130" cy="298958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130" cy="298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8E3AA" w14:textId="77777777" w:rsidR="00D7792D" w:rsidRPr="0041231C" w:rsidRDefault="00D7792D" w:rsidP="00510BF6">
                            <w:pPr>
                              <w:pStyle w:val="Title"/>
                            </w:pPr>
                            <w:r w:rsidRPr="0041231C">
                              <w:t>EDF proposed amendments t</w:t>
                            </w:r>
                            <w:r w:rsidR="00603E63">
                              <w:t>o the revised Connecting Europe Facility (CEF)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1.65pt;margin-top:142.85pt;width:561.9pt;height:2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i4uw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" filled="f" stroked="f">
                <v:textbox>
                  <w:txbxContent>
                    <w:p w:rsidR="00D7792D" w:rsidRPr="0041231C" w:rsidRDefault="00D7792D" w:rsidP="00510BF6">
                      <w:pPr>
                        <w:pStyle w:val="Title"/>
                      </w:pPr>
                      <w:r w:rsidRPr="0041231C">
                        <w:t>EDF proposed amendments t</w:t>
                      </w:r>
                      <w:r w:rsidR="00603E63">
                        <w:t>o the revised Connecting Europe Facility (CEF)</w:t>
                      </w:r>
                    </w:p>
                  </w:txbxContent>
                </v:textbox>
              </v:shape>
            </w:pict>
          </mc:Fallback>
        </mc:AlternateContent>
      </w:r>
      <w:r>
        <w:rPr>
          <w:noProof/>
          <w:lang w:val="fr-BE" w:eastAsia="fr-BE"/>
        </w:rPr>
        <mc:AlternateContent>
          <mc:Choice Requires="wps">
            <w:drawing>
              <wp:anchor distT="0" distB="0" distL="114300" distR="114300" simplePos="0" relativeHeight="251661312" behindDoc="0" locked="0" layoutInCell="1" allowOverlap="1" wp14:anchorId="2605A954" wp14:editId="423DB223">
                <wp:simplePos x="0" y="0"/>
                <wp:positionH relativeFrom="column">
                  <wp:posOffset>-310515</wp:posOffset>
                </wp:positionH>
                <wp:positionV relativeFrom="paragraph">
                  <wp:posOffset>6998335</wp:posOffset>
                </wp:positionV>
                <wp:extent cx="6858000" cy="4572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E7010" w14:textId="77777777" w:rsidR="00D7792D" w:rsidRPr="008E1F16" w:rsidRDefault="00D7792D" w:rsidP="00AD1A0C">
                            <w:pPr>
                              <w:pStyle w:val="Footer"/>
                              <w:pBdr>
                                <w:left w:val="single" w:sz="2" w:space="31" w:color="000000"/>
                              </w:pBdr>
                              <w:tabs>
                                <w:tab w:val="left" w:pos="1440"/>
                                <w:tab w:val="left" w:pos="4320"/>
                                <w:tab w:val="center" w:pos="5310"/>
                                <w:tab w:val="left" w:pos="6930"/>
                                <w:tab w:val="left" w:pos="7650"/>
                                <w:tab w:val="right" w:pos="7740"/>
                              </w:tabs>
                              <w:ind w:left="-787"/>
                              <w:rPr>
                                <w:rFonts w:cs="Arial"/>
                                <w:sz w:val="20"/>
                              </w:rPr>
                            </w:pPr>
                            <w:r w:rsidRPr="007A60C9">
                              <w:rPr>
                                <w:sz w:val="20"/>
                              </w:rPr>
                              <w:tab/>
                            </w:r>
                            <w:r w:rsidRPr="00DA2918">
                              <w:rPr>
                                <w:rFonts w:cs="Arial"/>
                                <w:sz w:val="20"/>
                              </w:rPr>
                              <w:t xml:space="preserve">35 square de </w:t>
                            </w:r>
                            <w:proofErr w:type="spellStart"/>
                            <w:r w:rsidRPr="00DA2918">
                              <w:rPr>
                                <w:rFonts w:cs="Arial"/>
                                <w:sz w:val="20"/>
                              </w:rPr>
                              <w:t>Meeûs</w:t>
                            </w:r>
                            <w:proofErr w:type="spellEnd"/>
                            <w:r w:rsidRPr="00DA2918">
                              <w:rPr>
                                <w:rFonts w:cs="Arial"/>
                                <w:sz w:val="20"/>
                              </w:rPr>
                              <w:tab/>
                            </w:r>
                            <w:proofErr w:type="spellStart"/>
                            <w:r w:rsidRPr="00DA2918">
                              <w:rPr>
                                <w:rFonts w:cs="Arial"/>
                                <w:b/>
                                <w:color w:val="007AB7"/>
                                <w:sz w:val="20"/>
                              </w:rPr>
                              <w:t>tel</w:t>
                            </w:r>
                            <w:proofErr w:type="spellEnd"/>
                            <w:r w:rsidRPr="00DA2918">
                              <w:rPr>
                                <w:rFonts w:cs="Arial"/>
                                <w:sz w:val="20"/>
                              </w:rPr>
                              <w:t xml:space="preserve"> +32 2 282 46 00</w:t>
                            </w:r>
                            <w:r w:rsidRPr="00DA2918">
                              <w:rPr>
                                <w:rFonts w:cs="Arial"/>
                                <w:sz w:val="20"/>
                              </w:rPr>
                              <w:tab/>
                            </w:r>
                            <w:hyperlink r:id="rId9" w:history="1">
                              <w:r w:rsidRPr="008E1F16">
                                <w:rPr>
                                  <w:rStyle w:val="Hyperlink"/>
                                  <w:rFonts w:cs="Arial"/>
                                  <w:color w:val="auto"/>
                                  <w:sz w:val="20"/>
                                </w:rPr>
                                <w:t>info@edf-feph.og</w:t>
                              </w:r>
                            </w:hyperlink>
                          </w:p>
                          <w:p w14:paraId="6CEDF1E6" w14:textId="77777777" w:rsidR="00D7792D" w:rsidRDefault="00D7792D" w:rsidP="008E1F16">
                            <w:pPr>
                              <w:pStyle w:val="Footer"/>
                              <w:tabs>
                                <w:tab w:val="left" w:pos="1440"/>
                                <w:tab w:val="left" w:pos="4320"/>
                                <w:tab w:val="center" w:pos="5310"/>
                                <w:tab w:val="left" w:pos="6930"/>
                                <w:tab w:val="left" w:pos="7650"/>
                                <w:tab w:val="right" w:pos="7740"/>
                              </w:tabs>
                              <w:rPr>
                                <w:rStyle w:val="Hyperlink"/>
                                <w:rFonts w:cs="Arial"/>
                                <w:b/>
                                <w:color w:val="auto"/>
                                <w:sz w:val="20"/>
                              </w:rPr>
                            </w:pPr>
                            <w:r w:rsidRPr="00DA2918">
                              <w:rPr>
                                <w:rFonts w:cs="Arial"/>
                                <w:sz w:val="20"/>
                              </w:rPr>
                              <w:tab/>
                              <w:t>1000 Brussels - Belgium</w:t>
                            </w:r>
                            <w:r w:rsidRPr="00DA2918">
                              <w:rPr>
                                <w:rFonts w:cs="Arial"/>
                                <w:sz w:val="20"/>
                              </w:rPr>
                              <w:tab/>
                            </w:r>
                            <w:r w:rsidRPr="00DA2918">
                              <w:rPr>
                                <w:rFonts w:cs="Arial"/>
                                <w:b/>
                                <w:color w:val="007AB7"/>
                                <w:sz w:val="20"/>
                              </w:rPr>
                              <w:t>fax</w:t>
                            </w:r>
                            <w:r w:rsidRPr="00DA2918">
                              <w:rPr>
                                <w:rFonts w:cs="Arial"/>
                                <w:sz w:val="20"/>
                              </w:rPr>
                              <w:t xml:space="preserve"> +32 2 282 46 09</w:t>
                            </w:r>
                            <w:r w:rsidRPr="00DA2918">
                              <w:rPr>
                                <w:rFonts w:cs="Arial"/>
                                <w:sz w:val="20"/>
                              </w:rPr>
                              <w:tab/>
                            </w:r>
                            <w:hyperlink r:id="rId10" w:history="1">
                              <w:r w:rsidRPr="0041231C">
                                <w:rPr>
                                  <w:rStyle w:val="Hyperlink"/>
                                  <w:rFonts w:cs="Arial"/>
                                  <w:color w:val="auto"/>
                                  <w:sz w:val="20"/>
                                </w:rPr>
                                <w:t>www.edf-feph.org</w:t>
                              </w:r>
                            </w:hyperlink>
                          </w:p>
                          <w:p w14:paraId="7F65E775" w14:textId="77777777" w:rsidR="00D7792D" w:rsidRDefault="00D7792D"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036D6AB8" w14:textId="77777777" w:rsidR="00D7792D" w:rsidRDefault="00D7792D"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17A3C806" w14:textId="77777777" w:rsidR="00D7792D" w:rsidRDefault="00D7792D"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013D43FB" w14:textId="77777777" w:rsidR="00D7792D" w:rsidRDefault="00D7792D"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2665B7B2" w14:textId="77777777" w:rsidR="00D7792D" w:rsidRPr="00DA2918" w:rsidRDefault="00D7792D" w:rsidP="008E1F16">
                            <w:pPr>
                              <w:pStyle w:val="Footer"/>
                              <w:tabs>
                                <w:tab w:val="left" w:pos="1440"/>
                                <w:tab w:val="left" w:pos="4320"/>
                                <w:tab w:val="center" w:pos="5310"/>
                                <w:tab w:val="left" w:pos="6930"/>
                                <w:tab w:val="left" w:pos="7650"/>
                                <w:tab w:val="right" w:pos="7740"/>
                              </w:tabs>
                              <w:rPr>
                                <w:rFonts w:cs="Arial"/>
                                <w:b/>
                                <w:color w:val="FF0000"/>
                                <w:sz w:val="20"/>
                              </w:rPr>
                            </w:pPr>
                          </w:p>
                          <w:p w14:paraId="2744F465" w14:textId="77777777" w:rsidR="00D7792D" w:rsidRDefault="00D7792D" w:rsidP="008E1F16">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4.45pt;margin-top:551.05pt;width:54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3IuQ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" filled="f" stroked="f">
                <v:textbox>
                  <w:txbxContent>
                    <w:p w:rsidR="00D7792D" w:rsidRPr="008E1F16" w:rsidRDefault="00D7792D" w:rsidP="00AD1A0C">
                      <w:pPr>
                        <w:pStyle w:val="Footer"/>
                        <w:pBdr>
                          <w:left w:val="single" w:sz="2" w:space="31" w:color="000000"/>
                        </w:pBdr>
                        <w:tabs>
                          <w:tab w:val="left" w:pos="1440"/>
                          <w:tab w:val="left" w:pos="4320"/>
                          <w:tab w:val="center" w:pos="5310"/>
                          <w:tab w:val="left" w:pos="6930"/>
                          <w:tab w:val="left" w:pos="7650"/>
                          <w:tab w:val="right" w:pos="7740"/>
                        </w:tabs>
                        <w:ind w:left="-787"/>
                        <w:rPr>
                          <w:rFonts w:cs="Arial"/>
                          <w:sz w:val="20"/>
                        </w:rPr>
                      </w:pPr>
                      <w:r w:rsidRPr="007A60C9">
                        <w:rPr>
                          <w:sz w:val="20"/>
                        </w:rPr>
                        <w:tab/>
                      </w:r>
                      <w:r w:rsidRPr="00DA2918">
                        <w:rPr>
                          <w:rFonts w:cs="Arial"/>
                          <w:sz w:val="20"/>
                        </w:rPr>
                        <w:t>35 square de Meeûs</w:t>
                      </w:r>
                      <w:r w:rsidRPr="00DA2918">
                        <w:rPr>
                          <w:rFonts w:cs="Arial"/>
                          <w:sz w:val="20"/>
                        </w:rPr>
                        <w:tab/>
                      </w:r>
                      <w:r w:rsidRPr="00DA2918">
                        <w:rPr>
                          <w:rFonts w:cs="Arial"/>
                          <w:b/>
                          <w:color w:val="007AB7"/>
                          <w:sz w:val="20"/>
                        </w:rPr>
                        <w:t>tel</w:t>
                      </w:r>
                      <w:r w:rsidRPr="00DA2918">
                        <w:rPr>
                          <w:rFonts w:cs="Arial"/>
                          <w:sz w:val="20"/>
                        </w:rPr>
                        <w:t xml:space="preserve"> +32 2 282 46 00</w:t>
                      </w:r>
                      <w:r w:rsidRPr="00DA2918">
                        <w:rPr>
                          <w:rFonts w:cs="Arial"/>
                          <w:sz w:val="20"/>
                        </w:rPr>
                        <w:tab/>
                      </w:r>
                      <w:hyperlink r:id="rId11" w:history="1">
                        <w:r w:rsidRPr="008E1F16">
                          <w:rPr>
                            <w:rStyle w:val="Hyperlink"/>
                            <w:rFonts w:cs="Arial"/>
                            <w:color w:val="auto"/>
                            <w:sz w:val="20"/>
                          </w:rPr>
                          <w:t>info@edf-feph.og</w:t>
                        </w:r>
                      </w:hyperlink>
                    </w:p>
                    <w:p w:rsidR="00D7792D" w:rsidRDefault="00D7792D" w:rsidP="008E1F16">
                      <w:pPr>
                        <w:pStyle w:val="Footer"/>
                        <w:tabs>
                          <w:tab w:val="left" w:pos="1440"/>
                          <w:tab w:val="left" w:pos="4320"/>
                          <w:tab w:val="center" w:pos="5310"/>
                          <w:tab w:val="left" w:pos="6930"/>
                          <w:tab w:val="left" w:pos="7650"/>
                          <w:tab w:val="right" w:pos="7740"/>
                        </w:tabs>
                        <w:rPr>
                          <w:rStyle w:val="Hyperlink"/>
                          <w:rFonts w:cs="Arial"/>
                          <w:b/>
                          <w:color w:val="auto"/>
                          <w:sz w:val="20"/>
                        </w:rPr>
                      </w:pPr>
                      <w:r w:rsidRPr="00DA2918">
                        <w:rPr>
                          <w:rFonts w:cs="Arial"/>
                          <w:sz w:val="20"/>
                        </w:rPr>
                        <w:tab/>
                        <w:t>1000 Brussels - Belgium</w:t>
                      </w:r>
                      <w:r w:rsidRPr="00DA2918">
                        <w:rPr>
                          <w:rFonts w:cs="Arial"/>
                          <w:sz w:val="20"/>
                        </w:rPr>
                        <w:tab/>
                      </w:r>
                      <w:r w:rsidRPr="00DA2918">
                        <w:rPr>
                          <w:rFonts w:cs="Arial"/>
                          <w:b/>
                          <w:color w:val="007AB7"/>
                          <w:sz w:val="20"/>
                        </w:rPr>
                        <w:t>fax</w:t>
                      </w:r>
                      <w:r w:rsidRPr="00DA2918">
                        <w:rPr>
                          <w:rFonts w:cs="Arial"/>
                          <w:sz w:val="20"/>
                        </w:rPr>
                        <w:t xml:space="preserve"> +32 2 282 46 09</w:t>
                      </w:r>
                      <w:r w:rsidRPr="00DA2918">
                        <w:rPr>
                          <w:rFonts w:cs="Arial"/>
                          <w:sz w:val="20"/>
                        </w:rPr>
                        <w:tab/>
                      </w:r>
                      <w:hyperlink r:id="rId12" w:history="1">
                        <w:r w:rsidRPr="0041231C">
                          <w:rPr>
                            <w:rStyle w:val="Hyperlink"/>
                            <w:rFonts w:cs="Arial"/>
                            <w:color w:val="auto"/>
                            <w:sz w:val="20"/>
                          </w:rPr>
                          <w:t>www.edf-feph.org</w:t>
                        </w:r>
                      </w:hyperlink>
                    </w:p>
                    <w:p w:rsidR="00D7792D" w:rsidRDefault="00D7792D"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D7792D" w:rsidRDefault="00D7792D"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D7792D" w:rsidRDefault="00D7792D"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D7792D" w:rsidRDefault="00D7792D"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D7792D" w:rsidRPr="00DA2918" w:rsidRDefault="00D7792D" w:rsidP="008E1F16">
                      <w:pPr>
                        <w:pStyle w:val="Footer"/>
                        <w:tabs>
                          <w:tab w:val="left" w:pos="1440"/>
                          <w:tab w:val="left" w:pos="4320"/>
                          <w:tab w:val="center" w:pos="5310"/>
                          <w:tab w:val="left" w:pos="6930"/>
                          <w:tab w:val="left" w:pos="7650"/>
                          <w:tab w:val="right" w:pos="7740"/>
                        </w:tabs>
                        <w:rPr>
                          <w:rFonts w:cs="Arial"/>
                          <w:b/>
                          <w:color w:val="FF0000"/>
                          <w:sz w:val="20"/>
                        </w:rPr>
                      </w:pPr>
                    </w:p>
                    <w:p w:rsidR="00D7792D" w:rsidRDefault="00D7792D" w:rsidP="008E1F16">
                      <w:pPr>
                        <w:tabs>
                          <w:tab w:val="left" w:pos="1440"/>
                          <w:tab w:val="left" w:pos="2160"/>
                          <w:tab w:val="left" w:pos="3960"/>
                          <w:tab w:val="center" w:pos="5310"/>
                          <w:tab w:val="left" w:pos="6750"/>
                        </w:tabs>
                      </w:pPr>
                    </w:p>
                  </w:txbxContent>
                </v:textbox>
              </v:shape>
            </w:pict>
          </mc:Fallback>
        </mc:AlternateContent>
      </w:r>
      <w:bookmarkEnd w:id="0"/>
      <w:r w:rsidR="008E1F16" w:rsidRPr="00721C13">
        <w:rPr>
          <w:lang w:val="en-US"/>
        </w:rPr>
        <w:br w:type="page"/>
      </w:r>
    </w:p>
    <w:bookmarkStart w:id="1" w:name="_Toc520472938" w:displacedByCustomXml="next"/>
    <w:sdt>
      <w:sdtPr>
        <w:rPr>
          <w:rFonts w:eastAsia="Times New Roman" w:cs="Times New Roman"/>
          <w:b w:val="0"/>
          <w:bCs w:val="0"/>
          <w:color w:val="auto"/>
          <w:sz w:val="24"/>
          <w:szCs w:val="24"/>
        </w:rPr>
        <w:id w:val="733288961"/>
        <w:docPartObj>
          <w:docPartGallery w:val="Table of Contents"/>
          <w:docPartUnique/>
        </w:docPartObj>
      </w:sdtPr>
      <w:sdtEndPr>
        <w:rPr>
          <w:noProof/>
        </w:rPr>
      </w:sdtEndPr>
      <w:sdtContent>
        <w:p w14:paraId="13C793AF" w14:textId="77777777" w:rsidR="005066EF" w:rsidRPr="005066EF" w:rsidRDefault="005066EF" w:rsidP="005066EF">
          <w:pPr>
            <w:pStyle w:val="Heading2"/>
            <w:rPr>
              <w:rFonts w:cs="Arial"/>
            </w:rPr>
          </w:pPr>
          <w:r>
            <w:t>Table of contents</w:t>
          </w:r>
          <w:bookmarkEnd w:id="1"/>
        </w:p>
        <w:p w14:paraId="6A796355" w14:textId="77777777" w:rsidR="001756D7" w:rsidRDefault="00B07EFB">
          <w:pPr>
            <w:pStyle w:val="TOC1"/>
            <w:tabs>
              <w:tab w:val="right" w:leader="dot" w:pos="9962"/>
            </w:tabs>
            <w:rPr>
              <w:rFonts w:asciiTheme="minorHAnsi" w:eastAsiaTheme="minorEastAsia" w:hAnsiTheme="minorHAnsi" w:cstheme="minorBidi"/>
              <w:noProof/>
              <w:sz w:val="22"/>
              <w:szCs w:val="22"/>
              <w:lang w:val="fr-BE" w:eastAsia="fr-BE"/>
            </w:rPr>
          </w:pPr>
          <w:r>
            <w:fldChar w:fldCharType="begin"/>
          </w:r>
          <w:r w:rsidR="005066EF">
            <w:instrText xml:space="preserve"> TOC \o "1-3" \h \z \u </w:instrText>
          </w:r>
          <w:r>
            <w:fldChar w:fldCharType="separate"/>
          </w:r>
          <w:hyperlink w:anchor="_Toc520472937" w:history="1">
            <w:r w:rsidR="001756D7">
              <w:rPr>
                <w:noProof/>
                <w:webHidden/>
              </w:rPr>
              <w:tab/>
            </w:r>
            <w:r>
              <w:rPr>
                <w:noProof/>
                <w:webHidden/>
              </w:rPr>
              <w:fldChar w:fldCharType="begin"/>
            </w:r>
            <w:r w:rsidR="001756D7">
              <w:rPr>
                <w:noProof/>
                <w:webHidden/>
              </w:rPr>
              <w:instrText xml:space="preserve"> PAGEREF _Toc520472937 \h </w:instrText>
            </w:r>
            <w:r>
              <w:rPr>
                <w:noProof/>
                <w:webHidden/>
              </w:rPr>
            </w:r>
            <w:r>
              <w:rPr>
                <w:noProof/>
                <w:webHidden/>
              </w:rPr>
              <w:fldChar w:fldCharType="separate"/>
            </w:r>
            <w:r w:rsidR="001756D7">
              <w:rPr>
                <w:noProof/>
                <w:webHidden/>
              </w:rPr>
              <w:t>1</w:t>
            </w:r>
            <w:r>
              <w:rPr>
                <w:noProof/>
                <w:webHidden/>
              </w:rPr>
              <w:fldChar w:fldCharType="end"/>
            </w:r>
          </w:hyperlink>
        </w:p>
        <w:p w14:paraId="4DE4AE03" w14:textId="77777777" w:rsidR="001756D7" w:rsidRDefault="005472B3">
          <w:pPr>
            <w:pStyle w:val="TOC2"/>
            <w:tabs>
              <w:tab w:val="right" w:leader="dot" w:pos="9962"/>
            </w:tabs>
            <w:rPr>
              <w:rFonts w:asciiTheme="minorHAnsi" w:eastAsiaTheme="minorEastAsia" w:hAnsiTheme="minorHAnsi" w:cstheme="minorBidi"/>
              <w:noProof/>
              <w:sz w:val="22"/>
              <w:szCs w:val="22"/>
              <w:lang w:val="fr-BE" w:eastAsia="fr-BE"/>
            </w:rPr>
          </w:pPr>
          <w:hyperlink w:anchor="_Toc520472938" w:history="1">
            <w:r w:rsidR="001756D7" w:rsidRPr="008A0A69">
              <w:rPr>
                <w:rStyle w:val="Hyperlink"/>
                <w:noProof/>
              </w:rPr>
              <w:t>Table of contents</w:t>
            </w:r>
            <w:r w:rsidR="001756D7">
              <w:rPr>
                <w:noProof/>
                <w:webHidden/>
              </w:rPr>
              <w:tab/>
            </w:r>
            <w:r w:rsidR="00B07EFB">
              <w:rPr>
                <w:noProof/>
                <w:webHidden/>
              </w:rPr>
              <w:fldChar w:fldCharType="begin"/>
            </w:r>
            <w:r w:rsidR="001756D7">
              <w:rPr>
                <w:noProof/>
                <w:webHidden/>
              </w:rPr>
              <w:instrText xml:space="preserve"> PAGEREF _Toc520472938 \h </w:instrText>
            </w:r>
            <w:r w:rsidR="00B07EFB">
              <w:rPr>
                <w:noProof/>
                <w:webHidden/>
              </w:rPr>
            </w:r>
            <w:r w:rsidR="00B07EFB">
              <w:rPr>
                <w:noProof/>
                <w:webHidden/>
              </w:rPr>
              <w:fldChar w:fldCharType="separate"/>
            </w:r>
            <w:r w:rsidR="001756D7">
              <w:rPr>
                <w:noProof/>
                <w:webHidden/>
              </w:rPr>
              <w:t>2</w:t>
            </w:r>
            <w:r w:rsidR="00B07EFB">
              <w:rPr>
                <w:noProof/>
                <w:webHidden/>
              </w:rPr>
              <w:fldChar w:fldCharType="end"/>
            </w:r>
          </w:hyperlink>
        </w:p>
        <w:p w14:paraId="58F485C6" w14:textId="77777777" w:rsidR="001756D7" w:rsidRDefault="005472B3">
          <w:pPr>
            <w:pStyle w:val="TOC1"/>
            <w:tabs>
              <w:tab w:val="right" w:leader="dot" w:pos="9962"/>
            </w:tabs>
            <w:rPr>
              <w:rFonts w:asciiTheme="minorHAnsi" w:eastAsiaTheme="minorEastAsia" w:hAnsiTheme="minorHAnsi" w:cstheme="minorBidi"/>
              <w:noProof/>
              <w:sz w:val="22"/>
              <w:szCs w:val="22"/>
              <w:lang w:val="fr-BE" w:eastAsia="fr-BE"/>
            </w:rPr>
          </w:pPr>
          <w:hyperlink w:anchor="_Toc520472939" w:history="1">
            <w:r w:rsidR="001756D7" w:rsidRPr="008A0A69">
              <w:rPr>
                <w:rStyle w:val="Hyperlink"/>
                <w:noProof/>
              </w:rPr>
              <w:t>EDF proposed amendments to the European Accessibility Act</w:t>
            </w:r>
            <w:r w:rsidR="001756D7">
              <w:rPr>
                <w:noProof/>
                <w:webHidden/>
              </w:rPr>
              <w:tab/>
            </w:r>
            <w:r w:rsidR="00B07EFB">
              <w:rPr>
                <w:noProof/>
                <w:webHidden/>
              </w:rPr>
              <w:fldChar w:fldCharType="begin"/>
            </w:r>
            <w:r w:rsidR="001756D7">
              <w:rPr>
                <w:noProof/>
                <w:webHidden/>
              </w:rPr>
              <w:instrText xml:space="preserve"> PAGEREF _Toc520472939 \h </w:instrText>
            </w:r>
            <w:r w:rsidR="00B07EFB">
              <w:rPr>
                <w:noProof/>
                <w:webHidden/>
              </w:rPr>
            </w:r>
            <w:r w:rsidR="00B07EFB">
              <w:rPr>
                <w:noProof/>
                <w:webHidden/>
              </w:rPr>
              <w:fldChar w:fldCharType="separate"/>
            </w:r>
            <w:r w:rsidR="001756D7">
              <w:rPr>
                <w:noProof/>
                <w:webHidden/>
              </w:rPr>
              <w:t>2</w:t>
            </w:r>
            <w:r w:rsidR="00B07EFB">
              <w:rPr>
                <w:noProof/>
                <w:webHidden/>
              </w:rPr>
              <w:fldChar w:fldCharType="end"/>
            </w:r>
          </w:hyperlink>
        </w:p>
        <w:p w14:paraId="37BCF138" w14:textId="77777777" w:rsidR="001756D7" w:rsidRDefault="005472B3">
          <w:pPr>
            <w:pStyle w:val="TOC2"/>
            <w:tabs>
              <w:tab w:val="right" w:leader="dot" w:pos="9962"/>
            </w:tabs>
            <w:rPr>
              <w:rFonts w:asciiTheme="minorHAnsi" w:eastAsiaTheme="minorEastAsia" w:hAnsiTheme="minorHAnsi" w:cstheme="minorBidi"/>
              <w:noProof/>
              <w:sz w:val="22"/>
              <w:szCs w:val="22"/>
              <w:lang w:val="fr-BE" w:eastAsia="fr-BE"/>
            </w:rPr>
          </w:pPr>
          <w:hyperlink w:anchor="_Toc520472940" w:history="1">
            <w:r w:rsidR="001756D7" w:rsidRPr="008A0A69">
              <w:rPr>
                <w:rStyle w:val="Hyperlink"/>
                <w:noProof/>
              </w:rPr>
              <w:t>Recitals</w:t>
            </w:r>
            <w:r w:rsidR="001756D7">
              <w:rPr>
                <w:noProof/>
                <w:webHidden/>
              </w:rPr>
              <w:tab/>
            </w:r>
            <w:r w:rsidR="00B07EFB">
              <w:rPr>
                <w:noProof/>
                <w:webHidden/>
              </w:rPr>
              <w:fldChar w:fldCharType="begin"/>
            </w:r>
            <w:r w:rsidR="001756D7">
              <w:rPr>
                <w:noProof/>
                <w:webHidden/>
              </w:rPr>
              <w:instrText xml:space="preserve"> PAGEREF _Toc520472940 \h </w:instrText>
            </w:r>
            <w:r w:rsidR="00B07EFB">
              <w:rPr>
                <w:noProof/>
                <w:webHidden/>
              </w:rPr>
            </w:r>
            <w:r w:rsidR="00B07EFB">
              <w:rPr>
                <w:noProof/>
                <w:webHidden/>
              </w:rPr>
              <w:fldChar w:fldCharType="separate"/>
            </w:r>
            <w:r w:rsidR="001756D7">
              <w:rPr>
                <w:noProof/>
                <w:webHidden/>
              </w:rPr>
              <w:t>2</w:t>
            </w:r>
            <w:r w:rsidR="00B07EFB">
              <w:rPr>
                <w:noProof/>
                <w:webHidden/>
              </w:rPr>
              <w:fldChar w:fldCharType="end"/>
            </w:r>
          </w:hyperlink>
        </w:p>
        <w:p w14:paraId="667EC796" w14:textId="77777777" w:rsidR="001756D7" w:rsidRDefault="005472B3">
          <w:pPr>
            <w:pStyle w:val="TOC2"/>
            <w:tabs>
              <w:tab w:val="right" w:leader="dot" w:pos="9962"/>
            </w:tabs>
            <w:rPr>
              <w:rFonts w:asciiTheme="minorHAnsi" w:eastAsiaTheme="minorEastAsia" w:hAnsiTheme="minorHAnsi" w:cstheme="minorBidi"/>
              <w:noProof/>
              <w:sz w:val="22"/>
              <w:szCs w:val="22"/>
              <w:lang w:val="fr-BE" w:eastAsia="fr-BE"/>
            </w:rPr>
          </w:pPr>
          <w:hyperlink w:anchor="_Toc520472941" w:history="1">
            <w:r w:rsidR="001756D7" w:rsidRPr="008A0A69">
              <w:rPr>
                <w:rStyle w:val="Hyperlink"/>
                <w:noProof/>
              </w:rPr>
              <w:t>Article 1 - Scope</w:t>
            </w:r>
            <w:r w:rsidR="001756D7">
              <w:rPr>
                <w:noProof/>
                <w:webHidden/>
              </w:rPr>
              <w:tab/>
            </w:r>
            <w:r w:rsidR="00B07EFB">
              <w:rPr>
                <w:noProof/>
                <w:webHidden/>
              </w:rPr>
              <w:fldChar w:fldCharType="begin"/>
            </w:r>
            <w:r w:rsidR="001756D7">
              <w:rPr>
                <w:noProof/>
                <w:webHidden/>
              </w:rPr>
              <w:instrText xml:space="preserve"> PAGEREF _Toc520472941 \h </w:instrText>
            </w:r>
            <w:r w:rsidR="00B07EFB">
              <w:rPr>
                <w:noProof/>
                <w:webHidden/>
              </w:rPr>
            </w:r>
            <w:r w:rsidR="00B07EFB">
              <w:rPr>
                <w:noProof/>
                <w:webHidden/>
              </w:rPr>
              <w:fldChar w:fldCharType="separate"/>
            </w:r>
            <w:r w:rsidR="001756D7">
              <w:rPr>
                <w:noProof/>
                <w:webHidden/>
              </w:rPr>
              <w:t>3</w:t>
            </w:r>
            <w:r w:rsidR="00B07EFB">
              <w:rPr>
                <w:noProof/>
                <w:webHidden/>
              </w:rPr>
              <w:fldChar w:fldCharType="end"/>
            </w:r>
          </w:hyperlink>
        </w:p>
        <w:p w14:paraId="28BBA1F5" w14:textId="77777777" w:rsidR="001756D7" w:rsidRDefault="005472B3">
          <w:pPr>
            <w:pStyle w:val="TOC1"/>
            <w:tabs>
              <w:tab w:val="right" w:leader="dot" w:pos="9962"/>
            </w:tabs>
            <w:rPr>
              <w:rFonts w:asciiTheme="minorHAnsi" w:eastAsiaTheme="minorEastAsia" w:hAnsiTheme="minorHAnsi" w:cstheme="minorBidi"/>
              <w:noProof/>
              <w:sz w:val="22"/>
              <w:szCs w:val="22"/>
              <w:lang w:val="fr-BE" w:eastAsia="fr-BE"/>
            </w:rPr>
          </w:pPr>
          <w:hyperlink w:anchor="_Toc520472942" w:history="1">
            <w:r w:rsidR="001756D7" w:rsidRPr="008A0A69">
              <w:rPr>
                <w:rStyle w:val="Hyperlink"/>
                <w:noProof/>
              </w:rPr>
              <w:t>Related documents</w:t>
            </w:r>
            <w:r w:rsidR="001756D7">
              <w:rPr>
                <w:noProof/>
                <w:webHidden/>
              </w:rPr>
              <w:tab/>
            </w:r>
            <w:r w:rsidR="00B07EFB">
              <w:rPr>
                <w:noProof/>
                <w:webHidden/>
              </w:rPr>
              <w:fldChar w:fldCharType="begin"/>
            </w:r>
            <w:r w:rsidR="001756D7">
              <w:rPr>
                <w:noProof/>
                <w:webHidden/>
              </w:rPr>
              <w:instrText xml:space="preserve"> PAGEREF _Toc520472942 \h </w:instrText>
            </w:r>
            <w:r w:rsidR="00B07EFB">
              <w:rPr>
                <w:noProof/>
                <w:webHidden/>
              </w:rPr>
            </w:r>
            <w:r w:rsidR="00B07EFB">
              <w:rPr>
                <w:noProof/>
                <w:webHidden/>
              </w:rPr>
              <w:fldChar w:fldCharType="separate"/>
            </w:r>
            <w:r w:rsidR="001756D7">
              <w:rPr>
                <w:noProof/>
                <w:webHidden/>
              </w:rPr>
              <w:t>3</w:t>
            </w:r>
            <w:r w:rsidR="00B07EFB">
              <w:rPr>
                <w:noProof/>
                <w:webHidden/>
              </w:rPr>
              <w:fldChar w:fldCharType="end"/>
            </w:r>
          </w:hyperlink>
        </w:p>
        <w:p w14:paraId="4140ED06" w14:textId="77777777" w:rsidR="001756D7" w:rsidRDefault="005472B3">
          <w:pPr>
            <w:pStyle w:val="TOC1"/>
            <w:tabs>
              <w:tab w:val="right" w:leader="dot" w:pos="9962"/>
            </w:tabs>
            <w:rPr>
              <w:rFonts w:asciiTheme="minorHAnsi" w:eastAsiaTheme="minorEastAsia" w:hAnsiTheme="minorHAnsi" w:cstheme="minorBidi"/>
              <w:noProof/>
              <w:sz w:val="22"/>
              <w:szCs w:val="22"/>
              <w:lang w:val="fr-BE" w:eastAsia="fr-BE"/>
            </w:rPr>
          </w:pPr>
          <w:hyperlink w:anchor="_Toc520472943" w:history="1">
            <w:r w:rsidR="001756D7" w:rsidRPr="008A0A69">
              <w:rPr>
                <w:rStyle w:val="Hyperlink"/>
                <w:noProof/>
              </w:rPr>
              <w:t>Acknowledgments</w:t>
            </w:r>
            <w:r w:rsidR="001756D7">
              <w:rPr>
                <w:noProof/>
                <w:webHidden/>
              </w:rPr>
              <w:tab/>
            </w:r>
            <w:r w:rsidR="00B07EFB">
              <w:rPr>
                <w:noProof/>
                <w:webHidden/>
              </w:rPr>
              <w:fldChar w:fldCharType="begin"/>
            </w:r>
            <w:r w:rsidR="001756D7">
              <w:rPr>
                <w:noProof/>
                <w:webHidden/>
              </w:rPr>
              <w:instrText xml:space="preserve"> PAGEREF _Toc520472943 \h </w:instrText>
            </w:r>
            <w:r w:rsidR="00B07EFB">
              <w:rPr>
                <w:noProof/>
                <w:webHidden/>
              </w:rPr>
            </w:r>
            <w:r w:rsidR="00B07EFB">
              <w:rPr>
                <w:noProof/>
                <w:webHidden/>
              </w:rPr>
              <w:fldChar w:fldCharType="separate"/>
            </w:r>
            <w:r w:rsidR="001756D7">
              <w:rPr>
                <w:noProof/>
                <w:webHidden/>
              </w:rPr>
              <w:t>3</w:t>
            </w:r>
            <w:r w:rsidR="00B07EFB">
              <w:rPr>
                <w:noProof/>
                <w:webHidden/>
              </w:rPr>
              <w:fldChar w:fldCharType="end"/>
            </w:r>
          </w:hyperlink>
        </w:p>
        <w:p w14:paraId="72D1E1C8" w14:textId="77777777" w:rsidR="001756D7" w:rsidRDefault="005472B3">
          <w:pPr>
            <w:pStyle w:val="TOC1"/>
            <w:tabs>
              <w:tab w:val="right" w:leader="dot" w:pos="9962"/>
            </w:tabs>
            <w:rPr>
              <w:rFonts w:asciiTheme="minorHAnsi" w:eastAsiaTheme="minorEastAsia" w:hAnsiTheme="minorHAnsi" w:cstheme="minorBidi"/>
              <w:noProof/>
              <w:sz w:val="22"/>
              <w:szCs w:val="22"/>
              <w:lang w:val="fr-BE" w:eastAsia="fr-BE"/>
            </w:rPr>
          </w:pPr>
          <w:hyperlink w:anchor="_Toc520472944" w:history="1">
            <w:r w:rsidR="001756D7" w:rsidRPr="008A0A69">
              <w:rPr>
                <w:rStyle w:val="Hyperlink"/>
                <w:noProof/>
              </w:rPr>
              <w:t>Contact persons at the EDF secretariat</w:t>
            </w:r>
            <w:r w:rsidR="001756D7">
              <w:rPr>
                <w:noProof/>
                <w:webHidden/>
              </w:rPr>
              <w:tab/>
            </w:r>
            <w:r w:rsidR="00B07EFB">
              <w:rPr>
                <w:noProof/>
                <w:webHidden/>
              </w:rPr>
              <w:fldChar w:fldCharType="begin"/>
            </w:r>
            <w:r w:rsidR="001756D7">
              <w:rPr>
                <w:noProof/>
                <w:webHidden/>
              </w:rPr>
              <w:instrText xml:space="preserve"> PAGEREF _Toc520472944 \h </w:instrText>
            </w:r>
            <w:r w:rsidR="00B07EFB">
              <w:rPr>
                <w:noProof/>
                <w:webHidden/>
              </w:rPr>
            </w:r>
            <w:r w:rsidR="00B07EFB">
              <w:rPr>
                <w:noProof/>
                <w:webHidden/>
              </w:rPr>
              <w:fldChar w:fldCharType="separate"/>
            </w:r>
            <w:r w:rsidR="001756D7">
              <w:rPr>
                <w:noProof/>
                <w:webHidden/>
              </w:rPr>
              <w:t>3</w:t>
            </w:r>
            <w:r w:rsidR="00B07EFB">
              <w:rPr>
                <w:noProof/>
                <w:webHidden/>
              </w:rPr>
              <w:fldChar w:fldCharType="end"/>
            </w:r>
          </w:hyperlink>
        </w:p>
        <w:p w14:paraId="78CFB75B" w14:textId="77777777" w:rsidR="00F251D5" w:rsidRDefault="00B07EFB" w:rsidP="00F251D5">
          <w:pPr>
            <w:rPr>
              <w:noProof/>
            </w:rPr>
          </w:pPr>
          <w:r>
            <w:rPr>
              <w:b/>
              <w:bCs/>
              <w:noProof/>
            </w:rPr>
            <w:fldChar w:fldCharType="end"/>
          </w:r>
        </w:p>
      </w:sdtContent>
    </w:sdt>
    <w:p w14:paraId="53BA0815" w14:textId="77777777" w:rsidR="00F251D5" w:rsidRDefault="00F251D5" w:rsidP="00F251D5">
      <w:r>
        <w:br/>
      </w:r>
    </w:p>
    <w:p w14:paraId="22D4E85F" w14:textId="77777777" w:rsidR="003D1B14" w:rsidRDefault="003D1B14" w:rsidP="00510BF6">
      <w:pPr>
        <w:pStyle w:val="Heading1"/>
      </w:pPr>
    </w:p>
    <w:p w14:paraId="5CE336B6" w14:textId="77777777" w:rsidR="00510BF6" w:rsidRPr="00510BF6" w:rsidRDefault="0041231C" w:rsidP="00510BF6">
      <w:pPr>
        <w:pStyle w:val="Heading1"/>
      </w:pPr>
      <w:bookmarkStart w:id="2" w:name="_Toc520472939"/>
      <w:r>
        <w:t xml:space="preserve">EDF proposed amendments to the </w:t>
      </w:r>
      <w:bookmarkEnd w:id="2"/>
      <w:r w:rsidR="001756D7">
        <w:t>revised Connecting Europe Facility (CEF)</w:t>
      </w:r>
    </w:p>
    <w:p w14:paraId="13B6D8C9" w14:textId="77777777" w:rsidR="00AD1A0C" w:rsidRPr="00721C13" w:rsidRDefault="00AD1A0C" w:rsidP="00AD1A0C">
      <w:pPr>
        <w:widowControl w:val="0"/>
        <w:autoSpaceDE w:val="0"/>
        <w:autoSpaceDN w:val="0"/>
        <w:adjustRightInd w:val="0"/>
        <w:spacing w:line="360" w:lineRule="auto"/>
        <w:ind w:right="78"/>
        <w:rPr>
          <w:rFonts w:cs="Arial"/>
          <w:b/>
          <w:color w:val="007AB7"/>
          <w:sz w:val="32"/>
          <w:szCs w:val="26"/>
          <w:lang w:val="en-US"/>
        </w:rPr>
      </w:pPr>
      <w:r w:rsidRPr="00721C13">
        <w:rPr>
          <w:rFonts w:cs="Arial"/>
          <w:color w:val="000000"/>
          <w:sz w:val="25"/>
          <w:szCs w:val="25"/>
          <w:lang w:val="en-US"/>
        </w:rPr>
        <w:t>...................................................................................................................</w:t>
      </w:r>
      <w:r w:rsidR="0021008D" w:rsidRPr="00721C13">
        <w:rPr>
          <w:rFonts w:cs="Arial"/>
          <w:color w:val="000000"/>
          <w:sz w:val="25"/>
          <w:szCs w:val="25"/>
          <w:lang w:val="en-US"/>
        </w:rPr>
        <w:t>...........................</w:t>
      </w:r>
    </w:p>
    <w:p w14:paraId="68A74360" w14:textId="77777777" w:rsidR="0021008D" w:rsidRDefault="005066EF" w:rsidP="0021008D">
      <w:pPr>
        <w:widowControl w:val="0"/>
        <w:autoSpaceDE w:val="0"/>
        <w:autoSpaceDN w:val="0"/>
        <w:adjustRightInd w:val="0"/>
        <w:spacing w:line="276" w:lineRule="auto"/>
        <w:ind w:right="78"/>
        <w:jc w:val="both"/>
        <w:rPr>
          <w:rFonts w:cs="Arial"/>
          <w:color w:val="000000"/>
          <w:lang w:val="en-US"/>
        </w:rPr>
      </w:pPr>
      <w:r w:rsidRPr="0021008D">
        <w:rPr>
          <w:rFonts w:cs="Arial"/>
          <w:color w:val="000000"/>
          <w:lang w:val="en-US"/>
        </w:rPr>
        <w:t xml:space="preserve">The European Disability Forum is an independent NGO that represents the interests of 80 million Europeans with disabilities. EDF is a unique platform which brings together representative </w:t>
      </w:r>
      <w:proofErr w:type="spellStart"/>
      <w:r w:rsidRPr="0021008D">
        <w:rPr>
          <w:rFonts w:cs="Arial"/>
          <w:color w:val="000000"/>
          <w:lang w:val="en-US"/>
        </w:rPr>
        <w:t>organisations</w:t>
      </w:r>
      <w:proofErr w:type="spellEnd"/>
      <w:r w:rsidRPr="0021008D">
        <w:rPr>
          <w:rFonts w:cs="Arial"/>
          <w:color w:val="000000"/>
          <w:lang w:val="en-US"/>
        </w:rPr>
        <w:t xml:space="preserve"> of persons with disabilities from across Europe. EDF is run by persons with disabilities and their families. We are a strong, united voice of persons with disabilities in Europe.</w:t>
      </w:r>
    </w:p>
    <w:p w14:paraId="73D0A817" w14:textId="77777777" w:rsidR="0021008D" w:rsidRDefault="0021008D" w:rsidP="0021008D">
      <w:pPr>
        <w:widowControl w:val="0"/>
        <w:autoSpaceDE w:val="0"/>
        <w:autoSpaceDN w:val="0"/>
        <w:adjustRightInd w:val="0"/>
        <w:spacing w:line="276" w:lineRule="auto"/>
        <w:ind w:right="78"/>
        <w:jc w:val="both"/>
        <w:rPr>
          <w:rFonts w:cs="Arial"/>
          <w:color w:val="000000"/>
          <w:lang w:val="en-US"/>
        </w:rPr>
      </w:pPr>
    </w:p>
    <w:p w14:paraId="26CD81FA" w14:textId="77777777" w:rsidR="00AD1A0C" w:rsidRPr="00DA2918" w:rsidRDefault="00AD1A0C" w:rsidP="00AD1A0C">
      <w:pPr>
        <w:widowControl w:val="0"/>
        <w:autoSpaceDE w:val="0"/>
        <w:autoSpaceDN w:val="0"/>
        <w:adjustRightInd w:val="0"/>
        <w:spacing w:line="360" w:lineRule="auto"/>
        <w:ind w:right="78" w:firstLine="990"/>
        <w:rPr>
          <w:rFonts w:cs="Arial"/>
          <w:color w:val="FF2A47"/>
          <w:sz w:val="25"/>
          <w:szCs w:val="25"/>
          <w:lang w:val="en-US"/>
        </w:rPr>
      </w:pPr>
    </w:p>
    <w:p w14:paraId="42C9116F" w14:textId="77777777" w:rsidR="0052485A" w:rsidRDefault="0052485A">
      <w:pPr>
        <w:rPr>
          <w:rFonts w:cs="Arial"/>
          <w:b/>
          <w:color w:val="007AB7"/>
          <w:sz w:val="28"/>
          <w:szCs w:val="28"/>
          <w:lang w:val="en-US"/>
        </w:rPr>
      </w:pPr>
    </w:p>
    <w:p w14:paraId="65910272" w14:textId="77777777" w:rsidR="0052485A" w:rsidRDefault="0052485A">
      <w:pPr>
        <w:rPr>
          <w:rFonts w:cs="Arial"/>
          <w:b/>
          <w:color w:val="007AB7"/>
          <w:sz w:val="28"/>
          <w:szCs w:val="28"/>
          <w:lang w:val="en-US"/>
        </w:rPr>
      </w:pPr>
    </w:p>
    <w:p w14:paraId="342C189C" w14:textId="77777777" w:rsidR="0052485A" w:rsidRDefault="0052485A">
      <w:pPr>
        <w:rPr>
          <w:rFonts w:cs="Arial"/>
          <w:b/>
          <w:color w:val="007AB7"/>
          <w:sz w:val="28"/>
          <w:szCs w:val="28"/>
          <w:lang w:val="en-US"/>
        </w:rPr>
      </w:pPr>
    </w:p>
    <w:p w14:paraId="443C5D43" w14:textId="77777777" w:rsidR="0052485A" w:rsidRDefault="0052485A">
      <w:pPr>
        <w:rPr>
          <w:rFonts w:cs="Arial"/>
          <w:b/>
          <w:color w:val="007AB7"/>
          <w:sz w:val="28"/>
          <w:szCs w:val="28"/>
          <w:lang w:val="en-US"/>
        </w:rPr>
      </w:pPr>
    </w:p>
    <w:p w14:paraId="5F395028" w14:textId="77777777" w:rsidR="0052485A" w:rsidRDefault="0052485A">
      <w:pPr>
        <w:rPr>
          <w:rFonts w:cs="Arial"/>
          <w:b/>
          <w:color w:val="007AB7"/>
          <w:sz w:val="28"/>
          <w:szCs w:val="28"/>
          <w:lang w:val="en-US"/>
        </w:rPr>
      </w:pPr>
    </w:p>
    <w:p w14:paraId="58292907" w14:textId="77777777" w:rsidR="0052485A" w:rsidRDefault="0052485A" w:rsidP="0052485A">
      <w:r>
        <w:rPr>
          <w:noProof/>
          <w:lang w:eastAsia="fr-BE"/>
        </w:rPr>
        <w:drawing>
          <wp:anchor distT="0" distB="0" distL="114300" distR="114300" simplePos="0" relativeHeight="251663360" behindDoc="0" locked="0" layoutInCell="1" allowOverlap="1" wp14:anchorId="32CAB9CA" wp14:editId="1526174C">
            <wp:simplePos x="0" y="0"/>
            <wp:positionH relativeFrom="column">
              <wp:posOffset>-207010</wp:posOffset>
            </wp:positionH>
            <wp:positionV relativeFrom="paragraph">
              <wp:posOffset>158750</wp:posOffset>
            </wp:positionV>
            <wp:extent cx="973455" cy="547370"/>
            <wp:effectExtent l="0" t="0" r="0" b="508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3455" cy="547370"/>
                    </a:xfrm>
                    <a:prstGeom prst="rect">
                      <a:avLst/>
                    </a:prstGeom>
                    <a:noFill/>
                    <a:ln>
                      <a:noFill/>
                    </a:ln>
                  </pic:spPr>
                </pic:pic>
              </a:graphicData>
            </a:graphic>
          </wp:anchor>
        </w:drawing>
      </w:r>
    </w:p>
    <w:p w14:paraId="350024F8" w14:textId="71586A37" w:rsidR="00C46502" w:rsidRPr="0052485A" w:rsidRDefault="0052485A">
      <w:r w:rsidRPr="00FC2C11">
        <w:rPr>
          <w:rFonts w:ascii="Lucida Sans" w:hAnsi="Lucida Sans" w:cs="Arial"/>
          <w:color w:val="000000"/>
          <w:kern w:val="2"/>
          <w:sz w:val="22"/>
          <w:lang w:eastAsia="zh-CN" w:bidi="hi-IN"/>
        </w:rPr>
        <w:t xml:space="preserve">This publication has received financial support from the European Union. The </w:t>
      </w:r>
      <w:r>
        <w:rPr>
          <w:rFonts w:ascii="Lucida Sans" w:hAnsi="Lucida Sans" w:cs="Arial"/>
          <w:color w:val="000000"/>
          <w:kern w:val="2"/>
          <w:sz w:val="22"/>
          <w:lang w:eastAsia="zh-CN" w:bidi="hi-IN"/>
        </w:rPr>
        <w:t>i</w:t>
      </w:r>
      <w:r w:rsidRPr="00FC2C11">
        <w:rPr>
          <w:rFonts w:ascii="Lucida Sans" w:hAnsi="Lucida Sans" w:cs="Arial"/>
          <w:color w:val="000000"/>
          <w:kern w:val="2"/>
          <w:sz w:val="22"/>
          <w:lang w:eastAsia="zh-CN" w:bidi="hi-IN"/>
        </w:rPr>
        <w:t>nformation contained in this publication does not necessarily reflect the official position of the European Commission.</w:t>
      </w:r>
      <w:r>
        <w:rPr>
          <w:rFonts w:ascii="Lucida Sans" w:hAnsi="Lucida Sans" w:cs="Arial"/>
          <w:color w:val="000000"/>
          <w:kern w:val="2"/>
          <w:sz w:val="22"/>
          <w:lang w:eastAsia="zh-CN" w:bidi="hi-IN"/>
        </w:rPr>
        <w:t xml:space="preserve"> </w:t>
      </w:r>
      <w:bookmarkStart w:id="3" w:name="_GoBack"/>
      <w:bookmarkEnd w:id="3"/>
      <w:r w:rsidR="00C46502">
        <w:rPr>
          <w:rFonts w:cs="Arial"/>
          <w:b/>
          <w:color w:val="007AB7"/>
          <w:sz w:val="28"/>
          <w:szCs w:val="28"/>
          <w:lang w:val="en-US"/>
        </w:rPr>
        <w:br w:type="page"/>
      </w:r>
    </w:p>
    <w:p w14:paraId="61970D11" w14:textId="77777777" w:rsidR="00530738" w:rsidRDefault="00530738" w:rsidP="00AD1A0C">
      <w:pPr>
        <w:widowControl w:val="0"/>
        <w:autoSpaceDE w:val="0"/>
        <w:autoSpaceDN w:val="0"/>
        <w:adjustRightInd w:val="0"/>
        <w:spacing w:line="360" w:lineRule="auto"/>
        <w:ind w:right="78"/>
        <w:rPr>
          <w:rFonts w:cs="Arial"/>
          <w:b/>
          <w:color w:val="007AB7"/>
          <w:sz w:val="28"/>
          <w:szCs w:val="28"/>
          <w:lang w:val="en-US"/>
        </w:rPr>
      </w:pPr>
      <w:r>
        <w:rPr>
          <w:rFonts w:cs="Arial"/>
          <w:b/>
          <w:color w:val="007AB7"/>
          <w:sz w:val="28"/>
          <w:szCs w:val="28"/>
          <w:lang w:val="en-US"/>
        </w:rPr>
        <w:lastRenderedPageBreak/>
        <w:t>Abstract</w:t>
      </w:r>
    </w:p>
    <w:p w14:paraId="7ADD303F" w14:textId="77777777" w:rsidR="00530738" w:rsidRDefault="00530738" w:rsidP="00530738">
      <w:pPr>
        <w:pStyle w:val="ListParagraph"/>
        <w:numPr>
          <w:ilvl w:val="0"/>
          <w:numId w:val="16"/>
        </w:numPr>
        <w:rPr>
          <w:lang w:val="en-US"/>
        </w:rPr>
      </w:pPr>
      <w:r w:rsidRPr="00C46502">
        <w:rPr>
          <w:b/>
          <w:lang w:val="en-US"/>
        </w:rPr>
        <w:t>Accessibility for persons with disabilities is a right</w:t>
      </w:r>
      <w:r>
        <w:rPr>
          <w:lang w:val="en-US"/>
        </w:rPr>
        <w:t xml:space="preserve"> and the CEF needs to reflect this accordingly</w:t>
      </w:r>
    </w:p>
    <w:p w14:paraId="1290D062" w14:textId="77777777" w:rsidR="004407D9" w:rsidRDefault="004407D9" w:rsidP="004407D9">
      <w:pPr>
        <w:pStyle w:val="ListParagraph"/>
        <w:rPr>
          <w:lang w:val="en-US"/>
        </w:rPr>
      </w:pPr>
    </w:p>
    <w:p w14:paraId="5896FDDE" w14:textId="77777777" w:rsidR="004407D9" w:rsidRDefault="00C46502" w:rsidP="00530738">
      <w:pPr>
        <w:pStyle w:val="ListParagraph"/>
        <w:numPr>
          <w:ilvl w:val="0"/>
          <w:numId w:val="16"/>
        </w:numPr>
        <w:rPr>
          <w:lang w:val="en-US"/>
        </w:rPr>
      </w:pPr>
      <w:r w:rsidRPr="00C46502">
        <w:rPr>
          <w:b/>
          <w:lang w:val="en-US"/>
        </w:rPr>
        <w:t>Objectives:</w:t>
      </w:r>
      <w:r>
        <w:rPr>
          <w:lang w:val="en-US"/>
        </w:rPr>
        <w:t xml:space="preserve"> </w:t>
      </w:r>
      <w:r w:rsidR="004407D9">
        <w:rPr>
          <w:lang w:val="en-US"/>
        </w:rPr>
        <w:t xml:space="preserve">The objectives of the </w:t>
      </w:r>
      <w:proofErr w:type="spellStart"/>
      <w:r w:rsidR="004407D9">
        <w:rPr>
          <w:lang w:val="en-US"/>
        </w:rPr>
        <w:t>programme</w:t>
      </w:r>
      <w:proofErr w:type="spellEnd"/>
      <w:r w:rsidR="004407D9">
        <w:rPr>
          <w:lang w:val="en-US"/>
        </w:rPr>
        <w:t xml:space="preserve"> mentioned in Article 3 should also include accessibility as a specific point</w:t>
      </w:r>
    </w:p>
    <w:p w14:paraId="33960551" w14:textId="77777777" w:rsidR="004407D9" w:rsidRPr="004407D9" w:rsidRDefault="004407D9" w:rsidP="004407D9">
      <w:pPr>
        <w:pStyle w:val="ListParagraph"/>
        <w:rPr>
          <w:lang w:val="en-US"/>
        </w:rPr>
      </w:pPr>
    </w:p>
    <w:p w14:paraId="1D56BBD6" w14:textId="77777777" w:rsidR="004407D9" w:rsidRDefault="004407D9" w:rsidP="004407D9">
      <w:pPr>
        <w:pStyle w:val="ListParagraph"/>
        <w:rPr>
          <w:lang w:val="en-US"/>
        </w:rPr>
      </w:pPr>
    </w:p>
    <w:p w14:paraId="2370B831" w14:textId="77777777" w:rsidR="00530738" w:rsidRDefault="001D6302" w:rsidP="00530738">
      <w:pPr>
        <w:pStyle w:val="ListParagraph"/>
        <w:numPr>
          <w:ilvl w:val="0"/>
          <w:numId w:val="16"/>
        </w:numPr>
        <w:rPr>
          <w:lang w:val="en-US"/>
        </w:rPr>
      </w:pPr>
      <w:r w:rsidRPr="00C46502">
        <w:rPr>
          <w:b/>
          <w:lang w:val="en-US"/>
        </w:rPr>
        <w:t>Eligibility</w:t>
      </w:r>
      <w:r w:rsidR="00C46502" w:rsidRPr="00C46502">
        <w:rPr>
          <w:b/>
          <w:lang w:val="en-US"/>
        </w:rPr>
        <w:t xml:space="preserve"> </w:t>
      </w:r>
      <w:r w:rsidRPr="00C46502">
        <w:rPr>
          <w:b/>
          <w:lang w:val="en-US"/>
        </w:rPr>
        <w:t>Criteria</w:t>
      </w:r>
      <w:r w:rsidR="00C46502" w:rsidRPr="00C46502">
        <w:rPr>
          <w:b/>
          <w:lang w:val="en-US"/>
        </w:rPr>
        <w:t>:</w:t>
      </w:r>
      <w:r w:rsidR="00C46502">
        <w:rPr>
          <w:lang w:val="en-US"/>
        </w:rPr>
        <w:t xml:space="preserve"> </w:t>
      </w:r>
      <w:r w:rsidR="004407D9">
        <w:rPr>
          <w:lang w:val="en-US"/>
        </w:rPr>
        <w:t>Accessibility for all users, including persons with disabilities, shall remain one of the key eligibility criteria referred to in Article 9</w:t>
      </w:r>
    </w:p>
    <w:p w14:paraId="3656F32A" w14:textId="77777777" w:rsidR="004407D9" w:rsidRDefault="004407D9" w:rsidP="004407D9">
      <w:pPr>
        <w:pStyle w:val="ListParagraph"/>
        <w:rPr>
          <w:lang w:val="en-US"/>
        </w:rPr>
      </w:pPr>
    </w:p>
    <w:p w14:paraId="40BB510C" w14:textId="77777777" w:rsidR="004407D9" w:rsidRPr="00C46502" w:rsidRDefault="00C46502" w:rsidP="00C46502">
      <w:pPr>
        <w:pStyle w:val="ListParagraph"/>
        <w:numPr>
          <w:ilvl w:val="0"/>
          <w:numId w:val="16"/>
        </w:numPr>
        <w:rPr>
          <w:lang w:val="en-US"/>
        </w:rPr>
      </w:pPr>
      <w:r w:rsidRPr="00C46502">
        <w:rPr>
          <w:b/>
          <w:lang w:val="en-US"/>
        </w:rPr>
        <w:t>Award Criteria:</w:t>
      </w:r>
      <w:r>
        <w:rPr>
          <w:lang w:val="en-US"/>
        </w:rPr>
        <w:t xml:space="preserve"> </w:t>
      </w:r>
      <w:r w:rsidR="004407D9">
        <w:rPr>
          <w:lang w:val="en-US"/>
        </w:rPr>
        <w:t xml:space="preserve">The award criteria in Article 13 should </w:t>
      </w:r>
      <w:proofErr w:type="spellStart"/>
      <w:r w:rsidR="004407D9">
        <w:rPr>
          <w:lang w:val="en-US"/>
        </w:rPr>
        <w:t>favour</w:t>
      </w:r>
      <w:proofErr w:type="spellEnd"/>
      <w:r w:rsidR="004407D9">
        <w:rPr>
          <w:lang w:val="en-US"/>
        </w:rPr>
        <w:t xml:space="preserve"> projects that improve and support accessibility</w:t>
      </w:r>
      <w:r>
        <w:rPr>
          <w:lang w:val="en-US"/>
        </w:rPr>
        <w:t xml:space="preserve">; </w:t>
      </w:r>
      <w:r w:rsidR="004407D9" w:rsidRPr="00C46502">
        <w:rPr>
          <w:lang w:val="en-US"/>
        </w:rPr>
        <w:t>No EU funding shall be granted to projects that promote and sustain inaccessible infrastructure</w:t>
      </w:r>
    </w:p>
    <w:p w14:paraId="6D211B70" w14:textId="77777777" w:rsidR="004407D9" w:rsidRPr="004407D9" w:rsidRDefault="004407D9" w:rsidP="004407D9">
      <w:pPr>
        <w:pStyle w:val="ListParagraph"/>
        <w:rPr>
          <w:lang w:val="en-US"/>
        </w:rPr>
      </w:pPr>
    </w:p>
    <w:p w14:paraId="2A268EFA" w14:textId="77777777" w:rsidR="004407D9" w:rsidRDefault="00C46502" w:rsidP="004407D9">
      <w:pPr>
        <w:pStyle w:val="ListParagraph"/>
        <w:numPr>
          <w:ilvl w:val="0"/>
          <w:numId w:val="16"/>
        </w:numPr>
        <w:rPr>
          <w:lang w:val="en-US"/>
        </w:rPr>
      </w:pPr>
      <w:r w:rsidRPr="00C46502">
        <w:rPr>
          <w:b/>
          <w:lang w:val="en-US"/>
        </w:rPr>
        <w:t>Monitoring:</w:t>
      </w:r>
      <w:r>
        <w:rPr>
          <w:lang w:val="en-US"/>
        </w:rPr>
        <w:t xml:space="preserve"> </w:t>
      </w:r>
      <w:r w:rsidR="004407D9">
        <w:rPr>
          <w:lang w:val="en-US"/>
        </w:rPr>
        <w:t xml:space="preserve">Accessibility shall be </w:t>
      </w:r>
      <w:r w:rsidR="004407D9" w:rsidRPr="004407D9">
        <w:rPr>
          <w:lang w:val="en-US"/>
        </w:rPr>
        <w:t>added to the list of key indicators</w:t>
      </w:r>
      <w:r w:rsidR="004407D9">
        <w:rPr>
          <w:lang w:val="en-US"/>
        </w:rPr>
        <w:t xml:space="preserve"> in part I of the Annex</w:t>
      </w:r>
    </w:p>
    <w:p w14:paraId="2447C6E4" w14:textId="77777777" w:rsidR="004407D9" w:rsidRPr="004407D9" w:rsidRDefault="004407D9" w:rsidP="004407D9">
      <w:pPr>
        <w:pStyle w:val="ListParagraph"/>
        <w:rPr>
          <w:lang w:val="en-US"/>
        </w:rPr>
      </w:pPr>
    </w:p>
    <w:p w14:paraId="70A5E9E6" w14:textId="77777777" w:rsidR="004407D9" w:rsidRPr="00530738" w:rsidRDefault="004407D9" w:rsidP="004407D9">
      <w:pPr>
        <w:pStyle w:val="ListParagraph"/>
        <w:rPr>
          <w:lang w:val="en-US"/>
        </w:rPr>
      </w:pPr>
    </w:p>
    <w:p w14:paraId="280B0AED" w14:textId="77777777" w:rsidR="00AD1A0C" w:rsidRPr="00DA2918" w:rsidRDefault="005066EF" w:rsidP="00AD1A0C">
      <w:pPr>
        <w:widowControl w:val="0"/>
        <w:autoSpaceDE w:val="0"/>
        <w:autoSpaceDN w:val="0"/>
        <w:adjustRightInd w:val="0"/>
        <w:spacing w:line="360" w:lineRule="auto"/>
        <w:ind w:right="78"/>
        <w:rPr>
          <w:rFonts w:cs="Arial"/>
          <w:b/>
          <w:color w:val="007AB7"/>
          <w:sz w:val="28"/>
          <w:szCs w:val="28"/>
          <w:lang w:val="en-US"/>
        </w:rPr>
      </w:pPr>
      <w:r>
        <w:rPr>
          <w:rFonts w:cs="Arial"/>
          <w:b/>
          <w:color w:val="007AB7"/>
          <w:sz w:val="28"/>
          <w:szCs w:val="28"/>
          <w:lang w:val="en-US"/>
        </w:rPr>
        <w:t>Introduction</w:t>
      </w:r>
    </w:p>
    <w:p w14:paraId="4AAEEF01" w14:textId="77777777" w:rsidR="00530738" w:rsidRDefault="00530738" w:rsidP="00AD1A0C">
      <w:pPr>
        <w:widowControl w:val="0"/>
        <w:autoSpaceDE w:val="0"/>
        <w:autoSpaceDN w:val="0"/>
        <w:adjustRightInd w:val="0"/>
        <w:spacing w:line="360" w:lineRule="auto"/>
        <w:ind w:right="78"/>
        <w:rPr>
          <w:rFonts w:cs="Arial"/>
          <w:color w:val="000000"/>
          <w:lang w:val="en-US"/>
        </w:rPr>
      </w:pPr>
      <w:r>
        <w:rPr>
          <w:rFonts w:cs="Arial"/>
          <w:color w:val="000000"/>
          <w:lang w:val="en-US"/>
        </w:rPr>
        <w:t xml:space="preserve">Transport accessibility in the EU is not optional, it is a legal obligation under the United Nations Convention on the Rights of Persons with Disabilities (UNCRPD) which has been ratified by all EU Member States as well as the EU itself. Therefore, all new and revised EU laws and initiatives as well as funding </w:t>
      </w:r>
      <w:proofErr w:type="spellStart"/>
      <w:r>
        <w:rPr>
          <w:rFonts w:cs="Arial"/>
          <w:color w:val="000000"/>
          <w:lang w:val="en-US"/>
        </w:rPr>
        <w:t>programmes</w:t>
      </w:r>
      <w:proofErr w:type="spellEnd"/>
      <w:r>
        <w:rPr>
          <w:rFonts w:cs="Arial"/>
          <w:color w:val="000000"/>
          <w:lang w:val="en-US"/>
        </w:rPr>
        <w:t xml:space="preserve"> need to promote accessibility for persons with disabilities, including the Connecting Europe Facility (CEF). Making infrastructure connections accessible throughout the EU will allow more than 80 Million persons with disabilities in the EU to have the same opportunities as everybody else and ensure that they can benefit from the essential EU principle of freedom of movement. Unfortunately, this freedom is still denied to many persons with disabilities in practice and inaccessible transport is one of the obstacles persons with disabilities </w:t>
      </w:r>
      <w:proofErr w:type="gramStart"/>
      <w:r>
        <w:rPr>
          <w:rFonts w:cs="Arial"/>
          <w:color w:val="000000"/>
          <w:lang w:val="en-US"/>
        </w:rPr>
        <w:t>have to</w:t>
      </w:r>
      <w:proofErr w:type="gramEnd"/>
      <w:r>
        <w:rPr>
          <w:rFonts w:cs="Arial"/>
          <w:color w:val="000000"/>
          <w:lang w:val="en-US"/>
        </w:rPr>
        <w:t xml:space="preserve"> face daily. </w:t>
      </w:r>
    </w:p>
    <w:p w14:paraId="3413C917" w14:textId="77777777" w:rsidR="00530738" w:rsidRDefault="00530738" w:rsidP="00AD1A0C">
      <w:pPr>
        <w:widowControl w:val="0"/>
        <w:autoSpaceDE w:val="0"/>
        <w:autoSpaceDN w:val="0"/>
        <w:adjustRightInd w:val="0"/>
        <w:spacing w:line="360" w:lineRule="auto"/>
        <w:ind w:right="78"/>
        <w:rPr>
          <w:rFonts w:cs="Arial"/>
          <w:color w:val="000000"/>
          <w:lang w:val="en-US"/>
        </w:rPr>
      </w:pPr>
    </w:p>
    <w:p w14:paraId="76163505" w14:textId="77777777" w:rsidR="00AD1A0C" w:rsidRPr="00DA2918" w:rsidRDefault="00405764" w:rsidP="00AD1A0C">
      <w:pPr>
        <w:widowControl w:val="0"/>
        <w:autoSpaceDE w:val="0"/>
        <w:autoSpaceDN w:val="0"/>
        <w:adjustRightInd w:val="0"/>
        <w:spacing w:line="360" w:lineRule="auto"/>
        <w:ind w:right="78"/>
        <w:rPr>
          <w:rFonts w:cs="Arial"/>
          <w:color w:val="000000"/>
          <w:sz w:val="28"/>
          <w:szCs w:val="28"/>
          <w:lang w:val="en-US"/>
        </w:rPr>
      </w:pPr>
      <w:r>
        <w:rPr>
          <w:rFonts w:cs="Arial"/>
          <w:color w:val="000000"/>
          <w:lang w:val="en-US"/>
        </w:rPr>
        <w:t xml:space="preserve">In 2012, EDF published its first position paper </w:t>
      </w:r>
      <w:r w:rsidR="00530738">
        <w:rPr>
          <w:rFonts w:cs="Arial"/>
          <w:color w:val="000000"/>
          <w:lang w:val="en-US"/>
        </w:rPr>
        <w:t xml:space="preserve">on the proposal establishing the Connecting Europe Facility (CEF) and accessibility was successfully included in the final </w:t>
      </w:r>
      <w:proofErr w:type="spellStart"/>
      <w:r w:rsidR="00530738">
        <w:rPr>
          <w:rFonts w:cs="Arial"/>
          <w:color w:val="000000"/>
          <w:lang w:val="en-US"/>
        </w:rPr>
        <w:t>programme</w:t>
      </w:r>
      <w:proofErr w:type="spellEnd"/>
      <w:r w:rsidR="00530738">
        <w:rPr>
          <w:rFonts w:cs="Arial"/>
          <w:color w:val="000000"/>
          <w:lang w:val="en-US"/>
        </w:rPr>
        <w:t xml:space="preserve"> as well as the TEN-T guidelines. The Commission proposal for the revised CEF builds on this </w:t>
      </w:r>
      <w:r w:rsidR="00530738">
        <w:rPr>
          <w:rFonts w:cs="Arial"/>
          <w:color w:val="000000"/>
          <w:lang w:val="en-US"/>
        </w:rPr>
        <w:lastRenderedPageBreak/>
        <w:t>text and therefore EDF supports the revised text as it stands. However, some further clarification and additions are needed to ensure that EU funding is used correctly to enhance accessibility for persons with disabilities and to avoid that inaccessible projects are funded in the future. Therefore, EDF suggests the following amendments to the text:</w:t>
      </w:r>
    </w:p>
    <w:p w14:paraId="4CFCED76" w14:textId="77777777" w:rsidR="00046E92" w:rsidRDefault="000334DE" w:rsidP="00046E92">
      <w:pPr>
        <w:pStyle w:val="Heading2"/>
      </w:pPr>
      <w:bookmarkStart w:id="4" w:name="_Toc520472941"/>
      <w:r>
        <w:t>Article 3</w:t>
      </w:r>
      <w:r w:rsidR="00046E92">
        <w:t xml:space="preserve"> - </w:t>
      </w:r>
      <w:bookmarkEnd w:id="4"/>
      <w:r>
        <w:t>Objectives</w:t>
      </w:r>
    </w:p>
    <w:p w14:paraId="1E2EB065" w14:textId="77777777" w:rsidR="00046E92" w:rsidRPr="00046E92" w:rsidRDefault="00046E92" w:rsidP="00046E92"/>
    <w:tbl>
      <w:tblPr>
        <w:tblStyle w:val="TableGrid"/>
        <w:tblW w:w="0" w:type="auto"/>
        <w:tblLook w:val="04A0" w:firstRow="1" w:lastRow="0" w:firstColumn="1" w:lastColumn="0" w:noHBand="0" w:noVBand="1"/>
      </w:tblPr>
      <w:tblGrid>
        <w:gridCol w:w="4981"/>
        <w:gridCol w:w="4981"/>
      </w:tblGrid>
      <w:tr w:rsidR="00046E92" w14:paraId="260833E2" w14:textId="77777777" w:rsidTr="00046E92">
        <w:tc>
          <w:tcPr>
            <w:tcW w:w="5056" w:type="dxa"/>
          </w:tcPr>
          <w:p w14:paraId="0031D515" w14:textId="77777777" w:rsidR="00046E92" w:rsidRDefault="00046E92" w:rsidP="00D120F2">
            <w:pPr>
              <w:pStyle w:val="Footer"/>
              <w:jc w:val="both"/>
            </w:pPr>
            <w:r>
              <w:t>Commission proposal</w:t>
            </w:r>
          </w:p>
        </w:tc>
        <w:tc>
          <w:tcPr>
            <w:tcW w:w="5056" w:type="dxa"/>
          </w:tcPr>
          <w:p w14:paraId="12C8378F" w14:textId="77777777" w:rsidR="00046E92" w:rsidRDefault="00046E92" w:rsidP="00D120F2">
            <w:pPr>
              <w:pStyle w:val="Footer"/>
              <w:jc w:val="both"/>
            </w:pPr>
            <w:r>
              <w:t>EDF amendments</w:t>
            </w:r>
          </w:p>
        </w:tc>
      </w:tr>
      <w:tr w:rsidR="00046E92" w14:paraId="47A02A59" w14:textId="77777777" w:rsidTr="00046E92">
        <w:tc>
          <w:tcPr>
            <w:tcW w:w="5056" w:type="dxa"/>
          </w:tcPr>
          <w:p w14:paraId="23BB1929" w14:textId="77777777" w:rsidR="00046E92" w:rsidRDefault="00046E92" w:rsidP="008F652B">
            <w:pPr>
              <w:pStyle w:val="Footer"/>
            </w:pPr>
          </w:p>
          <w:p w14:paraId="5BC0FE74" w14:textId="77777777" w:rsidR="000334DE" w:rsidRPr="000334DE" w:rsidRDefault="000334DE" w:rsidP="000334DE">
            <w:pPr>
              <w:pStyle w:val="Footer"/>
            </w:pPr>
            <w:r w:rsidRPr="000334DE">
              <w:t>2.</w:t>
            </w:r>
            <w:r w:rsidRPr="000334DE">
              <w:tab/>
              <w:t>The Programme has the following specific objectives:</w:t>
            </w:r>
          </w:p>
          <w:p w14:paraId="15EE89B3" w14:textId="77777777" w:rsidR="000334DE" w:rsidRPr="000334DE" w:rsidRDefault="000334DE" w:rsidP="000334DE">
            <w:pPr>
              <w:pStyle w:val="Footer"/>
              <w:numPr>
                <w:ilvl w:val="3"/>
                <w:numId w:val="9"/>
              </w:numPr>
            </w:pPr>
            <w:r w:rsidRPr="000334DE">
              <w:t xml:space="preserve">In the transport sector: </w:t>
            </w:r>
          </w:p>
          <w:p w14:paraId="7B255E88" w14:textId="77777777" w:rsidR="000334DE" w:rsidRPr="000334DE" w:rsidRDefault="000334DE" w:rsidP="000334DE">
            <w:pPr>
              <w:pStyle w:val="Footer"/>
            </w:pPr>
            <w:r w:rsidRPr="000334DE">
              <w:t>(</w:t>
            </w:r>
            <w:proofErr w:type="spellStart"/>
            <w:r w:rsidRPr="000334DE">
              <w:t>i</w:t>
            </w:r>
            <w:proofErr w:type="spellEnd"/>
            <w:r w:rsidRPr="000334DE">
              <w:t>)</w:t>
            </w:r>
            <w:r w:rsidRPr="000334DE">
              <w:tab/>
              <w:t xml:space="preserve">to contribute to the development of projects of common interest relating to efficient and interconnected networks and infrastructure for smart, sustainable, inclusive, safe and secure mobility; </w:t>
            </w:r>
          </w:p>
          <w:p w14:paraId="63A884AF" w14:textId="77777777" w:rsidR="00046E92" w:rsidRDefault="00046E92" w:rsidP="008F652B">
            <w:pPr>
              <w:pStyle w:val="Footer"/>
            </w:pPr>
          </w:p>
        </w:tc>
        <w:tc>
          <w:tcPr>
            <w:tcW w:w="5056" w:type="dxa"/>
          </w:tcPr>
          <w:p w14:paraId="52F72263" w14:textId="77777777" w:rsidR="00B90FCB" w:rsidRDefault="00B90FCB" w:rsidP="008F652B">
            <w:pPr>
              <w:pStyle w:val="Footer"/>
            </w:pPr>
          </w:p>
          <w:p w14:paraId="6DEF109F" w14:textId="77777777" w:rsidR="000334DE" w:rsidRPr="000334DE" w:rsidRDefault="00B90FCB" w:rsidP="000334DE">
            <w:pPr>
              <w:pStyle w:val="Footer"/>
            </w:pPr>
            <w:r>
              <w:t xml:space="preserve"> </w:t>
            </w:r>
            <w:r w:rsidR="000334DE" w:rsidRPr="000334DE">
              <w:t>2.</w:t>
            </w:r>
            <w:r w:rsidR="000334DE" w:rsidRPr="000334DE">
              <w:tab/>
              <w:t>The Programme has the following specific objectives:</w:t>
            </w:r>
          </w:p>
          <w:p w14:paraId="075D89BE" w14:textId="77777777" w:rsidR="000334DE" w:rsidRPr="000334DE" w:rsidRDefault="000334DE" w:rsidP="000334DE">
            <w:pPr>
              <w:pStyle w:val="Footer"/>
              <w:numPr>
                <w:ilvl w:val="3"/>
                <w:numId w:val="10"/>
              </w:numPr>
            </w:pPr>
            <w:r w:rsidRPr="000334DE">
              <w:t xml:space="preserve">In the transport sector: </w:t>
            </w:r>
          </w:p>
          <w:p w14:paraId="2A79F9BE" w14:textId="77777777" w:rsidR="000334DE" w:rsidRPr="000334DE" w:rsidRDefault="000334DE" w:rsidP="000334DE">
            <w:pPr>
              <w:pStyle w:val="Footer"/>
            </w:pPr>
            <w:r w:rsidRPr="000334DE">
              <w:t>(</w:t>
            </w:r>
            <w:proofErr w:type="spellStart"/>
            <w:r w:rsidRPr="000334DE">
              <w:t>i</w:t>
            </w:r>
            <w:proofErr w:type="spellEnd"/>
            <w:r w:rsidRPr="000334DE">
              <w:t>)</w:t>
            </w:r>
            <w:r w:rsidRPr="000334DE">
              <w:tab/>
              <w:t xml:space="preserve">to contribute to the development of projects of common interest relating to efficient and interconnected networks and infrastructure for smart, sustainable, inclusive, </w:t>
            </w:r>
            <w:r w:rsidRPr="000334DE">
              <w:rPr>
                <w:b/>
                <w:i/>
              </w:rPr>
              <w:t>accessible</w:t>
            </w:r>
            <w:r w:rsidR="003E4098">
              <w:rPr>
                <w:b/>
                <w:i/>
              </w:rPr>
              <w:t xml:space="preserve"> </w:t>
            </w:r>
            <w:r w:rsidR="003E4098" w:rsidRPr="0030679B">
              <w:rPr>
                <w:b/>
                <w:i/>
              </w:rPr>
              <w:t>to everyone including persons with disabilities</w:t>
            </w:r>
            <w:r>
              <w:t xml:space="preserve">, </w:t>
            </w:r>
            <w:r w:rsidRPr="000334DE">
              <w:t xml:space="preserve">safe and secure mobility; </w:t>
            </w:r>
          </w:p>
          <w:p w14:paraId="246EBEF3" w14:textId="77777777" w:rsidR="003A0208" w:rsidRPr="00CD2FF3" w:rsidRDefault="003A0208" w:rsidP="003D1B14">
            <w:pPr>
              <w:pStyle w:val="Footer"/>
              <w:rPr>
                <w:b/>
              </w:rPr>
            </w:pPr>
          </w:p>
        </w:tc>
      </w:tr>
      <w:tr w:rsidR="008E3764" w14:paraId="7833CA85" w14:textId="77777777" w:rsidTr="00A37685">
        <w:tc>
          <w:tcPr>
            <w:tcW w:w="10112" w:type="dxa"/>
            <w:gridSpan w:val="2"/>
          </w:tcPr>
          <w:p w14:paraId="66856967" w14:textId="77777777" w:rsidR="008E3764" w:rsidRDefault="008E3764" w:rsidP="008E3764">
            <w:pPr>
              <w:pStyle w:val="Footer"/>
              <w:jc w:val="both"/>
            </w:pPr>
            <w:r>
              <w:t>Justification:</w:t>
            </w:r>
          </w:p>
          <w:p w14:paraId="272982CA" w14:textId="77777777" w:rsidR="000334DE" w:rsidRDefault="000334DE" w:rsidP="008E3764">
            <w:pPr>
              <w:pStyle w:val="Footer"/>
              <w:jc w:val="both"/>
            </w:pPr>
          </w:p>
          <w:p w14:paraId="7E8B4836" w14:textId="77777777" w:rsidR="000334DE" w:rsidRDefault="000334DE" w:rsidP="008E3764">
            <w:pPr>
              <w:pStyle w:val="Footer"/>
              <w:jc w:val="both"/>
            </w:pPr>
            <w:r>
              <w:t xml:space="preserve">Making transport accessible to persons with disabilities is an obligation under Art. 9 of the UNCRPD and the CEF should thus translate this obligation by putting accessibility as one of its objectives. Furthermore, accessible transport is a vital condition for guaranteeing freedom of movement for all EU citizens, including persons with disabilities, which is one of the four basic principles of the European Union. </w:t>
            </w:r>
          </w:p>
          <w:p w14:paraId="405E2EBC" w14:textId="77777777" w:rsidR="00BE480E" w:rsidRDefault="000E1F67" w:rsidP="000E1F67">
            <w:pPr>
              <w:pStyle w:val="Footer"/>
              <w:jc w:val="both"/>
            </w:pPr>
            <w:r>
              <w:t xml:space="preserve"> </w:t>
            </w:r>
          </w:p>
        </w:tc>
      </w:tr>
    </w:tbl>
    <w:p w14:paraId="75ED438E" w14:textId="77777777" w:rsidR="003C04D4" w:rsidRDefault="003C04D4" w:rsidP="00D120F2">
      <w:pPr>
        <w:pStyle w:val="Footer"/>
        <w:jc w:val="both"/>
      </w:pPr>
    </w:p>
    <w:p w14:paraId="2A458683" w14:textId="77777777" w:rsidR="004D2449" w:rsidRDefault="004D2449" w:rsidP="004D2449">
      <w:pPr>
        <w:pStyle w:val="Heading2"/>
      </w:pPr>
      <w:r>
        <w:t>Article 9 - Eligibility</w:t>
      </w:r>
    </w:p>
    <w:p w14:paraId="48462708" w14:textId="77777777" w:rsidR="004D2449" w:rsidRPr="00046E92" w:rsidRDefault="004D2449" w:rsidP="004D2449"/>
    <w:tbl>
      <w:tblPr>
        <w:tblStyle w:val="TableGrid"/>
        <w:tblW w:w="0" w:type="auto"/>
        <w:tblLook w:val="04A0" w:firstRow="1" w:lastRow="0" w:firstColumn="1" w:lastColumn="0" w:noHBand="0" w:noVBand="1"/>
      </w:tblPr>
      <w:tblGrid>
        <w:gridCol w:w="4981"/>
        <w:gridCol w:w="4981"/>
      </w:tblGrid>
      <w:tr w:rsidR="004D2449" w14:paraId="7409F442" w14:textId="77777777" w:rsidTr="00031ACD">
        <w:tc>
          <w:tcPr>
            <w:tcW w:w="5056" w:type="dxa"/>
          </w:tcPr>
          <w:p w14:paraId="465436C5" w14:textId="77777777" w:rsidR="004D2449" w:rsidRDefault="004D2449" w:rsidP="00031ACD">
            <w:pPr>
              <w:pStyle w:val="Footer"/>
              <w:jc w:val="both"/>
            </w:pPr>
            <w:r>
              <w:t>Commission proposal</w:t>
            </w:r>
          </w:p>
        </w:tc>
        <w:tc>
          <w:tcPr>
            <w:tcW w:w="5056" w:type="dxa"/>
          </w:tcPr>
          <w:p w14:paraId="27C60DBE" w14:textId="77777777" w:rsidR="004D2449" w:rsidRDefault="004D2449" w:rsidP="00031ACD">
            <w:pPr>
              <w:pStyle w:val="Footer"/>
              <w:jc w:val="both"/>
            </w:pPr>
            <w:r>
              <w:t>EDF amendments</w:t>
            </w:r>
          </w:p>
        </w:tc>
      </w:tr>
      <w:tr w:rsidR="004D2449" w14:paraId="3808D5AA" w14:textId="77777777" w:rsidTr="00031ACD">
        <w:tc>
          <w:tcPr>
            <w:tcW w:w="5056" w:type="dxa"/>
          </w:tcPr>
          <w:p w14:paraId="3CEC77B2" w14:textId="77777777" w:rsidR="004D2449" w:rsidRDefault="004D2449" w:rsidP="00031ACD">
            <w:pPr>
              <w:pStyle w:val="Footer"/>
            </w:pPr>
          </w:p>
          <w:p w14:paraId="56B8BAE9" w14:textId="77777777" w:rsidR="004D2449" w:rsidRPr="004D2449" w:rsidRDefault="004D2449" w:rsidP="004D2449">
            <w:pPr>
              <w:pStyle w:val="Footer"/>
            </w:pPr>
            <w:r>
              <w:t>2.b.</w:t>
            </w:r>
            <w:r w:rsidRPr="004D2449">
              <w:t>(viii)</w:t>
            </w:r>
            <w:r w:rsidRPr="004D2449">
              <w:tab/>
              <w:t>actions improving transport infrastructure accessibility for all users in accordance with Article 37 of Regulation (EU) No 1315/2013;</w:t>
            </w:r>
          </w:p>
          <w:p w14:paraId="07E74EEB" w14:textId="77777777" w:rsidR="004D2449" w:rsidRDefault="004D2449" w:rsidP="004D2449">
            <w:pPr>
              <w:pStyle w:val="Footer"/>
            </w:pPr>
          </w:p>
        </w:tc>
        <w:tc>
          <w:tcPr>
            <w:tcW w:w="5056" w:type="dxa"/>
          </w:tcPr>
          <w:p w14:paraId="4FCB51C8" w14:textId="77777777" w:rsidR="004D2449" w:rsidRDefault="004D2449" w:rsidP="00031ACD">
            <w:pPr>
              <w:pStyle w:val="Footer"/>
            </w:pPr>
          </w:p>
          <w:p w14:paraId="460D3947" w14:textId="77777777" w:rsidR="004D2449" w:rsidRPr="004D2449" w:rsidRDefault="004D2449" w:rsidP="004D2449">
            <w:pPr>
              <w:pStyle w:val="Footer"/>
            </w:pPr>
            <w:r>
              <w:t xml:space="preserve"> 2.b.</w:t>
            </w:r>
            <w:r w:rsidRPr="004D2449">
              <w:t>(viii)</w:t>
            </w:r>
            <w:r w:rsidRPr="004D2449">
              <w:tab/>
              <w:t>actions improving transport infrastructure accessibility for all users in accordance with Article 37 of Regulation (EU) No 1315/2013;</w:t>
            </w:r>
          </w:p>
          <w:p w14:paraId="045B278C" w14:textId="77777777" w:rsidR="004D2449" w:rsidRPr="00CD2FF3" w:rsidRDefault="004D2449" w:rsidP="004D2449">
            <w:pPr>
              <w:pStyle w:val="Footer"/>
              <w:rPr>
                <w:b/>
              </w:rPr>
            </w:pPr>
          </w:p>
        </w:tc>
      </w:tr>
      <w:tr w:rsidR="004D2449" w14:paraId="70098334" w14:textId="77777777" w:rsidTr="00031ACD">
        <w:tc>
          <w:tcPr>
            <w:tcW w:w="10112" w:type="dxa"/>
            <w:gridSpan w:val="2"/>
          </w:tcPr>
          <w:p w14:paraId="45F9B040" w14:textId="77777777" w:rsidR="004D2449" w:rsidRDefault="004D2449" w:rsidP="00031ACD">
            <w:pPr>
              <w:pStyle w:val="Footer"/>
              <w:jc w:val="both"/>
            </w:pPr>
            <w:r>
              <w:t>Justification:</w:t>
            </w:r>
          </w:p>
          <w:p w14:paraId="16EB6AC2" w14:textId="77777777" w:rsidR="004D2449" w:rsidRDefault="004D2449" w:rsidP="00031ACD">
            <w:pPr>
              <w:pStyle w:val="Footer"/>
              <w:jc w:val="both"/>
            </w:pPr>
          </w:p>
          <w:p w14:paraId="606B5058" w14:textId="77777777" w:rsidR="004D2449" w:rsidRDefault="004D2449" w:rsidP="00031ACD">
            <w:pPr>
              <w:pStyle w:val="Footer"/>
              <w:jc w:val="both"/>
            </w:pPr>
            <w:r>
              <w:lastRenderedPageBreak/>
              <w:t xml:space="preserve">It is important this point is kept because it includes actions improving accessibility for persons with disabilities as well as older persons. </w:t>
            </w:r>
            <w:r w:rsidR="002A5225">
              <w:t>In fact, it should even be strengthened by giving priority to projects that improve accessibility for users.</w:t>
            </w:r>
          </w:p>
          <w:p w14:paraId="0FF61ED5" w14:textId="77777777" w:rsidR="004D2449" w:rsidRDefault="004D2449" w:rsidP="00031ACD">
            <w:pPr>
              <w:pStyle w:val="Footer"/>
              <w:jc w:val="both"/>
            </w:pPr>
          </w:p>
        </w:tc>
      </w:tr>
    </w:tbl>
    <w:p w14:paraId="37FB5A14" w14:textId="77777777" w:rsidR="0041231C" w:rsidRDefault="0041231C" w:rsidP="00DC2DCD"/>
    <w:p w14:paraId="40BB723B" w14:textId="77777777" w:rsidR="002A5225" w:rsidRDefault="002A5225" w:rsidP="002A5225">
      <w:pPr>
        <w:pStyle w:val="Heading2"/>
      </w:pPr>
      <w:r>
        <w:t>Article 13 – Award Criteria</w:t>
      </w:r>
    </w:p>
    <w:p w14:paraId="721A076A" w14:textId="77777777" w:rsidR="002A5225" w:rsidRPr="00046E92" w:rsidRDefault="002A5225" w:rsidP="002A5225"/>
    <w:tbl>
      <w:tblPr>
        <w:tblStyle w:val="TableGrid"/>
        <w:tblW w:w="0" w:type="auto"/>
        <w:tblLook w:val="04A0" w:firstRow="1" w:lastRow="0" w:firstColumn="1" w:lastColumn="0" w:noHBand="0" w:noVBand="1"/>
      </w:tblPr>
      <w:tblGrid>
        <w:gridCol w:w="4981"/>
        <w:gridCol w:w="4981"/>
      </w:tblGrid>
      <w:tr w:rsidR="002A5225" w14:paraId="4EB44E2E" w14:textId="77777777" w:rsidTr="00031ACD">
        <w:tc>
          <w:tcPr>
            <w:tcW w:w="5056" w:type="dxa"/>
          </w:tcPr>
          <w:p w14:paraId="6B9B605F" w14:textId="77777777" w:rsidR="002A5225" w:rsidRDefault="002A5225" w:rsidP="00031ACD">
            <w:pPr>
              <w:pStyle w:val="Footer"/>
              <w:jc w:val="both"/>
            </w:pPr>
            <w:r>
              <w:t>Commission proposal</w:t>
            </w:r>
          </w:p>
        </w:tc>
        <w:tc>
          <w:tcPr>
            <w:tcW w:w="5056" w:type="dxa"/>
          </w:tcPr>
          <w:p w14:paraId="42CD07E2" w14:textId="77777777" w:rsidR="002A5225" w:rsidRDefault="002A5225" w:rsidP="00031ACD">
            <w:pPr>
              <w:pStyle w:val="Footer"/>
              <w:jc w:val="both"/>
            </w:pPr>
            <w:r>
              <w:t>EDF amendments</w:t>
            </w:r>
          </w:p>
        </w:tc>
      </w:tr>
      <w:tr w:rsidR="002A5225" w14:paraId="387CD06C" w14:textId="77777777" w:rsidTr="00031ACD">
        <w:tc>
          <w:tcPr>
            <w:tcW w:w="5056" w:type="dxa"/>
          </w:tcPr>
          <w:p w14:paraId="762815D2" w14:textId="77777777" w:rsidR="002A5225" w:rsidRPr="002A5225" w:rsidRDefault="002A5225" w:rsidP="002A5225">
            <w:pPr>
              <w:pStyle w:val="Footer"/>
            </w:pPr>
            <w:r w:rsidRPr="002A5225">
              <w:t>1.</w:t>
            </w:r>
            <w:r w:rsidRPr="002A5225">
              <w:tab/>
              <w:t xml:space="preserve">The award criteria shall be defined in the work programmes referred to in Article 19 and in the calls for proposals </w:t>
            </w:r>
            <w:proofErr w:type="gramStart"/>
            <w:r w:rsidRPr="002A5225">
              <w:t>taking into account</w:t>
            </w:r>
            <w:proofErr w:type="gramEnd"/>
            <w:r w:rsidRPr="002A5225">
              <w:t xml:space="preserve">, to the extent applicable, the following elements: </w:t>
            </w:r>
          </w:p>
          <w:p w14:paraId="7ADA14B1" w14:textId="77777777" w:rsidR="002A5225" w:rsidRPr="002A5225" w:rsidRDefault="002A5225" w:rsidP="002A5225">
            <w:pPr>
              <w:pStyle w:val="Footer"/>
              <w:numPr>
                <w:ilvl w:val="3"/>
                <w:numId w:val="12"/>
              </w:numPr>
            </w:pPr>
            <w:r w:rsidRPr="002A5225">
              <w:t xml:space="preserve">economic, social and environmental impact (benefits and costs); </w:t>
            </w:r>
          </w:p>
          <w:p w14:paraId="1B58D0CD" w14:textId="77777777" w:rsidR="002A5225" w:rsidRPr="002A5225" w:rsidRDefault="002A5225" w:rsidP="002A5225">
            <w:pPr>
              <w:pStyle w:val="Footer"/>
              <w:numPr>
                <w:ilvl w:val="3"/>
                <w:numId w:val="9"/>
              </w:numPr>
            </w:pPr>
            <w:r w:rsidRPr="002A5225">
              <w:t>innovation, safety, interoperability and accessibility aspects;</w:t>
            </w:r>
          </w:p>
          <w:p w14:paraId="394EFDBF" w14:textId="77777777" w:rsidR="002A5225" w:rsidRPr="002A5225" w:rsidRDefault="002A5225" w:rsidP="002A5225">
            <w:pPr>
              <w:pStyle w:val="Footer"/>
              <w:numPr>
                <w:ilvl w:val="3"/>
                <w:numId w:val="9"/>
              </w:numPr>
            </w:pPr>
            <w:r w:rsidRPr="002A5225">
              <w:t>cross-border dimension;</w:t>
            </w:r>
          </w:p>
          <w:p w14:paraId="266967D9" w14:textId="77777777" w:rsidR="002A5225" w:rsidRPr="002A5225" w:rsidRDefault="002A5225" w:rsidP="002A5225">
            <w:pPr>
              <w:pStyle w:val="Footer"/>
              <w:numPr>
                <w:ilvl w:val="3"/>
                <w:numId w:val="9"/>
              </w:numPr>
            </w:pPr>
            <w:r w:rsidRPr="002A5225">
              <w:t>synergies between the transport, energy and digital sectors;</w:t>
            </w:r>
          </w:p>
          <w:p w14:paraId="34C1B30B" w14:textId="77777777" w:rsidR="002A5225" w:rsidRPr="002A5225" w:rsidRDefault="002A5225" w:rsidP="002A5225">
            <w:pPr>
              <w:pStyle w:val="Footer"/>
              <w:numPr>
                <w:ilvl w:val="3"/>
                <w:numId w:val="9"/>
              </w:numPr>
            </w:pPr>
            <w:r w:rsidRPr="002A5225">
              <w:t>maturity of the action in the project development;</w:t>
            </w:r>
          </w:p>
          <w:p w14:paraId="05FE8437" w14:textId="77777777" w:rsidR="002A5225" w:rsidRPr="002A5225" w:rsidRDefault="002A5225" w:rsidP="002A5225">
            <w:pPr>
              <w:pStyle w:val="Footer"/>
              <w:numPr>
                <w:ilvl w:val="3"/>
                <w:numId w:val="9"/>
              </w:numPr>
            </w:pPr>
            <w:r w:rsidRPr="002A5225">
              <w:t>soundness of the implementation plan proposed;</w:t>
            </w:r>
          </w:p>
          <w:p w14:paraId="1022F5F2" w14:textId="77777777" w:rsidR="002A5225" w:rsidRPr="002A5225" w:rsidRDefault="002A5225" w:rsidP="002A5225">
            <w:pPr>
              <w:pStyle w:val="Footer"/>
              <w:numPr>
                <w:ilvl w:val="3"/>
                <w:numId w:val="9"/>
              </w:numPr>
            </w:pPr>
            <w:r w:rsidRPr="002A5225">
              <w:t xml:space="preserve">catalytic effect of Union financial assistance on investment; </w:t>
            </w:r>
          </w:p>
          <w:p w14:paraId="2841EEBA" w14:textId="77777777" w:rsidR="002A5225" w:rsidRPr="002A5225" w:rsidRDefault="002A5225" w:rsidP="002A5225">
            <w:pPr>
              <w:pStyle w:val="Footer"/>
              <w:numPr>
                <w:ilvl w:val="3"/>
                <w:numId w:val="9"/>
              </w:numPr>
            </w:pPr>
            <w:r w:rsidRPr="002A5225">
              <w:t>need to overcome financial obstacles such as insufficient commercial viability or the lack of market finance;</w:t>
            </w:r>
          </w:p>
          <w:p w14:paraId="047016B0" w14:textId="77777777" w:rsidR="002A5225" w:rsidRPr="002A5225" w:rsidRDefault="002A5225" w:rsidP="002A5225">
            <w:pPr>
              <w:pStyle w:val="Footer"/>
              <w:numPr>
                <w:ilvl w:val="3"/>
                <w:numId w:val="9"/>
              </w:numPr>
            </w:pPr>
            <w:r w:rsidRPr="002A5225">
              <w:t>consistency with Union and national energy and climate plans.</w:t>
            </w:r>
          </w:p>
          <w:p w14:paraId="5B230B7E" w14:textId="77777777" w:rsidR="002A5225" w:rsidRDefault="002A5225" w:rsidP="00031ACD">
            <w:pPr>
              <w:pStyle w:val="Footer"/>
            </w:pPr>
          </w:p>
          <w:p w14:paraId="6A7CCB65" w14:textId="77777777" w:rsidR="002A5225" w:rsidRDefault="002A5225" w:rsidP="002A5225">
            <w:pPr>
              <w:pStyle w:val="Footer"/>
            </w:pPr>
          </w:p>
        </w:tc>
        <w:tc>
          <w:tcPr>
            <w:tcW w:w="5056" w:type="dxa"/>
          </w:tcPr>
          <w:p w14:paraId="5093CDBD" w14:textId="77777777" w:rsidR="002A5225" w:rsidRPr="002A5225" w:rsidRDefault="002A5225" w:rsidP="002A5225">
            <w:pPr>
              <w:pStyle w:val="Footer"/>
            </w:pPr>
            <w:r w:rsidRPr="002A5225">
              <w:t>1.</w:t>
            </w:r>
            <w:r w:rsidRPr="002A5225">
              <w:tab/>
              <w:t xml:space="preserve">The award criteria shall be defined in the work programmes referred to in Article 19 and in the calls for proposals </w:t>
            </w:r>
            <w:proofErr w:type="gramStart"/>
            <w:r w:rsidRPr="002A5225">
              <w:t>taking into account</w:t>
            </w:r>
            <w:proofErr w:type="gramEnd"/>
            <w:r w:rsidRPr="002A5225">
              <w:t xml:space="preserve">, to the extent applicable, the following elements: </w:t>
            </w:r>
          </w:p>
          <w:p w14:paraId="5148A2A7" w14:textId="77777777" w:rsidR="002A5225" w:rsidRPr="002A5225" w:rsidRDefault="002A5225" w:rsidP="002A5225">
            <w:pPr>
              <w:pStyle w:val="Footer"/>
              <w:numPr>
                <w:ilvl w:val="3"/>
                <w:numId w:val="13"/>
              </w:numPr>
            </w:pPr>
            <w:r w:rsidRPr="002A5225">
              <w:t xml:space="preserve">economic, social and environmental impact (benefits and costs); </w:t>
            </w:r>
          </w:p>
          <w:p w14:paraId="6A94B615" w14:textId="77777777" w:rsidR="002A5225" w:rsidRPr="002A5225" w:rsidRDefault="002A5225" w:rsidP="002A5225">
            <w:pPr>
              <w:pStyle w:val="Footer"/>
              <w:numPr>
                <w:ilvl w:val="3"/>
                <w:numId w:val="9"/>
              </w:numPr>
            </w:pPr>
            <w:r w:rsidRPr="002A5225">
              <w:t>innovation, safety, interoperability and accessibility aspects</w:t>
            </w:r>
            <w:r>
              <w:t xml:space="preserve"> </w:t>
            </w:r>
            <w:r w:rsidRPr="002A5225">
              <w:rPr>
                <w:b/>
              </w:rPr>
              <w:t>while</w:t>
            </w:r>
            <w:r>
              <w:t xml:space="preserve"> </w:t>
            </w:r>
            <w:r w:rsidRPr="002A5225">
              <w:rPr>
                <w:b/>
              </w:rPr>
              <w:t xml:space="preserve">paying particular attention to projects </w:t>
            </w:r>
            <w:r w:rsidR="00392D0F">
              <w:rPr>
                <w:b/>
              </w:rPr>
              <w:t xml:space="preserve">explicitly </w:t>
            </w:r>
            <w:r w:rsidRPr="002A5225">
              <w:rPr>
                <w:b/>
              </w:rPr>
              <w:t xml:space="preserve">supporting accessibility </w:t>
            </w:r>
            <w:r w:rsidR="003E4098" w:rsidRPr="0030679B">
              <w:rPr>
                <w:b/>
              </w:rPr>
              <w:t>to everyone including</w:t>
            </w:r>
            <w:r w:rsidRPr="002A5225">
              <w:rPr>
                <w:b/>
              </w:rPr>
              <w:t xml:space="preserve"> persons with </w:t>
            </w:r>
            <w:proofErr w:type="gramStart"/>
            <w:r w:rsidRPr="002A5225">
              <w:rPr>
                <w:b/>
              </w:rPr>
              <w:t>disabilities</w:t>
            </w:r>
            <w:r>
              <w:t xml:space="preserve"> </w:t>
            </w:r>
            <w:r w:rsidRPr="002A5225">
              <w:t>;</w:t>
            </w:r>
            <w:proofErr w:type="gramEnd"/>
          </w:p>
          <w:p w14:paraId="661A4687" w14:textId="77777777" w:rsidR="002A5225" w:rsidRPr="002A5225" w:rsidRDefault="002A5225" w:rsidP="002A5225">
            <w:pPr>
              <w:pStyle w:val="Footer"/>
              <w:numPr>
                <w:ilvl w:val="3"/>
                <w:numId w:val="9"/>
              </w:numPr>
            </w:pPr>
            <w:r w:rsidRPr="002A5225">
              <w:t>cross-border dimension;</w:t>
            </w:r>
          </w:p>
          <w:p w14:paraId="19108F66" w14:textId="77777777" w:rsidR="002A5225" w:rsidRPr="002A5225" w:rsidRDefault="002A5225" w:rsidP="002A5225">
            <w:pPr>
              <w:pStyle w:val="Footer"/>
              <w:numPr>
                <w:ilvl w:val="3"/>
                <w:numId w:val="9"/>
              </w:numPr>
            </w:pPr>
            <w:r w:rsidRPr="002A5225">
              <w:t>synergies between the transport, energy and digital sectors;</w:t>
            </w:r>
          </w:p>
          <w:p w14:paraId="2B59F42D" w14:textId="77777777" w:rsidR="002A5225" w:rsidRPr="002A5225" w:rsidRDefault="002A5225" w:rsidP="002A5225">
            <w:pPr>
              <w:pStyle w:val="Footer"/>
              <w:numPr>
                <w:ilvl w:val="3"/>
                <w:numId w:val="9"/>
              </w:numPr>
            </w:pPr>
            <w:r w:rsidRPr="002A5225">
              <w:t>maturity of the action in the project development;</w:t>
            </w:r>
          </w:p>
          <w:p w14:paraId="34F93E10" w14:textId="77777777" w:rsidR="002A5225" w:rsidRPr="002A5225" w:rsidRDefault="002A5225" w:rsidP="002A5225">
            <w:pPr>
              <w:pStyle w:val="Footer"/>
              <w:numPr>
                <w:ilvl w:val="3"/>
                <w:numId w:val="9"/>
              </w:numPr>
            </w:pPr>
            <w:r w:rsidRPr="002A5225">
              <w:t>soundness of the implementation plan proposed;</w:t>
            </w:r>
          </w:p>
          <w:p w14:paraId="58CEABE0" w14:textId="77777777" w:rsidR="002A5225" w:rsidRPr="002A5225" w:rsidRDefault="002A5225" w:rsidP="002A5225">
            <w:pPr>
              <w:pStyle w:val="Footer"/>
              <w:numPr>
                <w:ilvl w:val="3"/>
                <w:numId w:val="9"/>
              </w:numPr>
            </w:pPr>
            <w:r w:rsidRPr="002A5225">
              <w:t xml:space="preserve">catalytic effect of Union financial assistance on investment; </w:t>
            </w:r>
          </w:p>
          <w:p w14:paraId="0BA495D5" w14:textId="77777777" w:rsidR="002A5225" w:rsidRPr="002A5225" w:rsidRDefault="002A5225" w:rsidP="002A5225">
            <w:pPr>
              <w:pStyle w:val="Footer"/>
              <w:numPr>
                <w:ilvl w:val="3"/>
                <w:numId w:val="9"/>
              </w:numPr>
            </w:pPr>
            <w:r w:rsidRPr="002A5225">
              <w:t>need to overcome financial obstacles such as insufficient commercial viability or the lack of market finance;</w:t>
            </w:r>
          </w:p>
          <w:p w14:paraId="4414BD9B" w14:textId="77777777" w:rsidR="002A5225" w:rsidRDefault="002A5225" w:rsidP="002A5225">
            <w:pPr>
              <w:pStyle w:val="Footer"/>
              <w:numPr>
                <w:ilvl w:val="3"/>
                <w:numId w:val="9"/>
              </w:numPr>
            </w:pPr>
            <w:r w:rsidRPr="002A5225">
              <w:t>consistency with Union and national energy and climate plans.</w:t>
            </w:r>
          </w:p>
          <w:p w14:paraId="6ABACA1C" w14:textId="77777777" w:rsidR="002A5225" w:rsidRDefault="002A5225" w:rsidP="00031ACD">
            <w:pPr>
              <w:pStyle w:val="Footer"/>
            </w:pPr>
          </w:p>
          <w:p w14:paraId="1AE8761B" w14:textId="77777777" w:rsidR="00392D0F" w:rsidRPr="00392D0F" w:rsidRDefault="00392D0F" w:rsidP="00031ACD">
            <w:pPr>
              <w:pStyle w:val="Footer"/>
              <w:rPr>
                <w:b/>
              </w:rPr>
            </w:pPr>
            <w:r w:rsidRPr="00392D0F">
              <w:rPr>
                <w:b/>
              </w:rPr>
              <w:t>7. (new)</w:t>
            </w:r>
            <w:r>
              <w:rPr>
                <w:b/>
              </w:rPr>
              <w:t xml:space="preserve"> The assessment of proposals against the award criteria shall ensure that no proposal is accepted that creates or </w:t>
            </w:r>
            <w:r w:rsidRPr="0030679B">
              <w:rPr>
                <w:b/>
              </w:rPr>
              <w:t>maintains infrastructure</w:t>
            </w:r>
            <w:r w:rsidR="003E4098" w:rsidRPr="0030679B">
              <w:rPr>
                <w:b/>
              </w:rPr>
              <w:t xml:space="preserve"> </w:t>
            </w:r>
            <w:r w:rsidR="0030679B" w:rsidRPr="0030679B">
              <w:rPr>
                <w:b/>
              </w:rPr>
              <w:t>which is not accessible</w:t>
            </w:r>
            <w:r w:rsidR="003E4098" w:rsidRPr="0030679B">
              <w:rPr>
                <w:b/>
              </w:rPr>
              <w:t xml:space="preserve"> to everyone</w:t>
            </w:r>
            <w:r w:rsidR="0030679B" w:rsidRPr="0030679B">
              <w:rPr>
                <w:b/>
              </w:rPr>
              <w:t>,</w:t>
            </w:r>
            <w:r w:rsidR="003E4098" w:rsidRPr="0030679B">
              <w:rPr>
                <w:b/>
              </w:rPr>
              <w:t xml:space="preserve"> including persons with disabilities</w:t>
            </w:r>
            <w:r w:rsidRPr="0030679B">
              <w:rPr>
                <w:b/>
              </w:rPr>
              <w:t>.</w:t>
            </w:r>
            <w:r>
              <w:rPr>
                <w:b/>
              </w:rPr>
              <w:t xml:space="preserve"> </w:t>
            </w:r>
          </w:p>
          <w:p w14:paraId="6307ACCB" w14:textId="77777777" w:rsidR="002A5225" w:rsidRPr="00CD2FF3" w:rsidRDefault="002A5225" w:rsidP="002A5225">
            <w:pPr>
              <w:pStyle w:val="Footer"/>
              <w:rPr>
                <w:b/>
              </w:rPr>
            </w:pPr>
          </w:p>
        </w:tc>
      </w:tr>
      <w:tr w:rsidR="002A5225" w14:paraId="0B823BAE" w14:textId="77777777" w:rsidTr="00031ACD">
        <w:tc>
          <w:tcPr>
            <w:tcW w:w="10112" w:type="dxa"/>
            <w:gridSpan w:val="2"/>
          </w:tcPr>
          <w:p w14:paraId="27548F8F" w14:textId="77777777" w:rsidR="002A5225" w:rsidRDefault="002A5225" w:rsidP="00031ACD">
            <w:pPr>
              <w:pStyle w:val="Footer"/>
              <w:jc w:val="both"/>
            </w:pPr>
            <w:r>
              <w:t>Justification:</w:t>
            </w:r>
          </w:p>
          <w:p w14:paraId="72142FFF" w14:textId="77777777" w:rsidR="002A5225" w:rsidRDefault="004E3B9F" w:rsidP="002A5225">
            <w:pPr>
              <w:pStyle w:val="Footer"/>
              <w:jc w:val="both"/>
            </w:pPr>
            <w:r>
              <w:t xml:space="preserve">When mentioning “accessibility” in point 1 (b) it should be specified that accessibility for persons with disabilities is meant, not geographical accessibility. Furthermore, projects that actively promote and support accessibility shall be given preference in the assessment in order to properly implement, amongst others, Regulation 1315/2013 and Regulation 1300/2014. It is also crucial to add a new point 7 to prevent EU funding from creating new, inaccessible infrastructure. During the previous funding period it has for example occurred that a bridge was built that was not accessible for persons with disabilities – public money should be used to benefit the EU citizens and not to create new barriers! </w:t>
            </w:r>
          </w:p>
        </w:tc>
      </w:tr>
    </w:tbl>
    <w:p w14:paraId="1E38475F" w14:textId="77777777" w:rsidR="00B53082" w:rsidRDefault="00B53082" w:rsidP="0041231C"/>
    <w:p w14:paraId="7016D416" w14:textId="77777777" w:rsidR="004E3B9F" w:rsidRDefault="00E07C13" w:rsidP="004E3B9F">
      <w:pPr>
        <w:pStyle w:val="Heading2"/>
      </w:pPr>
      <w:r>
        <w:t>Annex – Part I – indicators</w:t>
      </w:r>
    </w:p>
    <w:p w14:paraId="36D34242" w14:textId="77777777" w:rsidR="004E3B9F" w:rsidRPr="00046E92" w:rsidRDefault="004E3B9F" w:rsidP="004E3B9F"/>
    <w:tbl>
      <w:tblPr>
        <w:tblStyle w:val="TableGrid"/>
        <w:tblW w:w="0" w:type="auto"/>
        <w:tblLook w:val="04A0" w:firstRow="1" w:lastRow="0" w:firstColumn="1" w:lastColumn="0" w:noHBand="0" w:noVBand="1"/>
      </w:tblPr>
      <w:tblGrid>
        <w:gridCol w:w="5044"/>
        <w:gridCol w:w="4918"/>
      </w:tblGrid>
      <w:tr w:rsidR="00E07C13" w14:paraId="78FF00C0" w14:textId="77777777" w:rsidTr="00031ACD">
        <w:tc>
          <w:tcPr>
            <w:tcW w:w="5056" w:type="dxa"/>
          </w:tcPr>
          <w:p w14:paraId="61A1B7F7" w14:textId="77777777" w:rsidR="004E3B9F" w:rsidRDefault="004E3B9F" w:rsidP="00031ACD">
            <w:pPr>
              <w:pStyle w:val="Footer"/>
              <w:jc w:val="both"/>
            </w:pPr>
            <w:r>
              <w:t>Commission proposal</w:t>
            </w:r>
          </w:p>
        </w:tc>
        <w:tc>
          <w:tcPr>
            <w:tcW w:w="5056" w:type="dxa"/>
          </w:tcPr>
          <w:p w14:paraId="141B5E58" w14:textId="77777777" w:rsidR="004E3B9F" w:rsidRDefault="004E3B9F" w:rsidP="00031ACD">
            <w:pPr>
              <w:pStyle w:val="Footer"/>
              <w:jc w:val="both"/>
            </w:pPr>
            <w:r>
              <w:t>EDF amendments</w:t>
            </w:r>
          </w:p>
        </w:tc>
      </w:tr>
      <w:tr w:rsidR="00E07C13" w14:paraId="19090522" w14:textId="77777777" w:rsidTr="00031ACD">
        <w:tc>
          <w:tcPr>
            <w:tcW w:w="5056" w:type="dxa"/>
          </w:tcPr>
          <w:p w14:paraId="69CCBB16" w14:textId="77777777" w:rsidR="00E07C13" w:rsidRDefault="00E07C13" w:rsidP="004E3B9F">
            <w:pPr>
              <w:pStyle w:val="Footer"/>
            </w:pPr>
            <w:r>
              <w:t>Indicators:</w:t>
            </w:r>
          </w:p>
          <w:p w14:paraId="6E322636" w14:textId="77777777" w:rsidR="004E3B9F" w:rsidRDefault="004E3B9F" w:rsidP="004E3B9F">
            <w:pPr>
              <w:pStyle w:val="Footer"/>
            </w:pPr>
            <w:r w:rsidRPr="002A5225">
              <w:tab/>
            </w:r>
          </w:p>
        </w:tc>
        <w:tc>
          <w:tcPr>
            <w:tcW w:w="5056" w:type="dxa"/>
          </w:tcPr>
          <w:p w14:paraId="14F0E30D" w14:textId="77777777" w:rsidR="004E3B9F" w:rsidRDefault="00E07C13" w:rsidP="004E3B9F">
            <w:pPr>
              <w:pStyle w:val="Footer"/>
              <w:rPr>
                <w:b/>
              </w:rPr>
            </w:pPr>
            <w:r>
              <w:rPr>
                <w:b/>
              </w:rPr>
              <w:t>Indicators:</w:t>
            </w:r>
          </w:p>
          <w:p w14:paraId="78431FE5" w14:textId="77777777" w:rsidR="00E07C13" w:rsidRDefault="00E07C13" w:rsidP="004E3B9F">
            <w:pPr>
              <w:pStyle w:val="Footer"/>
              <w:rPr>
                <w:b/>
              </w:rPr>
            </w:pPr>
          </w:p>
          <w:p w14:paraId="422B7A8B" w14:textId="77777777" w:rsidR="00E07C13" w:rsidRPr="00CD2FF3" w:rsidRDefault="00E07C13" w:rsidP="004E3B9F">
            <w:pPr>
              <w:pStyle w:val="Footer"/>
              <w:rPr>
                <w:b/>
              </w:rPr>
            </w:pPr>
            <w:r>
              <w:rPr>
                <w:b/>
              </w:rPr>
              <w:t>(new) Number of CEF actions contributing to transport accessibility for persons with disabilities</w:t>
            </w:r>
          </w:p>
        </w:tc>
      </w:tr>
      <w:tr w:rsidR="004E3B9F" w14:paraId="50F526B5" w14:textId="77777777" w:rsidTr="00031ACD">
        <w:tc>
          <w:tcPr>
            <w:tcW w:w="10112" w:type="dxa"/>
            <w:gridSpan w:val="2"/>
          </w:tcPr>
          <w:p w14:paraId="0A16ACA4" w14:textId="77777777" w:rsidR="004E3B9F" w:rsidRDefault="004E3B9F" w:rsidP="00031ACD">
            <w:pPr>
              <w:pStyle w:val="Footer"/>
              <w:jc w:val="both"/>
            </w:pPr>
            <w:r>
              <w:t>Justification:</w:t>
            </w:r>
          </w:p>
          <w:p w14:paraId="22E9C767" w14:textId="77777777" w:rsidR="004E3B9F" w:rsidRDefault="004E3B9F" w:rsidP="00031ACD">
            <w:pPr>
              <w:pStyle w:val="Footer"/>
              <w:jc w:val="both"/>
            </w:pPr>
          </w:p>
          <w:p w14:paraId="7D937A41" w14:textId="77777777" w:rsidR="00E07C13" w:rsidRDefault="00E07C13" w:rsidP="00031ACD">
            <w:pPr>
              <w:pStyle w:val="Footer"/>
              <w:jc w:val="both"/>
            </w:pPr>
            <w:r>
              <w:t xml:space="preserve">It is important to collect information about the implementation of the Programme because this has been neglected under the previous CEF. We have thus received anecdotal evidence of funding for inaccessible </w:t>
            </w:r>
            <w:proofErr w:type="gramStart"/>
            <w:r>
              <w:t>infrastructure</w:t>
            </w:r>
            <w:proofErr w:type="gramEnd"/>
            <w:r>
              <w:t xml:space="preserve"> but we were not able to verify this statistically because this information has not been collected. It would be important to do so also to document progress.</w:t>
            </w:r>
            <w:r w:rsidR="00401D6D">
              <w:t xml:space="preserve"> </w:t>
            </w:r>
            <w:r>
              <w:t xml:space="preserve">Therefore, EDF demands that accessibility is added to the list of key indicators. </w:t>
            </w:r>
          </w:p>
          <w:p w14:paraId="1DC60687" w14:textId="77777777" w:rsidR="00562792" w:rsidRDefault="00562792" w:rsidP="00031ACD">
            <w:pPr>
              <w:pStyle w:val="Footer"/>
              <w:jc w:val="both"/>
            </w:pPr>
          </w:p>
        </w:tc>
      </w:tr>
    </w:tbl>
    <w:p w14:paraId="67DADA66" w14:textId="77777777" w:rsidR="004E3B9F" w:rsidRDefault="004E3B9F" w:rsidP="004E3B9F"/>
    <w:p w14:paraId="51F9636E" w14:textId="77777777" w:rsidR="004E3B9F" w:rsidRDefault="004E3B9F" w:rsidP="0041231C"/>
    <w:p w14:paraId="67684DC6" w14:textId="77777777" w:rsidR="00B53082" w:rsidRDefault="00B53082" w:rsidP="00B53082">
      <w:pPr>
        <w:pStyle w:val="Heading1"/>
      </w:pPr>
      <w:bookmarkStart w:id="5" w:name="_Toc442200288"/>
      <w:bookmarkStart w:id="6" w:name="_Toc520472942"/>
      <w:bookmarkStart w:id="7" w:name="_Toc406768094"/>
      <w:r>
        <w:t>Related documents</w:t>
      </w:r>
      <w:bookmarkEnd w:id="5"/>
      <w:bookmarkEnd w:id="6"/>
    </w:p>
    <w:p w14:paraId="277C8477" w14:textId="77777777" w:rsidR="00B53082" w:rsidRPr="00B7298F" w:rsidRDefault="00B53082" w:rsidP="00B53082"/>
    <w:p w14:paraId="6EF29368" w14:textId="77777777" w:rsidR="002A2989" w:rsidRPr="00401D6D" w:rsidRDefault="005472B3" w:rsidP="007471D3">
      <w:pPr>
        <w:pStyle w:val="ListParagraph"/>
        <w:numPr>
          <w:ilvl w:val="0"/>
          <w:numId w:val="14"/>
        </w:numPr>
        <w:spacing w:line="276" w:lineRule="auto"/>
        <w:rPr>
          <w:rFonts w:cs="Arial"/>
        </w:rPr>
      </w:pPr>
      <w:hyperlink r:id="rId14" w:history="1">
        <w:r w:rsidR="00401D6D" w:rsidRPr="00401D6D">
          <w:rPr>
            <w:rStyle w:val="Hyperlink"/>
            <w:rFonts w:cs="Arial"/>
          </w:rPr>
          <w:t xml:space="preserve">EDF position paper on the proposal establishing the Connecting Europe Facility </w:t>
        </w:r>
        <w:proofErr w:type="gramStart"/>
        <w:r w:rsidR="00401D6D" w:rsidRPr="00401D6D">
          <w:rPr>
            <w:rStyle w:val="Hyperlink"/>
            <w:rFonts w:cs="Arial"/>
          </w:rPr>
          <w:t>COM(</w:t>
        </w:r>
        <w:proofErr w:type="gramEnd"/>
        <w:r w:rsidR="00401D6D" w:rsidRPr="00401D6D">
          <w:rPr>
            <w:rStyle w:val="Hyperlink"/>
            <w:rFonts w:cs="Arial"/>
          </w:rPr>
          <w:t>2011)665 and the proposal on Union guidelines for the development of the Trans-European Transport Network COM(2011)650  - May 2012</w:t>
        </w:r>
      </w:hyperlink>
      <w:bookmarkStart w:id="8" w:name="_Toc444075386"/>
      <w:bookmarkStart w:id="9" w:name="_Toc445184594"/>
      <w:bookmarkStart w:id="10" w:name="_Toc6724633"/>
      <w:bookmarkStart w:id="11" w:name="_Toc77131106"/>
      <w:bookmarkStart w:id="12" w:name="_Toc133309195"/>
      <w:bookmarkEnd w:id="7"/>
    </w:p>
    <w:p w14:paraId="6B0DF63D" w14:textId="77777777" w:rsidR="002A2989" w:rsidRDefault="002A2989" w:rsidP="007471D3"/>
    <w:p w14:paraId="11AC6CF0" w14:textId="77777777" w:rsidR="00F251D5" w:rsidRPr="002A2989" w:rsidRDefault="00F251D5" w:rsidP="007471D3"/>
    <w:p w14:paraId="1EDBE085" w14:textId="77777777" w:rsidR="00B53082" w:rsidRPr="00D15E63" w:rsidRDefault="00B53082" w:rsidP="00B53082">
      <w:pPr>
        <w:pStyle w:val="Heading1"/>
      </w:pPr>
      <w:bookmarkStart w:id="13" w:name="_Toc442200290"/>
      <w:bookmarkStart w:id="14" w:name="_Toc520472944"/>
      <w:r w:rsidRPr="00D15E63">
        <w:t>Contact person</w:t>
      </w:r>
      <w:r w:rsidR="0072465C">
        <w:t>s</w:t>
      </w:r>
      <w:r w:rsidRPr="00D15E63">
        <w:t xml:space="preserve"> at the EDF secretariat</w:t>
      </w:r>
      <w:bookmarkEnd w:id="8"/>
      <w:bookmarkEnd w:id="9"/>
      <w:bookmarkEnd w:id="10"/>
      <w:bookmarkEnd w:id="11"/>
      <w:bookmarkEnd w:id="12"/>
      <w:bookmarkEnd w:id="13"/>
      <w:bookmarkEnd w:id="14"/>
    </w:p>
    <w:p w14:paraId="74412408" w14:textId="77777777" w:rsidR="00D7792D" w:rsidRDefault="00D7792D" w:rsidP="00B53082">
      <w:pPr>
        <w:spacing w:line="276" w:lineRule="auto"/>
        <w:jc w:val="both"/>
        <w:rPr>
          <w:rFonts w:cs="Arial"/>
        </w:rPr>
      </w:pPr>
    </w:p>
    <w:p w14:paraId="02103F52" w14:textId="77777777" w:rsidR="00B53082" w:rsidRPr="009904DB" w:rsidRDefault="00B53082" w:rsidP="00B53082">
      <w:pPr>
        <w:spacing w:line="276" w:lineRule="auto"/>
        <w:jc w:val="both"/>
        <w:rPr>
          <w:rFonts w:cs="Arial"/>
        </w:rPr>
      </w:pPr>
      <w:r w:rsidRPr="009904DB">
        <w:rPr>
          <w:rFonts w:cs="Arial"/>
        </w:rPr>
        <w:t>Marie Denninghaus, Mobility and Transport Officer</w:t>
      </w:r>
    </w:p>
    <w:p w14:paraId="4459DC5E" w14:textId="77777777" w:rsidR="00B53082" w:rsidRPr="00014906" w:rsidRDefault="00B53082" w:rsidP="00B53082">
      <w:pPr>
        <w:spacing w:line="276" w:lineRule="auto"/>
        <w:jc w:val="both"/>
        <w:rPr>
          <w:rFonts w:cs="Arial"/>
          <w:color w:val="0000FF"/>
          <w:u w:val="single"/>
          <w:lang w:val="de-DE"/>
        </w:rPr>
      </w:pPr>
      <w:r w:rsidRPr="00014906">
        <w:rPr>
          <w:rFonts w:cs="Arial"/>
          <w:lang w:val="de-DE"/>
        </w:rPr>
        <w:t>Tel: +32 (0) 2 282 46 07, E</w:t>
      </w:r>
      <w:r w:rsidR="0072465C" w:rsidRPr="00014906">
        <w:rPr>
          <w:rFonts w:cs="Arial"/>
          <w:lang w:val="de-DE"/>
        </w:rPr>
        <w:t>-</w:t>
      </w:r>
      <w:r w:rsidRPr="00014906">
        <w:rPr>
          <w:rFonts w:cs="Arial"/>
          <w:lang w:val="de-DE"/>
        </w:rPr>
        <w:t xml:space="preserve">mail: </w:t>
      </w:r>
      <w:hyperlink r:id="rId15" w:history="1">
        <w:r w:rsidRPr="00014906">
          <w:rPr>
            <w:rFonts w:cs="Arial"/>
            <w:color w:val="0000FF"/>
            <w:u w:val="single"/>
            <w:lang w:val="de-DE"/>
          </w:rPr>
          <w:t>marie.denninghaus@edf-feph.org</w:t>
        </w:r>
      </w:hyperlink>
    </w:p>
    <w:p w14:paraId="4667E91A" w14:textId="77777777" w:rsidR="00FA2D95" w:rsidRPr="000334DE" w:rsidRDefault="00FA2D95" w:rsidP="00B53082">
      <w:pPr>
        <w:spacing w:line="276" w:lineRule="auto"/>
        <w:jc w:val="both"/>
        <w:rPr>
          <w:rFonts w:cs="Arial"/>
          <w:color w:val="0000FF"/>
          <w:u w:val="single"/>
          <w:lang w:val="de-DE"/>
        </w:rPr>
      </w:pPr>
    </w:p>
    <w:p w14:paraId="1B666AF5" w14:textId="77777777" w:rsidR="00B53082" w:rsidRPr="000334DE" w:rsidRDefault="00B53082" w:rsidP="00B53082">
      <w:pPr>
        <w:spacing w:line="276" w:lineRule="auto"/>
        <w:jc w:val="both"/>
        <w:rPr>
          <w:rFonts w:cs="Arial"/>
          <w:sz w:val="28"/>
          <w:szCs w:val="28"/>
          <w:lang w:val="de-DE"/>
        </w:rPr>
      </w:pPr>
    </w:p>
    <w:p w14:paraId="4321EAAE" w14:textId="77777777" w:rsidR="00B53082" w:rsidRDefault="00B53082" w:rsidP="00B53082">
      <w:pPr>
        <w:spacing w:line="276" w:lineRule="auto"/>
        <w:jc w:val="both"/>
        <w:rPr>
          <w:rFonts w:cs="Arial"/>
        </w:rPr>
      </w:pPr>
      <w:r w:rsidRPr="009904DB">
        <w:rPr>
          <w:rFonts w:cs="Arial"/>
        </w:rPr>
        <w:t xml:space="preserve">Should you have any problems in accessing the documentation, please contact the EDF Secretariat.  (Tel: +32 (0) 2 282 46 00, Email: </w:t>
      </w:r>
      <w:hyperlink r:id="rId16" w:history="1">
        <w:r w:rsidRPr="000B01FF">
          <w:rPr>
            <w:rFonts w:cs="Arial"/>
            <w:color w:val="0000FF"/>
            <w:u w:val="single"/>
          </w:rPr>
          <w:t>info@edf-feph.org</w:t>
        </w:r>
      </w:hyperlink>
      <w:r w:rsidRPr="009904DB">
        <w:rPr>
          <w:rFonts w:cs="Arial"/>
        </w:rPr>
        <w:t>).</w:t>
      </w:r>
    </w:p>
    <w:p w14:paraId="0734FF77" w14:textId="77777777" w:rsidR="00DC2DCD" w:rsidRPr="00DC2DCD" w:rsidRDefault="00DC2DCD" w:rsidP="00DC2DCD"/>
    <w:p w14:paraId="17391B13" w14:textId="77777777" w:rsidR="003C04D4" w:rsidRPr="00510BF6" w:rsidRDefault="00510BF6" w:rsidP="00510BF6">
      <w:pPr>
        <w:jc w:val="center"/>
      </w:pPr>
      <w:r>
        <w:rPr>
          <w:noProof/>
          <w:lang w:val="fr-BE" w:eastAsia="fr-BE"/>
        </w:rPr>
        <w:drawing>
          <wp:inline distT="0" distB="0" distL="0" distR="0" wp14:anchorId="53E7D283" wp14:editId="7F83D7B5">
            <wp:extent cx="1481959" cy="1308826"/>
            <wp:effectExtent l="0" t="0" r="4445" b="5715"/>
            <wp:docPr id="3" name="Picture 3" descr="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5000" cy="1311512"/>
                    </a:xfrm>
                    <a:prstGeom prst="rect">
                      <a:avLst/>
                    </a:prstGeom>
                  </pic:spPr>
                </pic:pic>
              </a:graphicData>
            </a:graphic>
          </wp:inline>
        </w:drawing>
      </w:r>
    </w:p>
    <w:sectPr w:rsidR="003C04D4" w:rsidRPr="00510BF6" w:rsidSect="003C04D4">
      <w:headerReference w:type="default" r:id="rId18"/>
      <w:footerReference w:type="default" r:id="rId19"/>
      <w:pgSz w:w="12240" w:h="15840"/>
      <w:pgMar w:top="1801" w:right="1134" w:bottom="1134" w:left="1134" w:header="720" w:footer="1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A00F5" w14:textId="77777777" w:rsidR="005472B3" w:rsidRDefault="005472B3" w:rsidP="00713123">
      <w:r>
        <w:separator/>
      </w:r>
    </w:p>
  </w:endnote>
  <w:endnote w:type="continuationSeparator" w:id="0">
    <w:p w14:paraId="0D3A1C8A" w14:textId="77777777" w:rsidR="005472B3" w:rsidRDefault="005472B3" w:rsidP="0071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27A57" w14:textId="77777777" w:rsidR="00D7792D" w:rsidRDefault="00D7792D">
    <w:pPr>
      <w:pStyle w:val="Footer"/>
      <w:jc w:val="center"/>
    </w:pPr>
  </w:p>
  <w:p w14:paraId="6CBC4EEB" w14:textId="77777777" w:rsidR="00D7792D" w:rsidRDefault="00D7792D">
    <w:pPr>
      <w:pStyle w:val="Footer"/>
      <w:jc w:val="center"/>
    </w:pPr>
  </w:p>
  <w:p w14:paraId="0F2C7C1E" w14:textId="77777777" w:rsidR="00D7792D" w:rsidRDefault="0030679B">
    <w:pPr>
      <w:pStyle w:val="Footer"/>
      <w:jc w:val="center"/>
    </w:pPr>
    <w:r>
      <w:rPr>
        <w:noProof/>
        <w:lang w:val="fr-BE" w:eastAsia="fr-BE"/>
      </w:rPr>
      <mc:AlternateContent>
        <mc:Choice Requires="wps">
          <w:drawing>
            <wp:anchor distT="0" distB="0" distL="114300" distR="114300" simplePos="0" relativeHeight="251659264" behindDoc="0" locked="0" layoutInCell="1" allowOverlap="1" wp14:anchorId="172C6E48" wp14:editId="1E8F7BBA">
              <wp:simplePos x="0" y="0"/>
              <wp:positionH relativeFrom="column">
                <wp:posOffset>-310515</wp:posOffset>
              </wp:positionH>
              <wp:positionV relativeFrom="paragraph">
                <wp:posOffset>36195</wp:posOffset>
              </wp:positionV>
              <wp:extent cx="6858000" cy="6000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3B5DB" w14:textId="77777777" w:rsidR="00D7792D" w:rsidRPr="007A60C9" w:rsidRDefault="00D7792D" w:rsidP="003C04D4">
                          <w:pPr>
                            <w:pStyle w:val="Footer"/>
                            <w:pBdr>
                              <w:left w:val="single" w:sz="2" w:space="31" w:color="000000"/>
                            </w:pBdr>
                            <w:tabs>
                              <w:tab w:val="left" w:pos="1701"/>
                              <w:tab w:val="left" w:pos="4395"/>
                              <w:tab w:val="center" w:pos="5310"/>
                              <w:tab w:val="left" w:pos="6930"/>
                              <w:tab w:val="left" w:pos="7650"/>
                              <w:tab w:val="right" w:pos="7740"/>
                            </w:tabs>
                            <w:ind w:left="-787"/>
                            <w:rPr>
                              <w:sz w:val="20"/>
                            </w:rPr>
                          </w:pPr>
                          <w:r w:rsidRPr="007A60C9">
                            <w:rPr>
                              <w:sz w:val="20"/>
                            </w:rPr>
                            <w:tab/>
                            <w:t xml:space="preserve">35 square de </w:t>
                          </w:r>
                          <w:proofErr w:type="spellStart"/>
                          <w:r w:rsidRPr="007A60C9">
                            <w:rPr>
                              <w:sz w:val="20"/>
                            </w:rPr>
                            <w:t>Meeûs</w:t>
                          </w:r>
                          <w:proofErr w:type="spellEnd"/>
                          <w:r w:rsidRPr="007A60C9">
                            <w:rPr>
                              <w:sz w:val="20"/>
                            </w:rPr>
                            <w:tab/>
                          </w:r>
                          <w:proofErr w:type="spellStart"/>
                          <w:r w:rsidRPr="007A60C9">
                            <w:rPr>
                              <w:b/>
                              <w:color w:val="007AB7"/>
                              <w:sz w:val="20"/>
                            </w:rPr>
                            <w:t>tel</w:t>
                          </w:r>
                          <w:proofErr w:type="spellEnd"/>
                          <w:r w:rsidRPr="007A60C9">
                            <w:rPr>
                              <w:sz w:val="20"/>
                            </w:rPr>
                            <w:t xml:space="preserve"> +32 2 282 46 00</w:t>
                          </w:r>
                          <w:r w:rsidRPr="007A60C9">
                            <w:rPr>
                              <w:sz w:val="20"/>
                            </w:rPr>
                            <w:tab/>
                          </w:r>
                          <w:hyperlink r:id="rId1" w:history="1">
                            <w:r w:rsidRPr="003C04D4">
                              <w:rPr>
                                <w:rStyle w:val="Hyperlink"/>
                                <w:color w:val="auto"/>
                                <w:sz w:val="20"/>
                              </w:rPr>
                              <w:t>info@edf-feph.og</w:t>
                            </w:r>
                          </w:hyperlink>
                        </w:p>
                        <w:p w14:paraId="2E344D9A" w14:textId="77777777" w:rsidR="00D7792D" w:rsidRPr="007A60C9" w:rsidRDefault="00D7792D" w:rsidP="00AD1A0C">
                          <w:pPr>
                            <w:pStyle w:val="Footer"/>
                            <w:tabs>
                              <w:tab w:val="left" w:pos="1701"/>
                              <w:tab w:val="left" w:pos="4395"/>
                              <w:tab w:val="center" w:pos="5310"/>
                              <w:tab w:val="left" w:pos="6930"/>
                              <w:tab w:val="left" w:pos="7650"/>
                              <w:tab w:val="right" w:pos="7740"/>
                            </w:tabs>
                            <w:rPr>
                              <w:b/>
                              <w:color w:val="FF0000"/>
                              <w:sz w:val="20"/>
                            </w:rPr>
                          </w:pPr>
                          <w:r w:rsidRPr="007A60C9">
                            <w:rPr>
                              <w:sz w:val="20"/>
                            </w:rPr>
                            <w:tab/>
                            <w:t>1000 Brussels - Belgium</w:t>
                          </w:r>
                          <w:r w:rsidRPr="007A60C9">
                            <w:rPr>
                              <w:sz w:val="20"/>
                            </w:rPr>
                            <w:tab/>
                          </w:r>
                          <w:r w:rsidRPr="007A60C9">
                            <w:rPr>
                              <w:b/>
                              <w:color w:val="007AB7"/>
                              <w:sz w:val="20"/>
                            </w:rPr>
                            <w:t>fax</w:t>
                          </w:r>
                          <w:r w:rsidRPr="007A60C9">
                            <w:rPr>
                              <w:sz w:val="20"/>
                            </w:rPr>
                            <w:t xml:space="preserve"> +32 2 282 46 09</w:t>
                          </w:r>
                          <w:r w:rsidRPr="007A60C9">
                            <w:rPr>
                              <w:sz w:val="20"/>
                            </w:rPr>
                            <w:tab/>
                          </w:r>
                          <w:hyperlink r:id="rId2" w:history="1">
                            <w:r w:rsidRPr="00046E92">
                              <w:rPr>
                                <w:rStyle w:val="Hyperlink"/>
                                <w:color w:val="auto"/>
                                <w:sz w:val="20"/>
                              </w:rPr>
                              <w:t>www.edf-feph.org</w:t>
                            </w:r>
                          </w:hyperlink>
                        </w:p>
                        <w:p w14:paraId="2791EBE2" w14:textId="77777777" w:rsidR="00D7792D" w:rsidRDefault="00D7792D" w:rsidP="00AD1A0C">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24.45pt;margin-top:2.85pt;width:540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gtA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" filled="f" stroked="f">
              <v:textbox>
                <w:txbxContent>
                  <w:p w:rsidR="00D7792D" w:rsidRPr="007A60C9" w:rsidRDefault="00D7792D" w:rsidP="003C04D4">
                    <w:pPr>
                      <w:pStyle w:val="Footer"/>
                      <w:pBdr>
                        <w:left w:val="single" w:sz="2" w:space="31" w:color="000000"/>
                      </w:pBdr>
                      <w:tabs>
                        <w:tab w:val="left" w:pos="1701"/>
                        <w:tab w:val="left" w:pos="4395"/>
                        <w:tab w:val="center" w:pos="5310"/>
                        <w:tab w:val="left" w:pos="6930"/>
                        <w:tab w:val="left" w:pos="7650"/>
                        <w:tab w:val="right" w:pos="7740"/>
                      </w:tabs>
                      <w:ind w:left="-787"/>
                      <w:rPr>
                        <w:sz w:val="20"/>
                      </w:rPr>
                    </w:pPr>
                    <w:r w:rsidRPr="007A60C9">
                      <w:rPr>
                        <w:sz w:val="20"/>
                      </w:rPr>
                      <w:tab/>
                      <w:t>35 square de Meeûs</w:t>
                    </w:r>
                    <w:r w:rsidRPr="007A60C9">
                      <w:rPr>
                        <w:sz w:val="20"/>
                      </w:rPr>
                      <w:tab/>
                    </w:r>
                    <w:r w:rsidRPr="007A60C9">
                      <w:rPr>
                        <w:b/>
                        <w:color w:val="007AB7"/>
                        <w:sz w:val="20"/>
                      </w:rPr>
                      <w:t>tel</w:t>
                    </w:r>
                    <w:r w:rsidRPr="007A60C9">
                      <w:rPr>
                        <w:sz w:val="20"/>
                      </w:rPr>
                      <w:t xml:space="preserve"> +32 2 282 46 00</w:t>
                    </w:r>
                    <w:r w:rsidRPr="007A60C9">
                      <w:rPr>
                        <w:sz w:val="20"/>
                      </w:rPr>
                      <w:tab/>
                    </w:r>
                    <w:hyperlink r:id="rId3" w:history="1">
                      <w:r w:rsidRPr="003C04D4">
                        <w:rPr>
                          <w:rStyle w:val="Hyperlink"/>
                          <w:color w:val="auto"/>
                          <w:sz w:val="20"/>
                        </w:rPr>
                        <w:t>info@edf-feph.og</w:t>
                      </w:r>
                    </w:hyperlink>
                  </w:p>
                  <w:p w:rsidR="00D7792D" w:rsidRPr="007A60C9" w:rsidRDefault="00D7792D" w:rsidP="00AD1A0C">
                    <w:pPr>
                      <w:pStyle w:val="Footer"/>
                      <w:tabs>
                        <w:tab w:val="left" w:pos="1701"/>
                        <w:tab w:val="left" w:pos="4395"/>
                        <w:tab w:val="center" w:pos="5310"/>
                        <w:tab w:val="left" w:pos="6930"/>
                        <w:tab w:val="left" w:pos="7650"/>
                        <w:tab w:val="right" w:pos="7740"/>
                      </w:tabs>
                      <w:rPr>
                        <w:b/>
                        <w:color w:val="FF0000"/>
                        <w:sz w:val="20"/>
                      </w:rPr>
                    </w:pPr>
                    <w:r w:rsidRPr="007A60C9">
                      <w:rPr>
                        <w:sz w:val="20"/>
                      </w:rPr>
                      <w:tab/>
                      <w:t>1000 Brussels - Belgium</w:t>
                    </w:r>
                    <w:r w:rsidRPr="007A60C9">
                      <w:rPr>
                        <w:sz w:val="20"/>
                      </w:rPr>
                      <w:tab/>
                    </w:r>
                    <w:r w:rsidRPr="007A60C9">
                      <w:rPr>
                        <w:b/>
                        <w:color w:val="007AB7"/>
                        <w:sz w:val="20"/>
                      </w:rPr>
                      <w:t>fax</w:t>
                    </w:r>
                    <w:r w:rsidRPr="007A60C9">
                      <w:rPr>
                        <w:sz w:val="20"/>
                      </w:rPr>
                      <w:t xml:space="preserve"> +32 2 282 46 09</w:t>
                    </w:r>
                    <w:r w:rsidRPr="007A60C9">
                      <w:rPr>
                        <w:sz w:val="20"/>
                      </w:rPr>
                      <w:tab/>
                    </w:r>
                    <w:hyperlink r:id="rId4" w:history="1">
                      <w:r w:rsidRPr="00046E92">
                        <w:rPr>
                          <w:rStyle w:val="Hyperlink"/>
                          <w:color w:val="auto"/>
                          <w:sz w:val="20"/>
                        </w:rPr>
                        <w:t>www.edf-feph.org</w:t>
                      </w:r>
                    </w:hyperlink>
                  </w:p>
                  <w:p w:rsidR="00D7792D" w:rsidRDefault="00D7792D" w:rsidP="00AD1A0C">
                    <w:pPr>
                      <w:tabs>
                        <w:tab w:val="left" w:pos="1440"/>
                        <w:tab w:val="left" w:pos="2160"/>
                        <w:tab w:val="left" w:pos="3960"/>
                        <w:tab w:val="center" w:pos="5310"/>
                        <w:tab w:val="left" w:pos="6750"/>
                      </w:tabs>
                    </w:pPr>
                  </w:p>
                </w:txbxContent>
              </v:textbox>
            </v:shape>
          </w:pict>
        </mc:Fallback>
      </mc:AlternateContent>
    </w:r>
  </w:p>
  <w:p w14:paraId="38A2505C" w14:textId="77777777" w:rsidR="00D7792D" w:rsidRDefault="00D7792D">
    <w:pPr>
      <w:pStyle w:val="Footer"/>
      <w:jc w:val="center"/>
    </w:pPr>
  </w:p>
  <w:p w14:paraId="45F19B82" w14:textId="77777777" w:rsidR="00D7792D" w:rsidRDefault="00D7792D">
    <w:pPr>
      <w:pStyle w:val="Footer"/>
      <w:jc w:val="center"/>
    </w:pPr>
  </w:p>
  <w:p w14:paraId="60E7AC02" w14:textId="77777777" w:rsidR="00D7792D" w:rsidRDefault="00B07EFB">
    <w:pPr>
      <w:pStyle w:val="Footer"/>
      <w:jc w:val="center"/>
    </w:pPr>
    <w:r>
      <w:fldChar w:fldCharType="begin"/>
    </w:r>
    <w:r w:rsidR="00D7792D">
      <w:instrText xml:space="preserve"> PAGE   \* MERGEFORMAT </w:instrText>
    </w:r>
    <w:r>
      <w:fldChar w:fldCharType="separate"/>
    </w:r>
    <w:r w:rsidR="0030679B">
      <w:rPr>
        <w:noProof/>
      </w:rPr>
      <w:t>7</w:t>
    </w:r>
    <w:r>
      <w:rPr>
        <w:noProof/>
      </w:rPr>
      <w:fldChar w:fldCharType="end"/>
    </w:r>
  </w:p>
  <w:p w14:paraId="32BEA424" w14:textId="77777777" w:rsidR="00D7792D" w:rsidRDefault="00D77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A932" w14:textId="77777777" w:rsidR="005472B3" w:rsidRDefault="005472B3" w:rsidP="00713123">
      <w:r>
        <w:separator/>
      </w:r>
    </w:p>
  </w:footnote>
  <w:footnote w:type="continuationSeparator" w:id="0">
    <w:p w14:paraId="7D65E86C" w14:textId="77777777" w:rsidR="005472B3" w:rsidRDefault="005472B3" w:rsidP="0071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0989" w14:textId="77777777" w:rsidR="00D7792D" w:rsidRDefault="00D7792D">
    <w:pPr>
      <w:pStyle w:val="Header"/>
    </w:pPr>
    <w:r>
      <w:rPr>
        <w:noProof/>
        <w:lang w:val="fr-BE" w:eastAsia="fr-BE"/>
      </w:rPr>
      <w:drawing>
        <wp:anchor distT="0" distB="0" distL="114300" distR="114300" simplePos="0" relativeHeight="251658240" behindDoc="0" locked="0" layoutInCell="1" allowOverlap="1" wp14:anchorId="51AD44B1" wp14:editId="7F3108D2">
          <wp:simplePos x="0" y="0"/>
          <wp:positionH relativeFrom="column">
            <wp:posOffset>-716280</wp:posOffset>
          </wp:positionH>
          <wp:positionV relativeFrom="paragraph">
            <wp:posOffset>-114935</wp:posOffset>
          </wp:positionV>
          <wp:extent cx="7658100" cy="1081405"/>
          <wp:effectExtent l="0" t="0" r="0" b="4445"/>
          <wp:wrapNone/>
          <wp:docPr id="6"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0B8"/>
    <w:multiLevelType w:val="hybridMultilevel"/>
    <w:tmpl w:val="37B8F8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9B12AE8"/>
    <w:multiLevelType w:val="hybridMultilevel"/>
    <w:tmpl w:val="68CC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0474842"/>
    <w:multiLevelType w:val="hybridMultilevel"/>
    <w:tmpl w:val="DF0444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46131AE"/>
    <w:multiLevelType w:val="hybridMultilevel"/>
    <w:tmpl w:val="9FF29A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E347F65"/>
    <w:multiLevelType w:val="hybridMultilevel"/>
    <w:tmpl w:val="B2CE0174"/>
    <w:lvl w:ilvl="0" w:tplc="1F241AE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73707"/>
    <w:multiLevelType w:val="hybridMultilevel"/>
    <w:tmpl w:val="7C649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62C0E9E"/>
    <w:multiLevelType w:val="hybridMultilevel"/>
    <w:tmpl w:val="DEF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A780D"/>
    <w:multiLevelType w:val="hybridMultilevel"/>
    <w:tmpl w:val="BAE8FE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6CD00DA"/>
    <w:multiLevelType w:val="hybridMultilevel"/>
    <w:tmpl w:val="456EEABE"/>
    <w:lvl w:ilvl="0" w:tplc="4642B8A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12501"/>
    <w:multiLevelType w:val="hybridMultilevel"/>
    <w:tmpl w:val="FA48364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B306234"/>
    <w:multiLevelType w:val="hybridMultilevel"/>
    <w:tmpl w:val="84B248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7"/>
  </w:num>
  <w:num w:numId="5">
    <w:abstractNumId w:val="3"/>
  </w:num>
  <w:num w:numId="6">
    <w:abstractNumId w:val="9"/>
  </w:num>
  <w:num w:numId="7">
    <w:abstractNumId w:val="11"/>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A3"/>
    <w:rsid w:val="000013A6"/>
    <w:rsid w:val="0000376A"/>
    <w:rsid w:val="00012058"/>
    <w:rsid w:val="00014906"/>
    <w:rsid w:val="00024E66"/>
    <w:rsid w:val="000334DE"/>
    <w:rsid w:val="00035C53"/>
    <w:rsid w:val="000449D9"/>
    <w:rsid w:val="00046E92"/>
    <w:rsid w:val="00046EF6"/>
    <w:rsid w:val="00057688"/>
    <w:rsid w:val="000703C2"/>
    <w:rsid w:val="00071B60"/>
    <w:rsid w:val="00077F61"/>
    <w:rsid w:val="0008383E"/>
    <w:rsid w:val="000904BC"/>
    <w:rsid w:val="00090798"/>
    <w:rsid w:val="00097DF0"/>
    <w:rsid w:val="000A2A45"/>
    <w:rsid w:val="000A3286"/>
    <w:rsid w:val="000A420C"/>
    <w:rsid w:val="000A43CD"/>
    <w:rsid w:val="000B7079"/>
    <w:rsid w:val="000C45E7"/>
    <w:rsid w:val="000D1DD3"/>
    <w:rsid w:val="000E1F67"/>
    <w:rsid w:val="000F127C"/>
    <w:rsid w:val="000F4AB9"/>
    <w:rsid w:val="00102DD2"/>
    <w:rsid w:val="0010365A"/>
    <w:rsid w:val="0010443E"/>
    <w:rsid w:val="00107AB2"/>
    <w:rsid w:val="001104DF"/>
    <w:rsid w:val="00112C78"/>
    <w:rsid w:val="00114151"/>
    <w:rsid w:val="00115C82"/>
    <w:rsid w:val="0012516D"/>
    <w:rsid w:val="00127997"/>
    <w:rsid w:val="001279C5"/>
    <w:rsid w:val="00131F3F"/>
    <w:rsid w:val="00133420"/>
    <w:rsid w:val="001336BF"/>
    <w:rsid w:val="00144A47"/>
    <w:rsid w:val="00146723"/>
    <w:rsid w:val="0015035E"/>
    <w:rsid w:val="00151D7F"/>
    <w:rsid w:val="00151FBA"/>
    <w:rsid w:val="001527F3"/>
    <w:rsid w:val="001559E9"/>
    <w:rsid w:val="00156CE4"/>
    <w:rsid w:val="00162B87"/>
    <w:rsid w:val="0017220B"/>
    <w:rsid w:val="00174153"/>
    <w:rsid w:val="001756D7"/>
    <w:rsid w:val="001774A5"/>
    <w:rsid w:val="0018468C"/>
    <w:rsid w:val="0018598A"/>
    <w:rsid w:val="00191413"/>
    <w:rsid w:val="001A05FE"/>
    <w:rsid w:val="001A1E05"/>
    <w:rsid w:val="001A661F"/>
    <w:rsid w:val="001A7B89"/>
    <w:rsid w:val="001B3BC7"/>
    <w:rsid w:val="001B4348"/>
    <w:rsid w:val="001B5945"/>
    <w:rsid w:val="001C2229"/>
    <w:rsid w:val="001C43AD"/>
    <w:rsid w:val="001D3EA2"/>
    <w:rsid w:val="001D6302"/>
    <w:rsid w:val="001D7842"/>
    <w:rsid w:val="001E02FA"/>
    <w:rsid w:val="001E1B55"/>
    <w:rsid w:val="001E4079"/>
    <w:rsid w:val="001F21B2"/>
    <w:rsid w:val="00204084"/>
    <w:rsid w:val="00206A59"/>
    <w:rsid w:val="0021008D"/>
    <w:rsid w:val="0022169C"/>
    <w:rsid w:val="00221B1E"/>
    <w:rsid w:val="00222B10"/>
    <w:rsid w:val="00225C5D"/>
    <w:rsid w:val="00230FEE"/>
    <w:rsid w:val="0023691F"/>
    <w:rsid w:val="002451C7"/>
    <w:rsid w:val="002469BE"/>
    <w:rsid w:val="002519FB"/>
    <w:rsid w:val="00252E81"/>
    <w:rsid w:val="00254AE9"/>
    <w:rsid w:val="00262F8C"/>
    <w:rsid w:val="002710C1"/>
    <w:rsid w:val="002872CA"/>
    <w:rsid w:val="00291F95"/>
    <w:rsid w:val="002946CA"/>
    <w:rsid w:val="002A2989"/>
    <w:rsid w:val="002A432F"/>
    <w:rsid w:val="002A5225"/>
    <w:rsid w:val="002A6F34"/>
    <w:rsid w:val="002B10D1"/>
    <w:rsid w:val="002B6F71"/>
    <w:rsid w:val="002C0635"/>
    <w:rsid w:val="002C1562"/>
    <w:rsid w:val="002C7839"/>
    <w:rsid w:val="002D1F1F"/>
    <w:rsid w:val="002D4B48"/>
    <w:rsid w:val="002D51ED"/>
    <w:rsid w:val="002D6A04"/>
    <w:rsid w:val="002E18E1"/>
    <w:rsid w:val="002E7E35"/>
    <w:rsid w:val="002F378C"/>
    <w:rsid w:val="002F4304"/>
    <w:rsid w:val="003015B5"/>
    <w:rsid w:val="0030679B"/>
    <w:rsid w:val="00307440"/>
    <w:rsid w:val="00313D8F"/>
    <w:rsid w:val="003164A3"/>
    <w:rsid w:val="00322EA5"/>
    <w:rsid w:val="003267E9"/>
    <w:rsid w:val="00326DCC"/>
    <w:rsid w:val="003353C6"/>
    <w:rsid w:val="00336D01"/>
    <w:rsid w:val="00360F73"/>
    <w:rsid w:val="003652B0"/>
    <w:rsid w:val="00372578"/>
    <w:rsid w:val="003747D9"/>
    <w:rsid w:val="00377D66"/>
    <w:rsid w:val="003823FE"/>
    <w:rsid w:val="0038443A"/>
    <w:rsid w:val="0038600B"/>
    <w:rsid w:val="00392CAD"/>
    <w:rsid w:val="00392D0F"/>
    <w:rsid w:val="00393AEE"/>
    <w:rsid w:val="003A0208"/>
    <w:rsid w:val="003A0912"/>
    <w:rsid w:val="003A23BF"/>
    <w:rsid w:val="003A5A11"/>
    <w:rsid w:val="003B6E3F"/>
    <w:rsid w:val="003C04D4"/>
    <w:rsid w:val="003C25A8"/>
    <w:rsid w:val="003D1B14"/>
    <w:rsid w:val="003E4098"/>
    <w:rsid w:val="003F2B4C"/>
    <w:rsid w:val="00400EB6"/>
    <w:rsid w:val="0040137A"/>
    <w:rsid w:val="00401D6D"/>
    <w:rsid w:val="00403150"/>
    <w:rsid w:val="00405764"/>
    <w:rsid w:val="00405F3D"/>
    <w:rsid w:val="0041231C"/>
    <w:rsid w:val="004150C9"/>
    <w:rsid w:val="00417C41"/>
    <w:rsid w:val="0042014B"/>
    <w:rsid w:val="00421D83"/>
    <w:rsid w:val="00431AE5"/>
    <w:rsid w:val="00437B0B"/>
    <w:rsid w:val="004407D9"/>
    <w:rsid w:val="004439D1"/>
    <w:rsid w:val="00447D8C"/>
    <w:rsid w:val="00450AD2"/>
    <w:rsid w:val="00453587"/>
    <w:rsid w:val="004573B0"/>
    <w:rsid w:val="00462109"/>
    <w:rsid w:val="00466664"/>
    <w:rsid w:val="004747F0"/>
    <w:rsid w:val="0048107F"/>
    <w:rsid w:val="004878BC"/>
    <w:rsid w:val="00493E5A"/>
    <w:rsid w:val="004A0D0F"/>
    <w:rsid w:val="004A500C"/>
    <w:rsid w:val="004C1593"/>
    <w:rsid w:val="004C1825"/>
    <w:rsid w:val="004C3053"/>
    <w:rsid w:val="004D04CA"/>
    <w:rsid w:val="004D2449"/>
    <w:rsid w:val="004D571B"/>
    <w:rsid w:val="004E37C8"/>
    <w:rsid w:val="004E3B9F"/>
    <w:rsid w:val="004E43A6"/>
    <w:rsid w:val="004E545A"/>
    <w:rsid w:val="005003FD"/>
    <w:rsid w:val="0050069C"/>
    <w:rsid w:val="00505DA1"/>
    <w:rsid w:val="005066EF"/>
    <w:rsid w:val="0050711F"/>
    <w:rsid w:val="00510BF6"/>
    <w:rsid w:val="00511B0F"/>
    <w:rsid w:val="00517718"/>
    <w:rsid w:val="0052485A"/>
    <w:rsid w:val="00525103"/>
    <w:rsid w:val="005251C9"/>
    <w:rsid w:val="00530738"/>
    <w:rsid w:val="005308C4"/>
    <w:rsid w:val="00531391"/>
    <w:rsid w:val="00545660"/>
    <w:rsid w:val="00546C7B"/>
    <w:rsid w:val="005472B3"/>
    <w:rsid w:val="005529B1"/>
    <w:rsid w:val="00562792"/>
    <w:rsid w:val="00566909"/>
    <w:rsid w:val="00570E6C"/>
    <w:rsid w:val="005727E5"/>
    <w:rsid w:val="00574838"/>
    <w:rsid w:val="00584E9B"/>
    <w:rsid w:val="0059322B"/>
    <w:rsid w:val="00593E79"/>
    <w:rsid w:val="005A73FA"/>
    <w:rsid w:val="005B0A77"/>
    <w:rsid w:val="005B466D"/>
    <w:rsid w:val="005B7CBF"/>
    <w:rsid w:val="005C4A88"/>
    <w:rsid w:val="005C5AAF"/>
    <w:rsid w:val="005D68E9"/>
    <w:rsid w:val="005E1D4B"/>
    <w:rsid w:val="005E325E"/>
    <w:rsid w:val="00603E63"/>
    <w:rsid w:val="00603F95"/>
    <w:rsid w:val="006055B8"/>
    <w:rsid w:val="00614254"/>
    <w:rsid w:val="006155C4"/>
    <w:rsid w:val="00621305"/>
    <w:rsid w:val="006224BE"/>
    <w:rsid w:val="006224C2"/>
    <w:rsid w:val="0065555C"/>
    <w:rsid w:val="0065702A"/>
    <w:rsid w:val="00657554"/>
    <w:rsid w:val="00660404"/>
    <w:rsid w:val="00673C82"/>
    <w:rsid w:val="00677A98"/>
    <w:rsid w:val="0068542D"/>
    <w:rsid w:val="0068783D"/>
    <w:rsid w:val="00697CEB"/>
    <w:rsid w:val="006A58F8"/>
    <w:rsid w:val="006A5D49"/>
    <w:rsid w:val="006C08FE"/>
    <w:rsid w:val="006C1386"/>
    <w:rsid w:val="006C358E"/>
    <w:rsid w:val="006C527A"/>
    <w:rsid w:val="006C7FF9"/>
    <w:rsid w:val="006E4C04"/>
    <w:rsid w:val="006E5153"/>
    <w:rsid w:val="006F2D76"/>
    <w:rsid w:val="006F7334"/>
    <w:rsid w:val="00700268"/>
    <w:rsid w:val="00703943"/>
    <w:rsid w:val="00705D15"/>
    <w:rsid w:val="00711F74"/>
    <w:rsid w:val="00713123"/>
    <w:rsid w:val="007131A2"/>
    <w:rsid w:val="00720F58"/>
    <w:rsid w:val="00721C13"/>
    <w:rsid w:val="00722E65"/>
    <w:rsid w:val="0072465C"/>
    <w:rsid w:val="00725DA9"/>
    <w:rsid w:val="00730438"/>
    <w:rsid w:val="00730AFC"/>
    <w:rsid w:val="00732F53"/>
    <w:rsid w:val="00735459"/>
    <w:rsid w:val="00737DDB"/>
    <w:rsid w:val="00744C46"/>
    <w:rsid w:val="00745963"/>
    <w:rsid w:val="00746502"/>
    <w:rsid w:val="007471D3"/>
    <w:rsid w:val="00750D12"/>
    <w:rsid w:val="00750F3D"/>
    <w:rsid w:val="007529BE"/>
    <w:rsid w:val="00761858"/>
    <w:rsid w:val="0078457A"/>
    <w:rsid w:val="0079041F"/>
    <w:rsid w:val="007929B4"/>
    <w:rsid w:val="007A14BC"/>
    <w:rsid w:val="007A16F1"/>
    <w:rsid w:val="007A507B"/>
    <w:rsid w:val="007B01A9"/>
    <w:rsid w:val="007C16AF"/>
    <w:rsid w:val="007D0759"/>
    <w:rsid w:val="007D0A98"/>
    <w:rsid w:val="007D0B97"/>
    <w:rsid w:val="007D4C09"/>
    <w:rsid w:val="007E3BB5"/>
    <w:rsid w:val="00801753"/>
    <w:rsid w:val="00826436"/>
    <w:rsid w:val="00826511"/>
    <w:rsid w:val="00830CCE"/>
    <w:rsid w:val="0083652B"/>
    <w:rsid w:val="008367C0"/>
    <w:rsid w:val="00836D87"/>
    <w:rsid w:val="00847FD3"/>
    <w:rsid w:val="0085561F"/>
    <w:rsid w:val="00855824"/>
    <w:rsid w:val="00857578"/>
    <w:rsid w:val="0086065A"/>
    <w:rsid w:val="00867A53"/>
    <w:rsid w:val="00870025"/>
    <w:rsid w:val="00872C49"/>
    <w:rsid w:val="00883D21"/>
    <w:rsid w:val="0088561E"/>
    <w:rsid w:val="00887636"/>
    <w:rsid w:val="00887E6C"/>
    <w:rsid w:val="008A7A97"/>
    <w:rsid w:val="008B7AE1"/>
    <w:rsid w:val="008C11C7"/>
    <w:rsid w:val="008D13B0"/>
    <w:rsid w:val="008D329F"/>
    <w:rsid w:val="008D3B33"/>
    <w:rsid w:val="008D5A01"/>
    <w:rsid w:val="008E1F16"/>
    <w:rsid w:val="008E3764"/>
    <w:rsid w:val="008F59A1"/>
    <w:rsid w:val="008F652B"/>
    <w:rsid w:val="008F7F6D"/>
    <w:rsid w:val="00910BF8"/>
    <w:rsid w:val="0091555F"/>
    <w:rsid w:val="00916844"/>
    <w:rsid w:val="00923896"/>
    <w:rsid w:val="00933747"/>
    <w:rsid w:val="0093622D"/>
    <w:rsid w:val="0094184F"/>
    <w:rsid w:val="0095281F"/>
    <w:rsid w:val="009537D7"/>
    <w:rsid w:val="00954A21"/>
    <w:rsid w:val="00956C9B"/>
    <w:rsid w:val="009579DD"/>
    <w:rsid w:val="009624E4"/>
    <w:rsid w:val="00964CBC"/>
    <w:rsid w:val="009710B6"/>
    <w:rsid w:val="0097692A"/>
    <w:rsid w:val="00985F27"/>
    <w:rsid w:val="00986151"/>
    <w:rsid w:val="00991644"/>
    <w:rsid w:val="00993EC3"/>
    <w:rsid w:val="00994B76"/>
    <w:rsid w:val="009A0CEE"/>
    <w:rsid w:val="009A1B94"/>
    <w:rsid w:val="009B151F"/>
    <w:rsid w:val="009B5EAC"/>
    <w:rsid w:val="009C0EC4"/>
    <w:rsid w:val="009C29A9"/>
    <w:rsid w:val="009D3708"/>
    <w:rsid w:val="009D4E33"/>
    <w:rsid w:val="009D7499"/>
    <w:rsid w:val="009E1D78"/>
    <w:rsid w:val="009E27D3"/>
    <w:rsid w:val="009F1153"/>
    <w:rsid w:val="009F466A"/>
    <w:rsid w:val="00A052EA"/>
    <w:rsid w:val="00A156C6"/>
    <w:rsid w:val="00A17E4D"/>
    <w:rsid w:val="00A25B36"/>
    <w:rsid w:val="00A267B0"/>
    <w:rsid w:val="00A320FF"/>
    <w:rsid w:val="00A35347"/>
    <w:rsid w:val="00A3654C"/>
    <w:rsid w:val="00A37685"/>
    <w:rsid w:val="00A55A79"/>
    <w:rsid w:val="00A633BB"/>
    <w:rsid w:val="00A64E83"/>
    <w:rsid w:val="00A659CC"/>
    <w:rsid w:val="00A65BF2"/>
    <w:rsid w:val="00A740EE"/>
    <w:rsid w:val="00A74C76"/>
    <w:rsid w:val="00A76426"/>
    <w:rsid w:val="00A8378B"/>
    <w:rsid w:val="00A90AAD"/>
    <w:rsid w:val="00A9452E"/>
    <w:rsid w:val="00AA0E02"/>
    <w:rsid w:val="00AA1856"/>
    <w:rsid w:val="00AB745F"/>
    <w:rsid w:val="00AC2401"/>
    <w:rsid w:val="00AD0811"/>
    <w:rsid w:val="00AD1A0C"/>
    <w:rsid w:val="00AD44C8"/>
    <w:rsid w:val="00AE31F1"/>
    <w:rsid w:val="00AE37EB"/>
    <w:rsid w:val="00AE7AAD"/>
    <w:rsid w:val="00AF1204"/>
    <w:rsid w:val="00AF38EC"/>
    <w:rsid w:val="00AF5CBF"/>
    <w:rsid w:val="00B0224D"/>
    <w:rsid w:val="00B0497F"/>
    <w:rsid w:val="00B04D70"/>
    <w:rsid w:val="00B07EFB"/>
    <w:rsid w:val="00B11E57"/>
    <w:rsid w:val="00B13032"/>
    <w:rsid w:val="00B15180"/>
    <w:rsid w:val="00B22453"/>
    <w:rsid w:val="00B3448E"/>
    <w:rsid w:val="00B53082"/>
    <w:rsid w:val="00B54A0F"/>
    <w:rsid w:val="00B64F6E"/>
    <w:rsid w:val="00B72276"/>
    <w:rsid w:val="00B909D6"/>
    <w:rsid w:val="00B90FCB"/>
    <w:rsid w:val="00B936EA"/>
    <w:rsid w:val="00B95240"/>
    <w:rsid w:val="00B96672"/>
    <w:rsid w:val="00B96DC6"/>
    <w:rsid w:val="00BC566D"/>
    <w:rsid w:val="00BD2BA2"/>
    <w:rsid w:val="00BD392F"/>
    <w:rsid w:val="00BD4908"/>
    <w:rsid w:val="00BD6F0D"/>
    <w:rsid w:val="00BE0055"/>
    <w:rsid w:val="00BE1D93"/>
    <w:rsid w:val="00BE480E"/>
    <w:rsid w:val="00BE72C7"/>
    <w:rsid w:val="00BF144E"/>
    <w:rsid w:val="00C0787B"/>
    <w:rsid w:val="00C33C81"/>
    <w:rsid w:val="00C34207"/>
    <w:rsid w:val="00C46502"/>
    <w:rsid w:val="00C46874"/>
    <w:rsid w:val="00C501CC"/>
    <w:rsid w:val="00C5225C"/>
    <w:rsid w:val="00C550CD"/>
    <w:rsid w:val="00C56219"/>
    <w:rsid w:val="00C6543A"/>
    <w:rsid w:val="00C66002"/>
    <w:rsid w:val="00C87093"/>
    <w:rsid w:val="00C87C7C"/>
    <w:rsid w:val="00C958D3"/>
    <w:rsid w:val="00CA4DC8"/>
    <w:rsid w:val="00CA5DFA"/>
    <w:rsid w:val="00CA78CB"/>
    <w:rsid w:val="00CC7085"/>
    <w:rsid w:val="00CC7C8B"/>
    <w:rsid w:val="00CD27BD"/>
    <w:rsid w:val="00CD2FF3"/>
    <w:rsid w:val="00CD3B73"/>
    <w:rsid w:val="00CD7A9F"/>
    <w:rsid w:val="00CE048E"/>
    <w:rsid w:val="00CE0C42"/>
    <w:rsid w:val="00CE20F4"/>
    <w:rsid w:val="00CF3059"/>
    <w:rsid w:val="00CF4E31"/>
    <w:rsid w:val="00D0085A"/>
    <w:rsid w:val="00D00BB4"/>
    <w:rsid w:val="00D06CF7"/>
    <w:rsid w:val="00D102D3"/>
    <w:rsid w:val="00D120F2"/>
    <w:rsid w:val="00D122C9"/>
    <w:rsid w:val="00D30A55"/>
    <w:rsid w:val="00D324B8"/>
    <w:rsid w:val="00D36E11"/>
    <w:rsid w:val="00D40546"/>
    <w:rsid w:val="00D449BD"/>
    <w:rsid w:val="00D52120"/>
    <w:rsid w:val="00D61CF4"/>
    <w:rsid w:val="00D65F1C"/>
    <w:rsid w:val="00D67E80"/>
    <w:rsid w:val="00D71308"/>
    <w:rsid w:val="00D73FC4"/>
    <w:rsid w:val="00D7486C"/>
    <w:rsid w:val="00D7792D"/>
    <w:rsid w:val="00DA01FA"/>
    <w:rsid w:val="00DA0617"/>
    <w:rsid w:val="00DA0E4B"/>
    <w:rsid w:val="00DA1B69"/>
    <w:rsid w:val="00DA4E8A"/>
    <w:rsid w:val="00DB125A"/>
    <w:rsid w:val="00DB26AC"/>
    <w:rsid w:val="00DB6F08"/>
    <w:rsid w:val="00DB70DD"/>
    <w:rsid w:val="00DC03F1"/>
    <w:rsid w:val="00DC2DCD"/>
    <w:rsid w:val="00DD1A93"/>
    <w:rsid w:val="00DD63AF"/>
    <w:rsid w:val="00DE15EC"/>
    <w:rsid w:val="00DE4025"/>
    <w:rsid w:val="00DF5F2E"/>
    <w:rsid w:val="00DF78E4"/>
    <w:rsid w:val="00E04CFE"/>
    <w:rsid w:val="00E07C13"/>
    <w:rsid w:val="00E12CCF"/>
    <w:rsid w:val="00E15B48"/>
    <w:rsid w:val="00E16BCE"/>
    <w:rsid w:val="00E16CD1"/>
    <w:rsid w:val="00E17397"/>
    <w:rsid w:val="00E22099"/>
    <w:rsid w:val="00E25209"/>
    <w:rsid w:val="00E2543C"/>
    <w:rsid w:val="00E27256"/>
    <w:rsid w:val="00E30A88"/>
    <w:rsid w:val="00E31B21"/>
    <w:rsid w:val="00E3534B"/>
    <w:rsid w:val="00E35B67"/>
    <w:rsid w:val="00E43A53"/>
    <w:rsid w:val="00E44E2F"/>
    <w:rsid w:val="00E4636D"/>
    <w:rsid w:val="00E467AF"/>
    <w:rsid w:val="00E50E89"/>
    <w:rsid w:val="00E52D43"/>
    <w:rsid w:val="00E555E1"/>
    <w:rsid w:val="00E66456"/>
    <w:rsid w:val="00E761E5"/>
    <w:rsid w:val="00E80CB1"/>
    <w:rsid w:val="00E84FB1"/>
    <w:rsid w:val="00E85380"/>
    <w:rsid w:val="00E9763D"/>
    <w:rsid w:val="00EA001D"/>
    <w:rsid w:val="00EA2B70"/>
    <w:rsid w:val="00EA42D6"/>
    <w:rsid w:val="00EA498C"/>
    <w:rsid w:val="00EB3CB1"/>
    <w:rsid w:val="00EB5E30"/>
    <w:rsid w:val="00EC6750"/>
    <w:rsid w:val="00EE39A0"/>
    <w:rsid w:val="00EE42A8"/>
    <w:rsid w:val="00EF15E4"/>
    <w:rsid w:val="00EF2242"/>
    <w:rsid w:val="00EF2A26"/>
    <w:rsid w:val="00EF2B8C"/>
    <w:rsid w:val="00EF6C38"/>
    <w:rsid w:val="00F07DE0"/>
    <w:rsid w:val="00F158DA"/>
    <w:rsid w:val="00F2383A"/>
    <w:rsid w:val="00F251D5"/>
    <w:rsid w:val="00F30204"/>
    <w:rsid w:val="00F3454D"/>
    <w:rsid w:val="00F40E0B"/>
    <w:rsid w:val="00F410AA"/>
    <w:rsid w:val="00F53C18"/>
    <w:rsid w:val="00F57824"/>
    <w:rsid w:val="00F82024"/>
    <w:rsid w:val="00F829A6"/>
    <w:rsid w:val="00F92431"/>
    <w:rsid w:val="00F925E8"/>
    <w:rsid w:val="00FA18A2"/>
    <w:rsid w:val="00FA190D"/>
    <w:rsid w:val="00FA2D95"/>
    <w:rsid w:val="00FA4C1B"/>
    <w:rsid w:val="00FB1575"/>
    <w:rsid w:val="00FB26AA"/>
    <w:rsid w:val="00FB5594"/>
    <w:rsid w:val="00FB7BFF"/>
    <w:rsid w:val="00FD136C"/>
    <w:rsid w:val="00FD36C6"/>
    <w:rsid w:val="00FD55D0"/>
    <w:rsid w:val="00FD5DE3"/>
    <w:rsid w:val="00FE09EB"/>
    <w:rsid w:val="00FF03BC"/>
    <w:rsid w:val="00FF72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A5CCE2"/>
  <w15:docId w15:val="{7B19C07F-601B-4065-BC88-46B1FE27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8D3"/>
    <w:rPr>
      <w:rFonts w:ascii="Arial" w:hAnsi="Arial"/>
      <w:sz w:val="24"/>
      <w:szCs w:val="24"/>
      <w:lang w:val="en-GB"/>
    </w:rPr>
  </w:style>
  <w:style w:type="paragraph" w:styleId="Heading1">
    <w:name w:val="heading 1"/>
    <w:basedOn w:val="Normal"/>
    <w:next w:val="Normal"/>
    <w:link w:val="Heading1Char"/>
    <w:autoRedefine/>
    <w:uiPriority w:val="9"/>
    <w:qFormat/>
    <w:rsid w:val="00046E92"/>
    <w:pPr>
      <w:keepNext/>
      <w:keepLines/>
      <w:spacing w:before="480"/>
      <w:outlineLvl w:val="0"/>
    </w:pPr>
    <w:rPr>
      <w:rFonts w:eastAsiaTheme="majorEastAsia" w:cstheme="majorBidi"/>
      <w:b/>
      <w:bCs/>
      <w:color w:val="0A77B3"/>
      <w:sz w:val="32"/>
      <w:szCs w:val="28"/>
    </w:rPr>
  </w:style>
  <w:style w:type="paragraph" w:styleId="Heading2">
    <w:name w:val="heading 2"/>
    <w:basedOn w:val="Normal"/>
    <w:next w:val="Normal"/>
    <w:link w:val="Heading2Char"/>
    <w:autoRedefine/>
    <w:uiPriority w:val="9"/>
    <w:unhideWhenUsed/>
    <w:qFormat/>
    <w:rsid w:val="008D3B33"/>
    <w:pPr>
      <w:keepNext/>
      <w:keepLines/>
      <w:spacing w:before="200"/>
      <w:outlineLvl w:val="1"/>
    </w:pPr>
    <w:rPr>
      <w:rFonts w:eastAsiaTheme="majorEastAsia" w:cstheme="majorBidi"/>
      <w:b/>
      <w:bCs/>
      <w:color w:val="0A77B3"/>
      <w:sz w:val="28"/>
      <w:szCs w:val="26"/>
    </w:rPr>
  </w:style>
  <w:style w:type="paragraph" w:styleId="Heading5">
    <w:name w:val="heading 5"/>
    <w:basedOn w:val="Normal"/>
    <w:next w:val="Normal"/>
    <w:autoRedefine/>
    <w:qFormat/>
    <w:rsid w:val="00C958D3"/>
    <w:pPr>
      <w:keepNext/>
      <w:jc w:val="center"/>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nhideWhenUsed/>
    <w:rsid w:val="00713123"/>
    <w:pPr>
      <w:tabs>
        <w:tab w:val="center" w:pos="4536"/>
        <w:tab w:val="right" w:pos="9072"/>
      </w:tabs>
    </w:pPr>
  </w:style>
  <w:style w:type="character" w:customStyle="1" w:styleId="FooterChar">
    <w:name w:val="Footer Char"/>
    <w:link w:val="Footer"/>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semiHidden/>
    <w:unhideWhenUsed/>
    <w:rsid w:val="003267E9"/>
    <w:rPr>
      <w:sz w:val="20"/>
      <w:szCs w:val="20"/>
    </w:rPr>
  </w:style>
  <w:style w:type="character" w:customStyle="1" w:styleId="CommentTextChar">
    <w:name w:val="Comment Text Char"/>
    <w:basedOn w:val="DefaultParagraphFont"/>
    <w:link w:val="CommentText"/>
    <w:uiPriority w:val="99"/>
    <w:semiHidden/>
    <w:rsid w:val="003267E9"/>
  </w:style>
  <w:style w:type="paragraph" w:styleId="CommentSubject">
    <w:name w:val="annotation subject"/>
    <w:basedOn w:val="CommentText"/>
    <w:next w:val="CommentText"/>
    <w:link w:val="CommentSubjectChar"/>
    <w:uiPriority w:val="99"/>
    <w:semiHidden/>
    <w:unhideWhenUsed/>
    <w:rsid w:val="003267E9"/>
    <w:rPr>
      <w:b/>
      <w:bCs/>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046E92"/>
    <w:rPr>
      <w:rFonts w:ascii="Arial" w:eastAsiaTheme="majorEastAsia" w:hAnsi="Arial" w:cstheme="majorBidi"/>
      <w:b/>
      <w:bCs/>
      <w:color w:val="0A77B3"/>
      <w:sz w:val="32"/>
      <w:szCs w:val="28"/>
      <w:lang w:val="en-GB"/>
    </w:rPr>
  </w:style>
  <w:style w:type="character" w:customStyle="1" w:styleId="Heading2Char">
    <w:name w:val="Heading 2 Char"/>
    <w:basedOn w:val="DefaultParagraphFont"/>
    <w:link w:val="Heading2"/>
    <w:uiPriority w:val="9"/>
    <w:rsid w:val="008D3B33"/>
    <w:rPr>
      <w:rFonts w:ascii="Arial" w:eastAsiaTheme="majorEastAsia" w:hAnsi="Arial" w:cstheme="majorBidi"/>
      <w:b/>
      <w:bCs/>
      <w:color w:val="0A77B3"/>
      <w:sz w:val="28"/>
      <w:szCs w:val="26"/>
      <w:lang w:val="en-GB"/>
    </w:rPr>
  </w:style>
  <w:style w:type="paragraph" w:styleId="Title">
    <w:name w:val="Title"/>
    <w:basedOn w:val="Normal"/>
    <w:next w:val="Normal"/>
    <w:link w:val="TitleChar"/>
    <w:uiPriority w:val="10"/>
    <w:qFormat/>
    <w:rsid w:val="00510BF6"/>
    <w:pPr>
      <w:pBdr>
        <w:bottom w:val="single" w:sz="8" w:space="4" w:color="4F81BD" w:themeColor="accent1"/>
      </w:pBdr>
      <w:spacing w:after="300"/>
      <w:contextualSpacing/>
    </w:pPr>
    <w:rPr>
      <w:rFonts w:eastAsiaTheme="majorEastAsia" w:cstheme="majorBidi"/>
      <w:b/>
      <w:color w:val="FFFFFF" w:themeColor="background1"/>
      <w:spacing w:val="5"/>
      <w:kern w:val="28"/>
      <w:sz w:val="100"/>
      <w:szCs w:val="52"/>
    </w:rPr>
  </w:style>
  <w:style w:type="character" w:customStyle="1" w:styleId="TitleChar">
    <w:name w:val="Title Char"/>
    <w:basedOn w:val="DefaultParagraphFont"/>
    <w:link w:val="Title"/>
    <w:uiPriority w:val="10"/>
    <w:rsid w:val="00510BF6"/>
    <w:rPr>
      <w:rFonts w:ascii="Arial" w:eastAsiaTheme="majorEastAsia" w:hAnsi="Arial" w:cstheme="majorBidi"/>
      <w:b/>
      <w:color w:val="FFFFFF" w:themeColor="background1"/>
      <w:spacing w:val="5"/>
      <w:kern w:val="28"/>
      <w:sz w:val="100"/>
      <w:szCs w:val="52"/>
      <w:lang w:val="en-GB"/>
    </w:rPr>
  </w:style>
  <w:style w:type="paragraph" w:styleId="Subtitle">
    <w:name w:val="Subtitle"/>
    <w:basedOn w:val="Normal"/>
    <w:next w:val="Normal"/>
    <w:link w:val="SubtitleChar"/>
    <w:uiPriority w:val="11"/>
    <w:qFormat/>
    <w:rsid w:val="00510BF6"/>
    <w:pPr>
      <w:numPr>
        <w:ilvl w:val="1"/>
      </w:numPr>
    </w:pPr>
    <w:rPr>
      <w:rFonts w:eastAsiaTheme="majorEastAsia" w:cstheme="majorBidi"/>
      <w:b/>
      <w:iCs/>
      <w:color w:val="FFFFFF" w:themeColor="background1"/>
      <w:spacing w:val="15"/>
      <w:sz w:val="32"/>
    </w:rPr>
  </w:style>
  <w:style w:type="character" w:customStyle="1" w:styleId="SubtitleChar">
    <w:name w:val="Subtitle Char"/>
    <w:basedOn w:val="DefaultParagraphFont"/>
    <w:link w:val="Subtitle"/>
    <w:uiPriority w:val="11"/>
    <w:rsid w:val="00510BF6"/>
    <w:rPr>
      <w:rFonts w:ascii="Arial" w:eastAsiaTheme="majorEastAsia" w:hAnsi="Arial" w:cstheme="majorBidi"/>
      <w:b/>
      <w:iCs/>
      <w:color w:val="FFFFFF" w:themeColor="background1"/>
      <w:spacing w:val="15"/>
      <w:sz w:val="32"/>
      <w:szCs w:val="24"/>
      <w:lang w:val="en-GB"/>
    </w:rPr>
  </w:style>
  <w:style w:type="table" w:styleId="TableGrid">
    <w:name w:val="Table Grid"/>
    <w:basedOn w:val="TableNormal"/>
    <w:uiPriority w:val="59"/>
    <w:rsid w:val="00046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066EF"/>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5066EF"/>
    <w:pPr>
      <w:spacing w:after="100"/>
    </w:pPr>
  </w:style>
  <w:style w:type="paragraph" w:styleId="TOC2">
    <w:name w:val="toc 2"/>
    <w:basedOn w:val="Normal"/>
    <w:next w:val="Normal"/>
    <w:autoRedefine/>
    <w:uiPriority w:val="39"/>
    <w:unhideWhenUsed/>
    <w:rsid w:val="005066EF"/>
    <w:pPr>
      <w:spacing w:after="100"/>
      <w:ind w:left="240"/>
    </w:pPr>
  </w:style>
  <w:style w:type="paragraph" w:styleId="ListParagraph">
    <w:name w:val="List Paragraph"/>
    <w:basedOn w:val="Normal"/>
    <w:uiPriority w:val="34"/>
    <w:qFormat/>
    <w:rsid w:val="00B53082"/>
    <w:pPr>
      <w:ind w:left="720"/>
      <w:contextualSpacing/>
    </w:pPr>
  </w:style>
  <w:style w:type="paragraph" w:styleId="NormalWeb">
    <w:name w:val="Normal (Web)"/>
    <w:basedOn w:val="Normal"/>
    <w:uiPriority w:val="99"/>
    <w:unhideWhenUsed/>
    <w:rsid w:val="00DA01FA"/>
    <w:pPr>
      <w:spacing w:before="100" w:beforeAutospacing="1" w:after="100" w:afterAutospacing="1"/>
    </w:pPr>
    <w:rPr>
      <w:rFonts w:ascii="Times New Roman" w:hAnsi="Times New Roman"/>
      <w:lang w:eastAsia="en-GB"/>
    </w:rPr>
  </w:style>
  <w:style w:type="paragraph" w:customStyle="1" w:styleId="Normal1">
    <w:name w:val="Normal1"/>
    <w:basedOn w:val="Normal"/>
    <w:rsid w:val="002F378C"/>
    <w:pPr>
      <w:spacing w:before="100" w:beforeAutospacing="1" w:after="100" w:afterAutospacing="1"/>
    </w:pPr>
    <w:rPr>
      <w:rFonts w:ascii="Times New Roman" w:hAnsi="Times New Roman"/>
      <w:lang w:eastAsia="en-GB"/>
    </w:rPr>
  </w:style>
  <w:style w:type="paragraph" w:styleId="Revision">
    <w:name w:val="Revision"/>
    <w:hidden/>
    <w:uiPriority w:val="99"/>
    <w:semiHidden/>
    <w:rsid w:val="002F378C"/>
    <w:rPr>
      <w:rFonts w:ascii="Arial" w:hAnsi="Arial"/>
      <w:sz w:val="24"/>
      <w:szCs w:val="24"/>
      <w:lang w:val="en-GB"/>
    </w:rPr>
  </w:style>
  <w:style w:type="paragraph" w:styleId="FootnoteText">
    <w:name w:val="footnote text"/>
    <w:basedOn w:val="Normal"/>
    <w:link w:val="FootnoteTextChar"/>
    <w:uiPriority w:val="99"/>
    <w:semiHidden/>
    <w:unhideWhenUsed/>
    <w:rsid w:val="00EB3CB1"/>
    <w:rPr>
      <w:sz w:val="20"/>
      <w:szCs w:val="20"/>
    </w:rPr>
  </w:style>
  <w:style w:type="character" w:customStyle="1" w:styleId="FootnoteTextChar">
    <w:name w:val="Footnote Text Char"/>
    <w:basedOn w:val="DefaultParagraphFont"/>
    <w:link w:val="FootnoteText"/>
    <w:uiPriority w:val="99"/>
    <w:semiHidden/>
    <w:rsid w:val="00EB3CB1"/>
    <w:rPr>
      <w:rFonts w:ascii="Arial" w:hAnsi="Arial"/>
      <w:lang w:val="en-GB"/>
    </w:rPr>
  </w:style>
  <w:style w:type="character" w:styleId="FootnoteReference">
    <w:name w:val="footnote reference"/>
    <w:basedOn w:val="DefaultParagraphFont"/>
    <w:uiPriority w:val="99"/>
    <w:semiHidden/>
    <w:unhideWhenUsed/>
    <w:rsid w:val="00EB3CB1"/>
    <w:rPr>
      <w:vertAlign w:val="superscript"/>
    </w:rPr>
  </w:style>
  <w:style w:type="paragraph" w:customStyle="1" w:styleId="Point0number">
    <w:name w:val="Point 0 (number)"/>
    <w:basedOn w:val="Normal"/>
    <w:rsid w:val="000334DE"/>
    <w:pPr>
      <w:numPr>
        <w:numId w:val="9"/>
      </w:numPr>
      <w:spacing w:before="120" w:after="120"/>
      <w:jc w:val="both"/>
    </w:pPr>
    <w:rPr>
      <w:rFonts w:ascii="Times New Roman" w:eastAsiaTheme="minorHAnsi" w:hAnsi="Times New Roman"/>
      <w:szCs w:val="22"/>
    </w:rPr>
  </w:style>
  <w:style w:type="paragraph" w:customStyle="1" w:styleId="Point1number">
    <w:name w:val="Point 1 (number)"/>
    <w:basedOn w:val="Normal"/>
    <w:rsid w:val="000334DE"/>
    <w:pPr>
      <w:numPr>
        <w:ilvl w:val="2"/>
        <w:numId w:val="9"/>
      </w:numPr>
      <w:spacing w:before="120" w:after="120"/>
      <w:jc w:val="both"/>
    </w:pPr>
    <w:rPr>
      <w:rFonts w:ascii="Times New Roman" w:eastAsiaTheme="minorHAnsi" w:hAnsi="Times New Roman"/>
      <w:szCs w:val="22"/>
    </w:rPr>
  </w:style>
  <w:style w:type="paragraph" w:customStyle="1" w:styleId="Point2number">
    <w:name w:val="Point 2 (number)"/>
    <w:basedOn w:val="Normal"/>
    <w:rsid w:val="000334DE"/>
    <w:pPr>
      <w:numPr>
        <w:ilvl w:val="4"/>
        <w:numId w:val="9"/>
      </w:numPr>
      <w:spacing w:before="120" w:after="120"/>
      <w:jc w:val="both"/>
    </w:pPr>
    <w:rPr>
      <w:rFonts w:ascii="Times New Roman" w:eastAsiaTheme="minorHAnsi" w:hAnsi="Times New Roman"/>
      <w:szCs w:val="22"/>
    </w:rPr>
  </w:style>
  <w:style w:type="paragraph" w:customStyle="1" w:styleId="Point3number">
    <w:name w:val="Point 3 (number)"/>
    <w:basedOn w:val="Normal"/>
    <w:rsid w:val="000334DE"/>
    <w:pPr>
      <w:numPr>
        <w:ilvl w:val="6"/>
        <w:numId w:val="9"/>
      </w:numPr>
      <w:spacing w:before="120" w:after="120"/>
      <w:jc w:val="both"/>
    </w:pPr>
    <w:rPr>
      <w:rFonts w:ascii="Times New Roman" w:eastAsiaTheme="minorHAnsi" w:hAnsi="Times New Roman"/>
      <w:szCs w:val="22"/>
    </w:rPr>
  </w:style>
  <w:style w:type="paragraph" w:customStyle="1" w:styleId="Point0letter">
    <w:name w:val="Point 0 (letter)"/>
    <w:basedOn w:val="Normal"/>
    <w:rsid w:val="000334DE"/>
    <w:pPr>
      <w:numPr>
        <w:ilvl w:val="1"/>
        <w:numId w:val="9"/>
      </w:numPr>
      <w:spacing w:before="120" w:after="120"/>
      <w:jc w:val="both"/>
    </w:pPr>
    <w:rPr>
      <w:rFonts w:ascii="Times New Roman" w:eastAsiaTheme="minorHAnsi" w:hAnsi="Times New Roman"/>
      <w:szCs w:val="22"/>
    </w:rPr>
  </w:style>
  <w:style w:type="paragraph" w:customStyle="1" w:styleId="Point1letter">
    <w:name w:val="Point 1 (letter)"/>
    <w:basedOn w:val="Normal"/>
    <w:rsid w:val="000334DE"/>
    <w:pPr>
      <w:numPr>
        <w:ilvl w:val="3"/>
        <w:numId w:val="9"/>
      </w:numPr>
      <w:spacing w:before="120" w:after="120"/>
      <w:jc w:val="both"/>
    </w:pPr>
    <w:rPr>
      <w:rFonts w:ascii="Times New Roman" w:eastAsiaTheme="minorHAnsi" w:hAnsi="Times New Roman"/>
      <w:szCs w:val="22"/>
    </w:rPr>
  </w:style>
  <w:style w:type="paragraph" w:customStyle="1" w:styleId="Point2letter">
    <w:name w:val="Point 2 (letter)"/>
    <w:basedOn w:val="Normal"/>
    <w:rsid w:val="000334DE"/>
    <w:pPr>
      <w:numPr>
        <w:ilvl w:val="5"/>
        <w:numId w:val="9"/>
      </w:numPr>
      <w:spacing w:before="120" w:after="120"/>
      <w:jc w:val="both"/>
    </w:pPr>
    <w:rPr>
      <w:rFonts w:ascii="Times New Roman" w:eastAsiaTheme="minorHAnsi" w:hAnsi="Times New Roman"/>
      <w:szCs w:val="22"/>
    </w:rPr>
  </w:style>
  <w:style w:type="paragraph" w:customStyle="1" w:styleId="Point3letter">
    <w:name w:val="Point 3 (letter)"/>
    <w:basedOn w:val="Normal"/>
    <w:rsid w:val="000334DE"/>
    <w:pPr>
      <w:numPr>
        <w:ilvl w:val="7"/>
        <w:numId w:val="9"/>
      </w:numPr>
      <w:spacing w:before="120" w:after="120"/>
      <w:jc w:val="both"/>
    </w:pPr>
    <w:rPr>
      <w:rFonts w:ascii="Times New Roman" w:eastAsiaTheme="minorHAnsi" w:hAnsi="Times New Roman"/>
      <w:szCs w:val="22"/>
    </w:rPr>
  </w:style>
  <w:style w:type="paragraph" w:customStyle="1" w:styleId="Point4letter">
    <w:name w:val="Point 4 (letter)"/>
    <w:basedOn w:val="Normal"/>
    <w:rsid w:val="000334DE"/>
    <w:pPr>
      <w:numPr>
        <w:ilvl w:val="8"/>
        <w:numId w:val="9"/>
      </w:numPr>
      <w:spacing w:before="120" w:after="120"/>
      <w:jc w:val="both"/>
    </w:pPr>
    <w:rPr>
      <w:rFonts w:ascii="Times New Roman" w:eastAsiaTheme="minorHAnsi" w:hAnsi="Times New Roman"/>
      <w:szCs w:val="22"/>
    </w:rPr>
  </w:style>
  <w:style w:type="character" w:customStyle="1" w:styleId="Mention1">
    <w:name w:val="Mention1"/>
    <w:basedOn w:val="DefaultParagraphFont"/>
    <w:uiPriority w:val="99"/>
    <w:semiHidden/>
    <w:unhideWhenUsed/>
    <w:rsid w:val="00401D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828251">
      <w:bodyDiv w:val="1"/>
      <w:marLeft w:val="0"/>
      <w:marRight w:val="0"/>
      <w:marTop w:val="0"/>
      <w:marBottom w:val="0"/>
      <w:divBdr>
        <w:top w:val="none" w:sz="0" w:space="0" w:color="auto"/>
        <w:left w:val="none" w:sz="0" w:space="0" w:color="auto"/>
        <w:bottom w:val="none" w:sz="0" w:space="0" w:color="auto"/>
        <w:right w:val="none" w:sz="0" w:space="0" w:color="auto"/>
      </w:divBdr>
    </w:div>
    <w:div w:id="1203178147">
      <w:bodyDiv w:val="1"/>
      <w:marLeft w:val="0"/>
      <w:marRight w:val="0"/>
      <w:marTop w:val="0"/>
      <w:marBottom w:val="0"/>
      <w:divBdr>
        <w:top w:val="none" w:sz="0" w:space="0" w:color="auto"/>
        <w:left w:val="none" w:sz="0" w:space="0" w:color="auto"/>
        <w:bottom w:val="none" w:sz="0" w:space="0" w:color="auto"/>
        <w:right w:val="none" w:sz="0" w:space="0" w:color="auto"/>
      </w:divBdr>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f-feph.or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info@edf-fep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df-feph.og" TargetMode="External"/><Relationship Id="rId5" Type="http://schemas.openxmlformats.org/officeDocument/2006/relationships/webSettings" Target="webSettings.xml"/><Relationship Id="rId15" Type="http://schemas.openxmlformats.org/officeDocument/2006/relationships/hyperlink" Target="mailto:marie.denninghaus@edf-feph.org" TargetMode="External"/><Relationship Id="rId10" Type="http://schemas.openxmlformats.org/officeDocument/2006/relationships/hyperlink" Target="http://www.edf-feph.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df-feph.og" TargetMode="External"/><Relationship Id="rId14" Type="http://schemas.openxmlformats.org/officeDocument/2006/relationships/hyperlink" Target="http://www.edf-feph.org/sites/default/files/edf_position_paper_ten-t-cef.doc"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edf-feph.og" TargetMode="External"/><Relationship Id="rId2" Type="http://schemas.openxmlformats.org/officeDocument/2006/relationships/hyperlink" Target="http://www.edf-feph.org" TargetMode="External"/><Relationship Id="rId1" Type="http://schemas.openxmlformats.org/officeDocument/2006/relationships/hyperlink" Target="mailto:info@edf-feph.og" TargetMode="External"/><Relationship Id="rId4" Type="http://schemas.openxmlformats.org/officeDocument/2006/relationships/hyperlink" Target="http://www.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B3700E-80E9-4455-8EAA-2846DD8D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EDF amendments EAA 2016</vt:lpstr>
    </vt:vector>
  </TitlesOfParts>
  <Company>HP</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amendments EAA 2016</dc:title>
  <dc:creator>Marie Denninghaus</dc:creator>
  <cp:lastModifiedBy>Raquel Riaza</cp:lastModifiedBy>
  <cp:revision>2</cp:revision>
  <cp:lastPrinted>2012-12-04T21:11:00Z</cp:lastPrinted>
  <dcterms:created xsi:type="dcterms:W3CDTF">2020-06-08T08:45:00Z</dcterms:created>
  <dcterms:modified xsi:type="dcterms:W3CDTF">2020-06-08T08:45:00Z</dcterms:modified>
</cp:coreProperties>
</file>