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BADDF" w14:textId="2FBA9903" w:rsidR="005448E1" w:rsidRPr="009D6BCE" w:rsidRDefault="00990C7E" w:rsidP="001528F0">
      <w:pPr>
        <w:pStyle w:val="Heading1"/>
      </w:pPr>
      <w:r w:rsidRPr="009D6BCE">
        <w:rPr>
          <w:rStyle w:val="Heading1Char"/>
          <w:noProof/>
          <w:lang w:val="fr-BE" w:eastAsia="fr-BE"/>
        </w:rPr>
        <w:drawing>
          <wp:anchor distT="0" distB="0" distL="114300" distR="114300" simplePos="0" relativeHeight="251660287" behindDoc="1" locked="0" layoutInCell="1" allowOverlap="1" wp14:anchorId="4A2C2DD4" wp14:editId="38505EE9">
            <wp:simplePos x="0" y="0"/>
            <wp:positionH relativeFrom="page">
              <wp:posOffset>6753225</wp:posOffset>
            </wp:positionH>
            <wp:positionV relativeFrom="paragraph">
              <wp:posOffset>-1256665</wp:posOffset>
            </wp:positionV>
            <wp:extent cx="1804478" cy="103822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5278" t="-2204" r="-6739" b="6168"/>
                    <a:stretch/>
                  </pic:blipFill>
                  <pic:spPr bwMode="auto">
                    <a:xfrm>
                      <a:off x="0" y="0"/>
                      <a:ext cx="1804478"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01FE" w:rsidRPr="009D6BCE">
        <w:rPr>
          <w:rStyle w:val="Heading1Char"/>
          <w:noProof/>
          <w:lang w:val="fr-BE" w:eastAsia="fr-BE"/>
        </w:rPr>
        <w:drawing>
          <wp:anchor distT="0" distB="0" distL="114300" distR="114300" simplePos="0" relativeHeight="251662336" behindDoc="0" locked="0" layoutInCell="1" allowOverlap="1" wp14:anchorId="0976FEF0" wp14:editId="017FBF5C">
            <wp:simplePos x="0" y="0"/>
            <wp:positionH relativeFrom="column">
              <wp:posOffset>165735</wp:posOffset>
            </wp:positionH>
            <wp:positionV relativeFrom="paragraph">
              <wp:posOffset>0</wp:posOffset>
            </wp:positionV>
            <wp:extent cx="789305" cy="979170"/>
            <wp:effectExtent l="0" t="0" r="0" b="0"/>
            <wp:wrapSquare wrapText="bothSides"/>
            <wp:docPr id="4" name="Picture 4" descr="Logo of the European Disability Forum. Caption &quot;European Disability Forum&quot; written in thought bubble with mostly blue background, and red and white stripes on the lower left 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9305" cy="979170"/>
                    </a:xfrm>
                    <a:prstGeom prst="rect">
                      <a:avLst/>
                    </a:prstGeom>
                  </pic:spPr>
                </pic:pic>
              </a:graphicData>
            </a:graphic>
            <wp14:sizeRelH relativeFrom="page">
              <wp14:pctWidth>0</wp14:pctWidth>
            </wp14:sizeRelH>
            <wp14:sizeRelV relativeFrom="page">
              <wp14:pctHeight>0</wp14:pctHeight>
            </wp14:sizeRelV>
          </wp:anchor>
        </w:drawing>
      </w:r>
      <w:r w:rsidR="001528F0" w:rsidRPr="009D6BCE">
        <w:t xml:space="preserve">EDF </w:t>
      </w:r>
      <w:r w:rsidR="008F393A" w:rsidRPr="009D6BCE">
        <w:t>feedback to European Commission’s public consultation on the Digital Services Act</w:t>
      </w:r>
      <w:r w:rsidR="00097A99" w:rsidRPr="009D6BCE">
        <w:t xml:space="preserve"> </w:t>
      </w:r>
    </w:p>
    <w:p w14:paraId="63BDD968" w14:textId="6871ABC7" w:rsidR="00AD1A0C" w:rsidRPr="009D6BCE" w:rsidRDefault="00AD1A0C" w:rsidP="001528F0">
      <w:pPr>
        <w:pStyle w:val="Footer"/>
        <w:spacing w:after="240"/>
        <w:jc w:val="center"/>
        <w:rPr>
          <w:rFonts w:cs="Arial"/>
          <w:b/>
          <w:color w:val="007AB7"/>
          <w:sz w:val="32"/>
          <w:szCs w:val="26"/>
        </w:rPr>
      </w:pPr>
      <w:r w:rsidRPr="009D6BCE">
        <w:rPr>
          <w:rFonts w:cs="Arial"/>
          <w:color w:val="000000"/>
          <w:sz w:val="25"/>
          <w:szCs w:val="25"/>
        </w:rPr>
        <w:t>...................................................................................</w:t>
      </w:r>
      <w:r w:rsidR="00B566B1" w:rsidRPr="009D6BCE">
        <w:rPr>
          <w:rFonts w:cs="Arial"/>
          <w:color w:val="000000"/>
          <w:sz w:val="25"/>
          <w:szCs w:val="25"/>
        </w:rPr>
        <w:t>.................</w:t>
      </w:r>
      <w:r w:rsidR="00BB04EE" w:rsidRPr="009D6BCE">
        <w:rPr>
          <w:rFonts w:cs="Arial"/>
          <w:color w:val="000000"/>
          <w:sz w:val="25"/>
          <w:szCs w:val="25"/>
        </w:rPr>
        <w:t>........................</w:t>
      </w:r>
    </w:p>
    <w:p w14:paraId="054A5C9A" w14:textId="77710ACE" w:rsidR="00976C3F" w:rsidRPr="009D6BCE" w:rsidRDefault="00C2325D" w:rsidP="00FE2ADC">
      <w:pPr>
        <w:spacing w:after="240" w:line="276" w:lineRule="auto"/>
        <w:jc w:val="right"/>
        <w:rPr>
          <w:rFonts w:cs="Arial"/>
        </w:rPr>
      </w:pPr>
      <w:r>
        <w:rPr>
          <w:rFonts w:cs="Arial"/>
        </w:rPr>
        <w:t>07 September</w:t>
      </w:r>
      <w:r w:rsidR="00E55861" w:rsidRPr="009D6BCE">
        <w:rPr>
          <w:rFonts w:cs="Arial"/>
        </w:rPr>
        <w:t xml:space="preserve"> 2020</w:t>
      </w:r>
    </w:p>
    <w:p w14:paraId="0286ACC0" w14:textId="4FDBDEB7" w:rsidR="00BD3B71" w:rsidRPr="009D6BCE" w:rsidRDefault="00D26339" w:rsidP="009709A7">
      <w:pPr>
        <w:spacing w:after="240" w:line="276" w:lineRule="auto"/>
        <w:rPr>
          <w:rFonts w:cs="Arial"/>
        </w:rPr>
      </w:pPr>
      <w:r w:rsidRPr="009D6BCE">
        <w:rPr>
          <w:rFonts w:cs="Arial"/>
        </w:rPr>
        <w:t xml:space="preserve">Below are European Disability Forum’s (EDF) recommendations </w:t>
      </w:r>
      <w:r w:rsidR="008F393A" w:rsidRPr="009D6BCE">
        <w:rPr>
          <w:rFonts w:cs="Arial"/>
        </w:rPr>
        <w:t xml:space="preserve">in the context of </w:t>
      </w:r>
      <w:hyperlink r:id="rId13" w:history="1">
        <w:r w:rsidR="008F393A" w:rsidRPr="009D6BCE">
          <w:rPr>
            <w:rStyle w:val="Hyperlink"/>
            <w:rFonts w:cs="Arial"/>
          </w:rPr>
          <w:t>European Commission’s public consultation on the Digital Services Act</w:t>
        </w:r>
      </w:hyperlink>
      <w:r w:rsidR="008F393A" w:rsidRPr="009D6BCE">
        <w:rPr>
          <w:rFonts w:cs="Arial"/>
        </w:rPr>
        <w:t xml:space="preserve">. </w:t>
      </w:r>
      <w:r w:rsidRPr="009D6BCE">
        <w:rPr>
          <w:rFonts w:cs="Arial"/>
        </w:rPr>
        <w:t xml:space="preserve">This document </w:t>
      </w:r>
      <w:r w:rsidR="006878F1" w:rsidRPr="009D6BCE">
        <w:rPr>
          <w:rFonts w:cs="Arial"/>
        </w:rPr>
        <w:t xml:space="preserve">summarises our position on </w:t>
      </w:r>
      <w:r w:rsidR="008F393A" w:rsidRPr="009D6BCE">
        <w:rPr>
          <w:rFonts w:cs="Arial"/>
        </w:rPr>
        <w:t xml:space="preserve">issues related to digital services and online platforms requiring an EU-level regulatory framework. </w:t>
      </w:r>
      <w:r w:rsidR="00BD3B71" w:rsidRPr="009D6BCE">
        <w:rPr>
          <w:rFonts w:cs="Arial"/>
        </w:rPr>
        <w:t xml:space="preserve">It reinforces our answers to the survey questionnaire and should be view as integral part of our feedback to the consultation. </w:t>
      </w:r>
    </w:p>
    <w:p w14:paraId="10CF300D" w14:textId="5DAB4711" w:rsidR="00876869" w:rsidRPr="009D6BCE" w:rsidRDefault="00876869" w:rsidP="009709A7">
      <w:pPr>
        <w:pStyle w:val="Heading1"/>
        <w:rPr>
          <w:rFonts w:cs="Arial"/>
        </w:rPr>
      </w:pPr>
      <w:bookmarkStart w:id="0" w:name="_Toc258853"/>
      <w:r w:rsidRPr="009D6BCE">
        <w:rPr>
          <w:rFonts w:cs="Arial"/>
        </w:rPr>
        <w:t xml:space="preserve">Who we </w:t>
      </w:r>
      <w:proofErr w:type="gramStart"/>
      <w:r w:rsidRPr="009D6BCE">
        <w:rPr>
          <w:rFonts w:cs="Arial"/>
        </w:rPr>
        <w:t>are</w:t>
      </w:r>
      <w:bookmarkEnd w:id="0"/>
      <w:proofErr w:type="gramEnd"/>
    </w:p>
    <w:p w14:paraId="0D45FB11" w14:textId="6B8946BF" w:rsidR="005B61FB" w:rsidRPr="009D6BCE" w:rsidRDefault="00015AE5" w:rsidP="009709A7">
      <w:pPr>
        <w:spacing w:after="240" w:line="276" w:lineRule="auto"/>
        <w:rPr>
          <w:rFonts w:cs="Arial"/>
        </w:rPr>
      </w:pPr>
      <w:r w:rsidRPr="009D6BCE">
        <w:rPr>
          <w:rFonts w:cs="Arial"/>
        </w:rPr>
        <w:t>We, the</w:t>
      </w:r>
      <w:r w:rsidR="00E55861" w:rsidRPr="009D6BCE">
        <w:rPr>
          <w:rFonts w:cs="Arial"/>
        </w:rPr>
        <w:t xml:space="preserve"> European Disability Forum (EDF)</w:t>
      </w:r>
      <w:r w:rsidRPr="009D6BCE">
        <w:rPr>
          <w:rFonts w:cs="Arial"/>
        </w:rPr>
        <w:t>,</w:t>
      </w:r>
      <w:r w:rsidR="00E55861" w:rsidRPr="009D6BCE">
        <w:rPr>
          <w:rFonts w:cs="Arial"/>
        </w:rPr>
        <w:t xml:space="preserve"> </w:t>
      </w:r>
      <w:r w:rsidRPr="009D6BCE">
        <w:rPr>
          <w:rFonts w:cs="Arial"/>
        </w:rPr>
        <w:t>are</w:t>
      </w:r>
      <w:r w:rsidR="00E55861" w:rsidRPr="009D6BCE">
        <w:rPr>
          <w:rFonts w:cs="Arial"/>
        </w:rPr>
        <w:t xml:space="preserve"> an umbrella organization of persons with disabilities that defends the interests of over 100 million persons with disabilities in the EU. </w:t>
      </w:r>
      <w:r w:rsidRPr="009D6BCE">
        <w:rPr>
          <w:rFonts w:cs="Arial"/>
        </w:rPr>
        <w:t>We are</w:t>
      </w:r>
      <w:r w:rsidR="00E55861" w:rsidRPr="009D6BCE">
        <w:rPr>
          <w:rFonts w:cs="Arial"/>
        </w:rPr>
        <w:t xml:space="preserve"> a unique platform run by persons with disabilities and their families, and a strong, united voice of persons with disabilities advocating for the implementation of the U</w:t>
      </w:r>
      <w:r w:rsidR="00BD3B71" w:rsidRPr="009D6BCE">
        <w:rPr>
          <w:rFonts w:cs="Arial"/>
        </w:rPr>
        <w:t xml:space="preserve">nited </w:t>
      </w:r>
      <w:r w:rsidR="00E55861" w:rsidRPr="009D6BCE">
        <w:rPr>
          <w:rFonts w:cs="Arial"/>
        </w:rPr>
        <w:t>N</w:t>
      </w:r>
      <w:r w:rsidR="00BD3B71" w:rsidRPr="009D6BCE">
        <w:rPr>
          <w:rFonts w:cs="Arial"/>
        </w:rPr>
        <w:t>ations</w:t>
      </w:r>
      <w:r w:rsidR="00E55861" w:rsidRPr="009D6BCE">
        <w:rPr>
          <w:rFonts w:cs="Arial"/>
        </w:rPr>
        <w:t xml:space="preserve"> Convention on the Rights of Persons with Disabilities (UN CRPD) in the EU.</w:t>
      </w:r>
    </w:p>
    <w:p w14:paraId="71B22055" w14:textId="6C5B5D3A" w:rsidR="00600261" w:rsidRPr="009D6BCE" w:rsidRDefault="008F393A" w:rsidP="009709A7">
      <w:pPr>
        <w:pStyle w:val="Heading1"/>
        <w:rPr>
          <w:rFonts w:cs="Arial"/>
        </w:rPr>
      </w:pPr>
      <w:r w:rsidRPr="009D6BCE">
        <w:rPr>
          <w:rFonts w:cs="Arial"/>
        </w:rPr>
        <w:t>Introduction</w:t>
      </w:r>
    </w:p>
    <w:p w14:paraId="02AE07DA" w14:textId="77777777" w:rsidR="00B9024D" w:rsidRPr="009D6BCE" w:rsidRDefault="00FE248E" w:rsidP="009709A7">
      <w:pPr>
        <w:spacing w:after="240" w:line="276" w:lineRule="auto"/>
        <w:rPr>
          <w:rFonts w:cs="Arial"/>
          <w:b/>
        </w:rPr>
      </w:pPr>
      <w:r w:rsidRPr="009D6BCE">
        <w:rPr>
          <w:rFonts w:cs="Arial"/>
          <w:b/>
        </w:rPr>
        <w:t xml:space="preserve">As </w:t>
      </w:r>
      <w:r w:rsidR="001F26A2" w:rsidRPr="009D6BCE">
        <w:rPr>
          <w:rFonts w:cs="Arial"/>
          <w:b/>
        </w:rPr>
        <w:t>signatories</w:t>
      </w:r>
      <w:r w:rsidRPr="009D6BCE">
        <w:rPr>
          <w:rFonts w:cs="Arial"/>
          <w:b/>
        </w:rPr>
        <w:t xml:space="preserve"> to the </w:t>
      </w:r>
      <w:hyperlink r:id="rId14" w:history="1">
        <w:r w:rsidRPr="009D6BCE">
          <w:rPr>
            <w:rStyle w:val="Hyperlink"/>
            <w:rFonts w:cs="Arial"/>
            <w:b/>
          </w:rPr>
          <w:t>United Nations Convention on the Rights of Persons with Disabilities (UN CRPD)</w:t>
        </w:r>
      </w:hyperlink>
      <w:r w:rsidRPr="009D6BCE">
        <w:rPr>
          <w:rFonts w:cs="Arial"/>
          <w:b/>
        </w:rPr>
        <w:t>, the European Union</w:t>
      </w:r>
      <w:r w:rsidR="00C70DB8" w:rsidRPr="009D6BCE">
        <w:rPr>
          <w:rFonts w:cs="Arial"/>
          <w:b/>
        </w:rPr>
        <w:t xml:space="preserve"> (EU)</w:t>
      </w:r>
      <w:r w:rsidRPr="009D6BCE">
        <w:rPr>
          <w:rFonts w:cs="Arial"/>
          <w:b/>
        </w:rPr>
        <w:t xml:space="preserve"> and all Member States are legally obliged to ensure</w:t>
      </w:r>
      <w:r w:rsidR="006A238A" w:rsidRPr="009D6BCE">
        <w:rPr>
          <w:rFonts w:cs="Arial"/>
          <w:b/>
        </w:rPr>
        <w:t xml:space="preserve"> right of access to</w:t>
      </w:r>
      <w:r w:rsidRPr="009D6BCE">
        <w:rPr>
          <w:rFonts w:cs="Arial"/>
          <w:b/>
        </w:rPr>
        <w:t xml:space="preserve"> information and communications, including information and communications technologies and systems</w:t>
      </w:r>
      <w:r w:rsidR="00C70DB8" w:rsidRPr="009D6BCE">
        <w:rPr>
          <w:rFonts w:cs="Arial"/>
          <w:b/>
        </w:rPr>
        <w:t>,</w:t>
      </w:r>
      <w:r w:rsidR="001F26A2" w:rsidRPr="009D6BCE">
        <w:rPr>
          <w:rFonts w:cs="Arial"/>
          <w:b/>
        </w:rPr>
        <w:t xml:space="preserve"> by persons with disabilities</w:t>
      </w:r>
      <w:r w:rsidRPr="009D6BCE">
        <w:rPr>
          <w:rFonts w:cs="Arial"/>
          <w:b/>
        </w:rPr>
        <w:t xml:space="preserve"> (Article 9 – accessibility). </w:t>
      </w:r>
    </w:p>
    <w:p w14:paraId="5DE5AA7D" w14:textId="77777777" w:rsidR="00B05ABB" w:rsidRDefault="00FE248E" w:rsidP="009709A7">
      <w:pPr>
        <w:spacing w:after="240" w:line="276" w:lineRule="auto"/>
        <w:rPr>
          <w:rFonts w:cs="Arial"/>
        </w:rPr>
      </w:pPr>
      <w:r w:rsidRPr="009D6BCE">
        <w:rPr>
          <w:rFonts w:cs="Arial"/>
        </w:rPr>
        <w:t xml:space="preserve">Accessibility is a pre-requisite for persons with disabilities to fully enjoy other rights enshrined by the UN CRPD, such as freedom of expression and opinion, and access to information (Article 21), participation in political and public life </w:t>
      </w:r>
    </w:p>
    <w:p w14:paraId="45F337D5" w14:textId="77777777" w:rsidR="00B05ABB" w:rsidRDefault="00B05ABB" w:rsidP="009709A7">
      <w:pPr>
        <w:spacing w:after="240" w:line="276" w:lineRule="auto"/>
        <w:rPr>
          <w:rFonts w:cs="Arial"/>
        </w:rPr>
      </w:pPr>
    </w:p>
    <w:p w14:paraId="228448E6" w14:textId="77777777" w:rsidR="00B05ABB" w:rsidRDefault="00B05ABB" w:rsidP="009709A7">
      <w:pPr>
        <w:spacing w:after="240" w:line="276" w:lineRule="auto"/>
        <w:rPr>
          <w:rFonts w:cs="Arial"/>
        </w:rPr>
      </w:pPr>
    </w:p>
    <w:p w14:paraId="3FC005A3" w14:textId="1EB1B548" w:rsidR="00FE248E" w:rsidRPr="009D6BCE" w:rsidRDefault="00FE248E" w:rsidP="009709A7">
      <w:pPr>
        <w:spacing w:after="240" w:line="276" w:lineRule="auto"/>
        <w:rPr>
          <w:rFonts w:cs="Arial"/>
        </w:rPr>
      </w:pPr>
      <w:r w:rsidRPr="009D6BCE">
        <w:rPr>
          <w:rFonts w:cs="Arial"/>
        </w:rPr>
        <w:t xml:space="preserve">(Article 29), and participation in cultural life, recreation, leisure and sport (Article 30). </w:t>
      </w:r>
    </w:p>
    <w:p w14:paraId="55645761" w14:textId="73F5E3F6" w:rsidR="001F26A2" w:rsidRPr="009D6BCE" w:rsidRDefault="001F26A2" w:rsidP="009709A7">
      <w:pPr>
        <w:spacing w:after="240" w:line="276" w:lineRule="auto"/>
        <w:rPr>
          <w:rFonts w:cs="Arial"/>
        </w:rPr>
      </w:pPr>
      <w:r w:rsidRPr="009D6BCE">
        <w:rPr>
          <w:rFonts w:cs="Arial"/>
        </w:rPr>
        <w:t>The EU and Member States are also obliged to ensure right</w:t>
      </w:r>
      <w:r w:rsidR="00C70DB8" w:rsidRPr="009D6BCE">
        <w:rPr>
          <w:rFonts w:cs="Arial"/>
        </w:rPr>
        <w:t>s</w:t>
      </w:r>
      <w:r w:rsidRPr="009D6BCE">
        <w:rPr>
          <w:rFonts w:cs="Arial"/>
        </w:rPr>
        <w:t xml:space="preserve"> of persons with disabilities to equality and non-discrimination (Article 5), freedom from exploitation, violence and abuse (Article 16), as well as protect the integrity of persons with disabilities (Article 17). </w:t>
      </w:r>
    </w:p>
    <w:p w14:paraId="73641A53" w14:textId="09F8245A" w:rsidR="001F26A2" w:rsidRPr="009D6BCE" w:rsidRDefault="00BD3B71" w:rsidP="009709A7">
      <w:pPr>
        <w:spacing w:after="240" w:line="276" w:lineRule="auto"/>
        <w:rPr>
          <w:rFonts w:cs="Arial"/>
        </w:rPr>
      </w:pPr>
      <w:r w:rsidRPr="009D6BCE">
        <w:rPr>
          <w:rFonts w:cs="Arial"/>
        </w:rPr>
        <w:t>Given</w:t>
      </w:r>
      <w:r w:rsidR="001F26A2" w:rsidRPr="009D6BCE">
        <w:rPr>
          <w:rFonts w:cs="Arial"/>
        </w:rPr>
        <w:t xml:space="preserve"> growing importance of digital services and online platforms in the lives of all </w:t>
      </w:r>
      <w:r w:rsidR="00C70DB8" w:rsidRPr="009D6BCE">
        <w:rPr>
          <w:rFonts w:cs="Arial"/>
        </w:rPr>
        <w:t>persons</w:t>
      </w:r>
      <w:r w:rsidR="001F26A2" w:rsidRPr="009D6BCE">
        <w:rPr>
          <w:rFonts w:cs="Arial"/>
        </w:rPr>
        <w:t>, the protection of the above-mentioned rights and freedoms is equally important in the online domain.</w:t>
      </w:r>
      <w:r w:rsidR="00C2325D">
        <w:rPr>
          <w:rFonts w:cs="Arial"/>
        </w:rPr>
        <w:t xml:space="preserve"> As we get more</w:t>
      </w:r>
      <w:r w:rsidR="00C2325D" w:rsidRPr="00C2325D">
        <w:rPr>
          <w:rFonts w:cs="Arial"/>
        </w:rPr>
        <w:t xml:space="preserve"> dependent on digital </w:t>
      </w:r>
      <w:r w:rsidR="00C2325D">
        <w:rPr>
          <w:rFonts w:cs="Arial"/>
        </w:rPr>
        <w:t>technologies,</w:t>
      </w:r>
      <w:r w:rsidR="00C2325D" w:rsidRPr="00C2325D">
        <w:rPr>
          <w:rFonts w:cs="Arial"/>
        </w:rPr>
        <w:t xml:space="preserve"> </w:t>
      </w:r>
      <w:r w:rsidR="00C2325D">
        <w:rPr>
          <w:rFonts w:cs="Arial"/>
        </w:rPr>
        <w:t>their impact on Sustainable Development G</w:t>
      </w:r>
      <w:r w:rsidR="00C2325D" w:rsidRPr="00C2325D">
        <w:rPr>
          <w:rFonts w:cs="Arial"/>
        </w:rPr>
        <w:t>oals concerning access to education, work, health</w:t>
      </w:r>
      <w:r w:rsidR="00C2325D">
        <w:rPr>
          <w:rFonts w:cs="Arial"/>
        </w:rPr>
        <w:t>care</w:t>
      </w:r>
      <w:r w:rsidR="00C2325D" w:rsidRPr="00C2325D">
        <w:rPr>
          <w:rFonts w:cs="Arial"/>
        </w:rPr>
        <w:t>, social services, housing, transport</w:t>
      </w:r>
      <w:r w:rsidR="00C2325D">
        <w:rPr>
          <w:rFonts w:cs="Arial"/>
        </w:rPr>
        <w:t xml:space="preserve"> and other spheres grows</w:t>
      </w:r>
      <w:r w:rsidR="00C2325D" w:rsidRPr="00C2325D">
        <w:rPr>
          <w:rFonts w:cs="Arial"/>
        </w:rPr>
        <w:t>.</w:t>
      </w:r>
      <w:r w:rsidR="001F26A2" w:rsidRPr="009D6BCE">
        <w:rPr>
          <w:rFonts w:cs="Arial"/>
        </w:rPr>
        <w:t xml:space="preserve"> Despite this, millions of persons with disabilities in the EU still face exclusion from online participation</w:t>
      </w:r>
      <w:r w:rsidR="00C2325D">
        <w:rPr>
          <w:rFonts w:cs="Arial"/>
        </w:rPr>
        <w:t>, which hinders their participation in mentioned areas of life</w:t>
      </w:r>
      <w:r w:rsidR="00C70DB8" w:rsidRPr="009D6BCE">
        <w:rPr>
          <w:rFonts w:cs="Arial"/>
        </w:rPr>
        <w:t>. This is largely</w:t>
      </w:r>
      <w:r w:rsidR="001F26A2" w:rsidRPr="009D6BCE">
        <w:rPr>
          <w:rFonts w:cs="Arial"/>
        </w:rPr>
        <w:t xml:space="preserve"> due to inaccessibility of online platforms and services, as well as hardware and software needed to access such platforms</w:t>
      </w:r>
      <w:r w:rsidRPr="009D6BCE">
        <w:rPr>
          <w:rFonts w:cs="Arial"/>
        </w:rPr>
        <w:t>, but also due to online discrimination and hate speech experienced by many persons with disabilities</w:t>
      </w:r>
      <w:r w:rsidR="001F26A2" w:rsidRPr="009D6BCE">
        <w:rPr>
          <w:rFonts w:cs="Arial"/>
        </w:rPr>
        <w:t xml:space="preserve">. </w:t>
      </w:r>
    </w:p>
    <w:p w14:paraId="7801B48D" w14:textId="47ED6CCE" w:rsidR="004A3C4B" w:rsidRDefault="001F26A2" w:rsidP="009709A7">
      <w:pPr>
        <w:spacing w:after="240" w:line="276" w:lineRule="auto"/>
        <w:rPr>
          <w:rFonts w:cs="Arial"/>
        </w:rPr>
      </w:pPr>
      <w:r w:rsidRPr="009D6BCE">
        <w:rPr>
          <w:rFonts w:cs="Arial"/>
        </w:rPr>
        <w:t>Recent EU-initiatives such as the European Accessibility Act, the Web Accessibility Directive, Audiovisual Media Services Directive, and the European Electronic Communications Code have been important drivers for inclusion and participation of pers</w:t>
      </w:r>
      <w:r w:rsidR="001D7646" w:rsidRPr="009D6BCE">
        <w:rPr>
          <w:rFonts w:cs="Arial"/>
        </w:rPr>
        <w:t xml:space="preserve">ons with disabilities in society, and have </w:t>
      </w:r>
      <w:r w:rsidR="00C70DB8" w:rsidRPr="009D6BCE">
        <w:rPr>
          <w:rFonts w:cs="Arial"/>
        </w:rPr>
        <w:t xml:space="preserve">demonstrated that the </w:t>
      </w:r>
      <w:r w:rsidR="001D7646" w:rsidRPr="009D6BCE">
        <w:rPr>
          <w:rFonts w:cs="Arial"/>
        </w:rPr>
        <w:t>EU</w:t>
      </w:r>
      <w:r w:rsidR="00C70DB8" w:rsidRPr="009D6BCE">
        <w:rPr>
          <w:rFonts w:cs="Arial"/>
        </w:rPr>
        <w:t xml:space="preserve"> is</w:t>
      </w:r>
      <w:r w:rsidR="001D7646" w:rsidRPr="009D6BCE">
        <w:rPr>
          <w:rFonts w:cs="Arial"/>
        </w:rPr>
        <w:t xml:space="preserve"> </w:t>
      </w:r>
      <w:r w:rsidR="00C70DB8" w:rsidRPr="009D6BCE">
        <w:rPr>
          <w:rFonts w:cs="Arial"/>
        </w:rPr>
        <w:t>committed</w:t>
      </w:r>
      <w:r w:rsidR="001D7646" w:rsidRPr="009D6BCE">
        <w:rPr>
          <w:rFonts w:cs="Arial"/>
        </w:rPr>
        <w:t xml:space="preserve"> to </w:t>
      </w:r>
      <w:r w:rsidR="00C70DB8" w:rsidRPr="009D6BCE">
        <w:rPr>
          <w:rFonts w:cs="Arial"/>
        </w:rPr>
        <w:t>meet</w:t>
      </w:r>
      <w:r w:rsidR="001D7646" w:rsidRPr="009D6BCE">
        <w:rPr>
          <w:rFonts w:cs="Arial"/>
        </w:rPr>
        <w:t xml:space="preserve"> its international human rights obligations under the UN CRPD. </w:t>
      </w:r>
      <w:r w:rsidR="00C70DB8" w:rsidRPr="009D6BCE">
        <w:rPr>
          <w:rFonts w:cs="Arial"/>
        </w:rPr>
        <w:t>There are</w:t>
      </w:r>
      <w:r w:rsidR="00174F8A">
        <w:rPr>
          <w:rFonts w:cs="Arial"/>
        </w:rPr>
        <w:t>,</w:t>
      </w:r>
      <w:r w:rsidR="00C70DB8" w:rsidRPr="009D6BCE">
        <w:rPr>
          <w:rFonts w:cs="Arial"/>
        </w:rPr>
        <w:t xml:space="preserve"> however, still large gaps in EU accessibility and anti-discrimination legislation that would ensure full protection of rights of persons with disabilities. We highlight below four main conditions that are vital for making sure that the Digital Services Act adequately protects rights of persons with disabilities in relation to digita</w:t>
      </w:r>
      <w:r w:rsidR="004A3C4B">
        <w:rPr>
          <w:rFonts w:cs="Arial"/>
        </w:rPr>
        <w:t>l services and online platforms. Those are:</w:t>
      </w:r>
    </w:p>
    <w:p w14:paraId="7A73FF16" w14:textId="77777777" w:rsidR="00B05ABB" w:rsidRDefault="00B05ABB" w:rsidP="009709A7">
      <w:pPr>
        <w:spacing w:after="240" w:line="276" w:lineRule="auto"/>
        <w:rPr>
          <w:rFonts w:cs="Arial"/>
        </w:rPr>
      </w:pPr>
    </w:p>
    <w:p w14:paraId="2A178ABE" w14:textId="19214233" w:rsidR="001F26A2" w:rsidRPr="004A3C4B" w:rsidRDefault="007E721A" w:rsidP="00D123DE">
      <w:pPr>
        <w:pStyle w:val="ListParagraph"/>
        <w:numPr>
          <w:ilvl w:val="0"/>
          <w:numId w:val="4"/>
        </w:numPr>
        <w:spacing w:after="240" w:line="276" w:lineRule="auto"/>
        <w:rPr>
          <w:rFonts w:cs="Arial"/>
        </w:rPr>
      </w:pPr>
      <w:hyperlink w:anchor="_Ensure_accessibility_of" w:history="1">
        <w:r w:rsidR="004A3C4B" w:rsidRPr="004A3C4B">
          <w:rPr>
            <w:rStyle w:val="Hyperlink"/>
            <w:rFonts w:cs="Arial"/>
          </w:rPr>
          <w:t>Ensuring accessibility of digital platforms and services</w:t>
        </w:r>
      </w:hyperlink>
      <w:r w:rsidR="00D123DE">
        <w:rPr>
          <w:rStyle w:val="Hyperlink"/>
          <w:rFonts w:cs="Arial"/>
        </w:rPr>
        <w:t xml:space="preserve"> with</w:t>
      </w:r>
      <w:r w:rsidR="00D123DE" w:rsidRPr="00D123DE">
        <w:rPr>
          <w:rStyle w:val="Hyperlink"/>
          <w:rFonts w:cs="Arial"/>
        </w:rPr>
        <w:t xml:space="preserve"> a universal design approach</w:t>
      </w:r>
      <w:r w:rsidR="004A3C4B" w:rsidRPr="004A3C4B">
        <w:rPr>
          <w:rFonts w:cs="Arial"/>
        </w:rPr>
        <w:t xml:space="preserve"> </w:t>
      </w:r>
    </w:p>
    <w:p w14:paraId="14FAFCF1" w14:textId="0118C85A" w:rsidR="004A3C4B" w:rsidRPr="004A3C4B" w:rsidRDefault="007E721A" w:rsidP="00AE6E1A">
      <w:pPr>
        <w:pStyle w:val="ListParagraph"/>
        <w:numPr>
          <w:ilvl w:val="0"/>
          <w:numId w:val="4"/>
        </w:numPr>
        <w:spacing w:after="240" w:line="276" w:lineRule="auto"/>
        <w:rPr>
          <w:rFonts w:cs="Arial"/>
        </w:rPr>
      </w:pPr>
      <w:hyperlink w:anchor="_Prevent_discriminatory_content," w:history="1">
        <w:r w:rsidR="004A3C4B" w:rsidRPr="004A3C4B">
          <w:rPr>
            <w:rStyle w:val="Hyperlink"/>
            <w:rFonts w:cs="Arial"/>
          </w:rPr>
          <w:t>Preventing discriminatory content, including hate speech on online platforms and services</w:t>
        </w:r>
      </w:hyperlink>
    </w:p>
    <w:p w14:paraId="304AEEA3" w14:textId="0CD6D489" w:rsidR="004A3C4B" w:rsidRPr="004A3C4B" w:rsidRDefault="007E721A" w:rsidP="00AE6E1A">
      <w:pPr>
        <w:pStyle w:val="ListParagraph"/>
        <w:numPr>
          <w:ilvl w:val="0"/>
          <w:numId w:val="4"/>
        </w:numPr>
        <w:spacing w:after="240" w:line="276" w:lineRule="auto"/>
        <w:rPr>
          <w:rFonts w:cs="Arial"/>
        </w:rPr>
      </w:pPr>
      <w:hyperlink w:anchor="_Ensure_right_to" w:history="1">
        <w:r w:rsidR="004A3C4B" w:rsidRPr="004A3C4B">
          <w:rPr>
            <w:rStyle w:val="Hyperlink"/>
            <w:rFonts w:cs="Arial"/>
          </w:rPr>
          <w:t>Ensuring right to privacy and protection of personal data</w:t>
        </w:r>
      </w:hyperlink>
      <w:r w:rsidR="004A3C4B" w:rsidRPr="004A3C4B">
        <w:rPr>
          <w:rFonts w:cs="Arial"/>
        </w:rPr>
        <w:t xml:space="preserve"> </w:t>
      </w:r>
    </w:p>
    <w:p w14:paraId="2D6DF5BA" w14:textId="670F99B4" w:rsidR="004A3C4B" w:rsidRPr="004A3C4B" w:rsidRDefault="007E721A" w:rsidP="00AE6E1A">
      <w:pPr>
        <w:pStyle w:val="ListParagraph"/>
        <w:numPr>
          <w:ilvl w:val="0"/>
          <w:numId w:val="4"/>
        </w:numPr>
        <w:spacing w:after="240" w:line="276" w:lineRule="auto"/>
        <w:rPr>
          <w:rFonts w:cs="Arial"/>
        </w:rPr>
      </w:pPr>
      <w:hyperlink w:anchor="_Strong_enforcement_mechanisms," w:history="1">
        <w:r w:rsidR="004A3C4B" w:rsidRPr="004A3C4B">
          <w:rPr>
            <w:rStyle w:val="Hyperlink"/>
            <w:rFonts w:cs="Arial"/>
          </w:rPr>
          <w:t>Putting in place strong enforcement mechanisms, including well-resourced EU and national regulatory authorities</w:t>
        </w:r>
      </w:hyperlink>
    </w:p>
    <w:p w14:paraId="550642E0" w14:textId="05284179" w:rsidR="002840F1" w:rsidRPr="009D6BCE" w:rsidRDefault="00DD65C0" w:rsidP="009709A7">
      <w:pPr>
        <w:pStyle w:val="Heading1"/>
        <w:rPr>
          <w:rFonts w:cs="Arial"/>
        </w:rPr>
      </w:pPr>
      <w:bookmarkStart w:id="1" w:name="_Ensure_accessibility_of"/>
      <w:bookmarkEnd w:id="1"/>
      <w:r w:rsidRPr="009D6BCE">
        <w:rPr>
          <w:rFonts w:cs="Arial"/>
        </w:rPr>
        <w:t>E</w:t>
      </w:r>
      <w:r w:rsidR="004A3C4B">
        <w:rPr>
          <w:rFonts w:cs="Arial"/>
        </w:rPr>
        <w:t>nsuring</w:t>
      </w:r>
      <w:r w:rsidRPr="009D6BCE">
        <w:rPr>
          <w:rFonts w:cs="Arial"/>
        </w:rPr>
        <w:t xml:space="preserve"> a</w:t>
      </w:r>
      <w:r w:rsidR="002840F1" w:rsidRPr="009D6BCE">
        <w:rPr>
          <w:rFonts w:cs="Arial"/>
        </w:rPr>
        <w:t>ccessibility</w:t>
      </w:r>
      <w:r w:rsidR="00D123DE">
        <w:rPr>
          <w:rFonts w:cs="Arial"/>
        </w:rPr>
        <w:t xml:space="preserve"> </w:t>
      </w:r>
      <w:r w:rsidR="002840F1" w:rsidRPr="009D6BCE">
        <w:rPr>
          <w:rFonts w:cs="Arial"/>
        </w:rPr>
        <w:t>of digital platforms and services</w:t>
      </w:r>
      <w:r w:rsidR="00D123DE">
        <w:rPr>
          <w:rFonts w:cs="Arial"/>
        </w:rPr>
        <w:t xml:space="preserve"> with a universal design approach</w:t>
      </w:r>
    </w:p>
    <w:p w14:paraId="69ED5735" w14:textId="72474B62" w:rsidR="001638FA" w:rsidRPr="009D6BCE" w:rsidRDefault="001D7646" w:rsidP="009709A7">
      <w:pPr>
        <w:spacing w:after="240" w:line="276" w:lineRule="auto"/>
        <w:rPr>
          <w:rFonts w:cs="Arial"/>
          <w:b/>
        </w:rPr>
      </w:pPr>
      <w:r w:rsidRPr="009D6BCE">
        <w:rPr>
          <w:rFonts w:cs="Arial"/>
          <w:b/>
        </w:rPr>
        <w:t>O</w:t>
      </w:r>
      <w:r w:rsidR="00FE248E" w:rsidRPr="009D6BCE">
        <w:rPr>
          <w:rFonts w:cs="Arial"/>
          <w:b/>
        </w:rPr>
        <w:t>nline platforms</w:t>
      </w:r>
      <w:r w:rsidR="00C70DB8" w:rsidRPr="009D6BCE">
        <w:rPr>
          <w:rFonts w:cs="Arial"/>
          <w:b/>
        </w:rPr>
        <w:t xml:space="preserve"> and digital services must</w:t>
      </w:r>
      <w:r w:rsidR="00FE248E" w:rsidRPr="009D6BCE">
        <w:rPr>
          <w:rFonts w:cs="Arial"/>
          <w:b/>
        </w:rPr>
        <w:t xml:space="preserve"> comply with the same accessibility requirements </w:t>
      </w:r>
      <w:r w:rsidRPr="009D6BCE">
        <w:rPr>
          <w:rFonts w:cs="Arial"/>
          <w:b/>
        </w:rPr>
        <w:t xml:space="preserve">of </w:t>
      </w:r>
      <w:r w:rsidR="00FE248E" w:rsidRPr="009D6BCE">
        <w:rPr>
          <w:rFonts w:cs="Arial"/>
          <w:b/>
        </w:rPr>
        <w:t xml:space="preserve">EU </w:t>
      </w:r>
      <w:r w:rsidRPr="009D6BCE">
        <w:rPr>
          <w:rFonts w:cs="Arial"/>
          <w:b/>
        </w:rPr>
        <w:t>accessibility harmonis</w:t>
      </w:r>
      <w:r w:rsidR="005825C3" w:rsidRPr="009D6BCE">
        <w:rPr>
          <w:rFonts w:cs="Arial"/>
          <w:b/>
        </w:rPr>
        <w:t>ed</w:t>
      </w:r>
      <w:r w:rsidR="00FE248E" w:rsidRPr="009D6BCE">
        <w:rPr>
          <w:rFonts w:cs="Arial"/>
          <w:b/>
        </w:rPr>
        <w:t xml:space="preserve"> legislation, particularly the Web Accessibility Directive, and the European Accessibility Act. </w:t>
      </w:r>
      <w:r w:rsidR="005825C3" w:rsidRPr="009D6BCE">
        <w:rPr>
          <w:rFonts w:cs="Arial"/>
          <w:b/>
        </w:rPr>
        <w:t xml:space="preserve">If authoring tools to create content are available to all users, they </w:t>
      </w:r>
      <w:r w:rsidR="00FE248E" w:rsidRPr="009D6BCE">
        <w:rPr>
          <w:rFonts w:cs="Arial"/>
          <w:b/>
        </w:rPr>
        <w:t>should</w:t>
      </w:r>
      <w:r w:rsidR="00D36361" w:rsidRPr="009D6BCE">
        <w:rPr>
          <w:rFonts w:cs="Arial"/>
          <w:b/>
        </w:rPr>
        <w:t xml:space="preserve"> </w:t>
      </w:r>
      <w:r w:rsidR="005825C3" w:rsidRPr="009D6BCE">
        <w:rPr>
          <w:rFonts w:cs="Arial"/>
          <w:b/>
        </w:rPr>
        <w:t>also be accessible</w:t>
      </w:r>
      <w:r w:rsidR="00D36361" w:rsidRPr="009D6BCE">
        <w:rPr>
          <w:rFonts w:cs="Arial"/>
          <w:b/>
        </w:rPr>
        <w:t xml:space="preserve"> </w:t>
      </w:r>
      <w:r w:rsidR="005825C3" w:rsidRPr="009D6BCE">
        <w:rPr>
          <w:rFonts w:cs="Arial"/>
          <w:b/>
        </w:rPr>
        <w:t xml:space="preserve">and allow </w:t>
      </w:r>
      <w:r w:rsidR="00FE248E" w:rsidRPr="009D6BCE">
        <w:rPr>
          <w:rFonts w:cs="Arial"/>
          <w:b/>
        </w:rPr>
        <w:t>users to generat</w:t>
      </w:r>
      <w:r w:rsidRPr="009D6BCE">
        <w:rPr>
          <w:rFonts w:cs="Arial"/>
          <w:b/>
        </w:rPr>
        <w:t>e accessible content.</w:t>
      </w:r>
    </w:p>
    <w:p w14:paraId="2C482702" w14:textId="17172BD7" w:rsidR="001638FA" w:rsidRPr="009D6BCE" w:rsidRDefault="002840F1" w:rsidP="009709A7">
      <w:pPr>
        <w:spacing w:after="240" w:line="276" w:lineRule="auto"/>
        <w:rPr>
          <w:rFonts w:cs="Arial"/>
        </w:rPr>
      </w:pPr>
      <w:r w:rsidRPr="009D6BCE">
        <w:rPr>
          <w:rFonts w:cs="Arial"/>
        </w:rPr>
        <w:t xml:space="preserve">Inaccessibility of online platforms is a major concern for persons with disabilities. </w:t>
      </w:r>
      <w:r w:rsidR="001638FA" w:rsidRPr="009D6BCE">
        <w:rPr>
          <w:rFonts w:cs="Arial"/>
        </w:rPr>
        <w:t xml:space="preserve">Lack of accessibility leads to digital exclusion, lack of choice and lock-in effect for persons with disabilities. </w:t>
      </w:r>
    </w:p>
    <w:p w14:paraId="64D1E095" w14:textId="77777777" w:rsidR="00B05ABB" w:rsidRDefault="00C535DF" w:rsidP="009709A7">
      <w:pPr>
        <w:spacing w:after="240" w:line="276" w:lineRule="auto"/>
        <w:rPr>
          <w:rFonts w:cs="Arial"/>
        </w:rPr>
      </w:pPr>
      <w:r w:rsidRPr="009D6BCE">
        <w:rPr>
          <w:rFonts w:cs="Arial"/>
        </w:rPr>
        <w:t>To prevent digital exclusion</w:t>
      </w:r>
      <w:r w:rsidR="002840F1" w:rsidRPr="009D6BCE">
        <w:rPr>
          <w:rFonts w:cs="Arial"/>
        </w:rPr>
        <w:t>, having a design process that prioritises universal design (design for all) is a major driver of accessibility and inclusion.</w:t>
      </w:r>
      <w:r w:rsidR="005A0315">
        <w:rPr>
          <w:rFonts w:cs="Arial"/>
        </w:rPr>
        <w:t xml:space="preserve"> The EU and Member States are</w:t>
      </w:r>
      <w:r w:rsidR="00AD6F01">
        <w:rPr>
          <w:rFonts w:cs="Arial"/>
        </w:rPr>
        <w:t xml:space="preserve"> in fact</w:t>
      </w:r>
      <w:r w:rsidR="005A0315">
        <w:rPr>
          <w:rFonts w:cs="Arial"/>
        </w:rPr>
        <w:t xml:space="preserve"> obliged by the UN CRPD “to </w:t>
      </w:r>
      <w:r w:rsidR="005A0315" w:rsidRPr="005A0315">
        <w:rPr>
          <w:rFonts w:cs="Arial"/>
        </w:rPr>
        <w:t>undertake or promote research and development of universally designed goods, services, equipment and facilities</w:t>
      </w:r>
      <w:r w:rsidR="00AD6F01">
        <w:rPr>
          <w:rFonts w:cs="Arial"/>
        </w:rPr>
        <w:t>.”</w:t>
      </w:r>
      <w:r w:rsidR="00AD6F01">
        <w:rPr>
          <w:rStyle w:val="FootnoteReference"/>
          <w:rFonts w:cs="Arial"/>
        </w:rPr>
        <w:footnoteReference w:id="1"/>
      </w:r>
      <w:r w:rsidR="002840F1" w:rsidRPr="009D6BCE">
        <w:rPr>
          <w:rFonts w:cs="Arial"/>
        </w:rPr>
        <w:t xml:space="preserve"> </w:t>
      </w:r>
      <w:r w:rsidRPr="009D6BCE">
        <w:rPr>
          <w:rFonts w:cs="Arial"/>
        </w:rPr>
        <w:t xml:space="preserve">Thus, digital services and online platforms should be encouraged to apply the necessary changes internally to address a wider range </w:t>
      </w:r>
    </w:p>
    <w:p w14:paraId="6C2C051D" w14:textId="77777777" w:rsidR="00B05ABB" w:rsidRDefault="00B05ABB" w:rsidP="009709A7">
      <w:pPr>
        <w:spacing w:after="240" w:line="276" w:lineRule="auto"/>
        <w:rPr>
          <w:rFonts w:cs="Arial"/>
        </w:rPr>
      </w:pPr>
    </w:p>
    <w:p w14:paraId="6DF45F14" w14:textId="62A19708" w:rsidR="00C535DF" w:rsidRPr="009D6BCE" w:rsidRDefault="00C535DF" w:rsidP="009709A7">
      <w:pPr>
        <w:spacing w:after="240" w:line="276" w:lineRule="auto"/>
        <w:rPr>
          <w:rFonts w:cs="Arial"/>
        </w:rPr>
      </w:pPr>
      <w:r w:rsidRPr="009D6BCE">
        <w:rPr>
          <w:rFonts w:cs="Arial"/>
        </w:rPr>
        <w:t>of users</w:t>
      </w:r>
      <w:r w:rsidR="00EC3139" w:rsidRPr="009D6BCE">
        <w:rPr>
          <w:rFonts w:cs="Arial"/>
        </w:rPr>
        <w:t>.</w:t>
      </w:r>
      <w:r w:rsidRPr="009D6BCE">
        <w:rPr>
          <w:rStyle w:val="FootnoteReference"/>
          <w:rFonts w:cs="Arial"/>
        </w:rPr>
        <w:footnoteReference w:id="2"/>
      </w:r>
      <w:r w:rsidR="002B3E8A">
        <w:rPr>
          <w:rFonts w:cs="Arial"/>
        </w:rPr>
        <w:t xml:space="preserve"> This includes </w:t>
      </w:r>
      <w:r w:rsidR="002B3E8A" w:rsidRPr="002B3E8A">
        <w:rPr>
          <w:rFonts w:cs="Arial"/>
        </w:rPr>
        <w:t xml:space="preserve">involving potential users early and along the </w:t>
      </w:r>
      <w:r w:rsidR="002B3E8A">
        <w:rPr>
          <w:rFonts w:cs="Arial"/>
        </w:rPr>
        <w:t>development</w:t>
      </w:r>
      <w:r w:rsidR="002B3E8A" w:rsidRPr="002B3E8A">
        <w:rPr>
          <w:rFonts w:cs="Arial"/>
        </w:rPr>
        <w:t xml:space="preserve"> process to ensure access</w:t>
      </w:r>
      <w:r w:rsidR="002B3E8A">
        <w:rPr>
          <w:rFonts w:cs="Arial"/>
        </w:rPr>
        <w:t>ibility</w:t>
      </w:r>
      <w:r w:rsidR="002B3E8A" w:rsidRPr="002B3E8A">
        <w:rPr>
          <w:rFonts w:cs="Arial"/>
        </w:rPr>
        <w:t>.</w:t>
      </w:r>
    </w:p>
    <w:p w14:paraId="4868EEDD" w14:textId="4640D176" w:rsidR="00DD65C0" w:rsidRPr="009D6BCE" w:rsidRDefault="002840F1" w:rsidP="009709A7">
      <w:pPr>
        <w:spacing w:after="240" w:line="276" w:lineRule="auto"/>
        <w:rPr>
          <w:rFonts w:cs="Arial"/>
        </w:rPr>
      </w:pPr>
      <w:r w:rsidRPr="009D6BCE">
        <w:rPr>
          <w:rFonts w:cs="Arial"/>
        </w:rPr>
        <w:t xml:space="preserve">Compliance with existing digital accessibility </w:t>
      </w:r>
      <w:r w:rsidR="009D3BCB" w:rsidRPr="009D6BCE">
        <w:rPr>
          <w:rFonts w:cs="Arial"/>
        </w:rPr>
        <w:t xml:space="preserve">requirements must be </w:t>
      </w:r>
      <w:r w:rsidR="004A4010">
        <w:rPr>
          <w:rFonts w:cs="Arial"/>
        </w:rPr>
        <w:t>ensured</w:t>
      </w:r>
      <w:r w:rsidR="009D3BCB" w:rsidRPr="009D6BCE">
        <w:rPr>
          <w:rFonts w:cs="Arial"/>
        </w:rPr>
        <w:t xml:space="preserve"> by the</w:t>
      </w:r>
      <w:r w:rsidR="00B73D0B" w:rsidRPr="009D6BCE">
        <w:rPr>
          <w:rFonts w:cs="Arial"/>
        </w:rPr>
        <w:t xml:space="preserve"> upcoming Digital Services Act. </w:t>
      </w:r>
      <w:r w:rsidR="009D3BCB" w:rsidRPr="009D6BCE">
        <w:rPr>
          <w:rFonts w:cs="Arial"/>
        </w:rPr>
        <w:t xml:space="preserve">To fulfil these, accessibility </w:t>
      </w:r>
      <w:r w:rsidRPr="009D6BCE">
        <w:rPr>
          <w:rFonts w:cs="Arial"/>
        </w:rPr>
        <w:t xml:space="preserve">standards and guidelines </w:t>
      </w:r>
      <w:r w:rsidR="009D3BCB" w:rsidRPr="009D6BCE">
        <w:rPr>
          <w:rFonts w:cs="Arial"/>
        </w:rPr>
        <w:t xml:space="preserve">are the key </w:t>
      </w:r>
      <w:r w:rsidRPr="009D6BCE">
        <w:rPr>
          <w:rFonts w:cs="Arial"/>
        </w:rPr>
        <w:t xml:space="preserve">to ensure accessibility and interoperability </w:t>
      </w:r>
      <w:r w:rsidR="00C535DF" w:rsidRPr="009D6BCE">
        <w:rPr>
          <w:rFonts w:cs="Arial"/>
        </w:rPr>
        <w:t>with assistive technologies</w:t>
      </w:r>
      <w:r w:rsidRPr="009D6BCE">
        <w:rPr>
          <w:rFonts w:cs="Arial"/>
        </w:rPr>
        <w:t>.</w:t>
      </w:r>
      <w:r w:rsidR="00C70DB8" w:rsidRPr="009D6BCE">
        <w:rPr>
          <w:rStyle w:val="FootnoteReference"/>
          <w:rFonts w:cs="Arial"/>
        </w:rPr>
        <w:footnoteReference w:id="3"/>
      </w:r>
      <w:r w:rsidR="00C73661" w:rsidRPr="009D6BCE">
        <w:rPr>
          <w:rFonts w:cs="Arial"/>
        </w:rPr>
        <w:t xml:space="preserve"> Therefore, n</w:t>
      </w:r>
      <w:r w:rsidR="00DD65C0" w:rsidRPr="009D6BCE">
        <w:rPr>
          <w:rFonts w:cs="Arial"/>
        </w:rPr>
        <w:t>ew rules</w:t>
      </w:r>
      <w:r w:rsidR="00C73661" w:rsidRPr="009D6BCE">
        <w:rPr>
          <w:rFonts w:cs="Arial"/>
        </w:rPr>
        <w:t xml:space="preserve"> under the Digital Services Act</w:t>
      </w:r>
      <w:r w:rsidR="00DD65C0" w:rsidRPr="009D6BCE">
        <w:rPr>
          <w:rFonts w:cs="Arial"/>
        </w:rPr>
        <w:t xml:space="preserve"> </w:t>
      </w:r>
      <w:r w:rsidR="001638FA" w:rsidRPr="009D6BCE">
        <w:rPr>
          <w:rFonts w:cs="Arial"/>
        </w:rPr>
        <w:t>must</w:t>
      </w:r>
      <w:r w:rsidR="00DD65C0" w:rsidRPr="009D6BCE">
        <w:rPr>
          <w:rFonts w:cs="Arial"/>
        </w:rPr>
        <w:t xml:space="preserve"> be consistent with existing accessibility requirements </w:t>
      </w:r>
      <w:r w:rsidR="001638FA" w:rsidRPr="009D6BCE">
        <w:rPr>
          <w:rFonts w:cs="Arial"/>
        </w:rPr>
        <w:t>under</w:t>
      </w:r>
      <w:r w:rsidR="00DD65C0" w:rsidRPr="009D6BCE">
        <w:rPr>
          <w:rFonts w:cs="Arial"/>
        </w:rPr>
        <w:t xml:space="preserve"> other EU harmonisation legislation, particularly the </w:t>
      </w:r>
      <w:hyperlink r:id="rId15" w:history="1">
        <w:r w:rsidR="00DD65C0" w:rsidRPr="009D6BCE">
          <w:rPr>
            <w:rStyle w:val="Hyperlink"/>
            <w:rFonts w:cs="Arial"/>
          </w:rPr>
          <w:t>Web Accessibility Directive</w:t>
        </w:r>
      </w:hyperlink>
      <w:r w:rsidR="00DD65C0" w:rsidRPr="009D6BCE">
        <w:rPr>
          <w:rFonts w:cs="Arial"/>
        </w:rPr>
        <w:t xml:space="preserve">, and </w:t>
      </w:r>
      <w:r w:rsidR="00C73661" w:rsidRPr="009D6BCE">
        <w:rPr>
          <w:rFonts w:cs="Arial"/>
        </w:rPr>
        <w:t xml:space="preserve">the </w:t>
      </w:r>
      <w:hyperlink r:id="rId16" w:history="1">
        <w:r w:rsidR="00C73661" w:rsidRPr="009D6BCE">
          <w:rPr>
            <w:rStyle w:val="Hyperlink"/>
            <w:rFonts w:cs="Arial"/>
          </w:rPr>
          <w:t>European Accessibility Act</w:t>
        </w:r>
      </w:hyperlink>
      <w:r w:rsidR="00C73661" w:rsidRPr="009D6BCE">
        <w:rPr>
          <w:rFonts w:cs="Arial"/>
        </w:rPr>
        <w:t>.</w:t>
      </w:r>
    </w:p>
    <w:p w14:paraId="4C62C04B" w14:textId="568D8D76" w:rsidR="009D3BCB" w:rsidRPr="009D6BCE" w:rsidRDefault="009D3BCB" w:rsidP="009709A7">
      <w:pPr>
        <w:spacing w:after="240" w:line="276" w:lineRule="auto"/>
        <w:rPr>
          <w:rFonts w:cs="Arial"/>
        </w:rPr>
      </w:pPr>
      <w:r w:rsidRPr="009D6BCE">
        <w:rPr>
          <w:rFonts w:cs="Arial"/>
        </w:rPr>
        <w:t>This could mean more specifically to refer to the accessibility requirements for services laid down in Section III of Annex I of the European Accessibility Act. Among them, for example:</w:t>
      </w:r>
    </w:p>
    <w:p w14:paraId="0A7774E2" w14:textId="2BE6DA28" w:rsidR="009D3BCB" w:rsidRPr="009D6BCE" w:rsidRDefault="009D3BCB" w:rsidP="009709A7">
      <w:pPr>
        <w:spacing w:after="240" w:line="276" w:lineRule="auto"/>
        <w:ind w:left="708"/>
        <w:rPr>
          <w:rFonts w:cs="Arial"/>
        </w:rPr>
      </w:pPr>
      <w:r w:rsidRPr="009D6BCE">
        <w:rPr>
          <w:rFonts w:cs="Arial"/>
        </w:rPr>
        <w:t>“making websites, including the related online applications, and mobile device-based services, including mobile applications, accessible in a consistent and adequate way by making them perceivable, operable, understandable and robust”.</w:t>
      </w:r>
    </w:p>
    <w:p w14:paraId="2B440C56" w14:textId="51AC32C8" w:rsidR="009D3BCB" w:rsidRPr="009D6BCE" w:rsidRDefault="00DD0236" w:rsidP="009709A7">
      <w:pPr>
        <w:spacing w:after="240" w:line="276" w:lineRule="auto"/>
        <w:rPr>
          <w:rFonts w:cs="Arial"/>
        </w:rPr>
      </w:pPr>
      <w:r w:rsidRPr="009D6BCE">
        <w:rPr>
          <w:rFonts w:cs="Arial"/>
        </w:rPr>
        <w:t xml:space="preserve">By means of using harmonised European Standards, such as the </w:t>
      </w:r>
      <w:hyperlink r:id="rId17" w:history="1">
        <w:r w:rsidRPr="009D6BCE">
          <w:rPr>
            <w:rStyle w:val="Hyperlink"/>
            <w:rFonts w:cs="Arial"/>
          </w:rPr>
          <w:t>EN 301 549</w:t>
        </w:r>
      </w:hyperlink>
      <w:r w:rsidRPr="009D6BCE">
        <w:rPr>
          <w:rFonts w:cs="Arial"/>
        </w:rPr>
        <w:t>, online platforms and digital services will be able to prove compliance with the accessibility requirements set out in the legislation.</w:t>
      </w:r>
    </w:p>
    <w:p w14:paraId="40674F83" w14:textId="77777777" w:rsidR="00B05ABB" w:rsidRDefault="00DD0236" w:rsidP="009709A7">
      <w:pPr>
        <w:spacing w:after="240" w:line="276" w:lineRule="auto"/>
        <w:rPr>
          <w:rFonts w:cs="Arial"/>
        </w:rPr>
      </w:pPr>
      <w:r w:rsidRPr="009D6BCE">
        <w:rPr>
          <w:rFonts w:cs="Arial"/>
        </w:rPr>
        <w:t xml:space="preserve">When it comes to the authoring tools used by users of digital services and online platforms to upload content, these must also be covered by the accessibility requirements, as there are widely acknowledged guidelines to make them </w:t>
      </w:r>
    </w:p>
    <w:p w14:paraId="0C71681B" w14:textId="77777777" w:rsidR="00B05ABB" w:rsidRDefault="00B05ABB" w:rsidP="009709A7">
      <w:pPr>
        <w:spacing w:after="240" w:line="276" w:lineRule="auto"/>
        <w:rPr>
          <w:rFonts w:cs="Arial"/>
        </w:rPr>
      </w:pPr>
    </w:p>
    <w:p w14:paraId="5625014A" w14:textId="5662194C" w:rsidR="00DD0236" w:rsidRPr="009D6BCE" w:rsidRDefault="00DD0236" w:rsidP="009709A7">
      <w:pPr>
        <w:spacing w:after="240" w:line="276" w:lineRule="auto"/>
        <w:rPr>
          <w:rFonts w:cs="Arial"/>
        </w:rPr>
      </w:pPr>
      <w:r w:rsidRPr="009D6BCE">
        <w:rPr>
          <w:rFonts w:cs="Arial"/>
        </w:rPr>
        <w:t>accessible</w:t>
      </w:r>
      <w:r w:rsidR="00D123DE">
        <w:rPr>
          <w:rFonts w:cs="Arial"/>
        </w:rPr>
        <w:t>.</w:t>
      </w:r>
      <w:r w:rsidRPr="009D6BCE">
        <w:rPr>
          <w:rStyle w:val="FootnoteReference"/>
          <w:rFonts w:cs="Arial"/>
        </w:rPr>
        <w:footnoteReference w:id="4"/>
      </w:r>
      <w:r w:rsidRPr="009D6BCE">
        <w:rPr>
          <w:rFonts w:cs="Arial"/>
        </w:rPr>
        <w:t xml:space="preserve"> The online platforms should also</w:t>
      </w:r>
      <w:r w:rsidR="00ED2068" w:rsidRPr="009D6BCE">
        <w:rPr>
          <w:rFonts w:cs="Arial"/>
        </w:rPr>
        <w:t xml:space="preserve"> facilitate and encourage users to generate content which is accessible for persons with disabilities. For example, by adding alternative text on uploaded images or subtitles to video. </w:t>
      </w:r>
      <w:r w:rsidR="00750E6B">
        <w:rPr>
          <w:rFonts w:cs="Arial"/>
        </w:rPr>
        <w:t xml:space="preserve">It is essential to highlight that </w:t>
      </w:r>
      <w:r w:rsidR="00750E6B" w:rsidRPr="00750E6B">
        <w:rPr>
          <w:rFonts w:cs="Arial"/>
        </w:rPr>
        <w:t xml:space="preserve">persons with disabilities </w:t>
      </w:r>
      <w:r w:rsidR="00750E6B">
        <w:rPr>
          <w:rFonts w:cs="Arial"/>
        </w:rPr>
        <w:t>are</w:t>
      </w:r>
      <w:r w:rsidR="00750E6B" w:rsidRPr="00750E6B">
        <w:rPr>
          <w:rFonts w:cs="Arial"/>
        </w:rPr>
        <w:t xml:space="preserve"> </w:t>
      </w:r>
      <w:r w:rsidR="00750E6B">
        <w:rPr>
          <w:rFonts w:cs="Arial"/>
        </w:rPr>
        <w:t>also</w:t>
      </w:r>
      <w:r w:rsidR="00750E6B" w:rsidRPr="00750E6B">
        <w:rPr>
          <w:rFonts w:cs="Arial"/>
        </w:rPr>
        <w:t xml:space="preserve"> creators and professionals</w:t>
      </w:r>
      <w:r w:rsidR="00750E6B">
        <w:rPr>
          <w:rFonts w:cs="Arial"/>
        </w:rPr>
        <w:t xml:space="preserve">, and </w:t>
      </w:r>
      <w:r w:rsidR="00750E6B" w:rsidRPr="00750E6B">
        <w:rPr>
          <w:rFonts w:cs="Arial"/>
        </w:rPr>
        <w:t>not only</w:t>
      </w:r>
      <w:r w:rsidR="00750E6B">
        <w:rPr>
          <w:rFonts w:cs="Arial"/>
        </w:rPr>
        <w:t xml:space="preserve"> passive users of platforms and services, therefore accessibility of authoring tools, management systems should be guaranteed</w:t>
      </w:r>
      <w:r w:rsidR="00750E6B" w:rsidRPr="00750E6B">
        <w:rPr>
          <w:rFonts w:cs="Arial"/>
        </w:rPr>
        <w:t>.</w:t>
      </w:r>
      <w:r w:rsidR="00750E6B">
        <w:rPr>
          <w:rFonts w:cs="Arial"/>
        </w:rPr>
        <w:t xml:space="preserve"> </w:t>
      </w:r>
    </w:p>
    <w:p w14:paraId="0809CC01" w14:textId="389F02B0" w:rsidR="00B73D0B" w:rsidRPr="009D6BCE" w:rsidRDefault="001638FA" w:rsidP="009709A7">
      <w:pPr>
        <w:spacing w:after="240" w:line="276" w:lineRule="auto"/>
        <w:rPr>
          <w:rFonts w:cs="Arial"/>
        </w:rPr>
      </w:pPr>
      <w:r w:rsidRPr="009D6BCE">
        <w:rPr>
          <w:rFonts w:cs="Arial"/>
        </w:rPr>
        <w:t>Specifically, i</w:t>
      </w:r>
      <w:r w:rsidR="00DD65C0" w:rsidRPr="009D6BCE">
        <w:rPr>
          <w:rFonts w:cs="Arial"/>
        </w:rPr>
        <w:t xml:space="preserve">n relation to audiovisual </w:t>
      </w:r>
      <w:r w:rsidR="00DD0236" w:rsidRPr="009D6BCE">
        <w:rPr>
          <w:rFonts w:cs="Arial"/>
        </w:rPr>
        <w:t>content</w:t>
      </w:r>
      <w:r w:rsidR="00DD65C0" w:rsidRPr="009D6BCE">
        <w:rPr>
          <w:rFonts w:cs="Arial"/>
        </w:rPr>
        <w:t>, current EU law</w:t>
      </w:r>
      <w:r w:rsidR="00ED2068" w:rsidRPr="009D6BCE">
        <w:rPr>
          <w:rFonts w:cs="Arial"/>
        </w:rPr>
        <w:t>,</w:t>
      </w:r>
      <w:r w:rsidR="00DD65C0" w:rsidRPr="009D6BCE">
        <w:rPr>
          <w:rFonts w:cs="Arial"/>
        </w:rPr>
        <w:t xml:space="preserve"> </w:t>
      </w:r>
      <w:r w:rsidR="00ED2068" w:rsidRPr="009D6BCE">
        <w:rPr>
          <w:rFonts w:cs="Arial"/>
        </w:rPr>
        <w:t xml:space="preserve">the </w:t>
      </w:r>
      <w:r w:rsidR="00DD65C0" w:rsidRPr="009D6BCE">
        <w:rPr>
          <w:rFonts w:cs="Arial"/>
        </w:rPr>
        <w:t>Audiovisual Media Services Directive</w:t>
      </w:r>
      <w:r w:rsidR="00D123DE">
        <w:rPr>
          <w:rFonts w:cs="Arial"/>
        </w:rPr>
        <w:t xml:space="preserve"> (AVMSD)</w:t>
      </w:r>
      <w:r w:rsidR="00ED2068" w:rsidRPr="009D6BCE">
        <w:rPr>
          <w:rFonts w:cs="Arial"/>
        </w:rPr>
        <w:t xml:space="preserve"> obliges audiovisual media services provides to make their content progressively more accessible by means of adding access services. These access services are, among others, subtitles for the deaf and hard of hearing</w:t>
      </w:r>
      <w:r w:rsidR="00D123DE">
        <w:rPr>
          <w:rFonts w:cs="Arial"/>
        </w:rPr>
        <w:t xml:space="preserve"> (SDH)</w:t>
      </w:r>
      <w:r w:rsidR="00ED2068" w:rsidRPr="009D6BCE">
        <w:rPr>
          <w:rFonts w:cs="Arial"/>
        </w:rPr>
        <w:t xml:space="preserve"> or audio description. However, the AVMSD</w:t>
      </w:r>
      <w:r w:rsidR="00DD65C0" w:rsidRPr="009D6BCE">
        <w:rPr>
          <w:rFonts w:cs="Arial"/>
        </w:rPr>
        <w:t xml:space="preserve"> does not ensure accessibility of audiovisual content shared on </w:t>
      </w:r>
      <w:r w:rsidRPr="009D6BCE">
        <w:rPr>
          <w:rFonts w:cs="Arial"/>
        </w:rPr>
        <w:t xml:space="preserve">video-sharing platforms and social media, nor on </w:t>
      </w:r>
      <w:r w:rsidR="00DD65C0" w:rsidRPr="009D6BCE">
        <w:rPr>
          <w:rFonts w:cs="Arial"/>
        </w:rPr>
        <w:t>newspaper websites.</w:t>
      </w:r>
      <w:r w:rsidR="00ED2068" w:rsidRPr="009D6BCE">
        <w:rPr>
          <w:rFonts w:cs="Arial"/>
        </w:rPr>
        <w:t xml:space="preserve"> Furthermore, given that the AVMSD focuses on content, it does not ensure the accessibility of the video-sharing platforms either.</w:t>
      </w:r>
      <w:r w:rsidR="00D36361" w:rsidRPr="009D6BCE">
        <w:rPr>
          <w:rFonts w:cs="Arial"/>
        </w:rPr>
        <w:t xml:space="preserve"> </w:t>
      </w:r>
      <w:r w:rsidR="00DD65C0" w:rsidRPr="009D6BCE">
        <w:rPr>
          <w:rFonts w:cs="Arial"/>
        </w:rPr>
        <w:t xml:space="preserve">This legal gap needs to be filled with the coming Digital Services Act, which should ensure that accessibility requirements are applied to video-sharing platforms, </w:t>
      </w:r>
      <w:r w:rsidR="00ED2068" w:rsidRPr="009D6BCE">
        <w:rPr>
          <w:rFonts w:cs="Arial"/>
        </w:rPr>
        <w:t xml:space="preserve">as well as the </w:t>
      </w:r>
      <w:r w:rsidR="00DD65C0" w:rsidRPr="009D6BCE">
        <w:rPr>
          <w:rFonts w:cs="Arial"/>
        </w:rPr>
        <w:t>audiovisual</w:t>
      </w:r>
      <w:r w:rsidRPr="009D6BCE">
        <w:rPr>
          <w:rFonts w:cs="Arial"/>
        </w:rPr>
        <w:t xml:space="preserve"> content shared </w:t>
      </w:r>
      <w:r w:rsidR="00ED2068" w:rsidRPr="009D6BCE">
        <w:rPr>
          <w:rFonts w:cs="Arial"/>
        </w:rPr>
        <w:t xml:space="preserve">by </w:t>
      </w:r>
      <w:r w:rsidRPr="009D6BCE">
        <w:rPr>
          <w:rFonts w:cs="Arial"/>
        </w:rPr>
        <w:t>online media</w:t>
      </w:r>
      <w:r w:rsidR="00ED2068" w:rsidRPr="009D6BCE">
        <w:rPr>
          <w:rFonts w:cs="Arial"/>
        </w:rPr>
        <w:t xml:space="preserve"> with editorial responsibility</w:t>
      </w:r>
      <w:r w:rsidRPr="009D6BCE">
        <w:rPr>
          <w:rFonts w:cs="Arial"/>
        </w:rPr>
        <w:t xml:space="preserve">. </w:t>
      </w:r>
      <w:r w:rsidR="00763DA4" w:rsidRPr="009D6BCE">
        <w:rPr>
          <w:rFonts w:cs="Arial"/>
        </w:rPr>
        <w:t>As mentioned above, a</w:t>
      </w:r>
      <w:r w:rsidRPr="009D6BCE">
        <w:rPr>
          <w:rFonts w:cs="Arial"/>
        </w:rPr>
        <w:t>t</w:t>
      </w:r>
      <w:r w:rsidR="00DD65C0" w:rsidRPr="009D6BCE">
        <w:rPr>
          <w:rFonts w:cs="Arial"/>
        </w:rPr>
        <w:t xml:space="preserve"> minimum</w:t>
      </w:r>
      <w:r w:rsidR="00D36361" w:rsidRPr="009D6BCE">
        <w:rPr>
          <w:rFonts w:cs="Arial"/>
        </w:rPr>
        <w:t>,</w:t>
      </w:r>
      <w:r w:rsidR="00DD65C0" w:rsidRPr="009D6BCE">
        <w:rPr>
          <w:rFonts w:cs="Arial"/>
        </w:rPr>
        <w:t xml:space="preserve"> </w:t>
      </w:r>
      <w:r w:rsidRPr="009D6BCE">
        <w:rPr>
          <w:rFonts w:cs="Arial"/>
        </w:rPr>
        <w:t xml:space="preserve">it </w:t>
      </w:r>
      <w:r w:rsidR="00D36361" w:rsidRPr="009D6BCE">
        <w:rPr>
          <w:rFonts w:cs="Arial"/>
        </w:rPr>
        <w:t>should</w:t>
      </w:r>
      <w:r w:rsidRPr="009D6BCE">
        <w:rPr>
          <w:rFonts w:cs="Arial"/>
        </w:rPr>
        <w:t xml:space="preserve"> oblige video-sharing platforms to ensure</w:t>
      </w:r>
      <w:r w:rsidR="00DD65C0" w:rsidRPr="009D6BCE">
        <w:rPr>
          <w:rFonts w:cs="Arial"/>
        </w:rPr>
        <w:t xml:space="preserve"> the possibility for users to generate and publish accessible content through </w:t>
      </w:r>
      <w:r w:rsidRPr="009D6BCE">
        <w:rPr>
          <w:rFonts w:cs="Arial"/>
        </w:rPr>
        <w:t>making necessary online tools available free-of-charge</w:t>
      </w:r>
      <w:r w:rsidR="00DD65C0" w:rsidRPr="009D6BCE">
        <w:rPr>
          <w:rFonts w:cs="Arial"/>
        </w:rPr>
        <w:t>.</w:t>
      </w:r>
      <w:r w:rsidR="008A16E4" w:rsidRPr="009D6BCE">
        <w:rPr>
          <w:rFonts w:cs="Arial"/>
        </w:rPr>
        <w:t xml:space="preserve"> </w:t>
      </w:r>
      <w:r w:rsidR="005C78BC" w:rsidRPr="009D6BCE">
        <w:rPr>
          <w:rFonts w:cs="Arial"/>
        </w:rPr>
        <w:t xml:space="preserve">Legal persons </w:t>
      </w:r>
      <w:r w:rsidR="008A16E4" w:rsidRPr="009D6BCE">
        <w:rPr>
          <w:rFonts w:cs="Arial"/>
        </w:rPr>
        <w:t>using</w:t>
      </w:r>
      <w:r w:rsidR="005C78BC" w:rsidRPr="009D6BCE">
        <w:rPr>
          <w:rFonts w:cs="Arial"/>
        </w:rPr>
        <w:t xml:space="preserve"> digital services and online </w:t>
      </w:r>
      <w:r w:rsidR="008A16E4" w:rsidRPr="009D6BCE">
        <w:rPr>
          <w:rFonts w:cs="Arial"/>
        </w:rPr>
        <w:t>platforms</w:t>
      </w:r>
      <w:r w:rsidR="005C78BC" w:rsidRPr="009D6BCE">
        <w:rPr>
          <w:rFonts w:cs="Arial"/>
        </w:rPr>
        <w:t xml:space="preserve"> should be required </w:t>
      </w:r>
      <w:r w:rsidR="008A16E4" w:rsidRPr="009D6BCE">
        <w:rPr>
          <w:rFonts w:cs="Arial"/>
        </w:rPr>
        <w:t>to use these tools to create and share accessible content.</w:t>
      </w:r>
      <w:r w:rsidR="008A16E4" w:rsidRPr="009D6BCE" w:rsidDel="00763DA4">
        <w:rPr>
          <w:rFonts w:cs="Arial"/>
        </w:rPr>
        <w:t xml:space="preserve"> </w:t>
      </w:r>
    </w:p>
    <w:p w14:paraId="77E43487" w14:textId="77777777" w:rsidR="00B05ABB" w:rsidRDefault="008A16E4" w:rsidP="009709A7">
      <w:pPr>
        <w:spacing w:after="240" w:line="276" w:lineRule="auto"/>
        <w:rPr>
          <w:rFonts w:cs="Arial"/>
        </w:rPr>
      </w:pPr>
      <w:r w:rsidRPr="009D6BCE">
        <w:rPr>
          <w:rFonts w:cs="Arial"/>
        </w:rPr>
        <w:t>New development of online platforms and digital services should be accessible</w:t>
      </w:r>
      <w:r w:rsidR="004A4010">
        <w:rPr>
          <w:rFonts w:cs="Arial"/>
        </w:rPr>
        <w:t xml:space="preserve"> with a universal design approach</w:t>
      </w:r>
      <w:r w:rsidRPr="009D6BCE">
        <w:rPr>
          <w:rFonts w:cs="Arial"/>
        </w:rPr>
        <w:t xml:space="preserve">, and new players in the market should enter on similar grounds when it comes to accessibility. </w:t>
      </w:r>
      <w:r w:rsidR="005D6F8C" w:rsidRPr="009D6BCE">
        <w:rPr>
          <w:rFonts w:cs="Arial"/>
        </w:rPr>
        <w:t xml:space="preserve">This would ensure that </w:t>
      </w:r>
    </w:p>
    <w:p w14:paraId="4CA3EF42" w14:textId="77777777" w:rsidR="00B05ABB" w:rsidRDefault="00B05ABB" w:rsidP="009709A7">
      <w:pPr>
        <w:spacing w:after="240" w:line="276" w:lineRule="auto"/>
        <w:rPr>
          <w:rFonts w:cs="Arial"/>
        </w:rPr>
      </w:pPr>
    </w:p>
    <w:p w14:paraId="228A2F75" w14:textId="10011176" w:rsidR="004A4010" w:rsidRDefault="005D6F8C" w:rsidP="009709A7">
      <w:pPr>
        <w:spacing w:after="240" w:line="276" w:lineRule="auto"/>
        <w:rPr>
          <w:rFonts w:cs="Arial"/>
        </w:rPr>
      </w:pPr>
      <w:r w:rsidRPr="009D6BCE">
        <w:rPr>
          <w:rFonts w:cs="Arial"/>
        </w:rPr>
        <w:t>persons with disabilities equally benefit from new digital services and solutions, instead of being further excluded and left behind from innovation and progress</w:t>
      </w:r>
      <w:r w:rsidR="00B05ABB">
        <w:rPr>
          <w:rFonts w:cs="Arial"/>
        </w:rPr>
        <w:t xml:space="preserve"> </w:t>
      </w:r>
      <w:r w:rsidRPr="009D6BCE">
        <w:rPr>
          <w:rFonts w:cs="Arial"/>
        </w:rPr>
        <w:t>due to inaccessibility, which unfortunately still happens on even well-established digital platforms.</w:t>
      </w:r>
      <w:r w:rsidRPr="009D6BCE">
        <w:rPr>
          <w:rStyle w:val="FootnoteReference"/>
          <w:rFonts w:cs="Arial"/>
        </w:rPr>
        <w:footnoteReference w:id="5"/>
      </w:r>
      <w:r w:rsidRPr="009D6BCE">
        <w:rPr>
          <w:rFonts w:cs="Arial"/>
        </w:rPr>
        <w:t xml:space="preserve"> </w:t>
      </w:r>
    </w:p>
    <w:p w14:paraId="33884A5A" w14:textId="5DD04A71" w:rsidR="002840F1" w:rsidRPr="009D6BCE" w:rsidRDefault="004A3C4B" w:rsidP="009709A7">
      <w:pPr>
        <w:pStyle w:val="Heading1"/>
        <w:rPr>
          <w:rFonts w:cs="Arial"/>
        </w:rPr>
      </w:pPr>
      <w:bookmarkStart w:id="2" w:name="_Prevent_discriminatory_content,"/>
      <w:bookmarkEnd w:id="2"/>
      <w:r>
        <w:rPr>
          <w:rFonts w:cs="Arial"/>
        </w:rPr>
        <w:t xml:space="preserve">Preventing </w:t>
      </w:r>
      <w:r w:rsidR="002840F1" w:rsidRPr="009D6BCE">
        <w:rPr>
          <w:rFonts w:cs="Arial"/>
        </w:rPr>
        <w:t xml:space="preserve">discriminatory content, including hate speech on online platforms and services </w:t>
      </w:r>
    </w:p>
    <w:p w14:paraId="4A5773A3" w14:textId="77777777" w:rsidR="00F624A5" w:rsidRPr="009D6BCE" w:rsidRDefault="001326F8" w:rsidP="009709A7">
      <w:pPr>
        <w:spacing w:after="240" w:line="276" w:lineRule="auto"/>
        <w:rPr>
          <w:rFonts w:cs="Arial"/>
          <w:b/>
        </w:rPr>
      </w:pPr>
      <w:r w:rsidRPr="009D6BCE">
        <w:rPr>
          <w:rFonts w:cs="Arial"/>
          <w:b/>
        </w:rPr>
        <w:t>O</w:t>
      </w:r>
      <w:r w:rsidR="00DD65C0" w:rsidRPr="009D6BCE">
        <w:rPr>
          <w:rFonts w:cs="Arial"/>
          <w:b/>
        </w:rPr>
        <w:t xml:space="preserve">nline platforms </w:t>
      </w:r>
      <w:r w:rsidR="00F624A5" w:rsidRPr="009D6BCE">
        <w:rPr>
          <w:rFonts w:cs="Arial"/>
          <w:b/>
        </w:rPr>
        <w:t xml:space="preserve">and services </w:t>
      </w:r>
      <w:r w:rsidR="00DD65C0" w:rsidRPr="009D6BCE">
        <w:rPr>
          <w:rFonts w:cs="Arial"/>
          <w:b/>
        </w:rPr>
        <w:t xml:space="preserve">should </w:t>
      </w:r>
      <w:r w:rsidR="00F624A5" w:rsidRPr="009D6BCE">
        <w:rPr>
          <w:rFonts w:cs="Arial"/>
          <w:b/>
        </w:rPr>
        <w:t xml:space="preserve">take adequate measures to protect persons with disabilities from harmful, illegal content, including hate speech and cyberbullying. </w:t>
      </w:r>
    </w:p>
    <w:p w14:paraId="4AB2B1CD" w14:textId="04F74CC1" w:rsidR="00DD65C0" w:rsidRPr="009D6BCE" w:rsidRDefault="00F624A5" w:rsidP="009709A7">
      <w:pPr>
        <w:spacing w:after="240" w:line="276" w:lineRule="auto"/>
        <w:rPr>
          <w:rFonts w:cs="Arial"/>
        </w:rPr>
      </w:pPr>
      <w:r w:rsidRPr="009D6BCE">
        <w:rPr>
          <w:rFonts w:cs="Arial"/>
        </w:rPr>
        <w:t>Users of such services and platforms should be banned from</w:t>
      </w:r>
      <w:r w:rsidR="00DD65C0" w:rsidRPr="009D6BCE">
        <w:rPr>
          <w:rFonts w:cs="Arial"/>
        </w:rPr>
        <w:t xml:space="preserve"> sharing discriminatory, prejudiced, hateful content based on grounds such as disability, sex, race, ethnic, religious, cultural background, sexual orientation, identity and expression, sex characteristics, socio-economic</w:t>
      </w:r>
      <w:r w:rsidR="003654F9" w:rsidRPr="009D6BCE">
        <w:rPr>
          <w:rFonts w:cs="Arial"/>
        </w:rPr>
        <w:t>,</w:t>
      </w:r>
      <w:r w:rsidR="00DD65C0" w:rsidRPr="009D6BCE">
        <w:rPr>
          <w:rFonts w:cs="Arial"/>
        </w:rPr>
        <w:t xml:space="preserve"> or any other ground which can be used to marginalize certain groups of society. </w:t>
      </w:r>
    </w:p>
    <w:p w14:paraId="193B029C" w14:textId="10075EC3" w:rsidR="00224E71" w:rsidRPr="009D6BCE" w:rsidRDefault="003654F9" w:rsidP="009709A7">
      <w:pPr>
        <w:spacing w:after="240" w:line="276" w:lineRule="auto"/>
        <w:rPr>
          <w:rFonts w:cs="Arial"/>
        </w:rPr>
      </w:pPr>
      <w:r w:rsidRPr="009D6BCE">
        <w:rPr>
          <w:rFonts w:cs="Arial"/>
        </w:rPr>
        <w:t>Persons with disabilities are often at risk of online cybercrime or abuse</w:t>
      </w:r>
      <w:r w:rsidR="00224E71" w:rsidRPr="009D6BCE">
        <w:rPr>
          <w:rFonts w:cs="Arial"/>
        </w:rPr>
        <w:t>, discriminatory and misleading portray of disability, hate speec</w:t>
      </w:r>
      <w:r w:rsidR="00212EDF" w:rsidRPr="009D6BCE">
        <w:rPr>
          <w:rFonts w:cs="Arial"/>
        </w:rPr>
        <w:t>h</w:t>
      </w:r>
      <w:r w:rsidR="00224E71" w:rsidRPr="009D6BCE">
        <w:rPr>
          <w:rFonts w:cs="Arial"/>
        </w:rPr>
        <w:t xml:space="preserve"> or cyber-bullying. As a matter of fact, the Council of Europe report on children with disabilities in the digital environment</w:t>
      </w:r>
      <w:r w:rsidR="00224E71" w:rsidRPr="009D6BCE">
        <w:rPr>
          <w:rStyle w:val="FootnoteReference"/>
          <w:rFonts w:cs="Arial"/>
        </w:rPr>
        <w:footnoteReference w:id="6"/>
      </w:r>
      <w:r w:rsidR="00224E71" w:rsidRPr="009D6BCE">
        <w:rPr>
          <w:rFonts w:cs="Arial"/>
        </w:rPr>
        <w:t xml:space="preserve"> </w:t>
      </w:r>
      <w:r w:rsidR="00AC2EDD" w:rsidRPr="009D6BCE">
        <w:rPr>
          <w:rFonts w:cs="Arial"/>
        </w:rPr>
        <w:t>proves that surveyed c</w:t>
      </w:r>
      <w:r w:rsidR="00224E71" w:rsidRPr="009D6BCE">
        <w:rPr>
          <w:rFonts w:cs="Arial"/>
        </w:rPr>
        <w:t>hildren</w:t>
      </w:r>
      <w:r w:rsidR="00AC2EDD" w:rsidRPr="009D6BCE">
        <w:rPr>
          <w:rFonts w:cs="Arial"/>
        </w:rPr>
        <w:t xml:space="preserve"> with disabilities</w:t>
      </w:r>
      <w:r w:rsidR="00224E71" w:rsidRPr="009D6BCE">
        <w:rPr>
          <w:rFonts w:cs="Arial"/>
        </w:rPr>
        <w:t xml:space="preserve"> were unanimous in saying that they did not disclose their disability online</w:t>
      </w:r>
      <w:r w:rsidR="00AC2EDD" w:rsidRPr="009D6BCE">
        <w:rPr>
          <w:rFonts w:cs="Arial"/>
        </w:rPr>
        <w:t>, because of fear that doing</w:t>
      </w:r>
      <w:r w:rsidR="00212EDF" w:rsidRPr="009D6BCE">
        <w:rPr>
          <w:rFonts w:cs="Arial"/>
        </w:rPr>
        <w:t xml:space="preserve"> so</w:t>
      </w:r>
      <w:r w:rsidR="00AC2EDD" w:rsidRPr="009D6BCE">
        <w:rPr>
          <w:rFonts w:cs="Arial"/>
        </w:rPr>
        <w:t xml:space="preserve"> would lead to discrimination or rejection. Besides, some children also highlighted that their assistive technology is a somewhat unwelcome signifier of their disability. A more specific and well</w:t>
      </w:r>
      <w:r w:rsidR="009B40B3" w:rsidRPr="009D6BCE">
        <w:rPr>
          <w:rFonts w:cs="Arial"/>
        </w:rPr>
        <w:t>-</w:t>
      </w:r>
      <w:r w:rsidR="00AC2EDD" w:rsidRPr="009D6BCE">
        <w:rPr>
          <w:rFonts w:cs="Arial"/>
        </w:rPr>
        <w:t xml:space="preserve">known example was the </w:t>
      </w:r>
      <w:r w:rsidR="009B40B3" w:rsidRPr="009D6BCE">
        <w:rPr>
          <w:rFonts w:cs="Arial"/>
        </w:rPr>
        <w:t>cyberbullying</w:t>
      </w:r>
      <w:r w:rsidR="00AC2EDD" w:rsidRPr="009D6BCE">
        <w:rPr>
          <w:rFonts w:cs="Arial"/>
        </w:rPr>
        <w:t xml:space="preserve"> against Greta </w:t>
      </w:r>
      <w:r w:rsidR="009B40B3" w:rsidRPr="009D6BCE">
        <w:rPr>
          <w:rFonts w:cs="Arial"/>
        </w:rPr>
        <w:t xml:space="preserve">Thunberg </w:t>
      </w:r>
      <w:r w:rsidR="00AC2EDD" w:rsidRPr="009D6BCE">
        <w:rPr>
          <w:rFonts w:cs="Arial"/>
        </w:rPr>
        <w:t>because of her disability.</w:t>
      </w:r>
      <w:r w:rsidR="00212EDF" w:rsidRPr="009D6BCE">
        <w:rPr>
          <w:rStyle w:val="FootnoteReference"/>
          <w:rFonts w:cs="Arial"/>
        </w:rPr>
        <w:footnoteReference w:id="7"/>
      </w:r>
    </w:p>
    <w:p w14:paraId="009FF9D1" w14:textId="77777777" w:rsidR="00B05ABB" w:rsidRDefault="00B05ABB" w:rsidP="009709A7">
      <w:pPr>
        <w:spacing w:after="240" w:line="276" w:lineRule="auto"/>
        <w:rPr>
          <w:rFonts w:cs="Arial"/>
        </w:rPr>
      </w:pPr>
    </w:p>
    <w:p w14:paraId="745C3981" w14:textId="14078C59" w:rsidR="00AC2EDD" w:rsidRPr="009D6BCE" w:rsidRDefault="00AC2EDD" w:rsidP="009709A7">
      <w:pPr>
        <w:spacing w:after="240" w:line="276" w:lineRule="auto"/>
        <w:rPr>
          <w:rFonts w:cs="Arial"/>
        </w:rPr>
      </w:pPr>
      <w:r w:rsidRPr="009D6BCE">
        <w:rPr>
          <w:rFonts w:cs="Arial"/>
        </w:rPr>
        <w:t xml:space="preserve">Persons with intellectual and psychosocial disabilities are among the most exposed to harmful content and behaviours, as proven by the Inclusion Europe report </w:t>
      </w:r>
      <w:proofErr w:type="spellStart"/>
      <w:r w:rsidRPr="009D6BCE">
        <w:rPr>
          <w:rFonts w:cs="Arial"/>
        </w:rPr>
        <w:t>BeSafe</w:t>
      </w:r>
      <w:proofErr w:type="spellEnd"/>
      <w:r w:rsidR="003F26B1" w:rsidRPr="009D6BCE">
        <w:rPr>
          <w:rFonts w:cs="Arial"/>
        </w:rPr>
        <w:t>.</w:t>
      </w:r>
      <w:r w:rsidR="009B40B3" w:rsidRPr="009D6BCE">
        <w:rPr>
          <w:rStyle w:val="FootnoteReference"/>
          <w:rFonts w:cs="Arial"/>
        </w:rPr>
        <w:footnoteReference w:id="8"/>
      </w:r>
      <w:r w:rsidRPr="009D6BCE">
        <w:rPr>
          <w:rFonts w:cs="Arial"/>
        </w:rPr>
        <w:t xml:space="preserve"> This set of case studies shows examples of </w:t>
      </w:r>
      <w:r w:rsidRPr="009D6BCE">
        <w:t>unwanted publication of photos, unw</w:t>
      </w:r>
      <w:r w:rsidR="00FF4AAD">
        <w:t>anted contacts, privacy issues</w:t>
      </w:r>
      <w:r w:rsidRPr="009D6BCE">
        <w:t>, identity theft, harassment, attempted abuse, money extortion, and blackmail following the sharing of intimate photos, among others.</w:t>
      </w:r>
      <w:r w:rsidRPr="009D6BCE">
        <w:rPr>
          <w:rFonts w:cs="Arial"/>
        </w:rPr>
        <w:t xml:space="preserve"> </w:t>
      </w:r>
    </w:p>
    <w:p w14:paraId="61538671" w14:textId="5EBC8553" w:rsidR="003654F9" w:rsidRPr="009D6BCE" w:rsidRDefault="00B2205F" w:rsidP="009709A7">
      <w:pPr>
        <w:spacing w:after="240" w:line="276" w:lineRule="auto"/>
        <w:rPr>
          <w:rFonts w:cs="Arial"/>
        </w:rPr>
      </w:pPr>
      <w:r w:rsidRPr="009D6BCE">
        <w:rPr>
          <w:rFonts w:cs="Arial"/>
        </w:rPr>
        <w:t>In addition</w:t>
      </w:r>
      <w:r w:rsidR="003654F9" w:rsidRPr="009D6BCE">
        <w:rPr>
          <w:rFonts w:cs="Arial"/>
        </w:rPr>
        <w:t>, Europe has seen a rise in violence against women, including online, and this is also affecting women and girls with disabilities.</w:t>
      </w:r>
      <w:r w:rsidR="003654F9" w:rsidRPr="009D6BCE">
        <w:rPr>
          <w:rStyle w:val="FootnoteReference"/>
          <w:rFonts w:cs="Arial"/>
        </w:rPr>
        <w:footnoteReference w:id="9"/>
      </w:r>
      <w:r w:rsidR="003654F9" w:rsidRPr="009D6BCE">
        <w:rPr>
          <w:rFonts w:cs="Arial"/>
        </w:rPr>
        <w:t xml:space="preserve"> Intersection of disability with other grounds, such as race, sexual orientation and identity, ethnic or cultural background, can exacerbate discrimination of persons with disabilities online, if adequate protective measures are not put in place to protect their right to non-discrimination and date privacy in the digital domain. This can have a severe impact on their mental health, but also affect their participation in online activities and engagement on social media platforms. It is therefore important that online platforms put in place adequate measures to ensure persons with disabilities are protected from cyberbullying and harmful (illegal) content.</w:t>
      </w:r>
    </w:p>
    <w:p w14:paraId="63EB4035" w14:textId="77777777" w:rsidR="00B05ABB" w:rsidRDefault="003654F9" w:rsidP="009709A7">
      <w:pPr>
        <w:spacing w:after="240" w:line="276" w:lineRule="auto"/>
        <w:rPr>
          <w:rFonts w:cs="Arial"/>
        </w:rPr>
      </w:pPr>
      <w:r w:rsidRPr="009D6BCE">
        <w:rPr>
          <w:rFonts w:cs="Arial"/>
        </w:rPr>
        <w:t xml:space="preserve">Such measures and prohibition should apply to </w:t>
      </w:r>
      <w:r w:rsidR="00494399">
        <w:rPr>
          <w:rFonts w:cs="Arial"/>
        </w:rPr>
        <w:t xml:space="preserve">discriminatory, prejudiced </w:t>
      </w:r>
      <w:r w:rsidR="00494399" w:rsidRPr="00494399">
        <w:rPr>
          <w:rFonts w:cs="Arial"/>
        </w:rPr>
        <w:t>content based on grounds such as disability, sex, race, ethnic, religious, cultural background, sexual orientation, identity and expression, sex characteristics, socio-economic or any other ground which can be used to marginalize certain groups of society</w:t>
      </w:r>
      <w:r w:rsidRPr="009D6BCE">
        <w:rPr>
          <w:rFonts w:cs="Arial"/>
        </w:rPr>
        <w:t xml:space="preserve">. Example of such can be promoting </w:t>
      </w:r>
      <w:r w:rsidR="00F624A5" w:rsidRPr="009D6BCE">
        <w:rPr>
          <w:rFonts w:cs="Arial"/>
        </w:rPr>
        <w:t xml:space="preserve">segregated </w:t>
      </w:r>
      <w:r w:rsidRPr="009D6BCE">
        <w:rPr>
          <w:rFonts w:cs="Arial"/>
        </w:rPr>
        <w:t xml:space="preserve">institutional care for persons with disabilities, </w:t>
      </w:r>
      <w:r w:rsidR="00F624A5" w:rsidRPr="009D6BCE">
        <w:rPr>
          <w:rFonts w:cs="Arial"/>
        </w:rPr>
        <w:t>advertisements</w:t>
      </w:r>
      <w:r w:rsidRPr="009D6BCE">
        <w:rPr>
          <w:rFonts w:cs="Arial"/>
        </w:rPr>
        <w:t xml:space="preserve"> based on outdated ideas on gender roles, fetishizing persons because of their skin-colour, fat-shaming, to name a few.</w:t>
      </w:r>
      <w:r w:rsidR="0021513E">
        <w:rPr>
          <w:rFonts w:cs="Arial"/>
        </w:rPr>
        <w:t xml:space="preserve"> In the meantime, clarifying the definition of harmful content and its </w:t>
      </w:r>
    </w:p>
    <w:p w14:paraId="6D2F1166" w14:textId="77777777" w:rsidR="00B05ABB" w:rsidRDefault="00B05ABB" w:rsidP="009709A7">
      <w:pPr>
        <w:spacing w:after="240" w:line="276" w:lineRule="auto"/>
        <w:rPr>
          <w:rFonts w:cs="Arial"/>
        </w:rPr>
      </w:pPr>
    </w:p>
    <w:p w14:paraId="4EBD5ED8" w14:textId="77777777" w:rsidR="00B05ABB" w:rsidRDefault="00B05ABB" w:rsidP="009709A7">
      <w:pPr>
        <w:spacing w:after="240" w:line="276" w:lineRule="auto"/>
        <w:rPr>
          <w:rFonts w:cs="Arial"/>
        </w:rPr>
      </w:pPr>
    </w:p>
    <w:p w14:paraId="194278FE" w14:textId="41BB6FD0" w:rsidR="003654F9" w:rsidRPr="009D6BCE" w:rsidRDefault="0021513E" w:rsidP="009709A7">
      <w:pPr>
        <w:spacing w:after="240" w:line="276" w:lineRule="auto"/>
        <w:rPr>
          <w:rFonts w:cs="Arial"/>
        </w:rPr>
      </w:pPr>
      <w:r>
        <w:rPr>
          <w:rFonts w:cs="Arial"/>
        </w:rPr>
        <w:t xml:space="preserve">distinction from illegal content is important, to </w:t>
      </w:r>
      <w:r w:rsidR="00494399">
        <w:rPr>
          <w:rFonts w:cs="Arial"/>
        </w:rPr>
        <w:t xml:space="preserve">avoid </w:t>
      </w:r>
      <w:r>
        <w:rPr>
          <w:rFonts w:cs="Arial"/>
        </w:rPr>
        <w:t xml:space="preserve">arbitrary abuse against freedom of opinion and expression. </w:t>
      </w:r>
      <w:r w:rsidR="00494399">
        <w:rPr>
          <w:rFonts w:cs="Arial"/>
        </w:rPr>
        <w:t xml:space="preserve"> </w:t>
      </w:r>
    </w:p>
    <w:p w14:paraId="49073C88" w14:textId="77777777" w:rsidR="00E01BC9" w:rsidRPr="009D6BCE" w:rsidRDefault="002840F1" w:rsidP="009709A7">
      <w:pPr>
        <w:spacing w:after="240" w:line="276" w:lineRule="auto"/>
        <w:rPr>
          <w:rFonts w:cs="Arial"/>
        </w:rPr>
      </w:pPr>
      <w:r w:rsidRPr="009D6BCE">
        <w:rPr>
          <w:rFonts w:cs="Arial"/>
        </w:rPr>
        <w:t>Platforms should make sure discretion of policies and measures is easy to</w:t>
      </w:r>
      <w:r w:rsidR="00236A85" w:rsidRPr="009D6BCE">
        <w:rPr>
          <w:rFonts w:cs="Arial"/>
        </w:rPr>
        <w:t xml:space="preserve"> find and </w:t>
      </w:r>
      <w:r w:rsidRPr="009D6BCE">
        <w:rPr>
          <w:rFonts w:cs="Arial"/>
        </w:rPr>
        <w:t>understand</w:t>
      </w:r>
      <w:r w:rsidR="00236A85" w:rsidRPr="009D6BCE">
        <w:rPr>
          <w:rFonts w:cs="Arial"/>
        </w:rPr>
        <w:t>, and accessible</w:t>
      </w:r>
      <w:r w:rsidRPr="009D6BCE">
        <w:rPr>
          <w:rFonts w:cs="Arial"/>
        </w:rPr>
        <w:t xml:space="preserve"> for users, avoiding long texts, complicated legal and technical terminology and acronyms. </w:t>
      </w:r>
      <w:r w:rsidR="00236A85" w:rsidRPr="009D6BCE">
        <w:rPr>
          <w:rFonts w:cs="Arial"/>
        </w:rPr>
        <w:t>Information on how to seek remedies in cases of harmful content, hate speech and cyberbullying should also be accessible, easy to find, understand and use. Clear in</w:t>
      </w:r>
      <w:r w:rsidRPr="009D6BCE">
        <w:rPr>
          <w:rFonts w:cs="Arial"/>
        </w:rPr>
        <w:t xml:space="preserve">structions and step by step guidance should be provided to users on how to report any harmful or illegal contact. Follow-up reporting by platforms should </w:t>
      </w:r>
      <w:r w:rsidR="00236A85" w:rsidRPr="009D6BCE">
        <w:rPr>
          <w:rFonts w:cs="Arial"/>
        </w:rPr>
        <w:t>also</w:t>
      </w:r>
      <w:r w:rsidRPr="009D6BCE">
        <w:rPr>
          <w:rFonts w:cs="Arial"/>
        </w:rPr>
        <w:t xml:space="preserve"> </w:t>
      </w:r>
      <w:r w:rsidR="00236A85" w:rsidRPr="009D6BCE">
        <w:rPr>
          <w:rFonts w:cs="Arial"/>
        </w:rPr>
        <w:t xml:space="preserve">be </w:t>
      </w:r>
      <w:r w:rsidRPr="009D6BCE">
        <w:rPr>
          <w:rFonts w:cs="Arial"/>
        </w:rPr>
        <w:t>simple and straightforward.</w:t>
      </w:r>
    </w:p>
    <w:p w14:paraId="3C11CE71" w14:textId="3BB5D125" w:rsidR="00DD65C0" w:rsidRPr="009D6BCE" w:rsidRDefault="00E01BC9" w:rsidP="009709A7">
      <w:pPr>
        <w:spacing w:after="240" w:line="276" w:lineRule="auto"/>
        <w:rPr>
          <w:rFonts w:cs="Arial"/>
        </w:rPr>
      </w:pPr>
      <w:r w:rsidRPr="009D6BCE">
        <w:rPr>
          <w:rFonts w:cs="Arial"/>
        </w:rPr>
        <w:t xml:space="preserve">In addition to accessibility, </w:t>
      </w:r>
      <w:r w:rsidR="009D6BCE" w:rsidRPr="009D6BCE">
        <w:rPr>
          <w:rFonts w:cs="Arial"/>
        </w:rPr>
        <w:t>to</w:t>
      </w:r>
      <w:r w:rsidRPr="009D6BCE">
        <w:rPr>
          <w:rFonts w:cs="Arial"/>
        </w:rPr>
        <w:t xml:space="preserve"> ensure the understandability of these remedial procedures, the Digital Services Act must require that information </w:t>
      </w:r>
      <w:r w:rsidR="009B40B3" w:rsidRPr="009D6BCE">
        <w:rPr>
          <w:rFonts w:cs="Arial"/>
        </w:rPr>
        <w:t>is</w:t>
      </w:r>
      <w:r w:rsidRPr="009D6BCE">
        <w:rPr>
          <w:rFonts w:cs="Arial"/>
        </w:rPr>
        <w:t xml:space="preserve"> understandable, without exceeding a level of complexity superior to level B1 of the Council of Europe’s Common European Framework of Reference for Languages, as well as important information to be provided on easy-to-read format.</w:t>
      </w:r>
      <w:r w:rsidR="009B40B3" w:rsidRPr="009D6BCE">
        <w:rPr>
          <w:rStyle w:val="FootnoteReference"/>
          <w:rFonts w:cs="Arial"/>
        </w:rPr>
        <w:footnoteReference w:id="10"/>
      </w:r>
      <w:r w:rsidR="00236A85" w:rsidRPr="009D6BCE">
        <w:rPr>
          <w:rFonts w:cs="Arial"/>
        </w:rPr>
        <w:t xml:space="preserve"> </w:t>
      </w:r>
    </w:p>
    <w:p w14:paraId="25FD94AB" w14:textId="1F380B15" w:rsidR="00DD65C0" w:rsidRPr="009D6BCE" w:rsidRDefault="004A3C4B" w:rsidP="009709A7">
      <w:pPr>
        <w:pStyle w:val="Heading1"/>
        <w:rPr>
          <w:rFonts w:cs="Arial"/>
        </w:rPr>
      </w:pPr>
      <w:bookmarkStart w:id="3" w:name="_Ensure_right_to"/>
      <w:bookmarkEnd w:id="3"/>
      <w:r>
        <w:rPr>
          <w:rFonts w:cs="Arial"/>
        </w:rPr>
        <w:t>Ensuring</w:t>
      </w:r>
      <w:r w:rsidR="00DD65C0" w:rsidRPr="009D6BCE">
        <w:rPr>
          <w:rFonts w:cs="Arial"/>
        </w:rPr>
        <w:t xml:space="preserve"> right to privacy and protection of personal data of persons with disabilities </w:t>
      </w:r>
    </w:p>
    <w:p w14:paraId="2C95B210" w14:textId="60A70AFD" w:rsidR="00236A85" w:rsidRPr="009D6BCE" w:rsidRDefault="00236A85" w:rsidP="009709A7">
      <w:pPr>
        <w:spacing w:after="240" w:line="276" w:lineRule="auto"/>
        <w:rPr>
          <w:rFonts w:cs="Arial"/>
          <w:szCs w:val="28"/>
        </w:rPr>
      </w:pPr>
      <w:r w:rsidRPr="009D6BCE">
        <w:rPr>
          <w:rFonts w:cs="Arial"/>
          <w:b/>
          <w:szCs w:val="28"/>
        </w:rPr>
        <w:t xml:space="preserve">Strict rules should apply to prohibit online platforms and digital services from forcing users to give up their privacy rights and personal data </w:t>
      </w:r>
      <w:r w:rsidR="0028191A" w:rsidRPr="009D6BCE">
        <w:rPr>
          <w:rFonts w:cs="Arial"/>
          <w:b/>
          <w:szCs w:val="28"/>
        </w:rPr>
        <w:t>to</w:t>
      </w:r>
      <w:r w:rsidRPr="009D6BCE">
        <w:rPr>
          <w:rFonts w:cs="Arial"/>
          <w:b/>
          <w:szCs w:val="28"/>
        </w:rPr>
        <w:t xml:space="preserve"> be able benefit from their services</w:t>
      </w:r>
      <w:r w:rsidR="009026D8" w:rsidRPr="009D6BCE">
        <w:rPr>
          <w:rFonts w:cs="Arial"/>
          <w:b/>
          <w:szCs w:val="28"/>
        </w:rPr>
        <w:t>, including to disclose their disability or to benefit from data derived from the use of assistive technologies</w:t>
      </w:r>
      <w:r w:rsidRPr="009D6BCE">
        <w:rPr>
          <w:rFonts w:cs="Arial"/>
          <w:b/>
          <w:szCs w:val="28"/>
        </w:rPr>
        <w:t>.</w:t>
      </w:r>
      <w:r w:rsidR="009026D8" w:rsidRPr="009D6BCE">
        <w:rPr>
          <w:rFonts w:cs="Arial"/>
          <w:b/>
          <w:szCs w:val="28"/>
        </w:rPr>
        <w:t xml:space="preserve"> </w:t>
      </w:r>
    </w:p>
    <w:p w14:paraId="6B2CBB5E" w14:textId="77777777" w:rsidR="00B05ABB" w:rsidRDefault="00B05ABB" w:rsidP="009709A7">
      <w:pPr>
        <w:spacing w:after="240" w:line="276" w:lineRule="auto"/>
        <w:rPr>
          <w:rFonts w:cs="Arial"/>
          <w:szCs w:val="28"/>
        </w:rPr>
      </w:pPr>
    </w:p>
    <w:p w14:paraId="26FC268E" w14:textId="77777777" w:rsidR="00B05ABB" w:rsidRDefault="00B05ABB" w:rsidP="009709A7">
      <w:pPr>
        <w:spacing w:after="240" w:line="276" w:lineRule="auto"/>
        <w:rPr>
          <w:rFonts w:cs="Arial"/>
          <w:szCs w:val="28"/>
        </w:rPr>
      </w:pPr>
    </w:p>
    <w:p w14:paraId="22C7B8EC" w14:textId="77777777" w:rsidR="00B05ABB" w:rsidRDefault="00B05ABB" w:rsidP="009709A7">
      <w:pPr>
        <w:spacing w:after="240" w:line="276" w:lineRule="auto"/>
        <w:rPr>
          <w:rFonts w:cs="Arial"/>
          <w:szCs w:val="28"/>
        </w:rPr>
      </w:pPr>
    </w:p>
    <w:p w14:paraId="5D2044CE" w14:textId="566AB816" w:rsidR="00236A85" w:rsidRPr="009D6BCE" w:rsidRDefault="00236A85" w:rsidP="009709A7">
      <w:pPr>
        <w:spacing w:after="240" w:line="276" w:lineRule="auto"/>
        <w:rPr>
          <w:rFonts w:cs="Arial"/>
          <w:szCs w:val="28"/>
        </w:rPr>
      </w:pPr>
      <w:r w:rsidRPr="009D6BCE">
        <w:rPr>
          <w:rFonts w:cs="Arial"/>
          <w:szCs w:val="28"/>
        </w:rPr>
        <w:t xml:space="preserve">Even though users are asked for consent to share their data, they are not given the choice to reject </w:t>
      </w:r>
      <w:r w:rsidR="0028191A" w:rsidRPr="009D6BCE">
        <w:rPr>
          <w:rFonts w:cs="Arial"/>
          <w:szCs w:val="28"/>
        </w:rPr>
        <w:t>and</w:t>
      </w:r>
      <w:r w:rsidRPr="009D6BCE">
        <w:rPr>
          <w:rFonts w:cs="Arial"/>
          <w:szCs w:val="28"/>
        </w:rPr>
        <w:t xml:space="preserve"> still use the platform. Essentially, they are being forced to buy the right to use what is presented a</w:t>
      </w:r>
      <w:r w:rsidR="00DC590F" w:rsidRPr="009D6BCE">
        <w:rPr>
          <w:rFonts w:cs="Arial"/>
          <w:szCs w:val="28"/>
        </w:rPr>
        <w:t>s a</w:t>
      </w:r>
      <w:r w:rsidRPr="009D6BCE">
        <w:rPr>
          <w:rFonts w:cs="Arial"/>
          <w:szCs w:val="28"/>
        </w:rPr>
        <w:t xml:space="preserve"> free online service (</w:t>
      </w:r>
      <w:r w:rsidR="0028191A" w:rsidRPr="009D6BCE">
        <w:rPr>
          <w:rFonts w:cs="Arial"/>
          <w:szCs w:val="28"/>
        </w:rPr>
        <w:t>e.g.</w:t>
      </w:r>
      <w:r w:rsidRPr="009D6BCE">
        <w:rPr>
          <w:rFonts w:cs="Arial"/>
          <w:szCs w:val="28"/>
        </w:rPr>
        <w:t xml:space="preserve"> online</w:t>
      </w:r>
      <w:r w:rsidR="00B05ABB">
        <w:rPr>
          <w:rFonts w:cs="Arial"/>
          <w:szCs w:val="28"/>
        </w:rPr>
        <w:t xml:space="preserve"> </w:t>
      </w:r>
      <w:r w:rsidRPr="009D6BCE">
        <w:rPr>
          <w:rFonts w:cs="Arial"/>
          <w:szCs w:val="28"/>
        </w:rPr>
        <w:t xml:space="preserve">platform) by paying with their valuable </w:t>
      </w:r>
      <w:r w:rsidR="0028191A" w:rsidRPr="009D6BCE">
        <w:rPr>
          <w:rFonts w:cs="Arial"/>
          <w:szCs w:val="28"/>
        </w:rPr>
        <w:t xml:space="preserve">personal </w:t>
      </w:r>
      <w:r w:rsidRPr="009D6BCE">
        <w:rPr>
          <w:rFonts w:cs="Arial"/>
          <w:szCs w:val="28"/>
        </w:rPr>
        <w:t>data</w:t>
      </w:r>
      <w:r w:rsidR="0028191A" w:rsidRPr="009D6BCE">
        <w:rPr>
          <w:rFonts w:cs="Arial"/>
          <w:szCs w:val="28"/>
        </w:rPr>
        <w:t xml:space="preserve"> (e.g. name, contact information, list of contacts, location, etc.)</w:t>
      </w:r>
      <w:r w:rsidRPr="009D6BCE">
        <w:rPr>
          <w:rFonts w:cs="Arial"/>
          <w:szCs w:val="28"/>
        </w:rPr>
        <w:t xml:space="preserve">.  </w:t>
      </w:r>
      <w:r w:rsidR="0028191A" w:rsidRPr="009D6BCE">
        <w:rPr>
          <w:rFonts w:cs="Arial"/>
          <w:szCs w:val="28"/>
        </w:rPr>
        <w:t xml:space="preserve"> </w:t>
      </w:r>
    </w:p>
    <w:p w14:paraId="027C5126" w14:textId="77777777" w:rsidR="0028191A" w:rsidRPr="009D6BCE" w:rsidRDefault="00DD65C0" w:rsidP="009709A7">
      <w:pPr>
        <w:pStyle w:val="Textbody"/>
        <w:spacing w:before="6" w:after="240" w:line="276" w:lineRule="auto"/>
        <w:rPr>
          <w:rFonts w:ascii="Arial" w:eastAsia="Times New Roman" w:hAnsi="Arial" w:cs="Arial"/>
          <w:sz w:val="28"/>
          <w:szCs w:val="28"/>
          <w:lang w:val="en-GB"/>
        </w:rPr>
      </w:pPr>
      <w:r w:rsidRPr="009D6BCE">
        <w:rPr>
          <w:rFonts w:ascii="Arial" w:eastAsia="Times New Roman" w:hAnsi="Arial" w:cs="Arial"/>
          <w:sz w:val="28"/>
          <w:szCs w:val="28"/>
          <w:lang w:val="en-GB"/>
        </w:rPr>
        <w:t xml:space="preserve">Many people are not well informed about how using online services and platforms is affecting their privacy. The General Data Protection Regulation (GDPR) provides stronger protection to individuals in relation to their personal data but few people have practical knowledge of these rights, let alone how to exercise them. With GDPR, the requirement to obtain consent to collect data should be upheld. What is happening now in effect, people are asked to choose between convenience and privacy. </w:t>
      </w:r>
    </w:p>
    <w:p w14:paraId="40B61D9E" w14:textId="758DC679" w:rsidR="00B83DC8" w:rsidRPr="009D6BCE" w:rsidRDefault="00DD65C0" w:rsidP="009709A7">
      <w:pPr>
        <w:pStyle w:val="Textbody"/>
        <w:spacing w:before="6" w:after="240" w:line="276" w:lineRule="auto"/>
        <w:rPr>
          <w:rFonts w:ascii="Arial" w:hAnsi="Arial" w:cs="Arial"/>
          <w:sz w:val="28"/>
          <w:szCs w:val="28"/>
          <w:lang w:val="en-GB"/>
        </w:rPr>
      </w:pPr>
      <w:r w:rsidRPr="009D6BCE">
        <w:rPr>
          <w:rFonts w:ascii="Arial" w:eastAsia="Times New Roman" w:hAnsi="Arial" w:cs="Arial"/>
          <w:sz w:val="28"/>
          <w:szCs w:val="28"/>
          <w:lang w:val="en-GB"/>
        </w:rPr>
        <w:t xml:space="preserve">Persons with disabilities need to get involved in debates so that they are sufficiently aware of what happens to their data and what steps they need to take to protect their privacy online. </w:t>
      </w:r>
      <w:r w:rsidR="0028191A" w:rsidRPr="009D6BCE">
        <w:rPr>
          <w:rFonts w:ascii="Arial" w:eastAsia="Times New Roman" w:hAnsi="Arial" w:cs="Arial"/>
          <w:sz w:val="28"/>
          <w:szCs w:val="28"/>
          <w:lang w:val="en-GB"/>
        </w:rPr>
        <w:t xml:space="preserve">Data protection is especially a sensitive issue for many persons with disabilities, as information about individuals’ chronic illness or disability can be used to discriminate against them. It is therefore vital that persons with disabilities are provided with </w:t>
      </w:r>
      <w:r w:rsidR="00236A85" w:rsidRPr="009D6BCE">
        <w:rPr>
          <w:rFonts w:ascii="Arial" w:hAnsi="Arial" w:cs="Arial"/>
          <w:sz w:val="28"/>
          <w:szCs w:val="28"/>
          <w:lang w:val="en-GB"/>
        </w:rPr>
        <w:t>accessible</w:t>
      </w:r>
      <w:r w:rsidR="0028191A" w:rsidRPr="009D6BCE">
        <w:rPr>
          <w:rFonts w:ascii="Arial" w:hAnsi="Arial" w:cs="Arial"/>
          <w:sz w:val="28"/>
          <w:szCs w:val="28"/>
          <w:lang w:val="en-GB"/>
        </w:rPr>
        <w:t>,</w:t>
      </w:r>
      <w:r w:rsidR="00236A85" w:rsidRPr="009D6BCE">
        <w:rPr>
          <w:rFonts w:ascii="Arial" w:hAnsi="Arial" w:cs="Arial"/>
          <w:sz w:val="28"/>
          <w:szCs w:val="28"/>
          <w:lang w:val="en-GB"/>
        </w:rPr>
        <w:t xml:space="preserve"> easy to find, use, and understand </w:t>
      </w:r>
      <w:r w:rsidR="0028191A" w:rsidRPr="009D6BCE">
        <w:rPr>
          <w:rFonts w:ascii="Arial" w:hAnsi="Arial" w:cs="Arial"/>
          <w:sz w:val="28"/>
          <w:szCs w:val="28"/>
          <w:lang w:val="en-GB"/>
        </w:rPr>
        <w:t xml:space="preserve">information and </w:t>
      </w:r>
      <w:r w:rsidR="00236A85" w:rsidRPr="009D6BCE">
        <w:rPr>
          <w:rFonts w:ascii="Arial" w:hAnsi="Arial" w:cs="Arial"/>
          <w:sz w:val="28"/>
          <w:szCs w:val="28"/>
          <w:lang w:val="en-GB"/>
        </w:rPr>
        <w:t>mechanism</w:t>
      </w:r>
      <w:r w:rsidR="0028191A" w:rsidRPr="009D6BCE">
        <w:rPr>
          <w:rFonts w:ascii="Arial" w:hAnsi="Arial" w:cs="Arial"/>
          <w:sz w:val="28"/>
          <w:szCs w:val="28"/>
          <w:lang w:val="en-GB"/>
        </w:rPr>
        <w:t>s</w:t>
      </w:r>
      <w:r w:rsidR="00236A85" w:rsidRPr="009D6BCE">
        <w:rPr>
          <w:rFonts w:ascii="Arial" w:hAnsi="Arial" w:cs="Arial"/>
          <w:sz w:val="28"/>
          <w:szCs w:val="28"/>
          <w:lang w:val="en-GB"/>
        </w:rPr>
        <w:t xml:space="preserve"> to control their</w:t>
      </w:r>
      <w:r w:rsidR="0028191A" w:rsidRPr="009D6BCE">
        <w:rPr>
          <w:rFonts w:ascii="Arial" w:hAnsi="Arial" w:cs="Arial"/>
          <w:sz w:val="28"/>
          <w:szCs w:val="28"/>
          <w:lang w:val="en-GB"/>
        </w:rPr>
        <w:t xml:space="preserve"> personal</w:t>
      </w:r>
      <w:r w:rsidR="00236A85" w:rsidRPr="009D6BCE">
        <w:rPr>
          <w:rFonts w:ascii="Arial" w:hAnsi="Arial" w:cs="Arial"/>
          <w:sz w:val="28"/>
          <w:szCs w:val="28"/>
          <w:lang w:val="en-GB"/>
        </w:rPr>
        <w:t xml:space="preserve"> data.</w:t>
      </w:r>
      <w:r w:rsidR="0028191A" w:rsidRPr="009D6BCE">
        <w:rPr>
          <w:rFonts w:ascii="Arial" w:hAnsi="Arial" w:cs="Arial"/>
          <w:sz w:val="28"/>
          <w:szCs w:val="28"/>
          <w:lang w:val="en-GB"/>
        </w:rPr>
        <w:t xml:space="preserve"> </w:t>
      </w:r>
      <w:r w:rsidR="00976049" w:rsidRPr="009D6BCE">
        <w:rPr>
          <w:rFonts w:ascii="Arial" w:hAnsi="Arial" w:cs="Arial"/>
          <w:sz w:val="28"/>
          <w:szCs w:val="28"/>
          <w:lang w:val="en-GB"/>
        </w:rPr>
        <w:t>These mechanisms should be accessible and understandable as mentioned above.</w:t>
      </w:r>
      <w:r w:rsidR="007D6879">
        <w:rPr>
          <w:rFonts w:ascii="Arial" w:hAnsi="Arial" w:cs="Arial"/>
          <w:sz w:val="28"/>
          <w:szCs w:val="28"/>
          <w:lang w:val="en-GB"/>
        </w:rPr>
        <w:t xml:space="preserve"> </w:t>
      </w:r>
      <w:r w:rsidR="00F97DCE">
        <w:rPr>
          <w:rFonts w:ascii="Arial" w:hAnsi="Arial" w:cs="Arial"/>
          <w:sz w:val="28"/>
          <w:szCs w:val="28"/>
          <w:lang w:val="en-GB"/>
        </w:rPr>
        <w:t>S</w:t>
      </w:r>
      <w:r w:rsidR="00183312">
        <w:rPr>
          <w:rFonts w:ascii="Arial" w:hAnsi="Arial" w:cs="Arial"/>
          <w:sz w:val="28"/>
          <w:szCs w:val="28"/>
          <w:lang w:val="en-GB"/>
        </w:rPr>
        <w:t>upported decision-</w:t>
      </w:r>
      <w:r w:rsidR="007D6879" w:rsidRPr="007D6879">
        <w:rPr>
          <w:rFonts w:ascii="Arial" w:hAnsi="Arial" w:cs="Arial"/>
          <w:sz w:val="28"/>
          <w:szCs w:val="28"/>
          <w:lang w:val="en-GB"/>
        </w:rPr>
        <w:t xml:space="preserve">making </w:t>
      </w:r>
      <w:r w:rsidR="00F97DCE">
        <w:rPr>
          <w:rFonts w:ascii="Arial" w:hAnsi="Arial" w:cs="Arial"/>
          <w:sz w:val="28"/>
          <w:szCs w:val="28"/>
          <w:lang w:val="en-GB"/>
        </w:rPr>
        <w:t xml:space="preserve">must also be </w:t>
      </w:r>
      <w:r w:rsidR="00BE43AF">
        <w:rPr>
          <w:rFonts w:ascii="Arial" w:hAnsi="Arial" w:cs="Arial"/>
          <w:sz w:val="28"/>
          <w:szCs w:val="28"/>
          <w:lang w:val="en-GB"/>
        </w:rPr>
        <w:t>considered</w:t>
      </w:r>
      <w:r w:rsidR="007D6879" w:rsidRPr="007D6879">
        <w:rPr>
          <w:rFonts w:ascii="Arial" w:hAnsi="Arial" w:cs="Arial"/>
          <w:sz w:val="28"/>
          <w:szCs w:val="28"/>
          <w:lang w:val="en-GB"/>
        </w:rPr>
        <w:t>.</w:t>
      </w:r>
      <w:r w:rsidR="00183312">
        <w:rPr>
          <w:rStyle w:val="FootnoteReference"/>
          <w:rFonts w:ascii="Arial" w:hAnsi="Arial" w:cs="Arial"/>
          <w:sz w:val="28"/>
          <w:szCs w:val="28"/>
          <w:lang w:val="en-GB"/>
        </w:rPr>
        <w:footnoteReference w:id="11"/>
      </w:r>
    </w:p>
    <w:p w14:paraId="44AE5D92" w14:textId="77777777" w:rsidR="00B05ABB" w:rsidRDefault="00976049" w:rsidP="009709A7">
      <w:pPr>
        <w:pStyle w:val="Textbody"/>
        <w:spacing w:before="6" w:after="240" w:line="276" w:lineRule="auto"/>
        <w:rPr>
          <w:rFonts w:ascii="Arial" w:hAnsi="Arial" w:cs="Arial"/>
          <w:sz w:val="28"/>
          <w:szCs w:val="28"/>
          <w:lang w:val="en-GB"/>
        </w:rPr>
      </w:pPr>
      <w:r w:rsidRPr="009D6BCE">
        <w:rPr>
          <w:rFonts w:ascii="Arial" w:hAnsi="Arial" w:cs="Arial"/>
          <w:sz w:val="28"/>
          <w:szCs w:val="28"/>
          <w:lang w:val="en-GB"/>
        </w:rPr>
        <w:t>Besides, persons with disabilities may also be subject of surveillance by the use of their assistive technologies, such as screen readers</w:t>
      </w:r>
      <w:r w:rsidR="009B40B3" w:rsidRPr="009D6BCE">
        <w:rPr>
          <w:rFonts w:ascii="Arial" w:hAnsi="Arial" w:cs="Arial"/>
          <w:sz w:val="28"/>
          <w:szCs w:val="28"/>
          <w:lang w:val="en-GB"/>
        </w:rPr>
        <w:t>.</w:t>
      </w:r>
      <w:r w:rsidRPr="009D6BCE">
        <w:rPr>
          <w:rStyle w:val="FootnoteReference"/>
          <w:rFonts w:ascii="Arial" w:hAnsi="Arial" w:cs="Arial"/>
          <w:sz w:val="28"/>
          <w:szCs w:val="28"/>
          <w:lang w:val="en-GB"/>
        </w:rPr>
        <w:footnoteReference w:id="12"/>
      </w:r>
      <w:r w:rsidRPr="009D6BCE">
        <w:rPr>
          <w:rFonts w:ascii="Arial" w:hAnsi="Arial" w:cs="Arial"/>
          <w:sz w:val="28"/>
          <w:szCs w:val="28"/>
          <w:lang w:val="en-GB"/>
        </w:rPr>
        <w:t xml:space="preserve"> With Artificial Intelligence powering many digital services, persons with disabilities are more at </w:t>
      </w:r>
    </w:p>
    <w:p w14:paraId="2B11A83A" w14:textId="77777777" w:rsidR="00B05ABB" w:rsidRDefault="00B05ABB" w:rsidP="009709A7">
      <w:pPr>
        <w:pStyle w:val="Textbody"/>
        <w:spacing w:before="6" w:after="240" w:line="276" w:lineRule="auto"/>
        <w:rPr>
          <w:rFonts w:ascii="Arial" w:hAnsi="Arial" w:cs="Arial"/>
          <w:sz w:val="28"/>
          <w:szCs w:val="28"/>
          <w:lang w:val="en-GB"/>
        </w:rPr>
      </w:pPr>
    </w:p>
    <w:p w14:paraId="30D884BE" w14:textId="5F6F8F29" w:rsidR="00976049" w:rsidRPr="009D6BCE" w:rsidRDefault="00976049" w:rsidP="009709A7">
      <w:pPr>
        <w:pStyle w:val="Textbody"/>
        <w:spacing w:before="6" w:after="240" w:line="276" w:lineRule="auto"/>
        <w:rPr>
          <w:rFonts w:ascii="Arial" w:hAnsi="Arial" w:cs="Arial"/>
          <w:sz w:val="28"/>
          <w:szCs w:val="28"/>
          <w:lang w:val="en-GB"/>
        </w:rPr>
      </w:pPr>
      <w:r w:rsidRPr="009D6BCE">
        <w:rPr>
          <w:rFonts w:ascii="Arial" w:hAnsi="Arial" w:cs="Arial"/>
          <w:sz w:val="28"/>
          <w:szCs w:val="28"/>
          <w:lang w:val="en-GB"/>
        </w:rPr>
        <w:t>risk of privacy breach.</w:t>
      </w:r>
      <w:r w:rsidR="009B40B3" w:rsidRPr="009D6BCE">
        <w:rPr>
          <w:rStyle w:val="FootnoteReference"/>
          <w:rFonts w:ascii="Arial" w:hAnsi="Arial" w:cs="Arial"/>
          <w:sz w:val="28"/>
          <w:szCs w:val="28"/>
          <w:lang w:val="en-GB"/>
        </w:rPr>
        <w:footnoteReference w:id="13"/>
      </w:r>
      <w:r w:rsidRPr="009D6BCE">
        <w:rPr>
          <w:rFonts w:ascii="Arial" w:hAnsi="Arial" w:cs="Arial"/>
          <w:sz w:val="28"/>
          <w:szCs w:val="28"/>
          <w:lang w:val="en-GB"/>
        </w:rPr>
        <w:t xml:space="preserve"> </w:t>
      </w:r>
    </w:p>
    <w:p w14:paraId="19B0ADF3" w14:textId="4CAFBBC2" w:rsidR="00DD65C0" w:rsidRPr="009D6BCE" w:rsidRDefault="00DD65C0" w:rsidP="009709A7">
      <w:pPr>
        <w:pStyle w:val="Heading1"/>
        <w:rPr>
          <w:rFonts w:cs="Arial"/>
        </w:rPr>
      </w:pPr>
      <w:bookmarkStart w:id="4" w:name="_Strong_enforcement_mechanisms,"/>
      <w:bookmarkEnd w:id="4"/>
      <w:r w:rsidRPr="009D6BCE">
        <w:rPr>
          <w:rFonts w:cs="Arial"/>
        </w:rPr>
        <w:t xml:space="preserve">Strong </w:t>
      </w:r>
      <w:r w:rsidR="00FE2ADC" w:rsidRPr="009D6BCE">
        <w:rPr>
          <w:rFonts w:cs="Arial"/>
        </w:rPr>
        <w:t xml:space="preserve">enforcement </w:t>
      </w:r>
      <w:r w:rsidRPr="009D6BCE">
        <w:rPr>
          <w:rFonts w:cs="Arial"/>
        </w:rPr>
        <w:t>mechanisms, including well-resourced EU and national regulatory authorities</w:t>
      </w:r>
    </w:p>
    <w:p w14:paraId="76656152" w14:textId="1139FE47" w:rsidR="00296DE2" w:rsidRPr="009D6BCE" w:rsidRDefault="00296DE2" w:rsidP="009709A7">
      <w:pPr>
        <w:spacing w:after="240" w:line="276" w:lineRule="auto"/>
        <w:rPr>
          <w:rFonts w:cs="Arial"/>
          <w:b/>
        </w:rPr>
      </w:pPr>
      <w:r w:rsidRPr="009D6BCE">
        <w:rPr>
          <w:rFonts w:cs="Arial"/>
          <w:b/>
        </w:rPr>
        <w:t xml:space="preserve">Given the cross-border nature of online platforms and digital services, as well as their immense political, cultural and societal importance for millions of persons in Europe, these services and platforms should be subject to strong regulatory oversight coordinated at EU-level. </w:t>
      </w:r>
    </w:p>
    <w:p w14:paraId="76CAAE5C" w14:textId="42803620" w:rsidR="00296DE2" w:rsidRPr="009D6BCE" w:rsidRDefault="00DD65C0" w:rsidP="009709A7">
      <w:pPr>
        <w:spacing w:after="240" w:line="276" w:lineRule="auto"/>
        <w:rPr>
          <w:rFonts w:cs="Arial"/>
        </w:rPr>
      </w:pPr>
      <w:r w:rsidRPr="009D6BCE">
        <w:rPr>
          <w:rFonts w:cs="Arial"/>
        </w:rPr>
        <w:t xml:space="preserve">Competent authorities must have high degree of independence and sufficient human and financial resources to exercise their mandates effectively. Standards for equality bodies or national data protection authorities can serve as inspiration to define the minimum standards as regards to independence, powers and resources of national regulatory authorities or bodies tasked to enforce the </w:t>
      </w:r>
      <w:r w:rsidR="00296DE2" w:rsidRPr="009D6BCE">
        <w:rPr>
          <w:rFonts w:cs="Arial"/>
        </w:rPr>
        <w:t>Digital Services Act</w:t>
      </w:r>
      <w:r w:rsidRPr="009D6BCE">
        <w:rPr>
          <w:rFonts w:cs="Arial"/>
        </w:rPr>
        <w:t xml:space="preserve">. </w:t>
      </w:r>
      <w:r w:rsidR="00296DE2" w:rsidRPr="009D6BCE">
        <w:rPr>
          <w:rFonts w:cs="Arial"/>
        </w:rPr>
        <w:t xml:space="preserve">These authorities should be equipped with necessary means and expertise to also check compliance of online platforms with minimum accessibility requirements mentioned above. Finally, these authorities should be able to make enforceable binding decisions. </w:t>
      </w:r>
    </w:p>
    <w:p w14:paraId="65A878AC" w14:textId="77777777" w:rsidR="00B05ABB" w:rsidRDefault="00296DE2" w:rsidP="009709A7">
      <w:pPr>
        <w:spacing w:after="240" w:line="276" w:lineRule="auto"/>
        <w:rPr>
          <w:rFonts w:cs="Arial"/>
        </w:rPr>
      </w:pPr>
      <w:r w:rsidRPr="009D6BCE">
        <w:rPr>
          <w:rFonts w:cs="Arial"/>
        </w:rPr>
        <w:t xml:space="preserve">Under the European Accessibility Act, in case of non-compliance, market surveillance authorities can require the relevant economic operator to take appropriate corrective action to ensure the product meets the accessibility requirements of the Act. If this fails, they will oblige the operator to withdraw the product from the market. When one EU country demands the withdrawal of a product from the EU market for lack of accessibility, other countries must do the same. This principle should be applied to the Digital Services Act, to ensure </w:t>
      </w:r>
    </w:p>
    <w:p w14:paraId="720F6829" w14:textId="77777777" w:rsidR="00B05ABB" w:rsidRDefault="00B05ABB" w:rsidP="009709A7">
      <w:pPr>
        <w:spacing w:after="240" w:line="276" w:lineRule="auto"/>
        <w:rPr>
          <w:rFonts w:cs="Arial"/>
        </w:rPr>
      </w:pPr>
    </w:p>
    <w:p w14:paraId="4CE27B28" w14:textId="77777777" w:rsidR="00B05ABB" w:rsidRDefault="00B05ABB" w:rsidP="009709A7">
      <w:pPr>
        <w:spacing w:after="240" w:line="276" w:lineRule="auto"/>
        <w:rPr>
          <w:rFonts w:cs="Arial"/>
        </w:rPr>
      </w:pPr>
    </w:p>
    <w:p w14:paraId="7AD5B465" w14:textId="541BE30E" w:rsidR="00296DE2" w:rsidRPr="009D6BCE" w:rsidRDefault="00296DE2" w:rsidP="009709A7">
      <w:pPr>
        <w:spacing w:after="240" w:line="276" w:lineRule="auto"/>
        <w:rPr>
          <w:rFonts w:cs="Arial"/>
        </w:rPr>
      </w:pPr>
      <w:r w:rsidRPr="009D6BCE">
        <w:rPr>
          <w:rFonts w:cs="Arial"/>
        </w:rPr>
        <w:t>consistency in EU law and given the cross-border characteristic of digital services and online platforms.</w:t>
      </w:r>
    </w:p>
    <w:p w14:paraId="0E56D0E4" w14:textId="2419907C" w:rsidR="00DD65C0" w:rsidRPr="009D6BCE" w:rsidRDefault="00DD65C0" w:rsidP="009709A7">
      <w:pPr>
        <w:spacing w:after="240" w:line="276" w:lineRule="auto"/>
        <w:rPr>
          <w:rFonts w:cs="Arial"/>
        </w:rPr>
      </w:pPr>
      <w:r w:rsidRPr="009D6BCE">
        <w:rPr>
          <w:rFonts w:cs="Arial"/>
        </w:rPr>
        <w:t>Cooperation</w:t>
      </w:r>
      <w:r w:rsidR="00296DE2" w:rsidRPr="009D6BCE">
        <w:rPr>
          <w:rFonts w:cs="Arial"/>
        </w:rPr>
        <w:t xml:space="preserve"> of regulatory authorities that will be tasked to enforce the Digital Services Act</w:t>
      </w:r>
      <w:r w:rsidRPr="009D6BCE">
        <w:rPr>
          <w:rFonts w:cs="Arial"/>
        </w:rPr>
        <w:t xml:space="preserve"> with national equality bodies,</w:t>
      </w:r>
      <w:r w:rsidR="009372B5" w:rsidRPr="009D6BCE">
        <w:rPr>
          <w:rFonts w:cs="Arial"/>
        </w:rPr>
        <w:t xml:space="preserve"> other competent authorities (e.g.</w:t>
      </w:r>
      <w:r w:rsidRPr="009D6BCE">
        <w:rPr>
          <w:rFonts w:cs="Arial"/>
        </w:rPr>
        <w:t xml:space="preserve"> market surveillance authorities under the European Accessibility Act, national regulatory and other bodies under the Audiovisual Media Services Directive, European Electronic Communications Code</w:t>
      </w:r>
      <w:r w:rsidR="009372B5" w:rsidRPr="009D6BCE">
        <w:rPr>
          <w:rFonts w:cs="Arial"/>
        </w:rPr>
        <w:t>)</w:t>
      </w:r>
      <w:r w:rsidRPr="009D6BCE">
        <w:rPr>
          <w:rFonts w:cs="Arial"/>
        </w:rPr>
        <w:t>, national and European civil society organi</w:t>
      </w:r>
      <w:r w:rsidR="009372B5" w:rsidRPr="009D6BCE">
        <w:rPr>
          <w:rFonts w:cs="Arial"/>
        </w:rPr>
        <w:t>s</w:t>
      </w:r>
      <w:r w:rsidRPr="009D6BCE">
        <w:rPr>
          <w:rFonts w:cs="Arial"/>
        </w:rPr>
        <w:t xml:space="preserve">ation, such as </w:t>
      </w:r>
      <w:r w:rsidR="009372B5" w:rsidRPr="009D6BCE">
        <w:rPr>
          <w:rFonts w:cs="Arial"/>
        </w:rPr>
        <w:t xml:space="preserve">organisations </w:t>
      </w:r>
      <w:r w:rsidR="00296DE2" w:rsidRPr="009D6BCE">
        <w:rPr>
          <w:rFonts w:cs="Arial"/>
        </w:rPr>
        <w:t>of persons with disabilities is also very important.</w:t>
      </w:r>
    </w:p>
    <w:p w14:paraId="6E6E642A" w14:textId="279B9D07" w:rsidR="00D67F18" w:rsidRPr="009D6BCE" w:rsidRDefault="00296DE2" w:rsidP="009709A7">
      <w:pPr>
        <w:spacing w:after="240" w:line="276" w:lineRule="auto"/>
        <w:rPr>
          <w:rFonts w:cs="Arial"/>
        </w:rPr>
      </w:pPr>
      <w:r w:rsidRPr="009D6BCE">
        <w:rPr>
          <w:rFonts w:cs="Arial"/>
        </w:rPr>
        <w:t xml:space="preserve">Finally, for </w:t>
      </w:r>
      <w:r w:rsidR="00DD65C0" w:rsidRPr="009D6BCE">
        <w:rPr>
          <w:rFonts w:cs="Arial"/>
        </w:rPr>
        <w:t xml:space="preserve">consumers it is important to know how competent authorities can help them remedy any harm and </w:t>
      </w:r>
      <w:r w:rsidRPr="009D6BCE">
        <w:rPr>
          <w:rFonts w:cs="Arial"/>
        </w:rPr>
        <w:t>protect</w:t>
      </w:r>
      <w:r w:rsidR="00DD65C0" w:rsidRPr="009D6BCE">
        <w:rPr>
          <w:rFonts w:cs="Arial"/>
        </w:rPr>
        <w:t xml:space="preserve"> their rights as consumers of services offered by online platforms, including right to non-discrimination</w:t>
      </w:r>
      <w:r w:rsidRPr="009D6BCE">
        <w:rPr>
          <w:rFonts w:cs="Arial"/>
        </w:rPr>
        <w:t xml:space="preserve"> and freedom from online abuse and violence</w:t>
      </w:r>
      <w:r w:rsidR="00DD65C0" w:rsidRPr="009D6BCE">
        <w:rPr>
          <w:rFonts w:cs="Arial"/>
        </w:rPr>
        <w:t>. This information needs</w:t>
      </w:r>
      <w:r w:rsidRPr="009D6BCE">
        <w:rPr>
          <w:rFonts w:cs="Arial"/>
        </w:rPr>
        <w:t xml:space="preserve"> to be provided in accessible, easy to find and</w:t>
      </w:r>
      <w:r w:rsidR="00DD65C0" w:rsidRPr="009D6BCE">
        <w:rPr>
          <w:rFonts w:cs="Arial"/>
        </w:rPr>
        <w:t xml:space="preserve"> understand</w:t>
      </w:r>
      <w:r w:rsidR="009372B5" w:rsidRPr="009D6BCE">
        <w:rPr>
          <w:rFonts w:cs="Arial"/>
        </w:rPr>
        <w:t>able</w:t>
      </w:r>
      <w:r w:rsidR="00DD65C0" w:rsidRPr="009D6BCE">
        <w:rPr>
          <w:rFonts w:cs="Arial"/>
        </w:rPr>
        <w:t xml:space="preserve"> </w:t>
      </w:r>
      <w:r w:rsidRPr="009D6BCE">
        <w:rPr>
          <w:rFonts w:cs="Arial"/>
        </w:rPr>
        <w:t>manner</w:t>
      </w:r>
      <w:r w:rsidR="009372B5" w:rsidRPr="009D6BCE">
        <w:rPr>
          <w:rFonts w:cs="Arial"/>
        </w:rPr>
        <w:t xml:space="preserve"> (see recommendations above)</w:t>
      </w:r>
      <w:r w:rsidRPr="009D6BCE">
        <w:rPr>
          <w:rFonts w:cs="Arial"/>
        </w:rPr>
        <w:t>.</w:t>
      </w:r>
    </w:p>
    <w:p w14:paraId="002026BF" w14:textId="03EFF60B" w:rsidR="00F91CBC" w:rsidRPr="009D6BCE" w:rsidRDefault="005B61FB" w:rsidP="00FE2ADC">
      <w:pPr>
        <w:pStyle w:val="Heading1"/>
        <w:rPr>
          <w:rFonts w:cs="Arial"/>
        </w:rPr>
      </w:pPr>
      <w:r w:rsidRPr="009D6BCE">
        <w:rPr>
          <w:rFonts w:cs="Arial"/>
        </w:rPr>
        <w:t>Useful resources</w:t>
      </w:r>
      <w:r w:rsidR="00F91CBC" w:rsidRPr="009D6BCE">
        <w:rPr>
          <w:rFonts w:cs="Arial"/>
        </w:rPr>
        <w:t>:</w:t>
      </w:r>
    </w:p>
    <w:p w14:paraId="3B4D178F" w14:textId="0B30623A" w:rsidR="00B9024D" w:rsidRPr="009D6BCE" w:rsidRDefault="00B9024D" w:rsidP="00B9024D">
      <w:pPr>
        <w:pStyle w:val="NoSpacing"/>
      </w:pPr>
      <w:r w:rsidRPr="009D6BCE">
        <w:t>EDF Resources</w:t>
      </w:r>
    </w:p>
    <w:p w14:paraId="6E2A7399" w14:textId="43A6C824" w:rsidR="005B61FB" w:rsidRPr="009D6BCE" w:rsidRDefault="007E721A" w:rsidP="00AE6E1A">
      <w:pPr>
        <w:pStyle w:val="ListParagraph"/>
        <w:numPr>
          <w:ilvl w:val="0"/>
          <w:numId w:val="3"/>
        </w:numPr>
        <w:spacing w:line="276" w:lineRule="auto"/>
        <w:rPr>
          <w:rFonts w:eastAsiaTheme="majorEastAsia"/>
        </w:rPr>
      </w:pPr>
      <w:hyperlink r:id="rId18" w:history="1">
        <w:r w:rsidR="003F7D44" w:rsidRPr="009D6BCE">
          <w:rPr>
            <w:rStyle w:val="Hyperlink"/>
            <w:rFonts w:eastAsiaTheme="majorEastAsia"/>
            <w:color w:val="auto"/>
          </w:rPr>
          <w:t>EDF report "Plug and Pray - A disability perspective on artificial intelligence, automated decision-making and emerging technologies”</w:t>
        </w:r>
      </w:hyperlink>
    </w:p>
    <w:p w14:paraId="5D97ADC7" w14:textId="6DDCE9BF" w:rsidR="00F3675F" w:rsidRPr="009D6BCE" w:rsidRDefault="007E721A" w:rsidP="00AE6E1A">
      <w:pPr>
        <w:pStyle w:val="ListParagraph"/>
        <w:numPr>
          <w:ilvl w:val="0"/>
          <w:numId w:val="3"/>
        </w:numPr>
        <w:spacing w:line="276" w:lineRule="auto"/>
        <w:rPr>
          <w:rFonts w:eastAsiaTheme="majorEastAsia"/>
        </w:rPr>
      </w:pPr>
      <w:hyperlink r:id="rId19" w:history="1">
        <w:r w:rsidR="00F3675F" w:rsidRPr="009D6BCE">
          <w:rPr>
            <w:rStyle w:val="Hyperlink"/>
            <w:rFonts w:eastAsiaTheme="majorEastAsia"/>
            <w:color w:val="auto"/>
          </w:rPr>
          <w:t xml:space="preserve">EDF </w:t>
        </w:r>
        <w:r w:rsidR="00F3675F" w:rsidRPr="009D6BCE">
          <w:rPr>
            <w:rStyle w:val="Hyperlink"/>
            <w:rFonts w:eastAsiaTheme="majorEastAsia" w:cs="Arial"/>
            <w:color w:val="auto"/>
          </w:rPr>
          <w:t>feedback to public consultation on the European Commission’s White Paper on Artificial Intelligence</w:t>
        </w:r>
      </w:hyperlink>
      <w:r w:rsidR="00F3675F" w:rsidRPr="009D6BCE">
        <w:rPr>
          <w:rFonts w:eastAsiaTheme="majorEastAsia"/>
        </w:rPr>
        <w:t xml:space="preserve"> </w:t>
      </w:r>
    </w:p>
    <w:p w14:paraId="04B61A30" w14:textId="4D5CBFA3" w:rsidR="00B9024D" w:rsidRPr="009D6BCE" w:rsidRDefault="007E721A" w:rsidP="00AE6E1A">
      <w:pPr>
        <w:pStyle w:val="ListParagraph"/>
        <w:numPr>
          <w:ilvl w:val="0"/>
          <w:numId w:val="3"/>
        </w:numPr>
        <w:spacing w:line="276" w:lineRule="auto"/>
        <w:rPr>
          <w:rFonts w:eastAsiaTheme="majorEastAsia"/>
          <w:u w:val="single"/>
        </w:rPr>
      </w:pPr>
      <w:hyperlink r:id="rId20" w:history="1">
        <w:r w:rsidR="003154D7" w:rsidRPr="009D6BCE">
          <w:rPr>
            <w:rStyle w:val="Hyperlink"/>
            <w:rFonts w:eastAsiaTheme="majorEastAsia"/>
            <w:color w:val="auto"/>
          </w:rPr>
          <w:t xml:space="preserve">EDF response to </w:t>
        </w:r>
        <w:r w:rsidR="003F7D44" w:rsidRPr="009D6BCE">
          <w:rPr>
            <w:rStyle w:val="Hyperlink"/>
            <w:rFonts w:eastAsiaTheme="majorEastAsia" w:cs="Arial"/>
            <w:color w:val="auto"/>
          </w:rPr>
          <w:t>Draft Ethics Guidelines for Trustworthy AI (doc)</w:t>
        </w:r>
      </w:hyperlink>
      <w:r w:rsidR="003F7D44" w:rsidRPr="009D6BCE">
        <w:rPr>
          <w:rFonts w:eastAsiaTheme="majorEastAsia"/>
        </w:rPr>
        <w:t> |</w:t>
      </w:r>
      <w:r w:rsidR="006C457A" w:rsidRPr="009D6BCE">
        <w:rPr>
          <w:rFonts w:eastAsiaTheme="majorEastAsia"/>
        </w:rPr>
        <w:t xml:space="preserve"> </w:t>
      </w:r>
      <w:hyperlink r:id="rId21" w:history="1">
        <w:r w:rsidR="006C457A" w:rsidRPr="009D6BCE">
          <w:rPr>
            <w:rStyle w:val="Hyperlink"/>
            <w:rFonts w:eastAsiaTheme="majorEastAsia"/>
            <w:color w:val="auto"/>
          </w:rPr>
          <w:t>EDF response to</w:t>
        </w:r>
        <w:r w:rsidR="003F7D44" w:rsidRPr="009D6BCE">
          <w:rPr>
            <w:rStyle w:val="Hyperlink"/>
            <w:rFonts w:eastAsiaTheme="majorEastAsia"/>
            <w:color w:val="auto"/>
          </w:rPr>
          <w:t> </w:t>
        </w:r>
        <w:r w:rsidR="003F7D44" w:rsidRPr="009D6BCE">
          <w:rPr>
            <w:rStyle w:val="Hyperlink"/>
            <w:rFonts w:eastAsiaTheme="majorEastAsia" w:cs="Arial"/>
            <w:color w:val="auto"/>
          </w:rPr>
          <w:t>Draft Ethics Guidelines for Trustworthy AI (pdf)</w:t>
        </w:r>
      </w:hyperlink>
    </w:p>
    <w:p w14:paraId="151AE77D" w14:textId="2978D8E3" w:rsidR="00B9024D" w:rsidRPr="009D6BCE" w:rsidRDefault="007E721A" w:rsidP="00AE6E1A">
      <w:pPr>
        <w:pStyle w:val="ListParagraph"/>
        <w:numPr>
          <w:ilvl w:val="0"/>
          <w:numId w:val="3"/>
        </w:numPr>
        <w:spacing w:line="276" w:lineRule="auto"/>
        <w:rPr>
          <w:rFonts w:eastAsiaTheme="majorEastAsia"/>
        </w:rPr>
      </w:pPr>
      <w:hyperlink r:id="rId22" w:history="1">
        <w:r w:rsidR="00B9024D" w:rsidRPr="009D6BCE">
          <w:rPr>
            <w:rStyle w:val="Hyperlink"/>
            <w:rFonts w:eastAsiaTheme="majorEastAsia"/>
            <w:color w:val="auto"/>
          </w:rPr>
          <w:t xml:space="preserve">EDF </w:t>
        </w:r>
        <w:r w:rsidR="00B9024D" w:rsidRPr="009D6BCE">
          <w:rPr>
            <w:rStyle w:val="Hyperlink"/>
            <w:rFonts w:eastAsiaTheme="majorEastAsia" w:cs="Arial"/>
            <w:color w:val="auto"/>
          </w:rPr>
          <w:t>toolkit on transposition of the Audiovisual Media Services Directive</w:t>
        </w:r>
      </w:hyperlink>
    </w:p>
    <w:p w14:paraId="49EDA65B" w14:textId="3BAACFFA" w:rsidR="00B9024D" w:rsidRPr="00B05ABB" w:rsidRDefault="007E721A" w:rsidP="00AE6E1A">
      <w:pPr>
        <w:pStyle w:val="ListParagraph"/>
        <w:numPr>
          <w:ilvl w:val="0"/>
          <w:numId w:val="3"/>
        </w:numPr>
        <w:spacing w:after="240" w:line="276" w:lineRule="auto"/>
        <w:rPr>
          <w:rStyle w:val="Hyperlink"/>
          <w:rFonts w:eastAsiaTheme="majorEastAsia"/>
          <w:color w:val="auto"/>
          <w:u w:val="none"/>
        </w:rPr>
      </w:pPr>
      <w:hyperlink r:id="rId23" w:history="1">
        <w:r w:rsidR="00B9024D" w:rsidRPr="009D6BCE">
          <w:rPr>
            <w:rStyle w:val="Hyperlink"/>
            <w:rFonts w:eastAsiaTheme="majorEastAsia"/>
            <w:color w:val="auto"/>
          </w:rPr>
          <w:t xml:space="preserve">EDF </w:t>
        </w:r>
        <w:r w:rsidR="00B9024D" w:rsidRPr="009D6BCE">
          <w:rPr>
            <w:rStyle w:val="Hyperlink"/>
            <w:rFonts w:eastAsiaTheme="majorEastAsia" w:cs="Arial"/>
            <w:color w:val="auto"/>
          </w:rPr>
          <w:t>recourses on the European Accessibility Act</w:t>
        </w:r>
      </w:hyperlink>
    </w:p>
    <w:p w14:paraId="22F97ABF" w14:textId="77777777" w:rsidR="00B05ABB" w:rsidRPr="009D6BCE" w:rsidRDefault="00B05ABB" w:rsidP="00B05ABB">
      <w:pPr>
        <w:pStyle w:val="ListParagraph"/>
        <w:spacing w:after="240" w:line="276" w:lineRule="auto"/>
        <w:rPr>
          <w:rFonts w:eastAsiaTheme="majorEastAsia"/>
        </w:rPr>
      </w:pPr>
    </w:p>
    <w:p w14:paraId="474C7894" w14:textId="77777777" w:rsidR="00B05ABB" w:rsidRDefault="00B05ABB" w:rsidP="00B9024D">
      <w:pPr>
        <w:pStyle w:val="NoSpacing"/>
      </w:pPr>
    </w:p>
    <w:p w14:paraId="1EDDADC3" w14:textId="77777777" w:rsidR="00B05ABB" w:rsidRDefault="00B05ABB" w:rsidP="00B9024D">
      <w:pPr>
        <w:pStyle w:val="NoSpacing"/>
      </w:pPr>
    </w:p>
    <w:p w14:paraId="077183DF" w14:textId="5BBA8DC5" w:rsidR="00B9024D" w:rsidRPr="009D6BCE" w:rsidRDefault="00B9024D" w:rsidP="00B9024D">
      <w:pPr>
        <w:pStyle w:val="NoSpacing"/>
      </w:pPr>
      <w:r w:rsidRPr="009D6BCE">
        <w:t xml:space="preserve">Accessibility standards and guidelines </w:t>
      </w:r>
    </w:p>
    <w:p w14:paraId="3EDB8172" w14:textId="065F0C8F" w:rsidR="00AD01FE" w:rsidRPr="009D6BCE" w:rsidRDefault="007E721A" w:rsidP="00AE6E1A">
      <w:pPr>
        <w:pStyle w:val="ListParagraph"/>
        <w:numPr>
          <w:ilvl w:val="0"/>
          <w:numId w:val="1"/>
        </w:numPr>
        <w:spacing w:after="240" w:line="276" w:lineRule="auto"/>
        <w:rPr>
          <w:rFonts w:cs="Arial"/>
        </w:rPr>
      </w:pPr>
      <w:hyperlink r:id="rId24" w:history="1">
        <w:r w:rsidR="00AD01FE" w:rsidRPr="009D6BCE">
          <w:rPr>
            <w:rStyle w:val="Hyperlink"/>
            <w:rFonts w:cs="Arial"/>
            <w:color w:val="auto"/>
          </w:rPr>
          <w:t>European Standard on Accessibility requirements for ICT products and services (EN 301 549 V3.1.1 (2019-11))</w:t>
        </w:r>
      </w:hyperlink>
    </w:p>
    <w:p w14:paraId="1E7A80C0" w14:textId="43DA9D80" w:rsidR="00AD01FE" w:rsidRPr="009D6BCE" w:rsidRDefault="00AD01FE" w:rsidP="00AE6E1A">
      <w:pPr>
        <w:pStyle w:val="ListParagraph"/>
        <w:numPr>
          <w:ilvl w:val="0"/>
          <w:numId w:val="1"/>
        </w:numPr>
        <w:spacing w:after="240" w:line="276" w:lineRule="auto"/>
        <w:rPr>
          <w:rStyle w:val="Hyperlink"/>
          <w:rFonts w:eastAsiaTheme="majorEastAsia" w:cs="Arial"/>
          <w:color w:val="auto"/>
        </w:rPr>
      </w:pPr>
      <w:r w:rsidRPr="009D6BCE">
        <w:rPr>
          <w:rFonts w:eastAsiaTheme="majorEastAsia" w:cs="Arial"/>
        </w:rPr>
        <w:t>European Standard </w:t>
      </w:r>
      <w:hyperlink r:id="rId25" w:history="1">
        <w:r w:rsidRPr="009D6BCE">
          <w:rPr>
            <w:rStyle w:val="Hyperlink"/>
            <w:rFonts w:eastAsiaTheme="majorEastAsia" w:cs="Arial"/>
            <w:color w:val="auto"/>
          </w:rPr>
          <w:t>EN 17161:2019 ‘Design for All - Accessibility following a Design for All approach in products, goods and services - Extending the range of users’</w:t>
        </w:r>
      </w:hyperlink>
    </w:p>
    <w:p w14:paraId="34D910E4" w14:textId="24221C85" w:rsidR="00B9024D" w:rsidRPr="009D6BCE" w:rsidRDefault="007E721A" w:rsidP="00AE6E1A">
      <w:pPr>
        <w:pStyle w:val="ListParagraph"/>
        <w:numPr>
          <w:ilvl w:val="0"/>
          <w:numId w:val="1"/>
        </w:numPr>
        <w:spacing w:after="240" w:line="276" w:lineRule="auto"/>
        <w:rPr>
          <w:rStyle w:val="Hyperlink"/>
          <w:rFonts w:eastAsiaTheme="majorEastAsia" w:cs="Arial"/>
          <w:color w:val="auto"/>
        </w:rPr>
      </w:pPr>
      <w:hyperlink r:id="rId26" w:history="1">
        <w:r w:rsidR="00B9024D" w:rsidRPr="009D6BCE">
          <w:rPr>
            <w:rStyle w:val="Hyperlink"/>
            <w:color w:val="auto"/>
          </w:rPr>
          <w:t>Web Content Accessibility Guidelines (WCAG) 2.1</w:t>
        </w:r>
      </w:hyperlink>
    </w:p>
    <w:p w14:paraId="127C20FD" w14:textId="1694F25A" w:rsidR="00B9024D" w:rsidRPr="009D6BCE" w:rsidRDefault="007E721A" w:rsidP="00AE6E1A">
      <w:pPr>
        <w:pStyle w:val="ListParagraph"/>
        <w:numPr>
          <w:ilvl w:val="0"/>
          <w:numId w:val="1"/>
        </w:numPr>
        <w:spacing w:after="240" w:line="276" w:lineRule="auto"/>
        <w:rPr>
          <w:rStyle w:val="Hyperlink"/>
          <w:rFonts w:eastAsiaTheme="majorEastAsia" w:cs="Arial"/>
          <w:color w:val="auto"/>
        </w:rPr>
      </w:pPr>
      <w:hyperlink r:id="rId27" w:history="1">
        <w:r w:rsidR="00B9024D" w:rsidRPr="009D6BCE">
          <w:rPr>
            <w:rStyle w:val="Hyperlink"/>
            <w:color w:val="auto"/>
          </w:rPr>
          <w:t>W3C Authoring Tools Accessibility Guidelines (ATAG</w:t>
        </w:r>
      </w:hyperlink>
      <w:r w:rsidR="00B9024D" w:rsidRPr="009D6BCE">
        <w:t>)</w:t>
      </w:r>
    </w:p>
    <w:p w14:paraId="2033F09D" w14:textId="51A01B4E" w:rsidR="00B9024D" w:rsidRPr="009D6BCE" w:rsidRDefault="00B9024D" w:rsidP="00B9024D">
      <w:pPr>
        <w:pStyle w:val="NoSpacing"/>
      </w:pPr>
      <w:r w:rsidRPr="009D6BCE">
        <w:t xml:space="preserve">External resources </w:t>
      </w:r>
    </w:p>
    <w:p w14:paraId="7D93A959" w14:textId="638A1A9D" w:rsidR="006C457A" w:rsidRPr="009D6BCE" w:rsidRDefault="007E721A" w:rsidP="00AE6E1A">
      <w:pPr>
        <w:pStyle w:val="ListParagraph"/>
        <w:numPr>
          <w:ilvl w:val="0"/>
          <w:numId w:val="2"/>
        </w:numPr>
        <w:spacing w:after="240" w:line="276" w:lineRule="auto"/>
        <w:rPr>
          <w:rFonts w:eastAsiaTheme="majorEastAsia" w:cs="Arial"/>
          <w:u w:val="single"/>
        </w:rPr>
      </w:pPr>
      <w:hyperlink r:id="rId28" w:anchor=":~:text=%E2%80%9CTwo%20clicks%20forward%2C%20and%20one%20click%20back%E2%80%9D,-Children%20with%20disabilities&amp;text=Ahead%20of%20the%20International%20Day,disabilities%20in%20the%20digital%20environment." w:history="1">
        <w:r w:rsidR="006C457A" w:rsidRPr="009D6BCE">
          <w:rPr>
            <w:rStyle w:val="Hyperlink"/>
            <w:rFonts w:eastAsiaTheme="majorEastAsia" w:cs="Arial"/>
            <w:color w:val="auto"/>
          </w:rPr>
          <w:t>Council of Europe “Two clicks forward, and one click back” report on online experience of children with disabilities</w:t>
        </w:r>
      </w:hyperlink>
    </w:p>
    <w:p w14:paraId="7948ECDA" w14:textId="2AFC7FDD" w:rsidR="00F06212" w:rsidRPr="00D67F18" w:rsidRDefault="007E721A" w:rsidP="00AE6E1A">
      <w:pPr>
        <w:pStyle w:val="ListParagraph"/>
        <w:numPr>
          <w:ilvl w:val="0"/>
          <w:numId w:val="2"/>
        </w:numPr>
        <w:spacing w:after="240" w:line="276" w:lineRule="auto"/>
        <w:rPr>
          <w:rStyle w:val="Hyperlink"/>
          <w:rFonts w:eastAsiaTheme="majorEastAsia" w:cs="Arial"/>
          <w:color w:val="auto"/>
        </w:rPr>
      </w:pPr>
      <w:hyperlink r:id="rId29" w:history="1">
        <w:r w:rsidR="00F06212" w:rsidRPr="009D6BCE">
          <w:rPr>
            <w:rStyle w:val="Hyperlink"/>
            <w:rFonts w:eastAsiaTheme="majorEastAsia" w:cs="Arial"/>
            <w:color w:val="auto"/>
          </w:rPr>
          <w:t xml:space="preserve">EDRi Recommendations </w:t>
        </w:r>
        <w:r w:rsidR="00F06212" w:rsidRPr="009D6BCE">
          <w:rPr>
            <w:rStyle w:val="Hyperlink"/>
            <w:rFonts w:cs="Arial"/>
            <w:color w:val="auto"/>
          </w:rPr>
          <w:t>for a Fundamental Rights-based Artificial Intelligence Regulation</w:t>
        </w:r>
      </w:hyperlink>
    </w:p>
    <w:p w14:paraId="33C2138F" w14:textId="227D200C" w:rsidR="00D67F18" w:rsidRDefault="007E721A" w:rsidP="00D67F18">
      <w:pPr>
        <w:pStyle w:val="ListParagraph"/>
        <w:numPr>
          <w:ilvl w:val="0"/>
          <w:numId w:val="2"/>
        </w:numPr>
        <w:spacing w:after="240" w:line="276" w:lineRule="auto"/>
        <w:rPr>
          <w:rFonts w:eastAsiaTheme="majorEastAsia" w:cs="Arial"/>
          <w:u w:val="single"/>
        </w:rPr>
      </w:pPr>
      <w:hyperlink r:id="rId30" w:history="1">
        <w:r w:rsidR="00D67F18" w:rsidRPr="00D67F18">
          <w:rPr>
            <w:rStyle w:val="Hyperlink"/>
            <w:rFonts w:eastAsiaTheme="majorEastAsia" w:cs="Arial"/>
            <w:color w:val="auto"/>
          </w:rPr>
          <w:t>EDRi demands an open, safe and accountable internet – will you join us?</w:t>
        </w:r>
      </w:hyperlink>
    </w:p>
    <w:p w14:paraId="354337D0" w14:textId="5C9EECB6" w:rsidR="00D67F18" w:rsidRPr="00D67F18" w:rsidRDefault="007E721A" w:rsidP="00D67F18">
      <w:pPr>
        <w:pStyle w:val="ListParagraph"/>
        <w:numPr>
          <w:ilvl w:val="0"/>
          <w:numId w:val="2"/>
        </w:numPr>
        <w:spacing w:after="240" w:line="276" w:lineRule="auto"/>
        <w:rPr>
          <w:rFonts w:eastAsiaTheme="majorEastAsia" w:cs="Arial"/>
          <w:u w:val="single"/>
        </w:rPr>
      </w:pPr>
      <w:hyperlink r:id="rId31" w:history="1">
        <w:r w:rsidR="00D67F18" w:rsidRPr="00D67F18">
          <w:rPr>
            <w:rStyle w:val="Hyperlink"/>
            <w:rFonts w:eastAsiaTheme="majorEastAsia" w:cs="Arial"/>
            <w:color w:val="auto"/>
          </w:rPr>
          <w:t>EDRi response to the European Commission’s open public consultation on the Digital Services Act package</w:t>
        </w:r>
      </w:hyperlink>
    </w:p>
    <w:p w14:paraId="6A264EEA" w14:textId="5527AAF5" w:rsidR="003F26B1" w:rsidRPr="009D6BCE" w:rsidRDefault="007E721A" w:rsidP="00AE6E1A">
      <w:pPr>
        <w:pStyle w:val="ListParagraph"/>
        <w:numPr>
          <w:ilvl w:val="0"/>
          <w:numId w:val="2"/>
        </w:numPr>
        <w:spacing w:after="240" w:line="276" w:lineRule="auto"/>
        <w:rPr>
          <w:rStyle w:val="Hyperlink"/>
          <w:rFonts w:eastAsiaTheme="majorEastAsia" w:cs="Arial"/>
          <w:color w:val="auto"/>
        </w:rPr>
      </w:pPr>
      <w:hyperlink r:id="rId32" w:history="1">
        <w:r w:rsidR="003F26B1" w:rsidRPr="009D6BCE">
          <w:rPr>
            <w:rStyle w:val="Hyperlink"/>
            <w:rFonts w:eastAsiaTheme="majorEastAsia" w:cs="Arial"/>
            <w:color w:val="auto"/>
          </w:rPr>
          <w:t>FRA report on Violence against women: an EU-wide survey</w:t>
        </w:r>
      </w:hyperlink>
    </w:p>
    <w:p w14:paraId="6EE7827E" w14:textId="78E4C683" w:rsidR="00EC3139" w:rsidRPr="009D6BCE" w:rsidRDefault="007E721A" w:rsidP="00AE6E1A">
      <w:pPr>
        <w:pStyle w:val="ListParagraph"/>
        <w:numPr>
          <w:ilvl w:val="0"/>
          <w:numId w:val="2"/>
        </w:numPr>
        <w:spacing w:after="240" w:line="276" w:lineRule="auto"/>
        <w:rPr>
          <w:rFonts w:eastAsiaTheme="majorEastAsia" w:cs="Arial"/>
          <w:u w:val="single"/>
        </w:rPr>
      </w:pPr>
      <w:hyperlink r:id="rId33" w:history="1">
        <w:r w:rsidR="006C457A" w:rsidRPr="009D6BCE">
          <w:rPr>
            <w:rStyle w:val="Hyperlink"/>
            <w:rFonts w:eastAsiaTheme="majorEastAsia" w:cs="Arial"/>
            <w:color w:val="auto"/>
          </w:rPr>
          <w:t xml:space="preserve">Inclusion Europe </w:t>
        </w:r>
        <w:proofErr w:type="spellStart"/>
        <w:r w:rsidR="006C457A" w:rsidRPr="009D6BCE">
          <w:rPr>
            <w:rStyle w:val="Hyperlink"/>
            <w:rFonts w:eastAsiaTheme="majorEastAsia" w:cs="Arial"/>
            <w:color w:val="auto"/>
          </w:rPr>
          <w:t>BeSafe</w:t>
        </w:r>
        <w:proofErr w:type="spellEnd"/>
        <w:r w:rsidR="006C457A" w:rsidRPr="009D6BCE">
          <w:rPr>
            <w:rStyle w:val="Hyperlink"/>
            <w:rFonts w:eastAsiaTheme="majorEastAsia" w:cs="Arial"/>
            <w:color w:val="auto"/>
          </w:rPr>
          <w:t xml:space="preserve"> Project on Online safety for people with intellectual disabilities</w:t>
        </w:r>
      </w:hyperlink>
    </w:p>
    <w:p w14:paraId="4D373C3A" w14:textId="45DCB7E8" w:rsidR="00DA13EA" w:rsidRDefault="007E721A" w:rsidP="00AE6E1A">
      <w:pPr>
        <w:pStyle w:val="ListParagraph"/>
        <w:numPr>
          <w:ilvl w:val="0"/>
          <w:numId w:val="2"/>
        </w:numPr>
        <w:spacing w:after="240" w:line="276" w:lineRule="auto"/>
        <w:rPr>
          <w:rStyle w:val="Hyperlink"/>
          <w:rFonts w:eastAsiaTheme="majorEastAsia" w:cs="Arial"/>
          <w:color w:val="auto"/>
        </w:rPr>
      </w:pPr>
      <w:hyperlink r:id="rId34" w:history="1">
        <w:r w:rsidR="00DA13EA" w:rsidRPr="009D6BCE">
          <w:rPr>
            <w:rStyle w:val="Hyperlink"/>
            <w:rFonts w:eastAsiaTheme="majorEastAsia" w:cs="Arial"/>
            <w:color w:val="auto"/>
          </w:rPr>
          <w:t>Inclusion Europe Resources on Easy-to-Read</w:t>
        </w:r>
      </w:hyperlink>
    </w:p>
    <w:p w14:paraId="3F8820D7" w14:textId="3290066D" w:rsidR="00D67F18" w:rsidRPr="00D67F18" w:rsidRDefault="007E721A" w:rsidP="00963D6D">
      <w:pPr>
        <w:pStyle w:val="ListParagraph"/>
        <w:numPr>
          <w:ilvl w:val="0"/>
          <w:numId w:val="2"/>
        </w:numPr>
        <w:spacing w:after="240" w:line="276" w:lineRule="auto"/>
        <w:rPr>
          <w:rStyle w:val="Hyperlink"/>
          <w:rFonts w:eastAsiaTheme="majorEastAsia" w:cs="Arial"/>
          <w:color w:val="auto"/>
        </w:rPr>
      </w:pPr>
      <w:hyperlink r:id="rId35" w:history="1">
        <w:r w:rsidR="00D67F18" w:rsidRPr="00D67F18">
          <w:rPr>
            <w:rStyle w:val="Hyperlink"/>
            <w:rFonts w:eastAsiaTheme="majorEastAsia" w:cs="Arial"/>
            <w:color w:val="auto"/>
          </w:rPr>
          <w:t>Public consultation on the Digital Services Act package, Answering Guide for civil society organisations and individuals, EDRi</w:t>
        </w:r>
      </w:hyperlink>
    </w:p>
    <w:p w14:paraId="0584ED1F" w14:textId="77777777" w:rsidR="00B05ABB" w:rsidRDefault="00B05ABB" w:rsidP="00EC3139">
      <w:pPr>
        <w:pStyle w:val="NoSpacing"/>
      </w:pPr>
    </w:p>
    <w:p w14:paraId="4E72D61E" w14:textId="77777777" w:rsidR="00B05ABB" w:rsidRDefault="00B05ABB" w:rsidP="00EC3139">
      <w:pPr>
        <w:pStyle w:val="NoSpacing"/>
      </w:pPr>
    </w:p>
    <w:p w14:paraId="0D7784CB" w14:textId="77777777" w:rsidR="00B05ABB" w:rsidRDefault="00B05ABB" w:rsidP="00EC3139">
      <w:pPr>
        <w:pStyle w:val="NoSpacing"/>
      </w:pPr>
    </w:p>
    <w:p w14:paraId="2BCF6171" w14:textId="77777777" w:rsidR="00B05ABB" w:rsidRDefault="00B05ABB" w:rsidP="00EC3139">
      <w:pPr>
        <w:pStyle w:val="NoSpacing"/>
      </w:pPr>
    </w:p>
    <w:p w14:paraId="3C8BD6C1" w14:textId="77777777" w:rsidR="00B05ABB" w:rsidRDefault="00B05ABB" w:rsidP="00EC3139">
      <w:pPr>
        <w:pStyle w:val="NoSpacing"/>
      </w:pPr>
    </w:p>
    <w:p w14:paraId="5EA84A1F" w14:textId="4DD9EDFD" w:rsidR="00EC3139" w:rsidRPr="009D6BCE" w:rsidRDefault="006C457A" w:rsidP="00EC3139">
      <w:pPr>
        <w:pStyle w:val="NoSpacing"/>
      </w:pPr>
      <w:bookmarkStart w:id="5" w:name="_GoBack"/>
      <w:bookmarkEnd w:id="5"/>
      <w:r w:rsidRPr="009D6BCE">
        <w:t xml:space="preserve">Relevant </w:t>
      </w:r>
      <w:r w:rsidR="00EC3139" w:rsidRPr="009D6BCE">
        <w:t xml:space="preserve">Media Reports </w:t>
      </w:r>
      <w:r w:rsidR="00DA13EA" w:rsidRPr="009D6BCE">
        <w:t>and blog posts</w:t>
      </w:r>
    </w:p>
    <w:p w14:paraId="5FE90694" w14:textId="19C96326" w:rsidR="00DA13EA" w:rsidRPr="009D6BCE" w:rsidRDefault="00DA13EA" w:rsidP="00AE6E1A">
      <w:pPr>
        <w:pStyle w:val="ListParagraph"/>
        <w:numPr>
          <w:ilvl w:val="0"/>
          <w:numId w:val="2"/>
        </w:numPr>
        <w:spacing w:line="276" w:lineRule="auto"/>
      </w:pPr>
      <w:r w:rsidRPr="009D6BCE">
        <w:rPr>
          <w:rFonts w:eastAsiaTheme="majorEastAsia" w:cs="Arial"/>
        </w:rPr>
        <w:t>“</w:t>
      </w:r>
      <w:hyperlink r:id="rId36" w:history="1">
        <w:r w:rsidRPr="009D6BCE">
          <w:rPr>
            <w:rStyle w:val="Hyperlink"/>
            <w:rFonts w:eastAsiaTheme="majorEastAsia" w:cs="Arial"/>
            <w:color w:val="auto"/>
          </w:rPr>
          <w:t>Detecting Screen Readers – No</w:t>
        </w:r>
      </w:hyperlink>
      <w:r w:rsidRPr="009D6BCE">
        <w:rPr>
          <w:rFonts w:eastAsiaTheme="majorEastAsia" w:cs="Arial"/>
        </w:rPr>
        <w:t>” by Dennis on WebAxe.org, March 1, 2014</w:t>
      </w:r>
    </w:p>
    <w:p w14:paraId="5DED5BC1" w14:textId="036AC4DD" w:rsidR="00DA13EA" w:rsidRDefault="00DA13EA" w:rsidP="00AE6E1A">
      <w:pPr>
        <w:pStyle w:val="ListParagraph"/>
        <w:numPr>
          <w:ilvl w:val="0"/>
          <w:numId w:val="2"/>
        </w:numPr>
        <w:spacing w:after="240" w:line="276" w:lineRule="auto"/>
      </w:pPr>
      <w:r w:rsidRPr="009D6BCE">
        <w:t>“</w:t>
      </w:r>
      <w:hyperlink r:id="rId37" w:history="1">
        <w:r w:rsidRPr="009D6BCE">
          <w:rPr>
            <w:rStyle w:val="Hyperlink"/>
            <w:color w:val="auto"/>
          </w:rPr>
          <w:t>Greta Thunberg responds to Asperger's critics: 'It's a superpower'</w:t>
        </w:r>
      </w:hyperlink>
      <w:r w:rsidRPr="009D6BCE">
        <w:t>”, by Alison Rourke on TheGuardia.com, September 2, 2019</w:t>
      </w:r>
    </w:p>
    <w:p w14:paraId="62C85D29" w14:textId="5945D9CD" w:rsidR="00B05ABB" w:rsidRPr="00BE43AF" w:rsidRDefault="00BE43AF" w:rsidP="00B05ABB">
      <w:pPr>
        <w:pStyle w:val="ListParagraph"/>
        <w:numPr>
          <w:ilvl w:val="0"/>
          <w:numId w:val="2"/>
        </w:numPr>
        <w:spacing w:after="240" w:line="276" w:lineRule="auto"/>
      </w:pPr>
      <w:r w:rsidRPr="00BE43AF">
        <w:t>“</w:t>
      </w:r>
      <w:hyperlink r:id="rId38" w:history="1">
        <w:r w:rsidRPr="00BE43AF">
          <w:rPr>
            <w:rStyle w:val="Hyperlink"/>
            <w:color w:val="auto"/>
          </w:rPr>
          <w:t>How to design AI that eliminates disability bias</w:t>
        </w:r>
      </w:hyperlink>
      <w:r w:rsidRPr="00BE43AF">
        <w:t>”, by Alicia Clegg, 27 January 2020, Financial Times</w:t>
      </w:r>
    </w:p>
    <w:p w14:paraId="7E443537" w14:textId="27745334" w:rsidR="00EC3139" w:rsidRPr="009D6BCE" w:rsidRDefault="00EC3139" w:rsidP="00AE6E1A">
      <w:pPr>
        <w:pStyle w:val="ListParagraph"/>
        <w:numPr>
          <w:ilvl w:val="0"/>
          <w:numId w:val="2"/>
        </w:numPr>
        <w:spacing w:after="240" w:line="276" w:lineRule="auto"/>
      </w:pPr>
      <w:r w:rsidRPr="009D6BCE">
        <w:t>“</w:t>
      </w:r>
      <w:hyperlink r:id="rId39" w:history="1">
        <w:r w:rsidRPr="009D6BCE">
          <w:rPr>
            <w:rStyle w:val="Hyperlink"/>
            <w:color w:val="auto"/>
          </w:rPr>
          <w:t>Twitter Apologized for Launching Voice Feature That Wasn't Accessible to Disabled Users</w:t>
        </w:r>
      </w:hyperlink>
      <w:r w:rsidRPr="009D6BCE">
        <w:t>” by Samantha Mannis on TheMighty.com, June 19, 2020</w:t>
      </w:r>
    </w:p>
    <w:p w14:paraId="34A8C9EF" w14:textId="279F53BD" w:rsidR="00DA13EA" w:rsidRPr="009D6BCE" w:rsidRDefault="00DA13EA" w:rsidP="00AE6E1A">
      <w:pPr>
        <w:pStyle w:val="ListParagraph"/>
        <w:numPr>
          <w:ilvl w:val="0"/>
          <w:numId w:val="2"/>
        </w:numPr>
        <w:spacing w:after="240" w:line="276" w:lineRule="auto"/>
      </w:pPr>
      <w:r w:rsidRPr="009D6BCE">
        <w:t>“</w:t>
      </w:r>
      <w:hyperlink r:id="rId40" w:history="1">
        <w:r w:rsidRPr="009D6BCE">
          <w:rPr>
            <w:rStyle w:val="Hyperlink"/>
            <w:color w:val="auto"/>
          </w:rPr>
          <w:t>When Things Go Wrong for Blind Users on Facebook, They Go Really Wrong</w:t>
        </w:r>
      </w:hyperlink>
      <w:r w:rsidRPr="009D6BCE">
        <w:t>” by April Glaser on Slate.com, November 20, 2019</w:t>
      </w:r>
    </w:p>
    <w:p w14:paraId="265C3023" w14:textId="6806B3C1" w:rsidR="009D6BCE" w:rsidRPr="009D6BCE" w:rsidRDefault="009D6BCE" w:rsidP="00AE6E1A">
      <w:pPr>
        <w:pStyle w:val="ListParagraph"/>
        <w:numPr>
          <w:ilvl w:val="0"/>
          <w:numId w:val="2"/>
        </w:numPr>
        <w:spacing w:after="240" w:line="276" w:lineRule="auto"/>
      </w:pPr>
      <w:r w:rsidRPr="009D6BCE">
        <w:t>“</w:t>
      </w:r>
      <w:hyperlink r:id="rId41" w:history="1">
        <w:r w:rsidRPr="009D6BCE">
          <w:rPr>
            <w:rStyle w:val="Hyperlink"/>
            <w:color w:val="auto"/>
          </w:rPr>
          <w:t>Why privacy is particularly crucial for people with disabilities</w:t>
        </w:r>
      </w:hyperlink>
      <w:r w:rsidRPr="009D6BCE">
        <w:t>”, by Shadi Abou-Zahra on EDRi.org, December 4, 2019</w:t>
      </w:r>
    </w:p>
    <w:p w14:paraId="20C5B8A5" w14:textId="02785D84" w:rsidR="003C658C" w:rsidRPr="009D6BCE" w:rsidRDefault="003C658C" w:rsidP="00FE2ADC">
      <w:pPr>
        <w:pStyle w:val="Heading1"/>
        <w:rPr>
          <w:rFonts w:cs="Arial"/>
        </w:rPr>
      </w:pPr>
      <w:r w:rsidRPr="009D6BCE">
        <w:rPr>
          <w:rFonts w:cs="Arial"/>
        </w:rPr>
        <w:t>Contacts</w:t>
      </w:r>
      <w:r w:rsidR="005B61FB" w:rsidRPr="009D6BCE">
        <w:rPr>
          <w:rFonts w:cs="Arial"/>
        </w:rPr>
        <w:t>:</w:t>
      </w:r>
    </w:p>
    <w:p w14:paraId="44ACE270" w14:textId="77777777" w:rsidR="00FA384F" w:rsidRPr="009D6BCE" w:rsidRDefault="00FA384F" w:rsidP="00FE2ADC">
      <w:pPr>
        <w:spacing w:after="240" w:line="276" w:lineRule="auto"/>
        <w:rPr>
          <w:rFonts w:cs="Arial"/>
        </w:rPr>
      </w:pPr>
      <w:r w:rsidRPr="009D6BCE">
        <w:rPr>
          <w:rFonts w:cs="Arial"/>
        </w:rPr>
        <w:t xml:space="preserve">Mher Hakobyan, Accessibility Officer </w:t>
      </w:r>
      <w:r w:rsidRPr="009D6BCE">
        <w:rPr>
          <w:rFonts w:eastAsiaTheme="majorEastAsia" w:cs="Arial"/>
          <w:szCs w:val="20"/>
          <w:lang w:eastAsia="fr-FR"/>
        </w:rPr>
        <w:t xml:space="preserve">| </w:t>
      </w:r>
      <w:hyperlink r:id="rId42" w:history="1">
        <w:r w:rsidRPr="009D6BCE">
          <w:rPr>
            <w:rStyle w:val="Hyperlink"/>
            <w:rFonts w:cs="Arial"/>
            <w:color w:val="auto"/>
          </w:rPr>
          <w:t>mher.hakobyan@edf-feph.org</w:t>
        </w:r>
      </w:hyperlink>
      <w:r w:rsidRPr="009D6BCE">
        <w:rPr>
          <w:rFonts w:cs="Arial"/>
        </w:rPr>
        <w:t xml:space="preserve"> </w:t>
      </w:r>
    </w:p>
    <w:p w14:paraId="6C7B2C66" w14:textId="4C191599" w:rsidR="001C405E" w:rsidRPr="009D6BCE" w:rsidRDefault="0009611F" w:rsidP="00FE2ADC">
      <w:pPr>
        <w:spacing w:after="240" w:line="276" w:lineRule="auto"/>
        <w:rPr>
          <w:rFonts w:eastAsiaTheme="majorEastAsia" w:cs="Arial"/>
          <w:szCs w:val="20"/>
          <w:lang w:eastAsia="fr-FR"/>
        </w:rPr>
      </w:pPr>
      <w:r w:rsidRPr="009D6BCE">
        <w:rPr>
          <w:rFonts w:eastAsiaTheme="majorEastAsia" w:cs="Arial"/>
          <w:szCs w:val="20"/>
          <w:lang w:eastAsia="fr-FR"/>
        </w:rPr>
        <w:t xml:space="preserve">Alejandro Moledo, Policy Coordinator | </w:t>
      </w:r>
      <w:hyperlink r:id="rId43" w:history="1">
        <w:r w:rsidRPr="009D6BCE">
          <w:rPr>
            <w:rStyle w:val="Hyperlink"/>
            <w:rFonts w:eastAsiaTheme="majorEastAsia" w:cs="Arial"/>
            <w:color w:val="auto"/>
            <w:szCs w:val="20"/>
            <w:lang w:eastAsia="fr-FR"/>
          </w:rPr>
          <w:t>alejandro.moledo@edf-feph.org</w:t>
        </w:r>
      </w:hyperlink>
      <w:r w:rsidRPr="009D6BCE">
        <w:rPr>
          <w:rFonts w:eastAsiaTheme="majorEastAsia" w:cs="Arial"/>
          <w:szCs w:val="20"/>
          <w:lang w:eastAsia="fr-FR"/>
        </w:rPr>
        <w:t xml:space="preserve"> </w:t>
      </w:r>
    </w:p>
    <w:sectPr w:rsidR="001C405E" w:rsidRPr="009D6BCE" w:rsidSect="00B36428">
      <w:headerReference w:type="default" r:id="rId44"/>
      <w:footerReference w:type="default" r:id="rId45"/>
      <w:headerReference w:type="first" r:id="rId46"/>
      <w:pgSz w:w="12240" w:h="15840"/>
      <w:pgMar w:top="1701" w:right="1134" w:bottom="1134" w:left="1134" w:header="720" w:footer="1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A91B8" w14:textId="77777777" w:rsidR="007E721A" w:rsidRDefault="007E721A" w:rsidP="00713123">
      <w:r>
        <w:separator/>
      </w:r>
    </w:p>
  </w:endnote>
  <w:endnote w:type="continuationSeparator" w:id="0">
    <w:p w14:paraId="5563987C" w14:textId="77777777" w:rsidR="007E721A" w:rsidRDefault="007E721A" w:rsidP="0071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F45D" w14:textId="77777777" w:rsidR="00130555" w:rsidRDefault="00130555">
    <w:pPr>
      <w:pStyle w:val="Footer"/>
      <w:jc w:val="center"/>
    </w:pPr>
  </w:p>
  <w:p w14:paraId="3E077425" w14:textId="77777777" w:rsidR="00130555" w:rsidRDefault="00130555">
    <w:pPr>
      <w:pStyle w:val="Footer"/>
      <w:jc w:val="center"/>
    </w:pPr>
  </w:p>
  <w:p w14:paraId="3EFF798C" w14:textId="77777777" w:rsidR="00130555" w:rsidRDefault="00130555">
    <w:pPr>
      <w:pStyle w:val="Footer"/>
      <w:jc w:val="center"/>
    </w:pPr>
    <w:r>
      <w:rPr>
        <w:noProof/>
        <w:lang w:val="fr-BE" w:eastAsia="fr-BE"/>
      </w:rPr>
      <mc:AlternateContent>
        <mc:Choice Requires="wps">
          <w:drawing>
            <wp:anchor distT="0" distB="0" distL="114300" distR="114300" simplePos="0" relativeHeight="251659264" behindDoc="0" locked="0" layoutInCell="1" allowOverlap="1" wp14:anchorId="24316113" wp14:editId="5858F2E8">
              <wp:simplePos x="0" y="0"/>
              <wp:positionH relativeFrom="column">
                <wp:posOffset>-310515</wp:posOffset>
              </wp:positionH>
              <wp:positionV relativeFrom="paragraph">
                <wp:posOffset>36195</wp:posOffset>
              </wp:positionV>
              <wp:extent cx="6858000" cy="6000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49140" w14:textId="49B1172E" w:rsidR="004B7AE4" w:rsidRPr="00D51D35"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sz w:val="20"/>
                              <w:lang w:val="fr-BE"/>
                            </w:rPr>
                          </w:pPr>
                          <w:r w:rsidRPr="007A60C9">
                            <w:rPr>
                              <w:sz w:val="20"/>
                            </w:rPr>
                            <w:tab/>
                          </w:r>
                          <w:r w:rsidR="004B7AE4" w:rsidRPr="009317CE">
                            <w:rPr>
                              <w:sz w:val="20"/>
                              <w:lang w:val="fr-BE"/>
                            </w:rPr>
                            <w:t>Avenue des Arts 7– 8</w:t>
                          </w:r>
                          <w:r w:rsidR="004B7AE4" w:rsidRPr="009317CE">
                            <w:rPr>
                              <w:sz w:val="20"/>
                              <w:lang w:val="fr-BE"/>
                            </w:rPr>
                            <w:tab/>
                          </w:r>
                          <w:hyperlink r:id="rId1" w:history="1">
                            <w:r w:rsidR="000E4C8E" w:rsidRPr="000E4C8E">
                              <w:rPr>
                                <w:rStyle w:val="Hyperlink"/>
                                <w:color w:val="000000" w:themeColor="text1"/>
                                <w:sz w:val="20"/>
                                <w:lang w:val="fr-BE"/>
                              </w:rPr>
                              <w:t>info@edf-feph.org</w:t>
                            </w:r>
                          </w:hyperlink>
                          <w:r w:rsidR="000E4C8E" w:rsidRPr="000E4C8E">
                            <w:rPr>
                              <w:color w:val="000000" w:themeColor="text1"/>
                              <w:sz w:val="20"/>
                              <w:lang w:val="fr-BE"/>
                            </w:rPr>
                            <w:t xml:space="preserve"> </w:t>
                          </w:r>
                          <w:r w:rsidR="00442DAE" w:rsidRPr="00442DAE">
                            <w:rPr>
                              <w:rStyle w:val="Hyperlink"/>
                              <w:color w:val="auto"/>
                              <w:sz w:val="20"/>
                              <w:u w:val="none"/>
                              <w:lang w:val="fr-BE"/>
                            </w:rPr>
                            <w:tab/>
                          </w:r>
                          <w:r w:rsidR="004B7AE4" w:rsidRPr="00D51D35">
                            <w:rPr>
                              <w:b/>
                              <w:color w:val="007AB7"/>
                              <w:sz w:val="20"/>
                              <w:lang w:val="fr-BE"/>
                            </w:rPr>
                            <w:t>tel</w:t>
                          </w:r>
                          <w:r w:rsidR="004B7AE4" w:rsidRPr="00D51D35">
                            <w:rPr>
                              <w:sz w:val="20"/>
                              <w:lang w:val="fr-BE"/>
                            </w:rPr>
                            <w:t xml:space="preserve"> +32 2 </w:t>
                          </w:r>
                          <w:r w:rsidR="00442DAE">
                            <w:rPr>
                              <w:sz w:val="20"/>
                              <w:lang w:val="fr-BE"/>
                            </w:rPr>
                            <w:t>329</w:t>
                          </w:r>
                          <w:r w:rsidR="004B7AE4" w:rsidRPr="00D51D35">
                            <w:rPr>
                              <w:sz w:val="20"/>
                              <w:lang w:val="fr-BE"/>
                            </w:rPr>
                            <w:t xml:space="preserve"> </w:t>
                          </w:r>
                          <w:r w:rsidR="00442DAE">
                            <w:rPr>
                              <w:sz w:val="20"/>
                              <w:lang w:val="fr-BE"/>
                            </w:rPr>
                            <w:t>00 59</w:t>
                          </w:r>
                          <w:r w:rsidR="004B7AE4" w:rsidRPr="00D51D35">
                            <w:rPr>
                              <w:sz w:val="20"/>
                              <w:lang w:val="fr-BE"/>
                            </w:rPr>
                            <w:tab/>
                          </w:r>
                        </w:p>
                        <w:p w14:paraId="4ED5219C" w14:textId="0BC068F5" w:rsidR="004B7AE4" w:rsidRPr="00631A1D" w:rsidRDefault="004B7AE4" w:rsidP="004B7AE4">
                          <w:pPr>
                            <w:pStyle w:val="Footer"/>
                            <w:tabs>
                              <w:tab w:val="left" w:pos="1701"/>
                              <w:tab w:val="left" w:pos="4395"/>
                              <w:tab w:val="center" w:pos="5310"/>
                              <w:tab w:val="left" w:pos="6930"/>
                              <w:tab w:val="left" w:pos="7650"/>
                              <w:tab w:val="right" w:pos="7740"/>
                            </w:tabs>
                            <w:rPr>
                              <w:b/>
                              <w:color w:val="FF0000"/>
                              <w:sz w:val="20"/>
                              <w:lang w:val="de-DE"/>
                            </w:rPr>
                          </w:pPr>
                          <w:r w:rsidRPr="00D51D35">
                            <w:rPr>
                              <w:sz w:val="20"/>
                              <w:lang w:val="fr-BE"/>
                            </w:rPr>
                            <w:tab/>
                          </w:r>
                          <w:r w:rsidRPr="00631A1D">
                            <w:rPr>
                              <w:sz w:val="20"/>
                              <w:lang w:val="de-DE"/>
                            </w:rPr>
                            <w:t xml:space="preserve">B-1210 Brussels, Belgium </w:t>
                          </w:r>
                          <w:r w:rsidRPr="00631A1D">
                            <w:rPr>
                              <w:sz w:val="20"/>
                              <w:lang w:val="de-DE"/>
                            </w:rPr>
                            <w:tab/>
                          </w:r>
                          <w:hyperlink r:id="rId2" w:history="1">
                            <w:r w:rsidR="00442DAE" w:rsidRPr="00631A1D">
                              <w:rPr>
                                <w:rStyle w:val="Hyperlink"/>
                                <w:color w:val="auto"/>
                                <w:sz w:val="20"/>
                                <w:lang w:val="de-DE"/>
                              </w:rPr>
                              <w:t>www.edf-feph.org</w:t>
                            </w:r>
                          </w:hyperlink>
                          <w:r w:rsidRPr="00631A1D">
                            <w:rPr>
                              <w:sz w:val="20"/>
                              <w:lang w:val="de-DE"/>
                            </w:rPr>
                            <w:tab/>
                          </w:r>
                        </w:p>
                        <w:p w14:paraId="16A00F04" w14:textId="0E4FFE1F" w:rsidR="00130555" w:rsidRPr="00631A1D"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16113" id="_x0000_t202" coordsize="21600,21600" o:spt="202" path="m,l,21600r21600,l21600,xe">
              <v:stroke joinstyle="miter"/>
              <v:path gradientshapeok="t" o:connecttype="rect"/>
            </v:shapetype>
            <v:shape id="Text Box 4" o:spid="_x0000_s1026" type="#_x0000_t202" style="position:absolute;left:0;text-align:left;margin-left:-24.45pt;margin-top:2.85pt;width:540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" filled="f" stroked="f">
              <v:textbox>
                <w:txbxContent>
                  <w:p w14:paraId="2DD49140" w14:textId="49B1172E" w:rsidR="004B7AE4" w:rsidRPr="00D51D35"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sz w:val="20"/>
                        <w:lang w:val="fr-BE"/>
                      </w:rPr>
                    </w:pPr>
                    <w:r w:rsidRPr="007A60C9">
                      <w:rPr>
                        <w:sz w:val="20"/>
                      </w:rPr>
                      <w:tab/>
                    </w:r>
                    <w:r w:rsidR="004B7AE4" w:rsidRPr="009317CE">
                      <w:rPr>
                        <w:sz w:val="20"/>
                        <w:lang w:val="fr-BE"/>
                      </w:rPr>
                      <w:t>Avenue des Arts 7– 8</w:t>
                    </w:r>
                    <w:r w:rsidR="004B7AE4" w:rsidRPr="009317CE">
                      <w:rPr>
                        <w:sz w:val="20"/>
                        <w:lang w:val="fr-BE"/>
                      </w:rPr>
                      <w:tab/>
                    </w:r>
                    <w:hyperlink r:id="rId3" w:history="1">
                      <w:r w:rsidR="000E4C8E" w:rsidRPr="000E4C8E">
                        <w:rPr>
                          <w:rStyle w:val="Hyperlink"/>
                          <w:color w:val="000000" w:themeColor="text1"/>
                          <w:sz w:val="20"/>
                          <w:lang w:val="fr-BE"/>
                        </w:rPr>
                        <w:t>info@edf-feph.org</w:t>
                      </w:r>
                    </w:hyperlink>
                    <w:r w:rsidR="000E4C8E" w:rsidRPr="000E4C8E">
                      <w:rPr>
                        <w:color w:val="000000" w:themeColor="text1"/>
                        <w:sz w:val="20"/>
                        <w:lang w:val="fr-BE"/>
                      </w:rPr>
                      <w:t xml:space="preserve"> </w:t>
                    </w:r>
                    <w:r w:rsidR="00442DAE" w:rsidRPr="00442DAE">
                      <w:rPr>
                        <w:rStyle w:val="Hyperlink"/>
                        <w:color w:val="auto"/>
                        <w:sz w:val="20"/>
                        <w:u w:val="none"/>
                        <w:lang w:val="fr-BE"/>
                      </w:rPr>
                      <w:tab/>
                    </w:r>
                    <w:r w:rsidR="004B7AE4" w:rsidRPr="00D51D35">
                      <w:rPr>
                        <w:b/>
                        <w:color w:val="007AB7"/>
                        <w:sz w:val="20"/>
                        <w:lang w:val="fr-BE"/>
                      </w:rPr>
                      <w:t>tel</w:t>
                    </w:r>
                    <w:r w:rsidR="004B7AE4" w:rsidRPr="00D51D35">
                      <w:rPr>
                        <w:sz w:val="20"/>
                        <w:lang w:val="fr-BE"/>
                      </w:rPr>
                      <w:t xml:space="preserve"> +32 2 </w:t>
                    </w:r>
                    <w:r w:rsidR="00442DAE">
                      <w:rPr>
                        <w:sz w:val="20"/>
                        <w:lang w:val="fr-BE"/>
                      </w:rPr>
                      <w:t>329</w:t>
                    </w:r>
                    <w:r w:rsidR="004B7AE4" w:rsidRPr="00D51D35">
                      <w:rPr>
                        <w:sz w:val="20"/>
                        <w:lang w:val="fr-BE"/>
                      </w:rPr>
                      <w:t xml:space="preserve"> </w:t>
                    </w:r>
                    <w:r w:rsidR="00442DAE">
                      <w:rPr>
                        <w:sz w:val="20"/>
                        <w:lang w:val="fr-BE"/>
                      </w:rPr>
                      <w:t>00 59</w:t>
                    </w:r>
                    <w:r w:rsidR="004B7AE4" w:rsidRPr="00D51D35">
                      <w:rPr>
                        <w:sz w:val="20"/>
                        <w:lang w:val="fr-BE"/>
                      </w:rPr>
                      <w:tab/>
                    </w:r>
                  </w:p>
                  <w:p w14:paraId="4ED5219C" w14:textId="0BC068F5" w:rsidR="004B7AE4" w:rsidRPr="00631A1D" w:rsidRDefault="004B7AE4" w:rsidP="004B7AE4">
                    <w:pPr>
                      <w:pStyle w:val="Footer"/>
                      <w:tabs>
                        <w:tab w:val="left" w:pos="1701"/>
                        <w:tab w:val="left" w:pos="4395"/>
                        <w:tab w:val="center" w:pos="5310"/>
                        <w:tab w:val="left" w:pos="6930"/>
                        <w:tab w:val="left" w:pos="7650"/>
                        <w:tab w:val="right" w:pos="7740"/>
                      </w:tabs>
                      <w:rPr>
                        <w:b/>
                        <w:color w:val="FF0000"/>
                        <w:sz w:val="20"/>
                        <w:lang w:val="de-DE"/>
                      </w:rPr>
                    </w:pPr>
                    <w:r w:rsidRPr="00D51D35">
                      <w:rPr>
                        <w:sz w:val="20"/>
                        <w:lang w:val="fr-BE"/>
                      </w:rPr>
                      <w:tab/>
                    </w:r>
                    <w:r w:rsidRPr="00631A1D">
                      <w:rPr>
                        <w:sz w:val="20"/>
                        <w:lang w:val="de-DE"/>
                      </w:rPr>
                      <w:t xml:space="preserve">B-1210 Brussels, Belgium </w:t>
                    </w:r>
                    <w:r w:rsidRPr="00631A1D">
                      <w:rPr>
                        <w:sz w:val="20"/>
                        <w:lang w:val="de-DE"/>
                      </w:rPr>
                      <w:tab/>
                    </w:r>
                    <w:hyperlink r:id="rId4" w:history="1">
                      <w:r w:rsidR="00442DAE" w:rsidRPr="00631A1D">
                        <w:rPr>
                          <w:rStyle w:val="Hyperlink"/>
                          <w:color w:val="auto"/>
                          <w:sz w:val="20"/>
                          <w:lang w:val="de-DE"/>
                        </w:rPr>
                        <w:t>www.edf-feph.org</w:t>
                      </w:r>
                    </w:hyperlink>
                    <w:r w:rsidRPr="00631A1D">
                      <w:rPr>
                        <w:sz w:val="20"/>
                        <w:lang w:val="de-DE"/>
                      </w:rPr>
                      <w:tab/>
                    </w:r>
                  </w:p>
                  <w:p w14:paraId="16A00F04" w14:textId="0E4FFE1F" w:rsidR="00130555" w:rsidRPr="00631A1D"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lang w:val="de-DE"/>
                      </w:rPr>
                    </w:pPr>
                  </w:p>
                </w:txbxContent>
              </v:textbox>
            </v:shape>
          </w:pict>
        </mc:Fallback>
      </mc:AlternateContent>
    </w:r>
  </w:p>
  <w:p w14:paraId="69E6BBFC" w14:textId="77777777" w:rsidR="00130555" w:rsidRDefault="00130555">
    <w:pPr>
      <w:pStyle w:val="Footer"/>
      <w:jc w:val="center"/>
    </w:pPr>
  </w:p>
  <w:p w14:paraId="53C6A15D" w14:textId="77777777" w:rsidR="00130555" w:rsidRDefault="00130555">
    <w:pPr>
      <w:pStyle w:val="Footer"/>
      <w:jc w:val="center"/>
    </w:pPr>
  </w:p>
  <w:p w14:paraId="06295F6E" w14:textId="09ADFE2E" w:rsidR="00130555" w:rsidRDefault="00130555">
    <w:pPr>
      <w:pStyle w:val="Footer"/>
      <w:jc w:val="center"/>
    </w:pPr>
    <w:r>
      <w:fldChar w:fldCharType="begin"/>
    </w:r>
    <w:r>
      <w:instrText xml:space="preserve"> PAGE   \* MERGEFORMAT </w:instrText>
    </w:r>
    <w:r>
      <w:fldChar w:fldCharType="separate"/>
    </w:r>
    <w:r w:rsidR="00D67F18">
      <w:rPr>
        <w:noProof/>
      </w:rPr>
      <w:t>12</w:t>
    </w:r>
    <w:r>
      <w:rPr>
        <w:noProof/>
      </w:rPr>
      <w:fldChar w:fldCharType="end"/>
    </w:r>
  </w:p>
  <w:p w14:paraId="7C3EAEFD" w14:textId="77777777" w:rsidR="00130555" w:rsidRDefault="00130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27F4F" w14:textId="77777777" w:rsidR="007E721A" w:rsidRDefault="007E721A" w:rsidP="00713123">
      <w:r>
        <w:separator/>
      </w:r>
    </w:p>
  </w:footnote>
  <w:footnote w:type="continuationSeparator" w:id="0">
    <w:p w14:paraId="610B3864" w14:textId="77777777" w:rsidR="007E721A" w:rsidRDefault="007E721A" w:rsidP="00713123">
      <w:r>
        <w:continuationSeparator/>
      </w:r>
    </w:p>
  </w:footnote>
  <w:footnote w:id="1">
    <w:p w14:paraId="6A0EC3CF" w14:textId="43278F4C" w:rsidR="00AD6F01" w:rsidRDefault="00AD6F01">
      <w:pPr>
        <w:pStyle w:val="FootnoteText"/>
      </w:pPr>
      <w:r>
        <w:rPr>
          <w:rStyle w:val="FootnoteReference"/>
        </w:rPr>
        <w:footnoteRef/>
      </w:r>
      <w:r>
        <w:t xml:space="preserve"> </w:t>
      </w:r>
      <w:hyperlink r:id="rId1" w:history="1">
        <w:r w:rsidRPr="00AD6F01">
          <w:rPr>
            <w:rStyle w:val="Hyperlink"/>
          </w:rPr>
          <w:t>Article 4</w:t>
        </w:r>
        <w:r>
          <w:rPr>
            <w:rStyle w:val="Hyperlink"/>
          </w:rPr>
          <w:t>.1</w:t>
        </w:r>
        <w:r w:rsidRPr="00AD6F01">
          <w:rPr>
            <w:rStyle w:val="Hyperlink"/>
          </w:rPr>
          <w:t xml:space="preserve"> (f) - General obligations of Convention on the Rights of Persons with Disabilities (UN CRPD)</w:t>
        </w:r>
      </w:hyperlink>
    </w:p>
  </w:footnote>
  <w:footnote w:id="2">
    <w:p w14:paraId="04261D13" w14:textId="73A073D5" w:rsidR="00C535DF" w:rsidRPr="00976049" w:rsidRDefault="00C535DF">
      <w:pPr>
        <w:pStyle w:val="FootnoteText"/>
      </w:pPr>
      <w:r w:rsidRPr="00976049">
        <w:rPr>
          <w:rStyle w:val="FootnoteReference"/>
        </w:rPr>
        <w:footnoteRef/>
      </w:r>
      <w:r w:rsidRPr="00976049">
        <w:t xml:space="preserve"> </w:t>
      </w:r>
      <w:hyperlink r:id="rId2" w:history="1">
        <w:r w:rsidRPr="009372B5">
          <w:rPr>
            <w:rStyle w:val="Hyperlink"/>
          </w:rPr>
          <w:t>European Standard 17161 on Accessibility following a Design for all approach</w:t>
        </w:r>
      </w:hyperlink>
      <w:r w:rsidRPr="00976049">
        <w:t xml:space="preserve"> </w:t>
      </w:r>
      <w:r w:rsidRPr="009372B5">
        <w:t>can be of use to embrace human diversity and achieve greater accessibility</w:t>
      </w:r>
      <w:r w:rsidRPr="00976049">
        <w:t>.</w:t>
      </w:r>
    </w:p>
  </w:footnote>
  <w:footnote w:id="3">
    <w:p w14:paraId="26C1FD07" w14:textId="2188AE85" w:rsidR="00C70DB8" w:rsidRPr="00976049" w:rsidRDefault="00C70DB8">
      <w:pPr>
        <w:pStyle w:val="FootnoteText"/>
      </w:pPr>
      <w:r w:rsidRPr="00976049">
        <w:rPr>
          <w:rStyle w:val="FootnoteReference"/>
        </w:rPr>
        <w:footnoteRef/>
      </w:r>
      <w:r w:rsidRPr="00976049">
        <w:t xml:space="preserve"> </w:t>
      </w:r>
      <w:hyperlink r:id="rId3" w:history="1">
        <w:r w:rsidRPr="009709A7">
          <w:rPr>
            <w:rStyle w:val="Hyperlink"/>
          </w:rPr>
          <w:t>(Harmonized) European Standard: Accessibility requirements for ICT products and services - EN 301 549 V3.1.1</w:t>
        </w:r>
      </w:hyperlink>
      <w:r w:rsidRPr="009709A7">
        <w:t xml:space="preserve">; </w:t>
      </w:r>
      <w:hyperlink r:id="rId4" w:history="1">
        <w:r w:rsidRPr="009709A7">
          <w:rPr>
            <w:rStyle w:val="Hyperlink"/>
          </w:rPr>
          <w:t>Web Content Accessibility Guidelines (WCAG) 2.1</w:t>
        </w:r>
      </w:hyperlink>
    </w:p>
  </w:footnote>
  <w:footnote w:id="4">
    <w:p w14:paraId="319F203C" w14:textId="20D4E141" w:rsidR="00DD0236" w:rsidRPr="009372B5" w:rsidRDefault="00DD0236">
      <w:pPr>
        <w:pStyle w:val="FootnoteText"/>
      </w:pPr>
      <w:r w:rsidRPr="00976049">
        <w:rPr>
          <w:rStyle w:val="FootnoteReference"/>
        </w:rPr>
        <w:footnoteRef/>
      </w:r>
      <w:r w:rsidRPr="00976049">
        <w:t xml:space="preserve"> </w:t>
      </w:r>
      <w:hyperlink r:id="rId5" w:history="1">
        <w:r w:rsidRPr="00B9024D">
          <w:rPr>
            <w:rStyle w:val="Hyperlink"/>
          </w:rPr>
          <w:t>W3C Authoring Tools Accessibility Guidelines (ATAG</w:t>
        </w:r>
      </w:hyperlink>
      <w:r w:rsidRPr="009372B5">
        <w:t>)</w:t>
      </w:r>
    </w:p>
  </w:footnote>
  <w:footnote w:id="5">
    <w:p w14:paraId="72CD9B25" w14:textId="7ACEF3D7" w:rsidR="005D6F8C" w:rsidRDefault="005D6F8C">
      <w:pPr>
        <w:pStyle w:val="FootnoteText"/>
      </w:pPr>
      <w:r>
        <w:rPr>
          <w:rStyle w:val="FootnoteReference"/>
        </w:rPr>
        <w:footnoteRef/>
      </w:r>
      <w:r>
        <w:t xml:space="preserve"> See how </w:t>
      </w:r>
      <w:hyperlink r:id="rId6" w:history="1">
        <w:r w:rsidRPr="00296BC6">
          <w:rPr>
            <w:rStyle w:val="Hyperlink"/>
          </w:rPr>
          <w:t>blind</w:t>
        </w:r>
      </w:hyperlink>
      <w:r>
        <w:t xml:space="preserve"> and </w:t>
      </w:r>
      <w:hyperlink r:id="rId7" w:history="1">
        <w:r w:rsidRPr="00296BC6">
          <w:rPr>
            <w:rStyle w:val="Hyperlink"/>
          </w:rPr>
          <w:t>deaf</w:t>
        </w:r>
      </w:hyperlink>
      <w:r>
        <w:t xml:space="preserve"> users </w:t>
      </w:r>
      <w:r w:rsidR="00296BC6">
        <w:t>were excluded due to inaccessibility of new social media features</w:t>
      </w:r>
    </w:p>
  </w:footnote>
  <w:footnote w:id="6">
    <w:p w14:paraId="1876083B" w14:textId="354D76CC" w:rsidR="00224E71" w:rsidRPr="009372B5" w:rsidRDefault="00224E71">
      <w:pPr>
        <w:pStyle w:val="FootnoteText"/>
      </w:pPr>
      <w:r w:rsidRPr="00976049">
        <w:rPr>
          <w:rStyle w:val="FootnoteReference"/>
        </w:rPr>
        <w:footnoteRef/>
      </w:r>
      <w:r w:rsidRPr="00976049">
        <w:t xml:space="preserve"> </w:t>
      </w:r>
      <w:r w:rsidRPr="009372B5">
        <w:t xml:space="preserve">Council of Europe report: </w:t>
      </w:r>
      <w:hyperlink r:id="rId8" w:anchor=":~:text=%E2%80%9CTwo%20clicks%20forward%2C%20and%20one%20click%20back%E2%80%9D,-Children%20with%20disabilities&amp;text=Ahead%20of%20the%20International%20Day,disabilities%20in%20the%20digital%20environment." w:history="1">
        <w:r w:rsidRPr="009372B5">
          <w:rPr>
            <w:rStyle w:val="Hyperlink"/>
          </w:rPr>
          <w:t>“Two clicks forward, and one click back”</w:t>
        </w:r>
      </w:hyperlink>
      <w:r w:rsidRPr="00976049">
        <w:t>.</w:t>
      </w:r>
      <w:r w:rsidRPr="009372B5">
        <w:t xml:space="preserve"> </w:t>
      </w:r>
    </w:p>
  </w:footnote>
  <w:footnote w:id="7">
    <w:p w14:paraId="009A39BC" w14:textId="77777777" w:rsidR="00212EDF" w:rsidRPr="00976049" w:rsidRDefault="00212EDF" w:rsidP="00212EDF">
      <w:pPr>
        <w:pStyle w:val="FootnoteText"/>
      </w:pPr>
      <w:r w:rsidRPr="00976049">
        <w:rPr>
          <w:rStyle w:val="FootnoteReference"/>
        </w:rPr>
        <w:footnoteRef/>
      </w:r>
      <w:r w:rsidRPr="00976049">
        <w:t xml:space="preserve"> The Guardi</w:t>
      </w:r>
      <w:r w:rsidRPr="009372B5">
        <w:t xml:space="preserve">an: </w:t>
      </w:r>
      <w:hyperlink r:id="rId9" w:history="1">
        <w:r w:rsidRPr="009372B5">
          <w:rPr>
            <w:rStyle w:val="Hyperlink"/>
          </w:rPr>
          <w:t>“Greta Thunberg responds to Asperger's critics: 'It's a superpower'”</w:t>
        </w:r>
      </w:hyperlink>
    </w:p>
  </w:footnote>
  <w:footnote w:id="8">
    <w:p w14:paraId="1771EAEF" w14:textId="77777777" w:rsidR="009B40B3" w:rsidRPr="009372B5" w:rsidRDefault="009B40B3" w:rsidP="009B40B3">
      <w:pPr>
        <w:pStyle w:val="FootnoteText"/>
      </w:pPr>
      <w:r w:rsidRPr="00976049">
        <w:rPr>
          <w:rStyle w:val="FootnoteReference"/>
        </w:rPr>
        <w:footnoteRef/>
      </w:r>
      <w:r w:rsidRPr="00976049">
        <w:t xml:space="preserve"> </w:t>
      </w:r>
      <w:hyperlink r:id="rId10" w:history="1">
        <w:proofErr w:type="spellStart"/>
        <w:r w:rsidRPr="009372B5">
          <w:rPr>
            <w:rStyle w:val="Hyperlink"/>
          </w:rPr>
          <w:t>BeSafe</w:t>
        </w:r>
        <w:proofErr w:type="spellEnd"/>
        <w:r w:rsidRPr="009372B5">
          <w:rPr>
            <w:rStyle w:val="Hyperlink"/>
          </w:rPr>
          <w:t xml:space="preserve"> project website</w:t>
        </w:r>
      </w:hyperlink>
      <w:r w:rsidRPr="00976049">
        <w:t>.</w:t>
      </w:r>
    </w:p>
  </w:footnote>
  <w:footnote w:id="9">
    <w:p w14:paraId="77EE78D8" w14:textId="7007329E" w:rsidR="003654F9" w:rsidRPr="00DA13EA" w:rsidRDefault="003654F9" w:rsidP="003654F9">
      <w:pPr>
        <w:pStyle w:val="FootnoteText"/>
        <w:rPr>
          <w:u w:val="single"/>
        </w:rPr>
      </w:pPr>
      <w:r w:rsidRPr="00976049">
        <w:rPr>
          <w:rStyle w:val="FootnoteReference"/>
        </w:rPr>
        <w:footnoteRef/>
      </w:r>
      <w:r w:rsidRPr="00976049">
        <w:t xml:space="preserve"> </w:t>
      </w:r>
      <w:hyperlink r:id="rId11" w:history="1">
        <w:r w:rsidR="003F26B1" w:rsidRPr="003F26B1">
          <w:rPr>
            <w:rStyle w:val="Hyperlink"/>
          </w:rPr>
          <w:t>FRA report on Violence against women: an EU-wide survey</w:t>
        </w:r>
      </w:hyperlink>
    </w:p>
  </w:footnote>
  <w:footnote w:id="10">
    <w:p w14:paraId="4306D54C" w14:textId="77777777" w:rsidR="009B40B3" w:rsidRPr="009B40B3" w:rsidRDefault="009B40B3" w:rsidP="009B40B3">
      <w:pPr>
        <w:pStyle w:val="FootnoteText"/>
      </w:pPr>
      <w:r w:rsidRPr="00976049">
        <w:rPr>
          <w:rStyle w:val="FootnoteReference"/>
        </w:rPr>
        <w:footnoteRef/>
      </w:r>
      <w:r w:rsidRPr="00976049">
        <w:t xml:space="preserve"> </w:t>
      </w:r>
      <w:hyperlink r:id="rId12" w:history="1">
        <w:r w:rsidRPr="009B40B3">
          <w:rPr>
            <w:rStyle w:val="Hyperlink"/>
          </w:rPr>
          <w:t>Easy to</w:t>
        </w:r>
        <w:r>
          <w:rPr>
            <w:rStyle w:val="Hyperlink"/>
          </w:rPr>
          <w:t xml:space="preserve"> </w:t>
        </w:r>
        <w:r w:rsidRPr="009B40B3">
          <w:rPr>
            <w:rStyle w:val="Hyperlink"/>
          </w:rPr>
          <w:t>read format</w:t>
        </w:r>
      </w:hyperlink>
      <w:r w:rsidRPr="009B40B3">
        <w:t>.</w:t>
      </w:r>
    </w:p>
  </w:footnote>
  <w:footnote w:id="11">
    <w:p w14:paraId="0B7275BC" w14:textId="04688117" w:rsidR="00183312" w:rsidRDefault="00183312">
      <w:pPr>
        <w:pStyle w:val="FootnoteText"/>
      </w:pPr>
      <w:r>
        <w:rPr>
          <w:rStyle w:val="FootnoteReference"/>
        </w:rPr>
        <w:footnoteRef/>
      </w:r>
      <w:r>
        <w:t xml:space="preserve"> </w:t>
      </w:r>
      <w:hyperlink r:id="rId13" w:history="1">
        <w:r w:rsidRPr="00183312">
          <w:rPr>
            <w:rStyle w:val="Hyperlink"/>
          </w:rPr>
          <w:t>Key Elements of a System for Supported Decision-Making, Inclusion Europe</w:t>
        </w:r>
      </w:hyperlink>
      <w:r>
        <w:t xml:space="preserve"> </w:t>
      </w:r>
    </w:p>
  </w:footnote>
  <w:footnote w:id="12">
    <w:p w14:paraId="653BA3F5" w14:textId="56BF095C" w:rsidR="00976049" w:rsidRPr="00976049" w:rsidRDefault="00976049">
      <w:pPr>
        <w:pStyle w:val="FootnoteText"/>
      </w:pPr>
      <w:r w:rsidRPr="00976049">
        <w:rPr>
          <w:rStyle w:val="FootnoteReference"/>
        </w:rPr>
        <w:footnoteRef/>
      </w:r>
      <w:r w:rsidRPr="00976049">
        <w:t xml:space="preserve"> </w:t>
      </w:r>
      <w:hyperlink r:id="rId14" w:history="1">
        <w:r w:rsidRPr="009B40B3">
          <w:rPr>
            <w:rStyle w:val="Hyperlink"/>
          </w:rPr>
          <w:t>Detection of screen readers</w:t>
        </w:r>
      </w:hyperlink>
      <w:r w:rsidRPr="009B40B3">
        <w:t>.</w:t>
      </w:r>
    </w:p>
  </w:footnote>
  <w:footnote w:id="13">
    <w:p w14:paraId="24D92B55" w14:textId="1DD9A7A7" w:rsidR="009B40B3" w:rsidRPr="00976049" w:rsidRDefault="009B40B3" w:rsidP="00183312">
      <w:pPr>
        <w:pStyle w:val="FootnoteText"/>
      </w:pPr>
      <w:r w:rsidRPr="00976049">
        <w:rPr>
          <w:rStyle w:val="FootnoteReference"/>
        </w:rPr>
        <w:footnoteRef/>
      </w:r>
      <w:r w:rsidRPr="00976049">
        <w:t xml:space="preserve"> </w:t>
      </w:r>
      <w:r w:rsidR="00183312">
        <w:t xml:space="preserve">See </w:t>
      </w:r>
      <w:hyperlink r:id="rId15" w:history="1">
        <w:r w:rsidRPr="00183312">
          <w:rPr>
            <w:rStyle w:val="Hyperlink"/>
          </w:rPr>
          <w:t>Why privacy is particularly crucial for people</w:t>
        </w:r>
        <w:r w:rsidR="00DA13EA" w:rsidRPr="00183312">
          <w:rPr>
            <w:rStyle w:val="Hyperlink"/>
          </w:rPr>
          <w:t xml:space="preserve"> with disabilities</w:t>
        </w:r>
      </w:hyperlink>
      <w:r w:rsidR="00183312">
        <w:t xml:space="preserve">, </w:t>
      </w:r>
      <w:r w:rsidR="00183312" w:rsidRPr="00183312">
        <w:t>4 Dec</w:t>
      </w:r>
      <w:r w:rsidR="00183312">
        <w:t>ember</w:t>
      </w:r>
      <w:r w:rsidR="00183312" w:rsidRPr="00183312">
        <w:t xml:space="preserve"> 2019</w:t>
      </w:r>
      <w:r w:rsidR="00183312">
        <w:t xml:space="preserve"> EDRi; and </w:t>
      </w:r>
      <w:hyperlink r:id="rId16" w:history="1">
        <w:r w:rsidR="00183312" w:rsidRPr="00183312">
          <w:rPr>
            <w:rStyle w:val="Hyperlink"/>
          </w:rPr>
          <w:t>How to design AI that eliminates disability bias</w:t>
        </w:r>
      </w:hyperlink>
      <w:r w:rsidR="00183312">
        <w:t>, Alicia Clegg, 27 January 2020, Financial Times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DDFDA" w14:textId="77777777" w:rsidR="00130555" w:rsidRDefault="00130555">
    <w:pPr>
      <w:pStyle w:val="Header"/>
    </w:pPr>
    <w:r>
      <w:rPr>
        <w:noProof/>
        <w:lang w:val="fr-BE" w:eastAsia="fr-BE"/>
      </w:rPr>
      <w:drawing>
        <wp:anchor distT="0" distB="0" distL="114300" distR="114300" simplePos="0" relativeHeight="251658240" behindDoc="0" locked="0" layoutInCell="1" allowOverlap="1" wp14:anchorId="7967CE75" wp14:editId="7E55EC34">
          <wp:simplePos x="0" y="0"/>
          <wp:positionH relativeFrom="margin">
            <wp:align>right</wp:align>
          </wp:positionH>
          <wp:positionV relativeFrom="paragraph">
            <wp:posOffset>-114300</wp:posOffset>
          </wp:positionV>
          <wp:extent cx="6337300" cy="1081405"/>
          <wp:effectExtent l="0" t="0" r="6350" b="4445"/>
          <wp:wrapNone/>
          <wp:docPr id="1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1E5A" w14:textId="77777777" w:rsidR="00990C7E" w:rsidRPr="002D3093" w:rsidRDefault="00990C7E" w:rsidP="00990C7E">
    <w:pPr>
      <w:spacing w:after="240"/>
      <w:rPr>
        <w:rFonts w:cs="Arial"/>
      </w:rPr>
    </w:pPr>
    <w:r>
      <w:rPr>
        <w:noProof/>
        <w:lang w:val="fr-BE" w:eastAsia="fr-BE"/>
      </w:rPr>
      <w:drawing>
        <wp:anchor distT="0" distB="0" distL="114300" distR="114300" simplePos="0" relativeHeight="251661312" behindDoc="0" locked="0" layoutInCell="1" allowOverlap="1" wp14:anchorId="3E513AD0" wp14:editId="0132A0C1">
          <wp:simplePos x="0" y="0"/>
          <wp:positionH relativeFrom="margin">
            <wp:posOffset>127000</wp:posOffset>
          </wp:positionH>
          <wp:positionV relativeFrom="paragraph">
            <wp:posOffset>0</wp:posOffset>
          </wp:positionV>
          <wp:extent cx="973455" cy="547370"/>
          <wp:effectExtent l="0" t="0" r="0" b="5080"/>
          <wp:wrapSquare wrapText="bothSides"/>
          <wp:docPr id="8" name="Picture 8" descr="Logo of the European Union - circle of yellow stars on dark blue background. Caption: Funded by the European Union"/>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3455" cy="547370"/>
                  </a:xfrm>
                  <a:prstGeom prst="rect">
                    <a:avLst/>
                  </a:prstGeom>
                  <a:noFill/>
                  <a:ln>
                    <a:noFill/>
                  </a:ln>
                </pic:spPr>
              </pic:pic>
            </a:graphicData>
          </a:graphic>
        </wp:anchor>
      </w:drawing>
    </w:r>
    <w:r w:rsidRPr="002D3093">
      <w:rPr>
        <w:rFonts w:cs="Arial"/>
        <w:color w:val="000000"/>
        <w:kern w:val="2"/>
        <w:sz w:val="22"/>
        <w:lang w:eastAsia="zh-CN" w:bidi="hi-IN"/>
      </w:rPr>
      <w:t>This publication has received financial support from the European Union. The information contained in this publication does not necessarily reflect the official position of the European Commission.</w:t>
    </w:r>
  </w:p>
  <w:p w14:paraId="287732FE" w14:textId="77777777" w:rsidR="00990C7E" w:rsidRDefault="00990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4829"/>
    <w:multiLevelType w:val="hybridMultilevel"/>
    <w:tmpl w:val="3FCE2A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22A2093"/>
    <w:multiLevelType w:val="hybridMultilevel"/>
    <w:tmpl w:val="EB62A9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31765ED"/>
    <w:multiLevelType w:val="hybridMultilevel"/>
    <w:tmpl w:val="EC4E08E2"/>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F5604BC"/>
    <w:multiLevelType w:val="hybridMultilevel"/>
    <w:tmpl w:val="A4A02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3251818"/>
    <w:multiLevelType w:val="hybridMultilevel"/>
    <w:tmpl w:val="C46856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387"/>
    <w:rsid w:val="0000376A"/>
    <w:rsid w:val="00015AE5"/>
    <w:rsid w:val="00024E66"/>
    <w:rsid w:val="000449D9"/>
    <w:rsid w:val="00045A71"/>
    <w:rsid w:val="00046EF6"/>
    <w:rsid w:val="000518F6"/>
    <w:rsid w:val="00056074"/>
    <w:rsid w:val="0006111C"/>
    <w:rsid w:val="00064F7F"/>
    <w:rsid w:val="00067956"/>
    <w:rsid w:val="000703C2"/>
    <w:rsid w:val="00071B60"/>
    <w:rsid w:val="00074005"/>
    <w:rsid w:val="0007598F"/>
    <w:rsid w:val="00075B88"/>
    <w:rsid w:val="000763B1"/>
    <w:rsid w:val="00077F61"/>
    <w:rsid w:val="000904BC"/>
    <w:rsid w:val="00093E78"/>
    <w:rsid w:val="0009611F"/>
    <w:rsid w:val="00097462"/>
    <w:rsid w:val="00097A99"/>
    <w:rsid w:val="00097DF0"/>
    <w:rsid w:val="000A15A4"/>
    <w:rsid w:val="000A2373"/>
    <w:rsid w:val="000A2A45"/>
    <w:rsid w:val="000A43CD"/>
    <w:rsid w:val="000B7079"/>
    <w:rsid w:val="000C45E7"/>
    <w:rsid w:val="000C6002"/>
    <w:rsid w:val="000D0625"/>
    <w:rsid w:val="000E320C"/>
    <w:rsid w:val="000E4C8E"/>
    <w:rsid w:val="000F1B97"/>
    <w:rsid w:val="000F4AB9"/>
    <w:rsid w:val="00102689"/>
    <w:rsid w:val="00102E33"/>
    <w:rsid w:val="00103CD4"/>
    <w:rsid w:val="00114151"/>
    <w:rsid w:val="0012516D"/>
    <w:rsid w:val="001279C5"/>
    <w:rsid w:val="00130555"/>
    <w:rsid w:val="001326F8"/>
    <w:rsid w:val="001336BF"/>
    <w:rsid w:val="00137C8E"/>
    <w:rsid w:val="00140A1F"/>
    <w:rsid w:val="00146741"/>
    <w:rsid w:val="001508EA"/>
    <w:rsid w:val="001527F3"/>
    <w:rsid w:val="001528F0"/>
    <w:rsid w:val="00162B87"/>
    <w:rsid w:val="001638FA"/>
    <w:rsid w:val="00174F8A"/>
    <w:rsid w:val="00183312"/>
    <w:rsid w:val="001847D8"/>
    <w:rsid w:val="00191413"/>
    <w:rsid w:val="001A661F"/>
    <w:rsid w:val="001B0F69"/>
    <w:rsid w:val="001B504B"/>
    <w:rsid w:val="001B63A2"/>
    <w:rsid w:val="001C2229"/>
    <w:rsid w:val="001C369B"/>
    <w:rsid w:val="001C405E"/>
    <w:rsid w:val="001C43AD"/>
    <w:rsid w:val="001C4EB1"/>
    <w:rsid w:val="001C4FA3"/>
    <w:rsid w:val="001C73FC"/>
    <w:rsid w:val="001D3CC5"/>
    <w:rsid w:val="001D3EA2"/>
    <w:rsid w:val="001D7646"/>
    <w:rsid w:val="001E02FA"/>
    <w:rsid w:val="001E4079"/>
    <w:rsid w:val="001E4D09"/>
    <w:rsid w:val="001F04C8"/>
    <w:rsid w:val="001F21B2"/>
    <w:rsid w:val="001F241A"/>
    <w:rsid w:val="001F26A2"/>
    <w:rsid w:val="00204084"/>
    <w:rsid w:val="00212B22"/>
    <w:rsid w:val="00212EDF"/>
    <w:rsid w:val="0021513E"/>
    <w:rsid w:val="0022169C"/>
    <w:rsid w:val="00221B1E"/>
    <w:rsid w:val="00222B10"/>
    <w:rsid w:val="00224E71"/>
    <w:rsid w:val="00230ED1"/>
    <w:rsid w:val="00236A85"/>
    <w:rsid w:val="002451C7"/>
    <w:rsid w:val="002469BE"/>
    <w:rsid w:val="00250B46"/>
    <w:rsid w:val="00250E9A"/>
    <w:rsid w:val="00252E81"/>
    <w:rsid w:val="00261013"/>
    <w:rsid w:val="002632EC"/>
    <w:rsid w:val="0027600D"/>
    <w:rsid w:val="0028191A"/>
    <w:rsid w:val="002840F1"/>
    <w:rsid w:val="002871F5"/>
    <w:rsid w:val="002872CA"/>
    <w:rsid w:val="00291F95"/>
    <w:rsid w:val="002930FC"/>
    <w:rsid w:val="00296BC6"/>
    <w:rsid w:val="00296DE2"/>
    <w:rsid w:val="002A170C"/>
    <w:rsid w:val="002A6F34"/>
    <w:rsid w:val="002A7856"/>
    <w:rsid w:val="002B3E8A"/>
    <w:rsid w:val="002C0635"/>
    <w:rsid w:val="002C0788"/>
    <w:rsid w:val="002C1562"/>
    <w:rsid w:val="002C4387"/>
    <w:rsid w:val="002D3093"/>
    <w:rsid w:val="002E2B82"/>
    <w:rsid w:val="003015B5"/>
    <w:rsid w:val="00306B7A"/>
    <w:rsid w:val="00313D8F"/>
    <w:rsid w:val="00314D36"/>
    <w:rsid w:val="003154D7"/>
    <w:rsid w:val="00320ACB"/>
    <w:rsid w:val="003267E9"/>
    <w:rsid w:val="00327CAB"/>
    <w:rsid w:val="003652B0"/>
    <w:rsid w:val="003654F9"/>
    <w:rsid w:val="00370533"/>
    <w:rsid w:val="00372578"/>
    <w:rsid w:val="00374E44"/>
    <w:rsid w:val="00375A00"/>
    <w:rsid w:val="003823FE"/>
    <w:rsid w:val="0038443A"/>
    <w:rsid w:val="00384659"/>
    <w:rsid w:val="00384E8F"/>
    <w:rsid w:val="003939AE"/>
    <w:rsid w:val="003A527F"/>
    <w:rsid w:val="003B2253"/>
    <w:rsid w:val="003B3593"/>
    <w:rsid w:val="003B56F3"/>
    <w:rsid w:val="003B7D45"/>
    <w:rsid w:val="003C04D4"/>
    <w:rsid w:val="003C0AC9"/>
    <w:rsid w:val="003C658C"/>
    <w:rsid w:val="003D10B4"/>
    <w:rsid w:val="003D2264"/>
    <w:rsid w:val="003D6094"/>
    <w:rsid w:val="003F26B1"/>
    <w:rsid w:val="003F4FBC"/>
    <w:rsid w:val="003F7D44"/>
    <w:rsid w:val="00400EB6"/>
    <w:rsid w:val="00405F3D"/>
    <w:rsid w:val="004060ED"/>
    <w:rsid w:val="004150C9"/>
    <w:rsid w:val="00417C41"/>
    <w:rsid w:val="00425BAD"/>
    <w:rsid w:val="00436C3A"/>
    <w:rsid w:val="00442DAE"/>
    <w:rsid w:val="004439D1"/>
    <w:rsid w:val="00453587"/>
    <w:rsid w:val="00462109"/>
    <w:rsid w:val="004643FF"/>
    <w:rsid w:val="00470DBA"/>
    <w:rsid w:val="0048107F"/>
    <w:rsid w:val="004903A8"/>
    <w:rsid w:val="00494399"/>
    <w:rsid w:val="004A2200"/>
    <w:rsid w:val="004A3C4B"/>
    <w:rsid w:val="004A4010"/>
    <w:rsid w:val="004B7AE4"/>
    <w:rsid w:val="004C0606"/>
    <w:rsid w:val="004D507D"/>
    <w:rsid w:val="004D571B"/>
    <w:rsid w:val="004E3379"/>
    <w:rsid w:val="004E43A6"/>
    <w:rsid w:val="004E545A"/>
    <w:rsid w:val="005003FD"/>
    <w:rsid w:val="0050069C"/>
    <w:rsid w:val="005059B3"/>
    <w:rsid w:val="00505DA1"/>
    <w:rsid w:val="00506093"/>
    <w:rsid w:val="00506806"/>
    <w:rsid w:val="00511167"/>
    <w:rsid w:val="0051317E"/>
    <w:rsid w:val="00517718"/>
    <w:rsid w:val="00525103"/>
    <w:rsid w:val="005251C9"/>
    <w:rsid w:val="00533003"/>
    <w:rsid w:val="005448E1"/>
    <w:rsid w:val="00546C7B"/>
    <w:rsid w:val="005528D9"/>
    <w:rsid w:val="005529B1"/>
    <w:rsid w:val="00553774"/>
    <w:rsid w:val="0055765D"/>
    <w:rsid w:val="00561480"/>
    <w:rsid w:val="00561B12"/>
    <w:rsid w:val="005727E5"/>
    <w:rsid w:val="00577495"/>
    <w:rsid w:val="00580A57"/>
    <w:rsid w:val="005825C3"/>
    <w:rsid w:val="005830EA"/>
    <w:rsid w:val="00583286"/>
    <w:rsid w:val="0058449C"/>
    <w:rsid w:val="00593E79"/>
    <w:rsid w:val="00597AD6"/>
    <w:rsid w:val="005A0315"/>
    <w:rsid w:val="005A56A6"/>
    <w:rsid w:val="005A69EF"/>
    <w:rsid w:val="005B2D7D"/>
    <w:rsid w:val="005B466D"/>
    <w:rsid w:val="005B61FB"/>
    <w:rsid w:val="005B7C7B"/>
    <w:rsid w:val="005B7CBF"/>
    <w:rsid w:val="005C5AAF"/>
    <w:rsid w:val="005C78BC"/>
    <w:rsid w:val="005D2E73"/>
    <w:rsid w:val="005D6A2B"/>
    <w:rsid w:val="005D6F8C"/>
    <w:rsid w:val="005E1D4B"/>
    <w:rsid w:val="005E325E"/>
    <w:rsid w:val="005E36A8"/>
    <w:rsid w:val="005F3CE1"/>
    <w:rsid w:val="00600261"/>
    <w:rsid w:val="0060081A"/>
    <w:rsid w:val="00603F95"/>
    <w:rsid w:val="006055B8"/>
    <w:rsid w:val="00614254"/>
    <w:rsid w:val="006155C4"/>
    <w:rsid w:val="00621305"/>
    <w:rsid w:val="00621771"/>
    <w:rsid w:val="006224C2"/>
    <w:rsid w:val="00631A1D"/>
    <w:rsid w:val="006352E9"/>
    <w:rsid w:val="00655AE0"/>
    <w:rsid w:val="0065702A"/>
    <w:rsid w:val="006634E5"/>
    <w:rsid w:val="006657DD"/>
    <w:rsid w:val="00673C82"/>
    <w:rsid w:val="00674366"/>
    <w:rsid w:val="00675326"/>
    <w:rsid w:val="0067572F"/>
    <w:rsid w:val="00683E48"/>
    <w:rsid w:val="0068542D"/>
    <w:rsid w:val="0068783D"/>
    <w:rsid w:val="006878F1"/>
    <w:rsid w:val="006A238A"/>
    <w:rsid w:val="006A5D49"/>
    <w:rsid w:val="006C457A"/>
    <w:rsid w:val="006C527A"/>
    <w:rsid w:val="006C7FF9"/>
    <w:rsid w:val="006D5FCA"/>
    <w:rsid w:val="006E5153"/>
    <w:rsid w:val="006F0CF6"/>
    <w:rsid w:val="006F7334"/>
    <w:rsid w:val="00700268"/>
    <w:rsid w:val="00705FBE"/>
    <w:rsid w:val="0071112B"/>
    <w:rsid w:val="00711954"/>
    <w:rsid w:val="00711F74"/>
    <w:rsid w:val="00713123"/>
    <w:rsid w:val="007131A2"/>
    <w:rsid w:val="0071386A"/>
    <w:rsid w:val="007165D1"/>
    <w:rsid w:val="00722E65"/>
    <w:rsid w:val="007303F9"/>
    <w:rsid w:val="00734108"/>
    <w:rsid w:val="00735038"/>
    <w:rsid w:val="00735459"/>
    <w:rsid w:val="00737DDB"/>
    <w:rsid w:val="00737EC8"/>
    <w:rsid w:val="0074034C"/>
    <w:rsid w:val="00743D6F"/>
    <w:rsid w:val="00744C46"/>
    <w:rsid w:val="00750D12"/>
    <w:rsid w:val="00750E6B"/>
    <w:rsid w:val="007529BE"/>
    <w:rsid w:val="007552F7"/>
    <w:rsid w:val="00763DA4"/>
    <w:rsid w:val="0077714D"/>
    <w:rsid w:val="00784E79"/>
    <w:rsid w:val="00790382"/>
    <w:rsid w:val="0079041F"/>
    <w:rsid w:val="00796F56"/>
    <w:rsid w:val="007A3CD4"/>
    <w:rsid w:val="007B01A9"/>
    <w:rsid w:val="007B552C"/>
    <w:rsid w:val="007C4F06"/>
    <w:rsid w:val="007D0223"/>
    <w:rsid w:val="007D0A98"/>
    <w:rsid w:val="007D4C09"/>
    <w:rsid w:val="007D6879"/>
    <w:rsid w:val="007E0E57"/>
    <w:rsid w:val="007E2DD5"/>
    <w:rsid w:val="007E3BB5"/>
    <w:rsid w:val="007E642A"/>
    <w:rsid w:val="007E721A"/>
    <w:rsid w:val="00801753"/>
    <w:rsid w:val="00806F10"/>
    <w:rsid w:val="0081556D"/>
    <w:rsid w:val="00821833"/>
    <w:rsid w:val="00825C06"/>
    <w:rsid w:val="008367C0"/>
    <w:rsid w:val="008374A6"/>
    <w:rsid w:val="008412A0"/>
    <w:rsid w:val="00846389"/>
    <w:rsid w:val="00847FD3"/>
    <w:rsid w:val="0085561F"/>
    <w:rsid w:val="008563B2"/>
    <w:rsid w:val="00856AFA"/>
    <w:rsid w:val="0086065A"/>
    <w:rsid w:val="00864D05"/>
    <w:rsid w:val="00872C49"/>
    <w:rsid w:val="00876869"/>
    <w:rsid w:val="00881B09"/>
    <w:rsid w:val="008830AB"/>
    <w:rsid w:val="00883D21"/>
    <w:rsid w:val="0088561E"/>
    <w:rsid w:val="00887636"/>
    <w:rsid w:val="008A16E4"/>
    <w:rsid w:val="008A3B9E"/>
    <w:rsid w:val="008B0044"/>
    <w:rsid w:val="008B7893"/>
    <w:rsid w:val="008E13C2"/>
    <w:rsid w:val="008E1F16"/>
    <w:rsid w:val="008E40D6"/>
    <w:rsid w:val="008F1822"/>
    <w:rsid w:val="008F393A"/>
    <w:rsid w:val="008F6AD3"/>
    <w:rsid w:val="008F7F6D"/>
    <w:rsid w:val="009026D8"/>
    <w:rsid w:val="00902CBF"/>
    <w:rsid w:val="00910BF8"/>
    <w:rsid w:val="00926031"/>
    <w:rsid w:val="00933747"/>
    <w:rsid w:val="0093622D"/>
    <w:rsid w:val="009372B5"/>
    <w:rsid w:val="0094184F"/>
    <w:rsid w:val="00947AB1"/>
    <w:rsid w:val="009558EA"/>
    <w:rsid w:val="00955FD2"/>
    <w:rsid w:val="009624E4"/>
    <w:rsid w:val="009709A7"/>
    <w:rsid w:val="00976049"/>
    <w:rsid w:val="00976C3F"/>
    <w:rsid w:val="009833A2"/>
    <w:rsid w:val="009841A6"/>
    <w:rsid w:val="00984347"/>
    <w:rsid w:val="00986151"/>
    <w:rsid w:val="00990C7E"/>
    <w:rsid w:val="00997287"/>
    <w:rsid w:val="009A0CEE"/>
    <w:rsid w:val="009A1B94"/>
    <w:rsid w:val="009A4F6E"/>
    <w:rsid w:val="009B151F"/>
    <w:rsid w:val="009B40B3"/>
    <w:rsid w:val="009B5EAC"/>
    <w:rsid w:val="009B7351"/>
    <w:rsid w:val="009C1779"/>
    <w:rsid w:val="009D3BCB"/>
    <w:rsid w:val="009D4D2F"/>
    <w:rsid w:val="009D4E33"/>
    <w:rsid w:val="009D6BCE"/>
    <w:rsid w:val="009D7499"/>
    <w:rsid w:val="009E27D3"/>
    <w:rsid w:val="009F1153"/>
    <w:rsid w:val="009F1536"/>
    <w:rsid w:val="009F7FFB"/>
    <w:rsid w:val="00A109C9"/>
    <w:rsid w:val="00A1130A"/>
    <w:rsid w:val="00A14897"/>
    <w:rsid w:val="00A229F2"/>
    <w:rsid w:val="00A257A9"/>
    <w:rsid w:val="00A34E52"/>
    <w:rsid w:val="00A34FEA"/>
    <w:rsid w:val="00A35347"/>
    <w:rsid w:val="00A47686"/>
    <w:rsid w:val="00A55A79"/>
    <w:rsid w:val="00A61DE3"/>
    <w:rsid w:val="00A64E83"/>
    <w:rsid w:val="00A74905"/>
    <w:rsid w:val="00A76C5A"/>
    <w:rsid w:val="00A8378B"/>
    <w:rsid w:val="00A90AAD"/>
    <w:rsid w:val="00A90ECA"/>
    <w:rsid w:val="00A925B9"/>
    <w:rsid w:val="00A92BCC"/>
    <w:rsid w:val="00A9452E"/>
    <w:rsid w:val="00A96013"/>
    <w:rsid w:val="00AA1269"/>
    <w:rsid w:val="00AA5410"/>
    <w:rsid w:val="00AA5E60"/>
    <w:rsid w:val="00AB32C0"/>
    <w:rsid w:val="00AB33EF"/>
    <w:rsid w:val="00AB745F"/>
    <w:rsid w:val="00AC2EDD"/>
    <w:rsid w:val="00AC4E57"/>
    <w:rsid w:val="00AD01FE"/>
    <w:rsid w:val="00AD0811"/>
    <w:rsid w:val="00AD1A0C"/>
    <w:rsid w:val="00AD6F01"/>
    <w:rsid w:val="00AE6E1A"/>
    <w:rsid w:val="00AF1A25"/>
    <w:rsid w:val="00AF23D7"/>
    <w:rsid w:val="00AF38EC"/>
    <w:rsid w:val="00AF664F"/>
    <w:rsid w:val="00B0175E"/>
    <w:rsid w:val="00B0224D"/>
    <w:rsid w:val="00B0497F"/>
    <w:rsid w:val="00B05ABB"/>
    <w:rsid w:val="00B13032"/>
    <w:rsid w:val="00B2205F"/>
    <w:rsid w:val="00B2221B"/>
    <w:rsid w:val="00B267B1"/>
    <w:rsid w:val="00B3448E"/>
    <w:rsid w:val="00B3621A"/>
    <w:rsid w:val="00B36428"/>
    <w:rsid w:val="00B43C75"/>
    <w:rsid w:val="00B43E35"/>
    <w:rsid w:val="00B45F6E"/>
    <w:rsid w:val="00B56637"/>
    <w:rsid w:val="00B566B1"/>
    <w:rsid w:val="00B64F6E"/>
    <w:rsid w:val="00B73C44"/>
    <w:rsid w:val="00B73D0B"/>
    <w:rsid w:val="00B76D13"/>
    <w:rsid w:val="00B77A39"/>
    <w:rsid w:val="00B82795"/>
    <w:rsid w:val="00B833BD"/>
    <w:rsid w:val="00B83DC8"/>
    <w:rsid w:val="00B85EE9"/>
    <w:rsid w:val="00B9024D"/>
    <w:rsid w:val="00B9040E"/>
    <w:rsid w:val="00B909D6"/>
    <w:rsid w:val="00B936EA"/>
    <w:rsid w:val="00B96672"/>
    <w:rsid w:val="00B96DC6"/>
    <w:rsid w:val="00BB04EE"/>
    <w:rsid w:val="00BB1543"/>
    <w:rsid w:val="00BB341C"/>
    <w:rsid w:val="00BB4AD5"/>
    <w:rsid w:val="00BB5070"/>
    <w:rsid w:val="00BC1654"/>
    <w:rsid w:val="00BC566D"/>
    <w:rsid w:val="00BD2BA2"/>
    <w:rsid w:val="00BD3B71"/>
    <w:rsid w:val="00BE0055"/>
    <w:rsid w:val="00BE43AF"/>
    <w:rsid w:val="00BE6F92"/>
    <w:rsid w:val="00BE72C7"/>
    <w:rsid w:val="00BF144E"/>
    <w:rsid w:val="00BF3B3E"/>
    <w:rsid w:val="00C03206"/>
    <w:rsid w:val="00C0787B"/>
    <w:rsid w:val="00C07B10"/>
    <w:rsid w:val="00C135CE"/>
    <w:rsid w:val="00C22A66"/>
    <w:rsid w:val="00C2325D"/>
    <w:rsid w:val="00C33C81"/>
    <w:rsid w:val="00C34207"/>
    <w:rsid w:val="00C46874"/>
    <w:rsid w:val="00C505C1"/>
    <w:rsid w:val="00C5225C"/>
    <w:rsid w:val="00C535DF"/>
    <w:rsid w:val="00C53FB0"/>
    <w:rsid w:val="00C56219"/>
    <w:rsid w:val="00C64554"/>
    <w:rsid w:val="00C64EF3"/>
    <w:rsid w:val="00C6543A"/>
    <w:rsid w:val="00C66002"/>
    <w:rsid w:val="00C70DB8"/>
    <w:rsid w:val="00C73661"/>
    <w:rsid w:val="00C8005C"/>
    <w:rsid w:val="00C80B52"/>
    <w:rsid w:val="00C917B9"/>
    <w:rsid w:val="00CA24FC"/>
    <w:rsid w:val="00CA4DC8"/>
    <w:rsid w:val="00CC19EA"/>
    <w:rsid w:val="00CC5C05"/>
    <w:rsid w:val="00CC7085"/>
    <w:rsid w:val="00CC7C8B"/>
    <w:rsid w:val="00CD3B73"/>
    <w:rsid w:val="00CD4A24"/>
    <w:rsid w:val="00CD4B33"/>
    <w:rsid w:val="00CD7A9F"/>
    <w:rsid w:val="00CE0C42"/>
    <w:rsid w:val="00CF079C"/>
    <w:rsid w:val="00CF3059"/>
    <w:rsid w:val="00D0085A"/>
    <w:rsid w:val="00D00BB4"/>
    <w:rsid w:val="00D04884"/>
    <w:rsid w:val="00D0490B"/>
    <w:rsid w:val="00D06CF7"/>
    <w:rsid w:val="00D120F2"/>
    <w:rsid w:val="00D122C9"/>
    <w:rsid w:val="00D123DE"/>
    <w:rsid w:val="00D22BB1"/>
    <w:rsid w:val="00D26339"/>
    <w:rsid w:val="00D26A01"/>
    <w:rsid w:val="00D306B2"/>
    <w:rsid w:val="00D324B8"/>
    <w:rsid w:val="00D32BFF"/>
    <w:rsid w:val="00D36361"/>
    <w:rsid w:val="00D36E11"/>
    <w:rsid w:val="00D37B70"/>
    <w:rsid w:val="00D429B0"/>
    <w:rsid w:val="00D449BD"/>
    <w:rsid w:val="00D468C1"/>
    <w:rsid w:val="00D62630"/>
    <w:rsid w:val="00D634C2"/>
    <w:rsid w:val="00D67F18"/>
    <w:rsid w:val="00D71308"/>
    <w:rsid w:val="00D7260B"/>
    <w:rsid w:val="00D82807"/>
    <w:rsid w:val="00D93090"/>
    <w:rsid w:val="00D96A2C"/>
    <w:rsid w:val="00DA13EA"/>
    <w:rsid w:val="00DA1B69"/>
    <w:rsid w:val="00DA75F3"/>
    <w:rsid w:val="00DB125A"/>
    <w:rsid w:val="00DB6F08"/>
    <w:rsid w:val="00DC03F1"/>
    <w:rsid w:val="00DC590F"/>
    <w:rsid w:val="00DD0236"/>
    <w:rsid w:val="00DD167A"/>
    <w:rsid w:val="00DD65C0"/>
    <w:rsid w:val="00DD69C7"/>
    <w:rsid w:val="00DD7B00"/>
    <w:rsid w:val="00DE0FDB"/>
    <w:rsid w:val="00DE4025"/>
    <w:rsid w:val="00DE60C9"/>
    <w:rsid w:val="00DE72C0"/>
    <w:rsid w:val="00DF6183"/>
    <w:rsid w:val="00DF78E4"/>
    <w:rsid w:val="00E019C4"/>
    <w:rsid w:val="00E01BC9"/>
    <w:rsid w:val="00E0328F"/>
    <w:rsid w:val="00E04CFE"/>
    <w:rsid w:val="00E06E64"/>
    <w:rsid w:val="00E16F85"/>
    <w:rsid w:val="00E17397"/>
    <w:rsid w:val="00E22099"/>
    <w:rsid w:val="00E24DEC"/>
    <w:rsid w:val="00E27256"/>
    <w:rsid w:val="00E3534B"/>
    <w:rsid w:val="00E35B67"/>
    <w:rsid w:val="00E428AD"/>
    <w:rsid w:val="00E43A53"/>
    <w:rsid w:val="00E555E1"/>
    <w:rsid w:val="00E55861"/>
    <w:rsid w:val="00E651C2"/>
    <w:rsid w:val="00E671CB"/>
    <w:rsid w:val="00E70467"/>
    <w:rsid w:val="00E761E5"/>
    <w:rsid w:val="00E80CB1"/>
    <w:rsid w:val="00E81AA8"/>
    <w:rsid w:val="00E85380"/>
    <w:rsid w:val="00E86480"/>
    <w:rsid w:val="00E95765"/>
    <w:rsid w:val="00E9763D"/>
    <w:rsid w:val="00EA001D"/>
    <w:rsid w:val="00EA2B70"/>
    <w:rsid w:val="00EA42D6"/>
    <w:rsid w:val="00EB4C57"/>
    <w:rsid w:val="00EB7CA8"/>
    <w:rsid w:val="00EC3139"/>
    <w:rsid w:val="00ED1A6B"/>
    <w:rsid w:val="00ED2068"/>
    <w:rsid w:val="00EF2242"/>
    <w:rsid w:val="00F06212"/>
    <w:rsid w:val="00F06F4F"/>
    <w:rsid w:val="00F2383A"/>
    <w:rsid w:val="00F30204"/>
    <w:rsid w:val="00F3167C"/>
    <w:rsid w:val="00F33CC0"/>
    <w:rsid w:val="00F3675F"/>
    <w:rsid w:val="00F57824"/>
    <w:rsid w:val="00F60C88"/>
    <w:rsid w:val="00F624A5"/>
    <w:rsid w:val="00F66F36"/>
    <w:rsid w:val="00F86A65"/>
    <w:rsid w:val="00F90594"/>
    <w:rsid w:val="00F91CBC"/>
    <w:rsid w:val="00F9637D"/>
    <w:rsid w:val="00F97DCE"/>
    <w:rsid w:val="00FA18A2"/>
    <w:rsid w:val="00FA190D"/>
    <w:rsid w:val="00FA384F"/>
    <w:rsid w:val="00FA4C1B"/>
    <w:rsid w:val="00FA608E"/>
    <w:rsid w:val="00FB1575"/>
    <w:rsid w:val="00FB16B2"/>
    <w:rsid w:val="00FB26AA"/>
    <w:rsid w:val="00FB4D86"/>
    <w:rsid w:val="00FD136C"/>
    <w:rsid w:val="00FE248E"/>
    <w:rsid w:val="00FE2ADC"/>
    <w:rsid w:val="00FF03BC"/>
    <w:rsid w:val="00FF4AAD"/>
    <w:rsid w:val="00FF4D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DEC8469"/>
  <w15:docId w15:val="{BE38106A-9B2D-4EF5-B9FE-DF2C4BFC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C7E"/>
    <w:rPr>
      <w:rFonts w:ascii="Arial" w:hAnsi="Arial"/>
      <w:sz w:val="28"/>
      <w:szCs w:val="24"/>
      <w:lang w:val="en-GB"/>
    </w:rPr>
  </w:style>
  <w:style w:type="paragraph" w:styleId="Heading1">
    <w:name w:val="heading 1"/>
    <w:basedOn w:val="Normal"/>
    <w:next w:val="Normal"/>
    <w:link w:val="Heading1Char"/>
    <w:autoRedefine/>
    <w:uiPriority w:val="9"/>
    <w:qFormat/>
    <w:rsid w:val="00683E48"/>
    <w:pPr>
      <w:keepNext/>
      <w:keepLines/>
      <w:spacing w:after="240" w:line="276" w:lineRule="auto"/>
      <w:outlineLvl w:val="0"/>
    </w:pPr>
    <w:rPr>
      <w:rFonts w:eastAsiaTheme="majorEastAsia" w:cstheme="majorBidi"/>
      <w:b/>
      <w:bCs/>
      <w:color w:val="007AB7"/>
      <w:szCs w:val="28"/>
    </w:rPr>
  </w:style>
  <w:style w:type="paragraph" w:styleId="Heading2">
    <w:name w:val="heading 2"/>
    <w:basedOn w:val="Normal"/>
    <w:next w:val="Normal"/>
    <w:link w:val="Heading2Char"/>
    <w:uiPriority w:val="9"/>
    <w:semiHidden/>
    <w:unhideWhenUsed/>
    <w:qFormat/>
    <w:rsid w:val="008768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83E4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qFormat/>
    <w:rsid w:val="004643FF"/>
    <w:pPr>
      <w:keepNext/>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uiPriority w:val="22"/>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nhideWhenUsed/>
    <w:rsid w:val="00713123"/>
    <w:pPr>
      <w:tabs>
        <w:tab w:val="center" w:pos="4536"/>
        <w:tab w:val="right" w:pos="9072"/>
      </w:tabs>
    </w:pPr>
  </w:style>
  <w:style w:type="character" w:customStyle="1" w:styleId="FooterChar">
    <w:name w:val="Footer Char"/>
    <w:link w:val="Footer"/>
    <w:rsid w:val="00713123"/>
    <w:rPr>
      <w:sz w:val="24"/>
      <w:szCs w:val="24"/>
      <w:lang w:val="en-US" w:eastAsia="en-US"/>
    </w:rPr>
  </w:style>
  <w:style w:type="paragraph" w:styleId="NoSpacing">
    <w:name w:val="No Spacing"/>
    <w:aliases w:val="Sub-heading"/>
    <w:autoRedefine/>
    <w:uiPriority w:val="1"/>
    <w:qFormat/>
    <w:rsid w:val="00600261"/>
    <w:pPr>
      <w:spacing w:after="240"/>
    </w:pPr>
    <w:rPr>
      <w:rFonts w:ascii="Arial" w:eastAsiaTheme="majorEastAsia" w:hAnsi="Arial" w:cs="Arial"/>
      <w:b/>
      <w:color w:val="0070C0"/>
      <w:sz w:val="24"/>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unhideWhenUsed/>
    <w:rsid w:val="003267E9"/>
    <w:rPr>
      <w:sz w:val="20"/>
      <w:szCs w:val="20"/>
    </w:rPr>
  </w:style>
  <w:style w:type="character" w:customStyle="1" w:styleId="CommentTextChar">
    <w:name w:val="Comment Text Char"/>
    <w:basedOn w:val="DefaultParagraphFont"/>
    <w:link w:val="CommentText"/>
    <w:uiPriority w:val="99"/>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uiPriority w:val="9"/>
    <w:rsid w:val="00683E48"/>
    <w:rPr>
      <w:rFonts w:ascii="Arial" w:eastAsiaTheme="majorEastAsia" w:hAnsi="Arial" w:cstheme="majorBidi"/>
      <w:b/>
      <w:bCs/>
      <w:color w:val="007AB7"/>
      <w:sz w:val="28"/>
      <w:szCs w:val="28"/>
      <w:lang w:val="en-GB"/>
    </w:rPr>
  </w:style>
  <w:style w:type="paragraph" w:styleId="ListParagraph">
    <w:name w:val="List Paragraph"/>
    <w:basedOn w:val="Normal"/>
    <w:uiPriority w:val="34"/>
    <w:qFormat/>
    <w:rsid w:val="001C4FA3"/>
    <w:pPr>
      <w:ind w:left="720"/>
      <w:contextualSpacing/>
    </w:pPr>
  </w:style>
  <w:style w:type="character" w:customStyle="1" w:styleId="Mention1">
    <w:name w:val="Mention1"/>
    <w:basedOn w:val="DefaultParagraphFont"/>
    <w:uiPriority w:val="99"/>
    <w:semiHidden/>
    <w:unhideWhenUsed/>
    <w:rsid w:val="00976C3F"/>
    <w:rPr>
      <w:color w:val="2B579A"/>
      <w:shd w:val="clear" w:color="auto" w:fill="E6E6E6"/>
    </w:rPr>
  </w:style>
  <w:style w:type="character" w:customStyle="1" w:styleId="Heading2Char">
    <w:name w:val="Heading 2 Char"/>
    <w:basedOn w:val="DefaultParagraphFont"/>
    <w:link w:val="Heading2"/>
    <w:uiPriority w:val="9"/>
    <w:semiHidden/>
    <w:rsid w:val="00876869"/>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C64EF3"/>
    <w:pPr>
      <w:autoSpaceDE w:val="0"/>
      <w:autoSpaceDN w:val="0"/>
      <w:adjustRightInd w:val="0"/>
    </w:pPr>
    <w:rPr>
      <w:color w:val="000000"/>
      <w:sz w:val="24"/>
      <w:szCs w:val="24"/>
      <w:lang w:val="en-GB"/>
    </w:rPr>
  </w:style>
  <w:style w:type="paragraph" w:styleId="FootnoteText">
    <w:name w:val="footnote text"/>
    <w:basedOn w:val="Normal"/>
    <w:link w:val="FootnoteTextChar"/>
    <w:uiPriority w:val="99"/>
    <w:semiHidden/>
    <w:unhideWhenUsed/>
    <w:rsid w:val="00997287"/>
    <w:rPr>
      <w:sz w:val="20"/>
      <w:szCs w:val="20"/>
    </w:rPr>
  </w:style>
  <w:style w:type="character" w:customStyle="1" w:styleId="FootnoteTextChar">
    <w:name w:val="Footnote Text Char"/>
    <w:basedOn w:val="DefaultParagraphFont"/>
    <w:link w:val="FootnoteText"/>
    <w:uiPriority w:val="99"/>
    <w:semiHidden/>
    <w:rsid w:val="00997287"/>
    <w:rPr>
      <w:rFonts w:ascii="Arial" w:hAnsi="Arial"/>
      <w:lang w:val="en-GB"/>
    </w:rPr>
  </w:style>
  <w:style w:type="character" w:styleId="FootnoteReference">
    <w:name w:val="footnote reference"/>
    <w:uiPriority w:val="99"/>
    <w:semiHidden/>
    <w:unhideWhenUsed/>
    <w:rsid w:val="00997287"/>
    <w:rPr>
      <w:vertAlign w:val="superscript"/>
    </w:rPr>
  </w:style>
  <w:style w:type="character" w:customStyle="1" w:styleId="UnresolvedMention1">
    <w:name w:val="Unresolved Mention1"/>
    <w:basedOn w:val="DefaultParagraphFont"/>
    <w:uiPriority w:val="99"/>
    <w:semiHidden/>
    <w:unhideWhenUsed/>
    <w:rsid w:val="00553774"/>
    <w:rPr>
      <w:color w:val="605E5C"/>
      <w:shd w:val="clear" w:color="auto" w:fill="E1DFDD"/>
    </w:rPr>
  </w:style>
  <w:style w:type="character" w:customStyle="1" w:styleId="UnresolvedMention2">
    <w:name w:val="Unresolved Mention2"/>
    <w:basedOn w:val="DefaultParagraphFont"/>
    <w:uiPriority w:val="99"/>
    <w:semiHidden/>
    <w:unhideWhenUsed/>
    <w:rsid w:val="001C405E"/>
    <w:rPr>
      <w:color w:val="605E5C"/>
      <w:shd w:val="clear" w:color="auto" w:fill="E1DFDD"/>
    </w:rPr>
  </w:style>
  <w:style w:type="paragraph" w:customStyle="1" w:styleId="Normal1">
    <w:name w:val="Normal1"/>
    <w:basedOn w:val="Normal"/>
    <w:rsid w:val="007552F7"/>
    <w:pPr>
      <w:spacing w:before="100" w:beforeAutospacing="1" w:after="100" w:afterAutospacing="1"/>
    </w:pPr>
    <w:rPr>
      <w:rFonts w:ascii="Times New Roman" w:hAnsi="Times New Roman"/>
      <w:lang w:eastAsia="en-GB"/>
    </w:rPr>
  </w:style>
  <w:style w:type="paragraph" w:customStyle="1" w:styleId="CM1">
    <w:name w:val="CM1"/>
    <w:basedOn w:val="Default"/>
    <w:next w:val="Default"/>
    <w:uiPriority w:val="99"/>
    <w:rsid w:val="003B7D45"/>
    <w:rPr>
      <w:rFonts w:ascii="EUAlbertina" w:hAnsi="EUAlbertina"/>
      <w:color w:val="auto"/>
    </w:rPr>
  </w:style>
  <w:style w:type="paragraph" w:customStyle="1" w:styleId="CM3">
    <w:name w:val="CM3"/>
    <w:basedOn w:val="Default"/>
    <w:next w:val="Default"/>
    <w:uiPriority w:val="99"/>
    <w:rsid w:val="003B7D45"/>
    <w:rPr>
      <w:rFonts w:ascii="EUAlbertina" w:hAnsi="EUAlbertina"/>
      <w:color w:val="auto"/>
    </w:rPr>
  </w:style>
  <w:style w:type="character" w:customStyle="1" w:styleId="Heading3Char">
    <w:name w:val="Heading 3 Char"/>
    <w:basedOn w:val="DefaultParagraphFont"/>
    <w:link w:val="Heading3"/>
    <w:uiPriority w:val="9"/>
    <w:semiHidden/>
    <w:rsid w:val="00683E48"/>
    <w:rPr>
      <w:rFonts w:asciiTheme="majorHAnsi" w:eastAsiaTheme="majorEastAsia" w:hAnsiTheme="majorHAnsi" w:cstheme="majorBidi"/>
      <w:color w:val="243F60" w:themeColor="accent1" w:themeShade="7F"/>
      <w:sz w:val="24"/>
      <w:szCs w:val="24"/>
      <w:lang w:val="en-GB"/>
    </w:rPr>
  </w:style>
  <w:style w:type="paragraph" w:styleId="BodyText">
    <w:name w:val="Body Text"/>
    <w:basedOn w:val="Normal"/>
    <w:link w:val="BodyTextChar"/>
    <w:uiPriority w:val="99"/>
    <w:semiHidden/>
    <w:unhideWhenUsed/>
    <w:rsid w:val="00711954"/>
    <w:pPr>
      <w:spacing w:after="120" w:line="259" w:lineRule="auto"/>
    </w:pPr>
    <w:rPr>
      <w:rFonts w:asciiTheme="minorHAnsi" w:eastAsiaTheme="minorHAnsi" w:hAnsiTheme="minorHAnsi" w:cstheme="minorBidi"/>
      <w:sz w:val="22"/>
      <w:szCs w:val="22"/>
      <w:lang w:val="fr-BE"/>
    </w:rPr>
  </w:style>
  <w:style w:type="character" w:customStyle="1" w:styleId="BodyTextChar">
    <w:name w:val="Body Text Char"/>
    <w:basedOn w:val="DefaultParagraphFont"/>
    <w:link w:val="BodyText"/>
    <w:uiPriority w:val="99"/>
    <w:semiHidden/>
    <w:rsid w:val="00711954"/>
    <w:rPr>
      <w:rFonts w:asciiTheme="minorHAnsi" w:eastAsiaTheme="minorHAnsi" w:hAnsiTheme="minorHAnsi" w:cstheme="minorBidi"/>
      <w:sz w:val="22"/>
      <w:szCs w:val="22"/>
      <w:lang w:val="fr-BE"/>
    </w:rPr>
  </w:style>
  <w:style w:type="character" w:styleId="Mention">
    <w:name w:val="Mention"/>
    <w:basedOn w:val="DefaultParagraphFont"/>
    <w:uiPriority w:val="99"/>
    <w:semiHidden/>
    <w:unhideWhenUsed/>
    <w:rsid w:val="000A2373"/>
    <w:rPr>
      <w:color w:val="2B579A"/>
      <w:shd w:val="clear" w:color="auto" w:fill="E6E6E6"/>
    </w:rPr>
  </w:style>
  <w:style w:type="paragraph" w:customStyle="1" w:styleId="Standard">
    <w:name w:val="Standard"/>
    <w:rsid w:val="002840F1"/>
    <w:pPr>
      <w:widowControl w:val="0"/>
      <w:suppressAutoHyphens/>
      <w:autoSpaceDN w:val="0"/>
      <w:textAlignment w:val="baseline"/>
    </w:pPr>
    <w:rPr>
      <w:rFonts w:ascii="Microsoft Sans Serif" w:eastAsia="Microsoft Sans Serif" w:hAnsi="Microsoft Sans Serif" w:cs="Microsoft Sans Serif"/>
      <w:sz w:val="22"/>
      <w:szCs w:val="22"/>
    </w:rPr>
  </w:style>
  <w:style w:type="paragraph" w:customStyle="1" w:styleId="Textbody">
    <w:name w:val="Text body"/>
    <w:basedOn w:val="Standard"/>
    <w:rsid w:val="002840F1"/>
    <w:rPr>
      <w:sz w:val="27"/>
      <w:szCs w:val="27"/>
    </w:rPr>
  </w:style>
  <w:style w:type="paragraph" w:customStyle="1" w:styleId="Framecontents">
    <w:name w:val="Frame contents"/>
    <w:basedOn w:val="Standard"/>
    <w:rsid w:val="002840F1"/>
  </w:style>
  <w:style w:type="paragraph" w:styleId="TOCHeading">
    <w:name w:val="TOC Heading"/>
    <w:basedOn w:val="Heading1"/>
    <w:next w:val="Normal"/>
    <w:uiPriority w:val="39"/>
    <w:unhideWhenUsed/>
    <w:qFormat/>
    <w:rsid w:val="00BD3B71"/>
    <w:pPr>
      <w:spacing w:before="240" w:after="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BD3B71"/>
    <w:pPr>
      <w:spacing w:after="100"/>
    </w:pPr>
  </w:style>
  <w:style w:type="character" w:customStyle="1" w:styleId="Olstomnmnande1">
    <w:name w:val="Olöst omnämnande1"/>
    <w:basedOn w:val="DefaultParagraphFont"/>
    <w:uiPriority w:val="99"/>
    <w:semiHidden/>
    <w:unhideWhenUsed/>
    <w:rsid w:val="00C53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529">
      <w:bodyDiv w:val="1"/>
      <w:marLeft w:val="0"/>
      <w:marRight w:val="0"/>
      <w:marTop w:val="0"/>
      <w:marBottom w:val="0"/>
      <w:divBdr>
        <w:top w:val="none" w:sz="0" w:space="0" w:color="auto"/>
        <w:left w:val="none" w:sz="0" w:space="0" w:color="auto"/>
        <w:bottom w:val="none" w:sz="0" w:space="0" w:color="auto"/>
        <w:right w:val="none" w:sz="0" w:space="0" w:color="auto"/>
      </w:divBdr>
    </w:div>
    <w:div w:id="128978066">
      <w:bodyDiv w:val="1"/>
      <w:marLeft w:val="0"/>
      <w:marRight w:val="0"/>
      <w:marTop w:val="0"/>
      <w:marBottom w:val="0"/>
      <w:divBdr>
        <w:top w:val="none" w:sz="0" w:space="0" w:color="auto"/>
        <w:left w:val="none" w:sz="0" w:space="0" w:color="auto"/>
        <w:bottom w:val="none" w:sz="0" w:space="0" w:color="auto"/>
        <w:right w:val="none" w:sz="0" w:space="0" w:color="auto"/>
      </w:divBdr>
    </w:div>
    <w:div w:id="143160801">
      <w:bodyDiv w:val="1"/>
      <w:marLeft w:val="0"/>
      <w:marRight w:val="0"/>
      <w:marTop w:val="0"/>
      <w:marBottom w:val="0"/>
      <w:divBdr>
        <w:top w:val="none" w:sz="0" w:space="0" w:color="auto"/>
        <w:left w:val="none" w:sz="0" w:space="0" w:color="auto"/>
        <w:bottom w:val="none" w:sz="0" w:space="0" w:color="auto"/>
        <w:right w:val="none" w:sz="0" w:space="0" w:color="auto"/>
      </w:divBdr>
    </w:div>
    <w:div w:id="259260468">
      <w:bodyDiv w:val="1"/>
      <w:marLeft w:val="0"/>
      <w:marRight w:val="0"/>
      <w:marTop w:val="0"/>
      <w:marBottom w:val="0"/>
      <w:divBdr>
        <w:top w:val="none" w:sz="0" w:space="0" w:color="auto"/>
        <w:left w:val="none" w:sz="0" w:space="0" w:color="auto"/>
        <w:bottom w:val="none" w:sz="0" w:space="0" w:color="auto"/>
        <w:right w:val="none" w:sz="0" w:space="0" w:color="auto"/>
      </w:divBdr>
    </w:div>
    <w:div w:id="382949674">
      <w:bodyDiv w:val="1"/>
      <w:marLeft w:val="0"/>
      <w:marRight w:val="0"/>
      <w:marTop w:val="0"/>
      <w:marBottom w:val="0"/>
      <w:divBdr>
        <w:top w:val="none" w:sz="0" w:space="0" w:color="auto"/>
        <w:left w:val="none" w:sz="0" w:space="0" w:color="auto"/>
        <w:bottom w:val="none" w:sz="0" w:space="0" w:color="auto"/>
        <w:right w:val="none" w:sz="0" w:space="0" w:color="auto"/>
      </w:divBdr>
      <w:divsChild>
        <w:div w:id="961572981">
          <w:marLeft w:val="562"/>
          <w:marRight w:val="0"/>
          <w:marTop w:val="0"/>
          <w:marBottom w:val="0"/>
          <w:divBdr>
            <w:top w:val="none" w:sz="0" w:space="0" w:color="auto"/>
            <w:left w:val="none" w:sz="0" w:space="0" w:color="auto"/>
            <w:bottom w:val="none" w:sz="0" w:space="0" w:color="auto"/>
            <w:right w:val="none" w:sz="0" w:space="0" w:color="auto"/>
          </w:divBdr>
        </w:div>
        <w:div w:id="2041859025">
          <w:marLeft w:val="562"/>
          <w:marRight w:val="0"/>
          <w:marTop w:val="0"/>
          <w:marBottom w:val="0"/>
          <w:divBdr>
            <w:top w:val="none" w:sz="0" w:space="0" w:color="auto"/>
            <w:left w:val="none" w:sz="0" w:space="0" w:color="auto"/>
            <w:bottom w:val="none" w:sz="0" w:space="0" w:color="auto"/>
            <w:right w:val="none" w:sz="0" w:space="0" w:color="auto"/>
          </w:divBdr>
        </w:div>
        <w:div w:id="1170489815">
          <w:marLeft w:val="562"/>
          <w:marRight w:val="0"/>
          <w:marTop w:val="0"/>
          <w:marBottom w:val="0"/>
          <w:divBdr>
            <w:top w:val="none" w:sz="0" w:space="0" w:color="auto"/>
            <w:left w:val="none" w:sz="0" w:space="0" w:color="auto"/>
            <w:bottom w:val="none" w:sz="0" w:space="0" w:color="auto"/>
            <w:right w:val="none" w:sz="0" w:space="0" w:color="auto"/>
          </w:divBdr>
        </w:div>
        <w:div w:id="1831360011">
          <w:marLeft w:val="562"/>
          <w:marRight w:val="0"/>
          <w:marTop w:val="0"/>
          <w:marBottom w:val="0"/>
          <w:divBdr>
            <w:top w:val="none" w:sz="0" w:space="0" w:color="auto"/>
            <w:left w:val="none" w:sz="0" w:space="0" w:color="auto"/>
            <w:bottom w:val="none" w:sz="0" w:space="0" w:color="auto"/>
            <w:right w:val="none" w:sz="0" w:space="0" w:color="auto"/>
          </w:divBdr>
        </w:div>
        <w:div w:id="506334798">
          <w:marLeft w:val="562"/>
          <w:marRight w:val="0"/>
          <w:marTop w:val="0"/>
          <w:marBottom w:val="0"/>
          <w:divBdr>
            <w:top w:val="none" w:sz="0" w:space="0" w:color="auto"/>
            <w:left w:val="none" w:sz="0" w:space="0" w:color="auto"/>
            <w:bottom w:val="none" w:sz="0" w:space="0" w:color="auto"/>
            <w:right w:val="none" w:sz="0" w:space="0" w:color="auto"/>
          </w:divBdr>
        </w:div>
        <w:div w:id="853416888">
          <w:marLeft w:val="562"/>
          <w:marRight w:val="0"/>
          <w:marTop w:val="0"/>
          <w:marBottom w:val="0"/>
          <w:divBdr>
            <w:top w:val="none" w:sz="0" w:space="0" w:color="auto"/>
            <w:left w:val="none" w:sz="0" w:space="0" w:color="auto"/>
            <w:bottom w:val="none" w:sz="0" w:space="0" w:color="auto"/>
            <w:right w:val="none" w:sz="0" w:space="0" w:color="auto"/>
          </w:divBdr>
        </w:div>
        <w:div w:id="105857539">
          <w:marLeft w:val="562"/>
          <w:marRight w:val="0"/>
          <w:marTop w:val="0"/>
          <w:marBottom w:val="0"/>
          <w:divBdr>
            <w:top w:val="none" w:sz="0" w:space="0" w:color="auto"/>
            <w:left w:val="none" w:sz="0" w:space="0" w:color="auto"/>
            <w:bottom w:val="none" w:sz="0" w:space="0" w:color="auto"/>
            <w:right w:val="none" w:sz="0" w:space="0" w:color="auto"/>
          </w:divBdr>
        </w:div>
      </w:divsChild>
    </w:div>
    <w:div w:id="388308414">
      <w:bodyDiv w:val="1"/>
      <w:marLeft w:val="0"/>
      <w:marRight w:val="0"/>
      <w:marTop w:val="0"/>
      <w:marBottom w:val="0"/>
      <w:divBdr>
        <w:top w:val="none" w:sz="0" w:space="0" w:color="auto"/>
        <w:left w:val="none" w:sz="0" w:space="0" w:color="auto"/>
        <w:bottom w:val="none" w:sz="0" w:space="0" w:color="auto"/>
        <w:right w:val="none" w:sz="0" w:space="0" w:color="auto"/>
      </w:divBdr>
    </w:div>
    <w:div w:id="403140159">
      <w:bodyDiv w:val="1"/>
      <w:marLeft w:val="0"/>
      <w:marRight w:val="0"/>
      <w:marTop w:val="0"/>
      <w:marBottom w:val="0"/>
      <w:divBdr>
        <w:top w:val="none" w:sz="0" w:space="0" w:color="auto"/>
        <w:left w:val="none" w:sz="0" w:space="0" w:color="auto"/>
        <w:bottom w:val="none" w:sz="0" w:space="0" w:color="auto"/>
        <w:right w:val="none" w:sz="0" w:space="0" w:color="auto"/>
      </w:divBdr>
    </w:div>
    <w:div w:id="414278700">
      <w:bodyDiv w:val="1"/>
      <w:marLeft w:val="0"/>
      <w:marRight w:val="0"/>
      <w:marTop w:val="0"/>
      <w:marBottom w:val="0"/>
      <w:divBdr>
        <w:top w:val="none" w:sz="0" w:space="0" w:color="auto"/>
        <w:left w:val="none" w:sz="0" w:space="0" w:color="auto"/>
        <w:bottom w:val="none" w:sz="0" w:space="0" w:color="auto"/>
        <w:right w:val="none" w:sz="0" w:space="0" w:color="auto"/>
      </w:divBdr>
    </w:div>
    <w:div w:id="436146419">
      <w:bodyDiv w:val="1"/>
      <w:marLeft w:val="0"/>
      <w:marRight w:val="0"/>
      <w:marTop w:val="0"/>
      <w:marBottom w:val="0"/>
      <w:divBdr>
        <w:top w:val="none" w:sz="0" w:space="0" w:color="auto"/>
        <w:left w:val="none" w:sz="0" w:space="0" w:color="auto"/>
        <w:bottom w:val="none" w:sz="0" w:space="0" w:color="auto"/>
        <w:right w:val="none" w:sz="0" w:space="0" w:color="auto"/>
      </w:divBdr>
      <w:divsChild>
        <w:div w:id="368646988">
          <w:marLeft w:val="0"/>
          <w:marRight w:val="0"/>
          <w:marTop w:val="0"/>
          <w:marBottom w:val="0"/>
          <w:divBdr>
            <w:top w:val="none" w:sz="0" w:space="0" w:color="auto"/>
            <w:left w:val="none" w:sz="0" w:space="0" w:color="auto"/>
            <w:bottom w:val="none" w:sz="0" w:space="0" w:color="auto"/>
            <w:right w:val="none" w:sz="0" w:space="0" w:color="auto"/>
          </w:divBdr>
          <w:divsChild>
            <w:div w:id="1848131913">
              <w:marLeft w:val="0"/>
              <w:marRight w:val="0"/>
              <w:marTop w:val="0"/>
              <w:marBottom w:val="0"/>
              <w:divBdr>
                <w:top w:val="none" w:sz="0" w:space="0" w:color="auto"/>
                <w:left w:val="none" w:sz="0" w:space="0" w:color="auto"/>
                <w:bottom w:val="none" w:sz="0" w:space="0" w:color="auto"/>
                <w:right w:val="none" w:sz="0" w:space="0" w:color="auto"/>
              </w:divBdr>
              <w:divsChild>
                <w:div w:id="102724996">
                  <w:marLeft w:val="0"/>
                  <w:marRight w:val="0"/>
                  <w:marTop w:val="150"/>
                  <w:marBottom w:val="0"/>
                  <w:divBdr>
                    <w:top w:val="none" w:sz="0" w:space="0" w:color="auto"/>
                    <w:left w:val="none" w:sz="0" w:space="0" w:color="auto"/>
                    <w:bottom w:val="none" w:sz="0" w:space="0" w:color="auto"/>
                    <w:right w:val="none" w:sz="0" w:space="0" w:color="auto"/>
                  </w:divBdr>
                  <w:divsChild>
                    <w:div w:id="2122454998">
                      <w:marLeft w:val="0"/>
                      <w:marRight w:val="0"/>
                      <w:marTop w:val="0"/>
                      <w:marBottom w:val="0"/>
                      <w:divBdr>
                        <w:top w:val="none" w:sz="0" w:space="0" w:color="auto"/>
                        <w:left w:val="none" w:sz="0" w:space="0" w:color="auto"/>
                        <w:bottom w:val="none" w:sz="0" w:space="0" w:color="auto"/>
                        <w:right w:val="none" w:sz="0" w:space="0" w:color="auto"/>
                      </w:divBdr>
                      <w:divsChild>
                        <w:div w:id="935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04545">
          <w:marLeft w:val="0"/>
          <w:marRight w:val="0"/>
          <w:marTop w:val="0"/>
          <w:marBottom w:val="360"/>
          <w:divBdr>
            <w:top w:val="none" w:sz="0" w:space="0" w:color="auto"/>
            <w:left w:val="none" w:sz="0" w:space="0" w:color="auto"/>
            <w:bottom w:val="none" w:sz="0" w:space="0" w:color="auto"/>
            <w:right w:val="none" w:sz="0" w:space="0" w:color="auto"/>
          </w:divBdr>
          <w:divsChild>
            <w:div w:id="780608774">
              <w:marLeft w:val="0"/>
              <w:marRight w:val="0"/>
              <w:marTop w:val="240"/>
              <w:marBottom w:val="240"/>
              <w:divBdr>
                <w:top w:val="none" w:sz="0" w:space="0" w:color="auto"/>
                <w:left w:val="none" w:sz="0" w:space="0" w:color="auto"/>
                <w:bottom w:val="single" w:sz="6" w:space="6" w:color="CCC1B7"/>
                <w:right w:val="none" w:sz="0" w:space="0" w:color="auto"/>
              </w:divBdr>
              <w:divsChild>
                <w:div w:id="9239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27063">
      <w:bodyDiv w:val="1"/>
      <w:marLeft w:val="0"/>
      <w:marRight w:val="0"/>
      <w:marTop w:val="0"/>
      <w:marBottom w:val="0"/>
      <w:divBdr>
        <w:top w:val="none" w:sz="0" w:space="0" w:color="auto"/>
        <w:left w:val="none" w:sz="0" w:space="0" w:color="auto"/>
        <w:bottom w:val="none" w:sz="0" w:space="0" w:color="auto"/>
        <w:right w:val="none" w:sz="0" w:space="0" w:color="auto"/>
      </w:divBdr>
      <w:divsChild>
        <w:div w:id="346910301">
          <w:marLeft w:val="562"/>
          <w:marRight w:val="0"/>
          <w:marTop w:val="0"/>
          <w:marBottom w:val="0"/>
          <w:divBdr>
            <w:top w:val="none" w:sz="0" w:space="0" w:color="auto"/>
            <w:left w:val="none" w:sz="0" w:space="0" w:color="auto"/>
            <w:bottom w:val="none" w:sz="0" w:space="0" w:color="auto"/>
            <w:right w:val="none" w:sz="0" w:space="0" w:color="auto"/>
          </w:divBdr>
        </w:div>
        <w:div w:id="1103107709">
          <w:marLeft w:val="562"/>
          <w:marRight w:val="0"/>
          <w:marTop w:val="0"/>
          <w:marBottom w:val="0"/>
          <w:divBdr>
            <w:top w:val="none" w:sz="0" w:space="0" w:color="auto"/>
            <w:left w:val="none" w:sz="0" w:space="0" w:color="auto"/>
            <w:bottom w:val="none" w:sz="0" w:space="0" w:color="auto"/>
            <w:right w:val="none" w:sz="0" w:space="0" w:color="auto"/>
          </w:divBdr>
        </w:div>
        <w:div w:id="1838809305">
          <w:marLeft w:val="562"/>
          <w:marRight w:val="0"/>
          <w:marTop w:val="0"/>
          <w:marBottom w:val="0"/>
          <w:divBdr>
            <w:top w:val="none" w:sz="0" w:space="0" w:color="auto"/>
            <w:left w:val="none" w:sz="0" w:space="0" w:color="auto"/>
            <w:bottom w:val="none" w:sz="0" w:space="0" w:color="auto"/>
            <w:right w:val="none" w:sz="0" w:space="0" w:color="auto"/>
          </w:divBdr>
        </w:div>
      </w:divsChild>
    </w:div>
    <w:div w:id="632293215">
      <w:bodyDiv w:val="1"/>
      <w:marLeft w:val="0"/>
      <w:marRight w:val="0"/>
      <w:marTop w:val="0"/>
      <w:marBottom w:val="0"/>
      <w:divBdr>
        <w:top w:val="none" w:sz="0" w:space="0" w:color="auto"/>
        <w:left w:val="none" w:sz="0" w:space="0" w:color="auto"/>
        <w:bottom w:val="none" w:sz="0" w:space="0" w:color="auto"/>
        <w:right w:val="none" w:sz="0" w:space="0" w:color="auto"/>
      </w:divBdr>
    </w:div>
    <w:div w:id="667944686">
      <w:bodyDiv w:val="1"/>
      <w:marLeft w:val="0"/>
      <w:marRight w:val="0"/>
      <w:marTop w:val="0"/>
      <w:marBottom w:val="0"/>
      <w:divBdr>
        <w:top w:val="none" w:sz="0" w:space="0" w:color="auto"/>
        <w:left w:val="none" w:sz="0" w:space="0" w:color="auto"/>
        <w:bottom w:val="none" w:sz="0" w:space="0" w:color="auto"/>
        <w:right w:val="none" w:sz="0" w:space="0" w:color="auto"/>
      </w:divBdr>
    </w:div>
    <w:div w:id="678391224">
      <w:bodyDiv w:val="1"/>
      <w:marLeft w:val="0"/>
      <w:marRight w:val="0"/>
      <w:marTop w:val="0"/>
      <w:marBottom w:val="0"/>
      <w:divBdr>
        <w:top w:val="none" w:sz="0" w:space="0" w:color="auto"/>
        <w:left w:val="none" w:sz="0" w:space="0" w:color="auto"/>
        <w:bottom w:val="none" w:sz="0" w:space="0" w:color="auto"/>
        <w:right w:val="none" w:sz="0" w:space="0" w:color="auto"/>
      </w:divBdr>
    </w:div>
    <w:div w:id="704136252">
      <w:bodyDiv w:val="1"/>
      <w:marLeft w:val="0"/>
      <w:marRight w:val="0"/>
      <w:marTop w:val="0"/>
      <w:marBottom w:val="0"/>
      <w:divBdr>
        <w:top w:val="none" w:sz="0" w:space="0" w:color="auto"/>
        <w:left w:val="none" w:sz="0" w:space="0" w:color="auto"/>
        <w:bottom w:val="none" w:sz="0" w:space="0" w:color="auto"/>
        <w:right w:val="none" w:sz="0" w:space="0" w:color="auto"/>
      </w:divBdr>
    </w:div>
    <w:div w:id="751509251">
      <w:bodyDiv w:val="1"/>
      <w:marLeft w:val="0"/>
      <w:marRight w:val="0"/>
      <w:marTop w:val="0"/>
      <w:marBottom w:val="0"/>
      <w:divBdr>
        <w:top w:val="none" w:sz="0" w:space="0" w:color="auto"/>
        <w:left w:val="none" w:sz="0" w:space="0" w:color="auto"/>
        <w:bottom w:val="none" w:sz="0" w:space="0" w:color="auto"/>
        <w:right w:val="none" w:sz="0" w:space="0" w:color="auto"/>
      </w:divBdr>
    </w:div>
    <w:div w:id="757866396">
      <w:bodyDiv w:val="1"/>
      <w:marLeft w:val="0"/>
      <w:marRight w:val="0"/>
      <w:marTop w:val="0"/>
      <w:marBottom w:val="0"/>
      <w:divBdr>
        <w:top w:val="none" w:sz="0" w:space="0" w:color="auto"/>
        <w:left w:val="none" w:sz="0" w:space="0" w:color="auto"/>
        <w:bottom w:val="none" w:sz="0" w:space="0" w:color="auto"/>
        <w:right w:val="none" w:sz="0" w:space="0" w:color="auto"/>
      </w:divBdr>
    </w:div>
    <w:div w:id="761489995">
      <w:bodyDiv w:val="1"/>
      <w:marLeft w:val="0"/>
      <w:marRight w:val="0"/>
      <w:marTop w:val="0"/>
      <w:marBottom w:val="0"/>
      <w:divBdr>
        <w:top w:val="none" w:sz="0" w:space="0" w:color="auto"/>
        <w:left w:val="none" w:sz="0" w:space="0" w:color="auto"/>
        <w:bottom w:val="none" w:sz="0" w:space="0" w:color="auto"/>
        <w:right w:val="none" w:sz="0" w:space="0" w:color="auto"/>
      </w:divBdr>
    </w:div>
    <w:div w:id="767307722">
      <w:bodyDiv w:val="1"/>
      <w:marLeft w:val="0"/>
      <w:marRight w:val="0"/>
      <w:marTop w:val="0"/>
      <w:marBottom w:val="0"/>
      <w:divBdr>
        <w:top w:val="none" w:sz="0" w:space="0" w:color="auto"/>
        <w:left w:val="none" w:sz="0" w:space="0" w:color="auto"/>
        <w:bottom w:val="none" w:sz="0" w:space="0" w:color="auto"/>
        <w:right w:val="none" w:sz="0" w:space="0" w:color="auto"/>
      </w:divBdr>
      <w:divsChild>
        <w:div w:id="392778800">
          <w:marLeft w:val="562"/>
          <w:marRight w:val="0"/>
          <w:marTop w:val="0"/>
          <w:marBottom w:val="0"/>
          <w:divBdr>
            <w:top w:val="none" w:sz="0" w:space="0" w:color="auto"/>
            <w:left w:val="none" w:sz="0" w:space="0" w:color="auto"/>
            <w:bottom w:val="none" w:sz="0" w:space="0" w:color="auto"/>
            <w:right w:val="none" w:sz="0" w:space="0" w:color="auto"/>
          </w:divBdr>
        </w:div>
        <w:div w:id="832837836">
          <w:marLeft w:val="562"/>
          <w:marRight w:val="0"/>
          <w:marTop w:val="0"/>
          <w:marBottom w:val="0"/>
          <w:divBdr>
            <w:top w:val="none" w:sz="0" w:space="0" w:color="auto"/>
            <w:left w:val="none" w:sz="0" w:space="0" w:color="auto"/>
            <w:bottom w:val="none" w:sz="0" w:space="0" w:color="auto"/>
            <w:right w:val="none" w:sz="0" w:space="0" w:color="auto"/>
          </w:divBdr>
        </w:div>
        <w:div w:id="492109845">
          <w:marLeft w:val="562"/>
          <w:marRight w:val="0"/>
          <w:marTop w:val="0"/>
          <w:marBottom w:val="0"/>
          <w:divBdr>
            <w:top w:val="none" w:sz="0" w:space="0" w:color="auto"/>
            <w:left w:val="none" w:sz="0" w:space="0" w:color="auto"/>
            <w:bottom w:val="none" w:sz="0" w:space="0" w:color="auto"/>
            <w:right w:val="none" w:sz="0" w:space="0" w:color="auto"/>
          </w:divBdr>
        </w:div>
      </w:divsChild>
    </w:div>
    <w:div w:id="809128661">
      <w:bodyDiv w:val="1"/>
      <w:marLeft w:val="0"/>
      <w:marRight w:val="0"/>
      <w:marTop w:val="0"/>
      <w:marBottom w:val="0"/>
      <w:divBdr>
        <w:top w:val="none" w:sz="0" w:space="0" w:color="auto"/>
        <w:left w:val="none" w:sz="0" w:space="0" w:color="auto"/>
        <w:bottom w:val="none" w:sz="0" w:space="0" w:color="auto"/>
        <w:right w:val="none" w:sz="0" w:space="0" w:color="auto"/>
      </w:divBdr>
    </w:div>
    <w:div w:id="812795039">
      <w:bodyDiv w:val="1"/>
      <w:marLeft w:val="0"/>
      <w:marRight w:val="0"/>
      <w:marTop w:val="0"/>
      <w:marBottom w:val="0"/>
      <w:divBdr>
        <w:top w:val="none" w:sz="0" w:space="0" w:color="auto"/>
        <w:left w:val="none" w:sz="0" w:space="0" w:color="auto"/>
        <w:bottom w:val="none" w:sz="0" w:space="0" w:color="auto"/>
        <w:right w:val="none" w:sz="0" w:space="0" w:color="auto"/>
      </w:divBdr>
    </w:div>
    <w:div w:id="858010268">
      <w:bodyDiv w:val="1"/>
      <w:marLeft w:val="0"/>
      <w:marRight w:val="0"/>
      <w:marTop w:val="0"/>
      <w:marBottom w:val="0"/>
      <w:divBdr>
        <w:top w:val="none" w:sz="0" w:space="0" w:color="auto"/>
        <w:left w:val="none" w:sz="0" w:space="0" w:color="auto"/>
        <w:bottom w:val="none" w:sz="0" w:space="0" w:color="auto"/>
        <w:right w:val="none" w:sz="0" w:space="0" w:color="auto"/>
      </w:divBdr>
      <w:divsChild>
        <w:div w:id="1330250879">
          <w:marLeft w:val="562"/>
          <w:marRight w:val="0"/>
          <w:marTop w:val="0"/>
          <w:marBottom w:val="0"/>
          <w:divBdr>
            <w:top w:val="none" w:sz="0" w:space="0" w:color="auto"/>
            <w:left w:val="none" w:sz="0" w:space="0" w:color="auto"/>
            <w:bottom w:val="none" w:sz="0" w:space="0" w:color="auto"/>
            <w:right w:val="none" w:sz="0" w:space="0" w:color="auto"/>
          </w:divBdr>
        </w:div>
        <w:div w:id="243955808">
          <w:marLeft w:val="562"/>
          <w:marRight w:val="0"/>
          <w:marTop w:val="0"/>
          <w:marBottom w:val="0"/>
          <w:divBdr>
            <w:top w:val="none" w:sz="0" w:space="0" w:color="auto"/>
            <w:left w:val="none" w:sz="0" w:space="0" w:color="auto"/>
            <w:bottom w:val="none" w:sz="0" w:space="0" w:color="auto"/>
            <w:right w:val="none" w:sz="0" w:space="0" w:color="auto"/>
          </w:divBdr>
        </w:div>
        <w:div w:id="2112237120">
          <w:marLeft w:val="562"/>
          <w:marRight w:val="0"/>
          <w:marTop w:val="0"/>
          <w:marBottom w:val="0"/>
          <w:divBdr>
            <w:top w:val="none" w:sz="0" w:space="0" w:color="auto"/>
            <w:left w:val="none" w:sz="0" w:space="0" w:color="auto"/>
            <w:bottom w:val="none" w:sz="0" w:space="0" w:color="auto"/>
            <w:right w:val="none" w:sz="0" w:space="0" w:color="auto"/>
          </w:divBdr>
        </w:div>
        <w:div w:id="374086684">
          <w:marLeft w:val="562"/>
          <w:marRight w:val="0"/>
          <w:marTop w:val="0"/>
          <w:marBottom w:val="0"/>
          <w:divBdr>
            <w:top w:val="none" w:sz="0" w:space="0" w:color="auto"/>
            <w:left w:val="none" w:sz="0" w:space="0" w:color="auto"/>
            <w:bottom w:val="none" w:sz="0" w:space="0" w:color="auto"/>
            <w:right w:val="none" w:sz="0" w:space="0" w:color="auto"/>
          </w:divBdr>
        </w:div>
        <w:div w:id="1364750218">
          <w:marLeft w:val="562"/>
          <w:marRight w:val="0"/>
          <w:marTop w:val="0"/>
          <w:marBottom w:val="0"/>
          <w:divBdr>
            <w:top w:val="none" w:sz="0" w:space="0" w:color="auto"/>
            <w:left w:val="none" w:sz="0" w:space="0" w:color="auto"/>
            <w:bottom w:val="none" w:sz="0" w:space="0" w:color="auto"/>
            <w:right w:val="none" w:sz="0" w:space="0" w:color="auto"/>
          </w:divBdr>
        </w:div>
      </w:divsChild>
    </w:div>
    <w:div w:id="873153903">
      <w:bodyDiv w:val="1"/>
      <w:marLeft w:val="0"/>
      <w:marRight w:val="0"/>
      <w:marTop w:val="0"/>
      <w:marBottom w:val="0"/>
      <w:divBdr>
        <w:top w:val="none" w:sz="0" w:space="0" w:color="auto"/>
        <w:left w:val="none" w:sz="0" w:space="0" w:color="auto"/>
        <w:bottom w:val="none" w:sz="0" w:space="0" w:color="auto"/>
        <w:right w:val="none" w:sz="0" w:space="0" w:color="auto"/>
      </w:divBdr>
    </w:div>
    <w:div w:id="901864829">
      <w:bodyDiv w:val="1"/>
      <w:marLeft w:val="0"/>
      <w:marRight w:val="0"/>
      <w:marTop w:val="0"/>
      <w:marBottom w:val="0"/>
      <w:divBdr>
        <w:top w:val="none" w:sz="0" w:space="0" w:color="auto"/>
        <w:left w:val="none" w:sz="0" w:space="0" w:color="auto"/>
        <w:bottom w:val="none" w:sz="0" w:space="0" w:color="auto"/>
        <w:right w:val="none" w:sz="0" w:space="0" w:color="auto"/>
      </w:divBdr>
    </w:div>
    <w:div w:id="909536668">
      <w:bodyDiv w:val="1"/>
      <w:marLeft w:val="0"/>
      <w:marRight w:val="0"/>
      <w:marTop w:val="0"/>
      <w:marBottom w:val="0"/>
      <w:divBdr>
        <w:top w:val="none" w:sz="0" w:space="0" w:color="auto"/>
        <w:left w:val="none" w:sz="0" w:space="0" w:color="auto"/>
        <w:bottom w:val="none" w:sz="0" w:space="0" w:color="auto"/>
        <w:right w:val="none" w:sz="0" w:space="0" w:color="auto"/>
      </w:divBdr>
    </w:div>
    <w:div w:id="917858681">
      <w:bodyDiv w:val="1"/>
      <w:marLeft w:val="0"/>
      <w:marRight w:val="0"/>
      <w:marTop w:val="0"/>
      <w:marBottom w:val="0"/>
      <w:divBdr>
        <w:top w:val="none" w:sz="0" w:space="0" w:color="auto"/>
        <w:left w:val="none" w:sz="0" w:space="0" w:color="auto"/>
        <w:bottom w:val="none" w:sz="0" w:space="0" w:color="auto"/>
        <w:right w:val="none" w:sz="0" w:space="0" w:color="auto"/>
      </w:divBdr>
    </w:div>
    <w:div w:id="923220183">
      <w:bodyDiv w:val="1"/>
      <w:marLeft w:val="0"/>
      <w:marRight w:val="0"/>
      <w:marTop w:val="0"/>
      <w:marBottom w:val="0"/>
      <w:divBdr>
        <w:top w:val="none" w:sz="0" w:space="0" w:color="auto"/>
        <w:left w:val="none" w:sz="0" w:space="0" w:color="auto"/>
        <w:bottom w:val="none" w:sz="0" w:space="0" w:color="auto"/>
        <w:right w:val="none" w:sz="0" w:space="0" w:color="auto"/>
      </w:divBdr>
    </w:div>
    <w:div w:id="1054817532">
      <w:bodyDiv w:val="1"/>
      <w:marLeft w:val="0"/>
      <w:marRight w:val="0"/>
      <w:marTop w:val="0"/>
      <w:marBottom w:val="0"/>
      <w:divBdr>
        <w:top w:val="none" w:sz="0" w:space="0" w:color="auto"/>
        <w:left w:val="none" w:sz="0" w:space="0" w:color="auto"/>
        <w:bottom w:val="none" w:sz="0" w:space="0" w:color="auto"/>
        <w:right w:val="none" w:sz="0" w:space="0" w:color="auto"/>
      </w:divBdr>
    </w:div>
    <w:div w:id="1153714360">
      <w:bodyDiv w:val="1"/>
      <w:marLeft w:val="0"/>
      <w:marRight w:val="0"/>
      <w:marTop w:val="0"/>
      <w:marBottom w:val="0"/>
      <w:divBdr>
        <w:top w:val="none" w:sz="0" w:space="0" w:color="auto"/>
        <w:left w:val="none" w:sz="0" w:space="0" w:color="auto"/>
        <w:bottom w:val="none" w:sz="0" w:space="0" w:color="auto"/>
        <w:right w:val="none" w:sz="0" w:space="0" w:color="auto"/>
      </w:divBdr>
      <w:divsChild>
        <w:div w:id="235281819">
          <w:marLeft w:val="0"/>
          <w:marRight w:val="0"/>
          <w:marTop w:val="0"/>
          <w:marBottom w:val="0"/>
          <w:divBdr>
            <w:top w:val="none" w:sz="0" w:space="0" w:color="auto"/>
            <w:left w:val="none" w:sz="0" w:space="0" w:color="auto"/>
            <w:bottom w:val="none" w:sz="0" w:space="0" w:color="auto"/>
            <w:right w:val="none" w:sz="0" w:space="0" w:color="auto"/>
          </w:divBdr>
        </w:div>
      </w:divsChild>
    </w:div>
    <w:div w:id="1217618212">
      <w:bodyDiv w:val="1"/>
      <w:marLeft w:val="0"/>
      <w:marRight w:val="0"/>
      <w:marTop w:val="0"/>
      <w:marBottom w:val="0"/>
      <w:divBdr>
        <w:top w:val="none" w:sz="0" w:space="0" w:color="auto"/>
        <w:left w:val="none" w:sz="0" w:space="0" w:color="auto"/>
        <w:bottom w:val="none" w:sz="0" w:space="0" w:color="auto"/>
        <w:right w:val="none" w:sz="0" w:space="0" w:color="auto"/>
      </w:divBdr>
      <w:divsChild>
        <w:div w:id="805855980">
          <w:marLeft w:val="288"/>
          <w:marRight w:val="0"/>
          <w:marTop w:val="0"/>
          <w:marBottom w:val="0"/>
          <w:divBdr>
            <w:top w:val="none" w:sz="0" w:space="0" w:color="auto"/>
            <w:left w:val="none" w:sz="0" w:space="0" w:color="auto"/>
            <w:bottom w:val="none" w:sz="0" w:space="0" w:color="auto"/>
            <w:right w:val="none" w:sz="0" w:space="0" w:color="auto"/>
          </w:divBdr>
        </w:div>
        <w:div w:id="181632183">
          <w:marLeft w:val="288"/>
          <w:marRight w:val="0"/>
          <w:marTop w:val="0"/>
          <w:marBottom w:val="0"/>
          <w:divBdr>
            <w:top w:val="none" w:sz="0" w:space="0" w:color="auto"/>
            <w:left w:val="none" w:sz="0" w:space="0" w:color="auto"/>
            <w:bottom w:val="none" w:sz="0" w:space="0" w:color="auto"/>
            <w:right w:val="none" w:sz="0" w:space="0" w:color="auto"/>
          </w:divBdr>
        </w:div>
        <w:div w:id="301084800">
          <w:marLeft w:val="1267"/>
          <w:marRight w:val="0"/>
          <w:marTop w:val="0"/>
          <w:marBottom w:val="0"/>
          <w:divBdr>
            <w:top w:val="none" w:sz="0" w:space="0" w:color="auto"/>
            <w:left w:val="none" w:sz="0" w:space="0" w:color="auto"/>
            <w:bottom w:val="none" w:sz="0" w:space="0" w:color="auto"/>
            <w:right w:val="none" w:sz="0" w:space="0" w:color="auto"/>
          </w:divBdr>
        </w:div>
        <w:div w:id="1912037884">
          <w:marLeft w:val="1267"/>
          <w:marRight w:val="0"/>
          <w:marTop w:val="0"/>
          <w:marBottom w:val="0"/>
          <w:divBdr>
            <w:top w:val="none" w:sz="0" w:space="0" w:color="auto"/>
            <w:left w:val="none" w:sz="0" w:space="0" w:color="auto"/>
            <w:bottom w:val="none" w:sz="0" w:space="0" w:color="auto"/>
            <w:right w:val="none" w:sz="0" w:space="0" w:color="auto"/>
          </w:divBdr>
        </w:div>
        <w:div w:id="1464424922">
          <w:marLeft w:val="1267"/>
          <w:marRight w:val="0"/>
          <w:marTop w:val="0"/>
          <w:marBottom w:val="0"/>
          <w:divBdr>
            <w:top w:val="none" w:sz="0" w:space="0" w:color="auto"/>
            <w:left w:val="none" w:sz="0" w:space="0" w:color="auto"/>
            <w:bottom w:val="none" w:sz="0" w:space="0" w:color="auto"/>
            <w:right w:val="none" w:sz="0" w:space="0" w:color="auto"/>
          </w:divBdr>
        </w:div>
        <w:div w:id="1066074481">
          <w:marLeft w:val="1267"/>
          <w:marRight w:val="0"/>
          <w:marTop w:val="0"/>
          <w:marBottom w:val="0"/>
          <w:divBdr>
            <w:top w:val="none" w:sz="0" w:space="0" w:color="auto"/>
            <w:left w:val="none" w:sz="0" w:space="0" w:color="auto"/>
            <w:bottom w:val="none" w:sz="0" w:space="0" w:color="auto"/>
            <w:right w:val="none" w:sz="0" w:space="0" w:color="auto"/>
          </w:divBdr>
        </w:div>
        <w:div w:id="1894925255">
          <w:marLeft w:val="1267"/>
          <w:marRight w:val="0"/>
          <w:marTop w:val="0"/>
          <w:marBottom w:val="0"/>
          <w:divBdr>
            <w:top w:val="none" w:sz="0" w:space="0" w:color="auto"/>
            <w:left w:val="none" w:sz="0" w:space="0" w:color="auto"/>
            <w:bottom w:val="none" w:sz="0" w:space="0" w:color="auto"/>
            <w:right w:val="none" w:sz="0" w:space="0" w:color="auto"/>
          </w:divBdr>
        </w:div>
      </w:divsChild>
    </w:div>
    <w:div w:id="1245720295">
      <w:bodyDiv w:val="1"/>
      <w:marLeft w:val="0"/>
      <w:marRight w:val="0"/>
      <w:marTop w:val="0"/>
      <w:marBottom w:val="0"/>
      <w:divBdr>
        <w:top w:val="none" w:sz="0" w:space="0" w:color="auto"/>
        <w:left w:val="none" w:sz="0" w:space="0" w:color="auto"/>
        <w:bottom w:val="none" w:sz="0" w:space="0" w:color="auto"/>
        <w:right w:val="none" w:sz="0" w:space="0" w:color="auto"/>
      </w:divBdr>
    </w:div>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 w:id="1364787705">
      <w:bodyDiv w:val="1"/>
      <w:marLeft w:val="0"/>
      <w:marRight w:val="0"/>
      <w:marTop w:val="0"/>
      <w:marBottom w:val="0"/>
      <w:divBdr>
        <w:top w:val="none" w:sz="0" w:space="0" w:color="auto"/>
        <w:left w:val="none" w:sz="0" w:space="0" w:color="auto"/>
        <w:bottom w:val="none" w:sz="0" w:space="0" w:color="auto"/>
        <w:right w:val="none" w:sz="0" w:space="0" w:color="auto"/>
      </w:divBdr>
    </w:div>
    <w:div w:id="1428382161">
      <w:bodyDiv w:val="1"/>
      <w:marLeft w:val="0"/>
      <w:marRight w:val="0"/>
      <w:marTop w:val="0"/>
      <w:marBottom w:val="0"/>
      <w:divBdr>
        <w:top w:val="none" w:sz="0" w:space="0" w:color="auto"/>
        <w:left w:val="none" w:sz="0" w:space="0" w:color="auto"/>
        <w:bottom w:val="none" w:sz="0" w:space="0" w:color="auto"/>
        <w:right w:val="none" w:sz="0" w:space="0" w:color="auto"/>
      </w:divBdr>
    </w:div>
    <w:div w:id="1486698226">
      <w:bodyDiv w:val="1"/>
      <w:marLeft w:val="0"/>
      <w:marRight w:val="0"/>
      <w:marTop w:val="0"/>
      <w:marBottom w:val="0"/>
      <w:divBdr>
        <w:top w:val="none" w:sz="0" w:space="0" w:color="auto"/>
        <w:left w:val="none" w:sz="0" w:space="0" w:color="auto"/>
        <w:bottom w:val="none" w:sz="0" w:space="0" w:color="auto"/>
        <w:right w:val="none" w:sz="0" w:space="0" w:color="auto"/>
      </w:divBdr>
    </w:div>
    <w:div w:id="1513177245">
      <w:bodyDiv w:val="1"/>
      <w:marLeft w:val="0"/>
      <w:marRight w:val="0"/>
      <w:marTop w:val="0"/>
      <w:marBottom w:val="0"/>
      <w:divBdr>
        <w:top w:val="none" w:sz="0" w:space="0" w:color="auto"/>
        <w:left w:val="none" w:sz="0" w:space="0" w:color="auto"/>
        <w:bottom w:val="none" w:sz="0" w:space="0" w:color="auto"/>
        <w:right w:val="none" w:sz="0" w:space="0" w:color="auto"/>
      </w:divBdr>
    </w:div>
    <w:div w:id="1563562589">
      <w:bodyDiv w:val="1"/>
      <w:marLeft w:val="0"/>
      <w:marRight w:val="0"/>
      <w:marTop w:val="0"/>
      <w:marBottom w:val="0"/>
      <w:divBdr>
        <w:top w:val="none" w:sz="0" w:space="0" w:color="auto"/>
        <w:left w:val="none" w:sz="0" w:space="0" w:color="auto"/>
        <w:bottom w:val="none" w:sz="0" w:space="0" w:color="auto"/>
        <w:right w:val="none" w:sz="0" w:space="0" w:color="auto"/>
      </w:divBdr>
    </w:div>
    <w:div w:id="1569877351">
      <w:bodyDiv w:val="1"/>
      <w:marLeft w:val="0"/>
      <w:marRight w:val="0"/>
      <w:marTop w:val="0"/>
      <w:marBottom w:val="0"/>
      <w:divBdr>
        <w:top w:val="none" w:sz="0" w:space="0" w:color="auto"/>
        <w:left w:val="none" w:sz="0" w:space="0" w:color="auto"/>
        <w:bottom w:val="none" w:sz="0" w:space="0" w:color="auto"/>
        <w:right w:val="none" w:sz="0" w:space="0" w:color="auto"/>
      </w:divBdr>
      <w:divsChild>
        <w:div w:id="1040473708">
          <w:marLeft w:val="0"/>
          <w:marRight w:val="0"/>
          <w:marTop w:val="0"/>
          <w:marBottom w:val="0"/>
          <w:divBdr>
            <w:top w:val="none" w:sz="0" w:space="0" w:color="auto"/>
            <w:left w:val="none" w:sz="0" w:space="0" w:color="auto"/>
            <w:bottom w:val="none" w:sz="0" w:space="0" w:color="auto"/>
            <w:right w:val="none" w:sz="0" w:space="0" w:color="auto"/>
          </w:divBdr>
          <w:divsChild>
            <w:div w:id="278267582">
              <w:marLeft w:val="0"/>
              <w:marRight w:val="0"/>
              <w:marTop w:val="0"/>
              <w:marBottom w:val="0"/>
              <w:divBdr>
                <w:top w:val="none" w:sz="0" w:space="0" w:color="auto"/>
                <w:left w:val="none" w:sz="0" w:space="0" w:color="auto"/>
                <w:bottom w:val="none" w:sz="0" w:space="0" w:color="auto"/>
                <w:right w:val="none" w:sz="0" w:space="0" w:color="auto"/>
              </w:divBdr>
            </w:div>
            <w:div w:id="2022194325">
              <w:marLeft w:val="0"/>
              <w:marRight w:val="0"/>
              <w:marTop w:val="0"/>
              <w:marBottom w:val="0"/>
              <w:divBdr>
                <w:top w:val="none" w:sz="0" w:space="0" w:color="auto"/>
                <w:left w:val="none" w:sz="0" w:space="0" w:color="auto"/>
                <w:bottom w:val="none" w:sz="0" w:space="0" w:color="auto"/>
                <w:right w:val="none" w:sz="0" w:space="0" w:color="auto"/>
              </w:divBdr>
              <w:divsChild>
                <w:div w:id="1753425475">
                  <w:marLeft w:val="0"/>
                  <w:marRight w:val="0"/>
                  <w:marTop w:val="0"/>
                  <w:marBottom w:val="0"/>
                  <w:divBdr>
                    <w:top w:val="none" w:sz="0" w:space="0" w:color="auto"/>
                    <w:left w:val="none" w:sz="0" w:space="0" w:color="auto"/>
                    <w:bottom w:val="none" w:sz="0" w:space="0" w:color="auto"/>
                    <w:right w:val="none" w:sz="0" w:space="0" w:color="auto"/>
                  </w:divBdr>
                </w:div>
                <w:div w:id="121266693">
                  <w:marLeft w:val="0"/>
                  <w:marRight w:val="0"/>
                  <w:marTop w:val="0"/>
                  <w:marBottom w:val="0"/>
                  <w:divBdr>
                    <w:top w:val="none" w:sz="0" w:space="0" w:color="auto"/>
                    <w:left w:val="none" w:sz="0" w:space="0" w:color="auto"/>
                    <w:bottom w:val="none" w:sz="0" w:space="0" w:color="auto"/>
                    <w:right w:val="none" w:sz="0" w:space="0" w:color="auto"/>
                  </w:divBdr>
                  <w:divsChild>
                    <w:div w:id="1493640241">
                      <w:marLeft w:val="0"/>
                      <w:marRight w:val="0"/>
                      <w:marTop w:val="0"/>
                      <w:marBottom w:val="0"/>
                      <w:divBdr>
                        <w:top w:val="none" w:sz="0" w:space="0" w:color="auto"/>
                        <w:left w:val="none" w:sz="0" w:space="0" w:color="auto"/>
                        <w:bottom w:val="none" w:sz="0" w:space="0" w:color="auto"/>
                        <w:right w:val="none" w:sz="0" w:space="0" w:color="auto"/>
                      </w:divBdr>
                    </w:div>
                    <w:div w:id="19880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84870">
      <w:bodyDiv w:val="1"/>
      <w:marLeft w:val="0"/>
      <w:marRight w:val="0"/>
      <w:marTop w:val="0"/>
      <w:marBottom w:val="0"/>
      <w:divBdr>
        <w:top w:val="none" w:sz="0" w:space="0" w:color="auto"/>
        <w:left w:val="none" w:sz="0" w:space="0" w:color="auto"/>
        <w:bottom w:val="none" w:sz="0" w:space="0" w:color="auto"/>
        <w:right w:val="none" w:sz="0" w:space="0" w:color="auto"/>
      </w:divBdr>
    </w:div>
    <w:div w:id="1631088269">
      <w:bodyDiv w:val="1"/>
      <w:marLeft w:val="0"/>
      <w:marRight w:val="0"/>
      <w:marTop w:val="0"/>
      <w:marBottom w:val="0"/>
      <w:divBdr>
        <w:top w:val="none" w:sz="0" w:space="0" w:color="auto"/>
        <w:left w:val="none" w:sz="0" w:space="0" w:color="auto"/>
        <w:bottom w:val="none" w:sz="0" w:space="0" w:color="auto"/>
        <w:right w:val="none" w:sz="0" w:space="0" w:color="auto"/>
      </w:divBdr>
    </w:div>
    <w:div w:id="1756315171">
      <w:bodyDiv w:val="1"/>
      <w:marLeft w:val="0"/>
      <w:marRight w:val="0"/>
      <w:marTop w:val="0"/>
      <w:marBottom w:val="0"/>
      <w:divBdr>
        <w:top w:val="none" w:sz="0" w:space="0" w:color="auto"/>
        <w:left w:val="none" w:sz="0" w:space="0" w:color="auto"/>
        <w:bottom w:val="none" w:sz="0" w:space="0" w:color="auto"/>
        <w:right w:val="none" w:sz="0" w:space="0" w:color="auto"/>
      </w:divBdr>
    </w:div>
    <w:div w:id="1785733885">
      <w:bodyDiv w:val="1"/>
      <w:marLeft w:val="0"/>
      <w:marRight w:val="0"/>
      <w:marTop w:val="0"/>
      <w:marBottom w:val="0"/>
      <w:divBdr>
        <w:top w:val="none" w:sz="0" w:space="0" w:color="auto"/>
        <w:left w:val="none" w:sz="0" w:space="0" w:color="auto"/>
        <w:bottom w:val="none" w:sz="0" w:space="0" w:color="auto"/>
        <w:right w:val="none" w:sz="0" w:space="0" w:color="auto"/>
      </w:divBdr>
    </w:div>
    <w:div w:id="1899970689">
      <w:bodyDiv w:val="1"/>
      <w:marLeft w:val="0"/>
      <w:marRight w:val="0"/>
      <w:marTop w:val="0"/>
      <w:marBottom w:val="0"/>
      <w:divBdr>
        <w:top w:val="none" w:sz="0" w:space="0" w:color="auto"/>
        <w:left w:val="none" w:sz="0" w:space="0" w:color="auto"/>
        <w:bottom w:val="none" w:sz="0" w:space="0" w:color="auto"/>
        <w:right w:val="none" w:sz="0" w:space="0" w:color="auto"/>
      </w:divBdr>
    </w:div>
    <w:div w:id="1928146374">
      <w:bodyDiv w:val="1"/>
      <w:marLeft w:val="0"/>
      <w:marRight w:val="0"/>
      <w:marTop w:val="0"/>
      <w:marBottom w:val="0"/>
      <w:divBdr>
        <w:top w:val="none" w:sz="0" w:space="0" w:color="auto"/>
        <w:left w:val="none" w:sz="0" w:space="0" w:color="auto"/>
        <w:bottom w:val="none" w:sz="0" w:space="0" w:color="auto"/>
        <w:right w:val="none" w:sz="0" w:space="0" w:color="auto"/>
      </w:divBdr>
    </w:div>
    <w:div w:id="1965116466">
      <w:bodyDiv w:val="1"/>
      <w:marLeft w:val="0"/>
      <w:marRight w:val="0"/>
      <w:marTop w:val="0"/>
      <w:marBottom w:val="0"/>
      <w:divBdr>
        <w:top w:val="none" w:sz="0" w:space="0" w:color="auto"/>
        <w:left w:val="none" w:sz="0" w:space="0" w:color="auto"/>
        <w:bottom w:val="none" w:sz="0" w:space="0" w:color="auto"/>
        <w:right w:val="none" w:sz="0" w:space="0" w:color="auto"/>
      </w:divBdr>
    </w:div>
    <w:div w:id="1972051557">
      <w:bodyDiv w:val="1"/>
      <w:marLeft w:val="0"/>
      <w:marRight w:val="0"/>
      <w:marTop w:val="0"/>
      <w:marBottom w:val="0"/>
      <w:divBdr>
        <w:top w:val="none" w:sz="0" w:space="0" w:color="auto"/>
        <w:left w:val="none" w:sz="0" w:space="0" w:color="auto"/>
        <w:bottom w:val="none" w:sz="0" w:space="0" w:color="auto"/>
        <w:right w:val="none" w:sz="0" w:space="0" w:color="auto"/>
      </w:divBdr>
      <w:divsChild>
        <w:div w:id="37512861">
          <w:marLeft w:val="562"/>
          <w:marRight w:val="0"/>
          <w:marTop w:val="0"/>
          <w:marBottom w:val="0"/>
          <w:divBdr>
            <w:top w:val="none" w:sz="0" w:space="0" w:color="auto"/>
            <w:left w:val="none" w:sz="0" w:space="0" w:color="auto"/>
            <w:bottom w:val="none" w:sz="0" w:space="0" w:color="auto"/>
            <w:right w:val="none" w:sz="0" w:space="0" w:color="auto"/>
          </w:divBdr>
        </w:div>
        <w:div w:id="333269339">
          <w:marLeft w:val="562"/>
          <w:marRight w:val="0"/>
          <w:marTop w:val="0"/>
          <w:marBottom w:val="0"/>
          <w:divBdr>
            <w:top w:val="none" w:sz="0" w:space="0" w:color="auto"/>
            <w:left w:val="none" w:sz="0" w:space="0" w:color="auto"/>
            <w:bottom w:val="none" w:sz="0" w:space="0" w:color="auto"/>
            <w:right w:val="none" w:sz="0" w:space="0" w:color="auto"/>
          </w:divBdr>
        </w:div>
        <w:div w:id="1567035932">
          <w:marLeft w:val="562"/>
          <w:marRight w:val="0"/>
          <w:marTop w:val="0"/>
          <w:marBottom w:val="0"/>
          <w:divBdr>
            <w:top w:val="none" w:sz="0" w:space="0" w:color="auto"/>
            <w:left w:val="none" w:sz="0" w:space="0" w:color="auto"/>
            <w:bottom w:val="none" w:sz="0" w:space="0" w:color="auto"/>
            <w:right w:val="none" w:sz="0" w:space="0" w:color="auto"/>
          </w:divBdr>
        </w:div>
        <w:div w:id="1303851524">
          <w:marLeft w:val="562"/>
          <w:marRight w:val="0"/>
          <w:marTop w:val="0"/>
          <w:marBottom w:val="0"/>
          <w:divBdr>
            <w:top w:val="none" w:sz="0" w:space="0" w:color="auto"/>
            <w:left w:val="none" w:sz="0" w:space="0" w:color="auto"/>
            <w:bottom w:val="none" w:sz="0" w:space="0" w:color="auto"/>
            <w:right w:val="none" w:sz="0" w:space="0" w:color="auto"/>
          </w:divBdr>
        </w:div>
        <w:div w:id="750152337">
          <w:marLeft w:val="562"/>
          <w:marRight w:val="0"/>
          <w:marTop w:val="0"/>
          <w:marBottom w:val="0"/>
          <w:divBdr>
            <w:top w:val="none" w:sz="0" w:space="0" w:color="auto"/>
            <w:left w:val="none" w:sz="0" w:space="0" w:color="auto"/>
            <w:bottom w:val="none" w:sz="0" w:space="0" w:color="auto"/>
            <w:right w:val="none" w:sz="0" w:space="0" w:color="auto"/>
          </w:divBdr>
        </w:div>
        <w:div w:id="68426426">
          <w:marLeft w:val="562"/>
          <w:marRight w:val="0"/>
          <w:marTop w:val="0"/>
          <w:marBottom w:val="0"/>
          <w:divBdr>
            <w:top w:val="none" w:sz="0" w:space="0" w:color="auto"/>
            <w:left w:val="none" w:sz="0" w:space="0" w:color="auto"/>
            <w:bottom w:val="none" w:sz="0" w:space="0" w:color="auto"/>
            <w:right w:val="none" w:sz="0" w:space="0" w:color="auto"/>
          </w:divBdr>
        </w:div>
        <w:div w:id="110364198">
          <w:marLeft w:val="562"/>
          <w:marRight w:val="0"/>
          <w:marTop w:val="0"/>
          <w:marBottom w:val="0"/>
          <w:divBdr>
            <w:top w:val="none" w:sz="0" w:space="0" w:color="auto"/>
            <w:left w:val="none" w:sz="0" w:space="0" w:color="auto"/>
            <w:bottom w:val="none" w:sz="0" w:space="0" w:color="auto"/>
            <w:right w:val="none" w:sz="0" w:space="0" w:color="auto"/>
          </w:divBdr>
        </w:div>
      </w:divsChild>
    </w:div>
    <w:div w:id="1991713294">
      <w:bodyDiv w:val="1"/>
      <w:marLeft w:val="0"/>
      <w:marRight w:val="0"/>
      <w:marTop w:val="0"/>
      <w:marBottom w:val="0"/>
      <w:divBdr>
        <w:top w:val="none" w:sz="0" w:space="0" w:color="auto"/>
        <w:left w:val="none" w:sz="0" w:space="0" w:color="auto"/>
        <w:bottom w:val="none" w:sz="0" w:space="0" w:color="auto"/>
        <w:right w:val="none" w:sz="0" w:space="0" w:color="auto"/>
      </w:divBdr>
    </w:div>
    <w:div w:id="2009601128">
      <w:bodyDiv w:val="1"/>
      <w:marLeft w:val="0"/>
      <w:marRight w:val="0"/>
      <w:marTop w:val="0"/>
      <w:marBottom w:val="0"/>
      <w:divBdr>
        <w:top w:val="none" w:sz="0" w:space="0" w:color="auto"/>
        <w:left w:val="none" w:sz="0" w:space="0" w:color="auto"/>
        <w:bottom w:val="none" w:sz="0" w:space="0" w:color="auto"/>
        <w:right w:val="none" w:sz="0" w:space="0" w:color="auto"/>
      </w:divBdr>
      <w:divsChild>
        <w:div w:id="1860968213">
          <w:marLeft w:val="0"/>
          <w:marRight w:val="0"/>
          <w:marTop w:val="0"/>
          <w:marBottom w:val="0"/>
          <w:divBdr>
            <w:top w:val="none" w:sz="0" w:space="0" w:color="auto"/>
            <w:left w:val="none" w:sz="0" w:space="0" w:color="auto"/>
            <w:bottom w:val="none" w:sz="0" w:space="0" w:color="auto"/>
            <w:right w:val="none" w:sz="0" w:space="0" w:color="auto"/>
          </w:divBdr>
        </w:div>
      </w:divsChild>
    </w:div>
    <w:div w:id="2027556735">
      <w:bodyDiv w:val="1"/>
      <w:marLeft w:val="0"/>
      <w:marRight w:val="0"/>
      <w:marTop w:val="0"/>
      <w:marBottom w:val="0"/>
      <w:divBdr>
        <w:top w:val="none" w:sz="0" w:space="0" w:color="auto"/>
        <w:left w:val="none" w:sz="0" w:space="0" w:color="auto"/>
        <w:bottom w:val="none" w:sz="0" w:space="0" w:color="auto"/>
        <w:right w:val="none" w:sz="0" w:space="0" w:color="auto"/>
      </w:divBdr>
    </w:div>
    <w:div w:id="20607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digital-single-market/en/news/consultation-digital-services-act-package" TargetMode="External"/><Relationship Id="rId18" Type="http://schemas.openxmlformats.org/officeDocument/2006/relationships/hyperlink" Target="http://www.edf-feph.org/newsroom/news/edf-launches-report-plug-and-pray" TargetMode="External"/><Relationship Id="rId26" Type="http://schemas.openxmlformats.org/officeDocument/2006/relationships/hyperlink" Target="https://www.w3.org/TR/WCAG21/" TargetMode="External"/><Relationship Id="rId39" Type="http://schemas.openxmlformats.org/officeDocument/2006/relationships/hyperlink" Target="https://themighty.com/2020/06/twitter-voice-feature-disability-accessibility/" TargetMode="External"/><Relationship Id="rId3" Type="http://schemas.openxmlformats.org/officeDocument/2006/relationships/customXml" Target="../customXml/item3.xml"/><Relationship Id="rId21" Type="http://schemas.openxmlformats.org/officeDocument/2006/relationships/hyperlink" Target="http://www.edf-feph.org/sites/default/files/edf_feedback_on_hlg_ai_ethics_guidelines.pdf" TargetMode="External"/><Relationship Id="rId34" Type="http://schemas.openxmlformats.org/officeDocument/2006/relationships/hyperlink" Target="https://www.inclusion-europe.eu/easy-to-read/" TargetMode="External"/><Relationship Id="rId42" Type="http://schemas.openxmlformats.org/officeDocument/2006/relationships/hyperlink" Target="mailto:mher.hakobyan@edf-feph.org"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tsi.org/deliver/etsi_en/301500_301599/301549/03.01.01_60/en_301549v030101p.pdf" TargetMode="External"/><Relationship Id="rId25" Type="http://schemas.openxmlformats.org/officeDocument/2006/relationships/hyperlink" Target="https://standards.cen.eu/dyn/www/f?p=204:110:0::::FSP_PROJECT,FSP_ORG_ID:62323,2301962&amp;cs=1D28CFDC66E7CEF3CE441294CAA9FEABE" TargetMode="External"/><Relationship Id="rId33" Type="http://schemas.openxmlformats.org/officeDocument/2006/relationships/hyperlink" Target="https://www.inclusion-europe.eu/be-safe/" TargetMode="External"/><Relationship Id="rId38" Type="http://schemas.openxmlformats.org/officeDocument/2006/relationships/hyperlink" Target="https://www.ft.com/content/f5bd21da-33b8-11ea-a329-0bcf87a328f2"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ur-lex.europa.eu/legal-content/EN/TXT/?uri=uriserv:OJ.L_.2019.151.01.0070.01.ENG&amp;toc=OJ:L:2019:151:TOC" TargetMode="External"/><Relationship Id="rId20" Type="http://schemas.openxmlformats.org/officeDocument/2006/relationships/hyperlink" Target="http://www.edf-feph.org/sites/default/files/edf_feedback_on_hlg_ai_ethics_guidelines.docx" TargetMode="External"/><Relationship Id="rId29" Type="http://schemas.openxmlformats.org/officeDocument/2006/relationships/hyperlink" Target="https://edri.org/wp-content/uploads/2020/06/AI_EDRiRecommendations.pdf" TargetMode="External"/><Relationship Id="rId41" Type="http://schemas.openxmlformats.org/officeDocument/2006/relationships/hyperlink" Target="https://edri.org/why-privacy-is-particularly-crucial-for-people-with-disabil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tsi.org/deliver/etsi_en/301500_301599/301549/03.01.01_60/en_301549v030101p.pdf" TargetMode="External"/><Relationship Id="rId32" Type="http://schemas.openxmlformats.org/officeDocument/2006/relationships/hyperlink" Target="https://fra.europa.eu/en/publication/2014/violence-against-women-eu-wide-survey-main-results-report" TargetMode="External"/><Relationship Id="rId37" Type="http://schemas.openxmlformats.org/officeDocument/2006/relationships/hyperlink" Target="https://www.theguardian.com/environment/2019/sep/02/greta-thunberg-responds-to-aspergers-critics-its-a-superpower" TargetMode="External"/><Relationship Id="rId40" Type="http://schemas.openxmlformats.org/officeDocument/2006/relationships/hyperlink" Target="https://slate.com/technology/2019/11/facebook-blind-users-no-accessibility.html"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ur-lex.europa.eu/eli/dir/2016/2102/oj" TargetMode="External"/><Relationship Id="rId23" Type="http://schemas.openxmlformats.org/officeDocument/2006/relationships/hyperlink" Target="http://www.edf-feph.org/european-accessibility-act-1" TargetMode="External"/><Relationship Id="rId28" Type="http://schemas.openxmlformats.org/officeDocument/2006/relationships/hyperlink" Target="https://www.coe.int/en/web/children/-/-two-clicks-forward-and-one-click-back-" TargetMode="External"/><Relationship Id="rId36" Type="http://schemas.openxmlformats.org/officeDocument/2006/relationships/hyperlink" Target="https://www.webaxe.org/detecting-screen-readers-no/" TargetMode="External"/><Relationship Id="rId10" Type="http://schemas.openxmlformats.org/officeDocument/2006/relationships/endnotes" Target="endnotes.xml"/><Relationship Id="rId19" Type="http://schemas.openxmlformats.org/officeDocument/2006/relationships/hyperlink" Target="http://www.edf-feph.org/artificial-intelligence-0" TargetMode="External"/><Relationship Id="rId31" Type="http://schemas.openxmlformats.org/officeDocument/2006/relationships/hyperlink" Target="https://edri.org/wp-content/uploads/2020/08/DSA-Consultation-Response.pdf"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velopment/desa/disabilities/convention-on-the-rights-of-persons-with-disabilities/convention-on-the-rights-of-persons-with-disabilities-2.html" TargetMode="External"/><Relationship Id="rId22" Type="http://schemas.openxmlformats.org/officeDocument/2006/relationships/hyperlink" Target="http://www.edf-feph.org/accessibility-audiovisual-media" TargetMode="External"/><Relationship Id="rId27" Type="http://schemas.openxmlformats.org/officeDocument/2006/relationships/hyperlink" Target="https://www.w3.org/WAI/standards-guidelines/atag/" TargetMode="External"/><Relationship Id="rId30" Type="http://schemas.openxmlformats.org/officeDocument/2006/relationships/hyperlink" Target="https://edri.org/edri-demands-open-safe-and-accountable-internet-will-you-join-us/" TargetMode="External"/><Relationship Id="rId35" Type="http://schemas.openxmlformats.org/officeDocument/2006/relationships/hyperlink" Target="https://edri.org/EDRiDSAAnsweringGuide.html" TargetMode="External"/><Relationship Id="rId43" Type="http://schemas.openxmlformats.org/officeDocument/2006/relationships/hyperlink" Target="mailto:alejandro.moledo@edf-feph.org"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edf-feph.org" TargetMode="External"/><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 Id="rId4" Type="http://schemas.openxmlformats.org/officeDocument/2006/relationships/hyperlink" Target="http://www.edf-feph.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oe.int/en/web/children/-/-two-clicks-forward-and-one-click-back-" TargetMode="External"/><Relationship Id="rId13" Type="http://schemas.openxmlformats.org/officeDocument/2006/relationships/hyperlink" Target="https://inclusion-europe.eu/wp-content/uploads/2015/03/15.Position_Supported_Decision_Making_EN.pdf" TargetMode="External"/><Relationship Id="rId3" Type="http://schemas.openxmlformats.org/officeDocument/2006/relationships/hyperlink" Target="https://www.etsi.org/deliver/etsi_en/301500_301599/301549/03.01.01_60/en_301549v030101p.pdf" TargetMode="External"/><Relationship Id="rId7" Type="http://schemas.openxmlformats.org/officeDocument/2006/relationships/hyperlink" Target="https://themighty.com/2020/06/twitter-voice-feature-disability-accessibility/" TargetMode="External"/><Relationship Id="rId12" Type="http://schemas.openxmlformats.org/officeDocument/2006/relationships/hyperlink" Target="https://www.inclusion-europe.eu/easy-to-read/" TargetMode="External"/><Relationship Id="rId2" Type="http://schemas.openxmlformats.org/officeDocument/2006/relationships/hyperlink" Target="https://www.cen.eu/news/brief-news/Pages/NEWS-2019-014.aspx" TargetMode="External"/><Relationship Id="rId16" Type="http://schemas.openxmlformats.org/officeDocument/2006/relationships/hyperlink" Target="https://www.ft.com/content/f5bd21da-33b8-11ea-a329-0bcf87a328f2" TargetMode="External"/><Relationship Id="rId1" Type="http://schemas.openxmlformats.org/officeDocument/2006/relationships/hyperlink" Target="https://www.un.org/development/desa/disabilities/convention-on-the-rights-of-persons-with-disabilities/article-4-general-obligations.html" TargetMode="External"/><Relationship Id="rId6" Type="http://schemas.openxmlformats.org/officeDocument/2006/relationships/hyperlink" Target="https://slate.com/technology/2019/11/facebook-blind-users-no-accessibility.html" TargetMode="External"/><Relationship Id="rId11" Type="http://schemas.openxmlformats.org/officeDocument/2006/relationships/hyperlink" Target="https://fra.europa.eu/en/publication/2014/violence-against-women-eu-wide-survey-main-results-report" TargetMode="External"/><Relationship Id="rId5" Type="http://schemas.openxmlformats.org/officeDocument/2006/relationships/hyperlink" Target="https://www.w3.org/WAI/standards-guidelines/atag/" TargetMode="External"/><Relationship Id="rId15" Type="http://schemas.openxmlformats.org/officeDocument/2006/relationships/hyperlink" Target="https://edri.org/why-privacy-is-particularly-crucial-for-people-with-disabilities/" TargetMode="External"/><Relationship Id="rId10" Type="http://schemas.openxmlformats.org/officeDocument/2006/relationships/hyperlink" Target="https://www.inclusion-europe.eu/be-safe/" TargetMode="External"/><Relationship Id="rId4" Type="http://schemas.openxmlformats.org/officeDocument/2006/relationships/hyperlink" Target="https://www.w3.org/TR/WCAG21/" TargetMode="External"/><Relationship Id="rId9" Type="http://schemas.openxmlformats.org/officeDocument/2006/relationships/hyperlink" Target="https://www.theguardian.com/environment/2019/sep/02/greta-thunberg-responds-to-aspergers-critics-its-a-superpower" TargetMode="External"/><Relationship Id="rId14" Type="http://schemas.openxmlformats.org/officeDocument/2006/relationships/hyperlink" Target="https://www.webaxe.org/detecting-screen-readers-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B1CB2D358E2240B8DBA1EC15E8C8F7" ma:contentTypeVersion="13" ma:contentTypeDescription="Skapa ett nytt dokument." ma:contentTypeScope="" ma:versionID="8f85e629d21683c03dea8852cb013690">
  <xsd:schema xmlns:xsd="http://www.w3.org/2001/XMLSchema" xmlns:xs="http://www.w3.org/2001/XMLSchema" xmlns:p="http://schemas.microsoft.com/office/2006/metadata/properties" xmlns:ns3="ee9f23e6-2882-4134-9071-eef0b4afe314" xmlns:ns4="a2664661-baca-4fc9-aa54-a31182c8da15" targetNamespace="http://schemas.microsoft.com/office/2006/metadata/properties" ma:root="true" ma:fieldsID="7b8be73fed857e234190aae0406f0bca" ns3:_="" ns4:_="">
    <xsd:import namespace="ee9f23e6-2882-4134-9071-eef0b4afe314"/>
    <xsd:import namespace="a2664661-baca-4fc9-aa54-a31182c8da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f23e6-2882-4134-9071-eef0b4afe314"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664661-baca-4fc9-aa54-a31182c8da1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60153-562B-42F3-9A57-BD9843FCC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f23e6-2882-4134-9071-eef0b4afe314"/>
    <ds:schemaRef ds:uri="a2664661-baca-4fc9-aa54-a31182c8d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A3BA9-7046-4F60-9EE6-6B17DEECD988}">
  <ds:schemaRefs>
    <ds:schemaRef ds:uri="http://schemas.microsoft.com/sharepoint/v3/contenttype/forms"/>
  </ds:schemaRefs>
</ds:datastoreItem>
</file>

<file path=customXml/itemProps3.xml><?xml version="1.0" encoding="utf-8"?>
<ds:datastoreItem xmlns:ds="http://schemas.openxmlformats.org/officeDocument/2006/customXml" ds:itemID="{D92FA215-2DDE-4F52-9BC2-C43B9F4DD6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818A60-133F-41EB-B611-B937AF5C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13</Pages>
  <Words>3514</Words>
  <Characters>20032</Characters>
  <Application>Microsoft Office Word</Application>
  <DocSecurity>0</DocSecurity>
  <Lines>166</Lines>
  <Paragraphs>46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Briefing for Gunta Anca, DI event on Rail Passengers Rights, 28/02/2018</vt:lpstr>
      <vt:lpstr>Briefing for Gunta Anca, DI event on Rail Passengers Rights, 28/02/2018</vt:lpstr>
    </vt:vector>
  </TitlesOfParts>
  <Company>HP</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 Gunta Anca, DI event on Rail Passengers Rights, 28/02/2018</dc:title>
  <dc:creator>Marie Denninghaus</dc:creator>
  <cp:lastModifiedBy>mher hakobyan</cp:lastModifiedBy>
  <cp:revision>8</cp:revision>
  <cp:lastPrinted>2020-09-04T14:24:00Z</cp:lastPrinted>
  <dcterms:created xsi:type="dcterms:W3CDTF">2020-08-03T07:18:00Z</dcterms:created>
  <dcterms:modified xsi:type="dcterms:W3CDTF">2020-09-04T14:44:00Z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0x010100E0B1CB2D358E2240B8DBA1EC15E8C8F7</vt:lpwstr>
  </property>
</Properties>
</file>