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CF2" w14:textId="39E2C941" w:rsidR="008156B3" w:rsidRDefault="009B57B1" w:rsidP="003347BB">
      <w:pPr>
        <w:pStyle w:val="Heading1"/>
        <w:rPr>
          <w:lang w:val="en-GB"/>
        </w:rPr>
      </w:pPr>
      <w:r>
        <w:rPr>
          <w:lang w:val="en-GB"/>
        </w:rPr>
        <w:t>Finland</w:t>
      </w:r>
    </w:p>
    <w:p w14:paraId="4EA39A71" w14:textId="375EA435" w:rsidR="00B228CA" w:rsidRPr="00B228CA" w:rsidRDefault="00B228CA" w:rsidP="00A51467">
      <w:pPr>
        <w:pStyle w:val="Heading2"/>
        <w:rPr>
          <w:lang w:val="en-US"/>
        </w:rPr>
      </w:pPr>
      <w:r w:rsidRPr="00B228CA">
        <w:rPr>
          <w:lang w:val="en-US"/>
        </w:rPr>
        <w:t>COVID</w:t>
      </w:r>
      <w:r w:rsidR="0027288F">
        <w:rPr>
          <w:lang w:val="en-US"/>
        </w:rPr>
        <w:t>-</w:t>
      </w:r>
      <w:r w:rsidRPr="00B228CA">
        <w:rPr>
          <w:lang w:val="en-US"/>
        </w:rPr>
        <w:t>19 cases</w:t>
      </w:r>
    </w:p>
    <w:p w14:paraId="5ED17323" w14:textId="4BC7F3A4" w:rsidR="002776E5" w:rsidRDefault="00AD2579" w:rsidP="00AD2579">
      <w:pPr>
        <w:rPr>
          <w:lang w:val="en-GB"/>
        </w:rPr>
      </w:pPr>
      <w:r>
        <w:rPr>
          <w:lang w:val="en-US"/>
        </w:rPr>
        <w:t>On 1</w:t>
      </w:r>
      <w:r w:rsidRPr="00AD2579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9B57B1">
        <w:rPr>
          <w:lang w:val="en-US"/>
        </w:rPr>
        <w:t>September</w:t>
      </w:r>
      <w:r>
        <w:rPr>
          <w:lang w:val="en-US"/>
        </w:rPr>
        <w:t xml:space="preserve"> 2020 t</w:t>
      </w:r>
      <w:r w:rsidR="00E64D76">
        <w:rPr>
          <w:lang w:val="en-US"/>
        </w:rPr>
        <w:t xml:space="preserve">here were </w:t>
      </w:r>
      <w:r w:rsidR="009B57B1">
        <w:rPr>
          <w:lang w:val="en-US"/>
        </w:rPr>
        <w:t>8</w:t>
      </w:r>
      <w:r w:rsidR="0027288F">
        <w:rPr>
          <w:lang w:val="en-US"/>
        </w:rPr>
        <w:t>,</w:t>
      </w:r>
      <w:r w:rsidR="009B57B1">
        <w:rPr>
          <w:lang w:val="en-US"/>
        </w:rPr>
        <w:t>077</w:t>
      </w:r>
      <w:r>
        <w:rPr>
          <w:lang w:val="en-US"/>
        </w:rPr>
        <w:t xml:space="preserve"> registered</w:t>
      </w:r>
      <w:r w:rsidR="00E64D76">
        <w:rPr>
          <w:lang w:val="en-US"/>
        </w:rPr>
        <w:t xml:space="preserve"> COVID</w:t>
      </w:r>
      <w:r w:rsidR="0027288F">
        <w:rPr>
          <w:lang w:val="en-US"/>
        </w:rPr>
        <w:t>-</w:t>
      </w:r>
      <w:r w:rsidR="00E64D76">
        <w:rPr>
          <w:lang w:val="en-US"/>
        </w:rPr>
        <w:t>19 cases</w:t>
      </w:r>
      <w:r>
        <w:rPr>
          <w:lang w:val="en-US"/>
        </w:rPr>
        <w:t xml:space="preserve"> </w:t>
      </w:r>
      <w:r w:rsidR="007D13C3" w:rsidRPr="00E64D76">
        <w:rPr>
          <w:lang w:val="en-GB"/>
        </w:rPr>
        <w:t xml:space="preserve">and </w:t>
      </w:r>
      <w:r w:rsidR="009B57B1">
        <w:rPr>
          <w:lang w:val="en-GB"/>
        </w:rPr>
        <w:t>335</w:t>
      </w:r>
      <w:r w:rsidR="007D13C3" w:rsidRPr="00E64D76">
        <w:rPr>
          <w:lang w:val="en-GB"/>
        </w:rPr>
        <w:t xml:space="preserve"> deaths</w:t>
      </w:r>
      <w:r w:rsidR="007D13C3">
        <w:rPr>
          <w:lang w:val="en-US"/>
        </w:rPr>
        <w:t xml:space="preserve"> </w:t>
      </w:r>
      <w:r w:rsidR="00A51467">
        <w:rPr>
          <w:lang w:val="en-US"/>
        </w:rPr>
        <w:t xml:space="preserve">in the </w:t>
      </w:r>
      <w:r w:rsidR="00E64D76">
        <w:rPr>
          <w:lang w:val="en-US"/>
        </w:rPr>
        <w:t xml:space="preserve">overall </w:t>
      </w:r>
      <w:r w:rsidR="00E64D76" w:rsidRPr="00E64D76">
        <w:rPr>
          <w:lang w:val="en-GB"/>
        </w:rPr>
        <w:t>population</w:t>
      </w:r>
      <w:r>
        <w:rPr>
          <w:lang w:val="en-GB"/>
        </w:rPr>
        <w:t>.</w:t>
      </w:r>
      <w:r w:rsidR="002776E5" w:rsidRPr="00E64D76">
        <w:rPr>
          <w:rStyle w:val="EndnoteReference"/>
          <w:lang w:val="en-GB"/>
        </w:rPr>
        <w:endnoteReference w:id="1"/>
      </w:r>
      <w:r w:rsidR="002776E5" w:rsidRPr="00E64D76">
        <w:rPr>
          <w:lang w:val="en-GB"/>
        </w:rPr>
        <w:t xml:space="preserve"> </w:t>
      </w:r>
      <w:r w:rsidR="002776E5">
        <w:rPr>
          <w:lang w:val="en-GB"/>
        </w:rPr>
        <w:t>To our knowledge, d</w:t>
      </w:r>
      <w:r w:rsidR="002776E5" w:rsidRPr="00AD2579">
        <w:rPr>
          <w:lang w:val="en-GB"/>
        </w:rPr>
        <w:t xml:space="preserve">ata </w:t>
      </w:r>
      <w:r w:rsidR="002776E5">
        <w:rPr>
          <w:lang w:val="en-GB"/>
        </w:rPr>
        <w:t>on COVID</w:t>
      </w:r>
      <w:r w:rsidR="0027288F">
        <w:rPr>
          <w:lang w:val="en-GB"/>
        </w:rPr>
        <w:t>-</w:t>
      </w:r>
      <w:r w:rsidR="002776E5">
        <w:rPr>
          <w:lang w:val="en-GB"/>
        </w:rPr>
        <w:t xml:space="preserve">19 </w:t>
      </w:r>
      <w:r w:rsidR="002776E5" w:rsidRPr="00AD2579">
        <w:rPr>
          <w:lang w:val="en-GB"/>
        </w:rPr>
        <w:t>cases</w:t>
      </w:r>
      <w:r w:rsidR="002776E5">
        <w:rPr>
          <w:lang w:val="en-GB"/>
        </w:rPr>
        <w:t xml:space="preserve">, deaths, job-loss, and poverty were </w:t>
      </w:r>
      <w:r w:rsidR="002776E5" w:rsidRPr="00AD2579">
        <w:rPr>
          <w:lang w:val="en-GB"/>
        </w:rPr>
        <w:t>not disaggregated by disability</w:t>
      </w:r>
      <w:r w:rsidR="002776E5">
        <w:rPr>
          <w:lang w:val="en-GB"/>
        </w:rPr>
        <w:t>.</w:t>
      </w:r>
    </w:p>
    <w:p w14:paraId="6602B20F" w14:textId="7F100B47" w:rsidR="002776E5" w:rsidRPr="00B228CA" w:rsidRDefault="002776E5" w:rsidP="00A51467">
      <w:pPr>
        <w:pStyle w:val="Heading2"/>
        <w:rPr>
          <w:lang w:val="en-GB"/>
        </w:rPr>
      </w:pPr>
      <w:r w:rsidRPr="00B228CA">
        <w:rPr>
          <w:lang w:val="en-GB"/>
        </w:rPr>
        <w:t>Emergency, lockdown, and confinement</w:t>
      </w:r>
    </w:p>
    <w:p w14:paraId="7F027DE5" w14:textId="4179DC5D" w:rsidR="00E64D76" w:rsidRPr="00DE5DF4" w:rsidRDefault="002776E5" w:rsidP="00B72DA6">
      <w:pPr>
        <w:rPr>
          <w:lang w:val="en-US"/>
        </w:rPr>
      </w:pPr>
      <w:r>
        <w:rPr>
          <w:lang w:val="en-US"/>
        </w:rPr>
        <w:t xml:space="preserve">The state of emergency in </w:t>
      </w:r>
      <w:r w:rsidR="0015558E">
        <w:rPr>
          <w:lang w:val="en-US"/>
        </w:rPr>
        <w:t>Finland</w:t>
      </w:r>
      <w:r>
        <w:rPr>
          <w:lang w:val="en-US"/>
        </w:rPr>
        <w:t xml:space="preserve"> started on </w:t>
      </w:r>
      <w:r w:rsidR="009B57B1">
        <w:rPr>
          <w:lang w:val="en-US"/>
        </w:rPr>
        <w:t>1</w:t>
      </w:r>
      <w:r w:rsidR="00607DA6">
        <w:rPr>
          <w:lang w:val="en-US"/>
        </w:rPr>
        <w:t>6</w:t>
      </w:r>
      <w:r w:rsidRPr="00A85883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 xml:space="preserve">h </w:t>
      </w:r>
      <w:r>
        <w:rPr>
          <w:lang w:val="en-US"/>
        </w:rPr>
        <w:t>March 2020</w:t>
      </w:r>
      <w:r w:rsidR="00607DA6">
        <w:rPr>
          <w:rStyle w:val="EndnoteReference"/>
          <w:lang w:val="en-US"/>
        </w:rPr>
        <w:endnoteReference w:id="2"/>
      </w:r>
      <w:r>
        <w:rPr>
          <w:lang w:val="en-US"/>
        </w:rPr>
        <w:t xml:space="preserve"> and ended on </w:t>
      </w:r>
      <w:r w:rsidR="009B57B1">
        <w:rPr>
          <w:lang w:val="en-US"/>
        </w:rPr>
        <w:t>1</w:t>
      </w:r>
      <w:r w:rsidR="00607DA6">
        <w:rPr>
          <w:lang w:val="en-US"/>
        </w:rPr>
        <w:t>5</w:t>
      </w:r>
      <w:r w:rsidRPr="00A85883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9B57B1">
        <w:rPr>
          <w:lang w:val="en-US"/>
        </w:rPr>
        <w:t>June</w:t>
      </w:r>
      <w:r>
        <w:rPr>
          <w:lang w:val="en-US"/>
        </w:rPr>
        <w:t xml:space="preserve"> 2020.</w:t>
      </w:r>
      <w:r>
        <w:rPr>
          <w:rStyle w:val="EndnoteReference"/>
          <w:lang w:val="en-US"/>
        </w:rPr>
        <w:endnoteReference w:id="3"/>
      </w:r>
      <w:r>
        <w:rPr>
          <w:lang w:val="en-US"/>
        </w:rPr>
        <w:t xml:space="preserve"> </w:t>
      </w:r>
      <w:r w:rsidR="007A7F68">
        <w:rPr>
          <w:lang w:val="en-GB"/>
        </w:rPr>
        <w:t>Many</w:t>
      </w:r>
      <w:r w:rsidR="009B57B1">
        <w:rPr>
          <w:lang w:val="en-GB"/>
        </w:rPr>
        <w:t xml:space="preserve"> health, social and disability related services were suspended. An exception to this were </w:t>
      </w:r>
      <w:r w:rsidR="009B57B1" w:rsidRPr="00B1525A">
        <w:rPr>
          <w:lang w:val="en-US"/>
        </w:rPr>
        <w:t xml:space="preserve">children with special </w:t>
      </w:r>
      <w:r w:rsidR="00017536">
        <w:rPr>
          <w:lang w:val="en-US"/>
        </w:rPr>
        <w:t xml:space="preserve">education </w:t>
      </w:r>
      <w:r w:rsidR="009B57B1" w:rsidRPr="00B1525A">
        <w:rPr>
          <w:lang w:val="en-US"/>
        </w:rPr>
        <w:t>needs</w:t>
      </w:r>
      <w:r w:rsidR="009B57B1">
        <w:rPr>
          <w:lang w:val="en-US"/>
        </w:rPr>
        <w:t>, who</w:t>
      </w:r>
      <w:r w:rsidR="009B57B1" w:rsidRPr="00B1525A">
        <w:rPr>
          <w:lang w:val="en-US"/>
        </w:rPr>
        <w:t xml:space="preserve"> </w:t>
      </w:r>
      <w:r w:rsidR="009B57B1">
        <w:rPr>
          <w:lang w:val="en-US"/>
        </w:rPr>
        <w:t>were</w:t>
      </w:r>
      <w:r w:rsidR="009B57B1" w:rsidRPr="00B1525A">
        <w:rPr>
          <w:lang w:val="en-US"/>
        </w:rPr>
        <w:t xml:space="preserve"> entitled to contact teaching, provided that the guardian does not request that the teaching is organized through distance education</w:t>
      </w:r>
      <w:r w:rsidR="009B57B1">
        <w:rPr>
          <w:lang w:val="en-US"/>
        </w:rPr>
        <w:t>.</w:t>
      </w:r>
      <w:r w:rsidR="009B57B1">
        <w:rPr>
          <w:rStyle w:val="EndnoteReference"/>
          <w:lang w:val="en-US"/>
        </w:rPr>
        <w:endnoteReference w:id="4"/>
      </w:r>
    </w:p>
    <w:p w14:paraId="45DE0085" w14:textId="266D4C33" w:rsidR="00B228CA" w:rsidRPr="00B228CA" w:rsidRDefault="00B228CA" w:rsidP="00A51467">
      <w:pPr>
        <w:pStyle w:val="Heading2"/>
        <w:rPr>
          <w:lang w:val="en-GB"/>
        </w:rPr>
      </w:pPr>
      <w:r w:rsidRPr="00B228CA">
        <w:rPr>
          <w:lang w:val="en-GB"/>
        </w:rPr>
        <w:t>Involvement of organisations of persons with disabilities</w:t>
      </w:r>
    </w:p>
    <w:p w14:paraId="4EB174DA" w14:textId="66D1D53D" w:rsidR="005A6603" w:rsidRPr="005A6603" w:rsidRDefault="003C578A" w:rsidP="00C36A5D">
      <w:pPr>
        <w:rPr>
          <w:szCs w:val="24"/>
          <w:lang w:val="en-GB"/>
        </w:rPr>
      </w:pPr>
      <w:r w:rsidRPr="003C578A">
        <w:rPr>
          <w:szCs w:val="24"/>
          <w:lang w:val="en-GB"/>
        </w:rPr>
        <w:t>Officially DPOs were not involved in the development of national policy, task forces or consultations</w:t>
      </w:r>
      <w:r>
        <w:rPr>
          <w:szCs w:val="24"/>
          <w:lang w:val="en-GB"/>
        </w:rPr>
        <w:t>.</w:t>
      </w:r>
      <w:r>
        <w:rPr>
          <w:rStyle w:val="EndnoteReference"/>
          <w:szCs w:val="24"/>
          <w:lang w:val="en-GB"/>
        </w:rPr>
        <w:endnoteReference w:id="5"/>
      </w:r>
      <w:r w:rsidRPr="003C578A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Nevertheless, </w:t>
      </w:r>
      <w:r w:rsidR="00DE5DF4" w:rsidRPr="00DE5DF4">
        <w:rPr>
          <w:szCs w:val="24"/>
          <w:lang w:val="en-GB"/>
        </w:rPr>
        <w:t>Finnish Disability Forum conducted a survey of their member organisations to highlight the challenges that persons with disability face</w:t>
      </w:r>
      <w:r w:rsidR="00DE5DF4">
        <w:rPr>
          <w:szCs w:val="24"/>
          <w:lang w:val="en-GB"/>
        </w:rPr>
        <w:t>d</w:t>
      </w:r>
      <w:r w:rsidR="00DE5DF4" w:rsidRPr="00DE5DF4">
        <w:rPr>
          <w:szCs w:val="24"/>
          <w:lang w:val="en-GB"/>
        </w:rPr>
        <w:t xml:space="preserve"> during COVID</w:t>
      </w:r>
      <w:r w:rsidR="0027288F">
        <w:rPr>
          <w:szCs w:val="24"/>
          <w:lang w:val="en-GB"/>
        </w:rPr>
        <w:t>-</w:t>
      </w:r>
      <w:r w:rsidR="00DE5DF4" w:rsidRPr="00DE5DF4">
        <w:rPr>
          <w:szCs w:val="24"/>
          <w:lang w:val="en-GB"/>
        </w:rPr>
        <w:t>19 state of emergency.</w:t>
      </w:r>
      <w:r w:rsidR="00DE5DF4">
        <w:rPr>
          <w:szCs w:val="24"/>
          <w:lang w:val="en-GB"/>
        </w:rPr>
        <w:t xml:space="preserve"> The survey highlighted the following issues: </w:t>
      </w:r>
      <w:r w:rsidR="00DE5DF4" w:rsidRPr="00DE5DF4">
        <w:rPr>
          <w:szCs w:val="24"/>
          <w:lang w:val="en-GB"/>
        </w:rPr>
        <w:t>right to health care if infected</w:t>
      </w:r>
      <w:r w:rsidR="00DE5DF4">
        <w:rPr>
          <w:szCs w:val="24"/>
          <w:lang w:val="en-GB"/>
        </w:rPr>
        <w:t>; a</w:t>
      </w:r>
      <w:r w:rsidR="00DE5DF4" w:rsidRPr="00DE5DF4">
        <w:rPr>
          <w:szCs w:val="24"/>
          <w:lang w:val="en-GB"/>
        </w:rPr>
        <w:t>ccess to essential maintenance services (e.g. wheelchair repairs)</w:t>
      </w:r>
      <w:r w:rsidR="00DE5DF4">
        <w:rPr>
          <w:szCs w:val="24"/>
          <w:lang w:val="en-GB"/>
        </w:rPr>
        <w:t xml:space="preserve">; </w:t>
      </w:r>
      <w:r w:rsidR="00DE5DF4" w:rsidRPr="00DE5DF4">
        <w:rPr>
          <w:szCs w:val="24"/>
          <w:lang w:val="en-GB"/>
        </w:rPr>
        <w:t>access to personal assistants and their personal protection</w:t>
      </w:r>
      <w:r w:rsidR="00DE5DF4">
        <w:rPr>
          <w:szCs w:val="24"/>
          <w:lang w:val="en-GB"/>
        </w:rPr>
        <w:t xml:space="preserve">; </w:t>
      </w:r>
      <w:r w:rsidR="00DE5DF4" w:rsidRPr="00DE5DF4">
        <w:rPr>
          <w:szCs w:val="24"/>
          <w:lang w:val="en-GB"/>
        </w:rPr>
        <w:t>home care of persons with disabilities when support services are reduced</w:t>
      </w:r>
      <w:r w:rsidR="00DE5DF4">
        <w:rPr>
          <w:szCs w:val="24"/>
          <w:lang w:val="en-GB"/>
        </w:rPr>
        <w:t xml:space="preserve">; </w:t>
      </w:r>
      <w:r w:rsidR="00DE5DF4" w:rsidRPr="00DE5DF4">
        <w:rPr>
          <w:szCs w:val="24"/>
          <w:lang w:val="en-GB"/>
        </w:rPr>
        <w:t>continuation of services brought into the home.</w:t>
      </w:r>
      <w:r w:rsidR="00DE5DF4">
        <w:rPr>
          <w:rStyle w:val="EndnoteReference"/>
          <w:szCs w:val="24"/>
          <w:lang w:val="en-GB"/>
        </w:rPr>
        <w:endnoteReference w:id="6"/>
      </w:r>
      <w:r w:rsidR="00FE396F">
        <w:rPr>
          <w:szCs w:val="24"/>
          <w:lang w:val="en-GB"/>
        </w:rPr>
        <w:t xml:space="preserve"> </w:t>
      </w:r>
    </w:p>
    <w:p w14:paraId="0D331991" w14:textId="1D7A9501" w:rsidR="00B228CA" w:rsidRDefault="00B228CA" w:rsidP="00A51467">
      <w:pPr>
        <w:pStyle w:val="Heading2"/>
        <w:rPr>
          <w:lang w:val="en-GB"/>
        </w:rPr>
      </w:pPr>
      <w:r w:rsidRPr="00B228CA">
        <w:rPr>
          <w:lang w:val="en-GB"/>
        </w:rPr>
        <w:t>Communications and announcements</w:t>
      </w:r>
    </w:p>
    <w:p w14:paraId="12BD3E77" w14:textId="128A09AF" w:rsidR="00FE396F" w:rsidRDefault="00FE396F" w:rsidP="00FE396F">
      <w:pPr>
        <w:rPr>
          <w:szCs w:val="24"/>
          <w:lang w:val="en-GB"/>
        </w:rPr>
      </w:pPr>
      <w:r w:rsidRPr="00FE396F">
        <w:rPr>
          <w:szCs w:val="24"/>
          <w:lang w:val="en-GB"/>
        </w:rPr>
        <w:t>Government communications and emergency announcements were available in Finnish and Finnish–Swedish sign language</w:t>
      </w:r>
      <w:r w:rsidR="003050F8">
        <w:rPr>
          <w:szCs w:val="24"/>
          <w:lang w:val="en-GB"/>
        </w:rPr>
        <w:t>s</w:t>
      </w:r>
      <w:r w:rsidRPr="00FE396F">
        <w:rPr>
          <w:szCs w:val="24"/>
          <w:lang w:val="en-GB"/>
        </w:rPr>
        <w:t xml:space="preserve">. </w:t>
      </w:r>
      <w:r w:rsidRPr="00DE5DF4">
        <w:rPr>
          <w:szCs w:val="24"/>
          <w:lang w:val="en-GB"/>
        </w:rPr>
        <w:t>Finnish Association of Deaf (</w:t>
      </w:r>
      <w:proofErr w:type="spellStart"/>
      <w:r w:rsidRPr="00DE5DF4">
        <w:rPr>
          <w:szCs w:val="24"/>
          <w:lang w:val="en-GB"/>
        </w:rPr>
        <w:t>Kuurojen</w:t>
      </w:r>
      <w:proofErr w:type="spellEnd"/>
      <w:r w:rsidRPr="00DE5DF4">
        <w:rPr>
          <w:szCs w:val="24"/>
          <w:lang w:val="en-GB"/>
        </w:rPr>
        <w:t xml:space="preserve"> </w:t>
      </w:r>
      <w:proofErr w:type="spellStart"/>
      <w:r w:rsidRPr="00DE5DF4">
        <w:rPr>
          <w:szCs w:val="24"/>
          <w:lang w:val="en-GB"/>
        </w:rPr>
        <w:t>Liitto</w:t>
      </w:r>
      <w:proofErr w:type="spellEnd"/>
      <w:r w:rsidRPr="00DE5DF4">
        <w:rPr>
          <w:szCs w:val="24"/>
          <w:lang w:val="en-GB"/>
        </w:rPr>
        <w:t>)</w:t>
      </w:r>
      <w:r>
        <w:rPr>
          <w:szCs w:val="24"/>
          <w:lang w:val="en-GB"/>
        </w:rPr>
        <w:t xml:space="preserve"> was responsible for these translations.</w:t>
      </w:r>
      <w:r w:rsidRPr="00FE396F">
        <w:rPr>
          <w:rStyle w:val="EndnoteReference"/>
          <w:szCs w:val="24"/>
          <w:lang w:val="en-GB"/>
        </w:rPr>
        <w:t xml:space="preserve"> </w:t>
      </w:r>
      <w:r>
        <w:rPr>
          <w:rStyle w:val="EndnoteReference"/>
          <w:szCs w:val="24"/>
          <w:lang w:val="en-GB"/>
        </w:rPr>
        <w:endnoteReference w:id="7"/>
      </w:r>
      <w:r>
        <w:rPr>
          <w:szCs w:val="24"/>
          <w:lang w:val="en-GB"/>
        </w:rPr>
        <w:t xml:space="preserve"> </w:t>
      </w:r>
      <w:r w:rsidRPr="00FE396F">
        <w:rPr>
          <w:szCs w:val="24"/>
          <w:lang w:val="en-GB"/>
        </w:rPr>
        <w:t xml:space="preserve">The Ministry of Social Affairs and Health compiled information about the coronavirus in an accessible and multilingual form for the needs of </w:t>
      </w:r>
      <w:r w:rsidR="00F55771">
        <w:rPr>
          <w:szCs w:val="24"/>
          <w:lang w:val="en-GB"/>
        </w:rPr>
        <w:t>persons with different disabilities</w:t>
      </w:r>
      <w:r w:rsidRPr="00FE396F">
        <w:rPr>
          <w:szCs w:val="24"/>
          <w:lang w:val="en-GB"/>
        </w:rPr>
        <w:t>.</w:t>
      </w:r>
      <w:r>
        <w:rPr>
          <w:rStyle w:val="EndnoteReference"/>
          <w:szCs w:val="24"/>
          <w:lang w:val="en-GB"/>
        </w:rPr>
        <w:endnoteReference w:id="8"/>
      </w:r>
      <w:r w:rsidRPr="00FE396F">
        <w:rPr>
          <w:szCs w:val="24"/>
          <w:lang w:val="en-GB"/>
        </w:rPr>
        <w:t xml:space="preserve">  </w:t>
      </w:r>
    </w:p>
    <w:p w14:paraId="6914753F" w14:textId="41742C33" w:rsidR="002776E5" w:rsidRPr="00B228CA" w:rsidRDefault="002776E5" w:rsidP="00A51467">
      <w:pPr>
        <w:pStyle w:val="Heading2"/>
        <w:rPr>
          <w:lang w:val="en-GB"/>
        </w:rPr>
      </w:pPr>
      <w:r w:rsidRPr="00B228CA">
        <w:rPr>
          <w:lang w:val="en-GB"/>
        </w:rPr>
        <w:t xml:space="preserve">Institutions and closed settings </w:t>
      </w:r>
    </w:p>
    <w:p w14:paraId="4CA81079" w14:textId="2C9B21C9" w:rsidR="004C795A" w:rsidRDefault="00FE396F" w:rsidP="00FE396F">
      <w:pPr>
        <w:rPr>
          <w:lang w:val="en-GB"/>
        </w:rPr>
      </w:pPr>
      <w:r w:rsidRPr="00FE396F">
        <w:rPr>
          <w:lang w:val="en-GB"/>
        </w:rPr>
        <w:t xml:space="preserve">International </w:t>
      </w:r>
      <w:r w:rsidR="00BD0E46" w:rsidRPr="00FE396F">
        <w:rPr>
          <w:lang w:val="en-GB"/>
        </w:rPr>
        <w:t>long-term</w:t>
      </w:r>
      <w:r w:rsidRPr="00FE396F">
        <w:rPr>
          <w:lang w:val="en-GB"/>
        </w:rPr>
        <w:t xml:space="preserve"> care policy network </w:t>
      </w:r>
      <w:r>
        <w:rPr>
          <w:lang w:val="en-GB"/>
        </w:rPr>
        <w:t xml:space="preserve">report on </w:t>
      </w:r>
      <w:r w:rsidR="00B93382" w:rsidRPr="00B93382">
        <w:rPr>
          <w:lang w:val="en-GB"/>
        </w:rPr>
        <w:t xml:space="preserve">COVID-19 and clients of long-term care in Finland </w:t>
      </w:r>
      <w:r w:rsidR="00B93382">
        <w:rPr>
          <w:lang w:val="en-GB"/>
        </w:rPr>
        <w:t>showed that on 1</w:t>
      </w:r>
      <w:r w:rsidR="00B93382" w:rsidRPr="00B93382">
        <w:rPr>
          <w:vertAlign w:val="superscript"/>
          <w:lang w:val="en-GB"/>
        </w:rPr>
        <w:t>st</w:t>
      </w:r>
      <w:r w:rsidR="00B93382">
        <w:rPr>
          <w:lang w:val="en-GB"/>
        </w:rPr>
        <w:t xml:space="preserve"> June 2020 a</w:t>
      </w:r>
      <w:r w:rsidRPr="00FE396F">
        <w:rPr>
          <w:lang w:val="en-GB"/>
        </w:rPr>
        <w:t xml:space="preserve">lmost half of the 318 deaths in </w:t>
      </w:r>
      <w:r>
        <w:rPr>
          <w:lang w:val="en-GB"/>
        </w:rPr>
        <w:lastRenderedPageBreak/>
        <w:t>Finland</w:t>
      </w:r>
      <w:r w:rsidRPr="00FE396F">
        <w:rPr>
          <w:lang w:val="en-GB"/>
        </w:rPr>
        <w:t xml:space="preserve"> ha</w:t>
      </w:r>
      <w:r w:rsidR="00B93382">
        <w:rPr>
          <w:lang w:val="en-GB"/>
        </w:rPr>
        <w:t>d</w:t>
      </w:r>
      <w:r w:rsidRPr="00FE396F">
        <w:rPr>
          <w:lang w:val="en-GB"/>
        </w:rPr>
        <w:t xml:space="preserve"> occurred in care homes for older people. However, it is likely that</w:t>
      </w:r>
      <w:r w:rsidR="004C795A">
        <w:rPr>
          <w:lang w:val="en-GB"/>
        </w:rPr>
        <w:t xml:space="preserve"> not</w:t>
      </w:r>
      <w:r w:rsidRPr="00FE396F">
        <w:rPr>
          <w:lang w:val="en-GB"/>
        </w:rPr>
        <w:t xml:space="preserve"> all deaths from COVID-19 have been recognised and classified.</w:t>
      </w:r>
      <w:r>
        <w:rPr>
          <w:rStyle w:val="EndnoteReference"/>
          <w:lang w:val="en-GB"/>
        </w:rPr>
        <w:endnoteReference w:id="9"/>
      </w:r>
      <w:r w:rsidR="00B93382">
        <w:rPr>
          <w:lang w:val="en-GB"/>
        </w:rPr>
        <w:t xml:space="preserve"> </w:t>
      </w:r>
    </w:p>
    <w:p w14:paraId="144FC574" w14:textId="730C27DB" w:rsidR="00C65E6B" w:rsidRDefault="004C795A" w:rsidP="00FE396F">
      <w:pPr>
        <w:rPr>
          <w:lang w:val="en-GB"/>
        </w:rPr>
      </w:pPr>
      <w:r>
        <w:rPr>
          <w:lang w:val="en-GB"/>
        </w:rPr>
        <w:t xml:space="preserve">In care institutions, there </w:t>
      </w:r>
      <w:r w:rsidR="00B93382">
        <w:rPr>
          <w:lang w:val="en-GB"/>
        </w:rPr>
        <w:t xml:space="preserve">were prohibitions regarding </w:t>
      </w:r>
      <w:r>
        <w:rPr>
          <w:lang w:val="en-GB"/>
        </w:rPr>
        <w:t>visiting</w:t>
      </w:r>
      <w:r w:rsidR="00B93382">
        <w:rPr>
          <w:lang w:val="en-GB"/>
        </w:rPr>
        <w:t>, but the guidelines in Finnish handbook for disability cautioned about the possibility to limit the rights of persons with disabilities</w:t>
      </w:r>
      <w:r w:rsidR="00C65E6B" w:rsidRPr="00C65E6B">
        <w:rPr>
          <w:lang w:val="en-GB"/>
        </w:rPr>
        <w:t>.</w:t>
      </w:r>
      <w:r w:rsidR="00C65E6B">
        <w:rPr>
          <w:rStyle w:val="EndnoteReference"/>
          <w:lang w:val="en-GB"/>
        </w:rPr>
        <w:endnoteReference w:id="10"/>
      </w:r>
      <w:r w:rsidR="003C578A">
        <w:rPr>
          <w:lang w:val="en-GB"/>
        </w:rPr>
        <w:t xml:space="preserve"> </w:t>
      </w:r>
      <w:r w:rsidR="003C578A" w:rsidRPr="003C578A">
        <w:rPr>
          <w:lang w:val="en-GB"/>
        </w:rPr>
        <w:t xml:space="preserve">After the </w:t>
      </w:r>
      <w:r w:rsidR="003C578A">
        <w:rPr>
          <w:lang w:val="en-GB"/>
        </w:rPr>
        <w:t xml:space="preserve">emergency situation the lockdown measures for institutions </w:t>
      </w:r>
      <w:r w:rsidR="003C578A" w:rsidRPr="003C578A">
        <w:rPr>
          <w:lang w:val="en-GB"/>
        </w:rPr>
        <w:t>stayed in force to protect the vulnerable</w:t>
      </w:r>
      <w:r w:rsidR="00A42C9F">
        <w:rPr>
          <w:lang w:val="en-GB"/>
        </w:rPr>
        <w:t>, but their application varies from institution to institution.</w:t>
      </w:r>
      <w:r w:rsidR="00A42C9F">
        <w:rPr>
          <w:rStyle w:val="EndnoteReference"/>
          <w:lang w:val="en-GB"/>
        </w:rPr>
        <w:endnoteReference w:id="11"/>
      </w:r>
      <w:r w:rsidR="00A42C9F">
        <w:rPr>
          <w:lang w:val="en-GB"/>
        </w:rPr>
        <w:t xml:space="preserve"> </w:t>
      </w:r>
    </w:p>
    <w:p w14:paraId="789CFDB2" w14:textId="01A087A7" w:rsidR="002776E5" w:rsidRDefault="002776E5" w:rsidP="00A51467">
      <w:pPr>
        <w:pStyle w:val="Heading2"/>
        <w:rPr>
          <w:lang w:val="en-GB"/>
        </w:rPr>
      </w:pPr>
      <w:r w:rsidRPr="00B228CA">
        <w:rPr>
          <w:lang w:val="en-GB"/>
        </w:rPr>
        <w:t>Healthcare</w:t>
      </w:r>
    </w:p>
    <w:p w14:paraId="0680CD17" w14:textId="3461DF2A" w:rsidR="002776E5" w:rsidRPr="002776E5" w:rsidRDefault="00737BD1" w:rsidP="00496ADB">
      <w:pPr>
        <w:rPr>
          <w:lang w:val="en-GB"/>
        </w:rPr>
      </w:pPr>
      <w:r>
        <w:rPr>
          <w:lang w:val="en-GB"/>
        </w:rPr>
        <w:t>T</w:t>
      </w:r>
      <w:r w:rsidR="00B93382" w:rsidRPr="00B93382">
        <w:rPr>
          <w:lang w:val="en-GB"/>
        </w:rPr>
        <w:t>here was a rumoured intent of some authorities in the social and healthcare sector to limit access of persons with disabilities to intensive care in case of a COVID-19 infection</w:t>
      </w:r>
      <w:r w:rsidR="00B93382">
        <w:rPr>
          <w:lang w:val="en-GB"/>
        </w:rPr>
        <w:t>.</w:t>
      </w:r>
      <w:r w:rsidR="00017536">
        <w:rPr>
          <w:rStyle w:val="EndnoteReference"/>
          <w:lang w:val="en-GB"/>
        </w:rPr>
        <w:endnoteReference w:id="12"/>
      </w:r>
      <w:r w:rsidR="00B93382">
        <w:rPr>
          <w:lang w:val="en-GB"/>
        </w:rPr>
        <w:t xml:space="preserve"> </w:t>
      </w:r>
      <w:r w:rsidR="00A75275">
        <w:rPr>
          <w:lang w:val="en-GB"/>
        </w:rPr>
        <w:t>The</w:t>
      </w:r>
      <w:r w:rsidR="00B93382" w:rsidRPr="00B93382">
        <w:rPr>
          <w:lang w:val="en-GB"/>
        </w:rPr>
        <w:t xml:space="preserve"> Ministry of Social Affairs and Health </w:t>
      </w:r>
      <w:r w:rsidR="00A75275">
        <w:rPr>
          <w:lang w:val="en-GB"/>
        </w:rPr>
        <w:t xml:space="preserve">responded </w:t>
      </w:r>
      <w:r w:rsidR="00B93382" w:rsidRPr="00B93382">
        <w:rPr>
          <w:lang w:val="en-GB"/>
        </w:rPr>
        <w:t>by issuing guidelines which prohibits such prioritizing.</w:t>
      </w:r>
      <w:r w:rsidR="004E2F72">
        <w:rPr>
          <w:rStyle w:val="EndnoteReference"/>
          <w:lang w:val="en-GB"/>
        </w:rPr>
        <w:endnoteReference w:id="13"/>
      </w:r>
      <w:r w:rsidR="004E2F72">
        <w:rPr>
          <w:lang w:val="en-GB"/>
        </w:rPr>
        <w:t xml:space="preserve"> </w:t>
      </w:r>
    </w:p>
    <w:p w14:paraId="4E979AA5" w14:textId="3DA1DBD1" w:rsidR="002776E5" w:rsidRPr="00B228CA" w:rsidRDefault="002776E5" w:rsidP="00A51467">
      <w:pPr>
        <w:pStyle w:val="Heading2"/>
        <w:rPr>
          <w:lang w:val="en-GB"/>
        </w:rPr>
      </w:pPr>
      <w:r>
        <w:rPr>
          <w:lang w:val="en-GB"/>
        </w:rPr>
        <w:t>Social protection</w:t>
      </w:r>
    </w:p>
    <w:p w14:paraId="1FAB3DE0" w14:textId="16CFE819" w:rsidR="004E2F72" w:rsidRPr="006010AE" w:rsidRDefault="00BD0E46" w:rsidP="004E2F72">
      <w:pPr>
        <w:rPr>
          <w:szCs w:val="24"/>
          <w:lang w:val="en-GB"/>
        </w:rPr>
      </w:pPr>
      <w:r>
        <w:rPr>
          <w:lang w:val="en-GB"/>
        </w:rPr>
        <w:t>We found no information regarding i</w:t>
      </w:r>
      <w:r w:rsidRPr="00BD0E46">
        <w:rPr>
          <w:lang w:val="en-GB"/>
        </w:rPr>
        <w:t>ncrease</w:t>
      </w:r>
      <w:r>
        <w:rPr>
          <w:lang w:val="en-GB"/>
        </w:rPr>
        <w:t xml:space="preserve"> of disability related benefits or </w:t>
      </w:r>
      <w:r w:rsidRPr="00BD0E46">
        <w:rPr>
          <w:lang w:val="en-GB"/>
        </w:rPr>
        <w:t xml:space="preserve">provision </w:t>
      </w:r>
      <w:r>
        <w:rPr>
          <w:lang w:val="en-GB"/>
        </w:rPr>
        <w:t>of new benefits.</w:t>
      </w:r>
    </w:p>
    <w:sectPr w:rsidR="004E2F72" w:rsidRPr="0060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C003" w14:textId="77777777" w:rsidR="004A42D0" w:rsidRDefault="004A42D0" w:rsidP="00E64D76">
      <w:pPr>
        <w:spacing w:before="0" w:after="0" w:line="240" w:lineRule="auto"/>
      </w:pPr>
      <w:r>
        <w:separator/>
      </w:r>
    </w:p>
  </w:endnote>
  <w:endnote w:type="continuationSeparator" w:id="0">
    <w:p w14:paraId="72987F19" w14:textId="77777777" w:rsidR="004A42D0" w:rsidRDefault="004A42D0" w:rsidP="00E64D76">
      <w:pPr>
        <w:spacing w:before="0" w:after="0" w:line="240" w:lineRule="auto"/>
      </w:pPr>
      <w:r>
        <w:continuationSeparator/>
      </w:r>
    </w:p>
  </w:endnote>
  <w:endnote w:id="1">
    <w:p w14:paraId="1DA4B3BA" w14:textId="4D1704A6" w:rsidR="002776E5" w:rsidRPr="00C45A28" w:rsidRDefault="002776E5" w:rsidP="00C45A28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C45A28">
        <w:rPr>
          <w:rStyle w:val="EndnoteReference"/>
          <w:rFonts w:cs="Arial"/>
          <w:sz w:val="24"/>
          <w:szCs w:val="24"/>
          <w:lang w:val="en-GB"/>
        </w:rPr>
        <w:endnoteRef/>
      </w:r>
      <w:r w:rsidRPr="00C45A28">
        <w:rPr>
          <w:rFonts w:cs="Arial"/>
          <w:sz w:val="24"/>
          <w:szCs w:val="24"/>
          <w:lang w:val="en-GB"/>
        </w:rPr>
        <w:t xml:space="preserve"> </w:t>
      </w:r>
      <w:r w:rsidR="00607DA6" w:rsidRPr="00C45A28">
        <w:rPr>
          <w:rFonts w:cs="Arial"/>
          <w:sz w:val="24"/>
          <w:szCs w:val="24"/>
          <w:lang w:val="en-GB"/>
        </w:rPr>
        <w:t xml:space="preserve">WHO Coronavirus Disease (COVID-19) Dashboard, </w:t>
      </w:r>
      <w:r w:rsidR="00BD0E46">
        <w:rPr>
          <w:rFonts w:cs="Arial"/>
          <w:sz w:val="24"/>
          <w:szCs w:val="24"/>
          <w:lang w:val="en-GB"/>
        </w:rPr>
        <w:t>Finland</w:t>
      </w:r>
      <w:r w:rsidR="00607DA6" w:rsidRPr="00C45A28">
        <w:rPr>
          <w:rFonts w:cs="Arial"/>
          <w:sz w:val="24"/>
          <w:szCs w:val="24"/>
          <w:lang w:val="en-GB"/>
        </w:rPr>
        <w:t xml:space="preserve">, available at: </w:t>
      </w:r>
      <w:r w:rsidR="00607DA6" w:rsidRPr="00C45A28">
        <w:rPr>
          <w:sz w:val="24"/>
          <w:szCs w:val="24"/>
          <w:lang w:val="en-GB"/>
        </w:rPr>
        <w:t>https://covid19.who.int/table</w:t>
      </w:r>
    </w:p>
  </w:endnote>
  <w:endnote w:id="2">
    <w:p w14:paraId="2CF3B1A3" w14:textId="4C602477" w:rsidR="00607DA6" w:rsidRPr="00B93382" w:rsidRDefault="00607DA6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B93382">
        <w:rPr>
          <w:rStyle w:val="EndnoteReference"/>
          <w:sz w:val="24"/>
          <w:szCs w:val="24"/>
          <w:lang w:val="en-GB"/>
        </w:rPr>
        <w:endnoteRef/>
      </w:r>
      <w:r w:rsidRPr="00B93382">
        <w:rPr>
          <w:sz w:val="24"/>
          <w:szCs w:val="24"/>
          <w:lang w:val="en-GB"/>
        </w:rPr>
        <w:t xml:space="preserve"> </w:t>
      </w:r>
      <w:r w:rsidR="009B57B1" w:rsidRPr="00B93382">
        <w:rPr>
          <w:sz w:val="24"/>
          <w:szCs w:val="24"/>
          <w:lang w:val="en-GB"/>
        </w:rPr>
        <w:t>Information provided by EDF.</w:t>
      </w:r>
    </w:p>
  </w:endnote>
  <w:endnote w:id="3">
    <w:p w14:paraId="123B33FC" w14:textId="7B29AD67" w:rsidR="002776E5" w:rsidRPr="00B93382" w:rsidRDefault="002776E5" w:rsidP="00C45A28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B93382">
        <w:rPr>
          <w:rStyle w:val="EndnoteReference"/>
          <w:rFonts w:cs="Arial"/>
          <w:sz w:val="24"/>
          <w:szCs w:val="24"/>
          <w:lang w:val="en-GB"/>
        </w:rPr>
        <w:endnoteRef/>
      </w:r>
      <w:r w:rsidRPr="00B93382">
        <w:rPr>
          <w:rFonts w:cs="Arial"/>
          <w:sz w:val="24"/>
          <w:szCs w:val="24"/>
          <w:lang w:val="en-GB"/>
        </w:rPr>
        <w:t xml:space="preserve"> </w:t>
      </w:r>
      <w:r w:rsidR="009B57B1" w:rsidRPr="00B93382">
        <w:rPr>
          <w:rFonts w:cs="Arial"/>
          <w:sz w:val="24"/>
          <w:szCs w:val="24"/>
          <w:lang w:val="en-GB"/>
        </w:rPr>
        <w:t xml:space="preserve">Government lifts state of emergency in Finland, further relaxing coronavirus restrictions, </w:t>
      </w:r>
      <w:r w:rsidRPr="00B93382">
        <w:rPr>
          <w:rFonts w:cs="Arial"/>
          <w:sz w:val="24"/>
          <w:szCs w:val="24"/>
          <w:lang w:val="en-GB"/>
        </w:rPr>
        <w:t xml:space="preserve">available at: </w:t>
      </w:r>
      <w:r w:rsidR="009B57B1" w:rsidRPr="00B93382">
        <w:rPr>
          <w:sz w:val="24"/>
          <w:szCs w:val="24"/>
        </w:rPr>
        <w:t>https://yle.fi/uutiset/osasto/news/govt_lifts_state_of_emergency_in_finland_further_relaxing_coronavirus_restrictions/11402495#:~:text=Government%20announced%20it%20is%20lifting,conference%20in%20Helsinki%20on%20Monday.</w:t>
      </w:r>
    </w:p>
  </w:endnote>
  <w:endnote w:id="4">
    <w:p w14:paraId="6CBAE08E" w14:textId="02646987" w:rsidR="009B57B1" w:rsidRPr="00B93382" w:rsidRDefault="009B57B1" w:rsidP="009B57B1">
      <w:pPr>
        <w:pStyle w:val="EndnoteText"/>
        <w:spacing w:before="120" w:after="120" w:line="360" w:lineRule="auto"/>
        <w:rPr>
          <w:lang w:val="en-GB"/>
        </w:rPr>
      </w:pPr>
      <w:r w:rsidRPr="00B93382">
        <w:rPr>
          <w:rStyle w:val="EndnoteReference"/>
          <w:lang w:val="en-GB"/>
        </w:rPr>
        <w:endnoteRef/>
      </w:r>
      <w:r w:rsidRPr="00B93382">
        <w:rPr>
          <w:lang w:val="en-GB"/>
        </w:rPr>
        <w:t xml:space="preserve"> </w:t>
      </w:r>
      <w:r w:rsidRPr="00B93382">
        <w:rPr>
          <w:sz w:val="24"/>
          <w:szCs w:val="24"/>
          <w:lang w:val="en-GB"/>
        </w:rPr>
        <w:t>EDF, Actions and responses of our members, Finland, available at: http://edf-feph.org/covid19finland</w:t>
      </w:r>
    </w:p>
  </w:endnote>
  <w:endnote w:id="5">
    <w:p w14:paraId="5A4C832F" w14:textId="26FA2336" w:rsidR="003C578A" w:rsidRDefault="003C578A" w:rsidP="003C578A">
      <w:pPr>
        <w:pStyle w:val="EndnoteText"/>
        <w:spacing w:before="120" w:after="120" w:line="360" w:lineRule="auto"/>
      </w:pPr>
      <w:r>
        <w:rPr>
          <w:rStyle w:val="EndnoteReference"/>
        </w:rPr>
        <w:endnoteRef/>
      </w:r>
      <w:r>
        <w:t xml:space="preserve"> </w:t>
      </w:r>
      <w:r w:rsidRPr="003C578A">
        <w:rPr>
          <w:sz w:val="24"/>
          <w:szCs w:val="24"/>
          <w:lang w:val="en-GB"/>
        </w:rPr>
        <w:t>Ministry of Social Affairs and Health, Ministry of Social Affairs and Health appointed a group to coordinate preparedness for public health emergencies, available at: https://stm.fi/en/-/sosiaali-ja-terveysministerio-on-asettanut-kansanterveysuhkaan-varautumista-koordinoivan-ryhman</w:t>
      </w:r>
    </w:p>
  </w:endnote>
  <w:endnote w:id="6">
    <w:p w14:paraId="66670559" w14:textId="472E0949" w:rsidR="00DE5DF4" w:rsidRPr="00B93382" w:rsidRDefault="00DE5DF4" w:rsidP="00DE5DF4">
      <w:pPr>
        <w:pStyle w:val="EndnoteText"/>
        <w:spacing w:before="120" w:after="120" w:line="360" w:lineRule="auto"/>
      </w:pPr>
      <w:r w:rsidRPr="00B93382">
        <w:rPr>
          <w:rStyle w:val="EndnoteReference"/>
        </w:rPr>
        <w:endnoteRef/>
      </w:r>
      <w:r w:rsidRPr="00B93382">
        <w:t xml:space="preserve"> </w:t>
      </w:r>
      <w:r w:rsidRPr="00B93382">
        <w:rPr>
          <w:sz w:val="24"/>
          <w:szCs w:val="24"/>
          <w:lang w:val="en-GB"/>
        </w:rPr>
        <w:t>EDF, Actions and responses of our members, Finland, available at: http://edf-feph.org/covid19finland</w:t>
      </w:r>
    </w:p>
  </w:endnote>
  <w:endnote w:id="7">
    <w:p w14:paraId="074FD5B4" w14:textId="77777777" w:rsidR="00FE396F" w:rsidRPr="00B93382" w:rsidRDefault="00FE396F" w:rsidP="00FE396F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B93382">
        <w:rPr>
          <w:rStyle w:val="EndnoteReference"/>
          <w:rFonts w:cs="Arial"/>
          <w:sz w:val="24"/>
          <w:szCs w:val="24"/>
          <w:lang w:val="en-GB"/>
        </w:rPr>
        <w:endnoteRef/>
      </w:r>
      <w:r w:rsidRPr="00B93382">
        <w:rPr>
          <w:rFonts w:cs="Arial"/>
          <w:sz w:val="24"/>
          <w:szCs w:val="24"/>
          <w:lang w:val="en-GB"/>
        </w:rPr>
        <w:t xml:space="preserve"> Association of the deaf, Updating information on the coronavirus, available at: </w:t>
      </w:r>
      <w:r w:rsidRPr="00B93382">
        <w:rPr>
          <w:sz w:val="24"/>
          <w:szCs w:val="24"/>
        </w:rPr>
        <w:t>https://kuurojenliitto.fi/paivittyvaa-tietoa-koronaviruksesta/</w:t>
      </w:r>
    </w:p>
  </w:endnote>
  <w:endnote w:id="8">
    <w:p w14:paraId="149B76EE" w14:textId="300E3EC9" w:rsidR="00FE396F" w:rsidRPr="00B93382" w:rsidRDefault="00FE396F" w:rsidP="00FE396F">
      <w:pPr>
        <w:pStyle w:val="EndnoteText"/>
        <w:spacing w:before="120" w:after="120" w:line="360" w:lineRule="auto"/>
      </w:pPr>
      <w:r w:rsidRPr="00B93382">
        <w:rPr>
          <w:rStyle w:val="EndnoteReference"/>
        </w:rPr>
        <w:endnoteRef/>
      </w:r>
      <w:r w:rsidRPr="00B93382">
        <w:t xml:space="preserve"> </w:t>
      </w:r>
      <w:r w:rsidRPr="00B93382">
        <w:rPr>
          <w:sz w:val="24"/>
          <w:szCs w:val="24"/>
          <w:lang w:val="en-GB"/>
        </w:rPr>
        <w:t xml:space="preserve">Finnish government, Information and advice on the coronavirus, available at: </w:t>
      </w:r>
      <w:hyperlink r:id="rId1" w:history="1">
        <w:r w:rsidRPr="00B93382">
          <w:rPr>
            <w:rStyle w:val="Hyperlink"/>
            <w:sz w:val="24"/>
            <w:szCs w:val="24"/>
            <w:lang w:val="en-GB"/>
          </w:rPr>
          <w:t>https://valtioneuvosto.fi/en/information-on-coronavirus</w:t>
        </w:r>
      </w:hyperlink>
    </w:p>
  </w:endnote>
  <w:endnote w:id="9">
    <w:p w14:paraId="27FD4CE0" w14:textId="1906D366" w:rsidR="00FE396F" w:rsidRPr="00FE396F" w:rsidRDefault="00FE396F" w:rsidP="00FE396F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B93382">
        <w:rPr>
          <w:rStyle w:val="EndnoteReference"/>
        </w:rPr>
        <w:endnoteRef/>
      </w:r>
      <w:r w:rsidRPr="00B93382">
        <w:t xml:space="preserve"> </w:t>
      </w:r>
      <w:r w:rsidRPr="00B93382">
        <w:rPr>
          <w:sz w:val="24"/>
          <w:szCs w:val="24"/>
          <w:lang w:val="en-GB"/>
        </w:rPr>
        <w:t xml:space="preserve">International long term care policy network, COVID-19 and clients of long-term care in Finland - impact and measures to control the virus, available at: </w:t>
      </w:r>
      <w:hyperlink r:id="rId2" w:history="1">
        <w:r w:rsidRPr="00B93382">
          <w:rPr>
            <w:rStyle w:val="Hyperlink"/>
            <w:sz w:val="24"/>
            <w:szCs w:val="24"/>
            <w:lang w:val="en-GB"/>
          </w:rPr>
          <w:t>https://ltccovid.org/wp-content/uploads/2020/06/ltccovid-country-reports_Finland_120620-1.pdf</w:t>
        </w:r>
      </w:hyperlink>
    </w:p>
  </w:endnote>
  <w:endnote w:id="10">
    <w:p w14:paraId="4F41DCA5" w14:textId="11B1D17A" w:rsidR="00C65E6B" w:rsidRPr="00C45A28" w:rsidRDefault="00C65E6B" w:rsidP="00C45A28">
      <w:pPr>
        <w:pStyle w:val="EndnoteText"/>
        <w:spacing w:before="120" w:after="120" w:line="360" w:lineRule="auto"/>
        <w:rPr>
          <w:sz w:val="24"/>
          <w:szCs w:val="24"/>
        </w:rPr>
      </w:pPr>
      <w:r w:rsidRPr="0015558E">
        <w:rPr>
          <w:rStyle w:val="EndnoteReference"/>
          <w:sz w:val="24"/>
          <w:szCs w:val="24"/>
        </w:rPr>
        <w:endnoteRef/>
      </w:r>
      <w:r w:rsidR="0027288F">
        <w:rPr>
          <w:sz w:val="24"/>
          <w:szCs w:val="24"/>
          <w:lang w:val="en-GB"/>
        </w:rPr>
        <w:t xml:space="preserve"> </w:t>
      </w:r>
      <w:r w:rsidR="0027288F" w:rsidRPr="0027288F">
        <w:rPr>
          <w:sz w:val="24"/>
          <w:szCs w:val="24"/>
          <w:lang w:val="en-GB"/>
        </w:rPr>
        <w:t>Coronavirus pandemic in the EU - Fundamental Rights Implications - Bulletin 2</w:t>
      </w:r>
      <w:r w:rsidR="0027288F">
        <w:rPr>
          <w:sz w:val="24"/>
          <w:szCs w:val="24"/>
          <w:lang w:val="en-GB"/>
        </w:rPr>
        <w:t xml:space="preserve">, available at: </w:t>
      </w:r>
      <w:hyperlink r:id="rId3" w:history="1">
        <w:r w:rsidR="0027288F" w:rsidRPr="00DA484D">
          <w:rPr>
            <w:rStyle w:val="Hyperlink"/>
            <w:sz w:val="24"/>
            <w:szCs w:val="24"/>
            <w:lang w:val="en-GB"/>
          </w:rPr>
          <w:t>https://fra.europa.eu/en/publication/2020/covid19-rights-impact-may-1</w:t>
        </w:r>
      </w:hyperlink>
      <w:r w:rsidR="0027288F">
        <w:rPr>
          <w:sz w:val="24"/>
          <w:szCs w:val="24"/>
          <w:lang w:val="en-GB"/>
        </w:rPr>
        <w:t xml:space="preserve"> </w:t>
      </w:r>
    </w:p>
  </w:endnote>
  <w:endnote w:id="11">
    <w:p w14:paraId="7FA52491" w14:textId="22F4E331" w:rsidR="00A42C9F" w:rsidRDefault="00A42C9F" w:rsidP="00A42C9F">
      <w:pPr>
        <w:pStyle w:val="EndnoteText"/>
        <w:spacing w:before="120" w:after="120" w:line="360" w:lineRule="auto"/>
      </w:pPr>
      <w:r>
        <w:rPr>
          <w:rStyle w:val="EndnoteReference"/>
        </w:rPr>
        <w:endnoteRef/>
      </w:r>
      <w:r>
        <w:t xml:space="preserve"> </w:t>
      </w:r>
      <w:r w:rsidRPr="00B93382">
        <w:rPr>
          <w:sz w:val="24"/>
          <w:szCs w:val="24"/>
          <w:lang w:val="en-GB"/>
        </w:rPr>
        <w:t xml:space="preserve">Information provided by </w:t>
      </w:r>
      <w:r w:rsidRPr="00A42C9F">
        <w:rPr>
          <w:sz w:val="24"/>
          <w:szCs w:val="24"/>
          <w:lang w:val="en-GB"/>
        </w:rPr>
        <w:t>Finnish Disability Forum</w:t>
      </w:r>
      <w:r>
        <w:rPr>
          <w:sz w:val="24"/>
          <w:szCs w:val="24"/>
          <w:lang w:val="en-GB"/>
        </w:rPr>
        <w:t>.</w:t>
      </w:r>
    </w:p>
  </w:endnote>
  <w:endnote w:id="12">
    <w:p w14:paraId="5D515277" w14:textId="2FD1F3B8" w:rsidR="00017536" w:rsidRPr="0045660A" w:rsidRDefault="00017536" w:rsidP="0045660A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45660A">
        <w:rPr>
          <w:sz w:val="24"/>
          <w:szCs w:val="24"/>
          <w:lang w:val="en-GB"/>
        </w:rPr>
        <w:t>EQUINET’s response to COVID-19, available at: https://equineteurope.org/covid-19-response/#data</w:t>
      </w:r>
    </w:p>
  </w:endnote>
  <w:endnote w:id="13">
    <w:p w14:paraId="34CCC615" w14:textId="47681C0D" w:rsidR="004E2F72" w:rsidRPr="00C45A28" w:rsidRDefault="004E2F72" w:rsidP="00B93382">
      <w:pPr>
        <w:pStyle w:val="EndnoteText"/>
        <w:spacing w:before="120" w:after="120" w:line="360" w:lineRule="auto"/>
        <w:rPr>
          <w:sz w:val="24"/>
          <w:szCs w:val="24"/>
        </w:rPr>
      </w:pPr>
      <w:r w:rsidRPr="00C45A28">
        <w:rPr>
          <w:rStyle w:val="EndnoteReference"/>
          <w:sz w:val="24"/>
          <w:szCs w:val="24"/>
        </w:rPr>
        <w:endnoteRef/>
      </w:r>
      <w:r w:rsidRPr="00C45A28">
        <w:rPr>
          <w:sz w:val="24"/>
          <w:szCs w:val="24"/>
        </w:rPr>
        <w:t xml:space="preserve"> </w:t>
      </w:r>
      <w:r w:rsidR="00B93382" w:rsidRPr="00B93382">
        <w:rPr>
          <w:sz w:val="24"/>
          <w:szCs w:val="24"/>
          <w:lang w:val="en-GB"/>
        </w:rPr>
        <w:t xml:space="preserve">EQUINET’s response to COVID-19, available at: </w:t>
      </w:r>
      <w:hyperlink r:id="rId4" w:anchor="data" w:history="1">
        <w:r w:rsidR="00B93382" w:rsidRPr="00B93382">
          <w:rPr>
            <w:rStyle w:val="Hyperlink"/>
            <w:sz w:val="24"/>
            <w:szCs w:val="24"/>
            <w:lang w:val="en-GB"/>
          </w:rPr>
          <w:t>https://equineteurope.org/covid-19-response/#data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2CB6" w14:textId="77777777" w:rsidR="004A42D0" w:rsidRDefault="004A42D0" w:rsidP="00E64D76">
      <w:pPr>
        <w:spacing w:before="0" w:after="0" w:line="240" w:lineRule="auto"/>
      </w:pPr>
      <w:r>
        <w:separator/>
      </w:r>
    </w:p>
  </w:footnote>
  <w:footnote w:type="continuationSeparator" w:id="0">
    <w:p w14:paraId="348CC6D0" w14:textId="77777777" w:rsidR="004A42D0" w:rsidRDefault="004A42D0" w:rsidP="00E64D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16E"/>
    <w:multiLevelType w:val="hybridMultilevel"/>
    <w:tmpl w:val="10FE2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090"/>
    <w:multiLevelType w:val="hybridMultilevel"/>
    <w:tmpl w:val="83BEB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1AE"/>
    <w:multiLevelType w:val="hybridMultilevel"/>
    <w:tmpl w:val="40DEE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B"/>
    <w:rsid w:val="00017536"/>
    <w:rsid w:val="00026068"/>
    <w:rsid w:val="000A469E"/>
    <w:rsid w:val="000B4258"/>
    <w:rsid w:val="0015558E"/>
    <w:rsid w:val="001C59D9"/>
    <w:rsid w:val="0027288F"/>
    <w:rsid w:val="002776E5"/>
    <w:rsid w:val="003050F8"/>
    <w:rsid w:val="003347BB"/>
    <w:rsid w:val="003405C6"/>
    <w:rsid w:val="003907B8"/>
    <w:rsid w:val="003C578A"/>
    <w:rsid w:val="00440605"/>
    <w:rsid w:val="0045660A"/>
    <w:rsid w:val="00496ADB"/>
    <w:rsid w:val="004A42D0"/>
    <w:rsid w:val="004C795A"/>
    <w:rsid w:val="004E2F72"/>
    <w:rsid w:val="00562AD6"/>
    <w:rsid w:val="005A6603"/>
    <w:rsid w:val="005B793E"/>
    <w:rsid w:val="006010AE"/>
    <w:rsid w:val="00607DA6"/>
    <w:rsid w:val="006910B8"/>
    <w:rsid w:val="00737BD1"/>
    <w:rsid w:val="007A7F68"/>
    <w:rsid w:val="007C6421"/>
    <w:rsid w:val="007D13C3"/>
    <w:rsid w:val="007D30E4"/>
    <w:rsid w:val="007E75E3"/>
    <w:rsid w:val="00805CFA"/>
    <w:rsid w:val="008156B3"/>
    <w:rsid w:val="008D3734"/>
    <w:rsid w:val="00962FBF"/>
    <w:rsid w:val="00975456"/>
    <w:rsid w:val="009B57B1"/>
    <w:rsid w:val="009D7B1B"/>
    <w:rsid w:val="00A42C9F"/>
    <w:rsid w:val="00A51467"/>
    <w:rsid w:val="00A75275"/>
    <w:rsid w:val="00A91C5F"/>
    <w:rsid w:val="00AD2579"/>
    <w:rsid w:val="00B228CA"/>
    <w:rsid w:val="00B72DA6"/>
    <w:rsid w:val="00B93382"/>
    <w:rsid w:val="00BD0E46"/>
    <w:rsid w:val="00BE4A90"/>
    <w:rsid w:val="00C36A5D"/>
    <w:rsid w:val="00C45A28"/>
    <w:rsid w:val="00C65E6B"/>
    <w:rsid w:val="00CA4ECB"/>
    <w:rsid w:val="00CF4D80"/>
    <w:rsid w:val="00D86C92"/>
    <w:rsid w:val="00DE1D6F"/>
    <w:rsid w:val="00DE5DF4"/>
    <w:rsid w:val="00E10E00"/>
    <w:rsid w:val="00E14477"/>
    <w:rsid w:val="00E64D76"/>
    <w:rsid w:val="00F55771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165"/>
  <w15:chartTrackingRefBased/>
  <w15:docId w15:val="{56E30990-067C-4C88-B812-C7803FA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B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B"/>
    <w:pPr>
      <w:keepNext/>
      <w:keepLines/>
      <w:outlineLvl w:val="0"/>
    </w:pPr>
    <w:rPr>
      <w:rFonts w:eastAsiaTheme="majorEastAsia" w:cstheme="majorBidi"/>
      <w:cap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7BB"/>
    <w:rPr>
      <w:rFonts w:ascii="Arial" w:eastAsiaTheme="majorEastAsia" w:hAnsi="Arial" w:cstheme="majorBidi"/>
      <w:caps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4D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D76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D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57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6E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6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6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58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7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2C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ra.europa.eu/en/publication/2020/covid19-rights-impact-may-1" TargetMode="External"/><Relationship Id="rId2" Type="http://schemas.openxmlformats.org/officeDocument/2006/relationships/hyperlink" Target="https://ltccovid.org/wp-content/uploads/2020/06/ltccovid-country-reports_Finland_120620-1.pdf" TargetMode="External"/><Relationship Id="rId1" Type="http://schemas.openxmlformats.org/officeDocument/2006/relationships/hyperlink" Target="https://valtioneuvosto.fi/en/information-on-coronavirus" TargetMode="External"/><Relationship Id="rId4" Type="http://schemas.openxmlformats.org/officeDocument/2006/relationships/hyperlink" Target="https://equineteurope.org/covid-19-respo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79B-6402-417C-92C4-54E7412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Marine Uldry</cp:lastModifiedBy>
  <cp:revision>21</cp:revision>
  <dcterms:created xsi:type="dcterms:W3CDTF">2020-08-18T17:55:00Z</dcterms:created>
  <dcterms:modified xsi:type="dcterms:W3CDTF">2020-12-11T11:15:00Z</dcterms:modified>
</cp:coreProperties>
</file>