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FCF2" w14:textId="1118AF39" w:rsidR="008156B3" w:rsidRDefault="00355688" w:rsidP="003347BB">
      <w:pPr>
        <w:pStyle w:val="Heading1"/>
        <w:rPr>
          <w:lang w:val="en-GB"/>
        </w:rPr>
      </w:pPr>
      <w:r>
        <w:rPr>
          <w:lang w:val="en-GB"/>
        </w:rPr>
        <w:t>Norway</w:t>
      </w:r>
    </w:p>
    <w:p w14:paraId="4EA39A71" w14:textId="7B06D4C7" w:rsidR="00B228CA" w:rsidRPr="00B228CA" w:rsidRDefault="00B228CA" w:rsidP="00A431D8">
      <w:pPr>
        <w:pStyle w:val="Heading2"/>
        <w:rPr>
          <w:lang w:val="en-US"/>
        </w:rPr>
      </w:pPr>
      <w:r w:rsidRPr="00B228CA">
        <w:rPr>
          <w:lang w:val="en-US"/>
        </w:rPr>
        <w:t>COVID-19 cases</w:t>
      </w:r>
    </w:p>
    <w:p w14:paraId="5ED17323" w14:textId="0E908579" w:rsidR="002776E5" w:rsidRDefault="00AD2579" w:rsidP="00AD2579">
      <w:pPr>
        <w:rPr>
          <w:lang w:val="en-GB"/>
        </w:rPr>
      </w:pPr>
      <w:r>
        <w:rPr>
          <w:lang w:val="en-US"/>
        </w:rPr>
        <w:t xml:space="preserve">On </w:t>
      </w:r>
      <w:r w:rsidR="00355688">
        <w:rPr>
          <w:lang w:val="en-US"/>
        </w:rPr>
        <w:t>17</w:t>
      </w:r>
      <w:r w:rsidR="00355688">
        <w:rPr>
          <w:vertAlign w:val="superscript"/>
          <w:lang w:val="en-US"/>
        </w:rPr>
        <w:t>th</w:t>
      </w:r>
      <w:r>
        <w:rPr>
          <w:lang w:val="en-US"/>
        </w:rPr>
        <w:t xml:space="preserve"> </w:t>
      </w:r>
      <w:r w:rsidR="00355688">
        <w:rPr>
          <w:lang w:val="en-US"/>
        </w:rPr>
        <w:t>September</w:t>
      </w:r>
      <w:r>
        <w:rPr>
          <w:lang w:val="en-US"/>
        </w:rPr>
        <w:t xml:space="preserve"> 2020 t</w:t>
      </w:r>
      <w:r w:rsidR="00E64D76">
        <w:rPr>
          <w:lang w:val="en-US"/>
        </w:rPr>
        <w:t xml:space="preserve">here were </w:t>
      </w:r>
      <w:r w:rsidR="00355688">
        <w:rPr>
          <w:lang w:val="en-US"/>
        </w:rPr>
        <w:t xml:space="preserve">12,277 </w:t>
      </w:r>
      <w:r>
        <w:rPr>
          <w:lang w:val="en-US"/>
        </w:rPr>
        <w:t>registered</w:t>
      </w:r>
      <w:r w:rsidR="00E64D76">
        <w:rPr>
          <w:lang w:val="en-US"/>
        </w:rPr>
        <w:t xml:space="preserve"> COVID</w:t>
      </w:r>
      <w:r w:rsidR="00AA796E">
        <w:rPr>
          <w:lang w:val="en-US"/>
        </w:rPr>
        <w:t>-</w:t>
      </w:r>
      <w:r w:rsidR="00E64D76">
        <w:rPr>
          <w:lang w:val="en-US"/>
        </w:rPr>
        <w:t>19 cases</w:t>
      </w:r>
      <w:r>
        <w:rPr>
          <w:lang w:val="en-US"/>
        </w:rPr>
        <w:t xml:space="preserve"> </w:t>
      </w:r>
      <w:r w:rsidR="007D13C3" w:rsidRPr="00E64D76">
        <w:rPr>
          <w:lang w:val="en-GB"/>
        </w:rPr>
        <w:t xml:space="preserve">and </w:t>
      </w:r>
      <w:r w:rsidR="00355688">
        <w:rPr>
          <w:lang w:val="en-GB"/>
        </w:rPr>
        <w:t>265</w:t>
      </w:r>
      <w:r w:rsidR="007D13C3" w:rsidRPr="00E64D76">
        <w:rPr>
          <w:lang w:val="en-GB"/>
        </w:rPr>
        <w:t xml:space="preserve"> deaths</w:t>
      </w:r>
      <w:r w:rsidR="007D13C3">
        <w:rPr>
          <w:lang w:val="en-US"/>
        </w:rPr>
        <w:t xml:space="preserve"> </w:t>
      </w:r>
      <w:r w:rsidR="00E74B9D">
        <w:rPr>
          <w:lang w:val="en-US"/>
        </w:rPr>
        <w:t xml:space="preserve">in the </w:t>
      </w:r>
      <w:r w:rsidR="00E64D76">
        <w:rPr>
          <w:lang w:val="en-US"/>
        </w:rPr>
        <w:t xml:space="preserve">overall </w:t>
      </w:r>
      <w:r w:rsidR="00E64D76" w:rsidRPr="00E64D76">
        <w:rPr>
          <w:lang w:val="en-GB"/>
        </w:rPr>
        <w:t>population</w:t>
      </w:r>
      <w:r>
        <w:rPr>
          <w:lang w:val="en-GB"/>
        </w:rPr>
        <w:t>.</w:t>
      </w:r>
      <w:r w:rsidR="002776E5" w:rsidRPr="00E64D76">
        <w:rPr>
          <w:rStyle w:val="EndnoteReference"/>
          <w:lang w:val="en-GB"/>
        </w:rPr>
        <w:endnoteReference w:id="1"/>
      </w:r>
      <w:r w:rsidR="002776E5" w:rsidRPr="00E64D76">
        <w:rPr>
          <w:lang w:val="en-GB"/>
        </w:rPr>
        <w:t xml:space="preserve"> </w:t>
      </w:r>
      <w:r w:rsidR="002776E5">
        <w:rPr>
          <w:lang w:val="en-GB"/>
        </w:rPr>
        <w:t>To our knowledge, d</w:t>
      </w:r>
      <w:r w:rsidR="002776E5" w:rsidRPr="00AD2579">
        <w:rPr>
          <w:lang w:val="en-GB"/>
        </w:rPr>
        <w:t xml:space="preserve">ata </w:t>
      </w:r>
      <w:r w:rsidR="002776E5">
        <w:rPr>
          <w:lang w:val="en-GB"/>
        </w:rPr>
        <w:t>on COVID</w:t>
      </w:r>
      <w:r w:rsidR="00AA796E">
        <w:rPr>
          <w:lang w:val="en-GB"/>
        </w:rPr>
        <w:t>-</w:t>
      </w:r>
      <w:r w:rsidR="002776E5">
        <w:rPr>
          <w:lang w:val="en-GB"/>
        </w:rPr>
        <w:t xml:space="preserve">19 </w:t>
      </w:r>
      <w:r w:rsidR="002776E5" w:rsidRPr="00AD2579">
        <w:rPr>
          <w:lang w:val="en-GB"/>
        </w:rPr>
        <w:t>cases</w:t>
      </w:r>
      <w:r w:rsidR="002776E5">
        <w:rPr>
          <w:lang w:val="en-GB"/>
        </w:rPr>
        <w:t xml:space="preserve">, deaths, job-loss, and poverty were </w:t>
      </w:r>
      <w:r w:rsidR="002776E5" w:rsidRPr="00AD2579">
        <w:rPr>
          <w:lang w:val="en-GB"/>
        </w:rPr>
        <w:t>not disaggregated by disability</w:t>
      </w:r>
      <w:r w:rsidR="002776E5">
        <w:rPr>
          <w:lang w:val="en-GB"/>
        </w:rPr>
        <w:t>.</w:t>
      </w:r>
    </w:p>
    <w:p w14:paraId="6602B20F" w14:textId="7F100B47" w:rsidR="002776E5" w:rsidRPr="00B228CA" w:rsidRDefault="002776E5" w:rsidP="00A431D8">
      <w:pPr>
        <w:pStyle w:val="Heading2"/>
        <w:rPr>
          <w:lang w:val="en-GB"/>
        </w:rPr>
      </w:pPr>
      <w:r w:rsidRPr="00B228CA">
        <w:rPr>
          <w:lang w:val="en-GB"/>
        </w:rPr>
        <w:t>Emergency, lockdown, and confinement</w:t>
      </w:r>
    </w:p>
    <w:p w14:paraId="483377D1" w14:textId="6279FF1F" w:rsidR="00381756" w:rsidRDefault="002776E5" w:rsidP="00381756">
      <w:pPr>
        <w:rPr>
          <w:bCs/>
          <w:lang w:val="en-US"/>
        </w:rPr>
      </w:pPr>
      <w:r>
        <w:rPr>
          <w:lang w:val="en-US"/>
        </w:rPr>
        <w:t>The</w:t>
      </w:r>
      <w:r w:rsidR="00355688">
        <w:rPr>
          <w:lang w:val="en-US"/>
        </w:rPr>
        <w:t>re was no state of e</w:t>
      </w:r>
      <w:r>
        <w:rPr>
          <w:lang w:val="en-US"/>
        </w:rPr>
        <w:t xml:space="preserve">mergency in </w:t>
      </w:r>
      <w:r w:rsidR="00355688">
        <w:rPr>
          <w:lang w:val="en-US"/>
        </w:rPr>
        <w:t>Norway</w:t>
      </w:r>
      <w:r w:rsidR="00381756">
        <w:rPr>
          <w:lang w:val="en-US"/>
        </w:rPr>
        <w:t>,</w:t>
      </w:r>
      <w:r w:rsidR="00355688">
        <w:rPr>
          <w:rStyle w:val="EndnoteReference"/>
          <w:lang w:val="en-US"/>
        </w:rPr>
        <w:endnoteReference w:id="2"/>
      </w:r>
      <w:r w:rsidR="00355688">
        <w:rPr>
          <w:lang w:val="en-US"/>
        </w:rPr>
        <w:t xml:space="preserve"> </w:t>
      </w:r>
      <w:r w:rsidR="00381756">
        <w:rPr>
          <w:lang w:val="en-US"/>
        </w:rPr>
        <w:t xml:space="preserve">but a </w:t>
      </w:r>
      <w:r w:rsidR="00585F0F">
        <w:rPr>
          <w:lang w:val="en-US"/>
        </w:rPr>
        <w:t xml:space="preserve">national lockdown </w:t>
      </w:r>
      <w:r w:rsidR="00381756">
        <w:rPr>
          <w:lang w:val="en-US"/>
        </w:rPr>
        <w:t xml:space="preserve">was put in place from </w:t>
      </w:r>
      <w:r w:rsidR="00355688">
        <w:rPr>
          <w:bCs/>
          <w:lang w:val="en-US"/>
        </w:rPr>
        <w:t>16</w:t>
      </w:r>
      <w:r w:rsidR="00355688" w:rsidRPr="00355688">
        <w:rPr>
          <w:bCs/>
          <w:vertAlign w:val="superscript"/>
          <w:lang w:val="en-US"/>
        </w:rPr>
        <w:t>th</w:t>
      </w:r>
      <w:r w:rsidR="00355688">
        <w:rPr>
          <w:bCs/>
          <w:lang w:val="en-US"/>
        </w:rPr>
        <w:t xml:space="preserve"> </w:t>
      </w:r>
      <w:r w:rsidR="00355688" w:rsidRPr="00362451">
        <w:rPr>
          <w:bCs/>
          <w:lang w:val="en-US"/>
        </w:rPr>
        <w:t>March</w:t>
      </w:r>
      <w:r w:rsidR="00585F0F">
        <w:rPr>
          <w:bCs/>
          <w:lang w:val="en-US"/>
        </w:rPr>
        <w:t>.</w:t>
      </w:r>
      <w:r w:rsidR="00355688">
        <w:rPr>
          <w:rStyle w:val="EndnoteReference"/>
          <w:bCs/>
          <w:lang w:val="en-US"/>
        </w:rPr>
        <w:endnoteReference w:id="3"/>
      </w:r>
      <w:r w:rsidR="00585F0F">
        <w:rPr>
          <w:bCs/>
          <w:lang w:val="en-US"/>
        </w:rPr>
        <w:t xml:space="preserve">. </w:t>
      </w:r>
      <w:r w:rsidR="001A7153">
        <w:rPr>
          <w:bCs/>
          <w:lang w:val="en-US"/>
        </w:rPr>
        <w:t>P</w:t>
      </w:r>
      <w:r w:rsidR="00585F0F">
        <w:rPr>
          <w:bCs/>
          <w:lang w:val="en-US"/>
        </w:rPr>
        <w:t>ersons</w:t>
      </w:r>
      <w:r w:rsidR="00585F0F" w:rsidRPr="00585F0F">
        <w:rPr>
          <w:bCs/>
          <w:lang w:val="en-US"/>
        </w:rPr>
        <w:t xml:space="preserve"> with disabilities were not considered a</w:t>
      </w:r>
      <w:r w:rsidR="00585F0F">
        <w:rPr>
          <w:bCs/>
          <w:lang w:val="en-US"/>
        </w:rPr>
        <w:t xml:space="preserve"> COVID-19</w:t>
      </w:r>
      <w:r w:rsidR="00585F0F" w:rsidRPr="00585F0F">
        <w:rPr>
          <w:bCs/>
          <w:lang w:val="en-US"/>
        </w:rPr>
        <w:t xml:space="preserve"> risk group</w:t>
      </w:r>
      <w:r w:rsidR="001A7153">
        <w:rPr>
          <w:bCs/>
          <w:lang w:val="en-US"/>
        </w:rPr>
        <w:t xml:space="preserve">. Therefore, </w:t>
      </w:r>
      <w:r w:rsidR="00585F0F" w:rsidRPr="00585F0F">
        <w:rPr>
          <w:bCs/>
          <w:lang w:val="en-US"/>
        </w:rPr>
        <w:t xml:space="preserve">there were no </w:t>
      </w:r>
      <w:r w:rsidR="00910124">
        <w:rPr>
          <w:bCs/>
          <w:lang w:val="en-US"/>
        </w:rPr>
        <w:t>l</w:t>
      </w:r>
      <w:r w:rsidR="00910124" w:rsidRPr="00910124">
        <w:rPr>
          <w:bCs/>
          <w:lang w:val="en-US"/>
        </w:rPr>
        <w:t>ockdown exceptions</w:t>
      </w:r>
      <w:r w:rsidR="001A7153">
        <w:rPr>
          <w:bCs/>
          <w:lang w:val="en-US"/>
        </w:rPr>
        <w:t>.</w:t>
      </w:r>
      <w:r w:rsidR="005D429E">
        <w:rPr>
          <w:rStyle w:val="EndnoteReference"/>
          <w:bCs/>
          <w:lang w:val="en-US"/>
        </w:rPr>
        <w:endnoteReference w:id="4"/>
      </w:r>
      <w:r w:rsidR="00585F0F">
        <w:rPr>
          <w:bCs/>
          <w:lang w:val="en-US"/>
        </w:rPr>
        <w:t xml:space="preserve"> A</w:t>
      </w:r>
      <w:r w:rsidR="00381756" w:rsidRPr="00381756">
        <w:rPr>
          <w:bCs/>
          <w:lang w:val="en-US"/>
        </w:rPr>
        <w:t>ccording to the Norwegian Federation of Organizations of Disabled People some disability rights were put asid</w:t>
      </w:r>
      <w:r w:rsidR="00381756">
        <w:rPr>
          <w:bCs/>
          <w:lang w:val="en-US"/>
        </w:rPr>
        <w:t>e, for example, r</w:t>
      </w:r>
      <w:r w:rsidR="00381756" w:rsidRPr="00381756">
        <w:rPr>
          <w:bCs/>
          <w:lang w:val="en-US"/>
        </w:rPr>
        <w:t>ight to</w:t>
      </w:r>
      <w:r w:rsidR="00585F0F">
        <w:rPr>
          <w:bCs/>
          <w:lang w:val="en-US"/>
        </w:rPr>
        <w:t xml:space="preserve"> –</w:t>
      </w:r>
      <w:r w:rsidR="00381756" w:rsidRPr="00381756">
        <w:rPr>
          <w:bCs/>
          <w:lang w:val="en-US"/>
        </w:rPr>
        <w:t xml:space="preserve"> health services</w:t>
      </w:r>
      <w:r w:rsidR="00381756">
        <w:rPr>
          <w:bCs/>
          <w:lang w:val="en-US"/>
        </w:rPr>
        <w:t xml:space="preserve">, </w:t>
      </w:r>
      <w:r w:rsidR="00381756" w:rsidRPr="00381756">
        <w:rPr>
          <w:bCs/>
          <w:lang w:val="en-US"/>
        </w:rPr>
        <w:t xml:space="preserve">individual </w:t>
      </w:r>
      <w:r w:rsidR="00585F0F" w:rsidRPr="00381756">
        <w:rPr>
          <w:bCs/>
          <w:lang w:val="en-US"/>
        </w:rPr>
        <w:t>care,</w:t>
      </w:r>
      <w:r w:rsidR="00381756" w:rsidRPr="00381756">
        <w:rPr>
          <w:bCs/>
          <w:lang w:val="en-US"/>
        </w:rPr>
        <w:t xml:space="preserve"> </w:t>
      </w:r>
      <w:r w:rsidR="00E74B9D">
        <w:rPr>
          <w:bCs/>
          <w:lang w:val="en-US"/>
        </w:rPr>
        <w:t xml:space="preserve">new </w:t>
      </w:r>
      <w:r w:rsidR="00381756" w:rsidRPr="00381756">
        <w:rPr>
          <w:bCs/>
          <w:lang w:val="en-US"/>
        </w:rPr>
        <w:t>service plan</w:t>
      </w:r>
      <w:r w:rsidR="00E74B9D">
        <w:rPr>
          <w:bCs/>
          <w:lang w:val="en-US"/>
        </w:rPr>
        <w:t xml:space="preserve">s, </w:t>
      </w:r>
      <w:r w:rsidR="00D81A4A" w:rsidRPr="00D81A4A">
        <w:rPr>
          <w:bCs/>
          <w:lang w:val="en-US"/>
        </w:rPr>
        <w:t>support services for access to education of children with disabilities</w:t>
      </w:r>
      <w:r w:rsidR="00D81A4A">
        <w:rPr>
          <w:bCs/>
          <w:lang w:val="en-US"/>
        </w:rPr>
        <w:t xml:space="preserve">. </w:t>
      </w:r>
    </w:p>
    <w:p w14:paraId="45DE0085" w14:textId="266D4C33" w:rsidR="00B228CA" w:rsidRPr="00B228CA" w:rsidRDefault="00B228CA" w:rsidP="00A431D8">
      <w:pPr>
        <w:pStyle w:val="Heading2"/>
        <w:rPr>
          <w:lang w:val="en-GB"/>
        </w:rPr>
      </w:pPr>
      <w:r w:rsidRPr="00B228CA">
        <w:rPr>
          <w:lang w:val="en-GB"/>
        </w:rPr>
        <w:t>Involvement of organisations of persons with disabilities</w:t>
      </w:r>
    </w:p>
    <w:p w14:paraId="7AD561B2" w14:textId="1A95457E" w:rsidR="006D2C72" w:rsidRDefault="00D81A4A" w:rsidP="00C36A5D">
      <w:pPr>
        <w:rPr>
          <w:szCs w:val="24"/>
          <w:lang w:val="en-GB"/>
        </w:rPr>
      </w:pPr>
      <w:r>
        <w:rPr>
          <w:szCs w:val="24"/>
          <w:lang w:val="en-GB"/>
        </w:rPr>
        <w:t>F</w:t>
      </w:r>
      <w:r w:rsidRPr="00D81A4A">
        <w:rPr>
          <w:szCs w:val="24"/>
          <w:lang w:val="en-GB"/>
        </w:rPr>
        <w:t xml:space="preserve">ormally DPOs were not involved in task forces or the development of national policy during or after the state of emergency. </w:t>
      </w:r>
      <w:r w:rsidR="005D429E" w:rsidRPr="005D429E">
        <w:rPr>
          <w:szCs w:val="24"/>
          <w:lang w:val="en-GB"/>
        </w:rPr>
        <w:t>According to the Norwegian Federation of Organisations of Disabled People</w:t>
      </w:r>
      <w:r w:rsidR="005D429E">
        <w:rPr>
          <w:szCs w:val="24"/>
          <w:lang w:val="en-GB"/>
        </w:rPr>
        <w:t>, DPOs</w:t>
      </w:r>
      <w:r w:rsidR="005D429E" w:rsidRPr="005D429E">
        <w:rPr>
          <w:szCs w:val="24"/>
          <w:lang w:val="en-GB"/>
        </w:rPr>
        <w:t xml:space="preserve"> participated in different public hearings representing the interests of</w:t>
      </w:r>
      <w:r w:rsidR="005D429E">
        <w:rPr>
          <w:szCs w:val="24"/>
          <w:lang w:val="en-GB"/>
        </w:rPr>
        <w:t xml:space="preserve"> persons with disabilities</w:t>
      </w:r>
      <w:r w:rsidR="006D2C72">
        <w:rPr>
          <w:szCs w:val="24"/>
          <w:lang w:val="en-GB"/>
        </w:rPr>
        <w:t xml:space="preserve">. </w:t>
      </w:r>
      <w:r w:rsidR="002E610E">
        <w:rPr>
          <w:szCs w:val="24"/>
          <w:lang w:val="en-GB"/>
        </w:rPr>
        <w:t>They shared</w:t>
      </w:r>
      <w:r w:rsidR="002E610E" w:rsidRPr="005D429E">
        <w:rPr>
          <w:szCs w:val="24"/>
          <w:lang w:val="en-GB"/>
        </w:rPr>
        <w:t xml:space="preserve"> </w:t>
      </w:r>
      <w:r w:rsidR="00AD0E41" w:rsidRPr="005D429E">
        <w:rPr>
          <w:szCs w:val="24"/>
          <w:lang w:val="en-GB"/>
        </w:rPr>
        <w:t>information about the situation and advis</w:t>
      </w:r>
      <w:r w:rsidR="00AD0E41">
        <w:rPr>
          <w:szCs w:val="24"/>
          <w:lang w:val="en-GB"/>
        </w:rPr>
        <w:t>ed</w:t>
      </w:r>
      <w:r w:rsidR="00AD0E41" w:rsidRPr="005D429E">
        <w:rPr>
          <w:szCs w:val="24"/>
          <w:lang w:val="en-GB"/>
        </w:rPr>
        <w:t xml:space="preserve"> </w:t>
      </w:r>
      <w:r w:rsidR="00AD0E41">
        <w:rPr>
          <w:szCs w:val="24"/>
          <w:lang w:val="en-GB"/>
        </w:rPr>
        <w:t xml:space="preserve">government institutions </w:t>
      </w:r>
      <w:r w:rsidR="00AD0E41" w:rsidRPr="005D429E">
        <w:rPr>
          <w:szCs w:val="24"/>
          <w:lang w:val="en-GB"/>
        </w:rPr>
        <w:t xml:space="preserve">regarding information and policies aimed towards persons with disabilities. </w:t>
      </w:r>
    </w:p>
    <w:p w14:paraId="0D331991" w14:textId="1D7A9501" w:rsidR="00B228CA" w:rsidRDefault="00B228CA" w:rsidP="00A431D8">
      <w:pPr>
        <w:pStyle w:val="Heading2"/>
        <w:rPr>
          <w:lang w:val="en-GB"/>
        </w:rPr>
      </w:pPr>
      <w:r w:rsidRPr="00B228CA">
        <w:rPr>
          <w:lang w:val="en-GB"/>
        </w:rPr>
        <w:t>Communications and announcements</w:t>
      </w:r>
    </w:p>
    <w:p w14:paraId="5A6A4A73" w14:textId="350B08D4" w:rsidR="006D2C72" w:rsidRPr="006D2C72" w:rsidRDefault="006D2C72" w:rsidP="006D2C72">
      <w:pPr>
        <w:rPr>
          <w:lang w:val="en-GB"/>
        </w:rPr>
      </w:pPr>
      <w:r>
        <w:rPr>
          <w:lang w:val="en-GB"/>
        </w:rPr>
        <w:t>P</w:t>
      </w:r>
      <w:r w:rsidRPr="006D2C72">
        <w:rPr>
          <w:lang w:val="en-GB"/>
        </w:rPr>
        <w:t xml:space="preserve">ress conferences </w:t>
      </w:r>
      <w:r>
        <w:rPr>
          <w:lang w:val="en-GB"/>
        </w:rPr>
        <w:t xml:space="preserve">were interpreted in sign language. </w:t>
      </w:r>
      <w:r w:rsidRPr="006D2C72">
        <w:rPr>
          <w:lang w:val="en-GB"/>
        </w:rPr>
        <w:t>Live captioning (CART) was mostly absent on m</w:t>
      </w:r>
      <w:r>
        <w:rPr>
          <w:lang w:val="en-GB"/>
        </w:rPr>
        <w:t>ajority of</w:t>
      </w:r>
      <w:r w:rsidRPr="006D2C72">
        <w:rPr>
          <w:lang w:val="en-GB"/>
        </w:rPr>
        <w:t xml:space="preserve"> </w:t>
      </w:r>
      <w:r>
        <w:rPr>
          <w:lang w:val="en-GB"/>
        </w:rPr>
        <w:t xml:space="preserve">news </w:t>
      </w:r>
      <w:r w:rsidRPr="006D2C72">
        <w:rPr>
          <w:lang w:val="en-GB"/>
        </w:rPr>
        <w:t>channels</w:t>
      </w:r>
      <w:r w:rsidR="00E740C1">
        <w:rPr>
          <w:lang w:val="en-GB"/>
        </w:rPr>
        <w:t xml:space="preserve"> broadcasting </w:t>
      </w:r>
      <w:r w:rsidR="00E740C1" w:rsidRPr="00E740C1">
        <w:rPr>
          <w:lang w:val="en-GB"/>
        </w:rPr>
        <w:t>government</w:t>
      </w:r>
      <w:r w:rsidR="00E740C1">
        <w:rPr>
          <w:lang w:val="en-GB"/>
        </w:rPr>
        <w:t xml:space="preserve"> c</w:t>
      </w:r>
      <w:r w:rsidR="00E740C1" w:rsidRPr="00E740C1">
        <w:rPr>
          <w:lang w:val="en-GB"/>
        </w:rPr>
        <w:t>ommunications and emergency announcement</w:t>
      </w:r>
      <w:r w:rsidRPr="006D2C72">
        <w:rPr>
          <w:lang w:val="en-GB"/>
        </w:rPr>
        <w:t xml:space="preserve">. Some text-based online media </w:t>
      </w:r>
      <w:r w:rsidR="00E740C1">
        <w:rPr>
          <w:lang w:val="en-GB"/>
        </w:rPr>
        <w:t xml:space="preserve">was accessible to persons using </w:t>
      </w:r>
      <w:r w:rsidRPr="006D2C72">
        <w:rPr>
          <w:lang w:val="en-GB"/>
        </w:rPr>
        <w:t>braille readers and/or synthetic voice</w:t>
      </w:r>
      <w:r w:rsidR="00E740C1">
        <w:rPr>
          <w:lang w:val="en-GB"/>
        </w:rPr>
        <w:t xml:space="preserve"> generators. </w:t>
      </w:r>
      <w:r w:rsidR="00D81A4A">
        <w:rPr>
          <w:lang w:val="en-GB"/>
        </w:rPr>
        <w:t>W</w:t>
      </w:r>
      <w:r w:rsidRPr="006D2C72">
        <w:rPr>
          <w:lang w:val="en-GB"/>
        </w:rPr>
        <w:t>e found no information indicating that the government published information on COVID</w:t>
      </w:r>
      <w:r w:rsidR="00E740C1">
        <w:rPr>
          <w:lang w:val="en-GB"/>
        </w:rPr>
        <w:t>-</w:t>
      </w:r>
      <w:r w:rsidRPr="006D2C72">
        <w:rPr>
          <w:lang w:val="en-GB"/>
        </w:rPr>
        <w:t>19 in easy-to-read</w:t>
      </w:r>
      <w:r w:rsidR="004476B5">
        <w:rPr>
          <w:lang w:val="en-GB"/>
        </w:rPr>
        <w:t xml:space="preserve"> formats</w:t>
      </w:r>
      <w:r w:rsidRPr="006D2C72">
        <w:rPr>
          <w:lang w:val="en-GB"/>
        </w:rPr>
        <w:t>.</w:t>
      </w:r>
      <w:r w:rsidR="00E740C1">
        <w:rPr>
          <w:rStyle w:val="EndnoteReference"/>
          <w:lang w:val="en-GB"/>
        </w:rPr>
        <w:endnoteReference w:id="5"/>
      </w:r>
      <w:r w:rsidRPr="006D2C72">
        <w:rPr>
          <w:lang w:val="en-GB"/>
        </w:rPr>
        <w:t xml:space="preserve"> According to the Norwegian Federation of Organisations of Disabled People the accessibility of announcements did not change through the pandemic</w:t>
      </w:r>
      <w:r w:rsidR="00E740C1">
        <w:rPr>
          <w:lang w:val="en-GB"/>
        </w:rPr>
        <w:t xml:space="preserve">, but it become more directed at </w:t>
      </w:r>
      <w:r w:rsidRPr="006D2C72">
        <w:rPr>
          <w:lang w:val="en-GB"/>
        </w:rPr>
        <w:t xml:space="preserve">people </w:t>
      </w:r>
      <w:r w:rsidR="00E740C1">
        <w:rPr>
          <w:lang w:val="en-GB"/>
        </w:rPr>
        <w:t xml:space="preserve">considered at </w:t>
      </w:r>
      <w:r w:rsidRPr="006D2C72">
        <w:rPr>
          <w:lang w:val="en-GB"/>
        </w:rPr>
        <w:t xml:space="preserve">risk </w:t>
      </w:r>
      <w:r w:rsidR="00E740C1">
        <w:rPr>
          <w:lang w:val="en-GB"/>
        </w:rPr>
        <w:t>from COVID-19</w:t>
      </w:r>
      <w:r w:rsidRPr="006D2C72">
        <w:rPr>
          <w:lang w:val="en-GB"/>
        </w:rPr>
        <w:t xml:space="preserve">. </w:t>
      </w:r>
    </w:p>
    <w:p w14:paraId="6914753F" w14:textId="41742C33" w:rsidR="002776E5" w:rsidRPr="00B228CA" w:rsidRDefault="002776E5" w:rsidP="00A431D8">
      <w:pPr>
        <w:pStyle w:val="Heading2"/>
        <w:rPr>
          <w:lang w:val="en-GB"/>
        </w:rPr>
      </w:pPr>
      <w:r w:rsidRPr="00B228CA">
        <w:rPr>
          <w:lang w:val="en-GB"/>
        </w:rPr>
        <w:lastRenderedPageBreak/>
        <w:t xml:space="preserve">Institutions and closed settings </w:t>
      </w:r>
    </w:p>
    <w:p w14:paraId="39974C04" w14:textId="6D2EAB42" w:rsidR="00F82E99" w:rsidRPr="0043509E" w:rsidRDefault="002776E5" w:rsidP="00F82E99">
      <w:pPr>
        <w:rPr>
          <w:lang w:val="en-GB"/>
        </w:rPr>
      </w:pPr>
      <w:r>
        <w:rPr>
          <w:lang w:val="en-GB"/>
        </w:rPr>
        <w:t>The</w:t>
      </w:r>
      <w:r w:rsidR="007F0E84">
        <w:rPr>
          <w:lang w:val="en-GB"/>
        </w:rPr>
        <w:t xml:space="preserve"> official data show that on 5</w:t>
      </w:r>
      <w:r w:rsidR="007F0E84" w:rsidRPr="007F0E84">
        <w:rPr>
          <w:vertAlign w:val="superscript"/>
          <w:lang w:val="en-GB"/>
        </w:rPr>
        <w:t>th</w:t>
      </w:r>
      <w:r w:rsidR="007F0E84">
        <w:rPr>
          <w:lang w:val="en-GB"/>
        </w:rPr>
        <w:t xml:space="preserve"> August 2020 153 persons </w:t>
      </w:r>
      <w:r w:rsidR="00A77E44">
        <w:rPr>
          <w:lang w:val="en-GB"/>
        </w:rPr>
        <w:t xml:space="preserve">or 60% of the overall deaths from COVID0-19 were </w:t>
      </w:r>
      <w:r w:rsidR="007F0E84">
        <w:rPr>
          <w:lang w:val="en-GB"/>
        </w:rPr>
        <w:t>in institutional and closed settings.</w:t>
      </w:r>
      <w:r w:rsidR="007F0E84">
        <w:rPr>
          <w:rStyle w:val="EndnoteReference"/>
          <w:lang w:val="en-GB"/>
        </w:rPr>
        <w:endnoteReference w:id="6"/>
      </w:r>
      <w:r w:rsidR="007F0E84">
        <w:rPr>
          <w:lang w:val="en-GB"/>
        </w:rPr>
        <w:t xml:space="preserve"> </w:t>
      </w:r>
      <w:r w:rsidR="007F0E84" w:rsidRPr="0043509E">
        <w:rPr>
          <w:lang w:val="en-GB"/>
        </w:rPr>
        <w:t>The National Institute of Public Health ha</w:t>
      </w:r>
      <w:r w:rsidR="007F0E84">
        <w:rPr>
          <w:lang w:val="en-GB"/>
        </w:rPr>
        <w:t>d</w:t>
      </w:r>
      <w:r w:rsidR="007F0E84" w:rsidRPr="0043509E">
        <w:rPr>
          <w:lang w:val="en-GB"/>
        </w:rPr>
        <w:t xml:space="preserve"> received 51 </w:t>
      </w:r>
      <w:r w:rsidR="00F82E99">
        <w:rPr>
          <w:lang w:val="en-GB"/>
        </w:rPr>
        <w:t>reports</w:t>
      </w:r>
      <w:r w:rsidR="007F0E84" w:rsidRPr="0043509E">
        <w:rPr>
          <w:lang w:val="en-GB"/>
        </w:rPr>
        <w:t xml:space="preserve"> of </w:t>
      </w:r>
      <w:r w:rsidR="00F82E99">
        <w:rPr>
          <w:lang w:val="en-GB"/>
        </w:rPr>
        <w:t xml:space="preserve">COVID-19 </w:t>
      </w:r>
      <w:r w:rsidR="007F0E84" w:rsidRPr="0043509E">
        <w:rPr>
          <w:lang w:val="en-GB"/>
        </w:rPr>
        <w:t>outbreaks (with two or more cases) in care homes and other institutions</w:t>
      </w:r>
      <w:r w:rsidR="007F0E84">
        <w:rPr>
          <w:lang w:val="en-GB"/>
        </w:rPr>
        <w:t>.</w:t>
      </w:r>
      <w:r w:rsidR="007F0E84">
        <w:rPr>
          <w:rStyle w:val="EndnoteReference"/>
          <w:lang w:val="en-GB"/>
        </w:rPr>
        <w:endnoteReference w:id="7"/>
      </w:r>
      <w:r w:rsidR="007F0E84">
        <w:rPr>
          <w:lang w:val="en-GB"/>
        </w:rPr>
        <w:t xml:space="preserve"> </w:t>
      </w:r>
      <w:r w:rsidR="007F0E84" w:rsidRPr="001A7153">
        <w:rPr>
          <w:lang w:val="en-GB"/>
        </w:rPr>
        <w:t xml:space="preserve">According to the National Institute of Public Health the actual number of outbreaks in health institutions is probably higher, because not all outbreaks are reported. </w:t>
      </w:r>
      <w:r w:rsidR="00F82E99" w:rsidRPr="001A7153">
        <w:rPr>
          <w:lang w:val="en-GB"/>
        </w:rPr>
        <w:t>During the national lockdown persons living in institutions or closed settings were not allowed visitors. Assessments for specialist health services, individual care plans, communications with doctors and free choice of treatment were suspended.</w:t>
      </w:r>
      <w:r w:rsidR="005A7416" w:rsidRPr="001A7153">
        <w:rPr>
          <w:rStyle w:val="EndnoteReference"/>
          <w:lang w:val="en-GB"/>
        </w:rPr>
        <w:endnoteReference w:id="8"/>
      </w:r>
      <w:r w:rsidR="00F82E99" w:rsidRPr="001A7153">
        <w:rPr>
          <w:lang w:val="en-GB"/>
        </w:rPr>
        <w:t xml:space="preserve"> On May 27, the ban on </w:t>
      </w:r>
      <w:r w:rsidR="00D81A4A" w:rsidRPr="001A7153">
        <w:rPr>
          <w:lang w:val="en-GB"/>
        </w:rPr>
        <w:t>visit</w:t>
      </w:r>
      <w:r w:rsidR="00D81A4A">
        <w:rPr>
          <w:lang w:val="en-GB"/>
        </w:rPr>
        <w:t>s</w:t>
      </w:r>
      <w:r w:rsidR="00D81A4A" w:rsidRPr="001A7153">
        <w:rPr>
          <w:lang w:val="en-GB"/>
        </w:rPr>
        <w:t xml:space="preserve"> </w:t>
      </w:r>
      <w:r w:rsidR="00F82E99" w:rsidRPr="001A7153">
        <w:rPr>
          <w:lang w:val="en-GB"/>
        </w:rPr>
        <w:t>was lifted and several patient rights were reintroduced.</w:t>
      </w:r>
      <w:r w:rsidR="005A7416" w:rsidRPr="001A7153">
        <w:rPr>
          <w:rStyle w:val="EndnoteReference"/>
          <w:lang w:val="en-GB"/>
        </w:rPr>
        <w:endnoteReference w:id="9"/>
      </w:r>
    </w:p>
    <w:p w14:paraId="789CFDB2" w14:textId="01A087A7" w:rsidR="002776E5" w:rsidRDefault="002776E5" w:rsidP="00A431D8">
      <w:pPr>
        <w:pStyle w:val="Heading2"/>
        <w:rPr>
          <w:lang w:val="en-GB"/>
        </w:rPr>
      </w:pPr>
      <w:r w:rsidRPr="00B228CA">
        <w:rPr>
          <w:lang w:val="en-GB"/>
        </w:rPr>
        <w:t>Healthcare</w:t>
      </w:r>
    </w:p>
    <w:p w14:paraId="0680CD17" w14:textId="20AEFDE6" w:rsidR="002776E5" w:rsidRPr="002776E5" w:rsidRDefault="001A7153" w:rsidP="001A7153">
      <w:pPr>
        <w:rPr>
          <w:lang w:val="en-GB"/>
        </w:rPr>
      </w:pPr>
      <w:r w:rsidRPr="001A7153">
        <w:rPr>
          <w:lang w:val="en-GB"/>
        </w:rPr>
        <w:t xml:space="preserve">Patients with mild illness </w:t>
      </w:r>
      <w:r>
        <w:rPr>
          <w:lang w:val="en-GB"/>
        </w:rPr>
        <w:t>were</w:t>
      </w:r>
      <w:r w:rsidRPr="001A7153">
        <w:rPr>
          <w:lang w:val="en-GB"/>
        </w:rPr>
        <w:t xml:space="preserve"> advised to self-isolate and</w:t>
      </w:r>
      <w:r>
        <w:rPr>
          <w:lang w:val="en-GB"/>
        </w:rPr>
        <w:t xml:space="preserve"> </w:t>
      </w:r>
      <w:r w:rsidRPr="001A7153">
        <w:rPr>
          <w:lang w:val="en-GB"/>
        </w:rPr>
        <w:t xml:space="preserve">contact their </w:t>
      </w:r>
      <w:r w:rsidR="00D81A4A">
        <w:rPr>
          <w:lang w:val="en-GB"/>
        </w:rPr>
        <w:t>doctor</w:t>
      </w:r>
      <w:r w:rsidR="00D81A4A" w:rsidRPr="001A7153">
        <w:rPr>
          <w:lang w:val="en-GB"/>
        </w:rPr>
        <w:t xml:space="preserve"> </w:t>
      </w:r>
      <w:r w:rsidRPr="001A7153">
        <w:rPr>
          <w:lang w:val="en-GB"/>
        </w:rPr>
        <w:t xml:space="preserve">if symptoms worsen or </w:t>
      </w:r>
      <w:r>
        <w:rPr>
          <w:lang w:val="en-GB"/>
        </w:rPr>
        <w:t xml:space="preserve">do not pass </w:t>
      </w:r>
      <w:r w:rsidRPr="001A7153">
        <w:rPr>
          <w:lang w:val="en-GB"/>
        </w:rPr>
        <w:t xml:space="preserve">by day 7. All patients with shortness of breath </w:t>
      </w:r>
      <w:r>
        <w:rPr>
          <w:lang w:val="en-GB"/>
        </w:rPr>
        <w:t>were</w:t>
      </w:r>
      <w:r w:rsidRPr="001A7153">
        <w:rPr>
          <w:lang w:val="en-GB"/>
        </w:rPr>
        <w:t xml:space="preserve"> advised to contact their </w:t>
      </w:r>
      <w:r w:rsidR="00D81A4A">
        <w:rPr>
          <w:lang w:val="en-GB"/>
        </w:rPr>
        <w:t>doctor</w:t>
      </w:r>
      <w:r w:rsidR="00D81A4A" w:rsidRPr="001A7153">
        <w:rPr>
          <w:lang w:val="en-GB"/>
        </w:rPr>
        <w:t xml:space="preserve"> </w:t>
      </w:r>
      <w:r w:rsidRPr="001A7153">
        <w:rPr>
          <w:lang w:val="en-GB"/>
        </w:rPr>
        <w:t>or go to the emergency department.</w:t>
      </w:r>
      <w:r>
        <w:rPr>
          <w:rStyle w:val="EndnoteReference"/>
          <w:lang w:val="en-GB"/>
        </w:rPr>
        <w:endnoteReference w:id="10"/>
      </w:r>
      <w:r w:rsidRPr="001A7153">
        <w:rPr>
          <w:lang w:val="en-GB"/>
        </w:rPr>
        <w:t xml:space="preserve"> </w:t>
      </w:r>
      <w:r>
        <w:rPr>
          <w:bCs/>
          <w:lang w:val="en-US"/>
        </w:rPr>
        <w:t>All non-essential h</w:t>
      </w:r>
      <w:r w:rsidRPr="00585F0F">
        <w:rPr>
          <w:bCs/>
          <w:lang w:val="en-US"/>
        </w:rPr>
        <w:t>ealth, social and rehabilitation services were discontinued</w:t>
      </w:r>
      <w:r w:rsidR="004E2F72" w:rsidRPr="004E2F72">
        <w:rPr>
          <w:lang w:val="en-GB"/>
        </w:rPr>
        <w:t>.</w:t>
      </w:r>
      <w:r w:rsidR="004E2F72">
        <w:rPr>
          <w:rStyle w:val="EndnoteReference"/>
          <w:lang w:val="en-GB"/>
        </w:rPr>
        <w:endnoteReference w:id="11"/>
      </w:r>
      <w:r w:rsidR="004E2F72">
        <w:rPr>
          <w:lang w:val="en-GB"/>
        </w:rPr>
        <w:t xml:space="preserve"> </w:t>
      </w:r>
    </w:p>
    <w:p w14:paraId="4E979AA5" w14:textId="3DA1DBD1" w:rsidR="002776E5" w:rsidRPr="00B228CA" w:rsidRDefault="002776E5" w:rsidP="00A431D8">
      <w:pPr>
        <w:pStyle w:val="Heading2"/>
        <w:rPr>
          <w:lang w:val="en-GB"/>
        </w:rPr>
      </w:pPr>
      <w:r>
        <w:rPr>
          <w:lang w:val="en-GB"/>
        </w:rPr>
        <w:t>Social protection</w:t>
      </w:r>
    </w:p>
    <w:p w14:paraId="7A67C48B" w14:textId="1119CD73" w:rsidR="008D0EAF" w:rsidRDefault="008D0EAF" w:rsidP="008D0EAF">
      <w:pPr>
        <w:rPr>
          <w:lang w:val="en-GB"/>
        </w:rPr>
      </w:pPr>
      <w:r w:rsidRPr="008D0EAF">
        <w:rPr>
          <w:bCs/>
          <w:lang w:val="en-US"/>
        </w:rPr>
        <w:t>S</w:t>
      </w:r>
      <w:r w:rsidR="00585F0F" w:rsidRPr="008D0EAF">
        <w:rPr>
          <w:bCs/>
          <w:lang w:val="en-US"/>
        </w:rPr>
        <w:t xml:space="preserve">chools and </w:t>
      </w:r>
      <w:r w:rsidRPr="008D0EAF">
        <w:rPr>
          <w:bCs/>
          <w:lang w:val="en-US"/>
        </w:rPr>
        <w:t xml:space="preserve">municipalities had to ensure that </w:t>
      </w:r>
      <w:r w:rsidR="00585F0F" w:rsidRPr="008D0EAF">
        <w:rPr>
          <w:bCs/>
          <w:lang w:val="en-US"/>
        </w:rPr>
        <w:t xml:space="preserve">parents </w:t>
      </w:r>
      <w:r w:rsidRPr="008D0EAF">
        <w:rPr>
          <w:bCs/>
          <w:lang w:val="en-US"/>
        </w:rPr>
        <w:t xml:space="preserve">of </w:t>
      </w:r>
      <w:r w:rsidR="00585F0F" w:rsidRPr="008D0EAF">
        <w:rPr>
          <w:bCs/>
          <w:lang w:val="en-US"/>
        </w:rPr>
        <w:t>children with disabilities</w:t>
      </w:r>
      <w:r w:rsidR="00A21CD5">
        <w:rPr>
          <w:bCs/>
          <w:lang w:val="en-US"/>
        </w:rPr>
        <w:t xml:space="preserve"> or </w:t>
      </w:r>
      <w:r w:rsidR="00585F0F" w:rsidRPr="008D0EAF">
        <w:rPr>
          <w:bCs/>
          <w:lang w:val="en-US"/>
        </w:rPr>
        <w:t>extended needs</w:t>
      </w:r>
      <w:r w:rsidRPr="008D0EAF">
        <w:rPr>
          <w:bCs/>
          <w:lang w:val="en-US"/>
        </w:rPr>
        <w:t xml:space="preserve"> received services</w:t>
      </w:r>
      <w:r w:rsidR="00585F0F" w:rsidRPr="008D0EAF">
        <w:rPr>
          <w:bCs/>
          <w:lang w:val="en-US"/>
        </w:rPr>
        <w:t xml:space="preserve">. </w:t>
      </w:r>
      <w:r w:rsidR="00D81A4A">
        <w:rPr>
          <w:bCs/>
          <w:lang w:val="en-US"/>
        </w:rPr>
        <w:t>A</w:t>
      </w:r>
      <w:r w:rsidR="00585F0F" w:rsidRPr="008D0EAF">
        <w:rPr>
          <w:bCs/>
          <w:lang w:val="en-US"/>
        </w:rPr>
        <w:t xml:space="preserve">ccording to Norwegian Federation of </w:t>
      </w:r>
      <w:r w:rsidRPr="008D0EAF">
        <w:rPr>
          <w:bCs/>
          <w:lang w:val="en-US"/>
        </w:rPr>
        <w:t>Organizations</w:t>
      </w:r>
      <w:r w:rsidR="00585F0F" w:rsidRPr="008D0EAF">
        <w:rPr>
          <w:bCs/>
          <w:lang w:val="en-US"/>
        </w:rPr>
        <w:t xml:space="preserve"> of Disabled People these exceptions did not </w:t>
      </w:r>
      <w:r w:rsidRPr="008D0EAF">
        <w:rPr>
          <w:bCs/>
          <w:lang w:val="en-US"/>
        </w:rPr>
        <w:t xml:space="preserve">function </w:t>
      </w:r>
      <w:r>
        <w:rPr>
          <w:bCs/>
          <w:lang w:val="en-US"/>
        </w:rPr>
        <w:t>properly</w:t>
      </w:r>
      <w:r w:rsidR="00585F0F" w:rsidRPr="008D0EAF">
        <w:rPr>
          <w:bCs/>
          <w:lang w:val="en-US"/>
        </w:rPr>
        <w:t xml:space="preserve">, leaving parents to take care </w:t>
      </w:r>
      <w:r w:rsidR="00D81A4A">
        <w:rPr>
          <w:bCs/>
          <w:lang w:val="en-US"/>
        </w:rPr>
        <w:t>of</w:t>
      </w:r>
      <w:r w:rsidR="00D81A4A" w:rsidRPr="008D0EAF">
        <w:rPr>
          <w:bCs/>
          <w:lang w:val="en-US"/>
        </w:rPr>
        <w:t xml:space="preserve"> </w:t>
      </w:r>
      <w:r w:rsidR="00585F0F" w:rsidRPr="008D0EAF">
        <w:rPr>
          <w:bCs/>
          <w:lang w:val="en-US"/>
        </w:rPr>
        <w:t>their children with disabilities with no support.</w:t>
      </w:r>
      <w:r w:rsidR="00585F0F" w:rsidRPr="00585F0F">
        <w:rPr>
          <w:bCs/>
          <w:lang w:val="en-US"/>
        </w:rPr>
        <w:t xml:space="preserve"> </w:t>
      </w:r>
      <w:r>
        <w:rPr>
          <w:bCs/>
          <w:lang w:val="en-US"/>
        </w:rPr>
        <w:t>Parents</w:t>
      </w:r>
      <w:r w:rsidRPr="001A7153">
        <w:rPr>
          <w:lang w:val="en-GB"/>
        </w:rPr>
        <w:t xml:space="preserve"> or family members of persons with disabilities </w:t>
      </w:r>
      <w:r>
        <w:rPr>
          <w:lang w:val="en-GB"/>
        </w:rPr>
        <w:t xml:space="preserve">were eligible for extensions to paid leave </w:t>
      </w:r>
      <w:r w:rsidRPr="001A7153">
        <w:rPr>
          <w:lang w:val="en-GB"/>
        </w:rPr>
        <w:t>to maintain support.</w:t>
      </w:r>
      <w:r>
        <w:rPr>
          <w:rStyle w:val="EndnoteReference"/>
          <w:lang w:val="en-GB"/>
        </w:rPr>
        <w:endnoteReference w:id="12"/>
      </w:r>
      <w:r w:rsidRPr="008D0EAF">
        <w:rPr>
          <w:lang w:val="en-GB"/>
        </w:rPr>
        <w:t xml:space="preserve"> </w:t>
      </w:r>
      <w:r>
        <w:rPr>
          <w:lang w:val="en-GB"/>
        </w:rPr>
        <w:t xml:space="preserve">Moreover, there was a compensation for </w:t>
      </w:r>
      <w:r w:rsidRPr="001A7153">
        <w:rPr>
          <w:lang w:val="en-GB"/>
        </w:rPr>
        <w:t>disability and patient organisations.</w:t>
      </w:r>
      <w:r>
        <w:rPr>
          <w:rStyle w:val="EndnoteReference"/>
          <w:lang w:val="en-GB"/>
        </w:rPr>
        <w:endnoteReference w:id="13"/>
      </w:r>
      <w:r w:rsidRPr="008D0EAF">
        <w:rPr>
          <w:lang w:val="en-GB"/>
        </w:rPr>
        <w:t xml:space="preserve"> </w:t>
      </w:r>
    </w:p>
    <w:p w14:paraId="7BBD6D50" w14:textId="79EBFAE9" w:rsidR="00585F0F" w:rsidRDefault="00585F0F" w:rsidP="00585F0F">
      <w:pPr>
        <w:rPr>
          <w:bCs/>
          <w:lang w:val="en-US"/>
        </w:rPr>
      </w:pPr>
    </w:p>
    <w:p w14:paraId="086A9406" w14:textId="77777777" w:rsidR="00585F0F" w:rsidRDefault="00585F0F" w:rsidP="004E2F72">
      <w:pPr>
        <w:rPr>
          <w:lang w:val="en-GB"/>
        </w:rPr>
      </w:pPr>
    </w:p>
    <w:p w14:paraId="1FAB3DE0" w14:textId="07514B35" w:rsidR="004E2F72" w:rsidRPr="006010AE" w:rsidRDefault="004E2F72" w:rsidP="004E2F72">
      <w:pPr>
        <w:rPr>
          <w:szCs w:val="24"/>
          <w:lang w:val="en-GB"/>
        </w:rPr>
      </w:pPr>
    </w:p>
    <w:sectPr w:rsidR="004E2F72" w:rsidRPr="006010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B07E" w14:textId="77777777" w:rsidR="00E664BE" w:rsidRDefault="00E664BE" w:rsidP="00E64D76">
      <w:pPr>
        <w:spacing w:before="0" w:after="0" w:line="240" w:lineRule="auto"/>
      </w:pPr>
      <w:r>
        <w:separator/>
      </w:r>
    </w:p>
  </w:endnote>
  <w:endnote w:type="continuationSeparator" w:id="0">
    <w:p w14:paraId="18F7395A" w14:textId="77777777" w:rsidR="00E664BE" w:rsidRDefault="00E664BE" w:rsidP="00E64D76">
      <w:pPr>
        <w:spacing w:before="0" w:after="0" w:line="240" w:lineRule="auto"/>
      </w:pPr>
      <w:r>
        <w:continuationSeparator/>
      </w:r>
    </w:p>
  </w:endnote>
  <w:endnote w:id="1">
    <w:p w14:paraId="1DA4B3BA" w14:textId="4B7C5C68" w:rsidR="005A7416" w:rsidRPr="00910124" w:rsidRDefault="005A7416"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WHO Coronavirus Disease (COVID-19) Dashboard, Norway, available at: https://covid19.who.int/table</w:t>
      </w:r>
    </w:p>
  </w:endnote>
  <w:endnote w:id="2">
    <w:p w14:paraId="76304E6A" w14:textId="044D855E" w:rsidR="005A7416" w:rsidRPr="00910124" w:rsidRDefault="005A7416" w:rsidP="00910124">
      <w:pPr>
        <w:pStyle w:val="EndnoteText"/>
        <w:spacing w:before="120" w:after="120" w:line="360" w:lineRule="auto"/>
        <w:rPr>
          <w:rFonts w:cs="Arial"/>
          <w:sz w:val="24"/>
          <w:szCs w:val="24"/>
        </w:rPr>
      </w:pPr>
      <w:r w:rsidRPr="00910124">
        <w:rPr>
          <w:rStyle w:val="EndnoteReference"/>
          <w:rFonts w:cs="Arial"/>
          <w:sz w:val="24"/>
          <w:szCs w:val="24"/>
        </w:rPr>
        <w:endnoteRef/>
      </w:r>
      <w:r w:rsidRPr="00910124">
        <w:rPr>
          <w:rFonts w:cs="Arial"/>
          <w:sz w:val="24"/>
          <w:szCs w:val="24"/>
        </w:rPr>
        <w:t xml:space="preserve"> </w:t>
      </w:r>
      <w:r w:rsidRPr="00910124">
        <w:rPr>
          <w:rFonts w:cs="Arial"/>
          <w:sz w:val="24"/>
          <w:szCs w:val="24"/>
          <w:lang w:val="en-GB"/>
        </w:rPr>
        <w:t>Information provided by EDF.</w:t>
      </w:r>
    </w:p>
  </w:endnote>
  <w:endnote w:id="3">
    <w:p w14:paraId="4FB29E23" w14:textId="6092C0F3" w:rsidR="005A7416" w:rsidRPr="00910124" w:rsidRDefault="005A7416"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Norwegian government, Information for Norwegian citizens about travel and the coronavirus </w:t>
      </w:r>
      <w:hyperlink r:id="rId1" w:history="1">
        <w:r w:rsidRPr="00910124">
          <w:rPr>
            <w:rStyle w:val="Hyperlink"/>
            <w:rFonts w:cs="Arial"/>
            <w:sz w:val="24"/>
            <w:szCs w:val="24"/>
            <w:lang w:val="en-GB"/>
          </w:rPr>
          <w:t>https://www.regjeringen.no/en/topics/foreign-affairs/reiseinformasjon/travel_coronavirus/id2691821/</w:t>
        </w:r>
      </w:hyperlink>
    </w:p>
  </w:endnote>
  <w:endnote w:id="4">
    <w:p w14:paraId="4894AB43" w14:textId="58F9F0C9" w:rsidR="005A7416" w:rsidRPr="00910124" w:rsidRDefault="005A7416"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National institute for public health, Advice and information for risk groups and relatives, available at: </w:t>
      </w:r>
      <w:hyperlink r:id="rId2" w:history="1">
        <w:r w:rsidRPr="00910124">
          <w:rPr>
            <w:rStyle w:val="Hyperlink"/>
            <w:rFonts w:cs="Arial"/>
            <w:sz w:val="24"/>
            <w:szCs w:val="24"/>
            <w:lang w:val="en-GB"/>
          </w:rPr>
          <w:t>https://www.fhi.no/nettpub/coronavirus/fakta/risikogrupper/</w:t>
        </w:r>
      </w:hyperlink>
    </w:p>
  </w:endnote>
  <w:endnote w:id="5">
    <w:p w14:paraId="14361E7A" w14:textId="560AD129" w:rsidR="005A7416" w:rsidRPr="00910124" w:rsidRDefault="005A7416"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International Disability Alliance, Reaching Persons with </w:t>
      </w:r>
      <w:proofErr w:type="spellStart"/>
      <w:r w:rsidRPr="00910124">
        <w:rPr>
          <w:rFonts w:cs="Arial"/>
          <w:sz w:val="24"/>
          <w:szCs w:val="24"/>
          <w:lang w:val="en-GB"/>
        </w:rPr>
        <w:t>Deafblindness</w:t>
      </w:r>
      <w:proofErr w:type="spellEnd"/>
      <w:r w:rsidRPr="00910124">
        <w:rPr>
          <w:rFonts w:cs="Arial"/>
          <w:sz w:val="24"/>
          <w:szCs w:val="24"/>
          <w:lang w:val="en-GB"/>
        </w:rPr>
        <w:t xml:space="preserve"> during the Covid-19 pandemic, available at: </w:t>
      </w:r>
      <w:hyperlink r:id="rId3" w:history="1">
        <w:r w:rsidRPr="00910124">
          <w:rPr>
            <w:rStyle w:val="Hyperlink"/>
            <w:rFonts w:cs="Arial"/>
            <w:sz w:val="24"/>
            <w:szCs w:val="24"/>
            <w:lang w:val="en-GB"/>
          </w:rPr>
          <w:t>https://www.internationaldisabilityalliance.org/covid-deafblind</w:t>
        </w:r>
      </w:hyperlink>
      <w:r w:rsidRPr="00910124">
        <w:rPr>
          <w:rFonts w:cs="Arial"/>
          <w:sz w:val="24"/>
          <w:szCs w:val="24"/>
          <w:lang w:val="en-GB"/>
        </w:rPr>
        <w:t xml:space="preserve"> </w:t>
      </w:r>
    </w:p>
  </w:endnote>
  <w:endnote w:id="6">
    <w:p w14:paraId="2E2E9048" w14:textId="662863C8" w:rsidR="005A7416" w:rsidRPr="00910124" w:rsidRDefault="005A7416"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National Institute of Public Health, COVID-19 weekly report, available at: </w:t>
      </w:r>
      <w:hyperlink r:id="rId4" w:history="1">
        <w:r w:rsidRPr="00910124">
          <w:rPr>
            <w:rStyle w:val="Hyperlink"/>
            <w:rFonts w:cs="Arial"/>
            <w:sz w:val="24"/>
            <w:szCs w:val="24"/>
            <w:lang w:val="en-GB"/>
          </w:rPr>
          <w:t>https://www.fhi.no/contentassets/8a971e7b0a3c4a06bdbf381ab52e6157/vedlegg/2020.08.05-ukerapport-uke-31-covid-19.pdf</w:t>
        </w:r>
      </w:hyperlink>
    </w:p>
  </w:endnote>
  <w:endnote w:id="7">
    <w:p w14:paraId="49DCA648" w14:textId="4C54B933" w:rsidR="005A7416" w:rsidRPr="00910124" w:rsidRDefault="005A7416" w:rsidP="00910124">
      <w:pPr>
        <w:pStyle w:val="EndnoteText"/>
        <w:spacing w:before="120" w:after="120" w:line="360" w:lineRule="auto"/>
        <w:rPr>
          <w:rFonts w:cs="Arial"/>
          <w:sz w:val="24"/>
          <w:szCs w:val="24"/>
        </w:rPr>
      </w:pPr>
      <w:r w:rsidRPr="00910124">
        <w:rPr>
          <w:rStyle w:val="EndnoteReference"/>
          <w:rFonts w:cs="Arial"/>
          <w:sz w:val="24"/>
          <w:szCs w:val="24"/>
        </w:rPr>
        <w:endnoteRef/>
      </w:r>
      <w:r w:rsidRPr="00910124">
        <w:rPr>
          <w:rFonts w:cs="Arial"/>
          <w:sz w:val="24"/>
          <w:szCs w:val="24"/>
        </w:rPr>
        <w:t xml:space="preserve"> </w:t>
      </w:r>
      <w:r w:rsidRPr="00910124">
        <w:rPr>
          <w:rFonts w:cs="Arial"/>
          <w:sz w:val="24"/>
          <w:szCs w:val="24"/>
          <w:lang w:val="en-GB"/>
        </w:rPr>
        <w:t xml:space="preserve">National Institute of Public Health, COVID-19 weekly report, available at: </w:t>
      </w:r>
      <w:hyperlink r:id="rId5" w:history="1">
        <w:r w:rsidRPr="00910124">
          <w:rPr>
            <w:rStyle w:val="Hyperlink"/>
            <w:rFonts w:cs="Arial"/>
            <w:sz w:val="24"/>
            <w:szCs w:val="24"/>
            <w:lang w:val="en-GB"/>
          </w:rPr>
          <w:t>https://www.fhi.no/contentassets/8a971e7b0a3c4a06bdbf381ab52e6157/vedlegg/2020.08.05-ukerapport-uke-31-covid-19.pdf</w:t>
        </w:r>
      </w:hyperlink>
    </w:p>
  </w:endnote>
  <w:endnote w:id="8">
    <w:p w14:paraId="48967F2C" w14:textId="1C8436B7" w:rsidR="005A7416" w:rsidRPr="00910124" w:rsidRDefault="005A7416" w:rsidP="00910124">
      <w:pPr>
        <w:pStyle w:val="FootnoteText"/>
        <w:spacing w:before="120" w:after="120" w:line="360" w:lineRule="auto"/>
        <w:rPr>
          <w:rFonts w:ascii="Arial" w:hAnsi="Arial" w:cs="Arial"/>
          <w:sz w:val="24"/>
          <w:szCs w:val="24"/>
          <w:lang w:val="lv-LV"/>
        </w:rPr>
      </w:pPr>
      <w:r w:rsidRPr="00910124">
        <w:rPr>
          <w:rStyle w:val="EndnoteReference"/>
          <w:rFonts w:ascii="Arial" w:hAnsi="Arial" w:cs="Arial"/>
          <w:sz w:val="24"/>
          <w:szCs w:val="24"/>
        </w:rPr>
        <w:endnoteRef/>
      </w:r>
      <w:r w:rsidRPr="00910124">
        <w:rPr>
          <w:rFonts w:ascii="Arial" w:hAnsi="Arial" w:cs="Arial"/>
          <w:sz w:val="24"/>
          <w:szCs w:val="24"/>
        </w:rPr>
        <w:t xml:space="preserve"> </w:t>
      </w:r>
      <w:r w:rsidR="001A7153" w:rsidRPr="00910124">
        <w:rPr>
          <w:rFonts w:ascii="Arial" w:hAnsi="Arial" w:cs="Arial"/>
          <w:sz w:val="24"/>
          <w:szCs w:val="24"/>
        </w:rPr>
        <w:t xml:space="preserve">Ministry of Health and Care Services, Patient rights are reintroduced, available at: </w:t>
      </w:r>
      <w:hyperlink r:id="rId6" w:history="1">
        <w:r w:rsidRPr="00910124">
          <w:rPr>
            <w:rStyle w:val="Hyperlink"/>
            <w:rFonts w:ascii="Arial" w:hAnsi="Arial" w:cs="Arial"/>
            <w:sz w:val="24"/>
            <w:szCs w:val="24"/>
            <w:lang w:val="lv-LV"/>
          </w:rPr>
          <w:t>https://www.regjeringen.no/no/aktuelt/pasientrettigheter-gjeninnfores/id2704151/</w:t>
        </w:r>
      </w:hyperlink>
    </w:p>
  </w:endnote>
  <w:endnote w:id="9">
    <w:p w14:paraId="6F4F860D" w14:textId="397535DF" w:rsidR="005A7416" w:rsidRPr="00910124" w:rsidRDefault="005A7416" w:rsidP="00910124">
      <w:pPr>
        <w:pStyle w:val="FootnoteText"/>
        <w:spacing w:before="120" w:after="120" w:line="360" w:lineRule="auto"/>
        <w:rPr>
          <w:rFonts w:ascii="Arial" w:hAnsi="Arial" w:cs="Arial"/>
          <w:sz w:val="24"/>
          <w:szCs w:val="24"/>
          <w:lang w:val="lv-LV"/>
        </w:rPr>
      </w:pPr>
      <w:r w:rsidRPr="00910124">
        <w:rPr>
          <w:rStyle w:val="EndnoteReference"/>
          <w:rFonts w:ascii="Arial" w:hAnsi="Arial" w:cs="Arial"/>
          <w:sz w:val="24"/>
          <w:szCs w:val="24"/>
        </w:rPr>
        <w:endnoteRef/>
      </w:r>
      <w:r w:rsidRPr="00910124">
        <w:rPr>
          <w:rFonts w:ascii="Arial" w:hAnsi="Arial" w:cs="Arial"/>
          <w:sz w:val="24"/>
          <w:szCs w:val="24"/>
        </w:rPr>
        <w:t xml:space="preserve"> </w:t>
      </w:r>
      <w:r w:rsidR="001A7153" w:rsidRPr="00910124">
        <w:rPr>
          <w:rFonts w:ascii="Arial" w:hAnsi="Arial" w:cs="Arial"/>
          <w:sz w:val="24"/>
          <w:szCs w:val="24"/>
        </w:rPr>
        <w:t xml:space="preserve">Ministry of Health and Care Services, Patient rights are reintroduced, available at: </w:t>
      </w:r>
      <w:hyperlink r:id="rId7" w:history="1">
        <w:r w:rsidRPr="00910124">
          <w:rPr>
            <w:rStyle w:val="Hyperlink"/>
            <w:rFonts w:ascii="Arial" w:hAnsi="Arial" w:cs="Arial"/>
            <w:sz w:val="24"/>
            <w:szCs w:val="24"/>
            <w:lang w:val="lv-LV"/>
          </w:rPr>
          <w:t>https://www.regjeringen.no/no/aktuelt/pasientrettigheter-gjeninnfores/id2704151/</w:t>
        </w:r>
      </w:hyperlink>
    </w:p>
  </w:endnote>
  <w:endnote w:id="10">
    <w:p w14:paraId="7CF1518C" w14:textId="1AA4E82D" w:rsidR="001A7153" w:rsidRPr="00910124" w:rsidRDefault="001A7153"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COVID-19 Triage Systems and Case Fatality Rates: A Comparative Simulation Study Between Singapore, Japan, Norway, the USA and the UK, available at: </w:t>
      </w:r>
      <w:hyperlink r:id="rId8" w:history="1">
        <w:r w:rsidRPr="00910124">
          <w:rPr>
            <w:rStyle w:val="Hyperlink"/>
            <w:rFonts w:cs="Arial"/>
            <w:sz w:val="24"/>
            <w:szCs w:val="24"/>
            <w:lang w:val="en-GB"/>
          </w:rPr>
          <w:t>https://www.medrxiv.org/content/10.1101/2020.04.28.20084079v2.full.pdf</w:t>
        </w:r>
      </w:hyperlink>
    </w:p>
  </w:endnote>
  <w:endnote w:id="11">
    <w:p w14:paraId="34CCC615" w14:textId="25EB7BF6" w:rsidR="005A7416" w:rsidRPr="00910124" w:rsidRDefault="005A7416" w:rsidP="00910124">
      <w:pPr>
        <w:pStyle w:val="EndnoteText"/>
        <w:spacing w:before="120" w:after="120" w:line="360" w:lineRule="auto"/>
        <w:rPr>
          <w:rFonts w:cs="Arial"/>
          <w:sz w:val="24"/>
          <w:szCs w:val="24"/>
        </w:rPr>
      </w:pPr>
      <w:r w:rsidRPr="00910124">
        <w:rPr>
          <w:rStyle w:val="EndnoteReference"/>
          <w:rFonts w:cs="Arial"/>
          <w:sz w:val="24"/>
          <w:szCs w:val="24"/>
        </w:rPr>
        <w:endnoteRef/>
      </w:r>
      <w:r w:rsidRPr="00910124">
        <w:rPr>
          <w:rFonts w:cs="Arial"/>
          <w:sz w:val="24"/>
          <w:szCs w:val="24"/>
        </w:rPr>
        <w:t xml:space="preserve"> </w:t>
      </w:r>
      <w:r w:rsidRPr="00910124">
        <w:rPr>
          <w:rFonts w:cs="Arial"/>
          <w:sz w:val="24"/>
          <w:szCs w:val="24"/>
          <w:lang w:val="en-GB"/>
        </w:rPr>
        <w:t xml:space="preserve">Information provided by </w:t>
      </w:r>
      <w:r w:rsidR="001A7153" w:rsidRPr="00910124">
        <w:rPr>
          <w:rFonts w:cs="Arial"/>
          <w:sz w:val="24"/>
          <w:szCs w:val="24"/>
          <w:lang w:val="en-GB"/>
        </w:rPr>
        <w:t>Norwegian Federation of Organisations of Disabled People</w:t>
      </w:r>
      <w:r w:rsidR="00912B8D">
        <w:rPr>
          <w:rFonts w:cs="Arial"/>
          <w:sz w:val="24"/>
          <w:szCs w:val="24"/>
          <w:lang w:val="en-GB"/>
        </w:rPr>
        <w:t>, 3 September 2020.</w:t>
      </w:r>
    </w:p>
  </w:endnote>
  <w:endnote w:id="12">
    <w:p w14:paraId="0545420D" w14:textId="672E6C81" w:rsidR="008D0EAF" w:rsidRPr="00910124" w:rsidRDefault="008D0EAF" w:rsidP="00910124">
      <w:pPr>
        <w:pStyle w:val="EndnoteText"/>
        <w:spacing w:before="120" w:after="120" w:line="360" w:lineRule="auto"/>
        <w:rPr>
          <w:rFonts w:cs="Arial"/>
          <w:sz w:val="24"/>
          <w:szCs w:val="24"/>
          <w:lang w:val="en-GB"/>
        </w:rPr>
      </w:pPr>
      <w:r w:rsidRPr="00910124">
        <w:rPr>
          <w:rStyle w:val="EndnoteReference"/>
          <w:rFonts w:cs="Arial"/>
          <w:sz w:val="24"/>
          <w:szCs w:val="24"/>
          <w:lang w:val="en-GB"/>
        </w:rPr>
        <w:endnoteRef/>
      </w:r>
      <w:r w:rsidRPr="00910124">
        <w:rPr>
          <w:rFonts w:cs="Arial"/>
          <w:sz w:val="24"/>
          <w:szCs w:val="24"/>
          <w:lang w:val="en-GB"/>
        </w:rPr>
        <w:t xml:space="preserve">  UNPRPD, Initial overview of specific social protection measures for persons with disabilities and their families in response to COVID 19 crisis, available at: </w:t>
      </w:r>
      <w:hyperlink r:id="rId9" w:history="1">
        <w:r w:rsidRPr="00910124">
          <w:rPr>
            <w:rStyle w:val="Hyperlink"/>
            <w:rFonts w:cs="Arial"/>
            <w:sz w:val="24"/>
            <w:szCs w:val="24"/>
            <w:lang w:val="en-GB"/>
          </w:rPr>
          <w:t>https://inclusive-policy.org/wp-content/uploads/2020/05/Overview-response_1.4.pdf</w:t>
        </w:r>
      </w:hyperlink>
    </w:p>
  </w:endnote>
  <w:endnote w:id="13">
    <w:p w14:paraId="1A39037B" w14:textId="0D0601D2" w:rsidR="008D0EAF" w:rsidRDefault="008D0EAF" w:rsidP="00910124">
      <w:pPr>
        <w:pStyle w:val="EndnoteText"/>
        <w:spacing w:before="120" w:after="120" w:line="360" w:lineRule="auto"/>
      </w:pPr>
      <w:r w:rsidRPr="00910124">
        <w:rPr>
          <w:rStyle w:val="EndnoteReference"/>
          <w:rFonts w:cs="Arial"/>
          <w:sz w:val="24"/>
          <w:szCs w:val="24"/>
        </w:rPr>
        <w:endnoteRef/>
      </w:r>
      <w:r w:rsidRPr="00910124">
        <w:rPr>
          <w:rFonts w:cs="Arial"/>
          <w:sz w:val="24"/>
          <w:szCs w:val="24"/>
        </w:rPr>
        <w:t xml:space="preserve"> </w:t>
      </w:r>
      <w:r w:rsidRPr="00910124">
        <w:rPr>
          <w:rFonts w:cs="Arial"/>
          <w:sz w:val="24"/>
          <w:szCs w:val="24"/>
          <w:lang w:val="en-GB"/>
        </w:rPr>
        <w:t>Information provided by Norwegian Federation of Organisations of Disabled People.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CA8C" w14:textId="77777777" w:rsidR="00E664BE" w:rsidRDefault="00E664BE" w:rsidP="00E64D76">
      <w:pPr>
        <w:spacing w:before="0" w:after="0" w:line="240" w:lineRule="auto"/>
      </w:pPr>
      <w:r>
        <w:separator/>
      </w:r>
    </w:p>
  </w:footnote>
  <w:footnote w:type="continuationSeparator" w:id="0">
    <w:p w14:paraId="1460C001" w14:textId="77777777" w:rsidR="00E664BE" w:rsidRDefault="00E664BE" w:rsidP="00E64D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16E"/>
    <w:multiLevelType w:val="hybridMultilevel"/>
    <w:tmpl w:val="10FE2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6C3090"/>
    <w:multiLevelType w:val="hybridMultilevel"/>
    <w:tmpl w:val="83BEB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CC01AE"/>
    <w:multiLevelType w:val="hybridMultilevel"/>
    <w:tmpl w:val="40DEE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BB"/>
    <w:rsid w:val="00026068"/>
    <w:rsid w:val="000A469E"/>
    <w:rsid w:val="000B4258"/>
    <w:rsid w:val="001A7153"/>
    <w:rsid w:val="001C59D9"/>
    <w:rsid w:val="002776E5"/>
    <w:rsid w:val="002E610E"/>
    <w:rsid w:val="003347BB"/>
    <w:rsid w:val="003405C6"/>
    <w:rsid w:val="00355688"/>
    <w:rsid w:val="00381756"/>
    <w:rsid w:val="003907B8"/>
    <w:rsid w:val="0043509E"/>
    <w:rsid w:val="00440605"/>
    <w:rsid w:val="004476B5"/>
    <w:rsid w:val="00496ADB"/>
    <w:rsid w:val="004E2F72"/>
    <w:rsid w:val="00562AD6"/>
    <w:rsid w:val="00585F0F"/>
    <w:rsid w:val="005A6603"/>
    <w:rsid w:val="005A7416"/>
    <w:rsid w:val="005B793E"/>
    <w:rsid w:val="005D429E"/>
    <w:rsid w:val="006010AE"/>
    <w:rsid w:val="00607DA6"/>
    <w:rsid w:val="006D2C72"/>
    <w:rsid w:val="006D2EAB"/>
    <w:rsid w:val="007C6421"/>
    <w:rsid w:val="007D13C3"/>
    <w:rsid w:val="007F0E84"/>
    <w:rsid w:val="00805CFA"/>
    <w:rsid w:val="008156B3"/>
    <w:rsid w:val="00885C4F"/>
    <w:rsid w:val="008D0EAF"/>
    <w:rsid w:val="00910124"/>
    <w:rsid w:val="00912B8D"/>
    <w:rsid w:val="00943538"/>
    <w:rsid w:val="00975456"/>
    <w:rsid w:val="009D7B1B"/>
    <w:rsid w:val="00A21CD5"/>
    <w:rsid w:val="00A431D8"/>
    <w:rsid w:val="00A77E44"/>
    <w:rsid w:val="00AA796E"/>
    <w:rsid w:val="00AD0E41"/>
    <w:rsid w:val="00AD2579"/>
    <w:rsid w:val="00AF05D0"/>
    <w:rsid w:val="00B228CA"/>
    <w:rsid w:val="00B72DA6"/>
    <w:rsid w:val="00BE4A90"/>
    <w:rsid w:val="00C36A5D"/>
    <w:rsid w:val="00C45A28"/>
    <w:rsid w:val="00C65E6B"/>
    <w:rsid w:val="00CA4ECB"/>
    <w:rsid w:val="00CF4D80"/>
    <w:rsid w:val="00D81A4A"/>
    <w:rsid w:val="00D86C92"/>
    <w:rsid w:val="00DE1D6F"/>
    <w:rsid w:val="00E64D76"/>
    <w:rsid w:val="00E664BE"/>
    <w:rsid w:val="00E740C1"/>
    <w:rsid w:val="00E74B9D"/>
    <w:rsid w:val="00EB1E81"/>
    <w:rsid w:val="00F07D54"/>
    <w:rsid w:val="00F82E9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5165"/>
  <w15:chartTrackingRefBased/>
  <w15:docId w15:val="{56E30990-067C-4C88-B812-C7803FAC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BB"/>
    <w:pPr>
      <w:spacing w:before="120" w:after="120" w:line="360" w:lineRule="auto"/>
    </w:pPr>
    <w:rPr>
      <w:rFonts w:ascii="Arial" w:hAnsi="Arial"/>
      <w:sz w:val="24"/>
    </w:rPr>
  </w:style>
  <w:style w:type="paragraph" w:styleId="Heading1">
    <w:name w:val="heading 1"/>
    <w:basedOn w:val="Normal"/>
    <w:next w:val="Normal"/>
    <w:link w:val="Heading1Char"/>
    <w:uiPriority w:val="9"/>
    <w:qFormat/>
    <w:rsid w:val="003347BB"/>
    <w:pPr>
      <w:keepNext/>
      <w:keepLines/>
      <w:outlineLvl w:val="0"/>
    </w:pPr>
    <w:rPr>
      <w:rFonts w:eastAsiaTheme="majorEastAsia" w:cstheme="majorBidi"/>
      <w:caps/>
      <w:color w:val="1F3864" w:themeColor="accent1" w:themeShade="80"/>
      <w:sz w:val="32"/>
      <w:szCs w:val="32"/>
    </w:rPr>
  </w:style>
  <w:style w:type="paragraph" w:styleId="Heading2">
    <w:name w:val="heading 2"/>
    <w:basedOn w:val="Normal"/>
    <w:next w:val="Normal"/>
    <w:link w:val="Heading2Char"/>
    <w:uiPriority w:val="9"/>
    <w:unhideWhenUsed/>
    <w:qFormat/>
    <w:rsid w:val="00A431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7BB"/>
    <w:rPr>
      <w:rFonts w:ascii="Arial" w:eastAsiaTheme="majorEastAsia" w:hAnsi="Arial" w:cstheme="majorBidi"/>
      <w:caps/>
      <w:color w:val="1F3864" w:themeColor="accent1" w:themeShade="80"/>
      <w:sz w:val="32"/>
      <w:szCs w:val="32"/>
    </w:rPr>
  </w:style>
  <w:style w:type="character" w:styleId="Hyperlink">
    <w:name w:val="Hyperlink"/>
    <w:basedOn w:val="DefaultParagraphFont"/>
    <w:uiPriority w:val="99"/>
    <w:unhideWhenUsed/>
    <w:rsid w:val="00E64D76"/>
    <w:rPr>
      <w:color w:val="0563C1" w:themeColor="hyperlink"/>
      <w:u w:val="single"/>
    </w:rPr>
  </w:style>
  <w:style w:type="paragraph" w:styleId="FootnoteText">
    <w:name w:val="footnote text"/>
    <w:basedOn w:val="Normal"/>
    <w:link w:val="FootnoteTextChar"/>
    <w:uiPriority w:val="99"/>
    <w:unhideWhenUsed/>
    <w:rsid w:val="00E64D76"/>
    <w:pPr>
      <w:spacing w:before="0"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E64D76"/>
    <w:rPr>
      <w:sz w:val="20"/>
      <w:szCs w:val="20"/>
      <w:lang w:val="en-GB"/>
    </w:rPr>
  </w:style>
  <w:style w:type="character" w:styleId="FootnoteReference">
    <w:name w:val="footnote reference"/>
    <w:basedOn w:val="DefaultParagraphFont"/>
    <w:uiPriority w:val="99"/>
    <w:semiHidden/>
    <w:unhideWhenUsed/>
    <w:rsid w:val="00E64D76"/>
    <w:rPr>
      <w:vertAlign w:val="superscript"/>
    </w:rPr>
  </w:style>
  <w:style w:type="paragraph" w:styleId="ListParagraph">
    <w:name w:val="List Paragraph"/>
    <w:basedOn w:val="Normal"/>
    <w:uiPriority w:val="34"/>
    <w:qFormat/>
    <w:rsid w:val="005A6603"/>
    <w:pPr>
      <w:ind w:left="720"/>
      <w:contextualSpacing/>
    </w:pPr>
  </w:style>
  <w:style w:type="paragraph" w:styleId="BalloonText">
    <w:name w:val="Balloon Text"/>
    <w:basedOn w:val="Normal"/>
    <w:link w:val="BalloonTextChar"/>
    <w:uiPriority w:val="99"/>
    <w:semiHidden/>
    <w:unhideWhenUsed/>
    <w:rsid w:val="00B228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CA"/>
    <w:rPr>
      <w:rFonts w:ascii="Segoe UI" w:hAnsi="Segoe UI" w:cs="Segoe UI"/>
      <w:sz w:val="18"/>
      <w:szCs w:val="18"/>
    </w:rPr>
  </w:style>
  <w:style w:type="character" w:styleId="UnresolvedMention">
    <w:name w:val="Unresolved Mention"/>
    <w:basedOn w:val="DefaultParagraphFont"/>
    <w:uiPriority w:val="99"/>
    <w:semiHidden/>
    <w:unhideWhenUsed/>
    <w:rsid w:val="00AD2579"/>
    <w:rPr>
      <w:color w:val="605E5C"/>
      <w:shd w:val="clear" w:color="auto" w:fill="E1DFDD"/>
    </w:rPr>
  </w:style>
  <w:style w:type="character" w:styleId="FollowedHyperlink">
    <w:name w:val="FollowedHyperlink"/>
    <w:basedOn w:val="DefaultParagraphFont"/>
    <w:uiPriority w:val="99"/>
    <w:semiHidden/>
    <w:unhideWhenUsed/>
    <w:rsid w:val="00AD2579"/>
    <w:rPr>
      <w:color w:val="954F72" w:themeColor="followedHyperlink"/>
      <w:u w:val="single"/>
    </w:rPr>
  </w:style>
  <w:style w:type="paragraph" w:styleId="EndnoteText">
    <w:name w:val="endnote text"/>
    <w:basedOn w:val="Normal"/>
    <w:link w:val="EndnoteTextChar"/>
    <w:uiPriority w:val="99"/>
    <w:semiHidden/>
    <w:unhideWhenUsed/>
    <w:rsid w:val="002776E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776E5"/>
    <w:rPr>
      <w:rFonts w:ascii="Arial" w:hAnsi="Arial"/>
      <w:sz w:val="20"/>
      <w:szCs w:val="20"/>
    </w:rPr>
  </w:style>
  <w:style w:type="character" w:styleId="EndnoteReference">
    <w:name w:val="endnote reference"/>
    <w:basedOn w:val="DefaultParagraphFont"/>
    <w:uiPriority w:val="99"/>
    <w:semiHidden/>
    <w:unhideWhenUsed/>
    <w:rsid w:val="002776E5"/>
    <w:rPr>
      <w:vertAlign w:val="superscript"/>
    </w:rPr>
  </w:style>
  <w:style w:type="character" w:styleId="CommentReference">
    <w:name w:val="annotation reference"/>
    <w:basedOn w:val="DefaultParagraphFont"/>
    <w:uiPriority w:val="99"/>
    <w:semiHidden/>
    <w:unhideWhenUsed/>
    <w:rsid w:val="000B4258"/>
    <w:rPr>
      <w:sz w:val="16"/>
      <w:szCs w:val="16"/>
    </w:rPr>
  </w:style>
  <w:style w:type="paragraph" w:styleId="CommentText">
    <w:name w:val="annotation text"/>
    <w:basedOn w:val="Normal"/>
    <w:link w:val="CommentTextChar"/>
    <w:uiPriority w:val="99"/>
    <w:semiHidden/>
    <w:unhideWhenUsed/>
    <w:rsid w:val="000B4258"/>
    <w:pPr>
      <w:spacing w:line="240" w:lineRule="auto"/>
    </w:pPr>
    <w:rPr>
      <w:sz w:val="20"/>
      <w:szCs w:val="20"/>
    </w:rPr>
  </w:style>
  <w:style w:type="character" w:customStyle="1" w:styleId="CommentTextChar">
    <w:name w:val="Comment Text Char"/>
    <w:basedOn w:val="DefaultParagraphFont"/>
    <w:link w:val="CommentText"/>
    <w:uiPriority w:val="99"/>
    <w:semiHidden/>
    <w:rsid w:val="000B42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4258"/>
    <w:rPr>
      <w:b/>
      <w:bCs/>
    </w:rPr>
  </w:style>
  <w:style w:type="character" w:customStyle="1" w:styleId="CommentSubjectChar">
    <w:name w:val="Comment Subject Char"/>
    <w:basedOn w:val="CommentTextChar"/>
    <w:link w:val="CommentSubject"/>
    <w:uiPriority w:val="99"/>
    <w:semiHidden/>
    <w:rsid w:val="000B4258"/>
    <w:rPr>
      <w:rFonts w:ascii="Arial" w:hAnsi="Arial"/>
      <w:b/>
      <w:bCs/>
      <w:sz w:val="20"/>
      <w:szCs w:val="20"/>
    </w:rPr>
  </w:style>
  <w:style w:type="character" w:customStyle="1" w:styleId="Heading2Char">
    <w:name w:val="Heading 2 Char"/>
    <w:basedOn w:val="DefaultParagraphFont"/>
    <w:link w:val="Heading2"/>
    <w:uiPriority w:val="9"/>
    <w:rsid w:val="00A431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3659">
      <w:bodyDiv w:val="1"/>
      <w:marLeft w:val="0"/>
      <w:marRight w:val="0"/>
      <w:marTop w:val="0"/>
      <w:marBottom w:val="0"/>
      <w:divBdr>
        <w:top w:val="none" w:sz="0" w:space="0" w:color="auto"/>
        <w:left w:val="none" w:sz="0" w:space="0" w:color="auto"/>
        <w:bottom w:val="none" w:sz="0" w:space="0" w:color="auto"/>
        <w:right w:val="none" w:sz="0" w:space="0" w:color="auto"/>
      </w:divBdr>
    </w:div>
    <w:div w:id="414279687">
      <w:bodyDiv w:val="1"/>
      <w:marLeft w:val="0"/>
      <w:marRight w:val="0"/>
      <w:marTop w:val="0"/>
      <w:marBottom w:val="0"/>
      <w:divBdr>
        <w:top w:val="none" w:sz="0" w:space="0" w:color="auto"/>
        <w:left w:val="none" w:sz="0" w:space="0" w:color="auto"/>
        <w:bottom w:val="none" w:sz="0" w:space="0" w:color="auto"/>
        <w:right w:val="none" w:sz="0" w:space="0" w:color="auto"/>
      </w:divBdr>
    </w:div>
    <w:div w:id="516161814">
      <w:bodyDiv w:val="1"/>
      <w:marLeft w:val="0"/>
      <w:marRight w:val="0"/>
      <w:marTop w:val="0"/>
      <w:marBottom w:val="0"/>
      <w:divBdr>
        <w:top w:val="none" w:sz="0" w:space="0" w:color="auto"/>
        <w:left w:val="none" w:sz="0" w:space="0" w:color="auto"/>
        <w:bottom w:val="none" w:sz="0" w:space="0" w:color="auto"/>
        <w:right w:val="none" w:sz="0" w:space="0" w:color="auto"/>
      </w:divBdr>
    </w:div>
    <w:div w:id="544565646">
      <w:bodyDiv w:val="1"/>
      <w:marLeft w:val="0"/>
      <w:marRight w:val="0"/>
      <w:marTop w:val="0"/>
      <w:marBottom w:val="0"/>
      <w:divBdr>
        <w:top w:val="none" w:sz="0" w:space="0" w:color="auto"/>
        <w:left w:val="none" w:sz="0" w:space="0" w:color="auto"/>
        <w:bottom w:val="none" w:sz="0" w:space="0" w:color="auto"/>
        <w:right w:val="none" w:sz="0" w:space="0" w:color="auto"/>
      </w:divBdr>
    </w:div>
    <w:div w:id="1033533462">
      <w:bodyDiv w:val="1"/>
      <w:marLeft w:val="0"/>
      <w:marRight w:val="0"/>
      <w:marTop w:val="0"/>
      <w:marBottom w:val="0"/>
      <w:divBdr>
        <w:top w:val="none" w:sz="0" w:space="0" w:color="auto"/>
        <w:left w:val="none" w:sz="0" w:space="0" w:color="auto"/>
        <w:bottom w:val="none" w:sz="0" w:space="0" w:color="auto"/>
        <w:right w:val="none" w:sz="0" w:space="0" w:color="auto"/>
      </w:divBdr>
      <w:divsChild>
        <w:div w:id="44260623">
          <w:marLeft w:val="0"/>
          <w:marRight w:val="0"/>
          <w:marTop w:val="0"/>
          <w:marBottom w:val="0"/>
          <w:divBdr>
            <w:top w:val="none" w:sz="0" w:space="0" w:color="auto"/>
            <w:left w:val="none" w:sz="0" w:space="0" w:color="auto"/>
            <w:bottom w:val="none" w:sz="0" w:space="0" w:color="auto"/>
            <w:right w:val="none" w:sz="0" w:space="0" w:color="auto"/>
          </w:divBdr>
          <w:divsChild>
            <w:div w:id="1855417752">
              <w:marLeft w:val="0"/>
              <w:marRight w:val="0"/>
              <w:marTop w:val="0"/>
              <w:marBottom w:val="0"/>
              <w:divBdr>
                <w:top w:val="none" w:sz="0" w:space="0" w:color="auto"/>
                <w:left w:val="none" w:sz="0" w:space="0" w:color="auto"/>
                <w:bottom w:val="none" w:sz="0" w:space="0" w:color="auto"/>
                <w:right w:val="none" w:sz="0" w:space="0" w:color="auto"/>
              </w:divBdr>
              <w:divsChild>
                <w:div w:id="1907255329">
                  <w:marLeft w:val="0"/>
                  <w:marRight w:val="0"/>
                  <w:marTop w:val="0"/>
                  <w:marBottom w:val="0"/>
                  <w:divBdr>
                    <w:top w:val="none" w:sz="0" w:space="0" w:color="auto"/>
                    <w:left w:val="none" w:sz="0" w:space="0" w:color="auto"/>
                    <w:bottom w:val="none" w:sz="0" w:space="0" w:color="auto"/>
                    <w:right w:val="none" w:sz="0" w:space="0" w:color="auto"/>
                  </w:divBdr>
                  <w:divsChild>
                    <w:div w:id="198249983">
                      <w:marLeft w:val="0"/>
                      <w:marRight w:val="0"/>
                      <w:marTop w:val="0"/>
                      <w:marBottom w:val="0"/>
                      <w:divBdr>
                        <w:top w:val="none" w:sz="0" w:space="0" w:color="auto"/>
                        <w:left w:val="none" w:sz="0" w:space="0" w:color="auto"/>
                        <w:bottom w:val="none" w:sz="0" w:space="0" w:color="auto"/>
                        <w:right w:val="none" w:sz="0" w:space="0" w:color="auto"/>
                      </w:divBdr>
                      <w:divsChild>
                        <w:div w:id="1124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2232">
      <w:bodyDiv w:val="1"/>
      <w:marLeft w:val="0"/>
      <w:marRight w:val="0"/>
      <w:marTop w:val="0"/>
      <w:marBottom w:val="0"/>
      <w:divBdr>
        <w:top w:val="none" w:sz="0" w:space="0" w:color="auto"/>
        <w:left w:val="none" w:sz="0" w:space="0" w:color="auto"/>
        <w:bottom w:val="none" w:sz="0" w:space="0" w:color="auto"/>
        <w:right w:val="none" w:sz="0" w:space="0" w:color="auto"/>
      </w:divBdr>
    </w:div>
    <w:div w:id="1468932280">
      <w:bodyDiv w:val="1"/>
      <w:marLeft w:val="0"/>
      <w:marRight w:val="0"/>
      <w:marTop w:val="0"/>
      <w:marBottom w:val="0"/>
      <w:divBdr>
        <w:top w:val="none" w:sz="0" w:space="0" w:color="auto"/>
        <w:left w:val="none" w:sz="0" w:space="0" w:color="auto"/>
        <w:bottom w:val="none" w:sz="0" w:space="0" w:color="auto"/>
        <w:right w:val="none" w:sz="0" w:space="0" w:color="auto"/>
      </w:divBdr>
    </w:div>
    <w:div w:id="1738894659">
      <w:bodyDiv w:val="1"/>
      <w:marLeft w:val="0"/>
      <w:marRight w:val="0"/>
      <w:marTop w:val="0"/>
      <w:marBottom w:val="0"/>
      <w:divBdr>
        <w:top w:val="none" w:sz="0" w:space="0" w:color="auto"/>
        <w:left w:val="none" w:sz="0" w:space="0" w:color="auto"/>
        <w:bottom w:val="none" w:sz="0" w:space="0" w:color="auto"/>
        <w:right w:val="none" w:sz="0" w:space="0" w:color="auto"/>
      </w:divBdr>
    </w:div>
    <w:div w:id="20596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medrxiv.org/content/10.1101/2020.04.28.20084079v2.full.pdf" TargetMode="External"/><Relationship Id="rId3" Type="http://schemas.openxmlformats.org/officeDocument/2006/relationships/hyperlink" Target="https://www.internationaldisabilityalliance.org/covid-deafblind" TargetMode="External"/><Relationship Id="rId7" Type="http://schemas.openxmlformats.org/officeDocument/2006/relationships/hyperlink" Target="https://www.regjeringen.no/no/aktuelt/pasientrettigheter-gjeninnfores/id2704151/" TargetMode="External"/><Relationship Id="rId2" Type="http://schemas.openxmlformats.org/officeDocument/2006/relationships/hyperlink" Target="https://www.fhi.no/nettpub/coronavirus/fakta/risikogrupper/" TargetMode="External"/><Relationship Id="rId1" Type="http://schemas.openxmlformats.org/officeDocument/2006/relationships/hyperlink" Target="https://www.regjeringen.no/en/topics/foreign-affairs/reiseinformasjon/travel_coronavirus/id2691821/" TargetMode="External"/><Relationship Id="rId6" Type="http://schemas.openxmlformats.org/officeDocument/2006/relationships/hyperlink" Target="https://www.regjeringen.no/no/aktuelt/pasientrettigheter-gjeninnfores/id2704151/" TargetMode="External"/><Relationship Id="rId5" Type="http://schemas.openxmlformats.org/officeDocument/2006/relationships/hyperlink" Target="https://www.fhi.no/contentassets/8a971e7b0a3c4a06bdbf381ab52e6157/vedlegg/2020.08.05-ukerapport-uke-31-covid-19.pdf" TargetMode="External"/><Relationship Id="rId4" Type="http://schemas.openxmlformats.org/officeDocument/2006/relationships/hyperlink" Target="https://www.fhi.no/contentassets/8a971e7b0a3c4a06bdbf381ab52e6157/vedlegg/2020.08.05-ukerapport-uke-31-covid-19.pdf" TargetMode="External"/><Relationship Id="rId9" Type="http://schemas.openxmlformats.org/officeDocument/2006/relationships/hyperlink" Target="https://inclusive-policy.org/wp-content/uploads/2020/05/Overview-response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9979B-6402-417C-92C4-54E7412C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Pages>
  <Words>561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Marine Uldry</cp:lastModifiedBy>
  <cp:revision>18</cp:revision>
  <dcterms:created xsi:type="dcterms:W3CDTF">2020-08-18T17:55:00Z</dcterms:created>
  <dcterms:modified xsi:type="dcterms:W3CDTF">2020-12-11T13:56:00Z</dcterms:modified>
</cp:coreProperties>
</file>