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6" w:rsidRPr="00EB2BE6" w:rsidRDefault="005D2D7E" w:rsidP="00EB2BE6">
      <w:pPr>
        <w:pStyle w:val="Title"/>
      </w:pPr>
      <w:r w:rsidRPr="00EB2BE6">
        <w:rPr>
          <w:rStyle w:val="A2"/>
          <w:rFonts w:asciiTheme="majorHAnsi" w:hAnsiTheme="majorHAnsi" w:cstheme="majorBidi"/>
          <w:b w:val="0"/>
          <w:bCs w:val="0"/>
          <w:color w:val="auto"/>
        </w:rPr>
        <w:t>A fogyatékossággal élő személyek alapvető fontosságúa</w:t>
      </w:r>
      <w:bookmarkStart w:id="0" w:name="_GoBack"/>
      <w:bookmarkEnd w:id="0"/>
      <w:r w:rsidRPr="00EB2BE6">
        <w:rPr>
          <w:rStyle w:val="A2"/>
          <w:rFonts w:asciiTheme="majorHAnsi" w:hAnsiTheme="majorHAnsi" w:cstheme="majorBidi"/>
          <w:b w:val="0"/>
          <w:bCs w:val="0"/>
          <w:color w:val="auto"/>
        </w:rPr>
        <w:t>k a fenntartható fejlődési célok sikeres megvalósítása érdekében!</w:t>
      </w:r>
    </w:p>
    <w:p w:rsidR="006C191D" w:rsidRPr="006C191D" w:rsidRDefault="006C191D" w:rsidP="006C191D">
      <w:pPr>
        <w:pStyle w:val="Heading1"/>
      </w:pPr>
      <w:r w:rsidRPr="006C191D">
        <w:rPr>
          <w:rStyle w:val="A0"/>
          <w:rFonts w:cstheme="majorBidi"/>
          <w:b w:val="0"/>
          <w:bCs w:val="0"/>
          <w:color w:val="2F5496" w:themeColor="accent1" w:themeShade="BF"/>
          <w:sz w:val="32"/>
          <w:szCs w:val="32"/>
        </w:rPr>
        <w:t>Mit kell tudni a 2030-ig tartó időszakra vonatkozó fenntartható fejlesztési menetrendről és a Fenntartható Fejlődési Célokról?</w:t>
      </w:r>
    </w:p>
    <w:p w:rsidR="006C191D" w:rsidRPr="00276ADE" w:rsidRDefault="006C191D" w:rsidP="00276ADE">
      <w:pPr>
        <w:rPr>
          <w:b/>
        </w:rPr>
      </w:pPr>
      <w:r w:rsidRPr="00276ADE">
        <w:rPr>
          <w:rStyle w:val="A1"/>
          <w:b w:val="0"/>
          <w:color w:val="auto"/>
          <w:sz w:val="24"/>
          <w:szCs w:val="24"/>
        </w:rPr>
        <w:t xml:space="preserve">A 2030-ig tartó időszakra vonatkozó fenntartható fejlődési menetrendet a világ összes országának vezetője elfogadta 2015-ben. Ez egy egyetemes akcióterv, amelynek célja a szegénység felszámolása, bolygónk védelme és a jólét biztosítása. A menetrend 17 Fenntartható Fejlődési Célt rögzít, amelyet 2030-ra minden országnak teljesítenie kell. </w:t>
      </w:r>
    </w:p>
    <w:p w:rsidR="006C191D" w:rsidRPr="00276ADE" w:rsidRDefault="006C191D" w:rsidP="00276ADE">
      <w:r w:rsidRPr="00276ADE">
        <w:rPr>
          <w:rStyle w:val="A1"/>
          <w:b w:val="0"/>
          <w:color w:val="auto"/>
          <w:sz w:val="24"/>
          <w:szCs w:val="24"/>
        </w:rPr>
        <w:t>A Fenntartható Fejlődési Célok olyan egyetemes célkitűzések, amelyek egyértelmű szakpolitikai keretet nyújtanak a nemzeti és nemzetközi szintű jogszabályozáshoz</w:t>
      </w:r>
      <w:r w:rsidRPr="00276ADE">
        <w:rPr>
          <w:rStyle w:val="A1"/>
          <w:color w:val="auto"/>
          <w:sz w:val="24"/>
          <w:szCs w:val="24"/>
        </w:rPr>
        <w:t xml:space="preserve">. </w:t>
      </w:r>
      <w:r w:rsidRPr="00276ADE">
        <w:rPr>
          <w:rStyle w:val="A1"/>
          <w:bCs w:val="0"/>
          <w:color w:val="auto"/>
          <w:sz w:val="24"/>
          <w:szCs w:val="24"/>
        </w:rPr>
        <w:t xml:space="preserve">Ezeket minden országban végre kell hajtani. </w:t>
      </w:r>
    </w:p>
    <w:p w:rsidR="006C191D" w:rsidRPr="00276ADE" w:rsidRDefault="006C191D" w:rsidP="00276ADE">
      <w:r w:rsidRPr="00276ADE">
        <w:rPr>
          <w:rStyle w:val="A1"/>
          <w:bCs w:val="0"/>
          <w:color w:val="auto"/>
          <w:sz w:val="24"/>
          <w:szCs w:val="24"/>
        </w:rPr>
        <w:t xml:space="preserve">A 2030-ig szóló menetrend középpontjában álló befogadás nem csak azt a vállalást jelenti, hogy „senkit nem hagyunk magára”, de egy arra vonatkozó egyezmény is, hogy „elsőként a legelmaradottabbakon segítünk”. </w:t>
      </w:r>
    </w:p>
    <w:p w:rsidR="006C191D" w:rsidRPr="00276ADE" w:rsidRDefault="006C191D" w:rsidP="00276ADE">
      <w:r w:rsidRPr="00276ADE">
        <w:rPr>
          <w:rStyle w:val="A1"/>
          <w:b w:val="0"/>
          <w:color w:val="auto"/>
          <w:sz w:val="24"/>
          <w:szCs w:val="24"/>
        </w:rPr>
        <w:t>A célok eléréséhez mindenki aktív részvételére szükség van:</w:t>
      </w:r>
    </w:p>
    <w:p w:rsidR="006C191D" w:rsidRPr="00276ADE" w:rsidRDefault="006C191D" w:rsidP="00276ADE">
      <w:pPr>
        <w:rPr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• a kormányokéra, </w:t>
      </w:r>
    </w:p>
    <w:p w:rsidR="006C191D" w:rsidRPr="00276ADE" w:rsidRDefault="006C191D" w:rsidP="00276ADE">
      <w:pPr>
        <w:rPr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• a civil társadaloméra, </w:t>
      </w:r>
    </w:p>
    <w:p w:rsidR="006C191D" w:rsidRPr="00276ADE" w:rsidRDefault="006C191D" w:rsidP="00276ADE">
      <w:pPr>
        <w:rPr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• a magánszektoréra, </w:t>
      </w:r>
    </w:p>
    <w:p w:rsidR="006C191D" w:rsidRPr="00276ADE" w:rsidRDefault="006C191D" w:rsidP="00276ADE">
      <w:pPr>
        <w:rPr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• a fogyatékossággal élő személyeket tömörítő szervezetekére </w:t>
      </w:r>
    </w:p>
    <w:p w:rsidR="006C191D" w:rsidRPr="00276ADE" w:rsidRDefault="006C191D" w:rsidP="006C191D">
      <w:pPr>
        <w:rPr>
          <w:rStyle w:val="A1"/>
          <w:b w:val="0"/>
          <w:color w:val="auto"/>
          <w:sz w:val="24"/>
          <w:szCs w:val="24"/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• és a hozzánk hasonló polgárokéra! </w:t>
      </w:r>
    </w:p>
    <w:p w:rsidR="00276ADE" w:rsidRPr="002C044A" w:rsidRDefault="00276ADE" w:rsidP="00276ADE">
      <w:pPr>
        <w:pStyle w:val="Heading1"/>
        <w:rPr>
          <w:lang w:val="es-ES"/>
        </w:rPr>
      </w:pPr>
      <w:r w:rsidRPr="002C044A">
        <w:rPr>
          <w:rStyle w:val="A0"/>
          <w:rFonts w:cstheme="majorBidi"/>
          <w:b w:val="0"/>
          <w:bCs w:val="0"/>
          <w:color w:val="2F5496" w:themeColor="accent1" w:themeShade="BF"/>
          <w:sz w:val="32"/>
          <w:szCs w:val="32"/>
          <w:lang w:val="es-ES"/>
        </w:rPr>
        <w:t>Hogyan érinti ez a fogyatékossággal élő személyeket?</w:t>
      </w:r>
      <w:r w:rsidRPr="002C044A">
        <w:rPr>
          <w:rStyle w:val="A1"/>
          <w:rFonts w:cstheme="majorBidi"/>
          <w:b w:val="0"/>
          <w:bCs w:val="0"/>
          <w:color w:val="2F5496" w:themeColor="accent1" w:themeShade="BF"/>
          <w:sz w:val="32"/>
          <w:szCs w:val="32"/>
          <w:lang w:val="es-ES"/>
        </w:rPr>
        <w:t xml:space="preserve"> </w:t>
      </w:r>
    </w:p>
    <w:p w:rsidR="00276ADE" w:rsidRPr="00276ADE" w:rsidRDefault="00276ADE" w:rsidP="00276ADE">
      <w:pPr>
        <w:pStyle w:val="Pa0"/>
        <w:rPr>
          <w:rStyle w:val="A1"/>
          <w:b w:val="0"/>
          <w:color w:val="auto"/>
          <w:lang w:val="es-ES"/>
        </w:rPr>
      </w:pP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A 2030-ig szóló menetrend elkötelezi magát a kiszolgáltatottság veszélyének kitett emberek helyzetének javítása mellett, beleértve a fogyatékos embereket is. A dokumentum támogatja az emberi jogok, az egyenlőség és a hátrányos megkülönböztetés tilalmának egyetemes tiszteletben tartását </w:t>
      </w:r>
    </w:p>
    <w:p w:rsidR="00276ADE" w:rsidRPr="00276ADE" w:rsidRDefault="00276ADE" w:rsidP="00276ADE">
      <w:pPr>
        <w:rPr>
          <w:rStyle w:val="A1"/>
          <w:b w:val="0"/>
          <w:color w:val="auto"/>
          <w:sz w:val="24"/>
          <w:szCs w:val="24"/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A fogyatékossággal élő személyekre </w:t>
      </w: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egyértelműen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vonatkoznak a következő Fenntartható Fejlődési Célok: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1.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- A szegénység felszámolása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lastRenderedPageBreak/>
        <w:t xml:space="preserve">4.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Minőségi oktatás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8.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Tisztességes munka és gazdasági növekedés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10.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Egyenlőtlenségek csökkentése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11.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- Fenntartható városok és közösségek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16.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Béke, igazság és erős intézmények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17.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Partnerség a célok eléréséért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A fogyatékossággal élő személyekre </w:t>
      </w: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közvetve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 xml:space="preserve">vonatkoznak a következő célok: :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3.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Egészség és jóllét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5.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Nemek közötti egyenlőség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6.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Tiszta víz és alapvető köztisztaság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color w:val="auto"/>
          <w:sz w:val="24"/>
          <w:szCs w:val="24"/>
          <w:lang w:val="es-ES"/>
        </w:rPr>
        <w:t xml:space="preserve">7. cél </w:t>
      </w:r>
      <w:r w:rsidRPr="00276ADE">
        <w:rPr>
          <w:rStyle w:val="A1"/>
          <w:b w:val="0"/>
          <w:color w:val="auto"/>
          <w:sz w:val="24"/>
          <w:szCs w:val="24"/>
          <w:lang w:val="es-ES"/>
        </w:rPr>
        <w:t>- Megfizethető és tiszta energia</w:t>
      </w:r>
    </w:p>
    <w:p w:rsidR="00276ADE" w:rsidRPr="00276ADE" w:rsidRDefault="00276ADE" w:rsidP="00276ADE">
      <w:pPr>
        <w:pStyle w:val="Heading1"/>
      </w:pPr>
      <w:r w:rsidRPr="00276ADE">
        <w:rPr>
          <w:rStyle w:val="Heading1Char"/>
        </w:rPr>
        <w:t>Mi az Európai Fogyatékosügyi Fórum?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Az Európai Fogyatékosügyi Fórum (EDF) a fogyatékos emberek ernyőszervezete, amely a több, mint 80 millió európai fogyatékossággal élő ember érdekeit védi. Egyedüllálló platformként az Európában működő fogyatékos emberek szervezeteit tömörítjük.Szervezetünket fogyatékos emberek és családjaik működtetik. A fogyatékos emberek erős és egységes hangja vagyunk Európában. </w:t>
      </w:r>
    </w:p>
    <w:p w:rsidR="00276ADE" w:rsidRPr="00276ADE" w:rsidRDefault="00276ADE" w:rsidP="00276ADE">
      <w:pPr>
        <w:pStyle w:val="Heading1"/>
      </w:pPr>
      <w:r w:rsidRPr="00276ADE">
        <w:rPr>
          <w:rStyle w:val="Heading1Char"/>
        </w:rPr>
        <w:t>Milyen szerepet tölt be az EDF?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bCs w:val="0"/>
          <w:sz w:val="24"/>
          <w:szCs w:val="24"/>
          <w:lang w:val="es-ES"/>
        </w:rPr>
        <w:t>Az EDF azon fáradozik, hogy a Fenntartható Fejlődési Célok megvalósuljanak a 80 millió fogyatékossággal élő európai ember számára.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Munkánk során négy fő területre összpontosítunk: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1. </w:t>
      </w:r>
      <w:r w:rsidRPr="00276ADE">
        <w:rPr>
          <w:rStyle w:val="A1"/>
          <w:b w:val="0"/>
          <w:bCs w:val="0"/>
          <w:sz w:val="24"/>
          <w:szCs w:val="24"/>
          <w:lang w:val="es-ES"/>
        </w:rPr>
        <w:t xml:space="preserve">Támogatjuk </w:t>
      </w:r>
      <w:r w:rsidRPr="00276ADE">
        <w:rPr>
          <w:rStyle w:val="A1"/>
          <w:b w:val="0"/>
          <w:sz w:val="24"/>
          <w:szCs w:val="24"/>
          <w:lang w:val="es-ES"/>
        </w:rPr>
        <w:t>az EDF tagjait a Fenntartható Fejlődési Célok nemzeti szintű végrehajtásában és nyomon követésében,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2. </w:t>
      </w:r>
      <w:r w:rsidRPr="00276ADE">
        <w:rPr>
          <w:rStyle w:val="A1"/>
          <w:b w:val="0"/>
          <w:bCs w:val="0"/>
          <w:sz w:val="24"/>
          <w:szCs w:val="24"/>
          <w:lang w:val="es-ES"/>
        </w:rPr>
        <w:t xml:space="preserve">Előmozdítjuk, hogy </w:t>
      </w:r>
      <w:r w:rsidRPr="00276ADE">
        <w:rPr>
          <w:rStyle w:val="A1"/>
          <w:b w:val="0"/>
          <w:sz w:val="24"/>
          <w:szCs w:val="24"/>
          <w:lang w:val="es-ES"/>
        </w:rPr>
        <w:t xml:space="preserve">a Fenntartható Fejlődési Célokhoz kapcsolódó európai szakpolitika fejlesztésekor figyelembe vegyék a fogyatékos emberek igényeit.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3. </w:t>
      </w:r>
      <w:r w:rsidRPr="00276ADE">
        <w:rPr>
          <w:rStyle w:val="A1"/>
          <w:b w:val="0"/>
          <w:bCs w:val="0"/>
          <w:sz w:val="24"/>
          <w:szCs w:val="24"/>
          <w:lang w:val="es-ES"/>
        </w:rPr>
        <w:t xml:space="preserve">Megosztjuk </w:t>
      </w:r>
      <w:r w:rsidRPr="00276ADE">
        <w:rPr>
          <w:rStyle w:val="A1"/>
          <w:b w:val="0"/>
          <w:sz w:val="24"/>
          <w:szCs w:val="24"/>
          <w:lang w:val="es-ES"/>
        </w:rPr>
        <w:t>a fogyatékos személyekre vonatkozó információkat más, EU-n kívüli regionális platformokkal,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4. </w:t>
      </w:r>
      <w:r w:rsidRPr="00276ADE">
        <w:rPr>
          <w:rStyle w:val="A1"/>
          <w:b w:val="0"/>
          <w:bCs w:val="0"/>
          <w:sz w:val="24"/>
          <w:szCs w:val="24"/>
          <w:lang w:val="es-ES"/>
        </w:rPr>
        <w:t xml:space="preserve">Javasoljuk </w:t>
      </w:r>
      <w:r w:rsidRPr="00276ADE">
        <w:rPr>
          <w:rStyle w:val="A1"/>
          <w:b w:val="0"/>
          <w:sz w:val="24"/>
          <w:szCs w:val="24"/>
          <w:lang w:val="es-ES"/>
        </w:rPr>
        <w:t xml:space="preserve">az adatok fogyatékosság szerinti lebontását. </w:t>
      </w:r>
    </w:p>
    <w:p w:rsidR="00276ADE" w:rsidRPr="00276ADE" w:rsidRDefault="00276ADE" w:rsidP="00276ADE">
      <w:pPr>
        <w:pStyle w:val="Heading1"/>
      </w:pPr>
      <w:r w:rsidRPr="00276ADE">
        <w:rPr>
          <w:rStyle w:val="Heading1Char"/>
        </w:rPr>
        <w:t xml:space="preserve">Mit tehet Ön?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(Az EDF támogatni tudja Önt!)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• Csatlakozzon a Fenntartható Fejlődési Célok nemzeti platformjához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 xml:space="preserve">• Szervezzen a Fenntartható Fejlődési Célokat bemutató képzéseket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lastRenderedPageBreak/>
        <w:t>• Ossza meg a Fenntartható Fejlődési Célokkal kapcsolatos információkat</w:t>
      </w:r>
    </w:p>
    <w:p w:rsidR="00276ADE" w:rsidRPr="00276ADE" w:rsidRDefault="00276ADE" w:rsidP="00276ADE">
      <w:pPr>
        <w:rPr>
          <w:rStyle w:val="A1"/>
          <w:b w:val="0"/>
          <w:sz w:val="24"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• Tudja meg, ki a Fenntartható Fejlődési Célokért felelős személy az Ön kormányában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• Tudja meg, ki a fogyatékossággal élő emberek jogairól szóló ENSZ-egyezményért felelős személy az Ön kormányában, és hívja fel a figyelmét a Fenntartható Fejlődési Célokra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• Kérje, hogy csatlakozhasson országa nemzeti delegációjához, amely részt vesz a magas szintű politikai fórumon (ez az esemény foglalkozik a Fenntartható Fejlődési Célok végrehajtásának monitorozásával)</w:t>
      </w:r>
    </w:p>
    <w:p w:rsidR="00276ADE" w:rsidRPr="00276ADE" w:rsidRDefault="00276ADE" w:rsidP="00276ADE">
      <w:pPr>
        <w:pStyle w:val="Heading1"/>
      </w:pPr>
      <w:r w:rsidRPr="00276ADE">
        <w:rPr>
          <w:rStyle w:val="Heading1Char"/>
        </w:rPr>
        <w:t>Adatok a Fenntartható Fejlődési Célokban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Rendkívül pozitív előrelépés, hogy a 2030-ig szóló menetrendben és a Fenntartható Fejlődési Célokban külön hivatkozások szerepelnek a fogyatékossággal élő személyekre. A fogyatékossággal élő személyekre vonatkozó adatgyűjtés azonban továbbra is kihívást jelent, mivel ennek folyamata nem tekinthető könnyű feladatnak. A fogyatékosságot és súlyosságot érintő különbségek jelentős hatással lehetnek ezeknek a személyeknek a bevonásával kapcsolatos tapasztalatokra.</w:t>
      </w:r>
    </w:p>
    <w:p w:rsidR="00276ADE" w:rsidRPr="00276ADE" w:rsidRDefault="00276ADE" w:rsidP="00276ADE">
      <w:pPr>
        <w:rPr>
          <w:szCs w:val="24"/>
          <w:lang w:val="es-ES"/>
        </w:rPr>
      </w:pPr>
      <w:r w:rsidRPr="00276ADE">
        <w:rPr>
          <w:rStyle w:val="A1"/>
          <w:bCs w:val="0"/>
          <w:sz w:val="24"/>
          <w:szCs w:val="24"/>
          <w:lang w:val="es-ES"/>
        </w:rPr>
        <w:t xml:space="preserve">Az EDF azt javasolja, hogy az adatok fogyatékosság szerint, a Washington Group kérdéssorának felhasználásával kerüljenek lebontásra. Az EDF továbbá ajánlja a nemzeti statisztikai hivatalokkal való együttműködést, így azok beilleszthetik a fogyatékosságra vonatkozó kérdéseket országos felméréseikbe. </w:t>
      </w:r>
    </w:p>
    <w:p w:rsidR="00276ADE" w:rsidRPr="00276ADE" w:rsidRDefault="00276ADE" w:rsidP="00276ADE">
      <w:pPr>
        <w:rPr>
          <w:b/>
          <w:szCs w:val="24"/>
          <w:lang w:val="es-ES"/>
        </w:rPr>
      </w:pPr>
      <w:r w:rsidRPr="00276ADE">
        <w:rPr>
          <w:rStyle w:val="A1"/>
          <w:b w:val="0"/>
          <w:sz w:val="24"/>
          <w:szCs w:val="24"/>
          <w:lang w:val="es-ES"/>
        </w:rPr>
        <w:t>Megbízhatóbb és összehasonlíthatóbb adatokra van szükségünk a fogyatékosságra vonatkozóan, hogy valóban megérthessük, hogy a fogyatékossággal élő személyek pontosan milyen akadályokkal küzdenek, meghatározhassuk a szükséges intézkedéseket és megtervezhessük azok megvalósítását.</w:t>
      </w:r>
    </w:p>
    <w:p w:rsidR="002C044A" w:rsidRPr="004A3BC3" w:rsidRDefault="002C044A" w:rsidP="002C044A">
      <w:pPr>
        <w:pStyle w:val="Heading1"/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  <w:lang w:val="es-ES"/>
        </w:rPr>
      </w:pPr>
      <w:r w:rsidRPr="004A3BC3">
        <w:rPr>
          <w:rStyle w:val="A3"/>
          <w:rFonts w:cstheme="majorBidi"/>
          <w:b w:val="0"/>
          <w:bCs w:val="0"/>
          <w:color w:val="2F5496" w:themeColor="accent1" w:themeShade="BF"/>
          <w:sz w:val="32"/>
          <w:szCs w:val="32"/>
          <w:lang w:val="es-ES"/>
        </w:rPr>
        <w:t>További információkra van szüksége a 2030-ig tartó időszakra vonatkozó fenntartható fejlesztési menetrendről és a Fenntartható Fejlődési Célokról?</w:t>
      </w:r>
    </w:p>
    <w:p w:rsidR="002C044A" w:rsidRPr="004A3BC3" w:rsidRDefault="004A3BC3" w:rsidP="002C044A">
      <w:pPr>
        <w:rPr>
          <w:szCs w:val="24"/>
          <w:lang w:val="es-ES"/>
        </w:rPr>
      </w:pPr>
      <w:hyperlink r:id="rId5" w:history="1">
        <w:r w:rsidR="002C044A" w:rsidRPr="004A3BC3">
          <w:rPr>
            <w:rStyle w:val="Hyperlink"/>
            <w:szCs w:val="24"/>
            <w:lang w:val="es-ES"/>
          </w:rPr>
          <w:t>Látogasson el az EDF weboldalára</w:t>
        </w:r>
      </w:hyperlink>
    </w:p>
    <w:p w:rsidR="002C044A" w:rsidRPr="004A3BC3" w:rsidRDefault="004A3BC3" w:rsidP="002C044A">
      <w:pPr>
        <w:rPr>
          <w:szCs w:val="24"/>
          <w:lang w:val="es-ES"/>
        </w:rPr>
      </w:pPr>
      <w:hyperlink r:id="rId6" w:history="1">
        <w:r w:rsidR="002C044A" w:rsidRPr="004A3BC3">
          <w:rPr>
            <w:rStyle w:val="Hyperlink"/>
            <w:szCs w:val="24"/>
            <w:lang w:val="es-ES"/>
          </w:rPr>
          <w:t>Olvassa el az EDF emberi jogi jelentését a Fenntartható Fejlődési Célok és a Fogyatékossággal élő személyek jogairól szóló ENSZ-egyezmény (2018) közötti összefüggésről</w:t>
        </w:r>
      </w:hyperlink>
      <w:r w:rsidR="002C044A" w:rsidRPr="004A3BC3">
        <w:rPr>
          <w:szCs w:val="24"/>
          <w:lang w:val="es-ES"/>
        </w:rPr>
        <w:t xml:space="preserve"> </w:t>
      </w:r>
    </w:p>
    <w:p w:rsidR="002C044A" w:rsidRPr="004A3BC3" w:rsidRDefault="004A3BC3" w:rsidP="002C044A">
      <w:pPr>
        <w:rPr>
          <w:szCs w:val="24"/>
          <w:lang w:val="es-ES"/>
        </w:rPr>
      </w:pPr>
      <w:hyperlink r:id="rId7" w:history="1">
        <w:r w:rsidR="002C044A" w:rsidRPr="004A3BC3">
          <w:rPr>
            <w:rStyle w:val="Hyperlink"/>
            <w:szCs w:val="24"/>
            <w:lang w:val="es-ES"/>
          </w:rPr>
          <w:t>Olvassa el az Európai emberi jogi jelentés könnyen érthető változatát</w:t>
        </w:r>
      </w:hyperlink>
      <w:r w:rsidR="002C044A" w:rsidRPr="004A3BC3">
        <w:rPr>
          <w:szCs w:val="24"/>
          <w:lang w:val="es-ES"/>
        </w:rPr>
        <w:t xml:space="preserve"> </w:t>
      </w:r>
    </w:p>
    <w:p w:rsidR="00880784" w:rsidRDefault="002C044A" w:rsidP="002C044A">
      <w:pPr>
        <w:rPr>
          <w:szCs w:val="24"/>
          <w:u w:val="single"/>
          <w:lang w:val="es-ES"/>
        </w:rPr>
      </w:pPr>
      <w:r w:rsidRPr="002C044A">
        <w:rPr>
          <w:rStyle w:val="A5"/>
          <w:sz w:val="24"/>
          <w:szCs w:val="24"/>
          <w:lang w:val="es-ES"/>
        </w:rPr>
        <w:t xml:space="preserve">További kérdéseivel kérjük, forduljon Dr. Marion Steff, Fenntartható Fejlődési Célokkal foglalkozó koordinátorhoz: </w:t>
      </w:r>
      <w:hyperlink r:id="rId8" w:history="1">
        <w:r w:rsidR="00880784" w:rsidRPr="00CB53B4">
          <w:rPr>
            <w:rStyle w:val="Hyperlink"/>
            <w:szCs w:val="24"/>
            <w:lang w:val="es-ES"/>
          </w:rPr>
          <w:t>marion.steff@edf-feph.org</w:t>
        </w:r>
      </w:hyperlink>
    </w:p>
    <w:p w:rsidR="004A3BC3" w:rsidRDefault="004A3BC3" w:rsidP="004A3BC3">
      <w:pPr>
        <w:rPr>
          <w:szCs w:val="24"/>
          <w:lang w:val="fr-BE"/>
        </w:rPr>
      </w:pPr>
      <w:r>
        <w:rPr>
          <w:szCs w:val="24"/>
          <w:lang w:val="fr-BE"/>
        </w:rPr>
        <w:t>European Disability Forum (EDF) 35 Square de Meeûs, 1000 Brussel.</w:t>
      </w:r>
    </w:p>
    <w:p w:rsidR="00CA545A" w:rsidRPr="002C044A" w:rsidRDefault="00CA545A" w:rsidP="004A3BC3">
      <w:pPr>
        <w:rPr>
          <w:szCs w:val="24"/>
          <w:lang w:val="es-ES"/>
        </w:rPr>
      </w:pPr>
    </w:p>
    <w:sectPr w:rsidR="00CA545A" w:rsidRPr="002C044A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A76"/>
    <w:multiLevelType w:val="hybridMultilevel"/>
    <w:tmpl w:val="522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8A98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E59E"/>
    <w:multiLevelType w:val="hybridMultilevel"/>
    <w:tmpl w:val="7136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828B8E"/>
    <w:multiLevelType w:val="hybridMultilevel"/>
    <w:tmpl w:val="91051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413D00"/>
    <w:multiLevelType w:val="hybridMultilevel"/>
    <w:tmpl w:val="6DE62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1C3E75"/>
    <w:rsid w:val="00276ADE"/>
    <w:rsid w:val="002C044A"/>
    <w:rsid w:val="003D1BF3"/>
    <w:rsid w:val="00415B17"/>
    <w:rsid w:val="004A3BC3"/>
    <w:rsid w:val="005D2D7E"/>
    <w:rsid w:val="006C191D"/>
    <w:rsid w:val="007B7D6B"/>
    <w:rsid w:val="00880784"/>
    <w:rsid w:val="00AD55B8"/>
    <w:rsid w:val="00CA545A"/>
    <w:rsid w:val="00D97246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teff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sites/default/files/sdgs_report_etr_-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sites/default/files/edf_-_sdgs_human_rights_report_final_accessible_0.pdf" TargetMode="External"/><Relationship Id="rId5" Type="http://schemas.openxmlformats.org/officeDocument/2006/relationships/hyperlink" Target="http://www.edf-feph.org/2030-agenda-sustainable-development-go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2019-08-29T09:23:00Z</dcterms:created>
  <dcterms:modified xsi:type="dcterms:W3CDTF">2019-09-02T13:25:00Z</dcterms:modified>
</cp:coreProperties>
</file>