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46896" w14:textId="1627188C" w:rsidR="000B1E6E" w:rsidRPr="00A10501" w:rsidRDefault="00E42089" w:rsidP="000B1E6E">
      <w:pPr>
        <w:rPr>
          <w:lang w:val="en-GB"/>
        </w:rPr>
        <w:sectPr w:rsidR="000B1E6E" w:rsidRPr="00A10501">
          <w:footerReference w:type="default" r:id="rId8"/>
          <w:pgSz w:w="11900" w:h="16840"/>
          <w:pgMar w:top="0" w:right="20" w:bottom="10" w:left="0" w:header="720" w:footer="720" w:gutter="0"/>
          <w:cols w:space="720"/>
        </w:sectPr>
      </w:pPr>
      <w:r w:rsidRPr="00A10501">
        <w:rPr>
          <w:noProof/>
          <w:lang w:val="en-GB"/>
        </w:rPr>
        <w:drawing>
          <wp:anchor distT="0" distB="0" distL="114300" distR="114300" simplePos="0" relativeHeight="251661312" behindDoc="0" locked="0" layoutInCell="1" allowOverlap="1" wp14:anchorId="01E608CD" wp14:editId="12BD1A34">
            <wp:simplePos x="0" y="0"/>
            <wp:positionH relativeFrom="column">
              <wp:posOffset>495300</wp:posOffset>
            </wp:positionH>
            <wp:positionV relativeFrom="paragraph">
              <wp:posOffset>624949</wp:posOffset>
            </wp:positionV>
            <wp:extent cx="1562100" cy="17887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78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E6E" w:rsidRPr="00A10501">
        <w:rPr>
          <w:noProof/>
          <w:szCs w:val="20"/>
          <w:lang w:val="en-GB" w:eastAsia="fr-BE"/>
        </w:rPr>
        <mc:AlternateContent>
          <mc:Choice Requires="wps">
            <w:drawing>
              <wp:anchor distT="0" distB="0" distL="114300" distR="114300" simplePos="0" relativeHeight="251659264" behindDoc="0" locked="0" layoutInCell="1" allowOverlap="1" wp14:anchorId="37C76726" wp14:editId="04571282">
                <wp:simplePos x="0" y="0"/>
                <wp:positionH relativeFrom="column">
                  <wp:posOffset>614855</wp:posOffset>
                </wp:positionH>
                <wp:positionV relativeFrom="paragraph">
                  <wp:posOffset>3531476</wp:posOffset>
                </wp:positionV>
                <wp:extent cx="6400800" cy="3894083"/>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94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82666" w14:textId="6400E5E2" w:rsidR="000B1E6E" w:rsidRPr="000B1E6E" w:rsidRDefault="000B1E6E" w:rsidP="000B1E6E">
                            <w:pPr>
                              <w:rPr>
                                <w:rFonts w:ascii="Arial" w:hAnsi="Arial"/>
                                <w:b/>
                                <w:color w:val="4472C4"/>
                                <w:sz w:val="96"/>
                                <w:szCs w:val="96"/>
                                <w:lang w:val="en-GB"/>
                              </w:rPr>
                            </w:pPr>
                            <w:r>
                              <w:rPr>
                                <w:rFonts w:ascii="Arial" w:hAnsi="Arial"/>
                                <w:b/>
                                <w:color w:val="4472C4"/>
                                <w:sz w:val="96"/>
                                <w:szCs w:val="96"/>
                                <w:lang w:val="en-GB"/>
                              </w:rPr>
                              <w:t>Common Provisions Regulation 2021-2027: Analysis of the final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76726" id="_x0000_t202" coordsize="21600,21600" o:spt="202" path="m,l,21600r21600,l21600,xe">
                <v:stroke joinstyle="miter"/>
                <v:path gradientshapeok="t" o:connecttype="rect"/>
              </v:shapetype>
              <v:shape id="Text Box 1" o:spid="_x0000_s1026" type="#_x0000_t202" style="position:absolute;margin-left:48.4pt;margin-top:278.05pt;width:7in;height:30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" filled="f" stroked="f">
                <v:textbox>
                  <w:txbxContent>
                    <w:p w14:paraId="26382666" w14:textId="6400E5E2" w:rsidR="000B1E6E" w:rsidRPr="000B1E6E" w:rsidRDefault="000B1E6E" w:rsidP="000B1E6E">
                      <w:pPr>
                        <w:rPr>
                          <w:rFonts w:ascii="Arial" w:hAnsi="Arial"/>
                          <w:b/>
                          <w:color w:val="4472C4"/>
                          <w:sz w:val="96"/>
                          <w:szCs w:val="96"/>
                          <w:lang w:val="en-GB"/>
                        </w:rPr>
                      </w:pPr>
                      <w:r>
                        <w:rPr>
                          <w:rFonts w:ascii="Arial" w:hAnsi="Arial"/>
                          <w:b/>
                          <w:color w:val="4472C4"/>
                          <w:sz w:val="96"/>
                          <w:szCs w:val="96"/>
                          <w:lang w:val="en-GB"/>
                        </w:rPr>
                        <w:t>Common Provisions Regulation 2021-2027: Analysis of the final agreement</w:t>
                      </w:r>
                    </w:p>
                  </w:txbxContent>
                </v:textbox>
              </v:shape>
            </w:pict>
          </mc:Fallback>
        </mc:AlternateContent>
      </w:r>
      <w:r w:rsidR="000B1E6E" w:rsidRPr="00A10501">
        <w:rPr>
          <w:noProof/>
          <w:szCs w:val="20"/>
          <w:lang w:val="en-GB" w:eastAsia="fr-BE"/>
        </w:rPr>
        <mc:AlternateContent>
          <mc:Choice Requires="wps">
            <w:drawing>
              <wp:anchor distT="0" distB="0" distL="114300" distR="114300" simplePos="0" relativeHeight="251660288" behindDoc="0" locked="0" layoutInCell="1" allowOverlap="1" wp14:anchorId="70EC640E" wp14:editId="74E5656F">
                <wp:simplePos x="0" y="0"/>
                <wp:positionH relativeFrom="column">
                  <wp:posOffset>280035</wp:posOffset>
                </wp:positionH>
                <wp:positionV relativeFrom="paragraph">
                  <wp:posOffset>8863198</wp:posOffset>
                </wp:positionV>
                <wp:extent cx="4229100" cy="36576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657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CE329" w14:textId="356BB44C" w:rsidR="000B1E6E" w:rsidRDefault="000B1E6E" w:rsidP="000B1E6E">
                            <w:pPr>
                              <w:ind w:left="180"/>
                              <w:rPr>
                                <w:rFonts w:ascii="Arial" w:hAnsi="Arial"/>
                                <w:color w:val="FFFFFF"/>
                                <w:sz w:val="28"/>
                              </w:rPr>
                            </w:pPr>
                            <w:r>
                              <w:rPr>
                                <w:rFonts w:ascii="Arial" w:hAnsi="Arial"/>
                                <w:color w:val="FFFFFF"/>
                                <w:sz w:val="28"/>
                              </w:rPr>
                              <w:t>Haydn Hammersley – January 2021</w:t>
                            </w:r>
                          </w:p>
                          <w:p w14:paraId="0A338B3E" w14:textId="77777777" w:rsidR="000B1E6E" w:rsidRPr="005E5BC9" w:rsidRDefault="000B1E6E" w:rsidP="000B1E6E">
                            <w:pPr>
                              <w:rPr>
                                <w:rFonts w:ascii="Arial" w:hAnsi="Arial"/>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640E" id="Text Box 2" o:spid="_x0000_s1027" type="#_x0000_t202" style="position:absolute;margin-left:22.05pt;margin-top:697.9pt;width:333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" fillcolor="red" stroked="f">
                <v:textbox>
                  <w:txbxContent>
                    <w:p w14:paraId="77CCE329" w14:textId="356BB44C" w:rsidR="000B1E6E" w:rsidRDefault="000B1E6E" w:rsidP="000B1E6E">
                      <w:pPr>
                        <w:ind w:left="180"/>
                        <w:rPr>
                          <w:rFonts w:ascii="Arial" w:hAnsi="Arial"/>
                          <w:color w:val="FFFFFF"/>
                          <w:sz w:val="28"/>
                        </w:rPr>
                      </w:pPr>
                      <w:r>
                        <w:rPr>
                          <w:rFonts w:ascii="Arial" w:hAnsi="Arial"/>
                          <w:color w:val="FFFFFF"/>
                          <w:sz w:val="28"/>
                        </w:rPr>
                        <w:t xml:space="preserve">Haydn Hammersley – </w:t>
                      </w:r>
                      <w:proofErr w:type="spellStart"/>
                      <w:r>
                        <w:rPr>
                          <w:rFonts w:ascii="Arial" w:hAnsi="Arial"/>
                          <w:color w:val="FFFFFF"/>
                          <w:sz w:val="28"/>
                        </w:rPr>
                        <w:t>January</w:t>
                      </w:r>
                      <w:proofErr w:type="spellEnd"/>
                      <w:r>
                        <w:rPr>
                          <w:rFonts w:ascii="Arial" w:hAnsi="Arial"/>
                          <w:color w:val="FFFFFF"/>
                          <w:sz w:val="28"/>
                        </w:rPr>
                        <w:t xml:space="preserve"> 202</w:t>
                      </w:r>
                      <w:r>
                        <w:rPr>
                          <w:rFonts w:ascii="Arial" w:hAnsi="Arial"/>
                          <w:color w:val="FFFFFF"/>
                          <w:sz w:val="28"/>
                        </w:rPr>
                        <w:t>1</w:t>
                      </w:r>
                    </w:p>
                    <w:p w14:paraId="0A338B3E" w14:textId="77777777" w:rsidR="000B1E6E" w:rsidRPr="005E5BC9" w:rsidRDefault="000B1E6E" w:rsidP="000B1E6E">
                      <w:pPr>
                        <w:rPr>
                          <w:rFonts w:ascii="Arial" w:hAnsi="Arial"/>
                          <w:color w:val="FFFFFF"/>
                          <w:sz w:val="28"/>
                        </w:rPr>
                      </w:pPr>
                    </w:p>
                  </w:txbxContent>
                </v:textbox>
              </v:shape>
            </w:pict>
          </mc:Fallback>
        </mc:AlternateContent>
      </w:r>
    </w:p>
    <w:bookmarkStart w:id="0" w:name="_Hlk60935180" w:displacedByCustomXml="next"/>
    <w:sdt>
      <w:sdtPr>
        <w:rPr>
          <w:rFonts w:asciiTheme="minorHAnsi" w:eastAsiaTheme="minorHAnsi" w:hAnsiTheme="minorHAnsi" w:cstheme="minorBidi"/>
          <w:color w:val="auto"/>
          <w:sz w:val="22"/>
          <w:szCs w:val="22"/>
          <w:lang w:val="en-GB"/>
        </w:rPr>
        <w:id w:val="461706417"/>
        <w:docPartObj>
          <w:docPartGallery w:val="Table of Contents"/>
          <w:docPartUnique/>
        </w:docPartObj>
      </w:sdtPr>
      <w:sdtEndPr>
        <w:rPr>
          <w:b/>
          <w:bCs/>
          <w:noProof/>
        </w:rPr>
      </w:sdtEndPr>
      <w:sdtContent>
        <w:p w14:paraId="3CDDF4F4" w14:textId="7F3ACC77" w:rsidR="00462B30" w:rsidRPr="00A10501" w:rsidRDefault="00462B30">
          <w:pPr>
            <w:pStyle w:val="TOCHeading"/>
            <w:rPr>
              <w:lang w:val="en-GB"/>
            </w:rPr>
          </w:pPr>
          <w:r w:rsidRPr="00A10501">
            <w:rPr>
              <w:lang w:val="en-GB"/>
            </w:rPr>
            <w:t>Contents</w:t>
          </w:r>
        </w:p>
        <w:p w14:paraId="39A3A547" w14:textId="2DBB5BF6" w:rsidR="00462B30" w:rsidRPr="00A10501" w:rsidRDefault="00462B30">
          <w:pPr>
            <w:pStyle w:val="TOC1"/>
            <w:tabs>
              <w:tab w:val="right" w:leader="dot" w:pos="9062"/>
            </w:tabs>
            <w:rPr>
              <w:rFonts w:ascii="Arial" w:hAnsi="Arial" w:cs="Arial"/>
              <w:b/>
              <w:bCs/>
              <w:noProof/>
              <w:lang w:val="en-GB"/>
            </w:rPr>
          </w:pPr>
          <w:r w:rsidRPr="00A10501">
            <w:rPr>
              <w:lang w:val="en-GB"/>
            </w:rPr>
            <w:fldChar w:fldCharType="begin"/>
          </w:r>
          <w:r w:rsidRPr="00A10501">
            <w:rPr>
              <w:lang w:val="en-GB"/>
            </w:rPr>
            <w:instrText xml:space="preserve"> TOC \o "1-3" \h \z \u </w:instrText>
          </w:r>
          <w:r w:rsidRPr="00A10501">
            <w:rPr>
              <w:lang w:val="en-GB"/>
            </w:rPr>
            <w:fldChar w:fldCharType="separate"/>
          </w:r>
          <w:hyperlink w:anchor="_Toc60935756" w:history="1">
            <w:r w:rsidRPr="00A10501">
              <w:rPr>
                <w:rStyle w:val="Hyperlink"/>
                <w:rFonts w:ascii="Arial" w:hAnsi="Arial" w:cs="Arial"/>
                <w:b/>
                <w:bCs/>
                <w:noProof/>
                <w:lang w:val="en-GB"/>
              </w:rPr>
              <w:t>What is the Common Provisions Regulation</w:t>
            </w:r>
            <w:r w:rsidRPr="00A10501">
              <w:rPr>
                <w:rFonts w:ascii="Arial" w:hAnsi="Arial" w:cs="Arial"/>
                <w:b/>
                <w:bCs/>
                <w:noProof/>
                <w:webHidden/>
                <w:lang w:val="en-GB"/>
              </w:rPr>
              <w:tab/>
            </w:r>
            <w:r w:rsidRPr="00A10501">
              <w:rPr>
                <w:rFonts w:ascii="Arial" w:hAnsi="Arial" w:cs="Arial"/>
                <w:b/>
                <w:bCs/>
                <w:noProof/>
                <w:webHidden/>
                <w:lang w:val="en-GB"/>
              </w:rPr>
              <w:fldChar w:fldCharType="begin"/>
            </w:r>
            <w:r w:rsidRPr="00A10501">
              <w:rPr>
                <w:rFonts w:ascii="Arial" w:hAnsi="Arial" w:cs="Arial"/>
                <w:b/>
                <w:bCs/>
                <w:noProof/>
                <w:webHidden/>
                <w:lang w:val="en-GB"/>
              </w:rPr>
              <w:instrText xml:space="preserve"> PAGEREF _Toc60935756 \h </w:instrText>
            </w:r>
            <w:r w:rsidRPr="00A10501">
              <w:rPr>
                <w:rFonts w:ascii="Arial" w:hAnsi="Arial" w:cs="Arial"/>
                <w:b/>
                <w:bCs/>
                <w:noProof/>
                <w:webHidden/>
                <w:lang w:val="en-GB"/>
              </w:rPr>
            </w:r>
            <w:r w:rsidRPr="00A10501">
              <w:rPr>
                <w:rFonts w:ascii="Arial" w:hAnsi="Arial" w:cs="Arial"/>
                <w:b/>
                <w:bCs/>
                <w:noProof/>
                <w:webHidden/>
                <w:lang w:val="en-GB"/>
              </w:rPr>
              <w:fldChar w:fldCharType="separate"/>
            </w:r>
            <w:r w:rsidRPr="00A10501">
              <w:rPr>
                <w:rFonts w:ascii="Arial" w:hAnsi="Arial" w:cs="Arial"/>
                <w:b/>
                <w:bCs/>
                <w:noProof/>
                <w:webHidden/>
                <w:lang w:val="en-GB"/>
              </w:rPr>
              <w:t>3</w:t>
            </w:r>
            <w:r w:rsidRPr="00A10501">
              <w:rPr>
                <w:rFonts w:ascii="Arial" w:hAnsi="Arial" w:cs="Arial"/>
                <w:b/>
                <w:bCs/>
                <w:noProof/>
                <w:webHidden/>
                <w:lang w:val="en-GB"/>
              </w:rPr>
              <w:fldChar w:fldCharType="end"/>
            </w:r>
          </w:hyperlink>
        </w:p>
        <w:p w14:paraId="560869D6" w14:textId="792DD83D" w:rsidR="00462B30" w:rsidRPr="00A10501" w:rsidRDefault="00A10501">
          <w:pPr>
            <w:pStyle w:val="TOC1"/>
            <w:tabs>
              <w:tab w:val="right" w:leader="dot" w:pos="9062"/>
            </w:tabs>
            <w:rPr>
              <w:rFonts w:ascii="Arial" w:hAnsi="Arial" w:cs="Arial"/>
              <w:b/>
              <w:bCs/>
              <w:noProof/>
              <w:lang w:val="en-GB"/>
            </w:rPr>
          </w:pPr>
          <w:hyperlink w:anchor="_Toc60935757" w:history="1">
            <w:r w:rsidR="00462B30" w:rsidRPr="00A10501">
              <w:rPr>
                <w:rStyle w:val="Hyperlink"/>
                <w:rFonts w:ascii="Arial" w:hAnsi="Arial" w:cs="Arial"/>
                <w:b/>
                <w:bCs/>
                <w:noProof/>
                <w:lang w:val="en-GB"/>
              </w:rPr>
              <w:t>Biggest successes</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_Toc60935757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3</w:t>
            </w:r>
            <w:r w:rsidR="00462B30" w:rsidRPr="00A10501">
              <w:rPr>
                <w:rFonts w:ascii="Arial" w:hAnsi="Arial" w:cs="Arial"/>
                <w:b/>
                <w:bCs/>
                <w:noProof/>
                <w:webHidden/>
                <w:lang w:val="en-GB"/>
              </w:rPr>
              <w:fldChar w:fldCharType="end"/>
            </w:r>
          </w:hyperlink>
        </w:p>
        <w:p w14:paraId="1BD116CE" w14:textId="5EE94511" w:rsidR="00462B30" w:rsidRPr="00A10501" w:rsidRDefault="00A10501">
          <w:pPr>
            <w:pStyle w:val="TOC2"/>
            <w:tabs>
              <w:tab w:val="right" w:leader="dot" w:pos="9062"/>
            </w:tabs>
            <w:rPr>
              <w:rFonts w:ascii="Arial" w:hAnsi="Arial" w:cs="Arial"/>
              <w:b/>
              <w:bCs/>
              <w:noProof/>
              <w:lang w:val="en-GB"/>
            </w:rPr>
          </w:pPr>
          <w:hyperlink w:anchor="_Toc60935758" w:history="1">
            <w:r w:rsidR="00462B30" w:rsidRPr="00A10501">
              <w:rPr>
                <w:rStyle w:val="Hyperlink"/>
                <w:rFonts w:ascii="Arial" w:hAnsi="Arial" w:cs="Arial"/>
                <w:b/>
                <w:bCs/>
                <w:noProof/>
                <w:lang w:val="en-GB"/>
              </w:rPr>
              <w:t>Article 67 - Selection of operations by the managing authority</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_Toc60935758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3</w:t>
            </w:r>
            <w:r w:rsidR="00462B30" w:rsidRPr="00A10501">
              <w:rPr>
                <w:rFonts w:ascii="Arial" w:hAnsi="Arial" w:cs="Arial"/>
                <w:b/>
                <w:bCs/>
                <w:noProof/>
                <w:webHidden/>
                <w:lang w:val="en-GB"/>
              </w:rPr>
              <w:fldChar w:fldCharType="end"/>
            </w:r>
          </w:hyperlink>
        </w:p>
        <w:p w14:paraId="3F648B11" w14:textId="75093645" w:rsidR="00462B30" w:rsidRPr="00A10501" w:rsidRDefault="00A10501">
          <w:pPr>
            <w:pStyle w:val="TOC3"/>
            <w:tabs>
              <w:tab w:val="right" w:leader="dot" w:pos="9062"/>
            </w:tabs>
            <w:rPr>
              <w:rFonts w:ascii="Arial" w:hAnsi="Arial" w:cs="Arial"/>
              <w:b/>
              <w:bCs/>
              <w:noProof/>
              <w:lang w:val="en-GB"/>
            </w:rPr>
          </w:pPr>
          <w:hyperlink w:anchor="_Toc60935759" w:history="1">
            <w:r w:rsidR="00462B30" w:rsidRPr="00A10501">
              <w:rPr>
                <w:rStyle w:val="Hyperlink"/>
                <w:rFonts w:ascii="Arial" w:hAnsi="Arial" w:cs="Arial"/>
                <w:b/>
                <w:bCs/>
                <w:noProof/>
                <w:lang w:val="en-GB"/>
              </w:rPr>
              <w:t>Article 67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_Toc60935759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3</w:t>
            </w:r>
            <w:r w:rsidR="00462B30" w:rsidRPr="00A10501">
              <w:rPr>
                <w:rFonts w:ascii="Arial" w:hAnsi="Arial" w:cs="Arial"/>
                <w:b/>
                <w:bCs/>
                <w:noProof/>
                <w:webHidden/>
                <w:lang w:val="en-GB"/>
              </w:rPr>
              <w:fldChar w:fldCharType="end"/>
            </w:r>
          </w:hyperlink>
        </w:p>
        <w:p w14:paraId="0F37E7CA" w14:textId="65F999C6" w:rsidR="00462B30" w:rsidRPr="00A10501" w:rsidRDefault="00A10501">
          <w:pPr>
            <w:pStyle w:val="TOC2"/>
            <w:tabs>
              <w:tab w:val="right" w:leader="dot" w:pos="9062"/>
            </w:tabs>
            <w:rPr>
              <w:rFonts w:ascii="Arial" w:hAnsi="Arial" w:cs="Arial"/>
              <w:b/>
              <w:bCs/>
              <w:noProof/>
              <w:lang w:val="en-GB"/>
            </w:rPr>
          </w:pPr>
          <w:hyperlink w:anchor="_Toc60935760" w:history="1">
            <w:r w:rsidR="00462B30" w:rsidRPr="00A10501">
              <w:rPr>
                <w:rStyle w:val="Hyperlink"/>
                <w:rFonts w:ascii="Arial" w:hAnsi="Arial" w:cs="Arial"/>
                <w:b/>
                <w:bCs/>
                <w:noProof/>
                <w:lang w:val="en-GB"/>
              </w:rPr>
              <w:t>Article 6 a (new) - Horizontal Principles</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_Toc60935760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4</w:t>
            </w:r>
            <w:r w:rsidR="00462B30" w:rsidRPr="00A10501">
              <w:rPr>
                <w:rFonts w:ascii="Arial" w:hAnsi="Arial" w:cs="Arial"/>
                <w:b/>
                <w:bCs/>
                <w:noProof/>
                <w:webHidden/>
                <w:lang w:val="en-GB"/>
              </w:rPr>
              <w:fldChar w:fldCharType="end"/>
            </w:r>
          </w:hyperlink>
        </w:p>
        <w:p w14:paraId="6EC3F756" w14:textId="4C2E10DA" w:rsidR="00462B30" w:rsidRPr="00A10501" w:rsidRDefault="00A10501">
          <w:pPr>
            <w:pStyle w:val="TOC3"/>
            <w:tabs>
              <w:tab w:val="right" w:leader="dot" w:pos="9062"/>
            </w:tabs>
            <w:rPr>
              <w:rFonts w:ascii="Arial" w:hAnsi="Arial" w:cs="Arial"/>
              <w:b/>
              <w:bCs/>
              <w:noProof/>
              <w:lang w:val="en-GB"/>
            </w:rPr>
          </w:pPr>
          <w:hyperlink w:anchor="_Toc60935761" w:history="1">
            <w:r w:rsidR="00462B30" w:rsidRPr="00A10501">
              <w:rPr>
                <w:rStyle w:val="Hyperlink"/>
                <w:rFonts w:ascii="Arial" w:hAnsi="Arial" w:cs="Arial"/>
                <w:b/>
                <w:bCs/>
                <w:noProof/>
                <w:lang w:val="en-GB"/>
              </w:rPr>
              <w:t>Article 6 a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_Toc60935761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4</w:t>
            </w:r>
            <w:r w:rsidR="00462B30" w:rsidRPr="00A10501">
              <w:rPr>
                <w:rFonts w:ascii="Arial" w:hAnsi="Arial" w:cs="Arial"/>
                <w:b/>
                <w:bCs/>
                <w:noProof/>
                <w:webHidden/>
                <w:lang w:val="en-GB"/>
              </w:rPr>
              <w:fldChar w:fldCharType="end"/>
            </w:r>
          </w:hyperlink>
        </w:p>
        <w:p w14:paraId="6EF49EF7" w14:textId="7F3041DA" w:rsidR="00462B30" w:rsidRPr="00A10501" w:rsidRDefault="00A10501">
          <w:pPr>
            <w:pStyle w:val="TOC2"/>
            <w:tabs>
              <w:tab w:val="right" w:leader="dot" w:pos="9062"/>
            </w:tabs>
            <w:rPr>
              <w:rFonts w:ascii="Arial" w:hAnsi="Arial" w:cs="Arial"/>
              <w:b/>
              <w:bCs/>
              <w:noProof/>
              <w:lang w:val="en-GB"/>
            </w:rPr>
          </w:pPr>
          <w:hyperlink w:anchor="_Toc60935762" w:history="1">
            <w:r w:rsidR="00462B30" w:rsidRPr="00A10501">
              <w:rPr>
                <w:rStyle w:val="Hyperlink"/>
                <w:rFonts w:ascii="Arial" w:hAnsi="Arial" w:cs="Arial"/>
                <w:b/>
                <w:bCs/>
                <w:noProof/>
                <w:lang w:val="en-GB"/>
              </w:rPr>
              <w:t>Article 106 - Determination of co-financing rates</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_Toc60935762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4</w:t>
            </w:r>
            <w:r w:rsidR="00462B30" w:rsidRPr="00A10501">
              <w:rPr>
                <w:rFonts w:ascii="Arial" w:hAnsi="Arial" w:cs="Arial"/>
                <w:b/>
                <w:bCs/>
                <w:noProof/>
                <w:webHidden/>
                <w:lang w:val="en-GB"/>
              </w:rPr>
              <w:fldChar w:fldCharType="end"/>
            </w:r>
          </w:hyperlink>
        </w:p>
        <w:p w14:paraId="39836C55" w14:textId="3BB65CAB" w:rsidR="00462B30" w:rsidRPr="00A10501" w:rsidRDefault="00A10501">
          <w:pPr>
            <w:pStyle w:val="TOC3"/>
            <w:tabs>
              <w:tab w:val="right" w:leader="dot" w:pos="9062"/>
            </w:tabs>
            <w:rPr>
              <w:rFonts w:ascii="Arial" w:hAnsi="Arial" w:cs="Arial"/>
              <w:b/>
              <w:bCs/>
              <w:noProof/>
              <w:lang w:val="en-GB"/>
            </w:rPr>
          </w:pPr>
          <w:hyperlink w:anchor="_Toc60935763" w:history="1">
            <w:r w:rsidR="00462B30" w:rsidRPr="00A10501">
              <w:rPr>
                <w:rStyle w:val="Hyperlink"/>
                <w:rFonts w:ascii="Arial" w:hAnsi="Arial" w:cs="Arial"/>
                <w:b/>
                <w:bCs/>
                <w:noProof/>
                <w:lang w:val="en-GB"/>
              </w:rPr>
              <w:t>Article 106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_Toc60935763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4</w:t>
            </w:r>
            <w:r w:rsidR="00462B30" w:rsidRPr="00A10501">
              <w:rPr>
                <w:rFonts w:ascii="Arial" w:hAnsi="Arial" w:cs="Arial"/>
                <w:b/>
                <w:bCs/>
                <w:noProof/>
                <w:webHidden/>
                <w:lang w:val="en-GB"/>
              </w:rPr>
              <w:fldChar w:fldCharType="end"/>
            </w:r>
          </w:hyperlink>
        </w:p>
        <w:p w14:paraId="01DFC370" w14:textId="5441F6CD" w:rsidR="00462B30" w:rsidRPr="00A10501" w:rsidRDefault="00A10501">
          <w:pPr>
            <w:pStyle w:val="TOC2"/>
            <w:tabs>
              <w:tab w:val="right" w:leader="dot" w:pos="9062"/>
            </w:tabs>
            <w:rPr>
              <w:rFonts w:ascii="Arial" w:hAnsi="Arial" w:cs="Arial"/>
              <w:b/>
              <w:bCs/>
              <w:noProof/>
              <w:lang w:val="en-GB"/>
            </w:rPr>
          </w:pPr>
          <w:hyperlink w:anchor="_Toc60935764" w:history="1">
            <w:r w:rsidR="00462B30" w:rsidRPr="00A10501">
              <w:rPr>
                <w:rStyle w:val="Hyperlink"/>
                <w:rFonts w:ascii="Arial" w:hAnsi="Arial" w:cs="Arial"/>
                <w:b/>
                <w:bCs/>
                <w:noProof/>
                <w:lang w:val="en-GB"/>
              </w:rPr>
              <w:t>Article 6 - Partnership and multi-level governance</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_Toc60935764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5</w:t>
            </w:r>
            <w:r w:rsidR="00462B30" w:rsidRPr="00A10501">
              <w:rPr>
                <w:rFonts w:ascii="Arial" w:hAnsi="Arial" w:cs="Arial"/>
                <w:b/>
                <w:bCs/>
                <w:noProof/>
                <w:webHidden/>
                <w:lang w:val="en-GB"/>
              </w:rPr>
              <w:fldChar w:fldCharType="end"/>
            </w:r>
          </w:hyperlink>
        </w:p>
        <w:p w14:paraId="005948E7" w14:textId="5565C5B8" w:rsidR="00462B30" w:rsidRPr="00A10501" w:rsidRDefault="00A10501">
          <w:pPr>
            <w:pStyle w:val="TOC3"/>
            <w:tabs>
              <w:tab w:val="right" w:leader="dot" w:pos="9062"/>
            </w:tabs>
            <w:rPr>
              <w:rFonts w:ascii="Arial" w:hAnsi="Arial" w:cs="Arial"/>
              <w:b/>
              <w:bCs/>
              <w:noProof/>
              <w:lang w:val="en-GB"/>
            </w:rPr>
          </w:pPr>
          <w:hyperlink w:anchor="_Toc60935765" w:history="1">
            <w:r w:rsidR="00462B30" w:rsidRPr="00A10501">
              <w:rPr>
                <w:rStyle w:val="Hyperlink"/>
                <w:rFonts w:ascii="Arial" w:hAnsi="Arial" w:cs="Arial"/>
                <w:b/>
                <w:bCs/>
                <w:noProof/>
                <w:lang w:val="en-GB"/>
              </w:rPr>
              <w:t>Article 6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_Toc60935765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5</w:t>
            </w:r>
            <w:r w:rsidR="00462B30" w:rsidRPr="00A10501">
              <w:rPr>
                <w:rFonts w:ascii="Arial" w:hAnsi="Arial" w:cs="Arial"/>
                <w:b/>
                <w:bCs/>
                <w:noProof/>
                <w:webHidden/>
                <w:lang w:val="en-GB"/>
              </w:rPr>
              <w:fldChar w:fldCharType="end"/>
            </w:r>
          </w:hyperlink>
        </w:p>
        <w:p w14:paraId="7C4E75A5" w14:textId="22008DAE" w:rsidR="00462B30" w:rsidRPr="00A10501" w:rsidRDefault="00A10501">
          <w:pPr>
            <w:pStyle w:val="TOC2"/>
            <w:tabs>
              <w:tab w:val="right" w:leader="dot" w:pos="9062"/>
            </w:tabs>
            <w:rPr>
              <w:rFonts w:ascii="Arial" w:hAnsi="Arial" w:cs="Arial"/>
              <w:b/>
              <w:bCs/>
              <w:noProof/>
              <w:lang w:val="en-GB"/>
            </w:rPr>
          </w:pPr>
          <w:hyperlink w:anchor="_Toc60935766" w:history="1">
            <w:r w:rsidR="00462B30" w:rsidRPr="00A10501">
              <w:rPr>
                <w:rStyle w:val="Hyperlink"/>
                <w:rFonts w:ascii="Arial" w:hAnsi="Arial" w:cs="Arial"/>
                <w:b/>
                <w:bCs/>
                <w:noProof/>
                <w:lang w:val="en-GB"/>
              </w:rPr>
              <w:t>Recital 5</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_Toc60935766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5</w:t>
            </w:r>
            <w:r w:rsidR="00462B30" w:rsidRPr="00A10501">
              <w:rPr>
                <w:rFonts w:ascii="Arial" w:hAnsi="Arial" w:cs="Arial"/>
                <w:b/>
                <w:bCs/>
                <w:noProof/>
                <w:webHidden/>
                <w:lang w:val="en-GB"/>
              </w:rPr>
              <w:fldChar w:fldCharType="end"/>
            </w:r>
          </w:hyperlink>
        </w:p>
        <w:p w14:paraId="690446D3" w14:textId="09595B65" w:rsidR="00462B30" w:rsidRPr="00A10501" w:rsidRDefault="00A10501">
          <w:pPr>
            <w:pStyle w:val="TOC3"/>
            <w:tabs>
              <w:tab w:val="right" w:leader="dot" w:pos="9062"/>
            </w:tabs>
            <w:rPr>
              <w:rFonts w:ascii="Arial" w:hAnsi="Arial" w:cs="Arial"/>
              <w:b/>
              <w:bCs/>
              <w:noProof/>
              <w:lang w:val="en-GB"/>
            </w:rPr>
          </w:pPr>
          <w:hyperlink w:anchor="_Toc60935767" w:history="1">
            <w:r w:rsidR="00462B30" w:rsidRPr="00A10501">
              <w:rPr>
                <w:rStyle w:val="Hyperlink"/>
                <w:rFonts w:ascii="Arial" w:hAnsi="Arial" w:cs="Arial"/>
                <w:b/>
                <w:bCs/>
                <w:noProof/>
                <w:lang w:val="en-GB"/>
              </w:rPr>
              <w:t>Recital 5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_Toc60935767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6</w:t>
            </w:r>
            <w:r w:rsidR="00462B30" w:rsidRPr="00A10501">
              <w:rPr>
                <w:rFonts w:ascii="Arial" w:hAnsi="Arial" w:cs="Arial"/>
                <w:b/>
                <w:bCs/>
                <w:noProof/>
                <w:webHidden/>
                <w:lang w:val="en-GB"/>
              </w:rPr>
              <w:fldChar w:fldCharType="end"/>
            </w:r>
          </w:hyperlink>
        </w:p>
        <w:p w14:paraId="641E0177" w14:textId="4A87D194" w:rsidR="00462B30" w:rsidRPr="00A10501" w:rsidRDefault="00A10501">
          <w:pPr>
            <w:pStyle w:val="TOC1"/>
            <w:tabs>
              <w:tab w:val="right" w:leader="dot" w:pos="9062"/>
            </w:tabs>
            <w:rPr>
              <w:rFonts w:ascii="Arial" w:hAnsi="Arial" w:cs="Arial"/>
              <w:b/>
              <w:bCs/>
              <w:noProof/>
              <w:lang w:val="en-GB"/>
            </w:rPr>
          </w:pPr>
          <w:hyperlink w:anchor="_Toc60935768" w:history="1">
            <w:r w:rsidR="00462B30" w:rsidRPr="00A10501">
              <w:rPr>
                <w:rStyle w:val="Hyperlink"/>
                <w:rFonts w:ascii="Arial" w:hAnsi="Arial" w:cs="Arial"/>
                <w:b/>
                <w:bCs/>
                <w:noProof/>
                <w:lang w:val="en-GB"/>
              </w:rPr>
              <w:t>Other successes</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_Toc60935768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6</w:t>
            </w:r>
            <w:r w:rsidR="00462B30" w:rsidRPr="00A10501">
              <w:rPr>
                <w:rFonts w:ascii="Arial" w:hAnsi="Arial" w:cs="Arial"/>
                <w:b/>
                <w:bCs/>
                <w:noProof/>
                <w:webHidden/>
                <w:lang w:val="en-GB"/>
              </w:rPr>
              <w:fldChar w:fldCharType="end"/>
            </w:r>
          </w:hyperlink>
        </w:p>
        <w:p w14:paraId="6E2B12E3" w14:textId="614DE1B2" w:rsidR="00462B30" w:rsidRPr="00A10501" w:rsidRDefault="00A10501">
          <w:pPr>
            <w:pStyle w:val="TOC2"/>
            <w:tabs>
              <w:tab w:val="right" w:leader="dot" w:pos="9062"/>
            </w:tabs>
            <w:rPr>
              <w:rFonts w:ascii="Arial" w:hAnsi="Arial" w:cs="Arial"/>
              <w:b/>
              <w:bCs/>
              <w:noProof/>
              <w:lang w:val="en-GB"/>
            </w:rPr>
          </w:pPr>
          <w:hyperlink w:anchor="_Toc60935769" w:history="1">
            <w:r w:rsidR="00462B30" w:rsidRPr="00A10501">
              <w:rPr>
                <w:rStyle w:val="Hyperlink"/>
                <w:rFonts w:ascii="Arial" w:hAnsi="Arial" w:cs="Arial"/>
                <w:b/>
                <w:bCs/>
                <w:noProof/>
                <w:lang w:val="en-GB"/>
              </w:rPr>
              <w:t>Article 4 - Policy objectives</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_Toc60935769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6</w:t>
            </w:r>
            <w:r w:rsidR="00462B30" w:rsidRPr="00A10501">
              <w:rPr>
                <w:rFonts w:ascii="Arial" w:hAnsi="Arial" w:cs="Arial"/>
                <w:b/>
                <w:bCs/>
                <w:noProof/>
                <w:webHidden/>
                <w:lang w:val="en-GB"/>
              </w:rPr>
              <w:fldChar w:fldCharType="end"/>
            </w:r>
          </w:hyperlink>
        </w:p>
        <w:p w14:paraId="05807472" w14:textId="1EB02EDA" w:rsidR="00462B30" w:rsidRPr="00A10501" w:rsidRDefault="00A10501">
          <w:pPr>
            <w:pStyle w:val="TOC3"/>
            <w:tabs>
              <w:tab w:val="right" w:leader="dot" w:pos="9062"/>
            </w:tabs>
            <w:rPr>
              <w:rFonts w:ascii="Arial" w:hAnsi="Arial" w:cs="Arial"/>
              <w:b/>
              <w:bCs/>
              <w:noProof/>
              <w:lang w:val="en-GB"/>
            </w:rPr>
          </w:pPr>
          <w:hyperlink w:anchor="_Toc60935770" w:history="1">
            <w:r w:rsidR="00462B30" w:rsidRPr="00A10501">
              <w:rPr>
                <w:rStyle w:val="Hyperlink"/>
                <w:rFonts w:ascii="Arial" w:hAnsi="Arial" w:cs="Arial"/>
                <w:b/>
                <w:bCs/>
                <w:noProof/>
                <w:lang w:val="en-GB"/>
              </w:rPr>
              <w:t>Article 4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_Toc60935770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6</w:t>
            </w:r>
            <w:r w:rsidR="00462B30" w:rsidRPr="00A10501">
              <w:rPr>
                <w:rFonts w:ascii="Arial" w:hAnsi="Arial" w:cs="Arial"/>
                <w:b/>
                <w:bCs/>
                <w:noProof/>
                <w:webHidden/>
                <w:lang w:val="en-GB"/>
              </w:rPr>
              <w:fldChar w:fldCharType="end"/>
            </w:r>
          </w:hyperlink>
        </w:p>
        <w:p w14:paraId="2BFFF522" w14:textId="34136E52" w:rsidR="00462B30" w:rsidRPr="00A10501" w:rsidRDefault="00A10501">
          <w:pPr>
            <w:pStyle w:val="TOC2"/>
            <w:tabs>
              <w:tab w:val="right" w:leader="dot" w:pos="9062"/>
            </w:tabs>
            <w:rPr>
              <w:rFonts w:ascii="Arial" w:hAnsi="Arial" w:cs="Arial"/>
              <w:b/>
              <w:bCs/>
              <w:noProof/>
              <w:lang w:val="en-GB"/>
            </w:rPr>
          </w:pPr>
          <w:hyperlink w:anchor="_Toc60935771" w:history="1">
            <w:r w:rsidR="00462B30" w:rsidRPr="00A10501">
              <w:rPr>
                <w:rStyle w:val="Hyperlink"/>
                <w:rFonts w:ascii="Arial" w:hAnsi="Arial" w:cs="Arial"/>
                <w:b/>
                <w:bCs/>
                <w:noProof/>
                <w:lang w:val="en-GB"/>
              </w:rPr>
              <w:t>Annex III Horizontal Enabling Conditions</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_Toc60935771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7</w:t>
            </w:r>
            <w:r w:rsidR="00462B30" w:rsidRPr="00A10501">
              <w:rPr>
                <w:rFonts w:ascii="Arial" w:hAnsi="Arial" w:cs="Arial"/>
                <w:b/>
                <w:bCs/>
                <w:noProof/>
                <w:webHidden/>
                <w:lang w:val="en-GB"/>
              </w:rPr>
              <w:fldChar w:fldCharType="end"/>
            </w:r>
          </w:hyperlink>
        </w:p>
        <w:p w14:paraId="156BEA47" w14:textId="790788A7" w:rsidR="00462B30" w:rsidRPr="00A10501" w:rsidRDefault="00A10501">
          <w:pPr>
            <w:pStyle w:val="TOC3"/>
            <w:tabs>
              <w:tab w:val="right" w:leader="dot" w:pos="9062"/>
            </w:tabs>
            <w:rPr>
              <w:rFonts w:ascii="Arial" w:hAnsi="Arial" w:cs="Arial"/>
              <w:b/>
              <w:bCs/>
              <w:noProof/>
              <w:lang w:val="en-GB"/>
            </w:rPr>
          </w:pPr>
          <w:hyperlink w:anchor="_Toc60935772" w:history="1">
            <w:r w:rsidR="00462B30" w:rsidRPr="00A10501">
              <w:rPr>
                <w:rStyle w:val="Hyperlink"/>
                <w:rFonts w:ascii="Arial" w:hAnsi="Arial" w:cs="Arial"/>
                <w:b/>
                <w:bCs/>
                <w:noProof/>
                <w:lang w:val="en-GB"/>
              </w:rPr>
              <w:t>Horizontal Enabling Conditions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_Toc60935772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7</w:t>
            </w:r>
            <w:r w:rsidR="00462B30" w:rsidRPr="00A10501">
              <w:rPr>
                <w:rFonts w:ascii="Arial" w:hAnsi="Arial" w:cs="Arial"/>
                <w:b/>
                <w:bCs/>
                <w:noProof/>
                <w:webHidden/>
                <w:lang w:val="en-GB"/>
              </w:rPr>
              <w:fldChar w:fldCharType="end"/>
            </w:r>
          </w:hyperlink>
        </w:p>
        <w:p w14:paraId="68075FDC" w14:textId="2A1D5F61" w:rsidR="00462B30" w:rsidRPr="00A10501" w:rsidRDefault="00A10501">
          <w:pPr>
            <w:pStyle w:val="TOC2"/>
            <w:tabs>
              <w:tab w:val="right" w:leader="dot" w:pos="9062"/>
            </w:tabs>
            <w:rPr>
              <w:rFonts w:ascii="Arial" w:hAnsi="Arial" w:cs="Arial"/>
              <w:b/>
              <w:bCs/>
              <w:noProof/>
              <w:lang w:val="en-GB"/>
            </w:rPr>
          </w:pPr>
          <w:hyperlink w:anchor="_Toc60935773" w:history="1">
            <w:r w:rsidR="00462B30" w:rsidRPr="00A10501">
              <w:rPr>
                <w:rStyle w:val="Hyperlink"/>
                <w:rFonts w:ascii="Arial" w:hAnsi="Arial" w:cs="Arial"/>
                <w:b/>
                <w:bCs/>
                <w:noProof/>
                <w:lang w:val="en-GB"/>
              </w:rPr>
              <w:t>Annex IV - Thematic enabling conditions</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_Toc60935773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8</w:t>
            </w:r>
            <w:r w:rsidR="00462B30" w:rsidRPr="00A10501">
              <w:rPr>
                <w:rFonts w:ascii="Arial" w:hAnsi="Arial" w:cs="Arial"/>
                <w:b/>
                <w:bCs/>
                <w:noProof/>
                <w:webHidden/>
                <w:lang w:val="en-GB"/>
              </w:rPr>
              <w:fldChar w:fldCharType="end"/>
            </w:r>
          </w:hyperlink>
        </w:p>
        <w:p w14:paraId="7DF5725B" w14:textId="24970E12" w:rsidR="00462B30" w:rsidRPr="00A10501" w:rsidRDefault="00A10501">
          <w:pPr>
            <w:pStyle w:val="TOC3"/>
            <w:tabs>
              <w:tab w:val="right" w:leader="dot" w:pos="9062"/>
            </w:tabs>
            <w:rPr>
              <w:rFonts w:ascii="Arial" w:hAnsi="Arial" w:cs="Arial"/>
              <w:b/>
              <w:bCs/>
              <w:noProof/>
              <w:lang w:val="en-GB"/>
            </w:rPr>
          </w:pPr>
          <w:hyperlink w:anchor="_Toc60935774" w:history="1">
            <w:r w:rsidR="00462B30" w:rsidRPr="00A10501">
              <w:rPr>
                <w:rStyle w:val="Hyperlink"/>
                <w:rFonts w:ascii="Arial" w:hAnsi="Arial" w:cs="Arial"/>
                <w:b/>
                <w:bCs/>
                <w:noProof/>
                <w:lang w:val="en-GB"/>
              </w:rPr>
              <w:t>Thematic Enabling Conditions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_Toc60935774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8</w:t>
            </w:r>
            <w:r w:rsidR="00462B30" w:rsidRPr="00A10501">
              <w:rPr>
                <w:rFonts w:ascii="Arial" w:hAnsi="Arial" w:cs="Arial"/>
                <w:b/>
                <w:bCs/>
                <w:noProof/>
                <w:webHidden/>
                <w:lang w:val="en-GB"/>
              </w:rPr>
              <w:fldChar w:fldCharType="end"/>
            </w:r>
          </w:hyperlink>
        </w:p>
        <w:p w14:paraId="4C30FB6D" w14:textId="6DECB244" w:rsidR="00462B30" w:rsidRPr="00A10501" w:rsidRDefault="00A10501">
          <w:pPr>
            <w:pStyle w:val="TOC2"/>
            <w:tabs>
              <w:tab w:val="right" w:leader="dot" w:pos="9062"/>
            </w:tabs>
            <w:rPr>
              <w:rFonts w:ascii="Arial" w:hAnsi="Arial" w:cs="Arial"/>
              <w:b/>
              <w:bCs/>
              <w:noProof/>
              <w:lang w:val="en-GB"/>
            </w:rPr>
          </w:pPr>
          <w:hyperlink w:anchor="_Toc60935775" w:history="1">
            <w:r w:rsidR="00462B30" w:rsidRPr="00A10501">
              <w:rPr>
                <w:rStyle w:val="Hyperlink"/>
                <w:rFonts w:ascii="Arial" w:hAnsi="Arial" w:cs="Arial"/>
                <w:b/>
                <w:bCs/>
                <w:noProof/>
                <w:lang w:val="en-GB"/>
              </w:rPr>
              <w:t>Article 25 - Community-led local development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_Toc60935775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9</w:t>
            </w:r>
            <w:r w:rsidR="00462B30" w:rsidRPr="00A10501">
              <w:rPr>
                <w:rFonts w:ascii="Arial" w:hAnsi="Arial" w:cs="Arial"/>
                <w:b/>
                <w:bCs/>
                <w:noProof/>
                <w:webHidden/>
                <w:lang w:val="en-GB"/>
              </w:rPr>
              <w:fldChar w:fldCharType="end"/>
            </w:r>
          </w:hyperlink>
        </w:p>
        <w:p w14:paraId="0E2A73DF" w14:textId="3C63119E" w:rsidR="00462B30" w:rsidRPr="00A10501" w:rsidRDefault="00A10501">
          <w:pPr>
            <w:pStyle w:val="TOC3"/>
            <w:tabs>
              <w:tab w:val="right" w:leader="dot" w:pos="9062"/>
            </w:tabs>
            <w:rPr>
              <w:rFonts w:ascii="Arial" w:hAnsi="Arial" w:cs="Arial"/>
              <w:b/>
              <w:bCs/>
              <w:noProof/>
              <w:lang w:val="en-GB"/>
            </w:rPr>
          </w:pPr>
          <w:hyperlink w:anchor="_Toc60935776" w:history="1">
            <w:r w:rsidR="00462B30" w:rsidRPr="00A10501">
              <w:rPr>
                <w:rStyle w:val="Hyperlink"/>
                <w:rFonts w:ascii="Arial" w:hAnsi="Arial" w:cs="Arial"/>
                <w:b/>
                <w:bCs/>
                <w:noProof/>
                <w:lang w:val="en-GB"/>
              </w:rPr>
              <w:t>Article 25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_Toc60935776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10</w:t>
            </w:r>
            <w:r w:rsidR="00462B30" w:rsidRPr="00A10501">
              <w:rPr>
                <w:rFonts w:ascii="Arial" w:hAnsi="Arial" w:cs="Arial"/>
                <w:b/>
                <w:bCs/>
                <w:noProof/>
                <w:webHidden/>
                <w:lang w:val="en-GB"/>
              </w:rPr>
              <w:fldChar w:fldCharType="end"/>
            </w:r>
          </w:hyperlink>
        </w:p>
        <w:p w14:paraId="0DABDB60" w14:textId="1EC604D4" w:rsidR="00462B30" w:rsidRPr="00A10501" w:rsidRDefault="00A10501">
          <w:pPr>
            <w:pStyle w:val="TOC2"/>
            <w:tabs>
              <w:tab w:val="right" w:leader="dot" w:pos="9062"/>
            </w:tabs>
            <w:rPr>
              <w:rFonts w:ascii="Arial" w:hAnsi="Arial" w:cs="Arial"/>
              <w:b/>
              <w:bCs/>
              <w:noProof/>
              <w:lang w:val="en-GB"/>
            </w:rPr>
          </w:pPr>
          <w:hyperlink w:anchor="_Toc60935777" w:history="1">
            <w:r w:rsidR="00462B30" w:rsidRPr="00A10501">
              <w:rPr>
                <w:rStyle w:val="Hyperlink"/>
                <w:rFonts w:ascii="Arial" w:hAnsi="Arial" w:cs="Arial"/>
                <w:b/>
                <w:bCs/>
                <w:noProof/>
                <w:lang w:val="en-GB"/>
              </w:rPr>
              <w:t>Article 27 - Local action groups</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_Toc60935777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10</w:t>
            </w:r>
            <w:r w:rsidR="00462B30" w:rsidRPr="00A10501">
              <w:rPr>
                <w:rFonts w:ascii="Arial" w:hAnsi="Arial" w:cs="Arial"/>
                <w:b/>
                <w:bCs/>
                <w:noProof/>
                <w:webHidden/>
                <w:lang w:val="en-GB"/>
              </w:rPr>
              <w:fldChar w:fldCharType="end"/>
            </w:r>
          </w:hyperlink>
        </w:p>
        <w:p w14:paraId="150BAF8B" w14:textId="6B33C78E" w:rsidR="00462B30" w:rsidRPr="00A10501" w:rsidRDefault="00A10501">
          <w:pPr>
            <w:pStyle w:val="TOC3"/>
            <w:tabs>
              <w:tab w:val="right" w:leader="dot" w:pos="9062"/>
            </w:tabs>
            <w:rPr>
              <w:rFonts w:ascii="Arial" w:hAnsi="Arial" w:cs="Arial"/>
              <w:b/>
              <w:bCs/>
              <w:noProof/>
              <w:lang w:val="en-GB"/>
            </w:rPr>
          </w:pPr>
          <w:hyperlink w:anchor="_Toc60935778" w:history="1">
            <w:r w:rsidR="00462B30" w:rsidRPr="00A10501">
              <w:rPr>
                <w:rStyle w:val="Hyperlink"/>
                <w:rFonts w:ascii="Arial" w:hAnsi="Arial" w:cs="Arial"/>
                <w:b/>
                <w:bCs/>
                <w:noProof/>
                <w:lang w:val="en-GB"/>
              </w:rPr>
              <w:t>Article 27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_Toc60935778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10</w:t>
            </w:r>
            <w:r w:rsidR="00462B30" w:rsidRPr="00A10501">
              <w:rPr>
                <w:rFonts w:ascii="Arial" w:hAnsi="Arial" w:cs="Arial"/>
                <w:b/>
                <w:bCs/>
                <w:noProof/>
                <w:webHidden/>
                <w:lang w:val="en-GB"/>
              </w:rPr>
              <w:fldChar w:fldCharType="end"/>
            </w:r>
          </w:hyperlink>
        </w:p>
        <w:p w14:paraId="7C5A2DC7" w14:textId="687C6694" w:rsidR="00462B30" w:rsidRPr="00A10501" w:rsidRDefault="00A10501">
          <w:pPr>
            <w:pStyle w:val="TOC2"/>
            <w:tabs>
              <w:tab w:val="right" w:leader="dot" w:pos="9062"/>
            </w:tabs>
            <w:rPr>
              <w:rFonts w:ascii="Arial" w:hAnsi="Arial" w:cs="Arial"/>
              <w:b/>
              <w:bCs/>
              <w:noProof/>
              <w:lang w:val="en-GB"/>
            </w:rPr>
          </w:pPr>
          <w:hyperlink w:anchor="_Toc60935779" w:history="1">
            <w:r w:rsidR="00462B30" w:rsidRPr="00A10501">
              <w:rPr>
                <w:rStyle w:val="Hyperlink"/>
                <w:rFonts w:ascii="Arial" w:hAnsi="Arial" w:cs="Arial"/>
                <w:b/>
                <w:bCs/>
                <w:noProof/>
                <w:lang w:val="en-GB"/>
              </w:rPr>
              <w:t>Article 34 - Composition of the monitoring committee</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_Toc60935779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10</w:t>
            </w:r>
            <w:r w:rsidR="00462B30" w:rsidRPr="00A10501">
              <w:rPr>
                <w:rFonts w:ascii="Arial" w:hAnsi="Arial" w:cs="Arial"/>
                <w:b/>
                <w:bCs/>
                <w:noProof/>
                <w:webHidden/>
                <w:lang w:val="en-GB"/>
              </w:rPr>
              <w:fldChar w:fldCharType="end"/>
            </w:r>
          </w:hyperlink>
        </w:p>
        <w:p w14:paraId="2A9B13AB" w14:textId="272932BB" w:rsidR="00462B30" w:rsidRPr="00A10501" w:rsidRDefault="00A10501">
          <w:pPr>
            <w:pStyle w:val="TOC3"/>
            <w:tabs>
              <w:tab w:val="right" w:leader="dot" w:pos="9062"/>
            </w:tabs>
            <w:rPr>
              <w:rFonts w:ascii="Arial" w:hAnsi="Arial" w:cs="Arial"/>
              <w:b/>
              <w:bCs/>
              <w:noProof/>
              <w:lang w:val="en-GB"/>
            </w:rPr>
          </w:pPr>
          <w:hyperlink w:anchor="_Toc60935780" w:history="1">
            <w:r w:rsidR="00462B30" w:rsidRPr="00A10501">
              <w:rPr>
                <w:rStyle w:val="Hyperlink"/>
                <w:rFonts w:ascii="Arial" w:hAnsi="Arial" w:cs="Arial"/>
                <w:b/>
                <w:bCs/>
                <w:noProof/>
                <w:lang w:val="en-GB"/>
              </w:rPr>
              <w:t>Article 34 final text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_Toc60935780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10</w:t>
            </w:r>
            <w:r w:rsidR="00462B30" w:rsidRPr="00A10501">
              <w:rPr>
                <w:rFonts w:ascii="Arial" w:hAnsi="Arial" w:cs="Arial"/>
                <w:b/>
                <w:bCs/>
                <w:noProof/>
                <w:webHidden/>
                <w:lang w:val="en-GB"/>
              </w:rPr>
              <w:fldChar w:fldCharType="end"/>
            </w:r>
          </w:hyperlink>
        </w:p>
        <w:p w14:paraId="1A4E6203" w14:textId="7CAB58C9" w:rsidR="00462B30" w:rsidRPr="00A10501" w:rsidRDefault="00A10501">
          <w:pPr>
            <w:pStyle w:val="TOC1"/>
            <w:tabs>
              <w:tab w:val="right" w:leader="dot" w:pos="9062"/>
            </w:tabs>
            <w:rPr>
              <w:rFonts w:ascii="Arial" w:hAnsi="Arial" w:cs="Arial"/>
              <w:b/>
              <w:bCs/>
              <w:noProof/>
              <w:lang w:val="en-GB"/>
            </w:rPr>
          </w:pPr>
          <w:hyperlink w:anchor="_Toc60935781" w:history="1">
            <w:r w:rsidR="00462B30" w:rsidRPr="00A10501">
              <w:rPr>
                <w:rStyle w:val="Hyperlink"/>
                <w:rFonts w:ascii="Arial" w:hAnsi="Arial" w:cs="Arial"/>
                <w:b/>
                <w:bCs/>
                <w:noProof/>
                <w:lang w:val="en-GB"/>
              </w:rPr>
              <w:t>Areas of disappointment</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_Toc60935781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10</w:t>
            </w:r>
            <w:r w:rsidR="00462B30" w:rsidRPr="00A10501">
              <w:rPr>
                <w:rFonts w:ascii="Arial" w:hAnsi="Arial" w:cs="Arial"/>
                <w:b/>
                <w:bCs/>
                <w:noProof/>
                <w:webHidden/>
                <w:lang w:val="en-GB"/>
              </w:rPr>
              <w:fldChar w:fldCharType="end"/>
            </w:r>
          </w:hyperlink>
        </w:p>
        <w:p w14:paraId="4C12CD3A" w14:textId="533146D8" w:rsidR="00462B30" w:rsidRPr="00A10501" w:rsidRDefault="00A10501">
          <w:pPr>
            <w:pStyle w:val="TOC2"/>
            <w:tabs>
              <w:tab w:val="right" w:leader="dot" w:pos="9062"/>
            </w:tabs>
            <w:rPr>
              <w:noProof/>
              <w:lang w:val="en-GB"/>
            </w:rPr>
          </w:pPr>
          <w:hyperlink w:anchor="_Toc60935782" w:history="1">
            <w:r w:rsidR="00462B30" w:rsidRPr="00A10501">
              <w:rPr>
                <w:rStyle w:val="Hyperlink"/>
                <w:rFonts w:ascii="Arial" w:hAnsi="Arial" w:cs="Arial"/>
                <w:b/>
                <w:bCs/>
                <w:noProof/>
                <w:lang w:val="en-GB"/>
              </w:rPr>
              <w:t>Article 84</w:t>
            </w:r>
            <w:r w:rsidR="009D4BD1" w:rsidRPr="00A10501">
              <w:rPr>
                <w:rStyle w:val="Hyperlink"/>
                <w:rFonts w:ascii="Arial" w:hAnsi="Arial" w:cs="Arial"/>
                <w:b/>
                <w:bCs/>
                <w:noProof/>
                <w:lang w:val="en-GB"/>
              </w:rPr>
              <w:t xml:space="preserve"> – Pre-financing</w:t>
            </w:r>
            <w:r w:rsidR="00462B30" w:rsidRPr="00A10501">
              <w:rPr>
                <w:rFonts w:ascii="Arial" w:hAnsi="Arial" w:cs="Arial"/>
                <w:b/>
                <w:bCs/>
                <w:noProof/>
                <w:webHidden/>
                <w:lang w:val="en-GB"/>
              </w:rPr>
              <w:tab/>
            </w:r>
            <w:r w:rsidR="00462B30" w:rsidRPr="00A10501">
              <w:rPr>
                <w:rFonts w:ascii="Arial" w:hAnsi="Arial" w:cs="Arial"/>
                <w:b/>
                <w:bCs/>
                <w:noProof/>
                <w:webHidden/>
                <w:lang w:val="en-GB"/>
              </w:rPr>
              <w:fldChar w:fldCharType="begin"/>
            </w:r>
            <w:r w:rsidR="00462B30" w:rsidRPr="00A10501">
              <w:rPr>
                <w:rFonts w:ascii="Arial" w:hAnsi="Arial" w:cs="Arial"/>
                <w:b/>
                <w:bCs/>
                <w:noProof/>
                <w:webHidden/>
                <w:lang w:val="en-GB"/>
              </w:rPr>
              <w:instrText xml:space="preserve"> PAGEREF _Toc60935782 \h </w:instrText>
            </w:r>
            <w:r w:rsidR="00462B30" w:rsidRPr="00A10501">
              <w:rPr>
                <w:rFonts w:ascii="Arial" w:hAnsi="Arial" w:cs="Arial"/>
                <w:b/>
                <w:bCs/>
                <w:noProof/>
                <w:webHidden/>
                <w:lang w:val="en-GB"/>
              </w:rPr>
            </w:r>
            <w:r w:rsidR="00462B30" w:rsidRPr="00A10501">
              <w:rPr>
                <w:rFonts w:ascii="Arial" w:hAnsi="Arial" w:cs="Arial"/>
                <w:b/>
                <w:bCs/>
                <w:noProof/>
                <w:webHidden/>
                <w:lang w:val="en-GB"/>
              </w:rPr>
              <w:fldChar w:fldCharType="separate"/>
            </w:r>
            <w:r w:rsidR="00462B30" w:rsidRPr="00A10501">
              <w:rPr>
                <w:rFonts w:ascii="Arial" w:hAnsi="Arial" w:cs="Arial"/>
                <w:b/>
                <w:bCs/>
                <w:noProof/>
                <w:webHidden/>
                <w:lang w:val="en-GB"/>
              </w:rPr>
              <w:t>10</w:t>
            </w:r>
            <w:r w:rsidR="00462B30" w:rsidRPr="00A10501">
              <w:rPr>
                <w:rFonts w:ascii="Arial" w:hAnsi="Arial" w:cs="Arial"/>
                <w:b/>
                <w:bCs/>
                <w:noProof/>
                <w:webHidden/>
                <w:lang w:val="en-GB"/>
              </w:rPr>
              <w:fldChar w:fldCharType="end"/>
            </w:r>
          </w:hyperlink>
        </w:p>
        <w:p w14:paraId="2A0B080A" w14:textId="108CA8F7" w:rsidR="00462B30" w:rsidRPr="00A10501" w:rsidRDefault="00462B30">
          <w:pPr>
            <w:rPr>
              <w:lang w:val="en-GB"/>
            </w:rPr>
          </w:pPr>
          <w:r w:rsidRPr="00A10501">
            <w:rPr>
              <w:b/>
              <w:bCs/>
              <w:noProof/>
              <w:lang w:val="en-GB"/>
            </w:rPr>
            <w:fldChar w:fldCharType="end"/>
          </w:r>
        </w:p>
      </w:sdtContent>
    </w:sdt>
    <w:p w14:paraId="5E5F79F0" w14:textId="1429B366" w:rsidR="00462B30" w:rsidRPr="00A10501" w:rsidRDefault="00462B30" w:rsidP="001B5FE3">
      <w:pPr>
        <w:pStyle w:val="Heading1"/>
        <w:rPr>
          <w:rFonts w:ascii="Arial" w:hAnsi="Arial" w:cs="Arial"/>
          <w:b/>
          <w:bCs/>
          <w:lang w:val="en-GB"/>
        </w:rPr>
      </w:pPr>
    </w:p>
    <w:p w14:paraId="1ED40E2C" w14:textId="483077B7" w:rsidR="00462B30" w:rsidRPr="00A10501" w:rsidRDefault="00462B30" w:rsidP="00462B30">
      <w:pPr>
        <w:rPr>
          <w:lang w:val="en-GB"/>
        </w:rPr>
      </w:pPr>
    </w:p>
    <w:p w14:paraId="066D7722" w14:textId="316436A0" w:rsidR="00462B30" w:rsidRPr="00A10501" w:rsidRDefault="00462B30" w:rsidP="00462B30">
      <w:pPr>
        <w:rPr>
          <w:lang w:val="en-GB"/>
        </w:rPr>
      </w:pPr>
    </w:p>
    <w:p w14:paraId="6C907675" w14:textId="1685F969" w:rsidR="00462B30" w:rsidRPr="00A10501" w:rsidRDefault="00462B30" w:rsidP="00462B30">
      <w:pPr>
        <w:rPr>
          <w:lang w:val="en-GB"/>
        </w:rPr>
      </w:pPr>
    </w:p>
    <w:p w14:paraId="2CBDE825" w14:textId="77777777" w:rsidR="00462B30" w:rsidRPr="00A10501" w:rsidRDefault="00462B30" w:rsidP="00462B30">
      <w:pPr>
        <w:rPr>
          <w:lang w:val="en-GB"/>
        </w:rPr>
      </w:pPr>
    </w:p>
    <w:p w14:paraId="725525C3" w14:textId="20FE7F1F" w:rsidR="001B5FE3" w:rsidRPr="00A10501" w:rsidRDefault="00CA673A" w:rsidP="001B5FE3">
      <w:pPr>
        <w:pStyle w:val="Heading1"/>
        <w:rPr>
          <w:rFonts w:ascii="Arial" w:hAnsi="Arial" w:cs="Arial"/>
          <w:b/>
          <w:bCs/>
          <w:lang w:val="en-GB"/>
        </w:rPr>
      </w:pPr>
      <w:bookmarkStart w:id="1" w:name="_Toc60935756"/>
      <w:r w:rsidRPr="00A10501">
        <w:rPr>
          <w:rFonts w:ascii="Arial" w:hAnsi="Arial" w:cs="Arial"/>
          <w:b/>
          <w:bCs/>
          <w:lang w:val="en-GB"/>
        </w:rPr>
        <w:lastRenderedPageBreak/>
        <w:t>What is the Common Provisions Regulation</w:t>
      </w:r>
      <w:bookmarkEnd w:id="1"/>
    </w:p>
    <w:bookmarkEnd w:id="0"/>
    <w:p w14:paraId="5C040B5B" w14:textId="77777777" w:rsidR="001B5FE3" w:rsidRPr="00A10501" w:rsidRDefault="001B5FE3" w:rsidP="00270741">
      <w:pPr>
        <w:rPr>
          <w:rFonts w:ascii="Arial" w:hAnsi="Arial" w:cs="Arial"/>
          <w:color w:val="222222"/>
          <w:sz w:val="24"/>
          <w:szCs w:val="24"/>
          <w:lang w:val="en-GB"/>
        </w:rPr>
      </w:pPr>
    </w:p>
    <w:p w14:paraId="21BDA480" w14:textId="1793FF7C" w:rsidR="00CA673A" w:rsidRPr="00A10501" w:rsidRDefault="00CA673A" w:rsidP="00270741">
      <w:pPr>
        <w:rPr>
          <w:rFonts w:ascii="Arial" w:hAnsi="Arial" w:cs="Arial"/>
          <w:color w:val="222222"/>
          <w:sz w:val="24"/>
          <w:szCs w:val="24"/>
          <w:lang w:val="en-GB"/>
        </w:rPr>
      </w:pPr>
      <w:r w:rsidRPr="00A10501">
        <w:rPr>
          <w:rFonts w:ascii="Arial" w:hAnsi="Arial" w:cs="Arial"/>
          <w:color w:val="222222"/>
          <w:sz w:val="24"/>
          <w:szCs w:val="24"/>
          <w:lang w:val="en-GB"/>
        </w:rPr>
        <w:t>The Common Provisions Regulation (CPR) is a piece of over-arching legislation that applies to various EU funding programmes, including the European Social Fund + and the European Regional Development Fund. It outlines rules that must be followed for the use of funds. It also outlines the criteria by which projects must adhere to be eligible for EU funding.</w:t>
      </w:r>
      <w:r w:rsidR="00270741" w:rsidRPr="00A10501">
        <w:rPr>
          <w:rFonts w:ascii="Arial" w:hAnsi="Arial" w:cs="Arial"/>
          <w:color w:val="222222"/>
          <w:sz w:val="24"/>
          <w:szCs w:val="24"/>
          <w:lang w:val="en-GB"/>
        </w:rPr>
        <w:t xml:space="preserve"> The CPR sets out common provisions for seven shared management: the Cohesion Fund, the European Maritime </w:t>
      </w:r>
      <w:r w:rsidR="0077418C" w:rsidRPr="00A10501">
        <w:rPr>
          <w:rFonts w:ascii="Arial" w:hAnsi="Arial" w:cs="Arial"/>
          <w:color w:val="222222"/>
          <w:sz w:val="24"/>
          <w:szCs w:val="24"/>
          <w:lang w:val="en-GB"/>
        </w:rPr>
        <w:t xml:space="preserve">funds </w:t>
      </w:r>
      <w:r w:rsidR="00270741" w:rsidRPr="00A10501">
        <w:rPr>
          <w:rFonts w:ascii="Arial" w:hAnsi="Arial" w:cs="Arial"/>
          <w:color w:val="222222"/>
          <w:sz w:val="24"/>
          <w:szCs w:val="24"/>
          <w:lang w:val="en-GB"/>
        </w:rPr>
        <w:t>and Fisheries Fund, the European Regional Development Fund, the European Social Fund Plus, the Asylum and Migration Fund, the Border Management and Visa Instrument and the Internal Security Fund.</w:t>
      </w:r>
    </w:p>
    <w:p w14:paraId="4255AB38" w14:textId="314EBED2" w:rsidR="00CA673A" w:rsidRPr="00A10501" w:rsidRDefault="00CA673A" w:rsidP="00CA673A">
      <w:pPr>
        <w:rPr>
          <w:rFonts w:ascii="Arial" w:hAnsi="Arial" w:cs="Arial"/>
          <w:sz w:val="24"/>
          <w:szCs w:val="24"/>
          <w:lang w:val="en-GB"/>
        </w:rPr>
      </w:pPr>
      <w:r w:rsidRPr="00A10501">
        <w:rPr>
          <w:rFonts w:ascii="Arial" w:hAnsi="Arial" w:cs="Arial"/>
          <w:sz w:val="24"/>
          <w:szCs w:val="24"/>
          <w:lang w:val="en-GB"/>
        </w:rPr>
        <w:t xml:space="preserve">In 2018 the European Commission released its proposal for a new CPR covering the period 2021-2027. In December </w:t>
      </w:r>
      <w:r w:rsidR="00C51FE1" w:rsidRPr="00A10501">
        <w:rPr>
          <w:rFonts w:ascii="Arial" w:hAnsi="Arial" w:cs="Arial"/>
          <w:sz w:val="24"/>
          <w:szCs w:val="24"/>
          <w:lang w:val="en-GB"/>
        </w:rPr>
        <w:t>2020 an agreement was reached between the European Parliament and the Council on the final wording of the Regulation.</w:t>
      </w:r>
    </w:p>
    <w:p w14:paraId="34FB4D57" w14:textId="2E65BD94" w:rsidR="00C51FE1" w:rsidRPr="00A10501" w:rsidRDefault="00C51FE1" w:rsidP="00CA673A">
      <w:pPr>
        <w:rPr>
          <w:rFonts w:ascii="Arial" w:hAnsi="Arial" w:cs="Arial"/>
          <w:sz w:val="24"/>
          <w:szCs w:val="24"/>
          <w:lang w:val="en-GB"/>
        </w:rPr>
      </w:pPr>
      <w:r w:rsidRPr="00A10501">
        <w:rPr>
          <w:rFonts w:ascii="Arial" w:hAnsi="Arial" w:cs="Arial"/>
          <w:sz w:val="24"/>
          <w:szCs w:val="24"/>
          <w:lang w:val="en-GB"/>
        </w:rPr>
        <w:t>The European Disability Forum advocated extensively for the Regulation to include a number of provisions that would result in EU funds being used more effectively for social inclusion, accessibility and deinstitutionalisation for persons with disabilities.</w:t>
      </w:r>
    </w:p>
    <w:p w14:paraId="1026AC1D" w14:textId="7E6B308B" w:rsidR="00C51FE1" w:rsidRPr="00A10501" w:rsidRDefault="00C51FE1" w:rsidP="00CA673A">
      <w:pPr>
        <w:rPr>
          <w:rFonts w:ascii="Arial" w:hAnsi="Arial" w:cs="Arial"/>
          <w:sz w:val="24"/>
          <w:szCs w:val="24"/>
          <w:lang w:val="en-GB"/>
        </w:rPr>
      </w:pPr>
      <w:r w:rsidRPr="00A10501">
        <w:rPr>
          <w:rFonts w:ascii="Arial" w:hAnsi="Arial" w:cs="Arial"/>
          <w:sz w:val="24"/>
          <w:szCs w:val="24"/>
          <w:lang w:val="en-GB"/>
        </w:rPr>
        <w:t xml:space="preserve">In this document we will analyse the final agreement on the CPR and what it means for persons with disabilities. </w:t>
      </w:r>
      <w:r w:rsidR="00270741" w:rsidRPr="00A10501">
        <w:rPr>
          <w:rFonts w:ascii="Arial" w:hAnsi="Arial" w:cs="Arial"/>
          <w:sz w:val="24"/>
          <w:szCs w:val="24"/>
          <w:lang w:val="en-GB"/>
        </w:rPr>
        <w:t xml:space="preserve">When presenting final text from the Regulation, all amendments to the Commission’s original proposal will be presented in bold and italic. In some cases, where text has been removed from the original proposal, words will also have a strike through. </w:t>
      </w:r>
    </w:p>
    <w:p w14:paraId="249C610C" w14:textId="77777777" w:rsidR="00904C5B" w:rsidRPr="00A10501" w:rsidRDefault="00904C5B" w:rsidP="00904C5B">
      <w:pPr>
        <w:rPr>
          <w:rFonts w:ascii="Arial" w:hAnsi="Arial" w:cs="Arial"/>
          <w:sz w:val="24"/>
          <w:szCs w:val="24"/>
          <w:lang w:val="en-GB"/>
        </w:rPr>
      </w:pPr>
      <w:r w:rsidRPr="00A10501">
        <w:rPr>
          <w:rFonts w:ascii="Arial" w:hAnsi="Arial" w:cs="Arial"/>
          <w:sz w:val="24"/>
          <w:szCs w:val="24"/>
          <w:lang w:val="en-GB"/>
        </w:rPr>
        <w:t xml:space="preserve">When the final text of the Regulation is made publicly available, we will share the link on the EDF website. </w:t>
      </w:r>
    </w:p>
    <w:p w14:paraId="71324405" w14:textId="77777777" w:rsidR="00270741" w:rsidRPr="00A10501" w:rsidRDefault="00270741" w:rsidP="00CA673A">
      <w:pPr>
        <w:rPr>
          <w:rFonts w:ascii="Arial" w:hAnsi="Arial" w:cs="Arial"/>
          <w:sz w:val="24"/>
          <w:szCs w:val="24"/>
          <w:lang w:val="en-GB"/>
        </w:rPr>
      </w:pPr>
    </w:p>
    <w:p w14:paraId="33F38512" w14:textId="1B5829A7" w:rsidR="00861BB0" w:rsidRPr="00A10501" w:rsidRDefault="009423E2" w:rsidP="002C1E89">
      <w:pPr>
        <w:pStyle w:val="Heading1"/>
        <w:rPr>
          <w:rFonts w:ascii="Arial" w:hAnsi="Arial" w:cs="Arial"/>
          <w:b/>
          <w:bCs/>
          <w:lang w:val="en-GB"/>
        </w:rPr>
      </w:pPr>
      <w:bookmarkStart w:id="2" w:name="_Toc60935757"/>
      <w:r w:rsidRPr="00A10501">
        <w:rPr>
          <w:rFonts w:ascii="Arial" w:hAnsi="Arial" w:cs="Arial"/>
          <w:b/>
          <w:bCs/>
          <w:lang w:val="en-GB"/>
        </w:rPr>
        <w:t>Biggest su</w:t>
      </w:r>
      <w:r w:rsidR="00775F0E" w:rsidRPr="00A10501">
        <w:rPr>
          <w:rFonts w:ascii="Arial" w:hAnsi="Arial" w:cs="Arial"/>
          <w:b/>
          <w:bCs/>
          <w:lang w:val="en-GB"/>
        </w:rPr>
        <w:t>ccesses</w:t>
      </w:r>
      <w:bookmarkEnd w:id="2"/>
    </w:p>
    <w:p w14:paraId="527D6D1E" w14:textId="2042A990" w:rsidR="00AD28B4" w:rsidRPr="00A10501" w:rsidRDefault="00AD28B4" w:rsidP="001B5FE3">
      <w:pPr>
        <w:pStyle w:val="Heading2"/>
      </w:pPr>
      <w:bookmarkStart w:id="3" w:name="_Toc60935758"/>
      <w:r w:rsidRPr="00A10501">
        <w:t xml:space="preserve">Article 67 </w:t>
      </w:r>
      <w:r w:rsidR="00775F0E" w:rsidRPr="00A10501">
        <w:t xml:space="preserve">- </w:t>
      </w:r>
      <w:r w:rsidRPr="00A10501">
        <w:t>Selection of operations by the managing authority</w:t>
      </w:r>
      <w:bookmarkEnd w:id="3"/>
    </w:p>
    <w:p w14:paraId="386FAE23" w14:textId="2145699F" w:rsidR="002C1E89" w:rsidRPr="00A10501" w:rsidRDefault="001B5FE3" w:rsidP="002C1E89">
      <w:pPr>
        <w:rPr>
          <w:rFonts w:ascii="Arial" w:hAnsi="Arial" w:cs="Arial"/>
          <w:sz w:val="24"/>
          <w:szCs w:val="24"/>
          <w:lang w:val="en-GB"/>
        </w:rPr>
      </w:pPr>
      <w:r w:rsidRPr="00A10501">
        <w:rPr>
          <w:rFonts w:ascii="Arial" w:hAnsi="Arial" w:cs="Arial"/>
          <w:sz w:val="24"/>
          <w:szCs w:val="24"/>
          <w:lang w:val="en-GB"/>
        </w:rPr>
        <w:br/>
      </w:r>
      <w:r w:rsidR="002C1E89" w:rsidRPr="00A10501">
        <w:rPr>
          <w:rFonts w:ascii="Arial" w:hAnsi="Arial" w:cs="Arial"/>
          <w:sz w:val="24"/>
          <w:szCs w:val="24"/>
          <w:lang w:val="en-GB"/>
        </w:rPr>
        <w:t>Article 67</w:t>
      </w:r>
      <w:r w:rsidR="00270741" w:rsidRPr="00A10501">
        <w:rPr>
          <w:rFonts w:ascii="Arial" w:hAnsi="Arial" w:cs="Arial"/>
          <w:sz w:val="24"/>
          <w:szCs w:val="24"/>
          <w:lang w:val="en-GB"/>
        </w:rPr>
        <w:t xml:space="preserve"> outlines the way</w:t>
      </w:r>
      <w:r w:rsidR="009D4BD1" w:rsidRPr="00A10501">
        <w:rPr>
          <w:rFonts w:ascii="Arial" w:hAnsi="Arial" w:cs="Arial"/>
          <w:sz w:val="24"/>
          <w:szCs w:val="24"/>
          <w:lang w:val="en-GB"/>
        </w:rPr>
        <w:t>s</w:t>
      </w:r>
      <w:r w:rsidR="00270741" w:rsidRPr="00A10501">
        <w:rPr>
          <w:rFonts w:ascii="Arial" w:hAnsi="Arial" w:cs="Arial"/>
          <w:sz w:val="24"/>
          <w:szCs w:val="24"/>
          <w:lang w:val="en-GB"/>
        </w:rPr>
        <w:t xml:space="preserve"> in which managing authorities shall go about selecting EU funded operations. Here</w:t>
      </w:r>
      <w:r w:rsidR="009D4BD1" w:rsidRPr="00A10501">
        <w:rPr>
          <w:rFonts w:ascii="Arial" w:hAnsi="Arial" w:cs="Arial"/>
          <w:sz w:val="24"/>
          <w:szCs w:val="24"/>
          <w:lang w:val="en-GB"/>
        </w:rPr>
        <w:t>,</w:t>
      </w:r>
      <w:r w:rsidR="00270741" w:rsidRPr="00A10501">
        <w:rPr>
          <w:rFonts w:ascii="Arial" w:hAnsi="Arial" w:cs="Arial"/>
          <w:sz w:val="24"/>
          <w:szCs w:val="24"/>
          <w:lang w:val="en-GB"/>
        </w:rPr>
        <w:t xml:space="preserve"> the final text states that the criteria and the procedures should be non-discriminatory. After advocacy from EDF, it also states clearly that the criteria and procedures must “ensure accessibility to persons with disabilities” as well as gender equality. This means that for all funding covered by the CPR, managing authorities must consider the impact it will have on accessibility for persons with disabilities and systematically turn away anything that perpetuates barriers. </w:t>
      </w:r>
      <w:r w:rsidR="002C1E89" w:rsidRPr="00A10501">
        <w:rPr>
          <w:rFonts w:ascii="Arial" w:hAnsi="Arial" w:cs="Arial"/>
          <w:sz w:val="24"/>
          <w:szCs w:val="24"/>
          <w:lang w:val="en-GB"/>
        </w:rPr>
        <w:t xml:space="preserve"> </w:t>
      </w:r>
    </w:p>
    <w:p w14:paraId="3519E1D0" w14:textId="529D4994" w:rsidR="00270741" w:rsidRPr="00A10501" w:rsidRDefault="00270741" w:rsidP="00270741">
      <w:pPr>
        <w:pStyle w:val="Heading3"/>
        <w:rPr>
          <w:rFonts w:ascii="Arial" w:hAnsi="Arial" w:cs="Arial"/>
          <w:b/>
          <w:bCs/>
          <w:sz w:val="28"/>
          <w:szCs w:val="28"/>
          <w:lang w:val="en-GB"/>
        </w:rPr>
      </w:pPr>
      <w:bookmarkStart w:id="4" w:name="_Toc60935759"/>
      <w:r w:rsidRPr="00A10501">
        <w:rPr>
          <w:rFonts w:ascii="Arial" w:hAnsi="Arial" w:cs="Arial"/>
          <w:b/>
          <w:bCs/>
          <w:sz w:val="28"/>
          <w:szCs w:val="28"/>
          <w:lang w:val="en-GB"/>
        </w:rPr>
        <w:t>Article 67 final text</w:t>
      </w:r>
      <w:bookmarkEnd w:id="4"/>
    </w:p>
    <w:p w14:paraId="2E59033C" w14:textId="26CFD034" w:rsidR="00AD28B4" w:rsidRPr="00A10501" w:rsidRDefault="00AD28B4">
      <w:pPr>
        <w:rPr>
          <w:rFonts w:ascii="Arial" w:hAnsi="Arial" w:cs="Arial"/>
          <w:sz w:val="24"/>
          <w:szCs w:val="24"/>
          <w:lang w:val="en-GB"/>
        </w:rPr>
      </w:pPr>
      <w:r w:rsidRPr="00A10501">
        <w:rPr>
          <w:rFonts w:ascii="Arial" w:hAnsi="Arial" w:cs="Arial"/>
          <w:sz w:val="24"/>
          <w:szCs w:val="24"/>
          <w:lang w:val="en-GB"/>
        </w:rPr>
        <w:t xml:space="preserve">1. For the selection of operations, the managing authority shall establish and apply criteria and procedures which are non-discriminatory, transparent, ensure </w:t>
      </w:r>
      <w:r w:rsidRPr="00A10501">
        <w:rPr>
          <w:rFonts w:ascii="Arial" w:hAnsi="Arial" w:cs="Arial"/>
          <w:b/>
          <w:bCs/>
          <w:sz w:val="24"/>
          <w:szCs w:val="24"/>
          <w:lang w:val="en-GB"/>
        </w:rPr>
        <w:t>accessibility to persons with disabilities,</w:t>
      </w:r>
      <w:r w:rsidRPr="00A10501">
        <w:rPr>
          <w:rFonts w:ascii="Arial" w:hAnsi="Arial" w:cs="Arial"/>
          <w:sz w:val="24"/>
          <w:szCs w:val="24"/>
          <w:lang w:val="en-GB"/>
        </w:rPr>
        <w:t xml:space="preserve"> gender equality and take account of the </w:t>
      </w:r>
      <w:r w:rsidRPr="00A10501">
        <w:rPr>
          <w:rFonts w:ascii="Arial" w:hAnsi="Arial" w:cs="Arial"/>
          <w:sz w:val="24"/>
          <w:szCs w:val="24"/>
          <w:lang w:val="en-GB"/>
        </w:rPr>
        <w:lastRenderedPageBreak/>
        <w:t>Charter of Fundamental Rights of the European Union and the principle of sustainable development and of the Union policy on the envi</w:t>
      </w:r>
      <w:r w:rsidR="00270741" w:rsidRPr="00A10501">
        <w:rPr>
          <w:rFonts w:ascii="Arial" w:hAnsi="Arial" w:cs="Arial"/>
          <w:sz w:val="24"/>
          <w:szCs w:val="24"/>
          <w:lang w:val="en-GB"/>
        </w:rPr>
        <w:t>ronment […]</w:t>
      </w:r>
    </w:p>
    <w:p w14:paraId="3F0ADDD0" w14:textId="77777777" w:rsidR="00410B61" w:rsidRPr="00A10501" w:rsidRDefault="00410B61">
      <w:pPr>
        <w:rPr>
          <w:rFonts w:ascii="Arial" w:hAnsi="Arial" w:cs="Arial"/>
          <w:sz w:val="24"/>
          <w:szCs w:val="24"/>
          <w:lang w:val="en-GB"/>
        </w:rPr>
      </w:pPr>
    </w:p>
    <w:p w14:paraId="2E18B171" w14:textId="6329CF3A" w:rsidR="00AD28B4" w:rsidRPr="00A10501" w:rsidRDefault="00410B61" w:rsidP="001B5FE3">
      <w:pPr>
        <w:pStyle w:val="Heading2"/>
      </w:pPr>
      <w:bookmarkStart w:id="5" w:name="_Toc60935760"/>
      <w:r w:rsidRPr="00A10501">
        <w:t xml:space="preserve">Article 6 a (new) </w:t>
      </w:r>
      <w:r w:rsidR="00775F0E" w:rsidRPr="00A10501">
        <w:t xml:space="preserve">- </w:t>
      </w:r>
      <w:r w:rsidRPr="00A10501">
        <w:t>Horizontal Principles</w:t>
      </w:r>
      <w:bookmarkEnd w:id="5"/>
    </w:p>
    <w:p w14:paraId="55FFE279" w14:textId="1857D4EA" w:rsidR="00270741" w:rsidRPr="00A10501" w:rsidRDefault="00270741" w:rsidP="00270741">
      <w:pPr>
        <w:rPr>
          <w:rFonts w:ascii="Arial" w:hAnsi="Arial" w:cs="Arial"/>
          <w:sz w:val="24"/>
          <w:szCs w:val="24"/>
          <w:lang w:val="en-GB"/>
        </w:rPr>
      </w:pPr>
      <w:r w:rsidRPr="00A10501">
        <w:rPr>
          <w:rFonts w:ascii="Arial" w:hAnsi="Arial" w:cs="Arial"/>
          <w:sz w:val="24"/>
          <w:szCs w:val="24"/>
          <w:lang w:val="en-GB"/>
        </w:rPr>
        <w:t xml:space="preserve">One of EDF’s main advocacy positions was to reintroduce </w:t>
      </w:r>
      <w:r w:rsidR="004B072B" w:rsidRPr="00A10501">
        <w:rPr>
          <w:rFonts w:ascii="Arial" w:hAnsi="Arial" w:cs="Arial"/>
          <w:sz w:val="24"/>
          <w:szCs w:val="24"/>
          <w:lang w:val="en-GB"/>
        </w:rPr>
        <w:t xml:space="preserve">an Article on gender equality and non-discrimination, which had existed in the previous CPR but had been removed </w:t>
      </w:r>
      <w:r w:rsidR="009D4BD1" w:rsidRPr="00A10501">
        <w:rPr>
          <w:rFonts w:ascii="Arial" w:hAnsi="Arial" w:cs="Arial"/>
          <w:sz w:val="24"/>
          <w:szCs w:val="24"/>
          <w:lang w:val="en-GB"/>
        </w:rPr>
        <w:t>in the original proposal for</w:t>
      </w:r>
      <w:r w:rsidR="004B072B" w:rsidRPr="00A10501">
        <w:rPr>
          <w:rFonts w:ascii="Arial" w:hAnsi="Arial" w:cs="Arial"/>
          <w:sz w:val="24"/>
          <w:szCs w:val="24"/>
          <w:lang w:val="en-GB"/>
        </w:rPr>
        <w:t xml:space="preserve"> the new one</w:t>
      </w:r>
      <w:r w:rsidR="009D4BD1" w:rsidRPr="00A10501">
        <w:rPr>
          <w:rFonts w:ascii="Arial" w:hAnsi="Arial" w:cs="Arial"/>
          <w:sz w:val="24"/>
          <w:szCs w:val="24"/>
          <w:lang w:val="en-GB"/>
        </w:rPr>
        <w:t xml:space="preserve"> covering the period 2021-2027</w:t>
      </w:r>
      <w:r w:rsidR="004B072B" w:rsidRPr="00A10501">
        <w:rPr>
          <w:rFonts w:ascii="Arial" w:hAnsi="Arial" w:cs="Arial"/>
          <w:sz w:val="24"/>
          <w:szCs w:val="24"/>
          <w:lang w:val="en-GB"/>
        </w:rPr>
        <w:t>. After a lot of hard work, a</w:t>
      </w:r>
      <w:r w:rsidR="009D4BD1" w:rsidRPr="00A10501">
        <w:rPr>
          <w:rFonts w:ascii="Arial" w:hAnsi="Arial" w:cs="Arial"/>
          <w:sz w:val="24"/>
          <w:szCs w:val="24"/>
          <w:lang w:val="en-GB"/>
        </w:rPr>
        <w:t xml:space="preserve"> </w:t>
      </w:r>
      <w:r w:rsidR="004B072B" w:rsidRPr="00A10501">
        <w:rPr>
          <w:rFonts w:ascii="Arial" w:hAnsi="Arial" w:cs="Arial"/>
          <w:sz w:val="24"/>
          <w:szCs w:val="24"/>
          <w:lang w:val="en-GB"/>
        </w:rPr>
        <w:t>n</w:t>
      </w:r>
      <w:r w:rsidR="009D4BD1" w:rsidRPr="00A10501">
        <w:rPr>
          <w:rFonts w:ascii="Arial" w:hAnsi="Arial" w:cs="Arial"/>
          <w:sz w:val="24"/>
          <w:szCs w:val="24"/>
          <w:lang w:val="en-GB"/>
        </w:rPr>
        <w:t>ew</w:t>
      </w:r>
      <w:r w:rsidR="004B072B" w:rsidRPr="00A10501">
        <w:rPr>
          <w:rFonts w:ascii="Arial" w:hAnsi="Arial" w:cs="Arial"/>
          <w:sz w:val="24"/>
          <w:szCs w:val="24"/>
          <w:lang w:val="en-GB"/>
        </w:rPr>
        <w:t xml:space="preserve"> Article on Horizontal principles was</w:t>
      </w:r>
      <w:r w:rsidR="009D4BD1" w:rsidRPr="00A10501">
        <w:rPr>
          <w:rFonts w:ascii="Arial" w:hAnsi="Arial" w:cs="Arial"/>
          <w:sz w:val="24"/>
          <w:szCs w:val="24"/>
          <w:lang w:val="en-GB"/>
        </w:rPr>
        <w:t xml:space="preserve"> eventually</w:t>
      </w:r>
      <w:r w:rsidR="004B072B" w:rsidRPr="00A10501">
        <w:rPr>
          <w:rFonts w:ascii="Arial" w:hAnsi="Arial" w:cs="Arial"/>
          <w:sz w:val="24"/>
          <w:szCs w:val="24"/>
          <w:lang w:val="en-GB"/>
        </w:rPr>
        <w:t xml:space="preserve"> introduced. It states clearly that appropriate steps must be taken to prevent discrimination based on disability. Importantly it </w:t>
      </w:r>
      <w:r w:rsidR="009D4BD1" w:rsidRPr="00A10501">
        <w:rPr>
          <w:rFonts w:ascii="Arial" w:hAnsi="Arial" w:cs="Arial"/>
          <w:sz w:val="24"/>
          <w:szCs w:val="24"/>
          <w:lang w:val="en-GB"/>
        </w:rPr>
        <w:t xml:space="preserve">also </w:t>
      </w:r>
      <w:r w:rsidR="004B072B" w:rsidRPr="00A10501">
        <w:rPr>
          <w:rFonts w:ascii="Arial" w:hAnsi="Arial" w:cs="Arial"/>
          <w:sz w:val="24"/>
          <w:szCs w:val="24"/>
          <w:lang w:val="en-GB"/>
        </w:rPr>
        <w:t>states that “In particular, accessibility for persons with disabilities shall be taken into account throughout the preparation and implementation of programmes.”</w:t>
      </w:r>
    </w:p>
    <w:p w14:paraId="1EE68876" w14:textId="214E1E11" w:rsidR="00270741" w:rsidRPr="00A10501" w:rsidRDefault="00270741" w:rsidP="00270741">
      <w:pPr>
        <w:pStyle w:val="Heading3"/>
        <w:rPr>
          <w:rFonts w:ascii="Arial" w:hAnsi="Arial" w:cs="Arial"/>
          <w:b/>
          <w:bCs/>
          <w:sz w:val="28"/>
          <w:szCs w:val="28"/>
          <w:lang w:val="en-GB"/>
        </w:rPr>
      </w:pPr>
      <w:bookmarkStart w:id="6" w:name="_Toc60935761"/>
      <w:r w:rsidRPr="00A10501">
        <w:rPr>
          <w:rFonts w:ascii="Arial" w:hAnsi="Arial" w:cs="Arial"/>
          <w:b/>
          <w:bCs/>
          <w:sz w:val="28"/>
          <w:szCs w:val="28"/>
          <w:lang w:val="en-GB"/>
        </w:rPr>
        <w:t>Article 6 a final text</w:t>
      </w:r>
      <w:bookmarkEnd w:id="6"/>
    </w:p>
    <w:p w14:paraId="4DE95A31" w14:textId="6D3F8462" w:rsidR="00410B61" w:rsidRPr="00A10501" w:rsidRDefault="00410B61" w:rsidP="00410B61">
      <w:pPr>
        <w:pStyle w:val="ListParagraph"/>
        <w:numPr>
          <w:ilvl w:val="0"/>
          <w:numId w:val="1"/>
        </w:numPr>
        <w:rPr>
          <w:rFonts w:ascii="Arial" w:hAnsi="Arial" w:cs="Arial"/>
          <w:b/>
          <w:bCs/>
          <w:i/>
          <w:iCs/>
          <w:sz w:val="24"/>
          <w:szCs w:val="24"/>
          <w:lang w:val="en-GB"/>
        </w:rPr>
      </w:pPr>
      <w:r w:rsidRPr="00A10501">
        <w:rPr>
          <w:rFonts w:ascii="Arial" w:hAnsi="Arial" w:cs="Arial"/>
          <w:b/>
          <w:bCs/>
          <w:i/>
          <w:iCs/>
          <w:sz w:val="24"/>
          <w:szCs w:val="24"/>
          <w:lang w:val="en-GB"/>
        </w:rPr>
        <w:t>Member States and the Commission shall ensure respect for fundamental rights and compliance with the Charter of Fundamental Rights of the European Union in the implementation of the Funds</w:t>
      </w:r>
    </w:p>
    <w:p w14:paraId="44A79D04" w14:textId="32DB6096" w:rsidR="00410B61" w:rsidRPr="00A10501" w:rsidRDefault="00410B61" w:rsidP="00410B61">
      <w:pPr>
        <w:pStyle w:val="ListParagraph"/>
        <w:numPr>
          <w:ilvl w:val="0"/>
          <w:numId w:val="1"/>
        </w:numPr>
        <w:rPr>
          <w:rFonts w:ascii="Arial" w:hAnsi="Arial" w:cs="Arial"/>
          <w:b/>
          <w:bCs/>
          <w:i/>
          <w:iCs/>
          <w:sz w:val="24"/>
          <w:szCs w:val="24"/>
          <w:lang w:val="en-GB"/>
        </w:rPr>
      </w:pPr>
      <w:r w:rsidRPr="00A10501">
        <w:rPr>
          <w:rFonts w:ascii="Arial" w:hAnsi="Arial" w:cs="Arial"/>
          <w:b/>
          <w:bCs/>
          <w:i/>
          <w:iCs/>
          <w:sz w:val="24"/>
          <w:szCs w:val="24"/>
          <w:lang w:val="en-GB"/>
        </w:rPr>
        <w:t>Member States and the Commission shall ensure that equality between men and women, gender mainstreaming and the integration of gender perspective are taken into account and promoted throughout the preparation, implementation, monitoring reporting and evaluation of programmes.</w:t>
      </w:r>
    </w:p>
    <w:p w14:paraId="3A266BF0" w14:textId="39BFB505" w:rsidR="009423E2" w:rsidRPr="00A10501" w:rsidRDefault="00410B61" w:rsidP="009423E2">
      <w:pPr>
        <w:pStyle w:val="ListParagraph"/>
        <w:numPr>
          <w:ilvl w:val="0"/>
          <w:numId w:val="1"/>
        </w:numPr>
        <w:rPr>
          <w:rFonts w:ascii="Arial" w:hAnsi="Arial" w:cs="Arial"/>
          <w:b/>
          <w:bCs/>
          <w:i/>
          <w:iCs/>
          <w:sz w:val="24"/>
          <w:szCs w:val="24"/>
          <w:lang w:val="en-GB"/>
        </w:rPr>
      </w:pPr>
      <w:r w:rsidRPr="00A10501">
        <w:rPr>
          <w:rFonts w:ascii="Arial" w:hAnsi="Arial" w:cs="Arial"/>
          <w:b/>
          <w:bCs/>
          <w:i/>
          <w:iCs/>
          <w:sz w:val="24"/>
          <w:szCs w:val="24"/>
          <w:lang w:val="en-GB"/>
        </w:rPr>
        <w:t xml:space="preserve">Member States and the Commission shall take appropriate steps to prevent </w:t>
      </w:r>
      <w:r w:rsidR="00AB670C" w:rsidRPr="00A10501">
        <w:rPr>
          <w:rFonts w:ascii="Arial" w:hAnsi="Arial" w:cs="Arial"/>
          <w:b/>
          <w:bCs/>
          <w:i/>
          <w:iCs/>
          <w:sz w:val="24"/>
          <w:szCs w:val="24"/>
          <w:lang w:val="en-GB"/>
        </w:rPr>
        <w:t>any discrimination based on gender, racial or ethnic origin, religion or belief, disability, age or sexual orientation during the preparation, implementation, monitoring, reporting and evaluation of programmes. In particular, accessibility for persons with disabilities shall be taken into account throughout the preparation and implementation of programmes.</w:t>
      </w:r>
    </w:p>
    <w:p w14:paraId="0A904DC5" w14:textId="77777777" w:rsidR="004B072B" w:rsidRPr="00A10501" w:rsidRDefault="004B072B" w:rsidP="004B072B">
      <w:pPr>
        <w:pStyle w:val="ListParagraph"/>
        <w:rPr>
          <w:rFonts w:ascii="Arial" w:hAnsi="Arial" w:cs="Arial"/>
          <w:b/>
          <w:bCs/>
          <w:i/>
          <w:iCs/>
          <w:sz w:val="24"/>
          <w:szCs w:val="24"/>
          <w:lang w:val="en-GB"/>
        </w:rPr>
      </w:pPr>
    </w:p>
    <w:p w14:paraId="36FE9A1D" w14:textId="490E4EA1" w:rsidR="004B072B" w:rsidRPr="00A10501" w:rsidRDefault="004B072B" w:rsidP="001B5FE3">
      <w:pPr>
        <w:pStyle w:val="Heading2"/>
      </w:pPr>
      <w:bookmarkStart w:id="7" w:name="_Toc60935762"/>
      <w:r w:rsidRPr="00A10501">
        <w:t>Article 106 - Determination of co-financing rates</w:t>
      </w:r>
      <w:bookmarkEnd w:id="7"/>
    </w:p>
    <w:p w14:paraId="44EB4816" w14:textId="7C8FE541" w:rsidR="004B072B" w:rsidRPr="00A10501" w:rsidRDefault="004B072B" w:rsidP="004B072B">
      <w:pPr>
        <w:rPr>
          <w:rFonts w:ascii="Arial" w:hAnsi="Arial" w:cs="Arial"/>
          <w:sz w:val="24"/>
          <w:szCs w:val="24"/>
          <w:lang w:val="en-GB"/>
        </w:rPr>
      </w:pPr>
      <w:r w:rsidRPr="00A10501">
        <w:rPr>
          <w:rFonts w:ascii="Arial" w:hAnsi="Arial" w:cs="Arial"/>
          <w:sz w:val="24"/>
          <w:szCs w:val="24"/>
          <w:lang w:val="en-GB"/>
        </w:rPr>
        <w:t>There was a risk that the amount of co-financing offered by the EU funds to beneficiaries would be reduced quite considerably. This would mean that any organisations hoping to make use of EU funds would need to use more of their own money. It would have made it difficult for smaller organisations to</w:t>
      </w:r>
      <w:r w:rsidR="005D5FA8" w:rsidRPr="00A10501">
        <w:rPr>
          <w:rFonts w:ascii="Arial" w:hAnsi="Arial" w:cs="Arial"/>
          <w:sz w:val="24"/>
          <w:szCs w:val="24"/>
          <w:lang w:val="en-GB"/>
        </w:rPr>
        <w:t xml:space="preserve"> get access to funding. EDF advocated extensively on this point. Fortunately</w:t>
      </w:r>
      <w:r w:rsidR="009D4BD1" w:rsidRPr="00A10501">
        <w:rPr>
          <w:rFonts w:ascii="Arial" w:hAnsi="Arial" w:cs="Arial"/>
          <w:sz w:val="24"/>
          <w:szCs w:val="24"/>
          <w:lang w:val="en-GB"/>
        </w:rPr>
        <w:t>,</w:t>
      </w:r>
      <w:r w:rsidR="005D5FA8" w:rsidRPr="00A10501">
        <w:rPr>
          <w:rFonts w:ascii="Arial" w:hAnsi="Arial" w:cs="Arial"/>
          <w:sz w:val="24"/>
          <w:szCs w:val="24"/>
          <w:lang w:val="en-GB"/>
        </w:rPr>
        <w:t xml:space="preserve"> the reductions were mitigated and did not reach the levels seen in the Commission’s 2018 proposal. The rates vary from 85% co-financing for projects in developing regions to only 50% in the richest regions. </w:t>
      </w:r>
      <w:r w:rsidRPr="00A10501">
        <w:rPr>
          <w:rFonts w:ascii="Arial" w:hAnsi="Arial" w:cs="Arial"/>
          <w:sz w:val="24"/>
          <w:szCs w:val="24"/>
          <w:lang w:val="en-GB"/>
        </w:rPr>
        <w:t xml:space="preserve"> </w:t>
      </w:r>
    </w:p>
    <w:p w14:paraId="3AC1724B" w14:textId="2A4A73C0" w:rsidR="00CC6062" w:rsidRPr="00A10501" w:rsidRDefault="00CC6062" w:rsidP="004B072B">
      <w:pPr>
        <w:rPr>
          <w:rFonts w:ascii="Arial" w:hAnsi="Arial" w:cs="Arial"/>
          <w:sz w:val="24"/>
          <w:szCs w:val="24"/>
          <w:lang w:val="en-GB"/>
        </w:rPr>
      </w:pPr>
    </w:p>
    <w:p w14:paraId="054751B0" w14:textId="5133A22B" w:rsidR="00CC6062" w:rsidRPr="00A10501" w:rsidRDefault="00CC6062" w:rsidP="00CC6062">
      <w:pPr>
        <w:pStyle w:val="Heading3"/>
        <w:rPr>
          <w:rFonts w:ascii="Arial" w:hAnsi="Arial" w:cs="Arial"/>
          <w:b/>
          <w:bCs/>
          <w:sz w:val="28"/>
          <w:szCs w:val="28"/>
          <w:lang w:val="en-GB"/>
        </w:rPr>
      </w:pPr>
      <w:bookmarkStart w:id="8" w:name="_Toc60935763"/>
      <w:r w:rsidRPr="00A10501">
        <w:rPr>
          <w:rFonts w:ascii="Arial" w:hAnsi="Arial" w:cs="Arial"/>
          <w:b/>
          <w:bCs/>
          <w:sz w:val="28"/>
          <w:szCs w:val="28"/>
          <w:lang w:val="en-GB"/>
        </w:rPr>
        <w:t>Article 106 final text</w:t>
      </w:r>
      <w:bookmarkEnd w:id="8"/>
    </w:p>
    <w:p w14:paraId="606B1D41" w14:textId="77777777" w:rsidR="004B072B" w:rsidRPr="00A10501" w:rsidRDefault="004B072B" w:rsidP="004B072B">
      <w:pPr>
        <w:pStyle w:val="ListParagraph"/>
        <w:numPr>
          <w:ilvl w:val="0"/>
          <w:numId w:val="2"/>
        </w:numPr>
        <w:rPr>
          <w:rFonts w:ascii="Arial" w:hAnsi="Arial" w:cs="Arial"/>
          <w:b/>
          <w:bCs/>
          <w:i/>
          <w:iCs/>
          <w:sz w:val="24"/>
          <w:szCs w:val="24"/>
          <w:lang w:val="en-GB"/>
        </w:rPr>
      </w:pPr>
      <w:r w:rsidRPr="00A10501">
        <w:rPr>
          <w:rFonts w:ascii="Arial" w:hAnsi="Arial" w:cs="Arial"/>
          <w:b/>
          <w:bCs/>
          <w:i/>
          <w:iCs/>
          <w:strike/>
          <w:sz w:val="24"/>
          <w:szCs w:val="24"/>
          <w:lang w:val="en-GB"/>
        </w:rPr>
        <w:t xml:space="preserve">70 </w:t>
      </w:r>
      <w:r w:rsidRPr="00A10501">
        <w:rPr>
          <w:rFonts w:ascii="Arial" w:hAnsi="Arial" w:cs="Arial"/>
          <w:b/>
          <w:bCs/>
          <w:i/>
          <w:iCs/>
          <w:sz w:val="24"/>
          <w:szCs w:val="24"/>
          <w:lang w:val="en-GB"/>
        </w:rPr>
        <w:t xml:space="preserve">85 </w:t>
      </w:r>
      <w:r w:rsidRPr="00A10501">
        <w:rPr>
          <w:rFonts w:ascii="Arial" w:hAnsi="Arial" w:cs="Arial"/>
          <w:sz w:val="24"/>
          <w:szCs w:val="24"/>
          <w:lang w:val="en-GB"/>
        </w:rPr>
        <w:t>% for the less developed regions;</w:t>
      </w:r>
    </w:p>
    <w:p w14:paraId="084E34D6" w14:textId="77777777" w:rsidR="004B072B" w:rsidRPr="00A10501" w:rsidRDefault="004B072B" w:rsidP="004B072B">
      <w:pPr>
        <w:pStyle w:val="ListParagraph"/>
        <w:rPr>
          <w:rFonts w:ascii="Arial" w:hAnsi="Arial" w:cs="Arial"/>
          <w:b/>
          <w:bCs/>
          <w:i/>
          <w:iCs/>
          <w:sz w:val="24"/>
          <w:szCs w:val="24"/>
          <w:lang w:val="en-GB"/>
        </w:rPr>
      </w:pPr>
      <w:r w:rsidRPr="00A10501">
        <w:rPr>
          <w:rFonts w:ascii="Arial" w:hAnsi="Arial" w:cs="Arial"/>
          <w:b/>
          <w:bCs/>
          <w:i/>
          <w:iCs/>
          <w:sz w:val="24"/>
          <w:szCs w:val="24"/>
          <w:lang w:val="en-GB"/>
        </w:rPr>
        <w:t>(a bis) 70% for transition regions that were classified as less developed regions in the 2014-2020 programming period;</w:t>
      </w:r>
    </w:p>
    <w:p w14:paraId="3B4DB0A3" w14:textId="77777777" w:rsidR="004B072B" w:rsidRPr="00A10501" w:rsidRDefault="004B072B" w:rsidP="004B072B">
      <w:pPr>
        <w:pStyle w:val="ListParagraph"/>
        <w:numPr>
          <w:ilvl w:val="0"/>
          <w:numId w:val="2"/>
        </w:numPr>
        <w:rPr>
          <w:rFonts w:ascii="Arial" w:hAnsi="Arial" w:cs="Arial"/>
          <w:b/>
          <w:bCs/>
          <w:i/>
          <w:iCs/>
          <w:sz w:val="24"/>
          <w:szCs w:val="24"/>
          <w:lang w:val="en-GB"/>
        </w:rPr>
      </w:pPr>
      <w:r w:rsidRPr="00A10501">
        <w:rPr>
          <w:rFonts w:ascii="Arial" w:hAnsi="Arial" w:cs="Arial"/>
          <w:b/>
          <w:bCs/>
          <w:i/>
          <w:iCs/>
          <w:strike/>
          <w:sz w:val="24"/>
          <w:szCs w:val="24"/>
          <w:lang w:val="en-GB"/>
        </w:rPr>
        <w:lastRenderedPageBreak/>
        <w:t>55</w:t>
      </w:r>
      <w:r w:rsidRPr="00A10501">
        <w:rPr>
          <w:rFonts w:ascii="Arial" w:hAnsi="Arial" w:cs="Arial"/>
          <w:sz w:val="24"/>
          <w:szCs w:val="24"/>
          <w:lang w:val="en-GB"/>
        </w:rPr>
        <w:t xml:space="preserve"> </w:t>
      </w:r>
      <w:r w:rsidRPr="00A10501">
        <w:rPr>
          <w:rFonts w:ascii="Arial" w:hAnsi="Arial" w:cs="Arial"/>
          <w:b/>
          <w:bCs/>
          <w:i/>
          <w:iCs/>
          <w:sz w:val="24"/>
          <w:szCs w:val="24"/>
          <w:lang w:val="en-GB"/>
        </w:rPr>
        <w:t>60</w:t>
      </w:r>
      <w:r w:rsidRPr="00A10501">
        <w:rPr>
          <w:rFonts w:ascii="Arial" w:hAnsi="Arial" w:cs="Arial"/>
          <w:sz w:val="24"/>
          <w:szCs w:val="24"/>
          <w:lang w:val="en-GB"/>
        </w:rPr>
        <w:t xml:space="preserve"> % for the transition regions</w:t>
      </w:r>
    </w:p>
    <w:p w14:paraId="2E7E2E37" w14:textId="77777777" w:rsidR="004B072B" w:rsidRPr="00A10501" w:rsidRDefault="004B072B" w:rsidP="004B072B">
      <w:pPr>
        <w:pStyle w:val="ListParagraph"/>
        <w:rPr>
          <w:rFonts w:ascii="Arial" w:hAnsi="Arial" w:cs="Arial"/>
          <w:b/>
          <w:bCs/>
          <w:i/>
          <w:iCs/>
          <w:sz w:val="24"/>
          <w:szCs w:val="24"/>
          <w:lang w:val="en-GB"/>
        </w:rPr>
      </w:pPr>
      <w:r w:rsidRPr="00A10501">
        <w:rPr>
          <w:rFonts w:ascii="Arial" w:hAnsi="Arial" w:cs="Arial"/>
          <w:b/>
          <w:bCs/>
          <w:i/>
          <w:iCs/>
          <w:sz w:val="24"/>
          <w:szCs w:val="24"/>
          <w:lang w:val="en-GB"/>
        </w:rPr>
        <w:t>(b bis) 50% for more developed</w:t>
      </w:r>
    </w:p>
    <w:p w14:paraId="5670F5D3" w14:textId="74F6E1BD" w:rsidR="00EC561E" w:rsidRPr="00A10501" w:rsidRDefault="00EC561E" w:rsidP="00C51FE1">
      <w:pPr>
        <w:rPr>
          <w:rFonts w:ascii="Arial" w:hAnsi="Arial" w:cs="Arial"/>
          <w:b/>
          <w:bCs/>
          <w:i/>
          <w:iCs/>
          <w:sz w:val="24"/>
          <w:szCs w:val="24"/>
          <w:lang w:val="en-GB"/>
        </w:rPr>
      </w:pPr>
    </w:p>
    <w:p w14:paraId="120BBD29" w14:textId="77777777" w:rsidR="00C51FE1" w:rsidRPr="00A10501" w:rsidRDefault="00C51FE1" w:rsidP="001B5FE3">
      <w:pPr>
        <w:pStyle w:val="Heading2"/>
      </w:pPr>
      <w:bookmarkStart w:id="9" w:name="_Toc60935764"/>
      <w:r w:rsidRPr="00A10501">
        <w:t>Article 6 - Partnership and multi-level governance</w:t>
      </w:r>
      <w:bookmarkEnd w:id="9"/>
    </w:p>
    <w:p w14:paraId="0F5AEF88" w14:textId="579C4DFC" w:rsidR="00CC6062" w:rsidRPr="00A10501" w:rsidRDefault="00CC6062" w:rsidP="00C51FE1">
      <w:pPr>
        <w:rPr>
          <w:rFonts w:ascii="Arial" w:hAnsi="Arial" w:cs="Arial"/>
          <w:sz w:val="24"/>
          <w:szCs w:val="24"/>
          <w:lang w:val="en-GB"/>
        </w:rPr>
      </w:pPr>
      <w:r w:rsidRPr="00A10501">
        <w:rPr>
          <w:rFonts w:ascii="Arial" w:hAnsi="Arial" w:cs="Arial"/>
          <w:sz w:val="24"/>
          <w:szCs w:val="24"/>
          <w:lang w:val="en-GB"/>
        </w:rPr>
        <w:t xml:space="preserve">Article 6 on partnership and multi-level governance explains how different stakeholders are </w:t>
      </w:r>
      <w:r w:rsidR="009D4BD1" w:rsidRPr="00A10501">
        <w:rPr>
          <w:rFonts w:ascii="Arial" w:hAnsi="Arial" w:cs="Arial"/>
          <w:sz w:val="24"/>
          <w:szCs w:val="24"/>
          <w:lang w:val="en-GB"/>
        </w:rPr>
        <w:t>included in</w:t>
      </w:r>
      <w:r w:rsidRPr="00A10501">
        <w:rPr>
          <w:rFonts w:ascii="Arial" w:hAnsi="Arial" w:cs="Arial"/>
          <w:sz w:val="24"/>
          <w:szCs w:val="24"/>
          <w:lang w:val="en-GB"/>
        </w:rPr>
        <w:t xml:space="preserve"> selecting and monitoring how funds are used. It explains that this process should include “relevant bodies representing civil society, such as environmental partners, non-governmental organisations, and bodies responsible for promoting social inclusion, fundamental rights, rights of persons with disabilities, gender equality and non-discrimination</w:t>
      </w:r>
      <w:r w:rsidR="00D90988" w:rsidRPr="00A10501">
        <w:rPr>
          <w:rFonts w:ascii="Arial" w:hAnsi="Arial" w:cs="Arial"/>
          <w:sz w:val="24"/>
          <w:szCs w:val="24"/>
          <w:lang w:val="en-GB"/>
        </w:rPr>
        <w:t xml:space="preserve">”. We also successfully advocated for the </w:t>
      </w:r>
      <w:r w:rsidR="009D4BD1" w:rsidRPr="00A10501">
        <w:rPr>
          <w:rFonts w:ascii="Arial" w:hAnsi="Arial" w:cs="Arial"/>
          <w:sz w:val="24"/>
          <w:szCs w:val="24"/>
          <w:lang w:val="en-GB"/>
        </w:rPr>
        <w:t>a</w:t>
      </w:r>
      <w:r w:rsidR="00D90988" w:rsidRPr="00A10501">
        <w:rPr>
          <w:rFonts w:ascii="Arial" w:hAnsi="Arial" w:cs="Arial"/>
          <w:sz w:val="24"/>
          <w:szCs w:val="24"/>
          <w:lang w:val="en-GB"/>
        </w:rPr>
        <w:t xml:space="preserve">rticle to mention that funds should be allocated towards capacity building for these stakeholders. This will mean that money should be able to be allocated to civil society organisations </w:t>
      </w:r>
      <w:r w:rsidR="009D4BD1" w:rsidRPr="00A10501">
        <w:rPr>
          <w:rFonts w:ascii="Arial" w:hAnsi="Arial" w:cs="Arial"/>
          <w:sz w:val="24"/>
          <w:szCs w:val="24"/>
          <w:lang w:val="en-GB"/>
        </w:rPr>
        <w:t>that</w:t>
      </w:r>
      <w:r w:rsidR="00D90988" w:rsidRPr="00A10501">
        <w:rPr>
          <w:rFonts w:ascii="Arial" w:hAnsi="Arial" w:cs="Arial"/>
          <w:sz w:val="24"/>
          <w:szCs w:val="24"/>
          <w:lang w:val="en-GB"/>
        </w:rPr>
        <w:t xml:space="preserve"> want to be part of the partnership and multi-level governance process in their Member State</w:t>
      </w:r>
      <w:r w:rsidR="009D4BD1" w:rsidRPr="00A10501">
        <w:rPr>
          <w:rFonts w:ascii="Arial" w:hAnsi="Arial" w:cs="Arial"/>
          <w:sz w:val="24"/>
          <w:szCs w:val="24"/>
          <w:lang w:val="en-GB"/>
        </w:rPr>
        <w:t>, and to help them be better prepared for playing an active role</w:t>
      </w:r>
      <w:r w:rsidR="00D90988" w:rsidRPr="00A10501">
        <w:rPr>
          <w:rFonts w:ascii="Arial" w:hAnsi="Arial" w:cs="Arial"/>
          <w:sz w:val="24"/>
          <w:szCs w:val="24"/>
          <w:lang w:val="en-GB"/>
        </w:rPr>
        <w:t xml:space="preserve">. </w:t>
      </w:r>
    </w:p>
    <w:p w14:paraId="5F7F8C3B" w14:textId="74B94D17" w:rsidR="00CC6062" w:rsidRPr="00A10501" w:rsidRDefault="00CC6062" w:rsidP="00CC6062">
      <w:pPr>
        <w:pStyle w:val="Heading3"/>
        <w:rPr>
          <w:rFonts w:ascii="Arial" w:hAnsi="Arial" w:cs="Arial"/>
          <w:lang w:val="en-GB"/>
        </w:rPr>
      </w:pPr>
      <w:bookmarkStart w:id="10" w:name="_Toc60935765"/>
      <w:r w:rsidRPr="00A10501">
        <w:rPr>
          <w:rFonts w:ascii="Arial" w:hAnsi="Arial" w:cs="Arial"/>
          <w:lang w:val="en-GB"/>
        </w:rPr>
        <w:t>Article 6 final text</w:t>
      </w:r>
      <w:bookmarkEnd w:id="10"/>
    </w:p>
    <w:p w14:paraId="67647C59" w14:textId="44E1392B" w:rsidR="00C51FE1" w:rsidRPr="00A10501" w:rsidRDefault="00C51FE1" w:rsidP="00C51FE1">
      <w:pPr>
        <w:rPr>
          <w:rFonts w:ascii="Arial" w:hAnsi="Arial" w:cs="Arial"/>
          <w:sz w:val="24"/>
          <w:szCs w:val="24"/>
          <w:lang w:val="en-GB"/>
        </w:rPr>
      </w:pPr>
      <w:r w:rsidRPr="00A10501">
        <w:rPr>
          <w:rFonts w:ascii="Arial" w:hAnsi="Arial" w:cs="Arial"/>
          <w:sz w:val="24"/>
          <w:szCs w:val="24"/>
          <w:lang w:val="en-GB"/>
        </w:rPr>
        <w:t xml:space="preserve">1. </w:t>
      </w:r>
      <w:r w:rsidRPr="00A10501">
        <w:rPr>
          <w:rFonts w:ascii="Arial" w:hAnsi="Arial" w:cs="Arial"/>
          <w:b/>
          <w:bCs/>
          <w:i/>
          <w:iCs/>
          <w:sz w:val="24"/>
          <w:szCs w:val="24"/>
          <w:lang w:val="en-GB"/>
        </w:rPr>
        <w:t>For the Partnership Agreement and each programme,</w:t>
      </w:r>
      <w:r w:rsidRPr="00A10501">
        <w:rPr>
          <w:rFonts w:ascii="Arial" w:hAnsi="Arial" w:cs="Arial"/>
          <w:sz w:val="24"/>
          <w:szCs w:val="24"/>
          <w:lang w:val="en-GB"/>
        </w:rPr>
        <w:t xml:space="preserve"> each Member State shall organise </w:t>
      </w:r>
      <w:r w:rsidRPr="00A10501">
        <w:rPr>
          <w:rFonts w:ascii="Arial" w:hAnsi="Arial" w:cs="Arial"/>
          <w:b/>
          <w:bCs/>
          <w:i/>
          <w:iCs/>
          <w:sz w:val="24"/>
          <w:szCs w:val="24"/>
          <w:lang w:val="en-GB"/>
        </w:rPr>
        <w:t>and implement</w:t>
      </w:r>
      <w:r w:rsidRPr="00A10501">
        <w:rPr>
          <w:rFonts w:ascii="Arial" w:hAnsi="Arial" w:cs="Arial"/>
          <w:sz w:val="24"/>
          <w:szCs w:val="24"/>
          <w:lang w:val="en-GB"/>
        </w:rPr>
        <w:t xml:space="preserve"> a </w:t>
      </w:r>
      <w:r w:rsidRPr="00A10501">
        <w:rPr>
          <w:rFonts w:ascii="Arial" w:hAnsi="Arial" w:cs="Arial"/>
          <w:b/>
          <w:bCs/>
          <w:i/>
          <w:iCs/>
          <w:sz w:val="24"/>
          <w:szCs w:val="24"/>
          <w:lang w:val="en-GB"/>
        </w:rPr>
        <w:t>comprehensive</w:t>
      </w:r>
      <w:r w:rsidRPr="00A10501">
        <w:rPr>
          <w:rFonts w:ascii="Arial" w:hAnsi="Arial" w:cs="Arial"/>
          <w:sz w:val="24"/>
          <w:szCs w:val="24"/>
          <w:lang w:val="en-GB"/>
        </w:rPr>
        <w:t xml:space="preserve"> partnership </w:t>
      </w:r>
      <w:r w:rsidRPr="00A10501">
        <w:rPr>
          <w:rFonts w:ascii="Arial" w:hAnsi="Arial" w:cs="Arial"/>
          <w:b/>
          <w:bCs/>
          <w:i/>
          <w:iCs/>
          <w:sz w:val="24"/>
          <w:szCs w:val="24"/>
          <w:lang w:val="en-GB"/>
        </w:rPr>
        <w:t>in accordance with its institutional and legal framework and taking into account the specificities of the Funds</w:t>
      </w:r>
      <w:r w:rsidRPr="00A10501">
        <w:rPr>
          <w:rFonts w:ascii="Arial" w:hAnsi="Arial" w:cs="Arial"/>
          <w:sz w:val="24"/>
          <w:szCs w:val="24"/>
          <w:lang w:val="en-GB"/>
        </w:rPr>
        <w:t xml:space="preserve"> </w:t>
      </w:r>
      <w:r w:rsidRPr="00A10501">
        <w:rPr>
          <w:rFonts w:ascii="Arial" w:hAnsi="Arial" w:cs="Arial"/>
          <w:b/>
          <w:bCs/>
          <w:i/>
          <w:iCs/>
          <w:strike/>
          <w:sz w:val="24"/>
          <w:szCs w:val="24"/>
          <w:lang w:val="en-GB"/>
        </w:rPr>
        <w:t>with the competent regional and local authorities</w:t>
      </w:r>
      <w:r w:rsidRPr="00A10501">
        <w:rPr>
          <w:rFonts w:ascii="Arial" w:hAnsi="Arial" w:cs="Arial"/>
          <w:sz w:val="24"/>
          <w:szCs w:val="24"/>
          <w:lang w:val="en-GB"/>
        </w:rPr>
        <w:t>. That partnership shall include at least the following partners:</w:t>
      </w:r>
    </w:p>
    <w:p w14:paraId="150353DA" w14:textId="77777777" w:rsidR="00C51FE1" w:rsidRPr="00A10501" w:rsidRDefault="00C51FE1" w:rsidP="00C51FE1">
      <w:pPr>
        <w:rPr>
          <w:rFonts w:ascii="Arial" w:hAnsi="Arial" w:cs="Arial"/>
          <w:sz w:val="24"/>
          <w:szCs w:val="24"/>
          <w:lang w:val="en-GB"/>
        </w:rPr>
      </w:pPr>
      <w:r w:rsidRPr="00A10501">
        <w:rPr>
          <w:rFonts w:ascii="Arial" w:hAnsi="Arial" w:cs="Arial"/>
          <w:sz w:val="24"/>
          <w:szCs w:val="24"/>
          <w:lang w:val="en-GB"/>
        </w:rPr>
        <w:t>(c) relevant bodies representing civil society, such as environmental partners, non-governmental organisations, and bodies responsible for promoting social inclusion, fundamental rights, rights of persons with disabilities, gender equality and non-discrimination.</w:t>
      </w:r>
    </w:p>
    <w:p w14:paraId="3BB48CCA" w14:textId="77777777" w:rsidR="00C51FE1" w:rsidRPr="00A10501" w:rsidRDefault="00C51FE1" w:rsidP="00C51FE1">
      <w:pPr>
        <w:rPr>
          <w:rFonts w:ascii="Arial" w:hAnsi="Arial" w:cs="Arial"/>
          <w:sz w:val="24"/>
          <w:szCs w:val="24"/>
          <w:lang w:val="en-GB"/>
        </w:rPr>
      </w:pPr>
    </w:p>
    <w:p w14:paraId="1889FCDF" w14:textId="77777777" w:rsidR="00C51FE1" w:rsidRPr="00A10501" w:rsidRDefault="00C51FE1" w:rsidP="00C51FE1">
      <w:pPr>
        <w:rPr>
          <w:rFonts w:ascii="Arial" w:hAnsi="Arial" w:cs="Arial"/>
          <w:b/>
          <w:bCs/>
          <w:i/>
          <w:iCs/>
          <w:sz w:val="24"/>
          <w:szCs w:val="24"/>
          <w:lang w:val="en-GB"/>
        </w:rPr>
      </w:pPr>
      <w:r w:rsidRPr="00A10501">
        <w:rPr>
          <w:rFonts w:ascii="Arial" w:hAnsi="Arial" w:cs="Arial"/>
          <w:b/>
          <w:bCs/>
          <w:i/>
          <w:iCs/>
          <w:sz w:val="24"/>
          <w:szCs w:val="24"/>
          <w:lang w:val="en-GB"/>
        </w:rPr>
        <w:t>2. The partnership established under paragraph 1 shall operate</w:t>
      </w:r>
      <w:r w:rsidRPr="00A10501">
        <w:rPr>
          <w:rFonts w:ascii="Arial" w:hAnsi="Arial" w:cs="Arial"/>
          <w:sz w:val="24"/>
          <w:szCs w:val="24"/>
          <w:lang w:val="en-GB"/>
        </w:rPr>
        <w:t xml:space="preserve"> in accordance with the multi-level governance principle </w:t>
      </w:r>
      <w:r w:rsidRPr="00A10501">
        <w:rPr>
          <w:rFonts w:ascii="Arial" w:hAnsi="Arial" w:cs="Arial"/>
          <w:b/>
          <w:bCs/>
          <w:i/>
          <w:iCs/>
          <w:sz w:val="24"/>
          <w:szCs w:val="24"/>
          <w:lang w:val="en-GB"/>
        </w:rPr>
        <w:t>and a bottom-up approach</w:t>
      </w:r>
      <w:r w:rsidRPr="00A10501">
        <w:rPr>
          <w:rFonts w:ascii="Arial" w:hAnsi="Arial" w:cs="Arial"/>
          <w:sz w:val="24"/>
          <w:szCs w:val="24"/>
          <w:lang w:val="en-GB"/>
        </w:rPr>
        <w:t xml:space="preserve">. The Member State shall involve those partners in the preparation of Partnership Agreements and throughout the preparation </w:t>
      </w:r>
      <w:r w:rsidRPr="00A10501">
        <w:rPr>
          <w:rFonts w:ascii="Arial" w:hAnsi="Arial" w:cs="Arial"/>
          <w:b/>
          <w:bCs/>
          <w:i/>
          <w:iCs/>
          <w:strike/>
          <w:sz w:val="24"/>
          <w:szCs w:val="24"/>
          <w:lang w:val="en-GB"/>
        </w:rPr>
        <w:t>and</w:t>
      </w:r>
      <w:r w:rsidRPr="00A10501">
        <w:rPr>
          <w:rFonts w:ascii="Arial" w:hAnsi="Arial" w:cs="Arial"/>
          <w:sz w:val="24"/>
          <w:szCs w:val="24"/>
          <w:lang w:val="en-GB"/>
        </w:rPr>
        <w:t xml:space="preserve">, implementation </w:t>
      </w:r>
      <w:r w:rsidRPr="00A10501">
        <w:rPr>
          <w:rFonts w:ascii="Arial" w:hAnsi="Arial" w:cs="Arial"/>
          <w:b/>
          <w:bCs/>
          <w:i/>
          <w:iCs/>
          <w:sz w:val="24"/>
          <w:szCs w:val="24"/>
          <w:lang w:val="en-GB"/>
        </w:rPr>
        <w:t>and evaluation</w:t>
      </w:r>
      <w:r w:rsidRPr="00A10501">
        <w:rPr>
          <w:rFonts w:ascii="Arial" w:hAnsi="Arial" w:cs="Arial"/>
          <w:sz w:val="24"/>
          <w:szCs w:val="24"/>
          <w:lang w:val="en-GB"/>
        </w:rPr>
        <w:t xml:space="preserve"> of programmes including through participation in monitoring com</w:t>
      </w:r>
    </w:p>
    <w:p w14:paraId="00B6C88A" w14:textId="77777777" w:rsidR="00C51FE1" w:rsidRPr="00A10501" w:rsidRDefault="00C51FE1" w:rsidP="00C51FE1">
      <w:pPr>
        <w:rPr>
          <w:rFonts w:ascii="Arial" w:hAnsi="Arial" w:cs="Arial"/>
          <w:b/>
          <w:bCs/>
          <w:i/>
          <w:iCs/>
          <w:sz w:val="24"/>
          <w:szCs w:val="24"/>
          <w:lang w:val="en-GB"/>
        </w:rPr>
      </w:pPr>
      <w:r w:rsidRPr="00A10501">
        <w:rPr>
          <w:rFonts w:ascii="Arial" w:hAnsi="Arial" w:cs="Arial"/>
          <w:b/>
          <w:bCs/>
          <w:i/>
          <w:iCs/>
          <w:sz w:val="24"/>
          <w:szCs w:val="24"/>
          <w:lang w:val="en-GB"/>
        </w:rPr>
        <w:t>In that context, Member States shall, where relevant, allocate an appropriate percentage of the resources coming from the Funds for the administrative capacity building of social partners and civil society organisations. For Interreg programmes, the Partnership shall include partners from all participating Member States.</w:t>
      </w:r>
    </w:p>
    <w:p w14:paraId="7F37FB38" w14:textId="77777777" w:rsidR="00C51FE1" w:rsidRPr="00A10501" w:rsidRDefault="00C51FE1" w:rsidP="00C51FE1">
      <w:pPr>
        <w:rPr>
          <w:rFonts w:ascii="Arial" w:hAnsi="Arial" w:cs="Arial"/>
          <w:b/>
          <w:bCs/>
          <w:i/>
          <w:iCs/>
          <w:sz w:val="24"/>
          <w:szCs w:val="24"/>
          <w:lang w:val="en-GB"/>
        </w:rPr>
      </w:pPr>
    </w:p>
    <w:p w14:paraId="026E243D" w14:textId="398FF8D3" w:rsidR="00EC561E" w:rsidRPr="00A10501" w:rsidRDefault="00C51FE1" w:rsidP="009423E2">
      <w:pPr>
        <w:rPr>
          <w:rFonts w:ascii="Arial" w:hAnsi="Arial" w:cs="Arial"/>
          <w:b/>
          <w:bCs/>
          <w:i/>
          <w:iCs/>
          <w:sz w:val="24"/>
          <w:szCs w:val="24"/>
          <w:lang w:val="en-GB"/>
        </w:rPr>
      </w:pPr>
      <w:r w:rsidRPr="00A10501">
        <w:rPr>
          <w:rFonts w:ascii="Arial" w:hAnsi="Arial" w:cs="Arial"/>
          <w:sz w:val="24"/>
          <w:szCs w:val="24"/>
          <w:lang w:val="en-GB"/>
        </w:rPr>
        <w:t xml:space="preserve">4. At least once a year, the Commission shall consult organisations which represent partners at Union level on the implementation of programmes, </w:t>
      </w:r>
      <w:r w:rsidRPr="00A10501">
        <w:rPr>
          <w:rFonts w:ascii="Arial" w:hAnsi="Arial" w:cs="Arial"/>
          <w:b/>
          <w:bCs/>
          <w:i/>
          <w:iCs/>
          <w:sz w:val="24"/>
          <w:szCs w:val="24"/>
          <w:lang w:val="en-GB"/>
        </w:rPr>
        <w:t>and shall report to the European Parliament and Council on the outcome.</w:t>
      </w:r>
    </w:p>
    <w:p w14:paraId="78AA5907" w14:textId="77777777" w:rsidR="009423E2" w:rsidRPr="00A10501" w:rsidRDefault="009423E2" w:rsidP="009423E2">
      <w:pPr>
        <w:rPr>
          <w:rFonts w:ascii="Arial" w:hAnsi="Arial" w:cs="Arial"/>
          <w:b/>
          <w:bCs/>
          <w:i/>
          <w:iCs/>
          <w:sz w:val="24"/>
          <w:szCs w:val="24"/>
          <w:lang w:val="en-GB"/>
        </w:rPr>
      </w:pPr>
    </w:p>
    <w:p w14:paraId="5493C1CA" w14:textId="634981BB" w:rsidR="00FE77C6" w:rsidRPr="00A10501" w:rsidRDefault="00FE77C6" w:rsidP="001B5FE3">
      <w:pPr>
        <w:pStyle w:val="Heading2"/>
      </w:pPr>
      <w:bookmarkStart w:id="11" w:name="_Toc60935766"/>
      <w:r w:rsidRPr="00A10501">
        <w:lastRenderedPageBreak/>
        <w:t>Recital 5</w:t>
      </w:r>
      <w:bookmarkEnd w:id="11"/>
    </w:p>
    <w:p w14:paraId="1602BCED" w14:textId="136B4CBB" w:rsidR="00B31BA2" w:rsidRPr="00A10501" w:rsidRDefault="00B31BA2" w:rsidP="00B31BA2">
      <w:pPr>
        <w:rPr>
          <w:rFonts w:ascii="Arial" w:hAnsi="Arial" w:cs="Arial"/>
          <w:sz w:val="24"/>
          <w:szCs w:val="24"/>
          <w:lang w:val="en-GB"/>
        </w:rPr>
      </w:pPr>
      <w:r w:rsidRPr="00A10501">
        <w:rPr>
          <w:rFonts w:ascii="Arial" w:hAnsi="Arial" w:cs="Arial"/>
          <w:sz w:val="24"/>
          <w:szCs w:val="24"/>
          <w:lang w:val="en-GB"/>
        </w:rPr>
        <w:t xml:space="preserve">Recital 5 at the beginning of the Regulation gives an overview of the horizontal principles </w:t>
      </w:r>
      <w:r w:rsidR="009D4BD1" w:rsidRPr="00A10501">
        <w:rPr>
          <w:rFonts w:ascii="Arial" w:hAnsi="Arial" w:cs="Arial"/>
          <w:sz w:val="24"/>
          <w:szCs w:val="24"/>
          <w:lang w:val="en-GB"/>
        </w:rPr>
        <w:t>of</w:t>
      </w:r>
      <w:r w:rsidRPr="00A10501">
        <w:rPr>
          <w:rFonts w:ascii="Arial" w:hAnsi="Arial" w:cs="Arial"/>
          <w:sz w:val="24"/>
          <w:szCs w:val="24"/>
          <w:lang w:val="en-GB"/>
        </w:rPr>
        <w:t xml:space="preserve"> how the funds covered by the CPR should be used. The Commission’s original proposal already stated that Member States should “respect the obligations of the UN Convention on the Rights of Persons with Disabilities and ensure accessibility in line with its article 9 and in accordance with the Union law harmonising accessibility requirements for products and services.” This has been retained in the final wording. </w:t>
      </w:r>
    </w:p>
    <w:p w14:paraId="3CB66E83" w14:textId="5C3738B0" w:rsidR="007201E2" w:rsidRPr="00A10501" w:rsidRDefault="007201E2" w:rsidP="00B31BA2">
      <w:pPr>
        <w:rPr>
          <w:rFonts w:ascii="Arial" w:hAnsi="Arial" w:cs="Arial"/>
          <w:sz w:val="24"/>
          <w:szCs w:val="24"/>
          <w:lang w:val="en-GB"/>
        </w:rPr>
      </w:pPr>
      <w:r w:rsidRPr="00A10501">
        <w:rPr>
          <w:rFonts w:ascii="Arial" w:hAnsi="Arial" w:cs="Arial"/>
          <w:sz w:val="24"/>
          <w:szCs w:val="24"/>
          <w:lang w:val="en-GB"/>
        </w:rPr>
        <w:t>To this the co-legislators agreed to add the importance of respecting the UN Convention on the Rights of the Child. For persons with disabilities, the most significant additions were the mention that “the Funds should be implemented in a way that promotes the transition from institutional to family and community-based care” and that, when financing infrastructure, the funds “should ensure accessibility for persons with disabilities”.</w:t>
      </w:r>
    </w:p>
    <w:p w14:paraId="4D86AE79" w14:textId="42E03F6F" w:rsidR="007201E2" w:rsidRPr="00A10501" w:rsidRDefault="007201E2" w:rsidP="00B31BA2">
      <w:pPr>
        <w:rPr>
          <w:rFonts w:ascii="Arial" w:hAnsi="Arial" w:cs="Arial"/>
          <w:sz w:val="24"/>
          <w:szCs w:val="24"/>
          <w:lang w:val="en-GB"/>
        </w:rPr>
      </w:pPr>
    </w:p>
    <w:p w14:paraId="2FEE593F" w14:textId="7623B299" w:rsidR="007201E2" w:rsidRPr="00A10501" w:rsidRDefault="007201E2" w:rsidP="007201E2">
      <w:pPr>
        <w:pStyle w:val="Heading3"/>
        <w:rPr>
          <w:rFonts w:ascii="Arial" w:hAnsi="Arial" w:cs="Arial"/>
          <w:b/>
          <w:bCs/>
          <w:sz w:val="28"/>
          <w:szCs w:val="28"/>
          <w:lang w:val="en-GB"/>
        </w:rPr>
      </w:pPr>
      <w:bookmarkStart w:id="12" w:name="_Toc60935767"/>
      <w:r w:rsidRPr="00A10501">
        <w:rPr>
          <w:rFonts w:ascii="Arial" w:hAnsi="Arial" w:cs="Arial"/>
          <w:b/>
          <w:bCs/>
          <w:sz w:val="28"/>
          <w:szCs w:val="28"/>
          <w:lang w:val="en-GB"/>
        </w:rPr>
        <w:t>Recital 5 final text</w:t>
      </w:r>
      <w:bookmarkEnd w:id="12"/>
    </w:p>
    <w:p w14:paraId="7900F904" w14:textId="2245D17D" w:rsidR="00FE77C6" w:rsidRPr="00A10501" w:rsidRDefault="00FE77C6" w:rsidP="00FE77C6">
      <w:pPr>
        <w:ind w:left="360"/>
        <w:rPr>
          <w:rFonts w:ascii="Arial" w:hAnsi="Arial" w:cs="Arial"/>
          <w:b/>
          <w:bCs/>
          <w:i/>
          <w:iCs/>
          <w:sz w:val="24"/>
          <w:szCs w:val="24"/>
          <w:lang w:val="en-GB"/>
        </w:rPr>
      </w:pPr>
      <w:r w:rsidRPr="00A10501">
        <w:rPr>
          <w:rFonts w:ascii="Arial" w:hAnsi="Arial" w:cs="Arial"/>
          <w:sz w:val="24"/>
          <w:szCs w:val="24"/>
          <w:lang w:val="en-GB"/>
        </w:rPr>
        <w:t xml:space="preserve">(5) Horizontal principles as set out in Article 3 of the Treaty on the European Union ('TEU') and in Article 10 of the TFEU, including principles of subsidiarity and proportionality as set out in Article 5 of the TEU should be respected in the implementation of the Funds, taking into account the Charter of Fundamental Rights of the European Union. Member States should also respect the obligations of </w:t>
      </w:r>
      <w:r w:rsidRPr="00A10501">
        <w:rPr>
          <w:rFonts w:ascii="Arial" w:hAnsi="Arial" w:cs="Arial"/>
          <w:b/>
          <w:bCs/>
          <w:i/>
          <w:iCs/>
          <w:sz w:val="24"/>
          <w:szCs w:val="24"/>
          <w:lang w:val="en-GB"/>
        </w:rPr>
        <w:t>the UN Convention on the Rights of the Child and of</w:t>
      </w:r>
      <w:r w:rsidRPr="00A10501">
        <w:rPr>
          <w:rFonts w:ascii="Arial" w:hAnsi="Arial" w:cs="Arial"/>
          <w:sz w:val="24"/>
          <w:szCs w:val="24"/>
          <w:lang w:val="en-GB"/>
        </w:rPr>
        <w:t xml:space="preserve"> the UN Convention on the Rights of Persons with Disabilities and ensure accessibility in line with its article 9 and in accordance with the Union law harmonising accessibility requirements for products and services. </w:t>
      </w:r>
      <w:r w:rsidRPr="00A10501">
        <w:rPr>
          <w:rFonts w:ascii="Arial" w:hAnsi="Arial" w:cs="Arial"/>
          <w:b/>
          <w:bCs/>
          <w:i/>
          <w:iCs/>
          <w:sz w:val="24"/>
          <w:szCs w:val="24"/>
          <w:lang w:val="en-GB"/>
        </w:rPr>
        <w:t>In that context, the Funds should be implemented in a way that promotes the transition from institutional to family and community-based care.</w:t>
      </w:r>
      <w:r w:rsidRPr="00A10501">
        <w:rPr>
          <w:rFonts w:ascii="Arial" w:hAnsi="Arial" w:cs="Arial"/>
          <w:sz w:val="24"/>
          <w:szCs w:val="24"/>
          <w:lang w:val="en-GB"/>
        </w:rPr>
        <w:t xml:space="preserve"> Member States and the Commission should aim at eliminating inequalities and at promoting equality between men and women and integrating the gender perspective, as well as at combating discrimination based on sex, racial or ethnic origin, religion or belief, disability, age or sexual orientation. The Funds should not support actions that contribute to any form of segregation </w:t>
      </w:r>
      <w:r w:rsidRPr="00A10501">
        <w:rPr>
          <w:rFonts w:ascii="Arial" w:hAnsi="Arial" w:cs="Arial"/>
          <w:b/>
          <w:bCs/>
          <w:i/>
          <w:iCs/>
          <w:sz w:val="24"/>
          <w:szCs w:val="24"/>
          <w:lang w:val="en-GB"/>
        </w:rPr>
        <w:t>or exclusion, and, when financing infrastructure, should ensure the accessibility for persons with disabilities.</w:t>
      </w:r>
    </w:p>
    <w:p w14:paraId="155EC629" w14:textId="6FE4CA30" w:rsidR="009423E2" w:rsidRPr="00A10501" w:rsidRDefault="009423E2" w:rsidP="009423E2">
      <w:pPr>
        <w:rPr>
          <w:rFonts w:ascii="Arial" w:hAnsi="Arial" w:cs="Arial"/>
          <w:b/>
          <w:bCs/>
          <w:i/>
          <w:iCs/>
          <w:sz w:val="24"/>
          <w:szCs w:val="24"/>
          <w:lang w:val="en-GB"/>
        </w:rPr>
      </w:pPr>
    </w:p>
    <w:p w14:paraId="372D9597" w14:textId="0194FF05" w:rsidR="009423E2" w:rsidRPr="00A10501" w:rsidRDefault="009423E2" w:rsidP="009423E2">
      <w:pPr>
        <w:pStyle w:val="Heading1"/>
        <w:rPr>
          <w:rFonts w:ascii="Arial" w:hAnsi="Arial" w:cs="Arial"/>
          <w:b/>
          <w:bCs/>
          <w:lang w:val="en-GB"/>
        </w:rPr>
      </w:pPr>
      <w:bookmarkStart w:id="13" w:name="_Toc60935768"/>
      <w:r w:rsidRPr="00A10501">
        <w:rPr>
          <w:rFonts w:ascii="Arial" w:hAnsi="Arial" w:cs="Arial"/>
          <w:b/>
          <w:bCs/>
          <w:lang w:val="en-GB"/>
        </w:rPr>
        <w:t>Other successes</w:t>
      </w:r>
      <w:bookmarkEnd w:id="13"/>
    </w:p>
    <w:p w14:paraId="4B4BA73B" w14:textId="52878AAC" w:rsidR="008D2B44" w:rsidRPr="00A10501" w:rsidRDefault="008D2B44" w:rsidP="001B5FE3">
      <w:pPr>
        <w:pStyle w:val="Heading2"/>
      </w:pPr>
      <w:bookmarkStart w:id="14" w:name="_Toc60935769"/>
      <w:r w:rsidRPr="00A10501">
        <w:t xml:space="preserve">Article 4 </w:t>
      </w:r>
      <w:r w:rsidR="00775F0E" w:rsidRPr="00A10501">
        <w:t xml:space="preserve">- </w:t>
      </w:r>
      <w:r w:rsidRPr="00A10501">
        <w:t>Policy objectives</w:t>
      </w:r>
      <w:bookmarkEnd w:id="14"/>
      <w:r w:rsidRPr="00A10501">
        <w:t xml:space="preserve"> </w:t>
      </w:r>
    </w:p>
    <w:p w14:paraId="2B6C24CD" w14:textId="2E7E64C9" w:rsidR="007201E2" w:rsidRPr="00A10501" w:rsidRDefault="007201E2" w:rsidP="007201E2">
      <w:pPr>
        <w:rPr>
          <w:rFonts w:ascii="Arial" w:hAnsi="Arial" w:cs="Arial"/>
          <w:sz w:val="24"/>
          <w:szCs w:val="24"/>
          <w:lang w:val="en-GB"/>
        </w:rPr>
      </w:pPr>
      <w:r w:rsidRPr="00A10501">
        <w:rPr>
          <w:rFonts w:ascii="Arial" w:hAnsi="Arial" w:cs="Arial"/>
          <w:sz w:val="24"/>
          <w:szCs w:val="24"/>
          <w:lang w:val="en-GB"/>
        </w:rPr>
        <w:t xml:space="preserve">Article 4 on policy objectives now emphasises the need to use the funds to make Europe more inclusive. It also stresses that the Country-Specific Recommendations from the European Semester process should be taken into account in how the funds are spent. This will give the European Semester, a process EDF is heavily involved in, a greater chance of producing practical outcomes for persons with disabilities. </w:t>
      </w:r>
    </w:p>
    <w:p w14:paraId="3F4B6D76" w14:textId="4BB311AC" w:rsidR="007201E2" w:rsidRPr="00A10501" w:rsidRDefault="007201E2" w:rsidP="007201E2">
      <w:pPr>
        <w:pStyle w:val="Heading3"/>
        <w:rPr>
          <w:rFonts w:ascii="Arial" w:hAnsi="Arial" w:cs="Arial"/>
          <w:b/>
          <w:bCs/>
          <w:sz w:val="28"/>
          <w:szCs w:val="28"/>
          <w:lang w:val="en-GB"/>
        </w:rPr>
      </w:pPr>
      <w:bookmarkStart w:id="15" w:name="_Toc60935770"/>
      <w:r w:rsidRPr="00A10501">
        <w:rPr>
          <w:rFonts w:ascii="Arial" w:hAnsi="Arial" w:cs="Arial"/>
          <w:b/>
          <w:bCs/>
          <w:sz w:val="28"/>
          <w:szCs w:val="28"/>
          <w:lang w:val="en-GB"/>
        </w:rPr>
        <w:lastRenderedPageBreak/>
        <w:t>Article 4 final text</w:t>
      </w:r>
      <w:bookmarkEnd w:id="15"/>
    </w:p>
    <w:p w14:paraId="3B4342DD" w14:textId="45EB0094" w:rsidR="008D2B44" w:rsidRPr="00A10501" w:rsidRDefault="008D2B44" w:rsidP="00FE77C6">
      <w:pPr>
        <w:ind w:left="360"/>
        <w:rPr>
          <w:rFonts w:ascii="Arial" w:hAnsi="Arial" w:cs="Arial"/>
          <w:sz w:val="24"/>
          <w:szCs w:val="24"/>
          <w:lang w:val="en-GB"/>
        </w:rPr>
      </w:pPr>
      <w:r w:rsidRPr="00A10501">
        <w:rPr>
          <w:rFonts w:ascii="Arial" w:hAnsi="Arial" w:cs="Arial"/>
          <w:sz w:val="24"/>
          <w:szCs w:val="24"/>
          <w:lang w:val="en-GB"/>
        </w:rPr>
        <w:t>1. The ERDF, the ESF+, the Cohesion Fund and the EMFF shall support the following policy objectives:</w:t>
      </w:r>
    </w:p>
    <w:p w14:paraId="2E7288F0" w14:textId="0E39B92F" w:rsidR="00331297" w:rsidRPr="00A10501" w:rsidRDefault="00331297" w:rsidP="00FE77C6">
      <w:pPr>
        <w:ind w:left="360"/>
        <w:rPr>
          <w:rFonts w:ascii="Arial" w:hAnsi="Arial" w:cs="Arial"/>
          <w:sz w:val="24"/>
          <w:szCs w:val="24"/>
          <w:lang w:val="en-GB"/>
        </w:rPr>
      </w:pPr>
      <w:r w:rsidRPr="00A10501">
        <w:rPr>
          <w:rFonts w:ascii="Arial" w:hAnsi="Arial" w:cs="Arial"/>
          <w:sz w:val="24"/>
          <w:szCs w:val="24"/>
          <w:lang w:val="en-GB"/>
        </w:rPr>
        <w:t xml:space="preserve">(d) a more social </w:t>
      </w:r>
      <w:r w:rsidRPr="00A10501">
        <w:rPr>
          <w:rFonts w:ascii="Arial" w:hAnsi="Arial" w:cs="Arial"/>
          <w:b/>
          <w:bCs/>
          <w:i/>
          <w:iCs/>
          <w:sz w:val="24"/>
          <w:szCs w:val="24"/>
          <w:lang w:val="en-GB"/>
        </w:rPr>
        <w:t>and inclusive</w:t>
      </w:r>
      <w:r w:rsidRPr="00A10501">
        <w:rPr>
          <w:rFonts w:ascii="Arial" w:hAnsi="Arial" w:cs="Arial"/>
          <w:sz w:val="24"/>
          <w:szCs w:val="24"/>
          <w:lang w:val="en-GB"/>
        </w:rPr>
        <w:t xml:space="preserve"> Europe implementing the European Pillar of Social Rights;</w:t>
      </w:r>
    </w:p>
    <w:p w14:paraId="50394159" w14:textId="594D9D95" w:rsidR="008D2B44" w:rsidRPr="00A10501" w:rsidRDefault="008D2B44" w:rsidP="00FE77C6">
      <w:pPr>
        <w:ind w:left="360"/>
        <w:rPr>
          <w:rFonts w:ascii="Arial" w:hAnsi="Arial" w:cs="Arial"/>
          <w:b/>
          <w:bCs/>
          <w:sz w:val="24"/>
          <w:szCs w:val="24"/>
          <w:lang w:val="en-GB"/>
        </w:rPr>
      </w:pPr>
      <w:r w:rsidRPr="00A10501">
        <w:rPr>
          <w:rFonts w:ascii="Arial" w:hAnsi="Arial" w:cs="Arial"/>
          <w:sz w:val="24"/>
          <w:szCs w:val="24"/>
          <w:lang w:val="en-GB"/>
        </w:rPr>
        <w:t xml:space="preserve">3. Member States and the Commission shall </w:t>
      </w:r>
      <w:r w:rsidRPr="00A10501">
        <w:rPr>
          <w:rFonts w:ascii="Arial" w:hAnsi="Arial" w:cs="Arial"/>
          <w:b/>
          <w:bCs/>
          <w:i/>
          <w:iCs/>
          <w:strike/>
          <w:sz w:val="24"/>
          <w:szCs w:val="24"/>
          <w:lang w:val="en-GB"/>
        </w:rPr>
        <w:t xml:space="preserve">ensure </w:t>
      </w:r>
      <w:r w:rsidRPr="00A10501">
        <w:rPr>
          <w:rFonts w:ascii="Arial" w:hAnsi="Arial" w:cs="Arial"/>
          <w:b/>
          <w:bCs/>
          <w:i/>
          <w:iCs/>
          <w:sz w:val="24"/>
          <w:szCs w:val="24"/>
          <w:lang w:val="en-GB"/>
        </w:rPr>
        <w:t>promote</w:t>
      </w:r>
      <w:r w:rsidRPr="00A10501">
        <w:rPr>
          <w:rFonts w:ascii="Arial" w:hAnsi="Arial" w:cs="Arial"/>
          <w:sz w:val="24"/>
          <w:szCs w:val="24"/>
          <w:lang w:val="en-GB"/>
        </w:rPr>
        <w:t xml:space="preserve"> the coordination, complementarity and coherence between the Funds and other Union instruments </w:t>
      </w:r>
      <w:r w:rsidRPr="00A10501">
        <w:rPr>
          <w:rFonts w:ascii="Arial" w:hAnsi="Arial" w:cs="Arial"/>
          <w:b/>
          <w:bCs/>
          <w:i/>
          <w:iCs/>
          <w:strike/>
          <w:sz w:val="24"/>
          <w:szCs w:val="24"/>
          <w:lang w:val="en-GB"/>
        </w:rPr>
        <w:t>such as the Reform Support Programme, including the Reform Delivery Tool and the Technical Support Instrument</w:t>
      </w:r>
      <w:r w:rsidRPr="00A10501">
        <w:rPr>
          <w:rFonts w:ascii="Arial" w:hAnsi="Arial" w:cs="Arial"/>
          <w:sz w:val="24"/>
          <w:szCs w:val="24"/>
          <w:lang w:val="en-GB"/>
        </w:rPr>
        <w:t xml:space="preserve"> </w:t>
      </w:r>
      <w:r w:rsidRPr="00A10501">
        <w:rPr>
          <w:rFonts w:ascii="Arial" w:hAnsi="Arial" w:cs="Arial"/>
          <w:b/>
          <w:bCs/>
          <w:i/>
          <w:iCs/>
          <w:sz w:val="24"/>
          <w:szCs w:val="24"/>
          <w:lang w:val="en-GB"/>
        </w:rPr>
        <w:t>and funds.</w:t>
      </w:r>
      <w:r w:rsidRPr="00A10501">
        <w:rPr>
          <w:rFonts w:ascii="Arial" w:hAnsi="Arial" w:cs="Arial"/>
          <w:sz w:val="24"/>
          <w:szCs w:val="24"/>
          <w:lang w:val="en-GB"/>
        </w:rPr>
        <w:t xml:space="preserve"> They shall optimise mechanisms for coordination between those responsible to avoid duplication during planning and implementation. </w:t>
      </w:r>
      <w:r w:rsidRPr="00A10501">
        <w:rPr>
          <w:rFonts w:ascii="Arial" w:hAnsi="Arial" w:cs="Arial"/>
          <w:b/>
          <w:bCs/>
          <w:i/>
          <w:iCs/>
          <w:sz w:val="24"/>
          <w:szCs w:val="24"/>
          <w:lang w:val="en-GB"/>
        </w:rPr>
        <w:t>Accordingly, Member States and the Commission shall also take into account the relevant country-specific recommendations in the programming and implementation of the Funds.</w:t>
      </w:r>
    </w:p>
    <w:p w14:paraId="01B1F407" w14:textId="5397385D" w:rsidR="00331297" w:rsidRPr="00A10501" w:rsidRDefault="00331297" w:rsidP="00657ECD">
      <w:pPr>
        <w:rPr>
          <w:rFonts w:ascii="Arial" w:hAnsi="Arial" w:cs="Arial"/>
          <w:sz w:val="24"/>
          <w:szCs w:val="24"/>
          <w:lang w:val="en-GB"/>
        </w:rPr>
      </w:pPr>
    </w:p>
    <w:p w14:paraId="7E274D81" w14:textId="77777777" w:rsidR="00657ECD" w:rsidRPr="00A10501" w:rsidRDefault="00657ECD" w:rsidP="00657ECD">
      <w:pPr>
        <w:pStyle w:val="ListParagraph"/>
        <w:rPr>
          <w:rFonts w:ascii="Arial" w:hAnsi="Arial" w:cs="Arial"/>
          <w:b/>
          <w:bCs/>
          <w:i/>
          <w:iCs/>
          <w:sz w:val="24"/>
          <w:szCs w:val="24"/>
          <w:lang w:val="en-GB"/>
        </w:rPr>
      </w:pPr>
    </w:p>
    <w:p w14:paraId="44D55A81" w14:textId="77777777" w:rsidR="00657ECD" w:rsidRPr="00A10501" w:rsidRDefault="00657ECD" w:rsidP="001B5FE3">
      <w:pPr>
        <w:pStyle w:val="Heading2"/>
      </w:pPr>
      <w:bookmarkStart w:id="16" w:name="_Toc60935771"/>
      <w:r w:rsidRPr="00A10501">
        <w:t>Annex III Horizontal Enabling Conditions</w:t>
      </w:r>
      <w:bookmarkEnd w:id="16"/>
      <w:r w:rsidRPr="00A10501">
        <w:t xml:space="preserve"> </w:t>
      </w:r>
    </w:p>
    <w:p w14:paraId="47FDDE74" w14:textId="166B5C61"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The Horizontal Enabling Conditions govern the general criteria for eligibility to use the EU funds covered by the CPR. Here</w:t>
      </w:r>
      <w:r w:rsidR="009D4BD1" w:rsidRPr="00A10501">
        <w:rPr>
          <w:rFonts w:ascii="Arial" w:hAnsi="Arial" w:cs="Arial"/>
          <w:sz w:val="24"/>
          <w:szCs w:val="24"/>
          <w:lang w:val="en-GB"/>
        </w:rPr>
        <w:t>,</w:t>
      </w:r>
      <w:r w:rsidRPr="00A10501">
        <w:rPr>
          <w:rFonts w:ascii="Arial" w:hAnsi="Arial" w:cs="Arial"/>
          <w:sz w:val="24"/>
          <w:szCs w:val="24"/>
          <w:lang w:val="en-GB"/>
        </w:rPr>
        <w:t xml:space="preserve"> a new Horizontal Enabling Condition was agreed to during negotiations, requiring Member States to ensure proper implementation of the EU Pillar of Social Rights in order to use the EU funds. This includes ensuring transparent procedures for the involvement of partners and capacity building. </w:t>
      </w:r>
    </w:p>
    <w:p w14:paraId="714BEEF1"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 xml:space="preserve">The Horizontal Enabling Conditions also state that Member States must have a “national framework for implementing the UNCRPD” in place that includes objectives with measurable goals, data collection and monitoring mechanism, as well as arrangements to ensure that the accessibility policy, legislation and standards are properly reflected in the preparation and implementation of the programmes. Although this was already present in the Commission’s original proposal from 2018, it is a success that it has survived in the final agreement. </w:t>
      </w:r>
    </w:p>
    <w:p w14:paraId="091A757C"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 xml:space="preserve"> </w:t>
      </w:r>
    </w:p>
    <w:p w14:paraId="5719D91B" w14:textId="77777777" w:rsidR="00657ECD" w:rsidRPr="00A10501" w:rsidRDefault="00657ECD" w:rsidP="00657ECD">
      <w:pPr>
        <w:pStyle w:val="Heading3"/>
        <w:rPr>
          <w:rFonts w:ascii="Arial" w:hAnsi="Arial" w:cs="Arial"/>
          <w:b/>
          <w:bCs/>
          <w:sz w:val="28"/>
          <w:szCs w:val="28"/>
          <w:lang w:val="en-GB"/>
        </w:rPr>
      </w:pPr>
      <w:bookmarkStart w:id="17" w:name="_Toc60935772"/>
      <w:r w:rsidRPr="00A10501">
        <w:rPr>
          <w:rFonts w:ascii="Arial" w:hAnsi="Arial" w:cs="Arial"/>
          <w:b/>
          <w:bCs/>
          <w:sz w:val="28"/>
          <w:szCs w:val="28"/>
          <w:lang w:val="en-GB"/>
        </w:rPr>
        <w:t>Horizontal Enabling Conditions final text</w:t>
      </w:r>
      <w:bookmarkEnd w:id="17"/>
    </w:p>
    <w:p w14:paraId="08D05CB4" w14:textId="77777777" w:rsidR="000E5380" w:rsidRPr="00A10501" w:rsidRDefault="000E5380" w:rsidP="000E5380">
      <w:pPr>
        <w:rPr>
          <w:rFonts w:ascii="Arial" w:hAnsi="Arial" w:cs="Arial"/>
          <w:sz w:val="24"/>
          <w:szCs w:val="24"/>
          <w:lang w:val="en-GB"/>
        </w:rPr>
      </w:pPr>
      <w:r w:rsidRPr="00A10501">
        <w:rPr>
          <w:rFonts w:ascii="Arial" w:hAnsi="Arial" w:cs="Arial"/>
          <w:b/>
          <w:bCs/>
          <w:sz w:val="24"/>
          <w:szCs w:val="24"/>
          <w:lang w:val="en-GB"/>
        </w:rPr>
        <w:t>Name of enabling conditions :</w:t>
      </w:r>
      <w:r w:rsidRPr="00A10501">
        <w:rPr>
          <w:rFonts w:ascii="Arial" w:hAnsi="Arial" w:cs="Arial"/>
          <w:sz w:val="24"/>
          <w:szCs w:val="24"/>
          <w:lang w:val="en-GB"/>
        </w:rPr>
        <w:t xml:space="preserve"> Implementation and application of the United Nations Convention on the rights of persons with disabilities (UNCRPD) in accordance with Council Decision 2010/48/EC</w:t>
      </w:r>
    </w:p>
    <w:p w14:paraId="3C812934" w14:textId="77777777" w:rsidR="000E5380" w:rsidRPr="00A10501" w:rsidRDefault="000E5380" w:rsidP="000E5380">
      <w:pPr>
        <w:rPr>
          <w:rFonts w:ascii="Arial" w:hAnsi="Arial" w:cs="Arial"/>
          <w:sz w:val="24"/>
          <w:szCs w:val="24"/>
          <w:lang w:val="en-GB"/>
        </w:rPr>
      </w:pPr>
      <w:r w:rsidRPr="00A10501">
        <w:rPr>
          <w:rFonts w:ascii="Arial" w:hAnsi="Arial" w:cs="Arial"/>
          <w:b/>
          <w:bCs/>
          <w:sz w:val="24"/>
          <w:szCs w:val="24"/>
          <w:lang w:val="en-GB"/>
        </w:rPr>
        <w:t>Fulfilment criteria:</w:t>
      </w:r>
      <w:r w:rsidRPr="00A10501">
        <w:rPr>
          <w:rFonts w:ascii="Arial" w:hAnsi="Arial" w:cs="Arial"/>
          <w:sz w:val="24"/>
          <w:szCs w:val="24"/>
          <w:lang w:val="en-GB"/>
        </w:rPr>
        <w:t xml:space="preserve"> A national framework for implementing the UNCRPD is in place that includes: 1. Objectives with measurable goals, data collection and monitoring mechanism. 2. Arrangements to ensure that the accessibility policy, legislation and standards are properly reflected in the preparation and implementation of the programmes.</w:t>
      </w:r>
    </w:p>
    <w:p w14:paraId="72252557" w14:textId="4645EFE4" w:rsidR="000E5380" w:rsidRPr="00A10501" w:rsidRDefault="000E5380" w:rsidP="00657ECD">
      <w:pPr>
        <w:rPr>
          <w:rFonts w:ascii="Arial" w:hAnsi="Arial" w:cs="Arial"/>
          <w:b/>
          <w:bCs/>
          <w:i/>
          <w:iCs/>
          <w:sz w:val="24"/>
          <w:szCs w:val="24"/>
          <w:lang w:val="en-GB"/>
        </w:rPr>
      </w:pPr>
    </w:p>
    <w:p w14:paraId="550BBE57" w14:textId="42167221" w:rsidR="00657ECD" w:rsidRPr="00A10501" w:rsidRDefault="00657ECD" w:rsidP="00657ECD">
      <w:pPr>
        <w:rPr>
          <w:rFonts w:ascii="Arial" w:hAnsi="Arial" w:cs="Arial"/>
          <w:b/>
          <w:bCs/>
          <w:i/>
          <w:iCs/>
          <w:sz w:val="24"/>
          <w:szCs w:val="24"/>
          <w:lang w:val="en-GB"/>
        </w:rPr>
      </w:pPr>
      <w:r w:rsidRPr="00A10501">
        <w:rPr>
          <w:rFonts w:ascii="Arial" w:hAnsi="Arial" w:cs="Arial"/>
          <w:b/>
          <w:bCs/>
          <w:i/>
          <w:iCs/>
          <w:sz w:val="24"/>
          <w:szCs w:val="24"/>
          <w:lang w:val="en-GB"/>
        </w:rPr>
        <w:lastRenderedPageBreak/>
        <w:t>Arrangements at national level to ensure the proper implementation of the principles of the European Pillar of Social Rights that contribute to upward social convergence and cohesion in the EU, especially the principles preventing unfair competition within the internal market.</w:t>
      </w:r>
    </w:p>
    <w:p w14:paraId="5DF72ABF" w14:textId="77777777" w:rsidR="000E5380" w:rsidRPr="00A10501" w:rsidRDefault="000E5380" w:rsidP="00657ECD">
      <w:pPr>
        <w:rPr>
          <w:rFonts w:ascii="Arial" w:hAnsi="Arial" w:cs="Arial"/>
          <w:b/>
          <w:bCs/>
          <w:i/>
          <w:iCs/>
          <w:sz w:val="24"/>
          <w:szCs w:val="24"/>
          <w:lang w:val="en-GB"/>
        </w:rPr>
      </w:pPr>
    </w:p>
    <w:p w14:paraId="3E920565" w14:textId="77777777" w:rsidR="00657ECD" w:rsidRPr="00A10501" w:rsidRDefault="00657ECD" w:rsidP="00657ECD">
      <w:pPr>
        <w:rPr>
          <w:rFonts w:ascii="Arial" w:hAnsi="Arial" w:cs="Arial"/>
          <w:b/>
          <w:bCs/>
          <w:i/>
          <w:iCs/>
          <w:sz w:val="24"/>
          <w:szCs w:val="24"/>
          <w:lang w:val="en-GB"/>
        </w:rPr>
      </w:pPr>
      <w:r w:rsidRPr="00A10501">
        <w:rPr>
          <w:rFonts w:ascii="Arial" w:hAnsi="Arial" w:cs="Arial"/>
          <w:b/>
          <w:bCs/>
          <w:i/>
          <w:iCs/>
          <w:sz w:val="24"/>
          <w:szCs w:val="24"/>
          <w:lang w:val="en-GB"/>
        </w:rPr>
        <w:t>A framework is in place for all partners to play a fully-fledged role in the preparation, implementation, monitoring and evaluation of programmes, which includes</w:t>
      </w:r>
    </w:p>
    <w:p w14:paraId="02E5BBDA" w14:textId="77777777" w:rsidR="00657ECD" w:rsidRPr="00A10501" w:rsidRDefault="00657ECD" w:rsidP="00657ECD">
      <w:pPr>
        <w:rPr>
          <w:rFonts w:ascii="Arial" w:hAnsi="Arial" w:cs="Arial"/>
          <w:b/>
          <w:bCs/>
          <w:i/>
          <w:iCs/>
          <w:sz w:val="24"/>
          <w:szCs w:val="24"/>
          <w:lang w:val="en-GB"/>
        </w:rPr>
      </w:pPr>
      <w:r w:rsidRPr="00A10501">
        <w:rPr>
          <w:rFonts w:ascii="Arial" w:hAnsi="Arial" w:cs="Arial"/>
          <w:b/>
          <w:bCs/>
          <w:i/>
          <w:iCs/>
          <w:sz w:val="24"/>
          <w:szCs w:val="24"/>
          <w:lang w:val="en-GB"/>
        </w:rPr>
        <w:t>1. Arrangements to ensure transparent procedures for the involvement of partners</w:t>
      </w:r>
    </w:p>
    <w:p w14:paraId="42644A99" w14:textId="77777777" w:rsidR="00657ECD" w:rsidRPr="00A10501" w:rsidRDefault="00657ECD" w:rsidP="00657ECD">
      <w:pPr>
        <w:rPr>
          <w:rFonts w:ascii="Arial" w:hAnsi="Arial" w:cs="Arial"/>
          <w:b/>
          <w:bCs/>
          <w:i/>
          <w:iCs/>
          <w:sz w:val="24"/>
          <w:szCs w:val="24"/>
          <w:lang w:val="en-GB"/>
        </w:rPr>
      </w:pPr>
      <w:r w:rsidRPr="00A10501">
        <w:rPr>
          <w:rFonts w:ascii="Arial" w:hAnsi="Arial" w:cs="Arial"/>
          <w:b/>
          <w:bCs/>
          <w:i/>
          <w:iCs/>
          <w:sz w:val="24"/>
          <w:szCs w:val="24"/>
          <w:lang w:val="en-GB"/>
        </w:rPr>
        <w:t>2. Arrangement for dissemination and disclosure of information relevant for partners to prepare and follow-up meetings</w:t>
      </w:r>
    </w:p>
    <w:p w14:paraId="1C8EB677" w14:textId="77777777" w:rsidR="00657ECD" w:rsidRPr="00A10501" w:rsidRDefault="00657ECD" w:rsidP="00657ECD">
      <w:pPr>
        <w:rPr>
          <w:rFonts w:ascii="Arial" w:hAnsi="Arial" w:cs="Arial"/>
          <w:b/>
          <w:bCs/>
          <w:i/>
          <w:iCs/>
          <w:sz w:val="24"/>
          <w:szCs w:val="24"/>
          <w:lang w:val="en-GB"/>
        </w:rPr>
      </w:pPr>
      <w:r w:rsidRPr="00A10501">
        <w:rPr>
          <w:rFonts w:ascii="Arial" w:hAnsi="Arial" w:cs="Arial"/>
          <w:b/>
          <w:bCs/>
          <w:i/>
          <w:iCs/>
          <w:sz w:val="24"/>
          <w:szCs w:val="24"/>
          <w:lang w:val="en-GB"/>
        </w:rPr>
        <w:t>3. Support for empowering partners and capacity building</w:t>
      </w:r>
    </w:p>
    <w:p w14:paraId="504DA453" w14:textId="77777777" w:rsidR="00657ECD" w:rsidRPr="00A10501" w:rsidRDefault="00657ECD" w:rsidP="00657ECD">
      <w:pPr>
        <w:rPr>
          <w:rFonts w:ascii="Arial" w:hAnsi="Arial" w:cs="Arial"/>
          <w:sz w:val="24"/>
          <w:szCs w:val="24"/>
          <w:lang w:val="en-GB"/>
        </w:rPr>
      </w:pPr>
    </w:p>
    <w:p w14:paraId="4DA5DDFE" w14:textId="333CEF3B" w:rsidR="00657ECD" w:rsidRPr="00A10501" w:rsidRDefault="00657ECD" w:rsidP="001B5FE3">
      <w:pPr>
        <w:pStyle w:val="Heading2"/>
      </w:pPr>
      <w:bookmarkStart w:id="18" w:name="_Toc60935773"/>
      <w:r w:rsidRPr="00A10501">
        <w:t>Annex IV - Thematic enabling conditions</w:t>
      </w:r>
      <w:bookmarkEnd w:id="18"/>
    </w:p>
    <w:p w14:paraId="6136ABCB" w14:textId="04149927" w:rsidR="000E5380" w:rsidRPr="00A10501" w:rsidRDefault="000E5380" w:rsidP="000E5380">
      <w:pPr>
        <w:rPr>
          <w:rFonts w:ascii="Arial" w:hAnsi="Arial" w:cs="Arial"/>
          <w:sz w:val="24"/>
          <w:szCs w:val="24"/>
          <w:lang w:val="en-GB"/>
        </w:rPr>
      </w:pPr>
      <w:r w:rsidRPr="00A10501">
        <w:rPr>
          <w:rFonts w:ascii="Arial" w:hAnsi="Arial" w:cs="Arial"/>
          <w:sz w:val="24"/>
          <w:szCs w:val="24"/>
          <w:lang w:val="en-GB"/>
        </w:rPr>
        <w:t>The Thematic Enabling Conditions fill a similar purpose to the Horizontal Enabling Conditions, albeit with specific requirements linked to the different funds under the CPR. We did not see significant changes here during the negotiations. However, we were pleased to</w:t>
      </w:r>
      <w:r w:rsidR="00ED4F8A" w:rsidRPr="00A10501">
        <w:rPr>
          <w:rFonts w:ascii="Arial" w:hAnsi="Arial" w:cs="Arial"/>
          <w:sz w:val="24"/>
          <w:szCs w:val="24"/>
          <w:lang w:val="en-GB"/>
        </w:rPr>
        <w:t xml:space="preserve"> see that important elements were retained by the co-legislators.</w:t>
      </w:r>
    </w:p>
    <w:p w14:paraId="2B1661CA" w14:textId="1B273C9F" w:rsidR="00934F0B" w:rsidRPr="00A10501" w:rsidRDefault="00934F0B" w:rsidP="00ED4F8A">
      <w:pPr>
        <w:rPr>
          <w:rFonts w:ascii="Arial" w:hAnsi="Arial" w:cs="Arial"/>
          <w:sz w:val="24"/>
          <w:szCs w:val="24"/>
          <w:lang w:val="en-GB"/>
        </w:rPr>
      </w:pPr>
      <w:r w:rsidRPr="00A10501">
        <w:rPr>
          <w:rFonts w:ascii="Arial" w:hAnsi="Arial" w:cs="Arial"/>
          <w:sz w:val="24"/>
          <w:szCs w:val="24"/>
          <w:lang w:val="en-GB"/>
        </w:rPr>
        <w:t>Both</w:t>
      </w:r>
      <w:r w:rsidR="00ED4F8A" w:rsidRPr="00A10501">
        <w:rPr>
          <w:rFonts w:ascii="Arial" w:hAnsi="Arial" w:cs="Arial"/>
          <w:sz w:val="24"/>
          <w:szCs w:val="24"/>
          <w:lang w:val="en-GB"/>
        </w:rPr>
        <w:t xml:space="preserve"> sections below taken from Annex IV </w:t>
      </w:r>
      <w:r w:rsidRPr="00A10501">
        <w:rPr>
          <w:rFonts w:ascii="Arial" w:hAnsi="Arial" w:cs="Arial"/>
          <w:sz w:val="24"/>
          <w:szCs w:val="24"/>
          <w:lang w:val="en-GB"/>
        </w:rPr>
        <w:t>are part of</w:t>
      </w:r>
      <w:r w:rsidR="00ED4F8A" w:rsidRPr="00A10501">
        <w:rPr>
          <w:rFonts w:ascii="Arial" w:hAnsi="Arial" w:cs="Arial"/>
          <w:sz w:val="24"/>
          <w:szCs w:val="24"/>
          <w:lang w:val="en-GB"/>
        </w:rPr>
        <w:t xml:space="preserve"> </w:t>
      </w:r>
      <w:r w:rsidRPr="00A10501">
        <w:rPr>
          <w:rFonts w:ascii="Arial" w:hAnsi="Arial" w:cs="Arial"/>
          <w:sz w:val="24"/>
          <w:szCs w:val="24"/>
          <w:lang w:val="en-GB"/>
        </w:rPr>
        <w:t xml:space="preserve">thematic </w:t>
      </w:r>
      <w:r w:rsidR="00ED4F8A" w:rsidRPr="00A10501">
        <w:rPr>
          <w:rFonts w:ascii="Arial" w:hAnsi="Arial" w:cs="Arial"/>
          <w:sz w:val="24"/>
          <w:szCs w:val="24"/>
          <w:lang w:val="en-GB"/>
        </w:rPr>
        <w:t xml:space="preserve">enabling condition </w:t>
      </w:r>
      <w:r w:rsidRPr="00A10501">
        <w:rPr>
          <w:rFonts w:ascii="Arial" w:hAnsi="Arial" w:cs="Arial"/>
          <w:sz w:val="24"/>
          <w:szCs w:val="24"/>
          <w:lang w:val="en-GB"/>
        </w:rPr>
        <w:t xml:space="preserve">4 </w:t>
      </w:r>
      <w:r w:rsidR="00ED4F8A" w:rsidRPr="00A10501">
        <w:rPr>
          <w:rFonts w:ascii="Arial" w:hAnsi="Arial" w:cs="Arial"/>
          <w:sz w:val="24"/>
          <w:szCs w:val="24"/>
          <w:lang w:val="en-GB"/>
        </w:rPr>
        <w:t xml:space="preserve">on implementing the European Pillar of Social Rights. </w:t>
      </w:r>
    </w:p>
    <w:p w14:paraId="245F10A7" w14:textId="3ED493DF" w:rsidR="00ED4F8A" w:rsidRPr="00A10501" w:rsidRDefault="00ED4F8A" w:rsidP="00ED4F8A">
      <w:pPr>
        <w:rPr>
          <w:rFonts w:ascii="Arial" w:hAnsi="Arial" w:cs="Arial"/>
          <w:sz w:val="24"/>
          <w:szCs w:val="24"/>
          <w:lang w:val="en-GB"/>
        </w:rPr>
      </w:pPr>
      <w:r w:rsidRPr="00A10501">
        <w:rPr>
          <w:rFonts w:ascii="Arial" w:hAnsi="Arial" w:cs="Arial"/>
          <w:sz w:val="24"/>
          <w:szCs w:val="24"/>
          <w:lang w:val="en-GB"/>
        </w:rPr>
        <w:t>Th</w:t>
      </w:r>
      <w:r w:rsidR="00934F0B" w:rsidRPr="00A10501">
        <w:rPr>
          <w:rFonts w:ascii="Arial" w:hAnsi="Arial" w:cs="Arial"/>
          <w:sz w:val="24"/>
          <w:szCs w:val="24"/>
          <w:lang w:val="en-GB"/>
        </w:rPr>
        <w:t>e first</w:t>
      </w:r>
      <w:r w:rsidRPr="00A10501">
        <w:rPr>
          <w:rFonts w:ascii="Arial" w:hAnsi="Arial" w:cs="Arial"/>
          <w:sz w:val="24"/>
          <w:szCs w:val="24"/>
          <w:lang w:val="en-GB"/>
        </w:rPr>
        <w:t xml:space="preserve"> focuses on “increasing the socioeconomic integration of marginalised communities, migrants and disadvantaged groups, through integrated measures including housing and social services” and “Promoting active inclusion including with a view to promoting equal opportunities and active participation, and improving employability”.</w:t>
      </w:r>
      <w:r w:rsidR="00934F0B" w:rsidRPr="00A10501">
        <w:rPr>
          <w:rFonts w:ascii="Arial" w:hAnsi="Arial" w:cs="Arial"/>
          <w:sz w:val="24"/>
          <w:szCs w:val="24"/>
          <w:lang w:val="en-GB"/>
        </w:rPr>
        <w:t xml:space="preserve"> It also underlines the need for the Regional Development Fund and the EU Social Fund to focus on combatting poverty and social exclusion, to combat segregation and the adopt measures for the shift from institutional to community-based care. It also states that the design for the use of these funds should be “conducted in close cooperation with social partners and relevant civil society organisations”.</w:t>
      </w:r>
    </w:p>
    <w:p w14:paraId="6540FED5" w14:textId="2B5FEE6C" w:rsidR="000E5380" w:rsidRPr="00A10501" w:rsidRDefault="00ED4F8A" w:rsidP="000E5380">
      <w:pPr>
        <w:rPr>
          <w:rFonts w:ascii="Arial" w:hAnsi="Arial" w:cs="Arial"/>
          <w:sz w:val="24"/>
          <w:szCs w:val="24"/>
          <w:lang w:val="en-GB"/>
        </w:rPr>
      </w:pPr>
      <w:r w:rsidRPr="00A10501">
        <w:rPr>
          <w:rFonts w:ascii="Arial" w:hAnsi="Arial" w:cs="Arial"/>
          <w:sz w:val="24"/>
          <w:szCs w:val="24"/>
          <w:lang w:val="en-GB"/>
        </w:rPr>
        <w:t>The second section below mentions the need to show “measures to promote community-based services, including prevention and primary care, home-care and community-based services”</w:t>
      </w:r>
      <w:r w:rsidR="00934F0B" w:rsidRPr="00A10501">
        <w:rPr>
          <w:rFonts w:ascii="Arial" w:hAnsi="Arial" w:cs="Arial"/>
          <w:sz w:val="24"/>
          <w:szCs w:val="24"/>
          <w:lang w:val="en-GB"/>
        </w:rPr>
        <w:t>.</w:t>
      </w:r>
    </w:p>
    <w:p w14:paraId="43B2841F" w14:textId="1A4A7BDB" w:rsidR="000E5380" w:rsidRPr="00A10501" w:rsidRDefault="000E5380" w:rsidP="000E5380">
      <w:pPr>
        <w:rPr>
          <w:rFonts w:ascii="Arial" w:hAnsi="Arial" w:cs="Arial"/>
          <w:sz w:val="24"/>
          <w:szCs w:val="24"/>
          <w:lang w:val="en-GB"/>
        </w:rPr>
      </w:pPr>
      <w:r w:rsidRPr="00A10501">
        <w:rPr>
          <w:rFonts w:ascii="Arial" w:hAnsi="Arial" w:cs="Arial"/>
          <w:sz w:val="24"/>
          <w:szCs w:val="24"/>
          <w:lang w:val="en-GB"/>
        </w:rPr>
        <w:t xml:space="preserve"> </w:t>
      </w:r>
    </w:p>
    <w:p w14:paraId="367E3323" w14:textId="4AE0088A" w:rsidR="00934F0B" w:rsidRPr="00A10501" w:rsidRDefault="00934F0B" w:rsidP="00934F0B">
      <w:pPr>
        <w:pStyle w:val="Heading3"/>
        <w:rPr>
          <w:rFonts w:ascii="Arial" w:hAnsi="Arial" w:cs="Arial"/>
          <w:b/>
          <w:bCs/>
          <w:sz w:val="28"/>
          <w:szCs w:val="28"/>
          <w:lang w:val="en-GB"/>
        </w:rPr>
      </w:pPr>
      <w:bookmarkStart w:id="19" w:name="_Toc60935774"/>
      <w:r w:rsidRPr="00A10501">
        <w:rPr>
          <w:rFonts w:ascii="Arial" w:hAnsi="Arial" w:cs="Arial"/>
          <w:b/>
          <w:bCs/>
          <w:sz w:val="28"/>
          <w:szCs w:val="28"/>
          <w:lang w:val="en-GB"/>
        </w:rPr>
        <w:t>Thematic Enabling Conditions final text</w:t>
      </w:r>
      <w:bookmarkEnd w:id="19"/>
      <w:r w:rsidRPr="00A10501">
        <w:rPr>
          <w:rFonts w:ascii="Arial" w:hAnsi="Arial" w:cs="Arial"/>
          <w:b/>
          <w:bCs/>
          <w:sz w:val="28"/>
          <w:szCs w:val="28"/>
          <w:lang w:val="en-GB"/>
        </w:rPr>
        <w:t xml:space="preserve"> </w:t>
      </w:r>
    </w:p>
    <w:p w14:paraId="58765F4D" w14:textId="2753CC3E" w:rsidR="00657ECD" w:rsidRPr="00A10501" w:rsidRDefault="00657ECD" w:rsidP="00934F0B">
      <w:pPr>
        <w:rPr>
          <w:rFonts w:ascii="Arial" w:hAnsi="Arial" w:cs="Arial"/>
          <w:b/>
          <w:bCs/>
          <w:sz w:val="24"/>
          <w:szCs w:val="24"/>
          <w:lang w:val="en-GB"/>
        </w:rPr>
      </w:pPr>
      <w:r w:rsidRPr="00A10501">
        <w:rPr>
          <w:rFonts w:ascii="Arial" w:hAnsi="Arial" w:cs="Arial"/>
          <w:b/>
          <w:bCs/>
          <w:sz w:val="24"/>
          <w:szCs w:val="24"/>
          <w:lang w:val="en-GB"/>
        </w:rPr>
        <w:t>Policy objective :</w:t>
      </w:r>
      <w:r w:rsidR="00934F0B" w:rsidRPr="00A10501">
        <w:rPr>
          <w:rFonts w:ascii="Arial" w:hAnsi="Arial" w:cs="Arial"/>
          <w:b/>
          <w:bCs/>
          <w:sz w:val="24"/>
          <w:szCs w:val="24"/>
          <w:lang w:val="en-GB"/>
        </w:rPr>
        <w:t xml:space="preserve"> </w:t>
      </w:r>
      <w:r w:rsidR="00934F0B" w:rsidRPr="00A10501">
        <w:rPr>
          <w:rFonts w:ascii="Arial" w:hAnsi="Arial" w:cs="Arial"/>
          <w:sz w:val="24"/>
          <w:szCs w:val="24"/>
          <w:lang w:val="en-GB"/>
        </w:rPr>
        <w:t>4 -</w:t>
      </w:r>
      <w:r w:rsidR="00934F0B" w:rsidRPr="00A10501">
        <w:rPr>
          <w:rFonts w:ascii="Arial" w:hAnsi="Arial" w:cs="Arial"/>
          <w:b/>
          <w:bCs/>
          <w:sz w:val="24"/>
          <w:szCs w:val="24"/>
          <w:lang w:val="en-GB"/>
        </w:rPr>
        <w:t xml:space="preserve"> </w:t>
      </w:r>
      <w:r w:rsidRPr="00A10501">
        <w:rPr>
          <w:rFonts w:ascii="Arial" w:hAnsi="Arial" w:cs="Arial"/>
          <w:sz w:val="24"/>
          <w:szCs w:val="24"/>
          <w:lang w:val="en-GB"/>
        </w:rPr>
        <w:t>A more social Europe by implementing the European Pillar of Social Rights</w:t>
      </w:r>
    </w:p>
    <w:p w14:paraId="4FD29CEF" w14:textId="62AD4E73" w:rsidR="00657ECD" w:rsidRPr="00A10501" w:rsidRDefault="00657ECD" w:rsidP="00657ECD">
      <w:pPr>
        <w:rPr>
          <w:rFonts w:ascii="Arial" w:hAnsi="Arial" w:cs="Arial"/>
          <w:b/>
          <w:bCs/>
          <w:sz w:val="24"/>
          <w:szCs w:val="24"/>
          <w:lang w:val="en-GB"/>
        </w:rPr>
      </w:pPr>
      <w:r w:rsidRPr="00A10501">
        <w:rPr>
          <w:rFonts w:ascii="Arial" w:hAnsi="Arial" w:cs="Arial"/>
          <w:b/>
          <w:bCs/>
          <w:sz w:val="24"/>
          <w:szCs w:val="24"/>
          <w:lang w:val="en-GB"/>
        </w:rPr>
        <w:lastRenderedPageBreak/>
        <w:t>Specific objective :</w:t>
      </w:r>
      <w:r w:rsidR="00934F0B" w:rsidRPr="00A10501">
        <w:rPr>
          <w:rFonts w:ascii="Arial" w:hAnsi="Arial" w:cs="Arial"/>
          <w:b/>
          <w:bCs/>
          <w:sz w:val="24"/>
          <w:szCs w:val="24"/>
          <w:lang w:val="en-GB"/>
        </w:rPr>
        <w:t xml:space="preserve"> </w:t>
      </w:r>
      <w:r w:rsidRPr="00A10501">
        <w:rPr>
          <w:rFonts w:ascii="Arial" w:hAnsi="Arial" w:cs="Arial"/>
          <w:sz w:val="24"/>
          <w:szCs w:val="24"/>
          <w:lang w:val="en-GB"/>
        </w:rPr>
        <w:t xml:space="preserve">ERDF: 4.3 increasing the socioeconomic integration of marginalised communities, migrants and disadvantaged groups, through integrated measures including housing and social services </w:t>
      </w:r>
    </w:p>
    <w:p w14:paraId="5DDB6B0B"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ESF: 4.3.1 Promoting active inclusion including with a view to promoting equal opportunities and active participation, and improving employability;</w:t>
      </w:r>
    </w:p>
    <w:p w14:paraId="1BAD9C9D" w14:textId="5DE16024" w:rsidR="00657ECD" w:rsidRPr="00A10501" w:rsidRDefault="00657ECD" w:rsidP="00657ECD">
      <w:pPr>
        <w:rPr>
          <w:rFonts w:ascii="Arial" w:hAnsi="Arial" w:cs="Arial"/>
          <w:b/>
          <w:bCs/>
          <w:sz w:val="24"/>
          <w:szCs w:val="24"/>
          <w:lang w:val="en-GB"/>
        </w:rPr>
      </w:pPr>
      <w:r w:rsidRPr="00A10501">
        <w:rPr>
          <w:rFonts w:ascii="Arial" w:hAnsi="Arial" w:cs="Arial"/>
          <w:b/>
          <w:bCs/>
          <w:sz w:val="24"/>
          <w:szCs w:val="24"/>
          <w:lang w:val="en-GB"/>
        </w:rPr>
        <w:t>Name of enabling condition :</w:t>
      </w:r>
      <w:r w:rsidR="00934F0B" w:rsidRPr="00A10501">
        <w:rPr>
          <w:rFonts w:ascii="Arial" w:hAnsi="Arial" w:cs="Arial"/>
          <w:b/>
          <w:bCs/>
          <w:sz w:val="24"/>
          <w:szCs w:val="24"/>
          <w:lang w:val="en-GB"/>
        </w:rPr>
        <w:t xml:space="preserve"> </w:t>
      </w:r>
      <w:r w:rsidRPr="00A10501">
        <w:rPr>
          <w:rFonts w:ascii="Arial" w:hAnsi="Arial" w:cs="Arial"/>
          <w:sz w:val="24"/>
          <w:szCs w:val="24"/>
          <w:lang w:val="en-GB"/>
        </w:rPr>
        <w:t>National strategic policy framework for social inclusion and poverty reduction</w:t>
      </w:r>
    </w:p>
    <w:p w14:paraId="256949DB" w14:textId="3800721E" w:rsidR="00657ECD" w:rsidRPr="00A10501" w:rsidRDefault="00657ECD" w:rsidP="00657ECD">
      <w:pPr>
        <w:rPr>
          <w:rFonts w:ascii="Arial" w:hAnsi="Arial" w:cs="Arial"/>
          <w:b/>
          <w:bCs/>
          <w:sz w:val="24"/>
          <w:szCs w:val="24"/>
          <w:lang w:val="en-GB"/>
        </w:rPr>
      </w:pPr>
      <w:r w:rsidRPr="00A10501">
        <w:rPr>
          <w:rFonts w:ascii="Arial" w:hAnsi="Arial" w:cs="Arial"/>
          <w:b/>
          <w:bCs/>
          <w:sz w:val="24"/>
          <w:szCs w:val="24"/>
          <w:lang w:val="en-GB"/>
        </w:rPr>
        <w:t>Fulfilment criteria for the enabling condition :</w:t>
      </w:r>
      <w:r w:rsidR="00934F0B" w:rsidRPr="00A10501">
        <w:rPr>
          <w:rFonts w:ascii="Arial" w:hAnsi="Arial" w:cs="Arial"/>
          <w:b/>
          <w:bCs/>
          <w:sz w:val="24"/>
          <w:szCs w:val="24"/>
          <w:lang w:val="en-GB"/>
        </w:rPr>
        <w:t xml:space="preserve"> </w:t>
      </w:r>
      <w:r w:rsidRPr="00A10501">
        <w:rPr>
          <w:rFonts w:ascii="Arial" w:hAnsi="Arial" w:cs="Arial"/>
          <w:sz w:val="24"/>
          <w:szCs w:val="24"/>
          <w:lang w:val="en-GB"/>
        </w:rPr>
        <w:t xml:space="preserve">A national strategic policy framework for social inclusion and poverty reduction is in place that includes: </w:t>
      </w:r>
    </w:p>
    <w:p w14:paraId="53431F03"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 xml:space="preserve">1. Evidence-based diagnosis of poverty and social exclusion including child poverty, homelessness, spatial and educational segregation, limited access to essential services and infrastructure, and the specific needs of vulnerable people </w:t>
      </w:r>
    </w:p>
    <w:p w14:paraId="5109A8BB"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 xml:space="preserve">2. Measures to prevent and combat segregation in all fields, including through providing adequate income support, inclusive labour markets and access to quality services for vulnerable people, including migrants </w:t>
      </w:r>
    </w:p>
    <w:p w14:paraId="7A9AE453"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 xml:space="preserve">3. Measures for the shift from institutional to community-based care </w:t>
      </w:r>
    </w:p>
    <w:p w14:paraId="23362E8D"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4. Arrangements for ensuring that its design, implementation, monitoring and review is conducted in close cooperation with social partners and relevant civil society organisations.</w:t>
      </w:r>
    </w:p>
    <w:p w14:paraId="165C5F37" w14:textId="4E116E2A" w:rsidR="000E5380" w:rsidRPr="00A10501" w:rsidRDefault="000E5380" w:rsidP="00657ECD">
      <w:pPr>
        <w:rPr>
          <w:rFonts w:ascii="Arial" w:hAnsi="Arial" w:cs="Arial"/>
          <w:b/>
          <w:bCs/>
          <w:sz w:val="24"/>
          <w:szCs w:val="24"/>
          <w:lang w:val="en-GB"/>
        </w:rPr>
      </w:pPr>
    </w:p>
    <w:p w14:paraId="0DBC1614" w14:textId="0C788FE6" w:rsidR="00ED4F8A" w:rsidRPr="00A10501" w:rsidRDefault="00934F0B" w:rsidP="00E41615">
      <w:pPr>
        <w:rPr>
          <w:rFonts w:ascii="Arial" w:hAnsi="Arial" w:cs="Arial"/>
          <w:b/>
          <w:bCs/>
          <w:sz w:val="24"/>
          <w:szCs w:val="24"/>
          <w:lang w:val="en-GB"/>
        </w:rPr>
      </w:pPr>
      <w:r w:rsidRPr="00A10501">
        <w:rPr>
          <w:rFonts w:ascii="Arial" w:hAnsi="Arial" w:cs="Arial"/>
          <w:b/>
          <w:bCs/>
          <w:sz w:val="24"/>
          <w:szCs w:val="24"/>
          <w:lang w:val="en-GB"/>
        </w:rPr>
        <w:t>Policy objective :</w:t>
      </w:r>
      <w:r w:rsidR="00E41615" w:rsidRPr="00A10501">
        <w:rPr>
          <w:rFonts w:ascii="Arial" w:hAnsi="Arial" w:cs="Arial"/>
          <w:b/>
          <w:bCs/>
          <w:sz w:val="24"/>
          <w:szCs w:val="24"/>
          <w:lang w:val="en-GB"/>
        </w:rPr>
        <w:t xml:space="preserve"> </w:t>
      </w:r>
      <w:r w:rsidR="00E41615" w:rsidRPr="00A10501">
        <w:rPr>
          <w:rFonts w:ascii="Arial" w:hAnsi="Arial" w:cs="Arial"/>
          <w:sz w:val="24"/>
          <w:szCs w:val="24"/>
          <w:lang w:val="en-GB"/>
        </w:rPr>
        <w:t>4 -</w:t>
      </w:r>
      <w:r w:rsidR="00E41615" w:rsidRPr="00A10501">
        <w:rPr>
          <w:rFonts w:ascii="Arial" w:hAnsi="Arial" w:cs="Arial"/>
          <w:b/>
          <w:bCs/>
          <w:sz w:val="24"/>
          <w:szCs w:val="24"/>
          <w:lang w:val="en-GB"/>
        </w:rPr>
        <w:t xml:space="preserve"> </w:t>
      </w:r>
      <w:r w:rsidRPr="00A10501">
        <w:rPr>
          <w:rFonts w:ascii="Arial" w:hAnsi="Arial" w:cs="Arial"/>
          <w:sz w:val="24"/>
          <w:szCs w:val="24"/>
          <w:lang w:val="en-GB"/>
        </w:rPr>
        <w:t>A more social Europe by implementing the European Pillar of Social Rights</w:t>
      </w:r>
    </w:p>
    <w:p w14:paraId="3E33549F" w14:textId="7A941624" w:rsidR="00ED4F8A" w:rsidRPr="00A10501" w:rsidRDefault="00657ECD" w:rsidP="00657ECD">
      <w:pPr>
        <w:rPr>
          <w:rFonts w:ascii="Arial" w:hAnsi="Arial" w:cs="Arial"/>
          <w:b/>
          <w:bCs/>
          <w:sz w:val="24"/>
          <w:szCs w:val="24"/>
          <w:lang w:val="en-GB"/>
        </w:rPr>
      </w:pPr>
      <w:r w:rsidRPr="00A10501">
        <w:rPr>
          <w:rFonts w:ascii="Arial" w:hAnsi="Arial" w:cs="Arial"/>
          <w:b/>
          <w:bCs/>
          <w:sz w:val="24"/>
          <w:szCs w:val="24"/>
          <w:lang w:val="en-GB"/>
        </w:rPr>
        <w:t>Specific objective:</w:t>
      </w:r>
      <w:r w:rsidR="00E41615" w:rsidRPr="00A10501">
        <w:rPr>
          <w:rFonts w:ascii="Arial" w:hAnsi="Arial" w:cs="Arial"/>
          <w:b/>
          <w:bCs/>
          <w:sz w:val="24"/>
          <w:szCs w:val="24"/>
          <w:lang w:val="en-GB"/>
        </w:rPr>
        <w:t xml:space="preserve"> </w:t>
      </w:r>
      <w:r w:rsidRPr="00A10501">
        <w:rPr>
          <w:rFonts w:ascii="Arial" w:hAnsi="Arial" w:cs="Arial"/>
          <w:sz w:val="24"/>
          <w:szCs w:val="24"/>
          <w:lang w:val="en-GB"/>
        </w:rPr>
        <w:t xml:space="preserve">ERDF: 4.4 ensuring equal access to health care through developing infrastructure, including primary care </w:t>
      </w:r>
    </w:p>
    <w:p w14:paraId="6A592D9D" w14:textId="54904852"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ESF: 4.3.4 Enhancing the equal and timely access to quality, sustainable and affordable services; improving accessibility, effectiveness and resilience of healthcare systems; improving access to long-term care services</w:t>
      </w:r>
    </w:p>
    <w:p w14:paraId="6D33A96D" w14:textId="285E91DF" w:rsidR="00657ECD" w:rsidRPr="00A10501" w:rsidRDefault="00657ECD" w:rsidP="00657ECD">
      <w:pPr>
        <w:rPr>
          <w:rFonts w:ascii="Arial" w:hAnsi="Arial" w:cs="Arial"/>
          <w:b/>
          <w:bCs/>
          <w:sz w:val="24"/>
          <w:szCs w:val="24"/>
          <w:lang w:val="en-GB"/>
        </w:rPr>
      </w:pPr>
      <w:r w:rsidRPr="00A10501">
        <w:rPr>
          <w:rFonts w:ascii="Arial" w:hAnsi="Arial" w:cs="Arial"/>
          <w:b/>
          <w:bCs/>
          <w:sz w:val="24"/>
          <w:szCs w:val="24"/>
          <w:lang w:val="en-GB"/>
        </w:rPr>
        <w:t>Name of enabling condition :</w:t>
      </w:r>
      <w:r w:rsidR="00E41615" w:rsidRPr="00A10501">
        <w:rPr>
          <w:rFonts w:ascii="Arial" w:hAnsi="Arial" w:cs="Arial"/>
          <w:b/>
          <w:bCs/>
          <w:sz w:val="24"/>
          <w:szCs w:val="24"/>
          <w:lang w:val="en-GB"/>
        </w:rPr>
        <w:t xml:space="preserve"> </w:t>
      </w:r>
      <w:r w:rsidRPr="00A10501">
        <w:rPr>
          <w:rFonts w:ascii="Arial" w:hAnsi="Arial" w:cs="Arial"/>
          <w:sz w:val="24"/>
          <w:szCs w:val="24"/>
          <w:lang w:val="en-GB"/>
        </w:rPr>
        <w:t>Strategic policy framework for health.</w:t>
      </w:r>
    </w:p>
    <w:p w14:paraId="473942A2" w14:textId="076A5786" w:rsidR="00657ECD" w:rsidRPr="00A10501" w:rsidRDefault="00657ECD" w:rsidP="00657ECD">
      <w:pPr>
        <w:rPr>
          <w:rFonts w:ascii="Arial" w:hAnsi="Arial" w:cs="Arial"/>
          <w:b/>
          <w:bCs/>
          <w:sz w:val="24"/>
          <w:szCs w:val="24"/>
          <w:lang w:val="en-GB"/>
        </w:rPr>
      </w:pPr>
      <w:r w:rsidRPr="00A10501">
        <w:rPr>
          <w:rFonts w:ascii="Arial" w:hAnsi="Arial" w:cs="Arial"/>
          <w:b/>
          <w:bCs/>
          <w:sz w:val="24"/>
          <w:szCs w:val="24"/>
          <w:lang w:val="en-GB"/>
        </w:rPr>
        <w:t>Fulfilment criteria for the enabling condition :</w:t>
      </w:r>
      <w:r w:rsidR="00E41615" w:rsidRPr="00A10501">
        <w:rPr>
          <w:rFonts w:ascii="Arial" w:hAnsi="Arial" w:cs="Arial"/>
          <w:b/>
          <w:bCs/>
          <w:sz w:val="24"/>
          <w:szCs w:val="24"/>
          <w:lang w:val="en-GB"/>
        </w:rPr>
        <w:t xml:space="preserve"> </w:t>
      </w:r>
      <w:r w:rsidRPr="00A10501">
        <w:rPr>
          <w:rFonts w:ascii="Arial" w:hAnsi="Arial" w:cs="Arial"/>
          <w:sz w:val="24"/>
          <w:szCs w:val="24"/>
          <w:lang w:val="en-GB"/>
        </w:rPr>
        <w:t xml:space="preserve">A national or regional strategic policy framework for health is in place that contains: </w:t>
      </w:r>
    </w:p>
    <w:p w14:paraId="7ABE0C00"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 xml:space="preserve">1. Mapping of health and long-term care needs, including in terms of medical staff, to ensure sustainable and coordinated measures </w:t>
      </w:r>
    </w:p>
    <w:p w14:paraId="67DF6352"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 xml:space="preserve">2. Measures to ensure the efficiency, sustainability, accessibility and affordability to health and long-term care services, including specific focus on individuals excluded from the health and long-term care systems </w:t>
      </w:r>
    </w:p>
    <w:p w14:paraId="7FF21C6C"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3. Measures to promote community-based services, including prevention and primary care, home-care and community-based services.</w:t>
      </w:r>
    </w:p>
    <w:p w14:paraId="6B5A316F" w14:textId="77777777" w:rsidR="00657ECD" w:rsidRPr="00A10501" w:rsidRDefault="00657ECD" w:rsidP="00657ECD">
      <w:pPr>
        <w:rPr>
          <w:rFonts w:ascii="Arial" w:hAnsi="Arial" w:cs="Arial"/>
          <w:sz w:val="24"/>
          <w:szCs w:val="24"/>
          <w:lang w:val="en-GB"/>
        </w:rPr>
      </w:pPr>
    </w:p>
    <w:p w14:paraId="4869266D" w14:textId="6B4841C8" w:rsidR="00BD31E1" w:rsidRPr="00A10501" w:rsidRDefault="00BD31E1" w:rsidP="001B5FE3">
      <w:pPr>
        <w:pStyle w:val="Heading2"/>
      </w:pPr>
      <w:bookmarkStart w:id="20" w:name="_Toc60935775"/>
      <w:r w:rsidRPr="00A10501">
        <w:t>Article 25</w:t>
      </w:r>
      <w:r w:rsidR="00775F0E" w:rsidRPr="00A10501">
        <w:t xml:space="preserve"> -</w:t>
      </w:r>
      <w:r w:rsidRPr="00A10501">
        <w:t xml:space="preserve"> Community-led local development</w:t>
      </w:r>
      <w:bookmarkEnd w:id="20"/>
    </w:p>
    <w:p w14:paraId="3F929EA3" w14:textId="77777777"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 xml:space="preserve">Article 25 on community-led local development now specifies the need to be supportive of accessibility. </w:t>
      </w:r>
    </w:p>
    <w:p w14:paraId="4E1079AF" w14:textId="123C4DB9" w:rsidR="00657ECD" w:rsidRPr="00A10501" w:rsidRDefault="00657ECD" w:rsidP="00657ECD">
      <w:pPr>
        <w:pStyle w:val="Heading3"/>
        <w:rPr>
          <w:rFonts w:ascii="Arial" w:hAnsi="Arial" w:cs="Arial"/>
          <w:b/>
          <w:bCs/>
          <w:sz w:val="28"/>
          <w:szCs w:val="28"/>
          <w:lang w:val="en-GB"/>
        </w:rPr>
      </w:pPr>
      <w:bookmarkStart w:id="21" w:name="_Toc60935776"/>
      <w:r w:rsidRPr="00A10501">
        <w:rPr>
          <w:rFonts w:ascii="Arial" w:hAnsi="Arial" w:cs="Arial"/>
          <w:b/>
          <w:bCs/>
          <w:sz w:val="28"/>
          <w:szCs w:val="28"/>
          <w:lang w:val="en-GB"/>
        </w:rPr>
        <w:t>Article 25 final text</w:t>
      </w:r>
      <w:bookmarkEnd w:id="21"/>
      <w:r w:rsidRPr="00A10501">
        <w:rPr>
          <w:rFonts w:ascii="Arial" w:hAnsi="Arial" w:cs="Arial"/>
          <w:b/>
          <w:bCs/>
          <w:sz w:val="28"/>
          <w:szCs w:val="28"/>
          <w:lang w:val="en-GB"/>
        </w:rPr>
        <w:t xml:space="preserve"> </w:t>
      </w:r>
    </w:p>
    <w:p w14:paraId="59D13853" w14:textId="5924B875" w:rsidR="00BD31E1" w:rsidRPr="00A10501" w:rsidRDefault="00BD31E1" w:rsidP="00FE77C6">
      <w:pPr>
        <w:ind w:left="360"/>
        <w:rPr>
          <w:rFonts w:ascii="Arial" w:hAnsi="Arial" w:cs="Arial"/>
          <w:sz w:val="24"/>
          <w:szCs w:val="24"/>
          <w:lang w:val="en-GB"/>
        </w:rPr>
      </w:pPr>
      <w:r w:rsidRPr="00A10501">
        <w:rPr>
          <w:rFonts w:ascii="Arial" w:hAnsi="Arial" w:cs="Arial"/>
          <w:sz w:val="24"/>
          <w:szCs w:val="24"/>
          <w:lang w:val="en-GB"/>
        </w:rPr>
        <w:t xml:space="preserve">1. </w:t>
      </w:r>
      <w:r w:rsidRPr="00A10501">
        <w:rPr>
          <w:rFonts w:ascii="Arial" w:hAnsi="Arial" w:cs="Arial"/>
          <w:b/>
          <w:bCs/>
          <w:i/>
          <w:iCs/>
          <w:sz w:val="24"/>
          <w:szCs w:val="24"/>
          <w:lang w:val="en-GB"/>
        </w:rPr>
        <w:t>Where the Member State considers it appropriate pursuant to Article 22</w:t>
      </w:r>
      <w:r w:rsidRPr="00A10501">
        <w:rPr>
          <w:rFonts w:ascii="Arial" w:hAnsi="Arial" w:cs="Arial"/>
          <w:sz w:val="24"/>
          <w:szCs w:val="24"/>
          <w:lang w:val="en-GB"/>
        </w:rPr>
        <w:t xml:space="preserve">, the ERDF, the ESF+, </w:t>
      </w:r>
      <w:r w:rsidRPr="00A10501">
        <w:rPr>
          <w:rFonts w:ascii="Arial" w:hAnsi="Arial" w:cs="Arial"/>
          <w:b/>
          <w:bCs/>
          <w:i/>
          <w:iCs/>
          <w:sz w:val="24"/>
          <w:szCs w:val="24"/>
          <w:lang w:val="en-GB"/>
        </w:rPr>
        <w:t>the JTF</w:t>
      </w:r>
      <w:r w:rsidRPr="00A10501">
        <w:rPr>
          <w:rFonts w:ascii="Arial" w:hAnsi="Arial" w:cs="Arial"/>
          <w:sz w:val="24"/>
          <w:szCs w:val="24"/>
          <w:lang w:val="en-GB"/>
        </w:rPr>
        <w:t xml:space="preserve"> and the EMFF may shall support community-led local development.</w:t>
      </w:r>
    </w:p>
    <w:p w14:paraId="2EEED21E" w14:textId="1AFF93AE" w:rsidR="00BD31E1" w:rsidRPr="00A10501" w:rsidRDefault="00BD31E1" w:rsidP="00FE77C6">
      <w:pPr>
        <w:ind w:left="360"/>
        <w:rPr>
          <w:rFonts w:ascii="Arial" w:hAnsi="Arial" w:cs="Arial"/>
          <w:sz w:val="24"/>
          <w:szCs w:val="24"/>
          <w:lang w:val="en-GB"/>
        </w:rPr>
      </w:pPr>
      <w:r w:rsidRPr="00A10501">
        <w:rPr>
          <w:rFonts w:ascii="Arial" w:hAnsi="Arial" w:cs="Arial"/>
          <w:sz w:val="24"/>
          <w:szCs w:val="24"/>
          <w:lang w:val="en-GB"/>
        </w:rPr>
        <w:t xml:space="preserve">2. The Member State shall ensure that community-led local development is: </w:t>
      </w:r>
    </w:p>
    <w:p w14:paraId="22707F48" w14:textId="57732EA1" w:rsidR="00BD31E1" w:rsidRPr="00A10501" w:rsidRDefault="00BD31E1" w:rsidP="00FE77C6">
      <w:pPr>
        <w:ind w:left="360"/>
        <w:rPr>
          <w:rFonts w:ascii="Arial" w:hAnsi="Arial" w:cs="Arial"/>
          <w:sz w:val="24"/>
          <w:szCs w:val="24"/>
          <w:lang w:val="en-GB"/>
        </w:rPr>
      </w:pPr>
      <w:r w:rsidRPr="00A10501">
        <w:rPr>
          <w:rFonts w:ascii="Arial" w:hAnsi="Arial" w:cs="Arial"/>
          <w:sz w:val="24"/>
          <w:szCs w:val="24"/>
          <w:lang w:val="en-GB"/>
        </w:rPr>
        <w:t xml:space="preserve">d) supportive of networking, </w:t>
      </w:r>
      <w:r w:rsidRPr="00A10501">
        <w:rPr>
          <w:rFonts w:ascii="Arial" w:hAnsi="Arial" w:cs="Arial"/>
          <w:b/>
          <w:bCs/>
          <w:i/>
          <w:iCs/>
          <w:sz w:val="24"/>
          <w:szCs w:val="24"/>
          <w:lang w:val="en-GB"/>
        </w:rPr>
        <w:t>accessibility</w:t>
      </w:r>
      <w:r w:rsidRPr="00A10501">
        <w:rPr>
          <w:rFonts w:ascii="Arial" w:hAnsi="Arial" w:cs="Arial"/>
          <w:sz w:val="24"/>
          <w:szCs w:val="24"/>
          <w:lang w:val="en-GB"/>
        </w:rPr>
        <w:t>, innovative features in the local context and, where appropriate, cooperation with other territorial actors.</w:t>
      </w:r>
    </w:p>
    <w:p w14:paraId="78D0C275" w14:textId="075B9398" w:rsidR="00BD31E1" w:rsidRPr="00A10501" w:rsidRDefault="00BD31E1" w:rsidP="00FE77C6">
      <w:pPr>
        <w:ind w:left="360"/>
        <w:rPr>
          <w:rFonts w:ascii="Arial" w:hAnsi="Arial" w:cs="Arial"/>
          <w:sz w:val="24"/>
          <w:szCs w:val="24"/>
          <w:lang w:val="en-GB"/>
        </w:rPr>
      </w:pPr>
    </w:p>
    <w:p w14:paraId="2E56F8EE" w14:textId="15AC5FA3" w:rsidR="00F97054" w:rsidRPr="00A10501" w:rsidRDefault="00F97054" w:rsidP="001B5FE3">
      <w:pPr>
        <w:pStyle w:val="Heading2"/>
      </w:pPr>
      <w:bookmarkStart w:id="22" w:name="_Toc60935777"/>
      <w:r w:rsidRPr="00A10501">
        <w:t xml:space="preserve">Article 27 </w:t>
      </w:r>
      <w:r w:rsidR="00775F0E" w:rsidRPr="00A10501">
        <w:t xml:space="preserve">- </w:t>
      </w:r>
      <w:r w:rsidRPr="00A10501">
        <w:t>Local action groups</w:t>
      </w:r>
      <w:bookmarkEnd w:id="22"/>
    </w:p>
    <w:p w14:paraId="10DDAD49" w14:textId="6935E495" w:rsidR="00E41615" w:rsidRPr="00A10501" w:rsidRDefault="00E41615" w:rsidP="00E41615">
      <w:pPr>
        <w:rPr>
          <w:rFonts w:ascii="Arial" w:hAnsi="Arial" w:cs="Arial"/>
          <w:sz w:val="24"/>
          <w:szCs w:val="24"/>
          <w:lang w:val="en-GB"/>
        </w:rPr>
      </w:pPr>
      <w:r w:rsidRPr="00A10501">
        <w:rPr>
          <w:rFonts w:ascii="Arial" w:hAnsi="Arial" w:cs="Arial"/>
          <w:sz w:val="24"/>
          <w:szCs w:val="24"/>
          <w:lang w:val="en-GB"/>
        </w:rPr>
        <w:t>Similarly to the addition to Article 25, Article 27 on local action groups now includes the need for such groups to be “inclusive”.</w:t>
      </w:r>
    </w:p>
    <w:p w14:paraId="1644A325" w14:textId="721835CA" w:rsidR="00657ECD" w:rsidRPr="00A10501" w:rsidRDefault="00657ECD" w:rsidP="00657ECD">
      <w:pPr>
        <w:pStyle w:val="Heading3"/>
        <w:rPr>
          <w:rFonts w:ascii="Arial" w:hAnsi="Arial" w:cs="Arial"/>
          <w:b/>
          <w:bCs/>
          <w:sz w:val="28"/>
          <w:szCs w:val="28"/>
          <w:lang w:val="en-GB"/>
        </w:rPr>
      </w:pPr>
      <w:bookmarkStart w:id="23" w:name="_Toc60935778"/>
      <w:r w:rsidRPr="00A10501">
        <w:rPr>
          <w:rFonts w:ascii="Arial" w:hAnsi="Arial" w:cs="Arial"/>
          <w:b/>
          <w:bCs/>
          <w:sz w:val="28"/>
          <w:szCs w:val="28"/>
          <w:lang w:val="en-GB"/>
        </w:rPr>
        <w:t>Article 27 final text</w:t>
      </w:r>
      <w:bookmarkEnd w:id="23"/>
    </w:p>
    <w:p w14:paraId="35191C5E" w14:textId="31E28C6F" w:rsidR="00BD31E1" w:rsidRPr="00A10501" w:rsidRDefault="00BD31E1" w:rsidP="00FE77C6">
      <w:pPr>
        <w:ind w:left="360"/>
        <w:rPr>
          <w:rFonts w:ascii="Arial" w:hAnsi="Arial" w:cs="Arial"/>
          <w:sz w:val="24"/>
          <w:szCs w:val="24"/>
          <w:lang w:val="en-GB"/>
        </w:rPr>
      </w:pPr>
      <w:r w:rsidRPr="00A10501">
        <w:rPr>
          <w:rFonts w:ascii="Arial" w:hAnsi="Arial" w:cs="Arial"/>
          <w:sz w:val="24"/>
          <w:szCs w:val="24"/>
          <w:lang w:val="en-GB"/>
        </w:rPr>
        <w:t xml:space="preserve">2. The managing authorities shall ensure that the local action groups </w:t>
      </w:r>
      <w:r w:rsidRPr="00A10501">
        <w:rPr>
          <w:rFonts w:ascii="Arial" w:hAnsi="Arial" w:cs="Arial"/>
          <w:b/>
          <w:bCs/>
          <w:i/>
          <w:iCs/>
          <w:sz w:val="24"/>
          <w:szCs w:val="24"/>
          <w:lang w:val="en-GB"/>
        </w:rPr>
        <w:t>are inclusive, and that they</w:t>
      </w:r>
      <w:r w:rsidRPr="00A10501">
        <w:rPr>
          <w:rFonts w:ascii="Arial" w:hAnsi="Arial" w:cs="Arial"/>
          <w:sz w:val="24"/>
          <w:szCs w:val="24"/>
          <w:lang w:val="en-GB"/>
        </w:rPr>
        <w:t xml:space="preserve"> either select one partner within the group as a lead partner in administrative and financial matters, or come together in a legally constituted</w:t>
      </w:r>
      <w:r w:rsidR="00F97054" w:rsidRPr="00A10501">
        <w:rPr>
          <w:rFonts w:ascii="Arial" w:hAnsi="Arial" w:cs="Arial"/>
          <w:sz w:val="24"/>
          <w:szCs w:val="24"/>
          <w:lang w:val="en-GB"/>
        </w:rPr>
        <w:t xml:space="preserve"> common structure,</w:t>
      </w:r>
    </w:p>
    <w:p w14:paraId="5B324415" w14:textId="326AB797" w:rsidR="000277E7" w:rsidRPr="00A10501" w:rsidRDefault="000277E7" w:rsidP="00FE77C6">
      <w:pPr>
        <w:ind w:left="360"/>
        <w:rPr>
          <w:rFonts w:ascii="Arial" w:hAnsi="Arial" w:cs="Arial"/>
          <w:sz w:val="24"/>
          <w:szCs w:val="24"/>
          <w:lang w:val="en-GB"/>
        </w:rPr>
      </w:pPr>
    </w:p>
    <w:p w14:paraId="4311ED27" w14:textId="538F0EEF" w:rsidR="000277E7" w:rsidRPr="00A10501" w:rsidRDefault="000277E7" w:rsidP="001B5FE3">
      <w:pPr>
        <w:pStyle w:val="Heading2"/>
      </w:pPr>
      <w:bookmarkStart w:id="24" w:name="_Toc60935779"/>
      <w:r w:rsidRPr="00A10501">
        <w:t xml:space="preserve">Article 34 </w:t>
      </w:r>
      <w:r w:rsidR="00775F0E" w:rsidRPr="00A10501">
        <w:t xml:space="preserve">- </w:t>
      </w:r>
      <w:r w:rsidRPr="00A10501">
        <w:t>Composition of the monitoring committee</w:t>
      </w:r>
      <w:bookmarkEnd w:id="24"/>
    </w:p>
    <w:p w14:paraId="323CB965" w14:textId="4E6079C9" w:rsidR="00E41615" w:rsidRPr="00A10501" w:rsidRDefault="00E41615" w:rsidP="00E41615">
      <w:pPr>
        <w:rPr>
          <w:rFonts w:ascii="Arial" w:hAnsi="Arial" w:cs="Arial"/>
          <w:sz w:val="24"/>
          <w:szCs w:val="24"/>
          <w:lang w:val="en-GB"/>
        </w:rPr>
      </w:pPr>
      <w:r w:rsidRPr="00A10501">
        <w:rPr>
          <w:rFonts w:ascii="Arial" w:hAnsi="Arial" w:cs="Arial"/>
          <w:sz w:val="24"/>
          <w:szCs w:val="24"/>
          <w:lang w:val="en-GB"/>
        </w:rPr>
        <w:t xml:space="preserve">Article 34 talks about the composition of the monitoring committee overseeing the implementation of the regulation and the use of the funds in different Member States. It is important that civil society organisations have access to this and understand how the committee is formed. It is for this reason that we have been calling for there to be a requirement to make this process transparent, although the actual form this might take will certainly vary </w:t>
      </w:r>
      <w:r w:rsidR="009D4BD1" w:rsidRPr="00A10501">
        <w:rPr>
          <w:rFonts w:ascii="Arial" w:hAnsi="Arial" w:cs="Arial"/>
          <w:sz w:val="24"/>
          <w:szCs w:val="24"/>
          <w:lang w:val="en-GB"/>
        </w:rPr>
        <w:t xml:space="preserve">between Member States </w:t>
      </w:r>
      <w:r w:rsidRPr="00A10501">
        <w:rPr>
          <w:rFonts w:ascii="Arial" w:hAnsi="Arial" w:cs="Arial"/>
          <w:sz w:val="24"/>
          <w:szCs w:val="24"/>
          <w:lang w:val="en-GB"/>
        </w:rPr>
        <w:t xml:space="preserve">and we do not yet know how the </w:t>
      </w:r>
      <w:r w:rsidR="00220EC5" w:rsidRPr="00A10501">
        <w:rPr>
          <w:rFonts w:ascii="Arial" w:hAnsi="Arial" w:cs="Arial"/>
          <w:sz w:val="24"/>
          <w:szCs w:val="24"/>
          <w:lang w:val="en-GB"/>
        </w:rPr>
        <w:t>national M</w:t>
      </w:r>
      <w:r w:rsidRPr="00A10501">
        <w:rPr>
          <w:rFonts w:ascii="Arial" w:hAnsi="Arial" w:cs="Arial"/>
          <w:sz w:val="24"/>
          <w:szCs w:val="24"/>
          <w:lang w:val="en-GB"/>
        </w:rPr>
        <w:t>anagin</w:t>
      </w:r>
      <w:r w:rsidR="00220EC5" w:rsidRPr="00A10501">
        <w:rPr>
          <w:rFonts w:ascii="Arial" w:hAnsi="Arial" w:cs="Arial"/>
          <w:sz w:val="24"/>
          <w:szCs w:val="24"/>
          <w:lang w:val="en-GB"/>
        </w:rPr>
        <w:t>g Authorities will interpret this wording.</w:t>
      </w:r>
    </w:p>
    <w:p w14:paraId="3479ADEA" w14:textId="63AB6D10" w:rsidR="00657ECD" w:rsidRPr="00A10501" w:rsidRDefault="00657ECD" w:rsidP="00657ECD">
      <w:pPr>
        <w:pStyle w:val="Heading3"/>
        <w:rPr>
          <w:rFonts w:ascii="Arial" w:hAnsi="Arial" w:cs="Arial"/>
          <w:b/>
          <w:bCs/>
          <w:sz w:val="28"/>
          <w:szCs w:val="28"/>
          <w:lang w:val="en-GB"/>
        </w:rPr>
      </w:pPr>
      <w:bookmarkStart w:id="25" w:name="_Toc60935780"/>
      <w:r w:rsidRPr="00A10501">
        <w:rPr>
          <w:rFonts w:ascii="Arial" w:hAnsi="Arial" w:cs="Arial"/>
          <w:b/>
          <w:bCs/>
          <w:sz w:val="28"/>
          <w:szCs w:val="28"/>
          <w:lang w:val="en-GB"/>
        </w:rPr>
        <w:t>Article 34 final text</w:t>
      </w:r>
      <w:bookmarkEnd w:id="25"/>
    </w:p>
    <w:p w14:paraId="26D67435" w14:textId="783FB749" w:rsidR="000277E7" w:rsidRPr="00A10501" w:rsidRDefault="000277E7" w:rsidP="00FE77C6">
      <w:pPr>
        <w:ind w:left="360"/>
        <w:rPr>
          <w:rFonts w:ascii="Arial" w:hAnsi="Arial" w:cs="Arial"/>
          <w:b/>
          <w:bCs/>
          <w:i/>
          <w:iCs/>
          <w:sz w:val="24"/>
          <w:szCs w:val="24"/>
          <w:lang w:val="en-GB"/>
        </w:rPr>
      </w:pPr>
      <w:r w:rsidRPr="00A10501">
        <w:rPr>
          <w:rFonts w:ascii="Arial" w:hAnsi="Arial" w:cs="Arial"/>
          <w:sz w:val="24"/>
          <w:szCs w:val="24"/>
          <w:lang w:val="en-GB"/>
        </w:rPr>
        <w:t xml:space="preserve">1. The Member State shall determine the composition of the monitoring committee and shall ensure a balanced representation of the relevant Member State authorities and intermediate bodies and of representatives of the partners referred to in Article 6 </w:t>
      </w:r>
      <w:r w:rsidRPr="00A10501">
        <w:rPr>
          <w:rFonts w:ascii="Arial" w:hAnsi="Arial" w:cs="Arial"/>
          <w:b/>
          <w:bCs/>
          <w:i/>
          <w:iCs/>
          <w:sz w:val="24"/>
          <w:szCs w:val="24"/>
          <w:lang w:val="en-GB"/>
        </w:rPr>
        <w:t>through a transparent process.</w:t>
      </w:r>
    </w:p>
    <w:p w14:paraId="1CF04317" w14:textId="484A84A0" w:rsidR="009423E2" w:rsidRPr="00A10501" w:rsidRDefault="009423E2" w:rsidP="007D7D11">
      <w:pPr>
        <w:rPr>
          <w:rFonts w:ascii="Arial" w:hAnsi="Arial" w:cs="Arial"/>
          <w:sz w:val="24"/>
          <w:szCs w:val="24"/>
          <w:lang w:val="en-GB"/>
        </w:rPr>
      </w:pPr>
    </w:p>
    <w:p w14:paraId="6DCEBB99" w14:textId="70176EA0" w:rsidR="009423E2" w:rsidRPr="00A10501" w:rsidRDefault="009423E2" w:rsidP="009423E2">
      <w:pPr>
        <w:pStyle w:val="Heading1"/>
        <w:rPr>
          <w:rFonts w:ascii="Arial" w:hAnsi="Arial" w:cs="Arial"/>
          <w:b/>
          <w:bCs/>
          <w:lang w:val="en-GB"/>
        </w:rPr>
      </w:pPr>
      <w:bookmarkStart w:id="26" w:name="_Toc60935781"/>
      <w:r w:rsidRPr="00A10501">
        <w:rPr>
          <w:rFonts w:ascii="Arial" w:hAnsi="Arial" w:cs="Arial"/>
          <w:b/>
          <w:bCs/>
          <w:lang w:val="en-GB"/>
        </w:rPr>
        <w:lastRenderedPageBreak/>
        <w:t>Areas of disappointment</w:t>
      </w:r>
      <w:bookmarkEnd w:id="26"/>
    </w:p>
    <w:p w14:paraId="35685472" w14:textId="7C30A082" w:rsidR="005958B9" w:rsidRPr="00A10501" w:rsidRDefault="005958B9" w:rsidP="001B5FE3">
      <w:pPr>
        <w:pStyle w:val="Heading2"/>
      </w:pPr>
      <w:bookmarkStart w:id="27" w:name="_Toc525737689"/>
      <w:bookmarkStart w:id="28" w:name="_Toc60935782"/>
      <w:r w:rsidRPr="00A10501">
        <w:t>Article 84</w:t>
      </w:r>
      <w:bookmarkEnd w:id="27"/>
      <w:bookmarkEnd w:id="28"/>
      <w:r w:rsidR="009D4BD1" w:rsidRPr="00A10501">
        <w:t xml:space="preserve"> – Pre-financing</w:t>
      </w:r>
    </w:p>
    <w:p w14:paraId="49079F58" w14:textId="0ED5EF98" w:rsidR="00657ECD" w:rsidRPr="00A10501" w:rsidRDefault="00657ECD" w:rsidP="00657ECD">
      <w:pPr>
        <w:rPr>
          <w:rFonts w:ascii="Arial" w:hAnsi="Arial" w:cs="Arial"/>
          <w:sz w:val="24"/>
          <w:szCs w:val="24"/>
          <w:lang w:val="en-GB"/>
        </w:rPr>
      </w:pPr>
      <w:r w:rsidRPr="00A10501">
        <w:rPr>
          <w:rFonts w:ascii="Arial" w:hAnsi="Arial" w:cs="Arial"/>
          <w:sz w:val="24"/>
          <w:szCs w:val="24"/>
          <w:lang w:val="en-GB"/>
        </w:rPr>
        <w:t>EDF had been advocating for an increase in the pre</w:t>
      </w:r>
      <w:r w:rsidR="009D4BD1" w:rsidRPr="00A10501">
        <w:rPr>
          <w:rFonts w:ascii="Arial" w:hAnsi="Arial" w:cs="Arial"/>
          <w:sz w:val="24"/>
          <w:szCs w:val="24"/>
          <w:lang w:val="en-GB"/>
        </w:rPr>
        <w:t>-</w:t>
      </w:r>
      <w:r w:rsidRPr="00A10501">
        <w:rPr>
          <w:rFonts w:ascii="Arial" w:hAnsi="Arial" w:cs="Arial"/>
          <w:sz w:val="24"/>
          <w:szCs w:val="24"/>
          <w:lang w:val="en-GB"/>
        </w:rPr>
        <w:t>financing rates for beneficiaries making use of the EU funds covered by the CPR. This would make it easier for smaller organisations to make use of them with lower risks to their finances and cashflow. Unfortunately</w:t>
      </w:r>
      <w:r w:rsidR="009D4BD1" w:rsidRPr="00A10501">
        <w:rPr>
          <w:rFonts w:ascii="Arial" w:hAnsi="Arial" w:cs="Arial"/>
          <w:sz w:val="24"/>
          <w:szCs w:val="24"/>
          <w:lang w:val="en-GB"/>
        </w:rPr>
        <w:t>,</w:t>
      </w:r>
      <w:r w:rsidRPr="00A10501">
        <w:rPr>
          <w:rFonts w:ascii="Arial" w:hAnsi="Arial" w:cs="Arial"/>
          <w:sz w:val="24"/>
          <w:szCs w:val="24"/>
          <w:lang w:val="en-GB"/>
        </w:rPr>
        <w:t xml:space="preserve"> the Commission’s original proposal was retained by the co-legislators</w:t>
      </w:r>
      <w:r w:rsidR="00E736DF" w:rsidRPr="00A10501">
        <w:rPr>
          <w:rFonts w:ascii="Arial" w:hAnsi="Arial" w:cs="Arial"/>
          <w:sz w:val="24"/>
          <w:szCs w:val="24"/>
          <w:lang w:val="en-GB"/>
        </w:rPr>
        <w:t>.</w:t>
      </w:r>
      <w:r w:rsidRPr="00A10501">
        <w:rPr>
          <w:rFonts w:ascii="Arial" w:hAnsi="Arial" w:cs="Arial"/>
          <w:sz w:val="24"/>
          <w:szCs w:val="24"/>
          <w:lang w:val="en-GB"/>
        </w:rPr>
        <w:t xml:space="preserve"> </w:t>
      </w:r>
    </w:p>
    <w:tbl>
      <w:tblPr>
        <w:tblStyle w:val="TableGrid"/>
        <w:tblW w:w="0" w:type="auto"/>
        <w:tblLook w:val="04A0" w:firstRow="1" w:lastRow="0" w:firstColumn="1" w:lastColumn="0" w:noHBand="0" w:noVBand="1"/>
      </w:tblPr>
      <w:tblGrid>
        <w:gridCol w:w="4531"/>
        <w:gridCol w:w="4531"/>
      </w:tblGrid>
      <w:tr w:rsidR="005958B9" w:rsidRPr="00A10501" w14:paraId="7C66E63F" w14:textId="77777777" w:rsidTr="00DE37E9">
        <w:tc>
          <w:tcPr>
            <w:tcW w:w="5056" w:type="dxa"/>
          </w:tcPr>
          <w:p w14:paraId="7E7C7054" w14:textId="77777777" w:rsidR="005958B9" w:rsidRPr="00A10501" w:rsidRDefault="005958B9" w:rsidP="00DE37E9">
            <w:pPr>
              <w:pStyle w:val="Footer"/>
              <w:jc w:val="both"/>
              <w:rPr>
                <w:rFonts w:cs="Arial"/>
              </w:rPr>
            </w:pPr>
            <w:r w:rsidRPr="00A10501">
              <w:rPr>
                <w:rFonts w:cs="Arial"/>
              </w:rPr>
              <w:t>Commission proposal</w:t>
            </w:r>
          </w:p>
        </w:tc>
        <w:tc>
          <w:tcPr>
            <w:tcW w:w="5056" w:type="dxa"/>
          </w:tcPr>
          <w:p w14:paraId="06EE3B55" w14:textId="77777777" w:rsidR="005958B9" w:rsidRPr="00A10501" w:rsidRDefault="005958B9" w:rsidP="00DE37E9">
            <w:pPr>
              <w:pStyle w:val="Footer"/>
              <w:jc w:val="both"/>
              <w:rPr>
                <w:rFonts w:cs="Arial"/>
              </w:rPr>
            </w:pPr>
            <w:r w:rsidRPr="00A10501">
              <w:rPr>
                <w:rFonts w:cs="Arial"/>
              </w:rPr>
              <w:t>EDF amendments</w:t>
            </w:r>
          </w:p>
        </w:tc>
      </w:tr>
      <w:tr w:rsidR="005958B9" w:rsidRPr="00A10501" w14:paraId="545C5035" w14:textId="77777777" w:rsidTr="00DE37E9">
        <w:tc>
          <w:tcPr>
            <w:tcW w:w="5056" w:type="dxa"/>
          </w:tcPr>
          <w:p w14:paraId="129BEBD6"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Article 17(3)(f)(i). </w:t>
            </w:r>
          </w:p>
          <w:p w14:paraId="02B3286B"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2. The pre-financing for each Fund shall be paid in yearly instalments before 1 July of each year, subject to availability of funds, as follows: </w:t>
            </w:r>
          </w:p>
          <w:p w14:paraId="2E2242C6"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(a) 2021: 0.5 %; </w:t>
            </w:r>
          </w:p>
          <w:p w14:paraId="73687EB8"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(b) 2022: 0.5 %; </w:t>
            </w:r>
          </w:p>
          <w:p w14:paraId="0AD2530E"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(c) 2023: 0.5 %; </w:t>
            </w:r>
          </w:p>
          <w:p w14:paraId="41C8FD74"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(d) 2024: 0.5 %; </w:t>
            </w:r>
          </w:p>
          <w:p w14:paraId="56B01BEA"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(e) 2025: 0.5 %; </w:t>
            </w:r>
          </w:p>
          <w:p w14:paraId="3D2BB281"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(f) 2026: 0.5 % </w:t>
            </w:r>
          </w:p>
          <w:p w14:paraId="506BD82D"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Where a programme is adopted after 1 July 2021, the earlier instalments shall be paid in the year of adoption. </w:t>
            </w:r>
          </w:p>
          <w:p w14:paraId="545123F8"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3. By way of derogation from paragraph 2, for Interreg programmes, specific rules on pre-financing shall be set out in the ETC Regulation. </w:t>
            </w:r>
          </w:p>
          <w:p w14:paraId="47DDB0F8" w14:textId="77777777" w:rsidR="005958B9" w:rsidRPr="00A10501" w:rsidRDefault="005958B9" w:rsidP="00DE37E9">
            <w:pPr>
              <w:pStyle w:val="Footer"/>
              <w:rPr>
                <w:rFonts w:cs="Arial"/>
              </w:rPr>
            </w:pPr>
            <w:r w:rsidRPr="00A10501">
              <w:rPr>
                <w:rFonts w:cs="Arial"/>
              </w:rPr>
              <w:t>4. The amount paid as pre-financing shall be cleared from the Commission accounts no later than with the final accounting year.</w:t>
            </w:r>
          </w:p>
        </w:tc>
        <w:tc>
          <w:tcPr>
            <w:tcW w:w="5056" w:type="dxa"/>
          </w:tcPr>
          <w:p w14:paraId="1EDAE5B3"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1. The Commission shall pay pre-financing based on the total support from the Funds set out in the decision approving the programme pursuant to Article 17(3)(f)(i). </w:t>
            </w:r>
          </w:p>
          <w:p w14:paraId="4EAAC211" w14:textId="77777777" w:rsidR="005958B9" w:rsidRPr="00A10501" w:rsidRDefault="005958B9" w:rsidP="00DE37E9">
            <w:pPr>
              <w:jc w:val="both"/>
              <w:rPr>
                <w:rFonts w:ascii="Arial" w:hAnsi="Arial" w:cs="Arial"/>
                <w:b/>
                <w:i/>
                <w:sz w:val="24"/>
                <w:szCs w:val="24"/>
                <w:lang w:val="en-GB"/>
              </w:rPr>
            </w:pPr>
            <w:r w:rsidRPr="00A10501">
              <w:rPr>
                <w:rFonts w:ascii="Arial" w:hAnsi="Arial" w:cs="Arial"/>
                <w:b/>
                <w:i/>
                <w:sz w:val="24"/>
                <w:szCs w:val="24"/>
                <w:lang w:val="en-GB"/>
              </w:rPr>
              <w:t>2. An initial pre-financing of 5% will be allocated.</w:t>
            </w:r>
          </w:p>
          <w:p w14:paraId="07E3EF4E"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2. The pre-financing for each Fund shall be paid in yearly instalments before 1 July of each year, subject to availability of funds, as follows: </w:t>
            </w:r>
          </w:p>
          <w:p w14:paraId="4E6030BE"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(a) 2021: </w:t>
            </w:r>
            <w:r w:rsidRPr="00A10501">
              <w:rPr>
                <w:rFonts w:ascii="Arial" w:hAnsi="Arial" w:cs="Arial"/>
                <w:b/>
                <w:i/>
                <w:strike/>
                <w:sz w:val="24"/>
                <w:szCs w:val="24"/>
                <w:lang w:val="en-GB"/>
              </w:rPr>
              <w:t>0.5</w:t>
            </w:r>
            <w:r w:rsidRPr="00A10501">
              <w:rPr>
                <w:rFonts w:ascii="Arial" w:hAnsi="Arial" w:cs="Arial"/>
                <w:sz w:val="24"/>
                <w:szCs w:val="24"/>
                <w:lang w:val="en-GB"/>
              </w:rPr>
              <w:t xml:space="preserve"> </w:t>
            </w:r>
            <w:r w:rsidRPr="00A10501">
              <w:rPr>
                <w:rFonts w:ascii="Arial" w:hAnsi="Arial" w:cs="Arial"/>
                <w:b/>
                <w:sz w:val="24"/>
                <w:szCs w:val="24"/>
                <w:lang w:val="en-GB"/>
              </w:rPr>
              <w:t xml:space="preserve">1%; </w:t>
            </w:r>
          </w:p>
          <w:p w14:paraId="5B3AC5B5"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(b) 2022: </w:t>
            </w:r>
            <w:r w:rsidRPr="00A10501">
              <w:rPr>
                <w:rFonts w:ascii="Arial" w:hAnsi="Arial" w:cs="Arial"/>
                <w:b/>
                <w:i/>
                <w:strike/>
                <w:sz w:val="24"/>
                <w:szCs w:val="24"/>
                <w:lang w:val="en-GB"/>
              </w:rPr>
              <w:t>0.5</w:t>
            </w:r>
            <w:r w:rsidRPr="00A10501">
              <w:rPr>
                <w:rFonts w:ascii="Arial" w:hAnsi="Arial" w:cs="Arial"/>
                <w:sz w:val="24"/>
                <w:szCs w:val="24"/>
                <w:lang w:val="en-GB"/>
              </w:rPr>
              <w:t xml:space="preserve"> </w:t>
            </w:r>
            <w:r w:rsidRPr="00A10501">
              <w:rPr>
                <w:rFonts w:ascii="Arial" w:hAnsi="Arial" w:cs="Arial"/>
                <w:b/>
                <w:sz w:val="24"/>
                <w:szCs w:val="24"/>
                <w:lang w:val="en-GB"/>
              </w:rPr>
              <w:t>1%;</w:t>
            </w:r>
            <w:r w:rsidRPr="00A10501">
              <w:rPr>
                <w:rFonts w:ascii="Arial" w:hAnsi="Arial" w:cs="Arial"/>
                <w:sz w:val="24"/>
                <w:szCs w:val="24"/>
                <w:lang w:val="en-GB"/>
              </w:rPr>
              <w:t xml:space="preserve"> </w:t>
            </w:r>
          </w:p>
          <w:p w14:paraId="78BFA50A"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(c) 2023: </w:t>
            </w:r>
            <w:r w:rsidRPr="00A10501">
              <w:rPr>
                <w:rFonts w:ascii="Arial" w:hAnsi="Arial" w:cs="Arial"/>
                <w:b/>
                <w:i/>
                <w:strike/>
                <w:sz w:val="24"/>
                <w:szCs w:val="24"/>
                <w:lang w:val="en-GB"/>
              </w:rPr>
              <w:t>0.5</w:t>
            </w:r>
            <w:r w:rsidRPr="00A10501">
              <w:rPr>
                <w:rFonts w:ascii="Arial" w:hAnsi="Arial" w:cs="Arial"/>
                <w:sz w:val="24"/>
                <w:szCs w:val="24"/>
                <w:lang w:val="en-GB"/>
              </w:rPr>
              <w:t xml:space="preserve"> </w:t>
            </w:r>
            <w:r w:rsidRPr="00A10501">
              <w:rPr>
                <w:rFonts w:ascii="Arial" w:hAnsi="Arial" w:cs="Arial"/>
                <w:b/>
                <w:sz w:val="24"/>
                <w:szCs w:val="24"/>
                <w:lang w:val="en-GB"/>
              </w:rPr>
              <w:t>1%;</w:t>
            </w:r>
            <w:r w:rsidRPr="00A10501">
              <w:rPr>
                <w:rFonts w:ascii="Arial" w:hAnsi="Arial" w:cs="Arial"/>
                <w:sz w:val="24"/>
                <w:szCs w:val="24"/>
                <w:lang w:val="en-GB"/>
              </w:rPr>
              <w:t xml:space="preserve"> </w:t>
            </w:r>
          </w:p>
          <w:p w14:paraId="6B2B6D3C"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(d) 2024: </w:t>
            </w:r>
            <w:r w:rsidRPr="00A10501">
              <w:rPr>
                <w:rFonts w:ascii="Arial" w:hAnsi="Arial" w:cs="Arial"/>
                <w:b/>
                <w:i/>
                <w:strike/>
                <w:sz w:val="24"/>
                <w:szCs w:val="24"/>
                <w:lang w:val="en-GB"/>
              </w:rPr>
              <w:t>0.5</w:t>
            </w:r>
            <w:r w:rsidRPr="00A10501">
              <w:rPr>
                <w:rFonts w:ascii="Arial" w:hAnsi="Arial" w:cs="Arial"/>
                <w:sz w:val="24"/>
                <w:szCs w:val="24"/>
                <w:lang w:val="en-GB"/>
              </w:rPr>
              <w:t xml:space="preserve"> </w:t>
            </w:r>
            <w:r w:rsidRPr="00A10501">
              <w:rPr>
                <w:rFonts w:ascii="Arial" w:hAnsi="Arial" w:cs="Arial"/>
                <w:b/>
                <w:sz w:val="24"/>
                <w:szCs w:val="24"/>
                <w:lang w:val="en-GB"/>
              </w:rPr>
              <w:t xml:space="preserve">1%; </w:t>
            </w:r>
          </w:p>
          <w:p w14:paraId="7C0A99B1"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(e) 2025: </w:t>
            </w:r>
            <w:r w:rsidRPr="00A10501">
              <w:rPr>
                <w:rFonts w:ascii="Arial" w:hAnsi="Arial" w:cs="Arial"/>
                <w:b/>
                <w:i/>
                <w:strike/>
                <w:sz w:val="24"/>
                <w:szCs w:val="24"/>
                <w:lang w:val="en-GB"/>
              </w:rPr>
              <w:t>0.5</w:t>
            </w:r>
            <w:r w:rsidRPr="00A10501">
              <w:rPr>
                <w:rFonts w:ascii="Arial" w:hAnsi="Arial" w:cs="Arial"/>
                <w:sz w:val="24"/>
                <w:szCs w:val="24"/>
                <w:lang w:val="en-GB"/>
              </w:rPr>
              <w:t xml:space="preserve"> </w:t>
            </w:r>
            <w:r w:rsidRPr="00A10501">
              <w:rPr>
                <w:rFonts w:ascii="Arial" w:hAnsi="Arial" w:cs="Arial"/>
                <w:b/>
                <w:sz w:val="24"/>
                <w:szCs w:val="24"/>
                <w:lang w:val="en-GB"/>
              </w:rPr>
              <w:t>1%;</w:t>
            </w:r>
            <w:r w:rsidRPr="00A10501">
              <w:rPr>
                <w:rFonts w:ascii="Arial" w:hAnsi="Arial" w:cs="Arial"/>
                <w:sz w:val="24"/>
                <w:szCs w:val="24"/>
                <w:lang w:val="en-GB"/>
              </w:rPr>
              <w:t xml:space="preserve"> </w:t>
            </w:r>
          </w:p>
          <w:p w14:paraId="3DB72817"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(f) 2026: </w:t>
            </w:r>
            <w:r w:rsidRPr="00A10501">
              <w:rPr>
                <w:rFonts w:ascii="Arial" w:hAnsi="Arial" w:cs="Arial"/>
                <w:b/>
                <w:i/>
                <w:strike/>
                <w:sz w:val="24"/>
                <w:szCs w:val="24"/>
                <w:lang w:val="en-GB"/>
              </w:rPr>
              <w:t>0.5</w:t>
            </w:r>
            <w:r w:rsidRPr="00A10501">
              <w:rPr>
                <w:rFonts w:ascii="Arial" w:hAnsi="Arial" w:cs="Arial"/>
                <w:sz w:val="24"/>
                <w:szCs w:val="24"/>
                <w:lang w:val="en-GB"/>
              </w:rPr>
              <w:t xml:space="preserve"> </w:t>
            </w:r>
            <w:r w:rsidRPr="00A10501">
              <w:rPr>
                <w:rFonts w:ascii="Arial" w:hAnsi="Arial" w:cs="Arial"/>
                <w:b/>
                <w:sz w:val="24"/>
                <w:szCs w:val="24"/>
                <w:lang w:val="en-GB"/>
              </w:rPr>
              <w:t>1%</w:t>
            </w:r>
            <w:r w:rsidRPr="00A10501">
              <w:rPr>
                <w:rFonts w:ascii="Arial" w:hAnsi="Arial" w:cs="Arial"/>
                <w:sz w:val="24"/>
                <w:szCs w:val="24"/>
                <w:lang w:val="en-GB"/>
              </w:rPr>
              <w:t xml:space="preserve"> </w:t>
            </w:r>
          </w:p>
          <w:p w14:paraId="3689DFE2"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Where a programme is adopted after 1 July 2021, the earlier instalments shall be paid in the year of adoption. </w:t>
            </w:r>
          </w:p>
          <w:p w14:paraId="625EBFA9" w14:textId="77777777" w:rsidR="005958B9" w:rsidRPr="00A10501" w:rsidRDefault="005958B9" w:rsidP="00DE37E9">
            <w:pPr>
              <w:jc w:val="both"/>
              <w:rPr>
                <w:rFonts w:ascii="Arial" w:hAnsi="Arial" w:cs="Arial"/>
                <w:sz w:val="24"/>
                <w:szCs w:val="24"/>
                <w:lang w:val="en-GB"/>
              </w:rPr>
            </w:pPr>
            <w:r w:rsidRPr="00A10501">
              <w:rPr>
                <w:rFonts w:ascii="Arial" w:hAnsi="Arial" w:cs="Arial"/>
                <w:sz w:val="24"/>
                <w:szCs w:val="24"/>
                <w:lang w:val="en-GB"/>
              </w:rPr>
              <w:t xml:space="preserve">3. By way of derogation from paragraph 2, for Interreg programmes, specific rules on pre-financing shall be set out in the ETC Regulation. </w:t>
            </w:r>
          </w:p>
          <w:p w14:paraId="67EB9913" w14:textId="77777777" w:rsidR="005958B9" w:rsidRPr="00A10501" w:rsidRDefault="005958B9" w:rsidP="00DE37E9">
            <w:pPr>
              <w:pStyle w:val="Default"/>
              <w:rPr>
                <w:rFonts w:ascii="Arial" w:hAnsi="Arial" w:cs="Arial"/>
                <w:lang w:val="en-GB"/>
              </w:rPr>
            </w:pPr>
            <w:r w:rsidRPr="00A10501">
              <w:rPr>
                <w:rFonts w:ascii="Arial" w:hAnsi="Arial" w:cs="Arial"/>
                <w:lang w:val="en-GB"/>
              </w:rPr>
              <w:t>4. The amount paid as pre-financing shall be cleared from the Commission accounts no later than with the final accounting year.</w:t>
            </w:r>
          </w:p>
        </w:tc>
      </w:tr>
    </w:tbl>
    <w:p w14:paraId="531706AF" w14:textId="3CB3BA87" w:rsidR="005958B9" w:rsidRPr="00A10501" w:rsidRDefault="005958B9" w:rsidP="00FE77C6">
      <w:pPr>
        <w:ind w:left="360"/>
        <w:rPr>
          <w:rFonts w:ascii="Arial" w:hAnsi="Arial" w:cs="Arial"/>
          <w:b/>
          <w:bCs/>
          <w:i/>
          <w:iCs/>
          <w:sz w:val="24"/>
          <w:szCs w:val="24"/>
          <w:lang w:val="en-GB"/>
        </w:rPr>
      </w:pPr>
    </w:p>
    <w:p w14:paraId="3A2C6704" w14:textId="77777777" w:rsidR="00462B30" w:rsidRPr="00A10501" w:rsidRDefault="00462B30" w:rsidP="00462B30">
      <w:pPr>
        <w:rPr>
          <w:rFonts w:ascii="Arial" w:hAnsi="Arial" w:cs="Arial"/>
          <w:b/>
          <w:bCs/>
          <w:color w:val="075D8C"/>
          <w:sz w:val="28"/>
          <w:szCs w:val="28"/>
          <w:bdr w:val="none" w:sz="0" w:space="0" w:color="auto" w:frame="1"/>
          <w:shd w:val="clear" w:color="auto" w:fill="FFFFFF"/>
          <w:lang w:val="en-GB" w:eastAsia="fr-BE"/>
        </w:rPr>
      </w:pPr>
    </w:p>
    <w:p w14:paraId="450E29B5" w14:textId="6CD4C8E8" w:rsidR="00462B30" w:rsidRPr="00A10501" w:rsidRDefault="00462B30" w:rsidP="00462B30">
      <w:pPr>
        <w:rPr>
          <w:rFonts w:ascii="Arial" w:hAnsi="Arial" w:cs="Arial"/>
          <w:sz w:val="28"/>
          <w:szCs w:val="28"/>
          <w:lang w:val="en-GB" w:eastAsia="fr-BE"/>
        </w:rPr>
      </w:pPr>
      <w:r w:rsidRPr="00A10501">
        <w:rPr>
          <w:rFonts w:ascii="Arial" w:hAnsi="Arial" w:cs="Arial"/>
          <w:b/>
          <w:bCs/>
          <w:color w:val="075D8C"/>
          <w:sz w:val="28"/>
          <w:szCs w:val="28"/>
          <w:bdr w:val="none" w:sz="0" w:space="0" w:color="auto" w:frame="1"/>
          <w:shd w:val="clear" w:color="auto" w:fill="FFFFFF"/>
          <w:lang w:val="en-GB" w:eastAsia="fr-BE"/>
        </w:rPr>
        <w:t>Contact:</w:t>
      </w:r>
      <w:r w:rsidRPr="00A10501">
        <w:rPr>
          <w:rFonts w:ascii="Arial" w:hAnsi="Arial" w:cs="Arial"/>
          <w:sz w:val="28"/>
          <w:szCs w:val="28"/>
          <w:lang w:val="en-GB" w:eastAsia="fr-BE"/>
        </w:rPr>
        <w:t xml:space="preserve"> </w:t>
      </w:r>
      <w:r w:rsidRPr="00A10501">
        <w:rPr>
          <w:rFonts w:ascii="Arial" w:hAnsi="Arial" w:cs="Arial"/>
          <w:color w:val="000000"/>
          <w:sz w:val="28"/>
          <w:szCs w:val="28"/>
          <w:lang w:val="en-GB" w:eastAsia="fr-BE"/>
        </w:rPr>
        <w:t>Haydn Hammersley</w:t>
      </w:r>
      <w:r w:rsidRPr="00A10501">
        <w:rPr>
          <w:rFonts w:ascii="Arial" w:hAnsi="Arial" w:cs="Arial"/>
          <w:sz w:val="28"/>
          <w:szCs w:val="28"/>
          <w:lang w:val="en-GB" w:eastAsia="fr-BE"/>
        </w:rPr>
        <w:t xml:space="preserve"> - </w:t>
      </w:r>
      <w:r w:rsidRPr="00A10501">
        <w:rPr>
          <w:rFonts w:ascii="Arial" w:hAnsi="Arial" w:cs="Arial"/>
          <w:color w:val="000000"/>
          <w:sz w:val="28"/>
          <w:szCs w:val="28"/>
          <w:lang w:val="en-GB" w:eastAsia="fr-BE"/>
        </w:rPr>
        <w:t>EDF Social Policy Officer</w:t>
      </w:r>
      <w:r w:rsidRPr="00A10501">
        <w:rPr>
          <w:rFonts w:ascii="Arial" w:hAnsi="Arial" w:cs="Arial"/>
          <w:sz w:val="28"/>
          <w:szCs w:val="28"/>
          <w:lang w:val="en-GB" w:eastAsia="fr-BE"/>
        </w:rPr>
        <w:t xml:space="preserve"> - </w:t>
      </w:r>
      <w:hyperlink r:id="rId10" w:history="1">
        <w:r w:rsidRPr="00A10501">
          <w:rPr>
            <w:rFonts w:ascii="Arial" w:hAnsi="Arial" w:cs="Arial"/>
            <w:color w:val="075D8C"/>
            <w:sz w:val="28"/>
            <w:szCs w:val="28"/>
            <w:u w:val="single"/>
            <w:bdr w:val="none" w:sz="0" w:space="0" w:color="auto" w:frame="1"/>
            <w:lang w:val="en-GB" w:eastAsia="fr-BE"/>
          </w:rPr>
          <w:t>haydn.hammersley@edf-feph.org</w:t>
        </w:r>
      </w:hyperlink>
    </w:p>
    <w:p w14:paraId="4B62E64F" w14:textId="77777777" w:rsidR="00462B30" w:rsidRPr="00A10501" w:rsidRDefault="00462B30" w:rsidP="00462B30">
      <w:pPr>
        <w:pStyle w:val="ListParagraph"/>
        <w:ind w:left="284"/>
        <w:rPr>
          <w:rFonts w:ascii="Arial" w:hAnsi="Arial" w:cs="Arial"/>
          <w:sz w:val="28"/>
          <w:szCs w:val="28"/>
          <w:lang w:val="en-GB"/>
        </w:rPr>
      </w:pPr>
    </w:p>
    <w:p w14:paraId="2C2A5192" w14:textId="539975B1" w:rsidR="00462B30" w:rsidRPr="00A10501" w:rsidRDefault="00462B30" w:rsidP="00462B30">
      <w:pPr>
        <w:pStyle w:val="ListParagraph"/>
        <w:ind w:left="284"/>
        <w:rPr>
          <w:rFonts w:ascii="Arial" w:hAnsi="Arial" w:cs="Arial"/>
          <w:sz w:val="28"/>
          <w:szCs w:val="28"/>
          <w:lang w:val="en-GB"/>
        </w:rPr>
      </w:pPr>
      <w:r w:rsidRPr="00A10501">
        <w:rPr>
          <w:noProof/>
          <w:lang w:val="en-GB"/>
        </w:rPr>
        <w:lastRenderedPageBreak/>
        <w:drawing>
          <wp:anchor distT="0" distB="0" distL="114300" distR="114300" simplePos="0" relativeHeight="251663360" behindDoc="0" locked="0" layoutInCell="1" allowOverlap="1" wp14:anchorId="7D9A2948" wp14:editId="5A9CFCC2">
            <wp:simplePos x="0" y="0"/>
            <wp:positionH relativeFrom="column">
              <wp:posOffset>1696720</wp:posOffset>
            </wp:positionH>
            <wp:positionV relativeFrom="paragraph">
              <wp:posOffset>55880</wp:posOffset>
            </wp:positionV>
            <wp:extent cx="1783715" cy="156654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715"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501">
        <w:rPr>
          <w:noProof/>
          <w:lang w:val="en-GB"/>
        </w:rPr>
        <mc:AlternateContent>
          <mc:Choice Requires="wps">
            <w:drawing>
              <wp:anchor distT="45720" distB="45720" distL="114300" distR="114300" simplePos="0" relativeHeight="251664384" behindDoc="0" locked="0" layoutInCell="1" allowOverlap="1" wp14:anchorId="1E2E9E0D" wp14:editId="54A184EB">
                <wp:simplePos x="0" y="0"/>
                <wp:positionH relativeFrom="column">
                  <wp:posOffset>777240</wp:posOffset>
                </wp:positionH>
                <wp:positionV relativeFrom="paragraph">
                  <wp:posOffset>1992630</wp:posOffset>
                </wp:positionV>
                <wp:extent cx="3705860" cy="708660"/>
                <wp:effectExtent l="635"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60"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22BF7" w14:textId="77777777" w:rsidR="00462B30" w:rsidRPr="00462B30" w:rsidRDefault="00462B30" w:rsidP="00462B30">
                            <w:pPr>
                              <w:jc w:val="center"/>
                              <w:rPr>
                                <w:rFonts w:ascii="Arial" w:hAnsi="Arial" w:cs="Arial"/>
                                <w:lang w:val="en-GB"/>
                              </w:rPr>
                            </w:pPr>
                            <w:r w:rsidRPr="00462B30">
                              <w:rPr>
                                <w:rFonts w:ascii="Arial" w:hAnsi="Arial" w:cs="Arial"/>
                                <w:lang w:val="en-GB"/>
                              </w:rPr>
                              <w:t>This position paper does not necessarily reflect the opinion of the European Commission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E9E0D" id="Text Box 4" o:spid="_x0000_s1028" type="#_x0000_t202" style="position:absolute;left:0;text-align:left;margin-left:61.2pt;margin-top:156.9pt;width:291.8pt;height:55.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" stroked="f">
                <v:textbox>
                  <w:txbxContent>
                    <w:p w14:paraId="7D722BF7" w14:textId="77777777" w:rsidR="00462B30" w:rsidRPr="00462B30" w:rsidRDefault="00462B30" w:rsidP="00462B30">
                      <w:pPr>
                        <w:jc w:val="center"/>
                        <w:rPr>
                          <w:rFonts w:ascii="Arial" w:hAnsi="Arial" w:cs="Arial"/>
                          <w:lang w:val="en-GB"/>
                        </w:rPr>
                      </w:pPr>
                      <w:r w:rsidRPr="00462B30">
                        <w:rPr>
                          <w:rFonts w:ascii="Arial" w:hAnsi="Arial" w:cs="Arial"/>
                          <w:lang w:val="en-GB"/>
                        </w:rPr>
                        <w:t>This position paper does not necessarily reflect the opinion of the European Commission</w:t>
                      </w:r>
                    </w:p>
                  </w:txbxContent>
                </v:textbox>
                <w10:wrap type="square"/>
              </v:shape>
            </w:pict>
          </mc:Fallback>
        </mc:AlternateContent>
      </w:r>
    </w:p>
    <w:p w14:paraId="5607A036" w14:textId="77777777" w:rsidR="00462B30" w:rsidRPr="00A10501" w:rsidRDefault="00462B30" w:rsidP="00FE77C6">
      <w:pPr>
        <w:ind w:left="360"/>
        <w:rPr>
          <w:rFonts w:ascii="Arial" w:hAnsi="Arial" w:cs="Arial"/>
          <w:b/>
          <w:bCs/>
          <w:i/>
          <w:iCs/>
          <w:sz w:val="24"/>
          <w:szCs w:val="24"/>
          <w:lang w:val="en-GB"/>
        </w:rPr>
      </w:pPr>
    </w:p>
    <w:sectPr w:rsidR="00462B30" w:rsidRPr="00A105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5D205" w14:textId="77777777" w:rsidR="00462B30" w:rsidRDefault="00462B30" w:rsidP="00462B30">
      <w:pPr>
        <w:spacing w:after="0" w:line="240" w:lineRule="auto"/>
      </w:pPr>
      <w:r>
        <w:separator/>
      </w:r>
    </w:p>
  </w:endnote>
  <w:endnote w:type="continuationSeparator" w:id="0">
    <w:p w14:paraId="0C802A8D" w14:textId="77777777" w:rsidR="00462B30" w:rsidRDefault="00462B30" w:rsidP="0046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1459718"/>
      <w:docPartObj>
        <w:docPartGallery w:val="Page Numbers (Bottom of Page)"/>
        <w:docPartUnique/>
      </w:docPartObj>
    </w:sdtPr>
    <w:sdtEndPr>
      <w:rPr>
        <w:noProof/>
      </w:rPr>
    </w:sdtEndPr>
    <w:sdtContent>
      <w:p w14:paraId="1EA20056" w14:textId="667127F2" w:rsidR="00462B30" w:rsidRDefault="00462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9B6367" w14:textId="77777777" w:rsidR="00462B30" w:rsidRDefault="0046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F70BA" w14:textId="77777777" w:rsidR="00462B30" w:rsidRDefault="00462B30" w:rsidP="00462B30">
      <w:pPr>
        <w:spacing w:after="0" w:line="240" w:lineRule="auto"/>
      </w:pPr>
      <w:r>
        <w:separator/>
      </w:r>
    </w:p>
  </w:footnote>
  <w:footnote w:type="continuationSeparator" w:id="0">
    <w:p w14:paraId="2D991FA6" w14:textId="77777777" w:rsidR="00462B30" w:rsidRDefault="00462B30" w:rsidP="00462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C3308"/>
    <w:multiLevelType w:val="hybridMultilevel"/>
    <w:tmpl w:val="703E79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8C63419"/>
    <w:multiLevelType w:val="hybridMultilevel"/>
    <w:tmpl w:val="703E79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89535F3"/>
    <w:multiLevelType w:val="hybridMultilevel"/>
    <w:tmpl w:val="703E79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CB176D8"/>
    <w:multiLevelType w:val="hybridMultilevel"/>
    <w:tmpl w:val="D752F53A"/>
    <w:lvl w:ilvl="0" w:tplc="5EFE9BA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3B"/>
    <w:rsid w:val="000277E7"/>
    <w:rsid w:val="000B1E6E"/>
    <w:rsid w:val="000E5380"/>
    <w:rsid w:val="00165A60"/>
    <w:rsid w:val="001B5FE3"/>
    <w:rsid w:val="00215983"/>
    <w:rsid w:val="00220EC5"/>
    <w:rsid w:val="00270741"/>
    <w:rsid w:val="002C1E89"/>
    <w:rsid w:val="00331297"/>
    <w:rsid w:val="003779D0"/>
    <w:rsid w:val="00410B61"/>
    <w:rsid w:val="00422C5E"/>
    <w:rsid w:val="00462B30"/>
    <w:rsid w:val="004B072B"/>
    <w:rsid w:val="005958B9"/>
    <w:rsid w:val="005D5FA8"/>
    <w:rsid w:val="00657ECD"/>
    <w:rsid w:val="007201E2"/>
    <w:rsid w:val="0077418C"/>
    <w:rsid w:val="00775F0E"/>
    <w:rsid w:val="00797FA6"/>
    <w:rsid w:val="007D7D11"/>
    <w:rsid w:val="00861BB0"/>
    <w:rsid w:val="008D2B44"/>
    <w:rsid w:val="00904C5B"/>
    <w:rsid w:val="00934F0B"/>
    <w:rsid w:val="009423E2"/>
    <w:rsid w:val="009D4BD1"/>
    <w:rsid w:val="00A10501"/>
    <w:rsid w:val="00AA3F85"/>
    <w:rsid w:val="00AB31A7"/>
    <w:rsid w:val="00AB670C"/>
    <w:rsid w:val="00AD28B4"/>
    <w:rsid w:val="00B0453B"/>
    <w:rsid w:val="00B31BA2"/>
    <w:rsid w:val="00B922C4"/>
    <w:rsid w:val="00BD31E1"/>
    <w:rsid w:val="00C51FE1"/>
    <w:rsid w:val="00C91B12"/>
    <w:rsid w:val="00CA673A"/>
    <w:rsid w:val="00CB2088"/>
    <w:rsid w:val="00CC6062"/>
    <w:rsid w:val="00CF67F4"/>
    <w:rsid w:val="00D90988"/>
    <w:rsid w:val="00E04D42"/>
    <w:rsid w:val="00E41615"/>
    <w:rsid w:val="00E42089"/>
    <w:rsid w:val="00E736DF"/>
    <w:rsid w:val="00EC561E"/>
    <w:rsid w:val="00ED4F8A"/>
    <w:rsid w:val="00F97054"/>
    <w:rsid w:val="00FE10A9"/>
    <w:rsid w:val="00FE7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C0E0"/>
  <w15:chartTrackingRefBased/>
  <w15:docId w15:val="{DEB3B77D-AEC1-4B6F-AC82-8186ECE9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F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1B5FE3"/>
    <w:pPr>
      <w:keepNext/>
      <w:keepLines/>
      <w:spacing w:before="200" w:after="0" w:line="240" w:lineRule="auto"/>
      <w:outlineLvl w:val="1"/>
    </w:pPr>
    <w:rPr>
      <w:rFonts w:ascii="Arial" w:eastAsiaTheme="majorEastAsia" w:hAnsi="Arial" w:cs="Arial"/>
      <w:b/>
      <w:bCs/>
      <w:color w:val="0A77B3"/>
      <w:sz w:val="28"/>
      <w:szCs w:val="28"/>
      <w:lang w:val="en-GB"/>
    </w:rPr>
  </w:style>
  <w:style w:type="paragraph" w:styleId="Heading3">
    <w:name w:val="heading 3"/>
    <w:basedOn w:val="Normal"/>
    <w:next w:val="Normal"/>
    <w:link w:val="Heading3Char"/>
    <w:uiPriority w:val="9"/>
    <w:unhideWhenUsed/>
    <w:qFormat/>
    <w:rsid w:val="002707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8B4"/>
    <w:rPr>
      <w:rFonts w:ascii="Segoe UI" w:hAnsi="Segoe UI" w:cs="Segoe UI"/>
      <w:sz w:val="18"/>
      <w:szCs w:val="18"/>
    </w:rPr>
  </w:style>
  <w:style w:type="character" w:customStyle="1" w:styleId="Heading2Char">
    <w:name w:val="Heading 2 Char"/>
    <w:basedOn w:val="DefaultParagraphFont"/>
    <w:link w:val="Heading2"/>
    <w:uiPriority w:val="9"/>
    <w:rsid w:val="001B5FE3"/>
    <w:rPr>
      <w:rFonts w:ascii="Arial" w:eastAsiaTheme="majorEastAsia" w:hAnsi="Arial" w:cs="Arial"/>
      <w:b/>
      <w:bCs/>
      <w:color w:val="0A77B3"/>
      <w:sz w:val="28"/>
      <w:szCs w:val="28"/>
      <w:lang w:val="en-GB"/>
    </w:rPr>
  </w:style>
  <w:style w:type="paragraph" w:styleId="ListParagraph">
    <w:name w:val="List Paragraph"/>
    <w:basedOn w:val="Normal"/>
    <w:uiPriority w:val="34"/>
    <w:qFormat/>
    <w:rsid w:val="00410B61"/>
    <w:pPr>
      <w:ind w:left="720"/>
      <w:contextualSpacing/>
    </w:pPr>
  </w:style>
  <w:style w:type="paragraph" w:styleId="Footer">
    <w:name w:val="footer"/>
    <w:basedOn w:val="Normal"/>
    <w:link w:val="FooterChar"/>
    <w:uiPriority w:val="99"/>
    <w:unhideWhenUsed/>
    <w:rsid w:val="005958B9"/>
    <w:pPr>
      <w:tabs>
        <w:tab w:val="center" w:pos="4536"/>
        <w:tab w:val="right" w:pos="9072"/>
      </w:tabs>
      <w:spacing w:after="0" w:line="240" w:lineRule="auto"/>
    </w:pPr>
    <w:rPr>
      <w:rFonts w:ascii="Arial" w:eastAsia="Times New Roman" w:hAnsi="Arial" w:cs="Times New Roman"/>
      <w:sz w:val="24"/>
      <w:szCs w:val="24"/>
      <w:lang w:val="en-GB"/>
    </w:rPr>
  </w:style>
  <w:style w:type="character" w:customStyle="1" w:styleId="FooterChar">
    <w:name w:val="Footer Char"/>
    <w:basedOn w:val="DefaultParagraphFont"/>
    <w:link w:val="Footer"/>
    <w:uiPriority w:val="99"/>
    <w:rsid w:val="005958B9"/>
    <w:rPr>
      <w:rFonts w:ascii="Arial" w:eastAsia="Times New Roman" w:hAnsi="Arial" w:cs="Times New Roman"/>
      <w:sz w:val="24"/>
      <w:szCs w:val="24"/>
      <w:lang w:val="en-GB"/>
    </w:rPr>
  </w:style>
  <w:style w:type="table" w:styleId="TableGrid">
    <w:name w:val="Table Grid"/>
    <w:basedOn w:val="TableNormal"/>
    <w:uiPriority w:val="59"/>
    <w:rsid w:val="005958B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58B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775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7074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62B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2B30"/>
  </w:style>
  <w:style w:type="paragraph" w:styleId="TOCHeading">
    <w:name w:val="TOC Heading"/>
    <w:basedOn w:val="Heading1"/>
    <w:next w:val="Normal"/>
    <w:uiPriority w:val="39"/>
    <w:unhideWhenUsed/>
    <w:qFormat/>
    <w:rsid w:val="00462B30"/>
    <w:pPr>
      <w:outlineLvl w:val="9"/>
    </w:pPr>
    <w:rPr>
      <w:lang w:val="en-US"/>
    </w:rPr>
  </w:style>
  <w:style w:type="paragraph" w:styleId="TOC1">
    <w:name w:val="toc 1"/>
    <w:basedOn w:val="Normal"/>
    <w:next w:val="Normal"/>
    <w:autoRedefine/>
    <w:uiPriority w:val="39"/>
    <w:unhideWhenUsed/>
    <w:rsid w:val="00462B30"/>
    <w:pPr>
      <w:spacing w:after="100"/>
    </w:pPr>
  </w:style>
  <w:style w:type="paragraph" w:styleId="TOC2">
    <w:name w:val="toc 2"/>
    <w:basedOn w:val="Normal"/>
    <w:next w:val="Normal"/>
    <w:autoRedefine/>
    <w:uiPriority w:val="39"/>
    <w:unhideWhenUsed/>
    <w:rsid w:val="00462B30"/>
    <w:pPr>
      <w:spacing w:after="100"/>
      <w:ind w:left="220"/>
    </w:pPr>
  </w:style>
  <w:style w:type="paragraph" w:styleId="TOC3">
    <w:name w:val="toc 3"/>
    <w:basedOn w:val="Normal"/>
    <w:next w:val="Normal"/>
    <w:autoRedefine/>
    <w:uiPriority w:val="39"/>
    <w:unhideWhenUsed/>
    <w:rsid w:val="00462B30"/>
    <w:pPr>
      <w:spacing w:after="100"/>
      <w:ind w:left="440"/>
    </w:pPr>
  </w:style>
  <w:style w:type="character" w:styleId="Hyperlink">
    <w:name w:val="Hyperlink"/>
    <w:basedOn w:val="DefaultParagraphFont"/>
    <w:uiPriority w:val="99"/>
    <w:unhideWhenUsed/>
    <w:rsid w:val="00462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73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haydn.hammersley@edf-feph.or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80BE3-D6C1-4948-9A45-4E78A7A0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12</Pages>
  <Words>3713</Words>
  <Characters>20425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Haydn hammersley</cp:lastModifiedBy>
  <cp:revision>12</cp:revision>
  <dcterms:created xsi:type="dcterms:W3CDTF">2021-01-04T11:17:00Z</dcterms:created>
  <dcterms:modified xsi:type="dcterms:W3CDTF">2021-01-14T17:02:00Z</dcterms:modified>
</cp:coreProperties>
</file>