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29291" w14:textId="77777777" w:rsidR="0045623B" w:rsidRDefault="0045623B" w:rsidP="007C5AD4">
      <w:pPr>
        <w:jc w:val="center"/>
        <w:rPr>
          <w:b/>
          <w:bCs/>
          <w:u w:val="single"/>
        </w:rPr>
      </w:pPr>
    </w:p>
    <w:p w14:paraId="7ED2B4B6" w14:textId="3119B287" w:rsidR="00E92E58" w:rsidRPr="00E92E58" w:rsidRDefault="00E92E58" w:rsidP="00E92E58">
      <w:pPr>
        <w:pStyle w:val="Heading1"/>
        <w:jc w:val="right"/>
        <w:rPr>
          <w:rFonts w:cs="Arial"/>
          <w:smallCaps/>
          <w:color w:val="auto"/>
          <w:spacing w:val="5"/>
          <w:sz w:val="24"/>
          <w:szCs w:val="24"/>
          <w:lang w:val="en-US"/>
        </w:rPr>
      </w:pPr>
      <w:r w:rsidRPr="009B0AC2">
        <w:rPr>
          <w:rFonts w:cs="Arial"/>
          <w:smallCaps/>
          <w:color w:val="auto"/>
          <w:spacing w:val="5"/>
          <w:sz w:val="24"/>
          <w:szCs w:val="24"/>
          <w:lang w:val="en-US"/>
        </w:rPr>
        <w:t>DOC-BOARD-21-03-</w:t>
      </w:r>
      <w:r>
        <w:rPr>
          <w:rFonts w:cs="Arial"/>
          <w:smallCaps/>
          <w:color w:val="auto"/>
          <w:spacing w:val="5"/>
          <w:sz w:val="24"/>
          <w:szCs w:val="24"/>
          <w:lang w:val="en-US"/>
        </w:rPr>
        <w:t>13</w:t>
      </w:r>
    </w:p>
    <w:p w14:paraId="415EFC77" w14:textId="044C512C" w:rsidR="00627E86" w:rsidRPr="001939AC" w:rsidRDefault="00627E86" w:rsidP="00627E86">
      <w:pPr>
        <w:pStyle w:val="Heading1"/>
        <w:jc w:val="center"/>
        <w:rPr>
          <w:lang w:val="en-US"/>
        </w:rPr>
      </w:pPr>
      <w:r w:rsidRPr="009B0AC2">
        <w:rPr>
          <w:lang w:val="en-US"/>
        </w:rPr>
        <w:t xml:space="preserve">General </w:t>
      </w:r>
      <w:r>
        <w:rPr>
          <w:lang w:val="en-US"/>
        </w:rPr>
        <w:t xml:space="preserve">Social Policy </w:t>
      </w:r>
      <w:r w:rsidRPr="009B0AC2">
        <w:rPr>
          <w:lang w:val="en-US"/>
        </w:rPr>
        <w:t>update</w:t>
      </w:r>
    </w:p>
    <w:p w14:paraId="74083E83" w14:textId="77777777" w:rsidR="00627E86" w:rsidRPr="00C07E6B" w:rsidRDefault="00627E86" w:rsidP="00627E86">
      <w:pPr>
        <w:pStyle w:val="IntenseQuote"/>
        <w:tabs>
          <w:tab w:val="left" w:pos="7230"/>
          <w:tab w:val="left" w:pos="7371"/>
        </w:tabs>
        <w:ind w:left="0" w:right="0" w:firstLine="1010"/>
        <w:rPr>
          <w:rFonts w:cs="Arial"/>
          <w:b/>
          <w:bCs/>
          <w:i w:val="0"/>
          <w:szCs w:val="24"/>
        </w:rPr>
      </w:pPr>
      <w:r>
        <w:rPr>
          <w:rStyle w:val="Strong"/>
          <w:rFonts w:cs="Arial"/>
          <w:i w:val="0"/>
          <w:szCs w:val="24"/>
        </w:rPr>
        <w:t xml:space="preserve">                              </w:t>
      </w:r>
      <w:r w:rsidRPr="006D6A16">
        <w:rPr>
          <w:rStyle w:val="Strong"/>
          <w:rFonts w:cs="Arial"/>
          <w:i w:val="0"/>
          <w:szCs w:val="24"/>
        </w:rPr>
        <w:t>Document for</w:t>
      </w:r>
      <w:r>
        <w:rPr>
          <w:rStyle w:val="Strong"/>
          <w:rFonts w:cs="Arial"/>
          <w:i w:val="0"/>
          <w:szCs w:val="24"/>
        </w:rPr>
        <w:t xml:space="preserve"> information </w:t>
      </w:r>
    </w:p>
    <w:p w14:paraId="7B532D42" w14:textId="77777777" w:rsidR="00627E86" w:rsidRPr="00E92E58" w:rsidRDefault="00627E86" w:rsidP="00627E86">
      <w:pPr>
        <w:pStyle w:val="Heading2"/>
        <w:spacing w:after="240"/>
        <w:rPr>
          <w:rFonts w:ascii="Arial" w:hAnsi="Arial" w:cs="Arial"/>
          <w:b/>
          <w:bCs/>
          <w:sz w:val="24"/>
          <w:szCs w:val="24"/>
          <w:lang w:val="en-US"/>
        </w:rPr>
      </w:pPr>
      <w:r w:rsidRPr="00E92E58">
        <w:rPr>
          <w:rFonts w:ascii="Arial" w:hAnsi="Arial" w:cs="Arial"/>
          <w:b/>
          <w:bCs/>
          <w:sz w:val="24"/>
          <w:szCs w:val="24"/>
          <w:lang w:val="en-US"/>
        </w:rPr>
        <w:t>Purpose of this item</w:t>
      </w:r>
    </w:p>
    <w:p w14:paraId="40FC3EFA" w14:textId="24BFEE80" w:rsidR="00627E86" w:rsidRPr="00E92E58" w:rsidRDefault="00627E86" w:rsidP="002A578D">
      <w:pPr>
        <w:spacing w:line="360" w:lineRule="auto"/>
        <w:rPr>
          <w:rFonts w:ascii="Arial" w:hAnsi="Arial" w:cs="Arial"/>
          <w:sz w:val="24"/>
          <w:szCs w:val="24"/>
        </w:rPr>
      </w:pPr>
      <w:r w:rsidRPr="00E92E58">
        <w:rPr>
          <w:rFonts w:ascii="Arial" w:hAnsi="Arial" w:cs="Arial"/>
          <w:sz w:val="24"/>
          <w:szCs w:val="24"/>
        </w:rPr>
        <w:t xml:space="preserve">The purpose of this item is to present the topics discussed during the EDF </w:t>
      </w:r>
      <w:r w:rsidR="00E92E58" w:rsidRPr="00E92E58">
        <w:rPr>
          <w:rFonts w:ascii="Arial" w:hAnsi="Arial" w:cs="Arial"/>
          <w:sz w:val="24"/>
          <w:szCs w:val="24"/>
        </w:rPr>
        <w:t>Social Policy and Inclusion</w:t>
      </w:r>
      <w:r w:rsidRPr="00E92E58">
        <w:rPr>
          <w:rFonts w:ascii="Arial" w:hAnsi="Arial" w:cs="Arial"/>
          <w:sz w:val="24"/>
          <w:szCs w:val="24"/>
        </w:rPr>
        <w:t xml:space="preserve"> Committee meeting on the 3</w:t>
      </w:r>
      <w:r w:rsidRPr="00E92E58">
        <w:rPr>
          <w:rFonts w:ascii="Arial" w:hAnsi="Arial" w:cs="Arial"/>
          <w:sz w:val="24"/>
          <w:szCs w:val="24"/>
          <w:vertAlign w:val="superscript"/>
        </w:rPr>
        <w:t>rd</w:t>
      </w:r>
      <w:r w:rsidRPr="00E92E58">
        <w:rPr>
          <w:rFonts w:ascii="Arial" w:hAnsi="Arial" w:cs="Arial"/>
          <w:sz w:val="24"/>
          <w:szCs w:val="24"/>
        </w:rPr>
        <w:t xml:space="preserve"> of March.</w:t>
      </w:r>
    </w:p>
    <w:p w14:paraId="2E5528BB" w14:textId="39AE2863" w:rsidR="00E92E58" w:rsidRPr="002A578D" w:rsidRDefault="00627E86" w:rsidP="002A578D">
      <w:pPr>
        <w:spacing w:line="360" w:lineRule="auto"/>
        <w:rPr>
          <w:rFonts w:ascii="Arial" w:hAnsi="Arial" w:cs="Arial"/>
          <w:sz w:val="24"/>
          <w:szCs w:val="24"/>
        </w:rPr>
      </w:pPr>
      <w:r w:rsidRPr="00E92E58">
        <w:rPr>
          <w:rFonts w:ascii="Arial" w:hAnsi="Arial" w:cs="Arial"/>
          <w:sz w:val="24"/>
          <w:szCs w:val="24"/>
        </w:rPr>
        <w:t xml:space="preserve">The Committee document with updates on ongoing activities on human rights at EU and UN levels can be found in the </w:t>
      </w:r>
      <w:r w:rsidRPr="00E92E58">
        <w:rPr>
          <w:rFonts w:ascii="Arial" w:hAnsi="Arial" w:cs="Arial"/>
          <w:b/>
          <w:bCs/>
          <w:sz w:val="24"/>
          <w:szCs w:val="24"/>
        </w:rPr>
        <w:t>annex</w:t>
      </w:r>
      <w:r w:rsidRPr="00E92E58">
        <w:rPr>
          <w:rFonts w:ascii="Arial" w:hAnsi="Arial" w:cs="Arial"/>
          <w:sz w:val="24"/>
          <w:szCs w:val="24"/>
        </w:rPr>
        <w:t xml:space="preserve">. </w:t>
      </w:r>
    </w:p>
    <w:p w14:paraId="76FA593C" w14:textId="156F1B6F" w:rsidR="00627E86" w:rsidRPr="00BB0F18" w:rsidRDefault="00627E86" w:rsidP="00BB0F18">
      <w:pPr>
        <w:pStyle w:val="Heading2"/>
        <w:rPr>
          <w:rFonts w:ascii="Arial" w:hAnsi="Arial" w:cs="Arial"/>
          <w:b/>
          <w:bCs/>
          <w:sz w:val="24"/>
          <w:szCs w:val="24"/>
        </w:rPr>
      </w:pPr>
      <w:r w:rsidRPr="00BB0F18">
        <w:rPr>
          <w:rFonts w:ascii="Arial" w:hAnsi="Arial" w:cs="Arial"/>
          <w:b/>
          <w:bCs/>
          <w:sz w:val="24"/>
          <w:szCs w:val="24"/>
        </w:rPr>
        <w:t xml:space="preserve">Topics discussed by the </w:t>
      </w:r>
      <w:r w:rsidR="00E92E58" w:rsidRPr="00BB0F18">
        <w:rPr>
          <w:rFonts w:ascii="Arial" w:hAnsi="Arial" w:cs="Arial"/>
          <w:b/>
          <w:bCs/>
          <w:sz w:val="24"/>
          <w:szCs w:val="24"/>
        </w:rPr>
        <w:t>Social Policy and Inclusion</w:t>
      </w:r>
      <w:r w:rsidRPr="00BB0F18">
        <w:rPr>
          <w:rFonts w:ascii="Arial" w:hAnsi="Arial" w:cs="Arial"/>
          <w:b/>
          <w:bCs/>
          <w:sz w:val="24"/>
          <w:szCs w:val="24"/>
        </w:rPr>
        <w:t xml:space="preserve"> Committee </w:t>
      </w:r>
    </w:p>
    <w:p w14:paraId="4E6A1165" w14:textId="77777777" w:rsidR="00EC5FE8" w:rsidRPr="00EC5FE8" w:rsidRDefault="00EC5FE8" w:rsidP="00EC5FE8">
      <w:pPr>
        <w:spacing w:after="0"/>
        <w:rPr>
          <w:rFonts w:ascii="Arial" w:hAnsi="Arial" w:cs="Arial"/>
          <w:sz w:val="24"/>
          <w:szCs w:val="24"/>
        </w:rPr>
      </w:pPr>
    </w:p>
    <w:p w14:paraId="230BF667" w14:textId="139C2145" w:rsidR="00804A52" w:rsidRPr="004230B8" w:rsidRDefault="00804A52" w:rsidP="00E92E58">
      <w:pPr>
        <w:pStyle w:val="ListParagraph"/>
        <w:numPr>
          <w:ilvl w:val="0"/>
          <w:numId w:val="6"/>
        </w:numPr>
        <w:spacing w:after="0"/>
        <w:rPr>
          <w:rFonts w:ascii="Arial" w:hAnsi="Arial" w:cs="Arial"/>
          <w:sz w:val="24"/>
          <w:szCs w:val="24"/>
        </w:rPr>
      </w:pPr>
      <w:r w:rsidRPr="004230B8">
        <w:rPr>
          <w:rFonts w:ascii="Arial" w:hAnsi="Arial" w:cs="Arial"/>
          <w:sz w:val="24"/>
          <w:szCs w:val="24"/>
        </w:rPr>
        <w:t>Update on the Structural Investment Funds</w:t>
      </w:r>
      <w:r w:rsidR="00763324">
        <w:rPr>
          <w:rFonts w:ascii="Arial" w:hAnsi="Arial" w:cs="Arial"/>
          <w:sz w:val="24"/>
          <w:szCs w:val="24"/>
        </w:rPr>
        <w:t xml:space="preserve"> </w:t>
      </w:r>
      <w:r w:rsidR="00E92E58" w:rsidRPr="00E92E58">
        <w:rPr>
          <w:rFonts w:ascii="Arial" w:hAnsi="Arial" w:cs="Arial"/>
          <w:b/>
          <w:bCs/>
          <w:sz w:val="24"/>
          <w:szCs w:val="24"/>
        </w:rPr>
        <w:t xml:space="preserve">(see </w:t>
      </w:r>
      <w:r w:rsidR="00BB0F18">
        <w:rPr>
          <w:rFonts w:ascii="Arial" w:hAnsi="Arial" w:cs="Arial"/>
          <w:b/>
          <w:bCs/>
          <w:sz w:val="24"/>
          <w:szCs w:val="24"/>
        </w:rPr>
        <w:t>Annex</w:t>
      </w:r>
      <w:r w:rsidR="00E92E58" w:rsidRPr="00E92E58">
        <w:rPr>
          <w:rFonts w:ascii="Arial" w:hAnsi="Arial" w:cs="Arial"/>
          <w:b/>
          <w:bCs/>
          <w:sz w:val="24"/>
          <w:szCs w:val="24"/>
        </w:rPr>
        <w:t>)</w:t>
      </w:r>
    </w:p>
    <w:p w14:paraId="076C80BA" w14:textId="77777777" w:rsidR="00804A52" w:rsidRDefault="00804A52" w:rsidP="00804A52">
      <w:pPr>
        <w:spacing w:after="0"/>
        <w:rPr>
          <w:rFonts w:ascii="Arial" w:hAnsi="Arial" w:cs="Arial"/>
          <w:sz w:val="24"/>
          <w:szCs w:val="24"/>
        </w:rPr>
      </w:pPr>
    </w:p>
    <w:p w14:paraId="4664F358" w14:textId="7530FCBB" w:rsidR="00804A52" w:rsidRDefault="00804A52" w:rsidP="00E92E58">
      <w:pPr>
        <w:pStyle w:val="ListParagraph"/>
        <w:numPr>
          <w:ilvl w:val="0"/>
          <w:numId w:val="6"/>
        </w:numPr>
        <w:spacing w:after="0"/>
        <w:rPr>
          <w:rFonts w:ascii="Arial" w:hAnsi="Arial" w:cs="Arial"/>
          <w:sz w:val="24"/>
          <w:szCs w:val="24"/>
        </w:rPr>
      </w:pPr>
      <w:r w:rsidRPr="004230B8">
        <w:rPr>
          <w:rFonts w:ascii="Arial" w:hAnsi="Arial" w:cs="Arial"/>
          <w:sz w:val="24"/>
          <w:szCs w:val="24"/>
        </w:rPr>
        <w:t xml:space="preserve">Latest from the Recovery and Resilience Facility </w:t>
      </w:r>
      <w:r w:rsidR="00E92E58" w:rsidRPr="00E92E58">
        <w:rPr>
          <w:rFonts w:ascii="Arial" w:hAnsi="Arial" w:cs="Arial"/>
          <w:b/>
          <w:bCs/>
          <w:sz w:val="24"/>
          <w:szCs w:val="24"/>
        </w:rPr>
        <w:t>(see Board Doc 21-03-05)</w:t>
      </w:r>
    </w:p>
    <w:p w14:paraId="4C78EFE9" w14:textId="77777777" w:rsidR="005C30AF" w:rsidRPr="005C30AF" w:rsidRDefault="005C30AF" w:rsidP="005C30AF">
      <w:pPr>
        <w:pStyle w:val="ListParagraph"/>
        <w:rPr>
          <w:rFonts w:ascii="Arial" w:hAnsi="Arial" w:cs="Arial"/>
          <w:sz w:val="24"/>
          <w:szCs w:val="24"/>
        </w:rPr>
      </w:pPr>
    </w:p>
    <w:p w14:paraId="4FFD88E1" w14:textId="30FEB8A2" w:rsidR="005C30AF" w:rsidRPr="005C30AF" w:rsidRDefault="005C30AF" w:rsidP="00E92E58">
      <w:pPr>
        <w:pStyle w:val="ListParagraph"/>
        <w:numPr>
          <w:ilvl w:val="0"/>
          <w:numId w:val="6"/>
        </w:numPr>
        <w:spacing w:after="0"/>
        <w:rPr>
          <w:rFonts w:ascii="Arial" w:hAnsi="Arial" w:cs="Arial"/>
          <w:sz w:val="24"/>
          <w:szCs w:val="24"/>
        </w:rPr>
      </w:pPr>
      <w:r w:rsidRPr="004230B8">
        <w:rPr>
          <w:rFonts w:ascii="Arial" w:hAnsi="Arial" w:cs="Arial"/>
          <w:sz w:val="24"/>
          <w:szCs w:val="24"/>
        </w:rPr>
        <w:t xml:space="preserve">Presentation and discussion on EDF’s planned Social Policy work for </w:t>
      </w:r>
      <w:proofErr w:type="gramStart"/>
      <w:r w:rsidRPr="004230B8">
        <w:rPr>
          <w:rFonts w:ascii="Arial" w:hAnsi="Arial" w:cs="Arial"/>
          <w:sz w:val="24"/>
          <w:szCs w:val="24"/>
        </w:rPr>
        <w:t>2021</w:t>
      </w:r>
      <w:proofErr w:type="gramEnd"/>
    </w:p>
    <w:p w14:paraId="6B925C01" w14:textId="77777777" w:rsidR="00804A52" w:rsidRDefault="00804A52" w:rsidP="00804A52">
      <w:pPr>
        <w:spacing w:after="0"/>
        <w:rPr>
          <w:rFonts w:ascii="Arial" w:hAnsi="Arial" w:cs="Arial"/>
          <w:sz w:val="24"/>
          <w:szCs w:val="24"/>
        </w:rPr>
      </w:pPr>
    </w:p>
    <w:p w14:paraId="0C39123A" w14:textId="1636BE81" w:rsidR="00F36743" w:rsidRDefault="004230B8" w:rsidP="00E92E58">
      <w:pPr>
        <w:pStyle w:val="ListParagraph"/>
        <w:numPr>
          <w:ilvl w:val="0"/>
          <w:numId w:val="6"/>
        </w:numPr>
        <w:spacing w:after="0"/>
        <w:rPr>
          <w:rFonts w:ascii="Arial" w:hAnsi="Arial" w:cs="Arial"/>
          <w:sz w:val="24"/>
          <w:szCs w:val="24"/>
        </w:rPr>
      </w:pPr>
      <w:r w:rsidRPr="004230B8">
        <w:rPr>
          <w:rFonts w:ascii="Arial" w:hAnsi="Arial" w:cs="Arial"/>
          <w:sz w:val="24"/>
          <w:szCs w:val="24"/>
        </w:rPr>
        <w:t xml:space="preserve">Discussion on </w:t>
      </w:r>
      <w:r w:rsidR="00804A52" w:rsidRPr="004230B8">
        <w:rPr>
          <w:rFonts w:ascii="Arial" w:hAnsi="Arial" w:cs="Arial"/>
          <w:sz w:val="24"/>
          <w:szCs w:val="24"/>
        </w:rPr>
        <w:t xml:space="preserve">EDF input to the </w:t>
      </w:r>
      <w:r w:rsidRPr="004230B8">
        <w:rPr>
          <w:rFonts w:ascii="Arial" w:hAnsi="Arial" w:cs="Arial"/>
          <w:sz w:val="24"/>
          <w:szCs w:val="24"/>
        </w:rPr>
        <w:t xml:space="preserve">new </w:t>
      </w:r>
      <w:r w:rsidR="00804A52" w:rsidRPr="004230B8">
        <w:rPr>
          <w:rFonts w:ascii="Arial" w:hAnsi="Arial" w:cs="Arial"/>
          <w:sz w:val="24"/>
          <w:szCs w:val="24"/>
        </w:rPr>
        <w:t>General Comment on CRPD Article 27 – Work and employment</w:t>
      </w:r>
      <w:r w:rsidR="00763324">
        <w:rPr>
          <w:rFonts w:ascii="Arial" w:hAnsi="Arial" w:cs="Arial"/>
          <w:sz w:val="24"/>
          <w:szCs w:val="24"/>
        </w:rPr>
        <w:t xml:space="preserve"> </w:t>
      </w:r>
    </w:p>
    <w:p w14:paraId="4D3708CB" w14:textId="77777777" w:rsidR="00E92E58" w:rsidRPr="00E92E58" w:rsidRDefault="00E92E58" w:rsidP="00E92E58">
      <w:pPr>
        <w:spacing w:after="0"/>
        <w:rPr>
          <w:rFonts w:ascii="Arial" w:hAnsi="Arial" w:cs="Arial"/>
          <w:sz w:val="24"/>
          <w:szCs w:val="24"/>
        </w:rPr>
      </w:pPr>
    </w:p>
    <w:p w14:paraId="21C135C9" w14:textId="72EC5CA5" w:rsidR="00F36743" w:rsidRPr="004230B8" w:rsidRDefault="00F36743" w:rsidP="00E92E58">
      <w:pPr>
        <w:pStyle w:val="ListParagraph"/>
        <w:numPr>
          <w:ilvl w:val="0"/>
          <w:numId w:val="6"/>
        </w:numPr>
        <w:spacing w:after="0"/>
        <w:rPr>
          <w:rFonts w:ascii="Arial" w:hAnsi="Arial" w:cs="Arial"/>
          <w:sz w:val="24"/>
          <w:szCs w:val="24"/>
        </w:rPr>
      </w:pPr>
      <w:r>
        <w:rPr>
          <w:rFonts w:ascii="Arial" w:hAnsi="Arial" w:cs="Arial"/>
          <w:sz w:val="24"/>
          <w:szCs w:val="24"/>
        </w:rPr>
        <w:t xml:space="preserve">Discussion on EDF’s Guide to Inclusive Trade Unions and Collective Bargaining </w:t>
      </w:r>
    </w:p>
    <w:p w14:paraId="1A934F10" w14:textId="77777777" w:rsidR="00BB0F18" w:rsidRPr="00ED2394" w:rsidRDefault="00BB0F18" w:rsidP="00ED2394">
      <w:pPr>
        <w:rPr>
          <w:rFonts w:ascii="Arial" w:hAnsi="Arial" w:cs="Arial"/>
          <w:sz w:val="24"/>
          <w:szCs w:val="24"/>
        </w:rPr>
      </w:pPr>
    </w:p>
    <w:p w14:paraId="6CD2CD22" w14:textId="33437ECD" w:rsidR="00BB0F18" w:rsidRPr="00BB0F18" w:rsidRDefault="00BB0F18" w:rsidP="00BB0F18">
      <w:pPr>
        <w:pStyle w:val="Heading2"/>
        <w:rPr>
          <w:rFonts w:ascii="Arial" w:hAnsi="Arial" w:cs="Arial"/>
          <w:b/>
          <w:bCs/>
          <w:sz w:val="24"/>
          <w:szCs w:val="24"/>
        </w:rPr>
      </w:pPr>
      <w:r w:rsidRPr="00BB0F18">
        <w:rPr>
          <w:rFonts w:ascii="Arial" w:hAnsi="Arial" w:cs="Arial"/>
          <w:b/>
          <w:bCs/>
          <w:sz w:val="24"/>
          <w:szCs w:val="24"/>
        </w:rPr>
        <w:t>Annex - Update on the Structural Investment Funds</w:t>
      </w:r>
    </w:p>
    <w:p w14:paraId="066374D6" w14:textId="77777777" w:rsidR="00BB0F18" w:rsidRDefault="00BB0F18" w:rsidP="00BB0F18">
      <w:pPr>
        <w:spacing w:after="0" w:line="360" w:lineRule="auto"/>
        <w:ind w:hanging="720"/>
        <w:rPr>
          <w:rFonts w:ascii="Arial" w:hAnsi="Arial" w:cs="Arial"/>
          <w:sz w:val="24"/>
          <w:szCs w:val="24"/>
        </w:rPr>
      </w:pPr>
    </w:p>
    <w:p w14:paraId="64D6F031" w14:textId="3F645025" w:rsidR="00BB0F18" w:rsidRPr="00BB0F18" w:rsidRDefault="00BB0F18" w:rsidP="00BB0F18">
      <w:pPr>
        <w:spacing w:after="0" w:line="360" w:lineRule="auto"/>
        <w:rPr>
          <w:rFonts w:ascii="Arial" w:hAnsi="Arial" w:cs="Arial"/>
          <w:sz w:val="24"/>
          <w:szCs w:val="24"/>
        </w:rPr>
      </w:pPr>
      <w:r w:rsidRPr="00BB0F18">
        <w:rPr>
          <w:rFonts w:ascii="Arial" w:hAnsi="Arial" w:cs="Arial"/>
          <w:sz w:val="24"/>
          <w:szCs w:val="24"/>
        </w:rPr>
        <w:t xml:space="preserve">After two and a half years of negotiations, the Regulations for the spending of the Structural Investment Funds have been decided. EDF had been working particularly hard on influencing the outcome of three Regulations: </w:t>
      </w:r>
      <w:proofErr w:type="gramStart"/>
      <w:r w:rsidRPr="00BB0F18">
        <w:rPr>
          <w:rFonts w:ascii="Arial" w:hAnsi="Arial" w:cs="Arial"/>
          <w:sz w:val="24"/>
          <w:szCs w:val="24"/>
        </w:rPr>
        <w:t>the</w:t>
      </w:r>
      <w:proofErr w:type="gramEnd"/>
      <w:r w:rsidRPr="00BB0F18">
        <w:rPr>
          <w:rFonts w:ascii="Arial" w:hAnsi="Arial" w:cs="Arial"/>
          <w:sz w:val="24"/>
          <w:szCs w:val="24"/>
        </w:rPr>
        <w:t xml:space="preserve"> Common Provisions Regulation (CPR), the European Regional Development Fund (ERDF) and the European Social Fund Plus (ESF+). </w:t>
      </w:r>
    </w:p>
    <w:p w14:paraId="24C963F7" w14:textId="77777777" w:rsidR="00BB0F18" w:rsidRPr="00BB0F18" w:rsidRDefault="00BB0F18" w:rsidP="00BB0F18">
      <w:pPr>
        <w:spacing w:after="0" w:line="360" w:lineRule="auto"/>
        <w:rPr>
          <w:rFonts w:ascii="Arial" w:hAnsi="Arial" w:cs="Arial"/>
          <w:sz w:val="24"/>
          <w:szCs w:val="24"/>
        </w:rPr>
      </w:pPr>
      <w:r w:rsidRPr="00BB0F18">
        <w:rPr>
          <w:rFonts w:ascii="Arial" w:hAnsi="Arial" w:cs="Arial"/>
          <w:sz w:val="24"/>
          <w:szCs w:val="24"/>
        </w:rPr>
        <w:t xml:space="preserve">Below you can read a concise overview of the agreements reached for each of the Regulations and how they correspond to what EDF has been calling for. </w:t>
      </w:r>
    </w:p>
    <w:p w14:paraId="5D0CBE3D" w14:textId="17403FBA" w:rsidR="00BB0F18" w:rsidRDefault="00BB0F18" w:rsidP="00BB0F18">
      <w:pPr>
        <w:spacing w:after="0" w:line="360" w:lineRule="auto"/>
        <w:rPr>
          <w:rFonts w:ascii="Arial" w:hAnsi="Arial" w:cs="Arial"/>
          <w:sz w:val="24"/>
          <w:szCs w:val="24"/>
        </w:rPr>
      </w:pPr>
    </w:p>
    <w:p w14:paraId="16D988DB" w14:textId="77777777" w:rsidR="00BB0F18" w:rsidRPr="00BB0F18" w:rsidRDefault="00BB0F18" w:rsidP="00BB0F18">
      <w:pPr>
        <w:spacing w:after="0" w:line="360" w:lineRule="auto"/>
        <w:rPr>
          <w:rFonts w:ascii="Arial" w:hAnsi="Arial" w:cs="Arial"/>
          <w:sz w:val="24"/>
          <w:szCs w:val="24"/>
        </w:rPr>
      </w:pPr>
    </w:p>
    <w:p w14:paraId="142811A0" w14:textId="03B64EA0" w:rsidR="00BB0F18" w:rsidRPr="00BB0F18" w:rsidRDefault="00BB0F18" w:rsidP="00BB0F18">
      <w:pPr>
        <w:pStyle w:val="Heading3"/>
        <w:rPr>
          <w:rFonts w:ascii="Arial" w:hAnsi="Arial" w:cs="Arial"/>
          <w:b/>
          <w:bCs/>
        </w:rPr>
      </w:pPr>
      <w:r w:rsidRPr="00BB0F18">
        <w:rPr>
          <w:rFonts w:ascii="Arial" w:hAnsi="Arial" w:cs="Arial"/>
          <w:b/>
          <w:bCs/>
        </w:rPr>
        <w:t>Common Provisions Regulation (CPR)</w:t>
      </w:r>
    </w:p>
    <w:p w14:paraId="03F30122" w14:textId="77777777" w:rsidR="00BB0F18" w:rsidRPr="00BB0F18" w:rsidRDefault="00BB0F18" w:rsidP="00BB0F18"/>
    <w:p w14:paraId="72CDFA16" w14:textId="767BC194" w:rsidR="00BB0F18" w:rsidRPr="00BB0F18" w:rsidRDefault="00BB0F18" w:rsidP="00BB0F18">
      <w:pPr>
        <w:pStyle w:val="ListParagraph"/>
        <w:numPr>
          <w:ilvl w:val="0"/>
          <w:numId w:val="12"/>
        </w:numPr>
        <w:spacing w:after="0" w:line="360" w:lineRule="auto"/>
        <w:rPr>
          <w:rFonts w:ascii="Arial" w:hAnsi="Arial" w:cs="Arial"/>
          <w:sz w:val="24"/>
          <w:szCs w:val="24"/>
        </w:rPr>
      </w:pPr>
      <w:r w:rsidRPr="00BB0F18">
        <w:rPr>
          <w:rFonts w:ascii="Arial" w:hAnsi="Arial" w:cs="Arial"/>
          <w:sz w:val="24"/>
          <w:szCs w:val="24"/>
        </w:rPr>
        <w:t>Obligation that the use of funds must “ensure accessibility to persons with disabilities” (article 67 – Selection of Operations by the managing authority).</w:t>
      </w:r>
    </w:p>
    <w:p w14:paraId="63001607" w14:textId="678CED03" w:rsidR="00BB0F18" w:rsidRPr="00BB0F18" w:rsidRDefault="00BB0F18" w:rsidP="00BB0F18">
      <w:pPr>
        <w:pStyle w:val="ListParagraph"/>
        <w:numPr>
          <w:ilvl w:val="0"/>
          <w:numId w:val="12"/>
        </w:numPr>
        <w:spacing w:after="0" w:line="360" w:lineRule="auto"/>
        <w:rPr>
          <w:rFonts w:ascii="Arial" w:hAnsi="Arial" w:cs="Arial"/>
          <w:sz w:val="24"/>
          <w:szCs w:val="24"/>
        </w:rPr>
      </w:pPr>
      <w:r w:rsidRPr="00BB0F18">
        <w:rPr>
          <w:rFonts w:ascii="Arial" w:hAnsi="Arial" w:cs="Arial"/>
          <w:sz w:val="24"/>
          <w:szCs w:val="24"/>
        </w:rPr>
        <w:t>New article on non-discrimination, saying that Member States must take steps programmes to prevent any discrimination based on disability and that</w:t>
      </w:r>
      <w:proofErr w:type="gramStart"/>
      <w:r w:rsidRPr="00BB0F18">
        <w:rPr>
          <w:rFonts w:ascii="Arial" w:hAnsi="Arial" w:cs="Arial"/>
          <w:sz w:val="24"/>
          <w:szCs w:val="24"/>
        </w:rPr>
        <w:t>, in particular, accessibility</w:t>
      </w:r>
      <w:proofErr w:type="gramEnd"/>
      <w:r w:rsidRPr="00BB0F18">
        <w:rPr>
          <w:rFonts w:ascii="Arial" w:hAnsi="Arial" w:cs="Arial"/>
          <w:sz w:val="24"/>
          <w:szCs w:val="24"/>
        </w:rPr>
        <w:t xml:space="preserve"> for persons with disabilities shall be taken into account throughout the preparation and implementation of (Article 6a – Horizontal Principles).</w:t>
      </w:r>
    </w:p>
    <w:p w14:paraId="1559E416" w14:textId="367B43D6" w:rsidR="00BB0F18" w:rsidRPr="00BB0F18" w:rsidRDefault="00BB0F18" w:rsidP="00BB0F18">
      <w:pPr>
        <w:pStyle w:val="ListParagraph"/>
        <w:numPr>
          <w:ilvl w:val="0"/>
          <w:numId w:val="12"/>
        </w:numPr>
        <w:spacing w:after="0" w:line="360" w:lineRule="auto"/>
        <w:rPr>
          <w:rFonts w:ascii="Arial" w:hAnsi="Arial" w:cs="Arial"/>
          <w:sz w:val="24"/>
          <w:szCs w:val="24"/>
        </w:rPr>
      </w:pPr>
      <w:r w:rsidRPr="00BB0F18">
        <w:rPr>
          <w:rFonts w:ascii="Arial" w:hAnsi="Arial" w:cs="Arial"/>
          <w:sz w:val="24"/>
          <w:szCs w:val="24"/>
        </w:rPr>
        <w:t>Partnership and multi-level governance process must include relevant bodies representing civil society, such as environmental partners, non-governmental organisations, and bodies responsible for promoting social inclusion, fundamental rights, rights of persons with disabilities, gender equality and non-discrimination and funds should be allocated towards these stakeholders (Article 6 - Partnership and multi-level governance).</w:t>
      </w:r>
    </w:p>
    <w:p w14:paraId="348FD5CB" w14:textId="5B8C0541" w:rsidR="00BB0F18" w:rsidRPr="00BB0F18" w:rsidRDefault="00BB0F18" w:rsidP="00BB0F18">
      <w:pPr>
        <w:pStyle w:val="ListParagraph"/>
        <w:numPr>
          <w:ilvl w:val="0"/>
          <w:numId w:val="12"/>
        </w:numPr>
        <w:spacing w:after="0" w:line="360" w:lineRule="auto"/>
        <w:rPr>
          <w:rFonts w:ascii="Arial" w:hAnsi="Arial" w:cs="Arial"/>
          <w:sz w:val="24"/>
          <w:szCs w:val="24"/>
        </w:rPr>
      </w:pPr>
      <w:r w:rsidRPr="00BB0F18">
        <w:rPr>
          <w:rFonts w:ascii="Arial" w:hAnsi="Arial" w:cs="Arial"/>
          <w:sz w:val="24"/>
          <w:szCs w:val="24"/>
        </w:rPr>
        <w:t>Reference to the UNCPRD in the recitals of the regulation. The recital also mentions that funds should be implemented in a way that promotes the transition from institutional to family and community-based care and that, when financing infrastructure, the funds “should ensure accessibility for persons with disabilities”.</w:t>
      </w:r>
    </w:p>
    <w:p w14:paraId="0D099043" w14:textId="2111DE12" w:rsidR="00BB0F18" w:rsidRPr="00BB0F18" w:rsidRDefault="00BB0F18" w:rsidP="00BB0F18">
      <w:pPr>
        <w:pStyle w:val="ListParagraph"/>
        <w:numPr>
          <w:ilvl w:val="0"/>
          <w:numId w:val="12"/>
        </w:numPr>
        <w:spacing w:after="0" w:line="360" w:lineRule="auto"/>
        <w:rPr>
          <w:rFonts w:ascii="Arial" w:hAnsi="Arial" w:cs="Arial"/>
          <w:sz w:val="24"/>
          <w:szCs w:val="24"/>
        </w:rPr>
      </w:pPr>
      <w:r w:rsidRPr="00BB0F18">
        <w:rPr>
          <w:rFonts w:ascii="Arial" w:hAnsi="Arial" w:cs="Arial"/>
          <w:sz w:val="24"/>
          <w:szCs w:val="24"/>
        </w:rPr>
        <w:t xml:space="preserve">Horizontal enabling conditions (list of general requirements Member States must fulfil to use the funding) requiring Member States to ensure proper implementation of the EU Pillar of Social Rights and have a national framework for implementing the UNCRPD </w:t>
      </w:r>
      <w:proofErr w:type="gramStart"/>
      <w:r w:rsidRPr="00BB0F18">
        <w:rPr>
          <w:rFonts w:ascii="Arial" w:hAnsi="Arial" w:cs="Arial"/>
          <w:sz w:val="24"/>
          <w:szCs w:val="24"/>
        </w:rPr>
        <w:t>in order to</w:t>
      </w:r>
      <w:proofErr w:type="gramEnd"/>
      <w:r w:rsidRPr="00BB0F18">
        <w:rPr>
          <w:rFonts w:ascii="Arial" w:hAnsi="Arial" w:cs="Arial"/>
          <w:sz w:val="24"/>
          <w:szCs w:val="24"/>
        </w:rPr>
        <w:t xml:space="preserve"> use the EU funds.</w:t>
      </w:r>
    </w:p>
    <w:p w14:paraId="19310190" w14:textId="4193D414" w:rsidR="00BB0F18" w:rsidRDefault="00BB0F18" w:rsidP="00BB0F18">
      <w:pPr>
        <w:pStyle w:val="ListParagraph"/>
        <w:numPr>
          <w:ilvl w:val="0"/>
          <w:numId w:val="12"/>
        </w:numPr>
        <w:spacing w:after="0" w:line="360" w:lineRule="auto"/>
        <w:rPr>
          <w:rFonts w:ascii="Arial" w:hAnsi="Arial" w:cs="Arial"/>
          <w:sz w:val="24"/>
          <w:szCs w:val="24"/>
        </w:rPr>
      </w:pPr>
      <w:r w:rsidRPr="00BB0F18">
        <w:rPr>
          <w:rFonts w:ascii="Arial" w:hAnsi="Arial" w:cs="Arial"/>
          <w:sz w:val="24"/>
          <w:szCs w:val="24"/>
        </w:rPr>
        <w:t>Thematic enabling conditions (list of requirements linked to specific actions in specific funds that Member States must fulfil to use the funding) stating that the ERDF and ESF+ must focus on combatting poverty and social exclusion, combat segregation and adopt measures for the shift from institutional to community-based care. It also states that the design for the use of these funds should be “conducted in close cooperation with social partners and relevant civil society organisations”.</w:t>
      </w:r>
    </w:p>
    <w:p w14:paraId="5F3BCB32" w14:textId="77777777" w:rsidR="0087667F" w:rsidRPr="0087667F" w:rsidRDefault="0087667F" w:rsidP="0087667F">
      <w:pPr>
        <w:pStyle w:val="ListParagraph"/>
        <w:spacing w:after="0" w:line="360" w:lineRule="auto"/>
        <w:rPr>
          <w:rFonts w:ascii="Arial" w:hAnsi="Arial" w:cs="Arial"/>
          <w:sz w:val="24"/>
          <w:szCs w:val="24"/>
        </w:rPr>
      </w:pPr>
    </w:p>
    <w:p w14:paraId="248B0322" w14:textId="77777777" w:rsidR="00BB0F18" w:rsidRPr="00BB0F18" w:rsidRDefault="00BB0F18" w:rsidP="00BB0F18">
      <w:pPr>
        <w:rPr>
          <w:rFonts w:ascii="Arial" w:hAnsi="Arial" w:cs="Arial"/>
          <w:sz w:val="24"/>
          <w:szCs w:val="24"/>
        </w:rPr>
      </w:pPr>
      <w:r w:rsidRPr="00BB0F18">
        <w:rPr>
          <w:rFonts w:ascii="Arial" w:hAnsi="Arial" w:cs="Arial"/>
          <w:sz w:val="24"/>
          <w:szCs w:val="24"/>
        </w:rPr>
        <w:t xml:space="preserve">Find our </w:t>
      </w:r>
      <w:hyperlink r:id="rId7" w:history="1">
        <w:r w:rsidRPr="00BB0F18">
          <w:rPr>
            <w:rStyle w:val="Hyperlink"/>
            <w:rFonts w:ascii="Arial" w:hAnsi="Arial" w:cs="Arial"/>
            <w:sz w:val="24"/>
            <w:szCs w:val="24"/>
          </w:rPr>
          <w:t>full analysis of the CPR agreement here</w:t>
        </w:r>
      </w:hyperlink>
      <w:r w:rsidRPr="00BB0F18">
        <w:rPr>
          <w:rFonts w:ascii="Arial" w:hAnsi="Arial" w:cs="Arial"/>
          <w:sz w:val="24"/>
          <w:szCs w:val="24"/>
        </w:rPr>
        <w:t xml:space="preserve">. </w:t>
      </w:r>
    </w:p>
    <w:p w14:paraId="204F501C" w14:textId="77777777" w:rsidR="00BB0F18" w:rsidRPr="00BB0F18" w:rsidRDefault="00BB0F18" w:rsidP="00BB0F18">
      <w:pPr>
        <w:spacing w:after="0" w:line="360" w:lineRule="auto"/>
        <w:rPr>
          <w:rFonts w:ascii="Arial" w:hAnsi="Arial" w:cs="Arial"/>
          <w:sz w:val="24"/>
          <w:szCs w:val="24"/>
        </w:rPr>
      </w:pPr>
    </w:p>
    <w:p w14:paraId="541D6C65" w14:textId="77777777" w:rsidR="00BB0F18" w:rsidRDefault="00BB0F18" w:rsidP="00BB0F18">
      <w:pPr>
        <w:spacing w:after="0" w:line="360" w:lineRule="auto"/>
        <w:rPr>
          <w:rFonts w:ascii="Arial" w:hAnsi="Arial" w:cs="Arial"/>
          <w:sz w:val="24"/>
          <w:szCs w:val="24"/>
        </w:rPr>
      </w:pPr>
    </w:p>
    <w:p w14:paraId="1DC0F533" w14:textId="05D61817" w:rsidR="00BB0F18" w:rsidRPr="00BB0F18" w:rsidRDefault="00BB0F18" w:rsidP="00BB0F18">
      <w:pPr>
        <w:pStyle w:val="Heading3"/>
        <w:rPr>
          <w:rFonts w:ascii="Arial" w:hAnsi="Arial" w:cs="Arial"/>
          <w:b/>
          <w:bCs/>
        </w:rPr>
      </w:pPr>
      <w:r w:rsidRPr="00BB0F18">
        <w:rPr>
          <w:rFonts w:ascii="Arial" w:hAnsi="Arial" w:cs="Arial"/>
          <w:b/>
          <w:bCs/>
        </w:rPr>
        <w:t>European Regional Development Fund (ERDF)</w:t>
      </w:r>
    </w:p>
    <w:p w14:paraId="0166DA77" w14:textId="77777777" w:rsidR="00BB0F18" w:rsidRPr="00BB0F18" w:rsidRDefault="00BB0F18" w:rsidP="00BB0F18"/>
    <w:p w14:paraId="0E8B73C1" w14:textId="3F35992B" w:rsidR="00BB0F18" w:rsidRPr="00BB0F18" w:rsidRDefault="00BB0F18" w:rsidP="00BB0F18">
      <w:pPr>
        <w:pStyle w:val="ListParagraph"/>
        <w:numPr>
          <w:ilvl w:val="0"/>
          <w:numId w:val="11"/>
        </w:numPr>
        <w:spacing w:after="0" w:line="360" w:lineRule="auto"/>
        <w:rPr>
          <w:rFonts w:ascii="Arial" w:hAnsi="Arial" w:cs="Arial"/>
          <w:sz w:val="24"/>
          <w:szCs w:val="24"/>
        </w:rPr>
      </w:pPr>
      <w:r w:rsidRPr="00BB0F18">
        <w:rPr>
          <w:rFonts w:ascii="Arial" w:hAnsi="Arial" w:cs="Arial"/>
          <w:sz w:val="24"/>
          <w:szCs w:val="24"/>
        </w:rPr>
        <w:t>The Specific Objectives of the ERDF now include the need to invest in “accessible infrastructure” and to invest in “promoting the transition from institutional to family- and community-based care”. The text now also states that that funds should be used to improve the “inclusiveness” of the labour market. We were also successful in getting a new recital added which states that “In order to promote social inclusion and combat poverty, particularly among marginalised communities, it is necessary to improve access, also through infrastructure, to social, educational, cultural and recreational services, including sports, taking into account the specific needs of persons with disabilities, children and the elderly.” (Article 2 - Specific objectives for the ERDF and the Cohesion Fund).</w:t>
      </w:r>
    </w:p>
    <w:p w14:paraId="16E47EDE" w14:textId="46979722" w:rsidR="00BB0F18" w:rsidRPr="00BB0F18" w:rsidRDefault="00BB0F18" w:rsidP="00BB0F18">
      <w:pPr>
        <w:pStyle w:val="ListParagraph"/>
        <w:numPr>
          <w:ilvl w:val="0"/>
          <w:numId w:val="11"/>
        </w:numPr>
        <w:spacing w:after="0" w:line="360" w:lineRule="auto"/>
        <w:rPr>
          <w:rFonts w:ascii="Arial" w:hAnsi="Arial" w:cs="Arial"/>
          <w:sz w:val="24"/>
          <w:szCs w:val="24"/>
        </w:rPr>
      </w:pPr>
      <w:r w:rsidRPr="00BB0F18">
        <w:rPr>
          <w:rFonts w:ascii="Arial" w:hAnsi="Arial" w:cs="Arial"/>
          <w:sz w:val="24"/>
          <w:szCs w:val="24"/>
        </w:rPr>
        <w:t xml:space="preserve">In the article on exclusion from the cope of ERDF, a new recital was introduced stating that the ERDF should support deinstitutionalisation, prevent funding segregated living </w:t>
      </w:r>
      <w:proofErr w:type="gramStart"/>
      <w:r w:rsidRPr="00BB0F18">
        <w:rPr>
          <w:rFonts w:ascii="Arial" w:hAnsi="Arial" w:cs="Arial"/>
          <w:sz w:val="24"/>
          <w:szCs w:val="24"/>
        </w:rPr>
        <w:t>conditions</w:t>
      </w:r>
      <w:proofErr w:type="gramEnd"/>
      <w:r w:rsidRPr="00BB0F18">
        <w:rPr>
          <w:rFonts w:ascii="Arial" w:hAnsi="Arial" w:cs="Arial"/>
          <w:sz w:val="24"/>
          <w:szCs w:val="24"/>
        </w:rPr>
        <w:t xml:space="preserve"> and seek to ensure independent living conditions (article 6 Exclusion from the scope of the ERDF and the Cohesion Fund).</w:t>
      </w:r>
    </w:p>
    <w:p w14:paraId="2EA2C324" w14:textId="77777777" w:rsidR="00BB0F18" w:rsidRDefault="00BB0F18" w:rsidP="00BB0F18">
      <w:pPr>
        <w:spacing w:after="0" w:line="360" w:lineRule="auto"/>
        <w:rPr>
          <w:rFonts w:ascii="Arial" w:hAnsi="Arial" w:cs="Arial"/>
          <w:sz w:val="24"/>
          <w:szCs w:val="24"/>
        </w:rPr>
      </w:pPr>
    </w:p>
    <w:p w14:paraId="7DAD9901" w14:textId="0957B51A" w:rsidR="00BB0F18" w:rsidRDefault="00BB0F18" w:rsidP="00BB0F18">
      <w:pPr>
        <w:spacing w:after="0" w:line="360" w:lineRule="auto"/>
        <w:rPr>
          <w:rFonts w:ascii="Arial" w:hAnsi="Arial" w:cs="Arial"/>
          <w:sz w:val="24"/>
          <w:szCs w:val="24"/>
        </w:rPr>
      </w:pPr>
      <w:r w:rsidRPr="00BB0F18">
        <w:rPr>
          <w:rFonts w:ascii="Arial" w:hAnsi="Arial" w:cs="Arial"/>
          <w:sz w:val="24"/>
          <w:szCs w:val="24"/>
        </w:rPr>
        <w:t>Fin</w:t>
      </w:r>
      <w:r>
        <w:rPr>
          <w:rFonts w:ascii="Arial" w:hAnsi="Arial" w:cs="Arial"/>
          <w:sz w:val="24"/>
          <w:szCs w:val="24"/>
        </w:rPr>
        <w:t>d our</w:t>
      </w:r>
      <w:r w:rsidRPr="00BB0F18">
        <w:rPr>
          <w:rFonts w:ascii="Arial" w:hAnsi="Arial" w:cs="Arial"/>
          <w:sz w:val="24"/>
          <w:szCs w:val="24"/>
        </w:rPr>
        <w:t xml:space="preserve"> </w:t>
      </w:r>
      <w:hyperlink r:id="rId8" w:history="1">
        <w:r w:rsidRPr="00BB0F18">
          <w:rPr>
            <w:rStyle w:val="Hyperlink"/>
            <w:rFonts w:ascii="Arial" w:hAnsi="Arial" w:cs="Arial"/>
            <w:sz w:val="24"/>
            <w:szCs w:val="24"/>
          </w:rPr>
          <w:t>full analysis of the ERDF agreement here</w:t>
        </w:r>
      </w:hyperlink>
      <w:r w:rsidRPr="00BB0F18">
        <w:rPr>
          <w:rFonts w:ascii="Arial" w:hAnsi="Arial" w:cs="Arial"/>
          <w:sz w:val="24"/>
          <w:szCs w:val="24"/>
        </w:rPr>
        <w:t>.</w:t>
      </w:r>
    </w:p>
    <w:p w14:paraId="587A3A34" w14:textId="77777777" w:rsidR="0087667F" w:rsidRPr="00BB0F18" w:rsidRDefault="0087667F" w:rsidP="00BB0F18">
      <w:pPr>
        <w:spacing w:after="0" w:line="360" w:lineRule="auto"/>
        <w:rPr>
          <w:rFonts w:ascii="Arial" w:hAnsi="Arial" w:cs="Arial"/>
          <w:sz w:val="24"/>
          <w:szCs w:val="24"/>
        </w:rPr>
      </w:pPr>
    </w:p>
    <w:p w14:paraId="07D3B640" w14:textId="0E5ADB4A" w:rsidR="00BB0F18" w:rsidRPr="00BB0F18" w:rsidRDefault="00BB0F18" w:rsidP="00BB0F18">
      <w:pPr>
        <w:pStyle w:val="Heading3"/>
        <w:rPr>
          <w:rFonts w:ascii="Arial" w:hAnsi="Arial" w:cs="Arial"/>
          <w:b/>
          <w:bCs/>
        </w:rPr>
      </w:pPr>
      <w:r w:rsidRPr="00BB0F18">
        <w:rPr>
          <w:rFonts w:ascii="Arial" w:hAnsi="Arial" w:cs="Arial"/>
          <w:b/>
          <w:bCs/>
        </w:rPr>
        <w:t>European Social Fund Plus (ESF+)</w:t>
      </w:r>
    </w:p>
    <w:p w14:paraId="4E9B6D10" w14:textId="77777777" w:rsidR="00BB0F18" w:rsidRPr="00BB0F18" w:rsidRDefault="00BB0F18" w:rsidP="00BB0F18"/>
    <w:p w14:paraId="60036487" w14:textId="77777777" w:rsidR="00BB0F18" w:rsidRPr="00BB0F18" w:rsidRDefault="00BB0F18" w:rsidP="00BB0F18">
      <w:pPr>
        <w:spacing w:after="0" w:line="360" w:lineRule="auto"/>
        <w:rPr>
          <w:rFonts w:ascii="Arial" w:hAnsi="Arial" w:cs="Arial"/>
          <w:sz w:val="24"/>
          <w:szCs w:val="24"/>
        </w:rPr>
      </w:pPr>
      <w:r w:rsidRPr="00BB0F18">
        <w:rPr>
          <w:rFonts w:ascii="Arial" w:hAnsi="Arial" w:cs="Arial"/>
          <w:sz w:val="24"/>
          <w:szCs w:val="24"/>
        </w:rPr>
        <w:t>The ESF+ negotiations were only concluded at the end of January 2021, meaning that we still do not have the final text to analyse. However, we have been informed by negotiators that we can expect to see the following in the final Regulation:</w:t>
      </w:r>
    </w:p>
    <w:p w14:paraId="7D34807B" w14:textId="5F9C2552" w:rsidR="00BB0F18" w:rsidRPr="00BB0F18" w:rsidRDefault="00BB0F18" w:rsidP="00BB0F18">
      <w:pPr>
        <w:pStyle w:val="ListParagraph"/>
        <w:numPr>
          <w:ilvl w:val="0"/>
          <w:numId w:val="10"/>
        </w:numPr>
        <w:spacing w:after="0" w:line="360" w:lineRule="auto"/>
        <w:rPr>
          <w:rFonts w:ascii="Arial" w:hAnsi="Arial" w:cs="Arial"/>
          <w:sz w:val="24"/>
          <w:szCs w:val="24"/>
        </w:rPr>
      </w:pPr>
      <w:r w:rsidRPr="00BB0F18">
        <w:rPr>
          <w:rFonts w:ascii="Arial" w:hAnsi="Arial" w:cs="Arial"/>
          <w:sz w:val="24"/>
          <w:szCs w:val="24"/>
        </w:rPr>
        <w:t xml:space="preserve">25% of the money from ESF+ will go towards investment in social inclusion. </w:t>
      </w:r>
    </w:p>
    <w:p w14:paraId="6231EF09" w14:textId="50988673" w:rsidR="00BB0F18" w:rsidRPr="00BB0F18" w:rsidRDefault="00BB0F18" w:rsidP="00BB0F18">
      <w:pPr>
        <w:pStyle w:val="ListParagraph"/>
        <w:numPr>
          <w:ilvl w:val="0"/>
          <w:numId w:val="10"/>
        </w:numPr>
        <w:spacing w:after="0" w:line="360" w:lineRule="auto"/>
        <w:rPr>
          <w:rFonts w:ascii="Arial" w:hAnsi="Arial" w:cs="Arial"/>
          <w:sz w:val="24"/>
          <w:szCs w:val="24"/>
        </w:rPr>
      </w:pPr>
      <w:r w:rsidRPr="00BB0F18">
        <w:rPr>
          <w:rFonts w:ascii="Arial" w:hAnsi="Arial" w:cs="Arial"/>
          <w:sz w:val="24"/>
          <w:szCs w:val="24"/>
        </w:rPr>
        <w:t>3% of the money from ESF+ will go towards fighting material deprivation.</w:t>
      </w:r>
    </w:p>
    <w:p w14:paraId="30AC0BF4" w14:textId="76707C0F" w:rsidR="00BB0F18" w:rsidRPr="00BB0F18" w:rsidRDefault="00BB0F18" w:rsidP="00BB0F18">
      <w:pPr>
        <w:pStyle w:val="ListParagraph"/>
        <w:numPr>
          <w:ilvl w:val="0"/>
          <w:numId w:val="10"/>
        </w:numPr>
        <w:spacing w:after="0" w:line="360" w:lineRule="auto"/>
        <w:rPr>
          <w:rFonts w:ascii="Arial" w:hAnsi="Arial" w:cs="Arial"/>
          <w:sz w:val="24"/>
          <w:szCs w:val="24"/>
        </w:rPr>
      </w:pPr>
      <w:r w:rsidRPr="00BB0F18">
        <w:rPr>
          <w:rFonts w:ascii="Arial" w:hAnsi="Arial" w:cs="Arial"/>
          <w:sz w:val="24"/>
          <w:szCs w:val="24"/>
        </w:rPr>
        <w:t xml:space="preserve">All Member States are obliged to allocate an appropriate amount to fight Child poverty. Where the number of children at risk of poverty is above the EU average (2017-19), 5% of the resources </w:t>
      </w:r>
      <w:proofErr w:type="gramStart"/>
      <w:r w:rsidRPr="00BB0F18">
        <w:rPr>
          <w:rFonts w:ascii="Arial" w:hAnsi="Arial" w:cs="Arial"/>
          <w:sz w:val="24"/>
          <w:szCs w:val="24"/>
        </w:rPr>
        <w:t>have to</w:t>
      </w:r>
      <w:proofErr w:type="gramEnd"/>
      <w:r w:rsidRPr="00BB0F18">
        <w:rPr>
          <w:rFonts w:ascii="Arial" w:hAnsi="Arial" w:cs="Arial"/>
          <w:sz w:val="24"/>
          <w:szCs w:val="24"/>
        </w:rPr>
        <w:t xml:space="preserve"> be directed towards </w:t>
      </w:r>
      <w:r w:rsidRPr="00BB0F18">
        <w:rPr>
          <w:rFonts w:ascii="Arial" w:hAnsi="Arial" w:cs="Arial"/>
          <w:sz w:val="24"/>
          <w:szCs w:val="24"/>
        </w:rPr>
        <w:lastRenderedPageBreak/>
        <w:t xml:space="preserve">measures that contribute to children’s equal access to healthcare, education, childcare, decent housing and adequate nutrition. </w:t>
      </w:r>
    </w:p>
    <w:p w14:paraId="535367C1" w14:textId="6994E2EB" w:rsidR="00BB0F18" w:rsidRPr="00BB0F18" w:rsidRDefault="00BB0F18" w:rsidP="00BB0F18">
      <w:pPr>
        <w:pStyle w:val="ListParagraph"/>
        <w:numPr>
          <w:ilvl w:val="0"/>
          <w:numId w:val="10"/>
        </w:numPr>
        <w:spacing w:after="0" w:line="360" w:lineRule="auto"/>
        <w:rPr>
          <w:rFonts w:ascii="Arial" w:hAnsi="Arial" w:cs="Arial"/>
          <w:sz w:val="24"/>
          <w:szCs w:val="24"/>
        </w:rPr>
      </w:pPr>
      <w:r w:rsidRPr="00BB0F18">
        <w:rPr>
          <w:rFonts w:ascii="Arial" w:hAnsi="Arial" w:cs="Arial"/>
          <w:sz w:val="24"/>
          <w:szCs w:val="24"/>
        </w:rPr>
        <w:t xml:space="preserve">Member States are obliged to allocate an appropriate amount to the implementation of the Youth Guarantee. Where the number of NEETs (young people neither in employment, </w:t>
      </w:r>
      <w:proofErr w:type="gramStart"/>
      <w:r w:rsidRPr="00BB0F18">
        <w:rPr>
          <w:rFonts w:ascii="Arial" w:hAnsi="Arial" w:cs="Arial"/>
          <w:sz w:val="24"/>
          <w:szCs w:val="24"/>
        </w:rPr>
        <w:t>education</w:t>
      </w:r>
      <w:proofErr w:type="gramEnd"/>
      <w:r w:rsidRPr="00BB0F18">
        <w:rPr>
          <w:rFonts w:ascii="Arial" w:hAnsi="Arial" w:cs="Arial"/>
          <w:sz w:val="24"/>
          <w:szCs w:val="24"/>
        </w:rPr>
        <w:t xml:space="preserve"> or training) is above the EU average (2017-19), 12,5% of the resources have to be directed towards measures contributing to youth employment.</w:t>
      </w:r>
    </w:p>
    <w:p w14:paraId="41C04855" w14:textId="2DA34BEB" w:rsidR="00BB0F18" w:rsidRPr="00BB0F18" w:rsidRDefault="00BB0F18" w:rsidP="00BB0F18">
      <w:pPr>
        <w:pStyle w:val="ListParagraph"/>
        <w:numPr>
          <w:ilvl w:val="0"/>
          <w:numId w:val="10"/>
        </w:numPr>
        <w:spacing w:after="0" w:line="360" w:lineRule="auto"/>
        <w:rPr>
          <w:rFonts w:ascii="Arial" w:hAnsi="Arial" w:cs="Arial"/>
          <w:sz w:val="24"/>
          <w:szCs w:val="24"/>
        </w:rPr>
      </w:pPr>
      <w:r w:rsidRPr="00BB0F18">
        <w:rPr>
          <w:rFonts w:ascii="Arial" w:hAnsi="Arial" w:cs="Arial"/>
          <w:sz w:val="24"/>
          <w:szCs w:val="24"/>
        </w:rPr>
        <w:t>On capacity building of civil society and social partners, appropriate amount needs to be allocated in all Member States, and a minimum of 0.25% of funds must be given if it is required by the country-specific recommendations. 0.25% is only a modest amount but it will make a difference in the Member States where this is really needed.</w:t>
      </w:r>
    </w:p>
    <w:p w14:paraId="5E8EDA5A" w14:textId="7735BC66" w:rsidR="0094036C" w:rsidRPr="00E92E58" w:rsidRDefault="0094036C" w:rsidP="00BB0F18">
      <w:pPr>
        <w:spacing w:after="0" w:line="360" w:lineRule="auto"/>
        <w:ind w:hanging="720"/>
        <w:rPr>
          <w:rFonts w:ascii="Arial" w:hAnsi="Arial" w:cs="Arial"/>
          <w:sz w:val="24"/>
          <w:szCs w:val="24"/>
        </w:rPr>
      </w:pPr>
    </w:p>
    <w:p w14:paraId="2AB80534" w14:textId="77777777" w:rsidR="00EC5FE8" w:rsidRPr="00EC5FE8" w:rsidRDefault="00EC5FE8" w:rsidP="00BB0F18">
      <w:pPr>
        <w:spacing w:after="0" w:line="360" w:lineRule="auto"/>
        <w:ind w:hanging="720"/>
        <w:rPr>
          <w:rFonts w:ascii="Arial" w:hAnsi="Arial" w:cs="Arial"/>
          <w:sz w:val="24"/>
          <w:szCs w:val="24"/>
        </w:rPr>
      </w:pPr>
    </w:p>
    <w:p w14:paraId="17A63FF9" w14:textId="77777777" w:rsidR="00EC5FE8" w:rsidRPr="00EC5FE8" w:rsidRDefault="00EC5FE8" w:rsidP="00BB0F18">
      <w:pPr>
        <w:pStyle w:val="ListParagraph"/>
        <w:spacing w:after="0" w:line="360" w:lineRule="auto"/>
        <w:ind w:left="714" w:hanging="720"/>
        <w:rPr>
          <w:rFonts w:ascii="Arial" w:hAnsi="Arial" w:cs="Arial"/>
          <w:sz w:val="24"/>
          <w:szCs w:val="24"/>
        </w:rPr>
      </w:pPr>
    </w:p>
    <w:sectPr w:rsidR="00EC5FE8" w:rsidRPr="00EC5FE8" w:rsidSect="002A578D">
      <w:headerReference w:type="default" r:id="rId9"/>
      <w:footerReference w:type="default" r:id="rId10"/>
      <w:pgSz w:w="11906" w:h="16838"/>
      <w:pgMar w:top="1440" w:right="1440" w:bottom="1440" w:left="1440" w:header="708"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453AE" w14:textId="77777777" w:rsidR="003C1309" w:rsidRDefault="003C1309" w:rsidP="0045623B">
      <w:pPr>
        <w:spacing w:after="0" w:line="240" w:lineRule="auto"/>
      </w:pPr>
      <w:r>
        <w:separator/>
      </w:r>
    </w:p>
  </w:endnote>
  <w:endnote w:type="continuationSeparator" w:id="0">
    <w:p w14:paraId="0F0DAC09" w14:textId="77777777" w:rsidR="003C1309" w:rsidRDefault="003C1309" w:rsidP="004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2835171"/>
      <w:docPartObj>
        <w:docPartGallery w:val="Page Numbers (Bottom of Page)"/>
        <w:docPartUnique/>
      </w:docPartObj>
    </w:sdtPr>
    <w:sdtEndPr>
      <w:rPr>
        <w:noProof/>
      </w:rPr>
    </w:sdtEndPr>
    <w:sdtContent>
      <w:p w14:paraId="10082E3F" w14:textId="758726AB" w:rsidR="002A578D" w:rsidRDefault="002A578D" w:rsidP="002A578D">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drawing>
            <wp:anchor distT="0" distB="0" distL="114300" distR="114300" simplePos="0" relativeHeight="251660288" behindDoc="1" locked="0" layoutInCell="1" allowOverlap="1" wp14:anchorId="5E682691" wp14:editId="1455E357">
              <wp:simplePos x="0" y="0"/>
              <wp:positionH relativeFrom="column">
                <wp:posOffset>654050</wp:posOffset>
              </wp:positionH>
              <wp:positionV relativeFrom="paragraph">
                <wp:posOffset>329565</wp:posOffset>
              </wp:positionV>
              <wp:extent cx="4418965" cy="485775"/>
              <wp:effectExtent l="0" t="0" r="635" b="9525"/>
              <wp:wrapTight wrapText="bothSides">
                <wp:wrapPolygon edited="0">
                  <wp:start x="0" y="0"/>
                  <wp:lineTo x="0" y="21176"/>
                  <wp:lineTo x="21510" y="21176"/>
                  <wp:lineTo x="21510"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03D82" w14:textId="77777777" w:rsidR="003C1309" w:rsidRDefault="003C1309" w:rsidP="0045623B">
      <w:pPr>
        <w:spacing w:after="0" w:line="240" w:lineRule="auto"/>
      </w:pPr>
      <w:r>
        <w:separator/>
      </w:r>
    </w:p>
  </w:footnote>
  <w:footnote w:type="continuationSeparator" w:id="0">
    <w:p w14:paraId="0D8B8568" w14:textId="77777777" w:rsidR="003C1309" w:rsidRDefault="003C1309" w:rsidP="0045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F521D" w14:textId="305C973A" w:rsidR="0045623B" w:rsidRDefault="0045623B">
    <w:pPr>
      <w:pStyle w:val="Header"/>
    </w:pPr>
    <w:r>
      <w:rPr>
        <w:noProof/>
      </w:rPr>
      <w:drawing>
        <wp:anchor distT="0" distB="0" distL="114300" distR="114300" simplePos="0" relativeHeight="251659264" behindDoc="0" locked="0" layoutInCell="1" allowOverlap="1" wp14:anchorId="0AE12CE2" wp14:editId="05A35F22">
          <wp:simplePos x="0" y="0"/>
          <wp:positionH relativeFrom="column">
            <wp:posOffset>4963795</wp:posOffset>
          </wp:positionH>
          <wp:positionV relativeFrom="paragraph">
            <wp:posOffset>-239395</wp:posOffset>
          </wp:positionV>
          <wp:extent cx="1088390" cy="958850"/>
          <wp:effectExtent l="0" t="0" r="0" b="0"/>
          <wp:wrapSquare wrapText="bothSides"/>
          <wp:docPr id="44" name="Picture 44"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2AED5E" wp14:editId="54113ED3">
          <wp:simplePos x="0" y="0"/>
          <wp:positionH relativeFrom="column">
            <wp:posOffset>-225425</wp:posOffset>
          </wp:positionH>
          <wp:positionV relativeFrom="paragraph">
            <wp:posOffset>-235585</wp:posOffset>
          </wp:positionV>
          <wp:extent cx="781050" cy="865505"/>
          <wp:effectExtent l="0" t="0" r="0" b="0"/>
          <wp:wrapSquare wrapText="bothSides"/>
          <wp:docPr id="45" name="Picture 45"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1462"/>
    <w:multiLevelType w:val="hybridMultilevel"/>
    <w:tmpl w:val="54EC343E"/>
    <w:lvl w:ilvl="0" w:tplc="F6F2376E">
      <w:numFmt w:val="bullet"/>
      <w:lvlText w:val="•"/>
      <w:lvlJc w:val="left"/>
      <w:pPr>
        <w:ind w:left="1080" w:hanging="72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4129C5"/>
    <w:multiLevelType w:val="hybridMultilevel"/>
    <w:tmpl w:val="DF1A7746"/>
    <w:lvl w:ilvl="0" w:tplc="F6F2376E">
      <w:numFmt w:val="bullet"/>
      <w:lvlText w:val="•"/>
      <w:lvlJc w:val="left"/>
      <w:pPr>
        <w:ind w:left="1080" w:hanging="72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A93A66"/>
    <w:multiLevelType w:val="hybridMultilevel"/>
    <w:tmpl w:val="6758F67A"/>
    <w:lvl w:ilvl="0" w:tplc="2000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236C1416"/>
    <w:multiLevelType w:val="hybridMultilevel"/>
    <w:tmpl w:val="76725CD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360E3B"/>
    <w:multiLevelType w:val="hybridMultilevel"/>
    <w:tmpl w:val="EDA8EF0A"/>
    <w:lvl w:ilvl="0" w:tplc="20000003">
      <w:start w:val="1"/>
      <w:numFmt w:val="bullet"/>
      <w:lvlText w:val="o"/>
      <w:lvlJc w:val="left"/>
      <w:pPr>
        <w:ind w:left="1080" w:hanging="72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9016E29"/>
    <w:multiLevelType w:val="hybridMultilevel"/>
    <w:tmpl w:val="DDBE48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C9A6A5C"/>
    <w:multiLevelType w:val="hybridMultilevel"/>
    <w:tmpl w:val="3282F218"/>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31C6865"/>
    <w:multiLevelType w:val="hybridMultilevel"/>
    <w:tmpl w:val="5EB6FA5A"/>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8" w15:restartNumberingAfterBreak="0">
    <w:nsid w:val="68CE0053"/>
    <w:multiLevelType w:val="hybridMultilevel"/>
    <w:tmpl w:val="591844B2"/>
    <w:lvl w:ilvl="0" w:tplc="F6F2376E">
      <w:numFmt w:val="bullet"/>
      <w:lvlText w:val="•"/>
      <w:lvlJc w:val="left"/>
      <w:pPr>
        <w:ind w:left="1080" w:hanging="72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FC5202D"/>
    <w:multiLevelType w:val="hybridMultilevel"/>
    <w:tmpl w:val="25A69DB2"/>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0" w15:restartNumberingAfterBreak="0">
    <w:nsid w:val="73067822"/>
    <w:multiLevelType w:val="hybridMultilevel"/>
    <w:tmpl w:val="C6008202"/>
    <w:lvl w:ilvl="0" w:tplc="080C0001">
      <w:start w:val="1"/>
      <w:numFmt w:val="bullet"/>
      <w:lvlText w:val=""/>
      <w:lvlJc w:val="left"/>
      <w:pPr>
        <w:ind w:left="720" w:hanging="360"/>
      </w:pPr>
      <w:rPr>
        <w:rFonts w:ascii="Symbol" w:hAnsi="Symbol" w:hint="default"/>
      </w:rPr>
    </w:lvl>
    <w:lvl w:ilvl="1" w:tplc="2B14EAEA">
      <w:numFmt w:val="bullet"/>
      <w:lvlText w:val="-"/>
      <w:lvlJc w:val="left"/>
      <w:pPr>
        <w:ind w:left="1440" w:hanging="36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9836108"/>
    <w:multiLevelType w:val="hybridMultilevel"/>
    <w:tmpl w:val="82BE10A4"/>
    <w:lvl w:ilvl="0" w:tplc="080C000F">
      <w:start w:val="1"/>
      <w:numFmt w:val="decimal"/>
      <w:lvlText w:val="%1."/>
      <w:lvlJc w:val="left"/>
      <w:pPr>
        <w:ind w:left="720" w:hanging="360"/>
      </w:pPr>
      <w:rPr>
        <w:rFonts w:hint="default"/>
      </w:rPr>
    </w:lvl>
    <w:lvl w:ilvl="1" w:tplc="2B14EAEA">
      <w:numFmt w:val="bullet"/>
      <w:lvlText w:val="-"/>
      <w:lvlJc w:val="left"/>
      <w:pPr>
        <w:ind w:left="1440" w:hanging="36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BC04FCB"/>
    <w:multiLevelType w:val="hybridMultilevel"/>
    <w:tmpl w:val="3EF0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3"/>
  </w:num>
  <w:num w:numId="5">
    <w:abstractNumId w:val="10"/>
  </w:num>
  <w:num w:numId="6">
    <w:abstractNumId w:val="11"/>
  </w:num>
  <w:num w:numId="7">
    <w:abstractNumId w:val="5"/>
  </w:num>
  <w:num w:numId="8">
    <w:abstractNumId w:val="1"/>
  </w:num>
  <w:num w:numId="9">
    <w:abstractNumId w:val="8"/>
  </w:num>
  <w:num w:numId="10">
    <w:abstractNumId w:val="4"/>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D4"/>
    <w:rsid w:val="000A47BF"/>
    <w:rsid w:val="0018118D"/>
    <w:rsid w:val="00185D97"/>
    <w:rsid w:val="001B02EE"/>
    <w:rsid w:val="001B79CC"/>
    <w:rsid w:val="001D38FA"/>
    <w:rsid w:val="002857A3"/>
    <w:rsid w:val="002A578D"/>
    <w:rsid w:val="0036692F"/>
    <w:rsid w:val="003A669E"/>
    <w:rsid w:val="003C1309"/>
    <w:rsid w:val="004230B8"/>
    <w:rsid w:val="0045623B"/>
    <w:rsid w:val="005C30AF"/>
    <w:rsid w:val="00627E86"/>
    <w:rsid w:val="00637133"/>
    <w:rsid w:val="00657789"/>
    <w:rsid w:val="006654B5"/>
    <w:rsid w:val="00670CBB"/>
    <w:rsid w:val="00763324"/>
    <w:rsid w:val="00783F9C"/>
    <w:rsid w:val="007C5AD4"/>
    <w:rsid w:val="00804A52"/>
    <w:rsid w:val="0087667F"/>
    <w:rsid w:val="008F5AB5"/>
    <w:rsid w:val="009227B5"/>
    <w:rsid w:val="0094036C"/>
    <w:rsid w:val="00961058"/>
    <w:rsid w:val="009E71A4"/>
    <w:rsid w:val="00AA22F9"/>
    <w:rsid w:val="00AB7F47"/>
    <w:rsid w:val="00BB0F18"/>
    <w:rsid w:val="00BC4C02"/>
    <w:rsid w:val="00D01A4A"/>
    <w:rsid w:val="00D3614C"/>
    <w:rsid w:val="00DE36AF"/>
    <w:rsid w:val="00E377CA"/>
    <w:rsid w:val="00E92E58"/>
    <w:rsid w:val="00EC5FE8"/>
    <w:rsid w:val="00ED2394"/>
    <w:rsid w:val="00F36743"/>
    <w:rsid w:val="00FB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46573"/>
  <w15:chartTrackingRefBased/>
  <w15:docId w15:val="{ED1BE2CC-C2CE-41B4-8A89-3CD649EB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23B"/>
    <w:pPr>
      <w:keepNext/>
      <w:keepLines/>
      <w:spacing w:before="480" w:after="0" w:line="276" w:lineRule="auto"/>
      <w:outlineLvl w:val="0"/>
    </w:pPr>
    <w:rPr>
      <w:rFonts w:ascii="Arial" w:eastAsia="Times New Roman" w:hAnsi="Arial" w:cs="Times New Roman"/>
      <w:b/>
      <w:bCs/>
      <w:color w:val="0A77B3"/>
      <w:sz w:val="28"/>
      <w:szCs w:val="28"/>
      <w:lang w:val="en-IE"/>
    </w:rPr>
  </w:style>
  <w:style w:type="paragraph" w:styleId="Heading2">
    <w:name w:val="heading 2"/>
    <w:basedOn w:val="Normal"/>
    <w:next w:val="Normal"/>
    <w:link w:val="Heading2Char"/>
    <w:uiPriority w:val="9"/>
    <w:unhideWhenUsed/>
    <w:qFormat/>
    <w:rsid w:val="00627E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0F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3B"/>
  </w:style>
  <w:style w:type="paragraph" w:styleId="Footer">
    <w:name w:val="footer"/>
    <w:basedOn w:val="Normal"/>
    <w:link w:val="FooterChar"/>
    <w:uiPriority w:val="99"/>
    <w:unhideWhenUsed/>
    <w:rsid w:val="0045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3B"/>
  </w:style>
  <w:style w:type="character" w:customStyle="1" w:styleId="Heading1Char">
    <w:name w:val="Heading 1 Char"/>
    <w:basedOn w:val="DefaultParagraphFont"/>
    <w:link w:val="Heading1"/>
    <w:uiPriority w:val="9"/>
    <w:rsid w:val="0045623B"/>
    <w:rPr>
      <w:rFonts w:ascii="Arial" w:eastAsia="Times New Roman" w:hAnsi="Arial" w:cs="Times New Roman"/>
      <w:b/>
      <w:bCs/>
      <w:color w:val="0A77B3"/>
      <w:sz w:val="28"/>
      <w:szCs w:val="28"/>
      <w:lang w:val="en-IE"/>
    </w:rPr>
  </w:style>
  <w:style w:type="paragraph" w:styleId="ListParagraph">
    <w:name w:val="List Paragraph"/>
    <w:basedOn w:val="Normal"/>
    <w:uiPriority w:val="34"/>
    <w:qFormat/>
    <w:rsid w:val="00EC5FE8"/>
    <w:pPr>
      <w:ind w:left="720"/>
      <w:contextualSpacing/>
    </w:pPr>
  </w:style>
  <w:style w:type="character" w:customStyle="1" w:styleId="Heading2Char">
    <w:name w:val="Heading 2 Char"/>
    <w:basedOn w:val="DefaultParagraphFont"/>
    <w:link w:val="Heading2"/>
    <w:uiPriority w:val="9"/>
    <w:rsid w:val="00627E86"/>
    <w:rPr>
      <w:rFonts w:asciiTheme="majorHAnsi" w:eastAsiaTheme="majorEastAsia" w:hAnsiTheme="majorHAnsi" w:cstheme="majorBidi"/>
      <w:color w:val="2F5496" w:themeColor="accent1" w:themeShade="BF"/>
      <w:sz w:val="26"/>
      <w:szCs w:val="26"/>
    </w:rPr>
  </w:style>
  <w:style w:type="character" w:styleId="Strong">
    <w:name w:val="Strong"/>
    <w:uiPriority w:val="22"/>
    <w:qFormat/>
    <w:rsid w:val="00627E86"/>
    <w:rPr>
      <w:b/>
      <w:bCs/>
    </w:rPr>
  </w:style>
  <w:style w:type="paragraph" w:styleId="IntenseQuote">
    <w:name w:val="Intense Quote"/>
    <w:basedOn w:val="Normal"/>
    <w:next w:val="Normal"/>
    <w:link w:val="IntenseQuoteChar"/>
    <w:uiPriority w:val="30"/>
    <w:qFormat/>
    <w:rsid w:val="00627E86"/>
    <w:pPr>
      <w:pBdr>
        <w:top w:val="single" w:sz="4" w:space="10" w:color="auto"/>
        <w:bottom w:val="single" w:sz="4" w:space="10" w:color="auto"/>
      </w:pBdr>
      <w:spacing w:before="240" w:after="240" w:line="300" w:lineRule="auto"/>
      <w:ind w:left="1152" w:right="1152"/>
      <w:jc w:val="both"/>
    </w:pPr>
    <w:rPr>
      <w:rFonts w:ascii="Arial" w:eastAsia="Times New Roman" w:hAnsi="Arial" w:cs="Times New Roman"/>
      <w:i/>
      <w:iCs/>
      <w:sz w:val="24"/>
      <w:lang w:val="en-US" w:bidi="en-US"/>
    </w:rPr>
  </w:style>
  <w:style w:type="character" w:customStyle="1" w:styleId="IntenseQuoteChar">
    <w:name w:val="Intense Quote Char"/>
    <w:basedOn w:val="DefaultParagraphFont"/>
    <w:link w:val="IntenseQuote"/>
    <w:uiPriority w:val="30"/>
    <w:rsid w:val="00627E86"/>
    <w:rPr>
      <w:rFonts w:ascii="Arial" w:eastAsia="Times New Roman" w:hAnsi="Arial" w:cs="Times New Roman"/>
      <w:i/>
      <w:iCs/>
      <w:sz w:val="24"/>
      <w:lang w:val="en-US" w:bidi="en-US"/>
    </w:rPr>
  </w:style>
  <w:style w:type="character" w:customStyle="1" w:styleId="Heading3Char">
    <w:name w:val="Heading 3 Char"/>
    <w:basedOn w:val="DefaultParagraphFont"/>
    <w:link w:val="Heading3"/>
    <w:uiPriority w:val="9"/>
    <w:rsid w:val="00BB0F18"/>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BB0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f-feph.org/content/uploads/2021/01/Analysis-of-the-final-Regional-Development-Fund-Regulation-agreement-2021-2027.docx" TargetMode="External"/><Relationship Id="rId3" Type="http://schemas.openxmlformats.org/officeDocument/2006/relationships/settings" Target="settings.xml"/><Relationship Id="rId7" Type="http://schemas.openxmlformats.org/officeDocument/2006/relationships/hyperlink" Target="http://www.edf-feph.org/content/uploads/2021/01/Analysis-of-the-final-Common-Provisions-Regulation-agreement-2021-2027-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Raquel Riaza</cp:lastModifiedBy>
  <cp:revision>5</cp:revision>
  <dcterms:created xsi:type="dcterms:W3CDTF">2021-02-19T15:43:00Z</dcterms:created>
  <dcterms:modified xsi:type="dcterms:W3CDTF">2021-02-19T16:18:00Z</dcterms:modified>
</cp:coreProperties>
</file>