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5F5" w:rsidRDefault="00C535F5" w:rsidP="00C535F5">
      <w:pPr>
        <w:pStyle w:val="Heading1"/>
        <w:rPr>
          <w:rStyle w:val="Heading1Char"/>
          <w:b/>
          <w:bCs/>
        </w:rPr>
      </w:pPr>
      <w:r>
        <w:rPr>
          <w:noProof/>
          <w:lang w:val="es-ES_tradnl" w:eastAsia="es-ES_tradnl"/>
        </w:rPr>
        <w:drawing>
          <wp:anchor distT="0" distB="0" distL="114300" distR="114300" simplePos="0" relativeHeight="251658240" behindDoc="0" locked="0" layoutInCell="1" allowOverlap="1">
            <wp:simplePos x="0" y="0"/>
            <wp:positionH relativeFrom="margin">
              <wp:posOffset>5080</wp:posOffset>
            </wp:positionH>
            <wp:positionV relativeFrom="page">
              <wp:posOffset>1352550</wp:posOffset>
            </wp:positionV>
            <wp:extent cx="5505450" cy="223075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505450" cy="2230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7FEB">
        <w:rPr>
          <w:rStyle w:val="Heading1Char"/>
          <w:b/>
          <w:bCs/>
        </w:rPr>
        <w:t>REGI Committee</w:t>
      </w:r>
      <w:r w:rsidR="00957E06" w:rsidRPr="00B1086E">
        <w:rPr>
          <w:rStyle w:val="Heading1Char"/>
          <w:b/>
          <w:bCs/>
        </w:rPr>
        <w:t xml:space="preserve"> </w:t>
      </w:r>
      <w:r w:rsidR="00957E06">
        <w:rPr>
          <w:rStyle w:val="Heading1Char"/>
          <w:b/>
          <w:bCs/>
        </w:rPr>
        <w:t>&amp;</w:t>
      </w:r>
      <w:r w:rsidR="00957E06" w:rsidRPr="00B1086E">
        <w:rPr>
          <w:rStyle w:val="Heading1Char"/>
          <w:b/>
          <w:bCs/>
        </w:rPr>
        <w:t xml:space="preserve"> the Rights of Persons with Disabilities</w:t>
      </w:r>
    </w:p>
    <w:p w:rsidR="00C535F5" w:rsidRPr="00C535F5" w:rsidRDefault="00C535F5" w:rsidP="00C535F5"/>
    <w:p w:rsidR="00957E06" w:rsidRDefault="00957E06" w:rsidP="00957E06">
      <w:pPr>
        <w:spacing w:line="360" w:lineRule="auto"/>
      </w:pPr>
      <w:r>
        <w:t xml:space="preserve">The aim of this document is to give general information concerning why and how the Parliament, and particularly </w:t>
      </w:r>
      <w:r w:rsidR="00267FEB">
        <w:t xml:space="preserve">the </w:t>
      </w:r>
      <w:r w:rsidR="00267FEB" w:rsidRPr="00267FEB">
        <w:rPr>
          <w:b/>
        </w:rPr>
        <w:t>Regional Development</w:t>
      </w:r>
      <w:r w:rsidRPr="00267FEB">
        <w:rPr>
          <w:b/>
        </w:rPr>
        <w:t xml:space="preserve"> Committee</w:t>
      </w:r>
      <w:r>
        <w:t>, can improve the lives of persons with disabilities in the European Union and beyond.</w:t>
      </w:r>
    </w:p>
    <w:p w:rsidR="00256C88" w:rsidRDefault="00256C88" w:rsidP="00256C88">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rsidR="00C535F5" w:rsidRDefault="00C535F5" w:rsidP="008E7CB3">
      <w:pPr>
        <w:spacing w:line="360" w:lineRule="auto"/>
      </w:pPr>
    </w:p>
    <w:p w:rsidR="008E7CB3" w:rsidRDefault="008E7CB3" w:rsidP="008E7CB3">
      <w:pPr>
        <w:pStyle w:val="Heading2"/>
      </w:pPr>
      <w:r>
        <w:t>European Disability Forum</w:t>
      </w:r>
    </w:p>
    <w:p w:rsidR="008E7CB3" w:rsidRDefault="008E7CB3" w:rsidP="008E7CB3">
      <w:pPr>
        <w:spacing w:line="360" w:lineRule="auto"/>
      </w:pPr>
      <w:r>
        <w:t xml:space="preserve">The </w:t>
      </w:r>
      <w:r>
        <w:rPr>
          <w:b/>
        </w:rPr>
        <w:t>European Disability Forum (EDF)</w:t>
      </w:r>
      <w:r>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taken into account.</w:t>
      </w:r>
    </w:p>
    <w:p w:rsidR="008E7CB3" w:rsidRDefault="008E7CB3" w:rsidP="008E7CB3">
      <w:pPr>
        <w:spacing w:line="360" w:lineRule="auto"/>
      </w:pPr>
    </w:p>
    <w:p w:rsidR="00957E06" w:rsidRPr="007F55B2" w:rsidRDefault="00957E06" w:rsidP="00957E06">
      <w:pPr>
        <w:pStyle w:val="Heading2"/>
      </w:pPr>
      <w:r w:rsidRPr="007F55B2">
        <w:lastRenderedPageBreak/>
        <w:t xml:space="preserve">Disability </w:t>
      </w:r>
      <w:r w:rsidRPr="007F55B2">
        <w:rPr>
          <w:rStyle w:val="Heading2Char"/>
          <w:rFonts w:eastAsia="Calibri"/>
          <w:b/>
          <w:bCs/>
        </w:rPr>
        <w:t>Intergroup</w:t>
      </w:r>
    </w:p>
    <w:p w:rsidR="00957E06" w:rsidRDefault="00957E06" w:rsidP="00957E06">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rsidR="00C535F5" w:rsidRDefault="00C535F5" w:rsidP="00957E06">
      <w:pPr>
        <w:spacing w:line="360" w:lineRule="auto"/>
      </w:pPr>
    </w:p>
    <w:p w:rsidR="00957E06" w:rsidRPr="007F55B2" w:rsidRDefault="00957E06" w:rsidP="00957E06">
      <w:pPr>
        <w:pStyle w:val="Heading2"/>
      </w:pPr>
      <w:r w:rsidRPr="007F55B2">
        <w:t>UN</w:t>
      </w:r>
      <w:r>
        <w:t>CRPD</w:t>
      </w:r>
    </w:p>
    <w:p w:rsidR="00957E06" w:rsidRDefault="00957E06" w:rsidP="00957E06">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rsidR="00957E06" w:rsidRDefault="00957E06" w:rsidP="00957E06">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rsidR="00C535F5" w:rsidRDefault="00C535F5" w:rsidP="00957E06">
      <w:pPr>
        <w:spacing w:line="360" w:lineRule="auto"/>
      </w:pPr>
    </w:p>
    <w:p w:rsidR="00957E06" w:rsidRDefault="00957E06" w:rsidP="00957E06">
      <w:pPr>
        <w:pStyle w:val="Heading2"/>
      </w:pPr>
      <w:r w:rsidRPr="00FD1EDC">
        <w:t>European Charter of Fundamental R</w:t>
      </w:r>
      <w:r>
        <w:t>i</w:t>
      </w:r>
      <w:r w:rsidRPr="00FD1EDC">
        <w:t>ghts</w:t>
      </w:r>
    </w:p>
    <w:p w:rsidR="00E13A6D" w:rsidRPr="004B60A8" w:rsidRDefault="00872E61" w:rsidP="00C535F5">
      <w:pPr>
        <w:spacing w:line="360" w:lineRule="auto"/>
        <w:rPr>
          <w:rStyle w:val="Heading1Char"/>
          <w:rFonts w:eastAsia="Calibri"/>
          <w:b w:val="0"/>
          <w:bCs w:val="0"/>
          <w:color w:val="auto"/>
          <w:sz w:val="24"/>
          <w:szCs w:val="22"/>
        </w:rPr>
      </w:pPr>
      <w:r>
        <w:t xml:space="preserve">The </w:t>
      </w:r>
      <w:r>
        <w:rPr>
          <w:b/>
        </w:rPr>
        <w:t>European Charter of Fundamental Rights</w:t>
      </w:r>
      <w:r>
        <w:t xml:space="preserve"> addresses EU institutions and national authorities when 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Pr>
            <w:rStyle w:val="Hyperlink"/>
          </w:rPr>
          <w:t>Read the EU Charter of Fundamental Rights</w:t>
        </w:r>
      </w:hyperlink>
      <w:r>
        <w:t>.</w:t>
      </w:r>
    </w:p>
    <w:p w:rsidR="00035440" w:rsidRPr="00C535F5" w:rsidRDefault="00D8197A" w:rsidP="00C535F5">
      <w:pPr>
        <w:pStyle w:val="Heading1"/>
      </w:pPr>
      <w:r w:rsidRPr="00C535F5">
        <w:rPr>
          <w:rStyle w:val="Heading1Char"/>
          <w:b/>
          <w:bCs/>
        </w:rPr>
        <w:lastRenderedPageBreak/>
        <w:t>Regional Development – REGI</w:t>
      </w:r>
      <w:r w:rsidR="00D228ED" w:rsidRPr="00C535F5">
        <w:rPr>
          <w:rStyle w:val="Heading1Char"/>
          <w:b/>
          <w:bCs/>
        </w:rPr>
        <w:t xml:space="preserve"> Committee</w:t>
      </w:r>
    </w:p>
    <w:p w:rsidR="00C535F5" w:rsidRDefault="00C535F5" w:rsidP="00066A5B">
      <w:pPr>
        <w:spacing w:line="360" w:lineRule="auto"/>
      </w:pPr>
    </w:p>
    <w:p w:rsidR="00D228ED" w:rsidRDefault="005F1B88" w:rsidP="00066A5B">
      <w:pPr>
        <w:spacing w:line="360" w:lineRule="auto"/>
      </w:pPr>
      <w:r>
        <w:t>The work of the REGI Committee has proven to be one of the most crucial for upholding the rights of persons with disab</w:t>
      </w:r>
      <w:r w:rsidR="003F28A6">
        <w:t>ilities. The Committee has a say on how the Regional Development and Cohesion Funds are used across the EU. In the past, the Committee has been crucial in strengthening provisions ensuring accessibility for persons with disabilities via EU funds and pushing Member States to divest from institutions and move towards community-based solutions.</w:t>
      </w:r>
    </w:p>
    <w:p w:rsidR="00C535F5" w:rsidRDefault="00C535F5" w:rsidP="00066A5B">
      <w:pPr>
        <w:spacing w:line="360" w:lineRule="auto"/>
      </w:pPr>
    </w:p>
    <w:p w:rsidR="00D228ED" w:rsidRPr="00C535F5" w:rsidRDefault="00D228ED" w:rsidP="00C535F5">
      <w:pPr>
        <w:pStyle w:val="Heading2"/>
      </w:pPr>
      <w:r w:rsidRPr="00C535F5">
        <w:t>Political Priorities</w:t>
      </w:r>
    </w:p>
    <w:p w:rsidR="009058B2" w:rsidRDefault="009058B2" w:rsidP="009058B2">
      <w:pPr>
        <w:pStyle w:val="ListParagraph"/>
        <w:numPr>
          <w:ilvl w:val="0"/>
          <w:numId w:val="3"/>
        </w:numPr>
        <w:spacing w:line="360" w:lineRule="auto"/>
        <w:rPr>
          <w:b/>
        </w:rPr>
      </w:pPr>
      <w:bookmarkStart w:id="0" w:name="_Hlk19023760"/>
      <w:r>
        <w:rPr>
          <w:b/>
        </w:rPr>
        <w:t xml:space="preserve">Common Provisions Regulation: </w:t>
      </w:r>
      <w:r>
        <w:rPr>
          <w:bCs/>
        </w:rPr>
        <w:t xml:space="preserve">ensuring that the new CPR mentions accessibility for persons with disabilities as part of the mandatory criteria for the selection of operations, reinstates the promotion of non-discrimination and accessibility for persons with disabilities as a horizontal principle across Funds and includes NGOs and </w:t>
      </w:r>
      <w:r w:rsidR="00256C88">
        <w:rPr>
          <w:bCs/>
        </w:rPr>
        <w:t xml:space="preserve">organisations of persons with </w:t>
      </w:r>
      <w:proofErr w:type="gramStart"/>
      <w:r w:rsidR="00256C88">
        <w:rPr>
          <w:bCs/>
        </w:rPr>
        <w:t xml:space="preserve">disabilities </w:t>
      </w:r>
      <w:r>
        <w:rPr>
          <w:bCs/>
        </w:rPr>
        <w:t xml:space="preserve"> in</w:t>
      </w:r>
      <w:proofErr w:type="gramEnd"/>
      <w:r>
        <w:rPr>
          <w:bCs/>
        </w:rPr>
        <w:t xml:space="preserve"> the partnership and multilevel governance</w:t>
      </w:r>
      <w:r w:rsidR="00516074">
        <w:rPr>
          <w:bCs/>
        </w:rPr>
        <w:t>.</w:t>
      </w:r>
    </w:p>
    <w:bookmarkEnd w:id="0"/>
    <w:p w:rsidR="003F28A6" w:rsidRDefault="003F28A6" w:rsidP="00066A5B">
      <w:pPr>
        <w:pStyle w:val="ListParagraph"/>
        <w:numPr>
          <w:ilvl w:val="0"/>
          <w:numId w:val="3"/>
        </w:numPr>
        <w:spacing w:line="360" w:lineRule="auto"/>
      </w:pPr>
      <w:r>
        <w:rPr>
          <w:b/>
        </w:rPr>
        <w:t xml:space="preserve">Deinstitutionalisation: </w:t>
      </w:r>
      <w:r w:rsidRPr="003F28A6">
        <w:t>Ensuring that</w:t>
      </w:r>
      <w:r>
        <w:t xml:space="preserve"> EU funds prohibit investment in institutional care settings for persons with disabilities and prioritise funding and developing community-based services that promote inclusion and, wherever possible, independent living</w:t>
      </w:r>
      <w:r w:rsidR="0019148B">
        <w:t xml:space="preserve"> and personal assistance</w:t>
      </w:r>
      <w:r>
        <w:t>.</w:t>
      </w:r>
      <w:r w:rsidRPr="003F28A6">
        <w:t xml:space="preserve"> </w:t>
      </w:r>
    </w:p>
    <w:p w:rsidR="00C80F4F" w:rsidRPr="00C80F4F" w:rsidRDefault="003F28A6" w:rsidP="00066A5B">
      <w:pPr>
        <w:pStyle w:val="ListParagraph"/>
        <w:numPr>
          <w:ilvl w:val="0"/>
          <w:numId w:val="3"/>
        </w:numPr>
        <w:spacing w:line="360" w:lineRule="auto"/>
        <w:rPr>
          <w:b/>
        </w:rPr>
      </w:pPr>
      <w:r w:rsidRPr="003F28A6">
        <w:rPr>
          <w:b/>
        </w:rPr>
        <w:t xml:space="preserve">Accessible </w:t>
      </w:r>
      <w:r w:rsidR="00C80F4F">
        <w:rPr>
          <w:b/>
        </w:rPr>
        <w:t>infras</w:t>
      </w:r>
      <w:r w:rsidRPr="003F28A6">
        <w:rPr>
          <w:b/>
        </w:rPr>
        <w:t xml:space="preserve">tructure: </w:t>
      </w:r>
      <w:r w:rsidR="00C80F4F" w:rsidRPr="00C80F4F">
        <w:t>Making</w:t>
      </w:r>
      <w:r w:rsidR="00C80F4F">
        <w:t xml:space="preserve"> sure that EU-funded physical structures, particularly through the </w:t>
      </w:r>
      <w:r w:rsidR="007A6B3F">
        <w:t>European Regional Development Fund</w:t>
      </w:r>
      <w:r w:rsidR="00C80F4F">
        <w:t xml:space="preserve"> and Cohesion Funds, fully apply with accessibility requirements for persons with disabilities, to ensure that they are truly useable by all Europeans, be they able-bodied or not. </w:t>
      </w:r>
    </w:p>
    <w:p w:rsidR="003F28A6" w:rsidRPr="00256C88" w:rsidRDefault="003F28A6" w:rsidP="00066A5B">
      <w:pPr>
        <w:pStyle w:val="ListParagraph"/>
        <w:numPr>
          <w:ilvl w:val="0"/>
          <w:numId w:val="3"/>
        </w:numPr>
        <w:spacing w:line="360" w:lineRule="auto"/>
        <w:rPr>
          <w:b/>
        </w:rPr>
      </w:pPr>
      <w:r>
        <w:rPr>
          <w:b/>
        </w:rPr>
        <w:t xml:space="preserve">Monitoring and implementation: </w:t>
      </w:r>
      <w:r>
        <w:t>Putting pressure on the Commission to monitor the use of EU funds in the different Member States and intervene quickly in the case of misuses of funds that are not in line with the U</w:t>
      </w:r>
      <w:r w:rsidR="007A6B3F">
        <w:t>NCRPD, including when it comes to</w:t>
      </w:r>
      <w:r w:rsidR="007A6B3F" w:rsidRPr="007A6B3F">
        <w:t xml:space="preserve"> ensure that Member States better monitor deinstitutionalisation programmes and gather data to ensure that pe</w:t>
      </w:r>
      <w:r w:rsidR="007A6B3F">
        <w:t>rsons</w:t>
      </w:r>
      <w:r w:rsidR="007A6B3F" w:rsidRPr="007A6B3F">
        <w:t xml:space="preserve"> with disabilities are benefitting from reforms and that the alternatives created </w:t>
      </w:r>
      <w:r w:rsidR="007A6B3F" w:rsidRPr="007A6B3F">
        <w:lastRenderedPageBreak/>
        <w:t>through these programmes actually support independent and community living, in line with Article 19 of the UNCRPD.</w:t>
      </w:r>
    </w:p>
    <w:p w:rsidR="00256C88" w:rsidRPr="00256C88" w:rsidRDefault="00256C88" w:rsidP="00256C88">
      <w:pPr>
        <w:pStyle w:val="ListParagraph"/>
        <w:numPr>
          <w:ilvl w:val="0"/>
          <w:numId w:val="3"/>
        </w:numPr>
        <w:spacing w:line="360" w:lineRule="auto"/>
      </w:pPr>
      <w:r w:rsidRPr="00621D6C">
        <w:rPr>
          <w:b/>
        </w:rPr>
        <w:t>European Disability Strategy 2020-2030:</w:t>
      </w:r>
      <w:r w:rsidRPr="00D228ED">
        <w:t xml:space="preserve"> </w:t>
      </w:r>
      <w:r>
        <w:t xml:space="preserve">Over the past decade the Commission has been implementing its European Disability Strategy in order to mainstream disability issues into its policy making. Unlike when the first Strategy emerged, the EU and </w:t>
      </w:r>
      <w:proofErr w:type="gramStart"/>
      <w:r>
        <w:t>all of</w:t>
      </w:r>
      <w:proofErr w:type="gramEnd"/>
      <w:r>
        <w:t xml:space="preserve"> its Member States have now ratified the UNCRPD. In line with its obligations under the Convention, we are pushing for the EU to adopt a new, more ambitious Strategy for the coming decade. We call on the support of this Committee for its adoption and for the strength of its subsequent implementation. </w:t>
      </w:r>
      <w:bookmarkStart w:id="1" w:name="_GoBack"/>
      <w:bookmarkEnd w:id="1"/>
    </w:p>
    <w:p w:rsidR="00D228ED" w:rsidRDefault="00D228ED" w:rsidP="00642CAF"/>
    <w:p w:rsidR="00D228ED" w:rsidRDefault="00642CAF" w:rsidP="00066A5B">
      <w:pPr>
        <w:pStyle w:val="Heading2"/>
        <w:spacing w:line="360" w:lineRule="auto"/>
      </w:pPr>
      <w:r>
        <w:t>U</w:t>
      </w:r>
      <w:r w:rsidR="00D228ED">
        <w:t xml:space="preserve">seful resources </w:t>
      </w:r>
    </w:p>
    <w:p w:rsidR="00D228ED" w:rsidRDefault="00256C88" w:rsidP="00066A5B">
      <w:pPr>
        <w:pStyle w:val="ListParagraph"/>
        <w:numPr>
          <w:ilvl w:val="0"/>
          <w:numId w:val="5"/>
        </w:numPr>
        <w:spacing w:line="360" w:lineRule="auto"/>
      </w:pPr>
      <w:hyperlink r:id="rId16" w:history="1">
        <w:r w:rsidR="00D228ED" w:rsidRPr="00066A5B">
          <w:rPr>
            <w:rStyle w:val="Hyperlink"/>
          </w:rPr>
          <w:t>Your Rights in the EU</w:t>
        </w:r>
      </w:hyperlink>
    </w:p>
    <w:p w:rsidR="003F28A6" w:rsidRPr="007A6B3F" w:rsidRDefault="00256C88" w:rsidP="00066A5B">
      <w:pPr>
        <w:pStyle w:val="ListParagraph"/>
        <w:numPr>
          <w:ilvl w:val="0"/>
          <w:numId w:val="5"/>
        </w:numPr>
        <w:spacing w:line="360" w:lineRule="auto"/>
        <w:rPr>
          <w:rStyle w:val="Hyperlink"/>
          <w:color w:val="auto"/>
          <w:u w:val="none"/>
        </w:rPr>
      </w:pPr>
      <w:hyperlink r:id="rId17" w:history="1">
        <w:r w:rsidR="003F28A6" w:rsidRPr="003F28A6">
          <w:rPr>
            <w:rStyle w:val="Hyperlink"/>
          </w:rPr>
          <w:t>Common European Guidelines on the Transition from Institutional to Community-based Care</w:t>
        </w:r>
      </w:hyperlink>
    </w:p>
    <w:p w:rsidR="003934DE" w:rsidRPr="00C535F5" w:rsidRDefault="00256C88" w:rsidP="00066A5B">
      <w:pPr>
        <w:pStyle w:val="ListParagraph"/>
        <w:numPr>
          <w:ilvl w:val="0"/>
          <w:numId w:val="5"/>
        </w:numPr>
        <w:spacing w:line="360" w:lineRule="auto"/>
        <w:rPr>
          <w:rStyle w:val="Hyperlink"/>
          <w:color w:val="auto"/>
          <w:u w:val="none"/>
        </w:rPr>
      </w:pPr>
      <w:hyperlink r:id="rId18" w:history="1">
        <w:r w:rsidR="007A6B3F">
          <w:rPr>
            <w:rStyle w:val="Hyperlink"/>
          </w:rPr>
          <w:t>Mapping and Understanding Exclusion (report</w:t>
        </w:r>
      </w:hyperlink>
      <w:r w:rsidR="007A6B3F">
        <w:rPr>
          <w:rStyle w:val="Hyperlink"/>
        </w:rPr>
        <w:t>)</w:t>
      </w:r>
    </w:p>
    <w:p w:rsidR="00C535F5" w:rsidRPr="00C535F5" w:rsidRDefault="00C535F5" w:rsidP="00C535F5">
      <w:pPr>
        <w:spacing w:line="360" w:lineRule="auto"/>
        <w:rPr>
          <w:rStyle w:val="Heading2Char"/>
          <w:rFonts w:eastAsia="Calibri"/>
          <w:b w:val="0"/>
          <w:bCs w:val="0"/>
          <w:color w:val="auto"/>
          <w:sz w:val="24"/>
          <w:szCs w:val="22"/>
        </w:rPr>
      </w:pPr>
    </w:p>
    <w:p w:rsidR="003934DE" w:rsidRDefault="003934DE" w:rsidP="00066A5B">
      <w:pPr>
        <w:spacing w:line="360" w:lineRule="auto"/>
      </w:pPr>
      <w:r>
        <w:rPr>
          <w:rStyle w:val="Heading2Char"/>
          <w:rFonts w:eastAsia="Calibri"/>
        </w:rPr>
        <w:t>C</w:t>
      </w:r>
      <w:r w:rsidRPr="0003390D">
        <w:rPr>
          <w:rStyle w:val="Heading2Char"/>
          <w:rFonts w:eastAsia="Calibri"/>
        </w:rPr>
        <w:t>ontact</w:t>
      </w:r>
    </w:p>
    <w:p w:rsidR="00E13A6D" w:rsidRPr="00D228ED" w:rsidRDefault="007A60C9" w:rsidP="007A25BB">
      <w:pPr>
        <w:spacing w:line="360" w:lineRule="auto"/>
      </w:pPr>
      <w:hyperlink r:id="rId19" w:history="1">
        <w:r w:rsidR="003934DE" w:rsidRPr="0003390D">
          <w:rPr>
            <w:rStyle w:val="Hyperlink"/>
          </w:rPr>
          <w:t>Haydn Hammersley</w:t>
        </w:r>
      </w:hyperlink>
      <w:r w:rsidR="003934DE">
        <w:t>: EDF Social Policy officer</w:t>
      </w:r>
    </w:p>
    <w:sectPr w:rsidR="00E13A6D" w:rsidRPr="00D228ED" w:rsidSect="00066A5B">
      <w:headerReference w:type="default" r:id="rId20"/>
      <w:footerReference w:type="default" r:id="rId21"/>
      <w:headerReference w:type="first" r:id="rId22"/>
      <w:footerReference w:type="first" r:id="rId23"/>
      <w:pgSz w:w="11906" w:h="16838"/>
      <w:pgMar w:top="1440" w:right="1417" w:bottom="1417" w:left="1417" w:header="708"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0C9" w:rsidRDefault="007A60C9" w:rsidP="00E13A6D">
      <w:pPr>
        <w:spacing w:before="0" w:after="0"/>
      </w:pPr>
      <w:r>
        <w:separator/>
      </w:r>
    </w:p>
  </w:endnote>
  <w:endnote w:type="continuationSeparator" w:id="0">
    <w:p w:rsidR="007A60C9" w:rsidRDefault="007A60C9"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Default="00E13A6D">
    <w:pPr>
      <w:pStyle w:val="Footer"/>
      <w:jc w:val="center"/>
    </w:pPr>
    <w:r>
      <w:fldChar w:fldCharType="begin"/>
    </w:r>
    <w:r>
      <w:instrText xml:space="preserve"> PAGE   \* MERGEFORMAT </w:instrText>
    </w:r>
    <w:r>
      <w:fldChar w:fldCharType="separate"/>
    </w:r>
    <w:r w:rsidR="007A25BB">
      <w:rPr>
        <w:noProof/>
      </w:rPr>
      <w:t>4</w:t>
    </w:r>
    <w:r>
      <w:rPr>
        <w:noProof/>
      </w:rPr>
      <w:fldChar w:fldCharType="end"/>
    </w:r>
  </w:p>
  <w:p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0C9" w:rsidRDefault="007A60C9" w:rsidP="00E13A6D">
      <w:pPr>
        <w:spacing w:before="0" w:after="0"/>
      </w:pPr>
      <w:r>
        <w:separator/>
      </w:r>
    </w:p>
  </w:footnote>
  <w:footnote w:type="continuationSeparator" w:id="0">
    <w:p w:rsidR="007A60C9" w:rsidRDefault="007A60C9"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E61" w:rsidRDefault="00872E61">
    <w:pPr>
      <w:pStyle w:val="Header"/>
    </w:pPr>
    <w:r w:rsidRPr="00066A5B">
      <w:rPr>
        <w:noProof/>
        <w:lang w:val="es-ES_tradnl" w:eastAsia="es-ES_tradnl"/>
      </w:rPr>
      <w:drawing>
        <wp:anchor distT="0" distB="0" distL="114300" distR="114300" simplePos="0" relativeHeight="251662336" behindDoc="0" locked="0" layoutInCell="1" allowOverlap="1" wp14:anchorId="041A7E2C" wp14:editId="0767089F">
          <wp:simplePos x="0" y="0"/>
          <wp:positionH relativeFrom="page">
            <wp:align>right</wp:align>
          </wp:positionH>
          <wp:positionV relativeFrom="paragraph">
            <wp:posOffset>-446981</wp:posOffset>
          </wp:positionV>
          <wp:extent cx="989330" cy="753110"/>
          <wp:effectExtent l="0" t="0" r="127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A5B" w:rsidRDefault="00872E61">
    <w:pPr>
      <w:pStyle w:val="Header"/>
    </w:pPr>
    <w:r w:rsidRPr="00066A5B">
      <w:rPr>
        <w:noProof/>
        <w:lang w:val="es-ES_tradnl" w:eastAsia="es-ES_tradnl"/>
      </w:rPr>
      <w:drawing>
        <wp:anchor distT="0" distB="0" distL="114300" distR="114300" simplePos="0" relativeHeight="251659264" behindDoc="0" locked="0" layoutInCell="1" allowOverlap="1" wp14:anchorId="65C8F3D6" wp14:editId="693F544C">
          <wp:simplePos x="0" y="0"/>
          <wp:positionH relativeFrom="page">
            <wp:align>right</wp:align>
          </wp:positionH>
          <wp:positionV relativeFrom="paragraph">
            <wp:posOffset>-445283</wp:posOffset>
          </wp:positionV>
          <wp:extent cx="989330" cy="753110"/>
          <wp:effectExtent l="0" t="0" r="1270" b="889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A5B" w:rsidRPr="00066A5B">
      <w:rPr>
        <w:noProof/>
        <w:lang w:val="es-ES_tradnl" w:eastAsia="es-ES_tradnl"/>
      </w:rPr>
      <w:drawing>
        <wp:anchor distT="0" distB="0" distL="114300" distR="114300" simplePos="0" relativeHeight="251660288" behindDoc="1" locked="0" layoutInCell="1" allowOverlap="1" wp14:anchorId="1EBC67AA" wp14:editId="3CE19BC1">
          <wp:simplePos x="0" y="0"/>
          <wp:positionH relativeFrom="margin">
            <wp:align>left</wp:align>
          </wp:positionH>
          <wp:positionV relativeFrom="paragraph">
            <wp:posOffset>-238804</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61DE"/>
    <w:rsid w:val="00035440"/>
    <w:rsid w:val="00066A5B"/>
    <w:rsid w:val="00117D09"/>
    <w:rsid w:val="00134C06"/>
    <w:rsid w:val="0014510C"/>
    <w:rsid w:val="00153FC6"/>
    <w:rsid w:val="0019148B"/>
    <w:rsid w:val="00192505"/>
    <w:rsid w:val="001E1016"/>
    <w:rsid w:val="00233DC0"/>
    <w:rsid w:val="00255686"/>
    <w:rsid w:val="00256C88"/>
    <w:rsid w:val="00267FEB"/>
    <w:rsid w:val="002B46C1"/>
    <w:rsid w:val="00342D5A"/>
    <w:rsid w:val="00350731"/>
    <w:rsid w:val="003934DE"/>
    <w:rsid w:val="003F28A6"/>
    <w:rsid w:val="00422C98"/>
    <w:rsid w:val="004319A2"/>
    <w:rsid w:val="004A1559"/>
    <w:rsid w:val="004B60A8"/>
    <w:rsid w:val="004D4A3B"/>
    <w:rsid w:val="00505DEA"/>
    <w:rsid w:val="00516074"/>
    <w:rsid w:val="005607C0"/>
    <w:rsid w:val="00562213"/>
    <w:rsid w:val="00595F72"/>
    <w:rsid w:val="005F1B88"/>
    <w:rsid w:val="00642CAF"/>
    <w:rsid w:val="00655AB8"/>
    <w:rsid w:val="006C5E0A"/>
    <w:rsid w:val="007156D0"/>
    <w:rsid w:val="007563A6"/>
    <w:rsid w:val="007A25BB"/>
    <w:rsid w:val="007A60C9"/>
    <w:rsid w:val="007A6B3F"/>
    <w:rsid w:val="00872E61"/>
    <w:rsid w:val="0089546F"/>
    <w:rsid w:val="008C5D77"/>
    <w:rsid w:val="008E7CB3"/>
    <w:rsid w:val="009058B2"/>
    <w:rsid w:val="00957E06"/>
    <w:rsid w:val="009A3E26"/>
    <w:rsid w:val="009C7BA7"/>
    <w:rsid w:val="009F4143"/>
    <w:rsid w:val="00A526D1"/>
    <w:rsid w:val="00AF2D19"/>
    <w:rsid w:val="00B1086E"/>
    <w:rsid w:val="00B36532"/>
    <w:rsid w:val="00BD582E"/>
    <w:rsid w:val="00C535F5"/>
    <w:rsid w:val="00C80F4F"/>
    <w:rsid w:val="00C8252C"/>
    <w:rsid w:val="00D07BC4"/>
    <w:rsid w:val="00D228ED"/>
    <w:rsid w:val="00D8197A"/>
    <w:rsid w:val="00DB2677"/>
    <w:rsid w:val="00E06B6D"/>
    <w:rsid w:val="00E13A6D"/>
    <w:rsid w:val="00E62951"/>
    <w:rsid w:val="00E733BE"/>
    <w:rsid w:val="00EC2A10"/>
    <w:rsid w:val="00EC4280"/>
    <w:rsid w:val="00F02389"/>
    <w:rsid w:val="00F57CF5"/>
    <w:rsid w:val="00F71CDD"/>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6D069"/>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C535F5"/>
    <w:pPr>
      <w:keepNext/>
      <w:keepLines/>
      <w:spacing w:before="0"/>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35F5"/>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76017">
      <w:bodyDiv w:val="1"/>
      <w:marLeft w:val="0"/>
      <w:marRight w:val="0"/>
      <w:marTop w:val="0"/>
      <w:marBottom w:val="0"/>
      <w:divBdr>
        <w:top w:val="none" w:sz="0" w:space="0" w:color="auto"/>
        <w:left w:val="none" w:sz="0" w:space="0" w:color="auto"/>
        <w:bottom w:val="none" w:sz="0" w:space="0" w:color="auto"/>
        <w:right w:val="none" w:sz="0" w:space="0" w:color="auto"/>
      </w:divBdr>
    </w:div>
    <w:div w:id="394620750">
      <w:bodyDiv w:val="1"/>
      <w:marLeft w:val="0"/>
      <w:marRight w:val="0"/>
      <w:marTop w:val="0"/>
      <w:marBottom w:val="0"/>
      <w:divBdr>
        <w:top w:val="none" w:sz="0" w:space="0" w:color="auto"/>
        <w:left w:val="none" w:sz="0" w:space="0" w:color="auto"/>
        <w:bottom w:val="none" w:sz="0" w:space="0" w:color="auto"/>
        <w:right w:val="none" w:sz="0" w:space="0" w:color="auto"/>
      </w:divBdr>
    </w:div>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687049">
      <w:bodyDiv w:val="1"/>
      <w:marLeft w:val="0"/>
      <w:marRight w:val="0"/>
      <w:marTop w:val="0"/>
      <w:marBottom w:val="0"/>
      <w:divBdr>
        <w:top w:val="none" w:sz="0" w:space="0" w:color="auto"/>
        <w:left w:val="none" w:sz="0" w:space="0" w:color="auto"/>
        <w:bottom w:val="none" w:sz="0" w:space="0" w:color="auto"/>
        <w:right w:val="none" w:sz="0" w:space="0" w:color="auto"/>
      </w:divBdr>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www.mhe-sme.org/mapping-exclus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deinstitutionalisationdotcom.files.wordpress.com/2017/07/guidelines-final-english.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f-feph.org/know-your-righ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footer" Target="footer2.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mailto:haydn.hammersley@edf-feph.org"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C20B-37DE-4C5D-B68F-74ED29EC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325</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7022</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29</cp:revision>
  <dcterms:created xsi:type="dcterms:W3CDTF">2019-07-05T10:30:00Z</dcterms:created>
  <dcterms:modified xsi:type="dcterms:W3CDTF">2019-11-13T17:17:00Z</dcterms:modified>
</cp:coreProperties>
</file>