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E104B" w14:textId="3C9122FD" w:rsidR="002E449A" w:rsidRPr="009E5383" w:rsidRDefault="009B334B" w:rsidP="004A5EBC">
      <w:pPr>
        <w:pStyle w:val="Heading2"/>
        <w:rPr>
          <w:b/>
          <w:bCs/>
        </w:rPr>
      </w:pPr>
      <w:r w:rsidRPr="002F1060">
        <w:t xml:space="preserve">Fact sheet: </w:t>
      </w:r>
      <w:r w:rsidR="004152AD">
        <w:br/>
        <w:t>D</w:t>
      </w:r>
      <w:r w:rsidRPr="002F1060">
        <w:t>isability inclusiveness of development and humanitarian aid in</w:t>
      </w:r>
      <w:r w:rsidR="009E5383">
        <w:t xml:space="preserve"> </w:t>
      </w:r>
      <w:r w:rsidR="009E5383">
        <w:rPr>
          <w:b/>
          <w:bCs/>
        </w:rPr>
        <w:t>NORWAY</w:t>
      </w:r>
    </w:p>
    <w:p w14:paraId="7009E6B6" w14:textId="77777777" w:rsidR="00260A75" w:rsidRDefault="00260A75" w:rsidP="00260A75">
      <w:pPr>
        <w:rPr>
          <w:rFonts w:asciiTheme="majorHAnsi" w:eastAsiaTheme="majorEastAsia" w:hAnsiTheme="majorHAnsi" w:cstheme="majorBidi"/>
          <w:b/>
          <w:bCs/>
          <w:color w:val="1F3763" w:themeColor="accent1" w:themeShade="7F"/>
          <w:lang w:val="en-GB"/>
        </w:rPr>
      </w:pPr>
    </w:p>
    <w:tbl>
      <w:tblPr>
        <w:tblStyle w:val="TableGrid"/>
        <w:tblW w:w="0" w:type="auto"/>
        <w:tblLook w:val="04A0" w:firstRow="1" w:lastRow="0" w:firstColumn="1" w:lastColumn="0" w:noHBand="0" w:noVBand="1"/>
      </w:tblPr>
      <w:tblGrid>
        <w:gridCol w:w="9016"/>
      </w:tblGrid>
      <w:tr w:rsidR="00260A75" w:rsidRPr="00361C78" w14:paraId="4FAA2DE3" w14:textId="77777777" w:rsidTr="00426D79">
        <w:tc>
          <w:tcPr>
            <w:tcW w:w="9016" w:type="dxa"/>
          </w:tcPr>
          <w:p w14:paraId="46E4B96C" w14:textId="15058F97" w:rsidR="00260A75" w:rsidRPr="007F627D" w:rsidRDefault="00361C78" w:rsidP="00426D79">
            <w:pPr>
              <w:rPr>
                <w:rFonts w:asciiTheme="majorHAnsi" w:eastAsiaTheme="majorEastAsia" w:hAnsiTheme="majorHAnsi" w:cstheme="majorBidi"/>
                <w:b/>
                <w:bCs/>
                <w:color w:val="1F3763" w:themeColor="accent1" w:themeShade="7F"/>
                <w:lang w:val="en-GB"/>
              </w:rPr>
            </w:pPr>
            <w:hyperlink r:id="rId8" w:history="1">
              <w:r w:rsidR="00FA13DE" w:rsidRPr="00FA13DE">
                <w:rPr>
                  <w:rStyle w:val="Hyperlink"/>
                  <w:rFonts w:asciiTheme="majorHAnsi" w:eastAsiaTheme="majorEastAsia" w:hAnsiTheme="majorHAnsi" w:cstheme="majorBidi"/>
                  <w:b/>
                  <w:bCs/>
                  <w:lang w:val="en-GB"/>
                </w:rPr>
                <w:t>The Norwegian Agency for Development Cooperation</w:t>
              </w:r>
            </w:hyperlink>
            <w:r w:rsidR="00FA13DE" w:rsidRPr="00FA13DE">
              <w:rPr>
                <w:rFonts w:asciiTheme="majorHAnsi" w:eastAsiaTheme="majorEastAsia" w:hAnsiTheme="majorHAnsi" w:cstheme="majorBidi"/>
                <w:b/>
                <w:bCs/>
                <w:color w:val="1F3763" w:themeColor="accent1" w:themeShade="7F"/>
                <w:lang w:val="en-GB"/>
              </w:rPr>
              <w:t xml:space="preserve"> has played an important role in bringing disability inclusion into the international spotlight, and it has taken some initial steps to strengthen drivers of inclusion in its own programmes. It should now build on this momentum by working in partnership with organisations of persons with disabilities (DPOs) to develop ambitious internal strategies and measurable commitments that ensure all Norwegian Official Development Assistance is inclusive of, and accessible to, persons with disabilities.</w:t>
            </w:r>
          </w:p>
        </w:tc>
      </w:tr>
    </w:tbl>
    <w:p w14:paraId="0874712C" w14:textId="77777777" w:rsidR="0046485E" w:rsidRDefault="0046485E" w:rsidP="0046485E">
      <w:pPr>
        <w:rPr>
          <w:rFonts w:asciiTheme="majorHAnsi" w:eastAsiaTheme="majorEastAsia" w:hAnsiTheme="majorHAnsi" w:cstheme="majorBidi"/>
          <w:b/>
          <w:bCs/>
          <w:color w:val="1F3763" w:themeColor="accent1" w:themeShade="7F"/>
          <w:lang w:val="en-GB"/>
        </w:rPr>
      </w:pPr>
    </w:p>
    <w:p w14:paraId="70B73835" w14:textId="33A07666" w:rsidR="00C56829" w:rsidRPr="000573A4" w:rsidRDefault="0046485E" w:rsidP="00C56829">
      <w:pPr>
        <w:rPr>
          <w:lang w:val="en-GB" w:eastAsia="fr-FR"/>
        </w:rPr>
      </w:pPr>
      <w:r>
        <w:rPr>
          <w:rFonts w:asciiTheme="majorHAnsi" w:eastAsiaTheme="majorEastAsia" w:hAnsiTheme="majorHAnsi" w:cstheme="majorBidi"/>
          <w:b/>
          <w:bCs/>
          <w:color w:val="1F3763" w:themeColor="accent1" w:themeShade="7F"/>
          <w:lang w:val="en-GB"/>
        </w:rPr>
        <w:t>Methods used</w:t>
      </w:r>
      <w:r w:rsidRPr="003C180F">
        <w:rPr>
          <w:rFonts w:asciiTheme="majorHAnsi" w:eastAsiaTheme="majorEastAsia" w:hAnsiTheme="majorHAnsi" w:cstheme="majorBidi"/>
          <w:b/>
          <w:bCs/>
          <w:color w:val="1F3763" w:themeColor="accent1" w:themeShade="7F"/>
          <w:lang w:val="en-GB"/>
        </w:rPr>
        <w:t>:</w:t>
      </w:r>
      <w:r w:rsidRPr="000573A4">
        <w:rPr>
          <w:lang w:val="en-GB"/>
        </w:rPr>
        <w:t xml:space="preserve"> review of documents in the public </w:t>
      </w:r>
      <w:r w:rsidR="00846F16" w:rsidRPr="000573A4">
        <w:rPr>
          <w:lang w:val="en-GB"/>
        </w:rPr>
        <w:t>domain</w:t>
      </w:r>
      <w:r w:rsidR="00122F2E" w:rsidRPr="000573A4">
        <w:rPr>
          <w:lang w:val="en-GB"/>
        </w:rPr>
        <w:t xml:space="preserve"> (in English)</w:t>
      </w:r>
      <w:r w:rsidR="00EB6E7D" w:rsidRPr="000573A4">
        <w:rPr>
          <w:lang w:val="en-GB"/>
        </w:rPr>
        <w:t> ; review of the O</w:t>
      </w:r>
      <w:r w:rsidR="00571AF1" w:rsidRPr="000573A4">
        <w:rPr>
          <w:lang w:val="en-GB"/>
        </w:rPr>
        <w:t xml:space="preserve">rganisation for </w:t>
      </w:r>
      <w:r w:rsidR="00EB6E7D" w:rsidRPr="000573A4">
        <w:rPr>
          <w:lang w:val="en-GB"/>
        </w:rPr>
        <w:t>E</w:t>
      </w:r>
      <w:r w:rsidR="00571AF1" w:rsidRPr="000573A4">
        <w:rPr>
          <w:lang w:val="en-GB"/>
        </w:rPr>
        <w:t xml:space="preserve">conomic </w:t>
      </w:r>
      <w:r w:rsidR="00EB6E7D" w:rsidRPr="000573A4">
        <w:rPr>
          <w:lang w:val="en-GB"/>
        </w:rPr>
        <w:t>C</w:t>
      </w:r>
      <w:r w:rsidR="00571AF1" w:rsidRPr="000573A4">
        <w:rPr>
          <w:lang w:val="en-GB"/>
        </w:rPr>
        <w:t xml:space="preserve">ooperation and </w:t>
      </w:r>
      <w:r w:rsidR="00EB6E7D" w:rsidRPr="000573A4">
        <w:rPr>
          <w:lang w:val="en-GB"/>
        </w:rPr>
        <w:t>D</w:t>
      </w:r>
      <w:r w:rsidR="00571AF1" w:rsidRPr="000573A4">
        <w:rPr>
          <w:lang w:val="en-GB"/>
        </w:rPr>
        <w:t>evelopment’s</w:t>
      </w:r>
      <w:r w:rsidR="00EB6E7D" w:rsidRPr="000573A4">
        <w:rPr>
          <w:lang w:val="en-GB"/>
        </w:rPr>
        <w:t xml:space="preserve"> Creditor Reporting System database ; exchange with the Norwegian Federation of Organisations of Disabled People.</w:t>
      </w:r>
      <w:r w:rsidR="00887BD8" w:rsidRPr="000573A4">
        <w:rPr>
          <w:lang w:val="en-GB"/>
        </w:rPr>
        <w:t xml:space="preserve"> </w:t>
      </w:r>
      <w:r w:rsidR="00C56829" w:rsidRPr="000573A4">
        <w:rPr>
          <w:lang w:val="en-GB" w:eastAsia="fr-FR"/>
        </w:rPr>
        <w:t xml:space="preserve">The review took place between July and </w:t>
      </w:r>
      <w:r w:rsidR="00144CFB" w:rsidRPr="000573A4">
        <w:rPr>
          <w:lang w:val="en-GB" w:eastAsia="fr-FR"/>
        </w:rPr>
        <w:t>Septem</w:t>
      </w:r>
      <w:r w:rsidR="00C56829" w:rsidRPr="000573A4">
        <w:rPr>
          <w:lang w:val="en-GB" w:eastAsia="fr-FR"/>
        </w:rPr>
        <w:t xml:space="preserve">ber 2020. </w:t>
      </w:r>
    </w:p>
    <w:p w14:paraId="7F206916" w14:textId="3FF43886" w:rsidR="0046485E" w:rsidRPr="000573A4" w:rsidRDefault="00887BD8" w:rsidP="0046485E">
      <w:pPr>
        <w:rPr>
          <w:lang w:val="en-GB"/>
        </w:rPr>
      </w:pPr>
      <w:r>
        <w:rPr>
          <w:lang w:val="en-GB"/>
        </w:rPr>
        <w:t xml:space="preserve">For important context on the scope of the work, please refer to </w:t>
      </w:r>
      <w:r w:rsidRPr="00571AF1">
        <w:rPr>
          <w:highlight w:val="yellow"/>
          <w:lang w:val="en-GB"/>
        </w:rPr>
        <w:t>[link to methodology document].</w:t>
      </w:r>
    </w:p>
    <w:p w14:paraId="0533FFBE" w14:textId="76264C65" w:rsidR="0021216A" w:rsidRDefault="006A0808" w:rsidP="006A0808">
      <w:pPr>
        <w:pStyle w:val="Heading3"/>
        <w:rPr>
          <w:b/>
          <w:bCs/>
          <w:sz w:val="22"/>
          <w:szCs w:val="22"/>
          <w:lang w:val="en-GB"/>
        </w:rPr>
      </w:pPr>
      <w:r w:rsidRPr="002F1060">
        <w:rPr>
          <w:b/>
          <w:bCs/>
          <w:sz w:val="22"/>
          <w:szCs w:val="22"/>
          <w:lang w:val="en-GB"/>
        </w:rPr>
        <w:t>Key facts</w:t>
      </w:r>
    </w:p>
    <w:p w14:paraId="4DCC415C" w14:textId="77777777" w:rsidR="0046485E" w:rsidRPr="0056238A" w:rsidRDefault="0046485E" w:rsidP="0046485E">
      <w:pPr>
        <w:pStyle w:val="Heading3"/>
        <w:rPr>
          <w:b/>
          <w:bCs/>
          <w:sz w:val="20"/>
          <w:szCs w:val="20"/>
          <w:lang w:val="en-GB"/>
        </w:rPr>
      </w:pPr>
      <w:r w:rsidRPr="0056238A">
        <w:rPr>
          <w:b/>
          <w:bCs/>
          <w:sz w:val="20"/>
          <w:szCs w:val="20"/>
          <w:lang w:val="en-GB"/>
        </w:rPr>
        <w:t>STRATEGY AND LEADERSHIP</w:t>
      </w:r>
    </w:p>
    <w:p w14:paraId="2FF435B3" w14:textId="77777777" w:rsidR="0046485E" w:rsidRPr="0056238A" w:rsidRDefault="0046485E" w:rsidP="0046485E">
      <w:pPr>
        <w:pStyle w:val="Subtitle"/>
        <w:rPr>
          <w:sz w:val="20"/>
          <w:szCs w:val="20"/>
          <w:lang w:val="en-GB"/>
        </w:rPr>
      </w:pPr>
      <w:r>
        <w:rPr>
          <w:sz w:val="20"/>
          <w:szCs w:val="20"/>
          <w:lang w:val="en-GB"/>
        </w:rPr>
        <w:t>C</w:t>
      </w:r>
      <w:r w:rsidRPr="0056238A">
        <w:rPr>
          <w:sz w:val="20"/>
          <w:szCs w:val="20"/>
          <w:lang w:val="en-GB"/>
        </w:rPr>
        <w:t xml:space="preserve">lear </w:t>
      </w:r>
      <w:r>
        <w:rPr>
          <w:sz w:val="20"/>
          <w:szCs w:val="20"/>
          <w:lang w:val="en-GB"/>
        </w:rPr>
        <w:t xml:space="preserve">commitments in strategy documents and leaders’ statements have a key role to play in </w:t>
      </w:r>
      <w:r w:rsidRPr="0056238A">
        <w:rPr>
          <w:sz w:val="20"/>
          <w:szCs w:val="20"/>
          <w:lang w:val="en-GB"/>
        </w:rPr>
        <w:t xml:space="preserve">driving the </w:t>
      </w:r>
      <w:r>
        <w:rPr>
          <w:sz w:val="20"/>
          <w:szCs w:val="20"/>
          <w:lang w:val="en-GB"/>
        </w:rPr>
        <w:t xml:space="preserve">department-wide </w:t>
      </w:r>
      <w:r w:rsidRPr="0056238A">
        <w:rPr>
          <w:sz w:val="20"/>
          <w:szCs w:val="20"/>
          <w:lang w:val="en-GB"/>
        </w:rPr>
        <w:t>changes needed for disabilit</w:t>
      </w:r>
      <w:r>
        <w:rPr>
          <w:sz w:val="20"/>
          <w:szCs w:val="20"/>
          <w:lang w:val="en-GB"/>
        </w:rPr>
        <w:t xml:space="preserve">y </w:t>
      </w:r>
      <w:r w:rsidRPr="0056238A">
        <w:rPr>
          <w:sz w:val="20"/>
          <w:szCs w:val="20"/>
          <w:lang w:val="en-GB"/>
        </w:rPr>
        <w:t>inclusi</w:t>
      </w:r>
      <w:r>
        <w:rPr>
          <w:sz w:val="20"/>
          <w:szCs w:val="20"/>
          <w:lang w:val="en-GB"/>
        </w:rPr>
        <w:t>on.</w:t>
      </w:r>
      <w:r w:rsidRPr="0056238A">
        <w:rPr>
          <w:sz w:val="20"/>
          <w:szCs w:val="20"/>
          <w:lang w:val="en-GB"/>
        </w:rPr>
        <w:t xml:space="preserve"> </w:t>
      </w:r>
    </w:p>
    <w:p w14:paraId="12AAAEDD" w14:textId="2D88E6FC" w:rsidR="0046485E" w:rsidRDefault="0046485E" w:rsidP="0046485E">
      <w:pPr>
        <w:pStyle w:val="ListParagraph"/>
        <w:numPr>
          <w:ilvl w:val="0"/>
          <w:numId w:val="1"/>
        </w:numPr>
        <w:rPr>
          <w:lang w:val="en-GB"/>
        </w:rPr>
      </w:pPr>
      <w:r>
        <w:rPr>
          <w:b/>
          <w:bCs/>
          <w:lang w:val="en-GB"/>
        </w:rPr>
        <w:t>Ministry</w:t>
      </w:r>
      <w:r w:rsidRPr="00647BAD">
        <w:rPr>
          <w:b/>
          <w:bCs/>
          <w:lang w:val="en-GB"/>
        </w:rPr>
        <w:t xml:space="preserve"> in charge of international development and humanitarian action</w:t>
      </w:r>
      <w:r w:rsidRPr="004152AD">
        <w:rPr>
          <w:lang w:val="en-GB"/>
        </w:rPr>
        <w:t>:</w:t>
      </w:r>
      <w:r>
        <w:rPr>
          <w:lang w:val="en-GB"/>
        </w:rPr>
        <w:t xml:space="preserve"> </w:t>
      </w:r>
      <w:hyperlink r:id="rId9" w:history="1">
        <w:r w:rsidRPr="00FD181E">
          <w:rPr>
            <w:rStyle w:val="Hyperlink"/>
            <w:lang w:val="en-GB"/>
          </w:rPr>
          <w:t>Ministry of Foreign Affairs</w:t>
        </w:r>
      </w:hyperlink>
      <w:r>
        <w:rPr>
          <w:lang w:val="en-GB"/>
        </w:rPr>
        <w:t xml:space="preserve">, which includes the </w:t>
      </w:r>
      <w:hyperlink r:id="rId10" w:history="1">
        <w:r w:rsidRPr="009718BE">
          <w:rPr>
            <w:rStyle w:val="Hyperlink"/>
            <w:lang w:val="en-GB"/>
          </w:rPr>
          <w:t>Norwegian Agency for Development Cooperation</w:t>
        </w:r>
      </w:hyperlink>
      <w:r>
        <w:rPr>
          <w:lang w:val="en-GB"/>
        </w:rPr>
        <w:t xml:space="preserve"> (NORAD).</w:t>
      </w:r>
      <w:r w:rsidR="001A3594">
        <w:rPr>
          <w:lang w:val="en-GB"/>
        </w:rPr>
        <w:t xml:space="preserve"> Spending through the Ministry and NORAD amounted to around 95% of Norway’s total allocable O</w:t>
      </w:r>
      <w:r w:rsidR="00BC0E87">
        <w:rPr>
          <w:lang w:val="en-GB"/>
        </w:rPr>
        <w:t xml:space="preserve">fficial </w:t>
      </w:r>
      <w:r w:rsidR="001A3594">
        <w:rPr>
          <w:lang w:val="en-GB"/>
        </w:rPr>
        <w:t>D</w:t>
      </w:r>
      <w:r w:rsidR="00BC0E87">
        <w:rPr>
          <w:lang w:val="en-GB"/>
        </w:rPr>
        <w:t xml:space="preserve">evelopment </w:t>
      </w:r>
      <w:r w:rsidR="001A3594">
        <w:rPr>
          <w:lang w:val="en-GB"/>
        </w:rPr>
        <w:t>A</w:t>
      </w:r>
      <w:r w:rsidR="00BC0E87">
        <w:rPr>
          <w:lang w:val="en-GB"/>
        </w:rPr>
        <w:t>ssistance (ODA)</w:t>
      </w:r>
      <w:r w:rsidR="001A3594">
        <w:rPr>
          <w:lang w:val="en-GB"/>
        </w:rPr>
        <w:t xml:space="preserve"> spending in 2018.</w:t>
      </w:r>
      <w:r w:rsidR="001A3594">
        <w:rPr>
          <w:rStyle w:val="FootnoteReference"/>
          <w:lang w:val="en-GB"/>
        </w:rPr>
        <w:footnoteReference w:id="1"/>
      </w:r>
    </w:p>
    <w:p w14:paraId="390300F1" w14:textId="024914E2" w:rsidR="0046485E" w:rsidRPr="00D55EFE" w:rsidRDefault="0046485E" w:rsidP="0046485E">
      <w:pPr>
        <w:pStyle w:val="ListParagraph"/>
        <w:numPr>
          <w:ilvl w:val="0"/>
          <w:numId w:val="1"/>
        </w:numPr>
        <w:rPr>
          <w:lang w:val="en-GB"/>
        </w:rPr>
      </w:pPr>
      <w:r>
        <w:rPr>
          <w:b/>
          <w:bCs/>
          <w:lang w:val="en-GB"/>
        </w:rPr>
        <w:t>National strategy</w:t>
      </w:r>
      <w:r w:rsidR="00000FC0">
        <w:rPr>
          <w:b/>
          <w:bCs/>
          <w:lang w:val="en-GB"/>
        </w:rPr>
        <w:t>/policy</w:t>
      </w:r>
      <w:r>
        <w:rPr>
          <w:b/>
          <w:bCs/>
          <w:lang w:val="en-GB"/>
        </w:rPr>
        <w:t xml:space="preserve"> on disability</w:t>
      </w:r>
      <w:r w:rsidRPr="004152AD">
        <w:rPr>
          <w:lang w:val="en-GB"/>
        </w:rPr>
        <w:t>:</w:t>
      </w:r>
      <w:r>
        <w:rPr>
          <w:lang w:val="en-GB"/>
        </w:rPr>
        <w:t xml:space="preserve"> The Norwegian Government has a </w:t>
      </w:r>
      <w:hyperlink r:id="rId11" w:history="1">
        <w:r w:rsidRPr="001D7FE6">
          <w:rPr>
            <w:rStyle w:val="Hyperlink"/>
            <w:lang w:val="en-GB"/>
          </w:rPr>
          <w:t>strategy</w:t>
        </w:r>
      </w:hyperlink>
      <w:r>
        <w:rPr>
          <w:lang w:val="en-GB"/>
        </w:rPr>
        <w:t xml:space="preserve"> for the equality of persons with disabilities for the period 2020-2030. The strategy includes </w:t>
      </w:r>
      <w:r w:rsidR="002809B1">
        <w:rPr>
          <w:lang w:val="en-GB"/>
        </w:rPr>
        <w:t>a very brief</w:t>
      </w:r>
      <w:r w:rsidR="006670ED">
        <w:rPr>
          <w:lang w:val="en-GB"/>
        </w:rPr>
        <w:t xml:space="preserve"> </w:t>
      </w:r>
      <w:r>
        <w:rPr>
          <w:lang w:val="en-GB"/>
        </w:rPr>
        <w:t xml:space="preserve">section on </w:t>
      </w:r>
      <w:r w:rsidR="008965F8">
        <w:rPr>
          <w:lang w:val="en-GB"/>
        </w:rPr>
        <w:t>‘</w:t>
      </w:r>
      <w:r>
        <w:rPr>
          <w:lang w:val="en-GB"/>
        </w:rPr>
        <w:t>international cooperation</w:t>
      </w:r>
      <w:r w:rsidR="008965F8">
        <w:rPr>
          <w:lang w:val="en-GB"/>
        </w:rPr>
        <w:t>’</w:t>
      </w:r>
      <w:r>
        <w:rPr>
          <w:lang w:val="en-GB"/>
        </w:rPr>
        <w:t xml:space="preserve"> (section 4.3.4)</w:t>
      </w:r>
      <w:r w:rsidR="002809B1">
        <w:rPr>
          <w:lang w:val="en-GB"/>
        </w:rPr>
        <w:t xml:space="preserve">: </w:t>
      </w:r>
      <w:r w:rsidR="006670ED">
        <w:rPr>
          <w:lang w:val="en-GB"/>
        </w:rPr>
        <w:t>this</w:t>
      </w:r>
      <w:r w:rsidR="002809B1">
        <w:rPr>
          <w:lang w:val="en-GB"/>
        </w:rPr>
        <w:t xml:space="preserve"> </w:t>
      </w:r>
      <w:r w:rsidR="006670ED">
        <w:rPr>
          <w:lang w:val="en-GB"/>
        </w:rPr>
        <w:t>contains br</w:t>
      </w:r>
      <w:r w:rsidR="002809B1">
        <w:rPr>
          <w:lang w:val="en-GB"/>
        </w:rPr>
        <w:t>oad objectives on</w:t>
      </w:r>
      <w:r w:rsidR="006670ED">
        <w:rPr>
          <w:lang w:val="en-GB"/>
        </w:rPr>
        <w:t xml:space="preserve"> international engagement,</w:t>
      </w:r>
      <w:r w:rsidR="002809B1">
        <w:rPr>
          <w:lang w:val="en-GB"/>
        </w:rPr>
        <w:t xml:space="preserve"> but no</w:t>
      </w:r>
      <w:r w:rsidR="000C4040">
        <w:rPr>
          <w:lang w:val="en-GB"/>
        </w:rPr>
        <w:t>thing explicit</w:t>
      </w:r>
      <w:r w:rsidR="002809B1">
        <w:rPr>
          <w:lang w:val="en-GB"/>
        </w:rPr>
        <w:t xml:space="preserve"> on</w:t>
      </w:r>
      <w:r w:rsidR="006670ED">
        <w:rPr>
          <w:lang w:val="en-GB"/>
        </w:rPr>
        <w:t xml:space="preserve"> Norway’s own ODA spending</w:t>
      </w:r>
      <w:r>
        <w:rPr>
          <w:lang w:val="en-GB"/>
        </w:rPr>
        <w:t>.</w:t>
      </w:r>
    </w:p>
    <w:p w14:paraId="08AE5993" w14:textId="1034A72E" w:rsidR="0081187D" w:rsidRPr="00450931" w:rsidRDefault="0081187D" w:rsidP="0081187D">
      <w:pPr>
        <w:pStyle w:val="ListParagraph"/>
        <w:numPr>
          <w:ilvl w:val="0"/>
          <w:numId w:val="1"/>
        </w:numPr>
        <w:rPr>
          <w:lang w:val="en-GB"/>
        </w:rPr>
      </w:pPr>
      <w:r w:rsidRPr="00450931">
        <w:rPr>
          <w:b/>
          <w:bCs/>
          <w:lang w:val="en-GB"/>
        </w:rPr>
        <w:t>Law on O</w:t>
      </w:r>
      <w:r w:rsidR="00ED5B43">
        <w:rPr>
          <w:b/>
          <w:bCs/>
          <w:lang w:val="en-GB"/>
        </w:rPr>
        <w:t>DA</w:t>
      </w:r>
      <w:r w:rsidRPr="00450931">
        <w:rPr>
          <w:b/>
          <w:bCs/>
          <w:lang w:val="en-GB"/>
        </w:rPr>
        <w:t xml:space="preserve">: </w:t>
      </w:r>
      <w:r w:rsidRPr="00450931">
        <w:rPr>
          <w:lang w:val="en-GB"/>
        </w:rPr>
        <w:t>There is no separate law on O</w:t>
      </w:r>
      <w:r>
        <w:rPr>
          <w:lang w:val="en-GB"/>
        </w:rPr>
        <w:t>DA</w:t>
      </w:r>
      <w:r w:rsidRPr="00450931">
        <w:rPr>
          <w:lang w:val="en-GB"/>
        </w:rPr>
        <w:t xml:space="preserve">. The </w:t>
      </w:r>
      <w:r w:rsidR="005F53A1">
        <w:rPr>
          <w:lang w:val="en-GB"/>
        </w:rPr>
        <w:t>Norwegian</w:t>
      </w:r>
      <w:r w:rsidRPr="00450931">
        <w:rPr>
          <w:lang w:val="en-GB"/>
        </w:rPr>
        <w:t xml:space="preserve"> Parliament rules on O</w:t>
      </w:r>
      <w:r w:rsidR="00DB023F">
        <w:rPr>
          <w:lang w:val="en-GB"/>
        </w:rPr>
        <w:t>DA</w:t>
      </w:r>
      <w:r w:rsidRPr="00450931">
        <w:rPr>
          <w:lang w:val="en-GB"/>
        </w:rPr>
        <w:t xml:space="preserve"> spending every year through its annual budget.</w:t>
      </w:r>
      <w:r w:rsidRPr="00450931">
        <w:rPr>
          <w:rStyle w:val="FootnoteReference"/>
          <w:lang w:val="en-GB"/>
        </w:rPr>
        <w:footnoteReference w:id="2"/>
      </w:r>
      <w:r w:rsidRPr="00450931">
        <w:rPr>
          <w:lang w:val="en-GB"/>
        </w:rPr>
        <w:t xml:space="preserve"> </w:t>
      </w:r>
    </w:p>
    <w:p w14:paraId="43480148" w14:textId="56D84270" w:rsidR="0046485E" w:rsidRDefault="0046485E" w:rsidP="0046485E">
      <w:pPr>
        <w:pStyle w:val="ListParagraph"/>
        <w:numPr>
          <w:ilvl w:val="0"/>
          <w:numId w:val="1"/>
        </w:numPr>
        <w:jc w:val="both"/>
        <w:rPr>
          <w:lang w:val="en-GB"/>
        </w:rPr>
      </w:pPr>
      <w:r>
        <w:rPr>
          <w:b/>
          <w:bCs/>
          <w:lang w:val="en-GB"/>
        </w:rPr>
        <w:t>Overall s</w:t>
      </w:r>
      <w:r w:rsidRPr="00397CB5">
        <w:rPr>
          <w:b/>
          <w:bCs/>
          <w:lang w:val="en-GB"/>
        </w:rPr>
        <w:t>trategy</w:t>
      </w:r>
      <w:r w:rsidR="00000FC0">
        <w:rPr>
          <w:b/>
          <w:bCs/>
          <w:lang w:val="en-GB"/>
        </w:rPr>
        <w:t>/policy</w:t>
      </w:r>
      <w:r w:rsidRPr="00397CB5">
        <w:rPr>
          <w:b/>
          <w:bCs/>
          <w:lang w:val="en-GB"/>
        </w:rPr>
        <w:t xml:space="preserve"> on </w:t>
      </w:r>
      <w:r>
        <w:rPr>
          <w:b/>
          <w:bCs/>
          <w:lang w:val="en-GB"/>
        </w:rPr>
        <w:t>international cooperation and humanitarian action</w:t>
      </w:r>
      <w:r>
        <w:rPr>
          <w:lang w:val="en-GB"/>
        </w:rPr>
        <w:t xml:space="preserve">: The four most relevant strategy documents are: the Ministry of Foreign Affairs’ </w:t>
      </w:r>
      <w:hyperlink r:id="rId12" w:history="1">
        <w:r w:rsidRPr="00221571">
          <w:rPr>
            <w:rStyle w:val="Hyperlink"/>
            <w:lang w:val="en-GB"/>
          </w:rPr>
          <w:t>White Paper</w:t>
        </w:r>
      </w:hyperlink>
      <w:r>
        <w:rPr>
          <w:lang w:val="en-GB"/>
        </w:rPr>
        <w:t xml:space="preserve"> on the SDGs (2017), the Ministry of Foreign Affairs’ </w:t>
      </w:r>
      <w:hyperlink r:id="rId13" w:history="1">
        <w:r w:rsidRPr="00221571">
          <w:rPr>
            <w:rStyle w:val="Hyperlink"/>
            <w:lang w:val="en-GB"/>
          </w:rPr>
          <w:t>humanitarian strategy</w:t>
        </w:r>
      </w:hyperlink>
      <w:r>
        <w:rPr>
          <w:lang w:val="en-GB"/>
        </w:rPr>
        <w:t xml:space="preserve"> (2018), the Ministry of Foreign Affairs’ </w:t>
      </w:r>
      <w:hyperlink r:id="rId14" w:history="1">
        <w:r w:rsidRPr="00366270">
          <w:rPr>
            <w:rStyle w:val="Hyperlink"/>
            <w:lang w:val="en-GB"/>
          </w:rPr>
          <w:t>White Paper</w:t>
        </w:r>
      </w:hyperlink>
      <w:r>
        <w:rPr>
          <w:lang w:val="en-GB"/>
        </w:rPr>
        <w:t xml:space="preserve"> on multilateral cooperation (2019), and NORAD’s </w:t>
      </w:r>
      <w:hyperlink r:id="rId15" w:history="1">
        <w:r w:rsidRPr="00BD2D55">
          <w:rPr>
            <w:rStyle w:val="Hyperlink"/>
            <w:lang w:val="en-GB"/>
          </w:rPr>
          <w:t>strategy</w:t>
        </w:r>
      </w:hyperlink>
      <w:r>
        <w:rPr>
          <w:lang w:val="en-GB"/>
        </w:rPr>
        <w:t xml:space="preserve"> (2016). The first three of </w:t>
      </w:r>
      <w:r w:rsidR="00C8223F">
        <w:rPr>
          <w:lang w:val="en-GB"/>
        </w:rPr>
        <w:t xml:space="preserve">the documents </w:t>
      </w:r>
      <w:r>
        <w:rPr>
          <w:lang w:val="en-GB"/>
        </w:rPr>
        <w:t>contain brief references to disability</w:t>
      </w:r>
      <w:r w:rsidR="00C8223F">
        <w:rPr>
          <w:lang w:val="en-GB"/>
        </w:rPr>
        <w:t xml:space="preserve">. These cover: the need to </w:t>
      </w:r>
      <w:r w:rsidR="00E33566">
        <w:rPr>
          <w:lang w:val="en-GB"/>
        </w:rPr>
        <w:t>ensure educational opportunities for children with disabilities;</w:t>
      </w:r>
      <w:r w:rsidR="00083D00">
        <w:rPr>
          <w:rStyle w:val="FootnoteReference"/>
          <w:lang w:val="en-GB"/>
        </w:rPr>
        <w:footnoteReference w:id="3"/>
      </w:r>
      <w:r w:rsidR="00E33566">
        <w:rPr>
          <w:lang w:val="en-GB"/>
        </w:rPr>
        <w:t xml:space="preserve"> to </w:t>
      </w:r>
      <w:r w:rsidR="005F5E51">
        <w:rPr>
          <w:lang w:val="en-GB"/>
        </w:rPr>
        <w:t xml:space="preserve"> include</w:t>
      </w:r>
      <w:r w:rsidR="00E33566">
        <w:rPr>
          <w:lang w:val="en-GB"/>
        </w:rPr>
        <w:t xml:space="preserve"> persons with disabilities (among other ‘vulnerable groups’) in</w:t>
      </w:r>
      <w:r w:rsidR="005F5E51">
        <w:rPr>
          <w:lang w:val="en-GB"/>
        </w:rPr>
        <w:t xml:space="preserve"> planning and implementing humanitarian action</w:t>
      </w:r>
      <w:r w:rsidR="00E33566">
        <w:rPr>
          <w:lang w:val="en-GB"/>
        </w:rPr>
        <w:t>;</w:t>
      </w:r>
      <w:r w:rsidR="0009079E">
        <w:rPr>
          <w:rStyle w:val="FootnoteReference"/>
          <w:lang w:val="en-GB"/>
        </w:rPr>
        <w:footnoteReference w:id="4"/>
      </w:r>
      <w:r w:rsidR="00E33566">
        <w:rPr>
          <w:lang w:val="en-GB"/>
        </w:rPr>
        <w:t xml:space="preserve"> and to pay particular </w:t>
      </w:r>
      <w:r w:rsidR="00E33566">
        <w:rPr>
          <w:lang w:val="en-GB"/>
        </w:rPr>
        <w:lastRenderedPageBreak/>
        <w:t xml:space="preserve">attention to the </w:t>
      </w:r>
      <w:r w:rsidR="00C8223F">
        <w:rPr>
          <w:lang w:val="en-GB"/>
        </w:rPr>
        <w:t>civil and political rights of persons with disabilities</w:t>
      </w:r>
      <w:r w:rsidR="00E33566">
        <w:rPr>
          <w:lang w:val="en-GB"/>
        </w:rPr>
        <w:t xml:space="preserve"> (among other ‘vulnerable groups’).</w:t>
      </w:r>
      <w:r w:rsidR="00CA58A6">
        <w:rPr>
          <w:rStyle w:val="FootnoteReference"/>
          <w:lang w:val="en-GB"/>
        </w:rPr>
        <w:footnoteReference w:id="5"/>
      </w:r>
      <w:r w:rsidR="00E33566">
        <w:rPr>
          <w:lang w:val="en-GB"/>
        </w:rPr>
        <w:t xml:space="preserve"> </w:t>
      </w:r>
      <w:r w:rsidR="00FA611D">
        <w:rPr>
          <w:lang w:val="en-GB"/>
        </w:rPr>
        <w:t xml:space="preserve">However, none of the documents contain </w:t>
      </w:r>
      <w:r>
        <w:rPr>
          <w:lang w:val="en-GB"/>
        </w:rPr>
        <w:t>measurable commitments</w:t>
      </w:r>
      <w:r w:rsidR="00FA611D">
        <w:rPr>
          <w:lang w:val="en-GB"/>
        </w:rPr>
        <w:t xml:space="preserve"> on disability</w:t>
      </w:r>
      <w:r>
        <w:rPr>
          <w:lang w:val="en-GB"/>
        </w:rPr>
        <w:t xml:space="preserve">. </w:t>
      </w:r>
    </w:p>
    <w:p w14:paraId="3C65F7EE" w14:textId="2376F9BB" w:rsidR="0046485E" w:rsidRDefault="0046485E" w:rsidP="0046485E">
      <w:pPr>
        <w:pStyle w:val="ListParagraph"/>
        <w:numPr>
          <w:ilvl w:val="0"/>
          <w:numId w:val="1"/>
        </w:numPr>
        <w:jc w:val="both"/>
        <w:rPr>
          <w:lang w:val="en-GB"/>
        </w:rPr>
      </w:pPr>
      <w:r w:rsidRPr="0020390B">
        <w:rPr>
          <w:b/>
          <w:bCs/>
          <w:lang w:val="en-GB"/>
        </w:rPr>
        <w:t>Strategy</w:t>
      </w:r>
      <w:r w:rsidR="00000FC0" w:rsidRPr="0020390B">
        <w:rPr>
          <w:b/>
          <w:bCs/>
          <w:lang w:val="en-GB"/>
        </w:rPr>
        <w:t>/policy</w:t>
      </w:r>
      <w:r w:rsidRPr="0020390B">
        <w:rPr>
          <w:b/>
          <w:bCs/>
          <w:lang w:val="en-GB"/>
        </w:rPr>
        <w:t xml:space="preserve"> on disability in international cooperation and humanitarian action</w:t>
      </w:r>
      <w:r>
        <w:rPr>
          <w:b/>
          <w:bCs/>
          <w:lang w:val="en-GB"/>
        </w:rPr>
        <w:t xml:space="preserve">: </w:t>
      </w:r>
      <w:r>
        <w:rPr>
          <w:lang w:val="en-GB"/>
        </w:rPr>
        <w:t>The Ministry of Foreign Affairs</w:t>
      </w:r>
      <w:r w:rsidR="003351D0">
        <w:rPr>
          <w:lang w:val="en-GB"/>
        </w:rPr>
        <w:t xml:space="preserve">’ most recent policy document on </w:t>
      </w:r>
      <w:r>
        <w:rPr>
          <w:lang w:val="en-GB"/>
        </w:rPr>
        <w:t>‘</w:t>
      </w:r>
      <w:hyperlink r:id="rId16" w:history="1">
        <w:r w:rsidRPr="00496F98">
          <w:rPr>
            <w:rStyle w:val="Hyperlink"/>
            <w:lang w:val="en-GB"/>
          </w:rPr>
          <w:t>Norway’s international efforts to promote the rights of persons with disabilities</w:t>
        </w:r>
      </w:hyperlink>
      <w:r>
        <w:rPr>
          <w:lang w:val="en-GB"/>
        </w:rPr>
        <w:t xml:space="preserve">’ </w:t>
      </w:r>
      <w:r w:rsidR="003351D0">
        <w:rPr>
          <w:lang w:val="en-GB"/>
        </w:rPr>
        <w:t xml:space="preserve">dates from </w:t>
      </w:r>
      <w:r>
        <w:rPr>
          <w:lang w:val="en-GB"/>
        </w:rPr>
        <w:t>2013</w:t>
      </w:r>
      <w:r w:rsidR="003351D0">
        <w:rPr>
          <w:lang w:val="en-GB"/>
        </w:rPr>
        <w:t>, before the current government came to power</w:t>
      </w:r>
      <w:r>
        <w:rPr>
          <w:lang w:val="en-GB"/>
        </w:rPr>
        <w:t xml:space="preserve">. </w:t>
      </w:r>
      <w:r w:rsidR="003351D0">
        <w:rPr>
          <w:lang w:val="en-GB"/>
        </w:rPr>
        <w:t xml:space="preserve">The policy covers education, gender, health, humanitarian action, and some cross-cutting areas such as support to </w:t>
      </w:r>
      <w:r w:rsidR="007B0E1E">
        <w:rPr>
          <w:lang w:val="en-GB"/>
        </w:rPr>
        <w:t>organisations of persons with disabilities (</w:t>
      </w:r>
      <w:r w:rsidR="00361C78">
        <w:rPr>
          <w:lang w:val="en-GB"/>
        </w:rPr>
        <w:t>DPOs</w:t>
      </w:r>
      <w:r w:rsidR="007B0E1E">
        <w:rPr>
          <w:lang w:val="en-GB"/>
        </w:rPr>
        <w:t>)</w:t>
      </w:r>
      <w:r w:rsidR="003351D0">
        <w:rPr>
          <w:lang w:val="en-GB"/>
        </w:rPr>
        <w:t xml:space="preserve"> and research. </w:t>
      </w:r>
      <w:r w:rsidR="006551DF">
        <w:rPr>
          <w:lang w:val="en-GB"/>
        </w:rPr>
        <w:t xml:space="preserve">In the document, Norway focuses its commitments </w:t>
      </w:r>
      <w:r w:rsidR="00FD39D6">
        <w:rPr>
          <w:lang w:val="en-GB"/>
        </w:rPr>
        <w:t xml:space="preserve">primarily </w:t>
      </w:r>
      <w:r w:rsidR="006551DF">
        <w:rPr>
          <w:lang w:val="en-GB"/>
        </w:rPr>
        <w:t xml:space="preserve">on </w:t>
      </w:r>
      <w:r w:rsidR="003351D0">
        <w:rPr>
          <w:lang w:val="en-GB"/>
        </w:rPr>
        <w:t>influenc</w:t>
      </w:r>
      <w:r w:rsidR="006551DF">
        <w:rPr>
          <w:lang w:val="en-GB"/>
        </w:rPr>
        <w:t>ing</w:t>
      </w:r>
      <w:r w:rsidR="003351D0">
        <w:rPr>
          <w:lang w:val="en-GB"/>
        </w:rPr>
        <w:t xml:space="preserve"> multilateral</w:t>
      </w:r>
      <w:r w:rsidR="009E7AFA">
        <w:rPr>
          <w:lang w:val="en-GB"/>
        </w:rPr>
        <w:t xml:space="preserve">, </w:t>
      </w:r>
      <w:r w:rsidR="003351D0">
        <w:rPr>
          <w:lang w:val="en-GB"/>
        </w:rPr>
        <w:t xml:space="preserve">civil society </w:t>
      </w:r>
      <w:r w:rsidR="009E7AFA">
        <w:rPr>
          <w:lang w:val="en-GB"/>
        </w:rPr>
        <w:t xml:space="preserve">and government </w:t>
      </w:r>
      <w:r w:rsidR="003351D0">
        <w:rPr>
          <w:lang w:val="en-GB"/>
        </w:rPr>
        <w:t>actors</w:t>
      </w:r>
      <w:r w:rsidR="00DA0A72">
        <w:rPr>
          <w:lang w:val="en-GB"/>
        </w:rPr>
        <w:t>, a</w:t>
      </w:r>
      <w:r w:rsidR="00FD39D6">
        <w:rPr>
          <w:lang w:val="en-GB"/>
        </w:rPr>
        <w:t>nd on</w:t>
      </w:r>
      <w:r w:rsidR="00DA0A72">
        <w:rPr>
          <w:lang w:val="en-GB"/>
        </w:rPr>
        <w:t xml:space="preserve"> </w:t>
      </w:r>
      <w:r w:rsidR="00FD39D6">
        <w:rPr>
          <w:lang w:val="en-GB"/>
        </w:rPr>
        <w:t xml:space="preserve">making some new </w:t>
      </w:r>
      <w:r w:rsidR="00DA0A72">
        <w:rPr>
          <w:lang w:val="en-GB"/>
        </w:rPr>
        <w:t>funding allocations</w:t>
      </w:r>
      <w:r w:rsidR="003351D0">
        <w:rPr>
          <w:lang w:val="en-GB"/>
        </w:rPr>
        <w:t>.</w:t>
      </w:r>
      <w:r w:rsidR="00DA0A72">
        <w:rPr>
          <w:lang w:val="en-GB"/>
        </w:rPr>
        <w:t xml:space="preserve"> </w:t>
      </w:r>
      <w:r w:rsidR="00CD2432">
        <w:rPr>
          <w:lang w:val="en-GB"/>
        </w:rPr>
        <w:t>The commitments are not</w:t>
      </w:r>
      <w:r w:rsidR="00392457">
        <w:rPr>
          <w:lang w:val="en-GB"/>
        </w:rPr>
        <w:t xml:space="preserve"> explicitly</w:t>
      </w:r>
      <w:r w:rsidR="00CD2432">
        <w:rPr>
          <w:lang w:val="en-GB"/>
        </w:rPr>
        <w:t xml:space="preserve"> linked to a</w:t>
      </w:r>
      <w:r w:rsidR="00392457">
        <w:rPr>
          <w:lang w:val="en-GB"/>
        </w:rPr>
        <w:t xml:space="preserve"> </w:t>
      </w:r>
      <w:r w:rsidR="008965F8">
        <w:rPr>
          <w:lang w:val="en-GB"/>
        </w:rPr>
        <w:t xml:space="preserve">full </w:t>
      </w:r>
      <w:r w:rsidR="00CD2432">
        <w:rPr>
          <w:lang w:val="en-GB"/>
        </w:rPr>
        <w:t>theory of change for upholding Norway’s obligations</w:t>
      </w:r>
      <w:r w:rsidR="0060294D">
        <w:rPr>
          <w:lang w:val="en-GB"/>
        </w:rPr>
        <w:t xml:space="preserve"> under the UN Convention on the Rights of Persons with Disabilities</w:t>
      </w:r>
      <w:r w:rsidR="00CD2432">
        <w:rPr>
          <w:lang w:val="en-GB"/>
        </w:rPr>
        <w:t xml:space="preserve">, and in </w:t>
      </w:r>
      <w:r w:rsidR="00DA0A72">
        <w:rPr>
          <w:lang w:val="en-GB"/>
        </w:rPr>
        <w:t>general the commitments are not measurable.</w:t>
      </w:r>
      <w:r w:rsidR="00494612">
        <w:rPr>
          <w:rStyle w:val="FootnoteReference"/>
          <w:lang w:val="en-GB"/>
        </w:rPr>
        <w:footnoteReference w:id="6"/>
      </w:r>
      <w:r w:rsidR="00DA0A72">
        <w:rPr>
          <w:lang w:val="en-GB"/>
        </w:rPr>
        <w:t xml:space="preserve"> </w:t>
      </w:r>
      <w:r w:rsidR="0074790C">
        <w:rPr>
          <w:lang w:val="en-GB"/>
        </w:rPr>
        <w:t>D</w:t>
      </w:r>
      <w:r>
        <w:rPr>
          <w:lang w:val="en-GB"/>
        </w:rPr>
        <w:t xml:space="preserve">isability is also covered in the Ministry of Foreign Affairs’ </w:t>
      </w:r>
      <w:hyperlink r:id="rId17" w:history="1">
        <w:r w:rsidRPr="00366270">
          <w:rPr>
            <w:rStyle w:val="Hyperlink"/>
            <w:lang w:val="en-GB"/>
          </w:rPr>
          <w:t>White Paper on human rights</w:t>
        </w:r>
      </w:hyperlink>
      <w:r>
        <w:rPr>
          <w:lang w:val="en-GB"/>
        </w:rPr>
        <w:t xml:space="preserve"> (2015)</w:t>
      </w:r>
      <w:r w:rsidR="00B83526">
        <w:rPr>
          <w:lang w:val="en-GB"/>
        </w:rPr>
        <w:t xml:space="preserve">, which includes both a </w:t>
      </w:r>
      <w:r w:rsidR="00AC4D10">
        <w:rPr>
          <w:lang w:val="en-GB"/>
        </w:rPr>
        <w:t xml:space="preserve">stand-alone </w:t>
      </w:r>
      <w:r w:rsidR="00B83526">
        <w:rPr>
          <w:lang w:val="en-GB"/>
        </w:rPr>
        <w:t>section on disability</w:t>
      </w:r>
      <w:r w:rsidR="00392457">
        <w:rPr>
          <w:lang w:val="en-GB"/>
        </w:rPr>
        <w:t>,</w:t>
      </w:r>
      <w:r w:rsidR="00B83526">
        <w:rPr>
          <w:lang w:val="en-GB"/>
        </w:rPr>
        <w:t xml:space="preserve"> and references to disability in other prioritised sectors (particularly education and humanitarian action). </w:t>
      </w:r>
      <w:r w:rsidR="008B46CC">
        <w:rPr>
          <w:lang w:val="en-GB"/>
        </w:rPr>
        <w:t>T</w:t>
      </w:r>
      <w:r w:rsidR="000E09D9">
        <w:rPr>
          <w:lang w:val="en-GB"/>
        </w:rPr>
        <w:t xml:space="preserve">he document is relatively brief, </w:t>
      </w:r>
      <w:r w:rsidR="00B83526">
        <w:rPr>
          <w:lang w:val="en-GB"/>
        </w:rPr>
        <w:t>an</w:t>
      </w:r>
      <w:r w:rsidR="000E09D9">
        <w:rPr>
          <w:lang w:val="en-GB"/>
        </w:rPr>
        <w:t>d</w:t>
      </w:r>
      <w:r w:rsidR="00B83526">
        <w:rPr>
          <w:lang w:val="en-GB"/>
        </w:rPr>
        <w:t xml:space="preserve"> again the commitments are generally not measureable.</w:t>
      </w:r>
    </w:p>
    <w:p w14:paraId="375F8FBD" w14:textId="1AE7091B" w:rsidR="0046485E" w:rsidRPr="008975EB" w:rsidRDefault="0046485E" w:rsidP="0046485E">
      <w:pPr>
        <w:pStyle w:val="ListParagraph"/>
        <w:numPr>
          <w:ilvl w:val="0"/>
          <w:numId w:val="1"/>
        </w:numPr>
        <w:jc w:val="both"/>
        <w:rPr>
          <w:lang w:val="en-GB"/>
        </w:rPr>
      </w:pPr>
      <w:r>
        <w:rPr>
          <w:b/>
          <w:bCs/>
          <w:lang w:val="en-GB"/>
        </w:rPr>
        <w:t>Charter on inclusion of persons with disabilities in humanitarian action:</w:t>
      </w:r>
      <w:r>
        <w:rPr>
          <w:lang w:val="en-GB"/>
        </w:rPr>
        <w:t xml:space="preserve"> </w:t>
      </w:r>
      <w:r w:rsidR="000842F5">
        <w:rPr>
          <w:lang w:val="en-GB"/>
        </w:rPr>
        <w:t>Norway</w:t>
      </w:r>
      <w:r>
        <w:rPr>
          <w:lang w:val="en-GB"/>
        </w:rPr>
        <w:t xml:space="preserve"> has endorsed the </w:t>
      </w:r>
      <w:hyperlink r:id="rId18" w:history="1">
        <w:r w:rsidRPr="00E61A8D">
          <w:rPr>
            <w:rStyle w:val="Hyperlink"/>
            <w:lang w:val="en-GB"/>
          </w:rPr>
          <w:t>charter</w:t>
        </w:r>
      </w:hyperlink>
      <w:r>
        <w:rPr>
          <w:lang w:val="en-GB"/>
        </w:rPr>
        <w:t>.</w:t>
      </w:r>
    </w:p>
    <w:p w14:paraId="2EE537F5" w14:textId="2B8A13B4" w:rsidR="0046485E" w:rsidRDefault="0046485E" w:rsidP="0046485E">
      <w:pPr>
        <w:pStyle w:val="ListParagraph"/>
        <w:numPr>
          <w:ilvl w:val="0"/>
          <w:numId w:val="1"/>
        </w:numPr>
        <w:rPr>
          <w:lang w:val="en-GB"/>
        </w:rPr>
      </w:pPr>
      <w:r>
        <w:rPr>
          <w:b/>
          <w:bCs/>
          <w:lang w:val="en-GB"/>
        </w:rPr>
        <w:t xml:space="preserve">Evidence of senior commitment to disability inclusion in international cooperation and humanitarian action: </w:t>
      </w:r>
      <w:r>
        <w:rPr>
          <w:lang w:val="en-GB"/>
        </w:rPr>
        <w:t xml:space="preserve">The Minister of International Development, </w:t>
      </w:r>
      <w:r w:rsidRPr="00B17835">
        <w:rPr>
          <w:lang w:val="en-GB"/>
        </w:rPr>
        <w:t>Dag-Inge Ulstein</w:t>
      </w:r>
      <w:r>
        <w:rPr>
          <w:lang w:val="en-GB"/>
        </w:rPr>
        <w:t>, announced 100 million krone</w:t>
      </w:r>
      <w:r w:rsidR="007F07E3">
        <w:rPr>
          <w:lang w:val="en-GB"/>
        </w:rPr>
        <w:t>r</w:t>
      </w:r>
      <w:r>
        <w:rPr>
          <w:lang w:val="en-GB"/>
        </w:rPr>
        <w:t xml:space="preserve"> (US$ 11.6 million) additional funding for disability-related work in March 2019 and said, “</w:t>
      </w:r>
      <w:r w:rsidRPr="00B17835">
        <w:rPr>
          <w:lang w:val="en-GB"/>
        </w:rPr>
        <w:t>we must give this area priority. The Government will pursue an even more inclusive development policy, with a particular focus on education, global health and support for civil society</w:t>
      </w:r>
      <w:r>
        <w:rPr>
          <w:lang w:val="en-GB"/>
        </w:rPr>
        <w:t>.”</w:t>
      </w:r>
      <w:r>
        <w:rPr>
          <w:rStyle w:val="FootnoteReference"/>
          <w:lang w:val="en-GB"/>
        </w:rPr>
        <w:footnoteReference w:id="7"/>
      </w:r>
      <w:r w:rsidR="00B9483F">
        <w:rPr>
          <w:lang w:val="en-GB"/>
        </w:rPr>
        <w:t xml:space="preserve"> In July 2020, Mr Ulstein took part in a high-level round table to highlight the importance of including persons with disabilities in COVID-19 response and recovery.</w:t>
      </w:r>
      <w:r w:rsidR="00B9483F">
        <w:rPr>
          <w:rStyle w:val="FootnoteReference"/>
          <w:lang w:val="en-GB"/>
        </w:rPr>
        <w:footnoteReference w:id="8"/>
      </w:r>
    </w:p>
    <w:p w14:paraId="0178BE01" w14:textId="77777777" w:rsidR="00D37B9F" w:rsidRDefault="00D37B9F" w:rsidP="00D37B9F">
      <w:pPr>
        <w:pStyle w:val="ListParagraph"/>
        <w:numPr>
          <w:ilvl w:val="0"/>
          <w:numId w:val="1"/>
        </w:numPr>
        <w:rPr>
          <w:lang w:val="en-GB"/>
        </w:rPr>
      </w:pPr>
      <w:r w:rsidRPr="00397CB5">
        <w:rPr>
          <w:b/>
          <w:bCs/>
          <w:lang w:val="en-GB"/>
        </w:rPr>
        <w:t xml:space="preserve">Engagement in the </w:t>
      </w:r>
      <w:hyperlink r:id="rId19" w:history="1">
        <w:r w:rsidRPr="00397CB5">
          <w:rPr>
            <w:rStyle w:val="Hyperlink"/>
            <w:b/>
            <w:bCs/>
            <w:lang w:val="en-GB"/>
          </w:rPr>
          <w:t>Global Action on Disability (GLAD) Network</w:t>
        </w:r>
      </w:hyperlink>
      <w:r>
        <w:rPr>
          <w:lang w:val="en-GB"/>
        </w:rPr>
        <w:t>: Norway is one of the Co-Chairs of the GLAD Network.</w:t>
      </w:r>
    </w:p>
    <w:p w14:paraId="101DD341" w14:textId="73470623" w:rsidR="00D37B9F" w:rsidRPr="00CE66E3" w:rsidRDefault="00D37B9F" w:rsidP="00D37B9F">
      <w:pPr>
        <w:pStyle w:val="ListParagraph"/>
        <w:numPr>
          <w:ilvl w:val="0"/>
          <w:numId w:val="1"/>
        </w:numPr>
        <w:rPr>
          <w:lang w:val="en-GB"/>
        </w:rPr>
      </w:pPr>
      <w:bookmarkStart w:id="0" w:name="_Hlk47175746"/>
      <w:r>
        <w:rPr>
          <w:b/>
          <w:bCs/>
          <w:lang w:val="en-GB"/>
        </w:rPr>
        <w:t>Other engagement on disability inclusion with international actors in the fields of development cooperation and humanitarian action</w:t>
      </w:r>
      <w:r>
        <w:rPr>
          <w:lang w:val="en-GB"/>
        </w:rPr>
        <w:t xml:space="preserve">: </w:t>
      </w:r>
      <w:bookmarkEnd w:id="0"/>
      <w:r w:rsidRPr="00CE66E3">
        <w:rPr>
          <w:lang w:val="en-GB"/>
        </w:rPr>
        <w:t>Norway has championed disability inclusion in a range of international forums, particularly in the education sector</w:t>
      </w:r>
      <w:r w:rsidR="003572BF">
        <w:rPr>
          <w:lang w:val="en-GB"/>
        </w:rPr>
        <w:t>.</w:t>
      </w:r>
      <w:r>
        <w:rPr>
          <w:rStyle w:val="FootnoteReference"/>
          <w:lang w:val="en-GB"/>
        </w:rPr>
        <w:footnoteReference w:id="9"/>
      </w:r>
      <w:r w:rsidR="003572BF">
        <w:rPr>
          <w:lang w:val="en-GB"/>
        </w:rPr>
        <w:t xml:space="preserve"> In 2018, Norway co-founded the Inclusive Education Initiative, which supports disability-inclusive education through coordination, knowledge sharing, finance, and data collection.</w:t>
      </w:r>
      <w:r w:rsidR="003572BF">
        <w:rPr>
          <w:rStyle w:val="FootnoteReference"/>
          <w:lang w:val="en-GB"/>
        </w:rPr>
        <w:footnoteReference w:id="10"/>
      </w:r>
      <w:r w:rsidR="003572BF">
        <w:rPr>
          <w:lang w:val="en-GB"/>
        </w:rPr>
        <w:t xml:space="preserve"> </w:t>
      </w:r>
      <w:r w:rsidR="00834A17">
        <w:rPr>
          <w:lang w:val="en-GB"/>
        </w:rPr>
        <w:t>Norway will host the next Global Disability Summit, in 202</w:t>
      </w:r>
      <w:r w:rsidR="00B2207C">
        <w:rPr>
          <w:lang w:val="en-GB"/>
        </w:rPr>
        <w:t>2</w:t>
      </w:r>
      <w:r w:rsidR="00834A17">
        <w:rPr>
          <w:lang w:val="en-GB"/>
        </w:rPr>
        <w:t>.</w:t>
      </w:r>
      <w:r w:rsidR="00834A17">
        <w:rPr>
          <w:rStyle w:val="FootnoteReference"/>
          <w:lang w:val="en-GB"/>
        </w:rPr>
        <w:footnoteReference w:id="11"/>
      </w:r>
    </w:p>
    <w:p w14:paraId="419462BD" w14:textId="49457383" w:rsidR="00CC374F" w:rsidRPr="00C51E42" w:rsidRDefault="00CC374F" w:rsidP="00CC374F">
      <w:pPr>
        <w:pStyle w:val="Heading3"/>
        <w:rPr>
          <w:b/>
          <w:bCs/>
          <w:sz w:val="20"/>
          <w:szCs w:val="20"/>
          <w:lang w:val="en-GB"/>
        </w:rPr>
      </w:pPr>
      <w:bookmarkStart w:id="1" w:name="_Hlk48652649"/>
      <w:r w:rsidRPr="00C51E42">
        <w:rPr>
          <w:b/>
          <w:bCs/>
          <w:sz w:val="20"/>
          <w:szCs w:val="20"/>
          <w:lang w:val="en-GB"/>
        </w:rPr>
        <w:t xml:space="preserve">ENGAGEMENT WITH </w:t>
      </w:r>
      <w:r w:rsidR="00361C78">
        <w:rPr>
          <w:b/>
          <w:bCs/>
          <w:sz w:val="20"/>
          <w:szCs w:val="20"/>
          <w:lang w:val="en-GB"/>
        </w:rPr>
        <w:t>DPOs</w:t>
      </w:r>
    </w:p>
    <w:p w14:paraId="749CD2DC" w14:textId="657D0665" w:rsidR="00CC374F" w:rsidRPr="00C51E42" w:rsidRDefault="00CC374F" w:rsidP="00CC374F">
      <w:pPr>
        <w:rPr>
          <w:rFonts w:eastAsiaTheme="minorEastAsia"/>
          <w:color w:val="5A5A5A" w:themeColor="text1" w:themeTint="A5"/>
          <w:spacing w:val="15"/>
          <w:sz w:val="20"/>
          <w:szCs w:val="20"/>
          <w:lang w:val="en-GB"/>
        </w:rPr>
      </w:pPr>
      <w:r w:rsidRPr="00C51E42">
        <w:rPr>
          <w:rFonts w:eastAsiaTheme="minorEastAsia"/>
          <w:color w:val="5A5A5A" w:themeColor="text1" w:themeTint="A5"/>
          <w:spacing w:val="15"/>
          <w:sz w:val="20"/>
          <w:szCs w:val="20"/>
          <w:lang w:val="en-GB"/>
        </w:rPr>
        <w:t xml:space="preserve">High-quality engagement with </w:t>
      </w:r>
      <w:r w:rsidR="00361C78">
        <w:rPr>
          <w:rFonts w:eastAsiaTheme="minorEastAsia"/>
          <w:color w:val="5A5A5A" w:themeColor="text1" w:themeTint="A5"/>
          <w:spacing w:val="15"/>
          <w:sz w:val="20"/>
          <w:szCs w:val="20"/>
          <w:lang w:val="en-GB"/>
        </w:rPr>
        <w:t>DPOs</w:t>
      </w:r>
      <w:r w:rsidRPr="00C51E42">
        <w:rPr>
          <w:rFonts w:eastAsiaTheme="minorEastAsia"/>
          <w:color w:val="5A5A5A" w:themeColor="text1" w:themeTint="A5"/>
          <w:spacing w:val="15"/>
          <w:sz w:val="20"/>
          <w:szCs w:val="20"/>
          <w:lang w:val="en-GB"/>
        </w:rPr>
        <w:t xml:space="preserve"> is fundamental. Not only does it make development cooperation and humanitarian action legally compliant and technically stronger in the short </w:t>
      </w:r>
      <w:r w:rsidRPr="00C51E42">
        <w:rPr>
          <w:rFonts w:eastAsiaTheme="minorEastAsia"/>
          <w:color w:val="5A5A5A" w:themeColor="text1" w:themeTint="A5"/>
          <w:spacing w:val="15"/>
          <w:sz w:val="20"/>
          <w:szCs w:val="20"/>
          <w:lang w:val="en-GB"/>
        </w:rPr>
        <w:lastRenderedPageBreak/>
        <w:t>term. By strengthening the disability movement and making space for real participation</w:t>
      </w:r>
      <w:r w:rsidR="006715C1">
        <w:rPr>
          <w:rFonts w:eastAsiaTheme="minorEastAsia"/>
          <w:color w:val="5A5A5A" w:themeColor="text1" w:themeTint="A5"/>
          <w:spacing w:val="15"/>
          <w:sz w:val="20"/>
          <w:szCs w:val="20"/>
          <w:lang w:val="en-GB"/>
        </w:rPr>
        <w:t xml:space="preserve"> – as the “subject of action”, not the “object of intervention”</w:t>
      </w:r>
      <w:r w:rsidR="006715C1" w:rsidRPr="00C51E42">
        <w:rPr>
          <w:rFonts w:eastAsiaTheme="minorEastAsia"/>
          <w:color w:val="5A5A5A" w:themeColor="text1" w:themeTint="A5"/>
          <w:spacing w:val="15"/>
          <w:sz w:val="20"/>
          <w:szCs w:val="20"/>
          <w:lang w:val="en-GB"/>
        </w:rPr>
        <w:t>,</w:t>
      </w:r>
      <w:r w:rsidR="006715C1">
        <w:rPr>
          <w:rStyle w:val="FootnoteReference"/>
          <w:rFonts w:eastAsiaTheme="minorEastAsia"/>
          <w:color w:val="5A5A5A" w:themeColor="text1" w:themeTint="A5"/>
          <w:spacing w:val="15"/>
          <w:sz w:val="20"/>
          <w:szCs w:val="20"/>
          <w:lang w:val="en-GB"/>
        </w:rPr>
        <w:footnoteReference w:id="12"/>
      </w:r>
      <w:r w:rsidRPr="00C51E42">
        <w:rPr>
          <w:rFonts w:eastAsiaTheme="minorEastAsia"/>
          <w:color w:val="5A5A5A" w:themeColor="text1" w:themeTint="A5"/>
          <w:spacing w:val="15"/>
          <w:sz w:val="20"/>
          <w:szCs w:val="20"/>
          <w:lang w:val="en-GB"/>
        </w:rPr>
        <w:t xml:space="preserve"> it also contributes to the redistribution of power that is a pre-requisite for sustainable disability-inclusive development in the long-term.</w:t>
      </w:r>
      <w:r>
        <w:rPr>
          <w:rStyle w:val="FootnoteReference"/>
          <w:rFonts w:eastAsiaTheme="minorEastAsia"/>
          <w:color w:val="5A5A5A" w:themeColor="text1" w:themeTint="A5"/>
          <w:spacing w:val="15"/>
          <w:sz w:val="20"/>
          <w:szCs w:val="20"/>
          <w:lang w:val="en-GB"/>
        </w:rPr>
        <w:footnoteReference w:id="13"/>
      </w:r>
      <w:r w:rsidRPr="00C51E42">
        <w:rPr>
          <w:rFonts w:eastAsiaTheme="minorEastAsia"/>
          <w:color w:val="5A5A5A" w:themeColor="text1" w:themeTint="A5"/>
          <w:spacing w:val="15"/>
          <w:sz w:val="20"/>
          <w:szCs w:val="20"/>
          <w:lang w:val="en-GB"/>
        </w:rPr>
        <w:t xml:space="preserve"> </w:t>
      </w:r>
    </w:p>
    <w:bookmarkEnd w:id="1"/>
    <w:p w14:paraId="5D7CF3A7" w14:textId="53434129" w:rsidR="007C3044" w:rsidRPr="00211E30" w:rsidRDefault="00361C78" w:rsidP="007C3044">
      <w:pPr>
        <w:pStyle w:val="ListParagraph"/>
        <w:numPr>
          <w:ilvl w:val="0"/>
          <w:numId w:val="4"/>
        </w:numPr>
        <w:rPr>
          <w:lang w:val="en-GB"/>
        </w:rPr>
      </w:pPr>
      <w:r>
        <w:rPr>
          <w:b/>
          <w:bCs/>
          <w:lang w:val="en-GB"/>
        </w:rPr>
        <w:t>DPO</w:t>
      </w:r>
      <w:r w:rsidR="007C3044" w:rsidRPr="00211E30">
        <w:rPr>
          <w:b/>
          <w:bCs/>
          <w:lang w:val="en-GB"/>
        </w:rPr>
        <w:t xml:space="preserve"> engagement in </w:t>
      </w:r>
      <w:r w:rsidR="007C3044">
        <w:rPr>
          <w:b/>
          <w:bCs/>
          <w:lang w:val="en-GB"/>
        </w:rPr>
        <w:t>Norway’s</w:t>
      </w:r>
      <w:r w:rsidR="007C3044" w:rsidRPr="00211E30">
        <w:rPr>
          <w:b/>
          <w:bCs/>
          <w:lang w:val="en-GB"/>
        </w:rPr>
        <w:t xml:space="preserve"> </w:t>
      </w:r>
      <w:r w:rsidR="0090500C">
        <w:rPr>
          <w:b/>
          <w:bCs/>
          <w:lang w:val="en-GB"/>
        </w:rPr>
        <w:t>ODA</w:t>
      </w:r>
      <w:r w:rsidR="007C3044" w:rsidRPr="00211E30">
        <w:rPr>
          <w:lang w:val="en-GB"/>
        </w:rPr>
        <w:t>:</w:t>
      </w:r>
      <w:r w:rsidR="007C3044">
        <w:rPr>
          <w:lang w:val="en-GB"/>
        </w:rPr>
        <w:t xml:space="preserve"> </w:t>
      </w:r>
      <w:r w:rsidR="00FC3456">
        <w:rPr>
          <w:lang w:val="en-GB"/>
        </w:rPr>
        <w:t>I</w:t>
      </w:r>
      <w:r w:rsidR="007C3044">
        <w:rPr>
          <w:lang w:val="en-GB"/>
        </w:rPr>
        <w:t xml:space="preserve">n 2019 the Committee on the Rights of Persons with Disabilities said it was concerned about the lack of information on effective involvement of </w:t>
      </w:r>
      <w:r>
        <w:rPr>
          <w:lang w:val="en-GB"/>
        </w:rPr>
        <w:t>DPOs</w:t>
      </w:r>
      <w:r w:rsidR="007C3044">
        <w:rPr>
          <w:lang w:val="en-GB"/>
        </w:rPr>
        <w:t xml:space="preserve"> as partners in Norway’s development cooperation.</w:t>
      </w:r>
      <w:r w:rsidR="007C3044">
        <w:rPr>
          <w:rStyle w:val="FootnoteReference"/>
          <w:lang w:val="en-GB"/>
        </w:rPr>
        <w:footnoteReference w:id="14"/>
      </w:r>
      <w:r w:rsidR="009B3243">
        <w:rPr>
          <w:lang w:val="en-GB"/>
        </w:rPr>
        <w:t xml:space="preserve"> </w:t>
      </w:r>
      <w:r w:rsidR="00440AEC">
        <w:rPr>
          <w:lang w:val="en-GB"/>
        </w:rPr>
        <w:t xml:space="preserve">Apart from some training activities (noted below), and a </w:t>
      </w:r>
      <w:r w:rsidR="00E82E7C">
        <w:rPr>
          <w:lang w:val="en-GB"/>
        </w:rPr>
        <w:t>broad</w:t>
      </w:r>
      <w:r w:rsidR="00440AEC">
        <w:rPr>
          <w:lang w:val="en-GB"/>
        </w:rPr>
        <w:t xml:space="preserve"> recognition that persons with disabilit</w:t>
      </w:r>
      <w:r w:rsidR="000573A4">
        <w:rPr>
          <w:lang w:val="en-GB"/>
        </w:rPr>
        <w:t>i</w:t>
      </w:r>
      <w:r w:rsidR="00440AEC">
        <w:rPr>
          <w:lang w:val="en-GB"/>
        </w:rPr>
        <w:t>es should be consulted in the planning of humanitarian response (noted above), t</w:t>
      </w:r>
      <w:r w:rsidR="009D7E1B">
        <w:rPr>
          <w:lang w:val="en-GB"/>
        </w:rPr>
        <w:t xml:space="preserve">he documents reviewed for this fact sheet did not give </w:t>
      </w:r>
      <w:r w:rsidR="00E82E7C">
        <w:rPr>
          <w:lang w:val="en-GB"/>
        </w:rPr>
        <w:t xml:space="preserve">specific </w:t>
      </w:r>
      <w:r w:rsidR="009D7E1B">
        <w:rPr>
          <w:lang w:val="en-GB"/>
        </w:rPr>
        <w:t xml:space="preserve">evidence of </w:t>
      </w:r>
      <w:r>
        <w:rPr>
          <w:lang w:val="en-GB"/>
        </w:rPr>
        <w:t>DPO</w:t>
      </w:r>
      <w:r w:rsidR="009D7E1B">
        <w:rPr>
          <w:lang w:val="en-GB"/>
        </w:rPr>
        <w:t xml:space="preserve"> participation in the design, implementation and monitoring of mainstream policies and programmes. At the level of disability-targeted interventions, </w:t>
      </w:r>
      <w:r w:rsidR="008E1959">
        <w:rPr>
          <w:lang w:val="en-GB"/>
        </w:rPr>
        <w:t>Norway channels some of its disability-targeted funding through</w:t>
      </w:r>
      <w:r w:rsidR="0090500C">
        <w:rPr>
          <w:lang w:val="en-GB"/>
        </w:rPr>
        <w:t xml:space="preserve"> the Atlas Alliance (an alliance of</w:t>
      </w:r>
      <w:r w:rsidR="008E1959">
        <w:rPr>
          <w:lang w:val="en-GB"/>
        </w:rPr>
        <w:t xml:space="preserve"> Norwegian </w:t>
      </w:r>
      <w:r>
        <w:rPr>
          <w:lang w:val="en-GB"/>
        </w:rPr>
        <w:t>DPOs</w:t>
      </w:r>
      <w:r w:rsidR="008E1959">
        <w:rPr>
          <w:lang w:val="en-GB"/>
        </w:rPr>
        <w:t xml:space="preserve">, </w:t>
      </w:r>
      <w:r w:rsidR="0090500C">
        <w:rPr>
          <w:lang w:val="en-GB"/>
        </w:rPr>
        <w:t xml:space="preserve">and </w:t>
      </w:r>
      <w:r w:rsidR="00F4369A">
        <w:rPr>
          <w:lang w:val="en-GB"/>
        </w:rPr>
        <w:t>n</w:t>
      </w:r>
      <w:r w:rsidR="00B56604">
        <w:rPr>
          <w:lang w:val="en-GB"/>
        </w:rPr>
        <w:t>on-</w:t>
      </w:r>
      <w:r w:rsidR="00F4369A">
        <w:rPr>
          <w:lang w:val="en-GB"/>
        </w:rPr>
        <w:t>g</w:t>
      </w:r>
      <w:r w:rsidR="00B56604">
        <w:rPr>
          <w:lang w:val="en-GB"/>
        </w:rPr>
        <w:t xml:space="preserve">overnmental </w:t>
      </w:r>
      <w:r w:rsidR="00F4369A">
        <w:rPr>
          <w:lang w:val="en-GB"/>
        </w:rPr>
        <w:t>o</w:t>
      </w:r>
      <w:r w:rsidR="00B56604">
        <w:rPr>
          <w:lang w:val="en-GB"/>
        </w:rPr>
        <w:t>rganisation</w:t>
      </w:r>
      <w:r w:rsidR="0090500C">
        <w:rPr>
          <w:lang w:val="en-GB"/>
        </w:rPr>
        <w:t xml:space="preserve">s engaged in disability-targeted ODA), but </w:t>
      </w:r>
      <w:r w:rsidR="008E1959">
        <w:rPr>
          <w:lang w:val="en-GB"/>
        </w:rPr>
        <w:t xml:space="preserve">the level of such funding has been in decline, </w:t>
      </w:r>
      <w:r w:rsidR="0090500C">
        <w:rPr>
          <w:lang w:val="en-GB"/>
        </w:rPr>
        <w:t>while</w:t>
      </w:r>
      <w:r w:rsidR="008E1959">
        <w:rPr>
          <w:lang w:val="en-GB"/>
        </w:rPr>
        <w:t xml:space="preserve"> co-funding requirements may deter smaller Norwegian </w:t>
      </w:r>
      <w:r>
        <w:rPr>
          <w:lang w:val="en-GB"/>
        </w:rPr>
        <w:t>DPOs</w:t>
      </w:r>
      <w:r w:rsidR="008E1959">
        <w:rPr>
          <w:lang w:val="en-GB"/>
        </w:rPr>
        <w:t xml:space="preserve"> from applying</w:t>
      </w:r>
      <w:r w:rsidR="0090500C" w:rsidRPr="0090500C">
        <w:rPr>
          <w:lang w:val="en-GB"/>
        </w:rPr>
        <w:t xml:space="preserve"> </w:t>
      </w:r>
      <w:r w:rsidR="0090500C">
        <w:rPr>
          <w:lang w:val="en-GB"/>
        </w:rPr>
        <w:t>for other Norwegian civil society funding opportunities</w:t>
      </w:r>
      <w:r w:rsidR="008E1959">
        <w:rPr>
          <w:lang w:val="en-GB"/>
        </w:rPr>
        <w:t>.</w:t>
      </w:r>
      <w:r w:rsidR="008E1959">
        <w:rPr>
          <w:rStyle w:val="FootnoteReference"/>
          <w:lang w:val="en-GB"/>
        </w:rPr>
        <w:footnoteReference w:id="15"/>
      </w:r>
      <w:r w:rsidR="005E7966">
        <w:rPr>
          <w:lang w:val="en-GB"/>
        </w:rPr>
        <w:t xml:space="preserve"> Based on data from 2018, it appears that disability-targeted ODA did not flow directly to </w:t>
      </w:r>
      <w:r>
        <w:rPr>
          <w:lang w:val="en-GB"/>
        </w:rPr>
        <w:t>DPOs</w:t>
      </w:r>
      <w:r w:rsidR="005E7966">
        <w:rPr>
          <w:lang w:val="en-GB"/>
        </w:rPr>
        <w:t xml:space="preserve"> in the Global South,</w:t>
      </w:r>
      <w:r w:rsidR="002000F7">
        <w:rPr>
          <w:rStyle w:val="FootnoteReference"/>
          <w:lang w:val="en-GB"/>
        </w:rPr>
        <w:footnoteReference w:id="16"/>
      </w:r>
      <w:r w:rsidR="005E7966">
        <w:rPr>
          <w:lang w:val="en-GB"/>
        </w:rPr>
        <w:t xml:space="preserve"> though such </w:t>
      </w:r>
      <w:r>
        <w:rPr>
          <w:lang w:val="en-GB"/>
        </w:rPr>
        <w:t>DPOs</w:t>
      </w:r>
      <w:r w:rsidR="005E7966">
        <w:rPr>
          <w:lang w:val="en-GB"/>
        </w:rPr>
        <w:t xml:space="preserve"> take part in partnerships with Norwegian </w:t>
      </w:r>
      <w:r>
        <w:rPr>
          <w:lang w:val="en-GB"/>
        </w:rPr>
        <w:t>DPOs</w:t>
      </w:r>
      <w:r w:rsidR="005E7966">
        <w:rPr>
          <w:lang w:val="en-GB"/>
        </w:rPr>
        <w:t xml:space="preserve"> as sub-grantees.</w:t>
      </w:r>
      <w:r w:rsidR="002000F7">
        <w:rPr>
          <w:rStyle w:val="FootnoteReference"/>
          <w:lang w:val="en-GB"/>
        </w:rPr>
        <w:footnoteReference w:id="17"/>
      </w:r>
    </w:p>
    <w:p w14:paraId="0499E636" w14:textId="77777777" w:rsidR="00A36825" w:rsidRPr="00B826DA" w:rsidRDefault="00A36825" w:rsidP="00A36825">
      <w:pPr>
        <w:pStyle w:val="Heading3"/>
        <w:rPr>
          <w:b/>
          <w:bCs/>
          <w:sz w:val="20"/>
          <w:szCs w:val="20"/>
          <w:lang w:val="en-GB"/>
        </w:rPr>
      </w:pPr>
      <w:r w:rsidRPr="00B826DA">
        <w:rPr>
          <w:b/>
          <w:bCs/>
          <w:sz w:val="20"/>
          <w:szCs w:val="20"/>
          <w:lang w:val="en-GB"/>
        </w:rPr>
        <w:t>INTERNAL CAPACITY</w:t>
      </w:r>
    </w:p>
    <w:p w14:paraId="1F2158CC" w14:textId="77777777" w:rsidR="00A36825" w:rsidRPr="005818CA" w:rsidRDefault="00A36825" w:rsidP="00A36825">
      <w:pPr>
        <w:rPr>
          <w:rFonts w:eastAsiaTheme="minorEastAsia"/>
          <w:color w:val="5A5A5A" w:themeColor="text1" w:themeTint="A5"/>
          <w:spacing w:val="15"/>
          <w:sz w:val="20"/>
          <w:szCs w:val="20"/>
          <w:lang w:val="en-GB"/>
        </w:rPr>
      </w:pPr>
      <w:r w:rsidRPr="005818CA">
        <w:rPr>
          <w:rFonts w:eastAsiaTheme="minorEastAsia"/>
          <w:color w:val="5A5A5A" w:themeColor="text1" w:themeTint="A5"/>
          <w:spacing w:val="15"/>
          <w:sz w:val="20"/>
          <w:szCs w:val="20"/>
          <w:lang w:val="en-GB"/>
        </w:rPr>
        <w:t>Successfully implementing disability-inclusive development cooperation and humanitarian action requires sufficient staff with relevant skills and experience.</w:t>
      </w:r>
    </w:p>
    <w:p w14:paraId="2136E24E" w14:textId="12171443" w:rsidR="003A11EE" w:rsidRPr="003A11EE" w:rsidRDefault="00A36825" w:rsidP="003A11EE">
      <w:pPr>
        <w:pStyle w:val="ListParagraph"/>
        <w:numPr>
          <w:ilvl w:val="0"/>
          <w:numId w:val="1"/>
        </w:numPr>
        <w:rPr>
          <w:lang w:val="en-GB"/>
        </w:rPr>
      </w:pPr>
      <w:r w:rsidRPr="00397CB5">
        <w:rPr>
          <w:b/>
          <w:bCs/>
          <w:lang w:val="en-GB"/>
        </w:rPr>
        <w:t>Human resources for work on disability</w:t>
      </w:r>
      <w:r>
        <w:rPr>
          <w:lang w:val="en-GB"/>
        </w:rPr>
        <w:t>:</w:t>
      </w:r>
      <w:r w:rsidR="00572F39">
        <w:rPr>
          <w:lang w:val="en-GB"/>
        </w:rPr>
        <w:t xml:space="preserve"> </w:t>
      </w:r>
      <w:r w:rsidR="00F4369A">
        <w:rPr>
          <w:lang w:val="en-GB"/>
        </w:rPr>
        <w:t>Detailed data on</w:t>
      </w:r>
      <w:r w:rsidR="003A11EE">
        <w:rPr>
          <w:lang w:val="en-GB"/>
        </w:rPr>
        <w:t xml:space="preserve"> this indicator was not available.</w:t>
      </w:r>
    </w:p>
    <w:p w14:paraId="37AFB33D" w14:textId="40BDD04C" w:rsidR="00A36825" w:rsidRPr="00D00550" w:rsidRDefault="00A36825" w:rsidP="00A36825">
      <w:pPr>
        <w:pStyle w:val="ListParagraph"/>
        <w:numPr>
          <w:ilvl w:val="0"/>
          <w:numId w:val="1"/>
        </w:numPr>
        <w:rPr>
          <w:lang w:val="en-GB"/>
        </w:rPr>
      </w:pPr>
      <w:r>
        <w:rPr>
          <w:b/>
          <w:bCs/>
          <w:lang w:val="en-GB"/>
        </w:rPr>
        <w:t xml:space="preserve">Tools and guidance </w:t>
      </w:r>
      <w:r w:rsidRPr="00397CB5">
        <w:rPr>
          <w:b/>
          <w:bCs/>
          <w:lang w:val="en-GB"/>
        </w:rPr>
        <w:t>for work on disability</w:t>
      </w:r>
      <w:r>
        <w:rPr>
          <w:b/>
          <w:bCs/>
          <w:lang w:val="en-GB"/>
        </w:rPr>
        <w:t xml:space="preserve">: </w:t>
      </w:r>
      <w:r w:rsidRPr="002052BF">
        <w:rPr>
          <w:lang w:val="en-GB"/>
        </w:rPr>
        <w:t>The A</w:t>
      </w:r>
      <w:r>
        <w:rPr>
          <w:lang w:val="en-GB"/>
        </w:rPr>
        <w:t>tlas Alliance has a partnership with the Ministry of Foreign Affairs to develop training for staff in the ministry and in civil society.</w:t>
      </w:r>
      <w:r w:rsidR="00767963">
        <w:rPr>
          <w:rStyle w:val="FootnoteReference"/>
          <w:lang w:val="en-GB"/>
        </w:rPr>
        <w:footnoteReference w:id="18"/>
      </w:r>
      <w:r w:rsidR="007445F5">
        <w:rPr>
          <w:lang w:val="en-GB"/>
        </w:rPr>
        <w:t xml:space="preserve"> N</w:t>
      </w:r>
      <w:r w:rsidR="00166827">
        <w:rPr>
          <w:lang w:val="en-GB"/>
        </w:rPr>
        <w:t>ORAD</w:t>
      </w:r>
      <w:r w:rsidR="007445F5">
        <w:rPr>
          <w:lang w:val="en-GB"/>
        </w:rPr>
        <w:t xml:space="preserve"> has set up an internal network on disability to help strengthen capacity</w:t>
      </w:r>
      <w:r w:rsidR="00507CE2">
        <w:rPr>
          <w:lang w:val="en-GB"/>
        </w:rPr>
        <w:t xml:space="preserve"> (although it appears the network’s reach does not yet extend to the Ministry of Foreign Affairs or to country missions)</w:t>
      </w:r>
      <w:r w:rsidR="007445F5">
        <w:rPr>
          <w:lang w:val="en-GB"/>
        </w:rPr>
        <w:t>.</w:t>
      </w:r>
      <w:r w:rsidR="007445F5">
        <w:rPr>
          <w:rStyle w:val="FootnoteReference"/>
          <w:lang w:val="en-GB"/>
        </w:rPr>
        <w:footnoteReference w:id="19"/>
      </w:r>
    </w:p>
    <w:p w14:paraId="1B662FCD" w14:textId="720EB334" w:rsidR="002E449A" w:rsidRPr="00BE6412" w:rsidRDefault="00A36825" w:rsidP="002E449A">
      <w:pPr>
        <w:pStyle w:val="ListParagraph"/>
        <w:numPr>
          <w:ilvl w:val="0"/>
          <w:numId w:val="1"/>
        </w:numPr>
        <w:rPr>
          <w:lang w:val="en-GB"/>
        </w:rPr>
      </w:pPr>
      <w:r>
        <w:rPr>
          <w:b/>
          <w:bCs/>
          <w:lang w:val="en-GB"/>
        </w:rPr>
        <w:t>Recognition for staff work on disability:</w:t>
      </w:r>
      <w:r w:rsidR="002E449A" w:rsidRPr="002E449A">
        <w:rPr>
          <w:lang w:val="en-GB"/>
        </w:rPr>
        <w:t xml:space="preserve"> </w:t>
      </w:r>
      <w:r w:rsidR="002E449A" w:rsidRPr="00BE6412">
        <w:rPr>
          <w:lang w:val="en-GB"/>
        </w:rPr>
        <w:t>This review did not find any evidence of specific performance incentives for staff work on disability.</w:t>
      </w:r>
    </w:p>
    <w:p w14:paraId="48911D9E" w14:textId="77777777" w:rsidR="001E7237" w:rsidRPr="005C0A3D" w:rsidRDefault="001E7237" w:rsidP="001E7237">
      <w:pPr>
        <w:pStyle w:val="Heading3"/>
        <w:rPr>
          <w:b/>
          <w:bCs/>
          <w:sz w:val="20"/>
          <w:szCs w:val="20"/>
          <w:lang w:val="en-GB"/>
        </w:rPr>
      </w:pPr>
      <w:r w:rsidRPr="005C0A3D">
        <w:rPr>
          <w:b/>
          <w:bCs/>
          <w:sz w:val="20"/>
          <w:szCs w:val="20"/>
          <w:lang w:val="en-GB"/>
        </w:rPr>
        <w:t>MANAGEMENT AND REPORTING</w:t>
      </w:r>
    </w:p>
    <w:p w14:paraId="022A0AA0" w14:textId="77777777" w:rsidR="001E7237" w:rsidRPr="00CE4F10" w:rsidRDefault="001E7237" w:rsidP="001E7237">
      <w:pPr>
        <w:rPr>
          <w:rFonts w:eastAsiaTheme="minorEastAsia"/>
          <w:color w:val="5A5A5A" w:themeColor="text1" w:themeTint="A5"/>
          <w:spacing w:val="15"/>
          <w:sz w:val="20"/>
          <w:szCs w:val="20"/>
          <w:lang w:val="en-GB"/>
        </w:rPr>
      </w:pPr>
      <w:r>
        <w:rPr>
          <w:rFonts w:eastAsiaTheme="minorEastAsia"/>
          <w:color w:val="5A5A5A" w:themeColor="text1" w:themeTint="A5"/>
          <w:spacing w:val="15"/>
          <w:sz w:val="20"/>
          <w:szCs w:val="20"/>
          <w:lang w:val="en-GB"/>
        </w:rPr>
        <w:t>It is essential for management and reporting processes to create positive incentives that foster disability inclusion, and avoid perverse incentives that lead to exclusion.</w:t>
      </w:r>
    </w:p>
    <w:p w14:paraId="6A7BEC7F" w14:textId="41E07C26" w:rsidR="00A36825" w:rsidRPr="001E7237" w:rsidRDefault="001E7237" w:rsidP="001E7237">
      <w:pPr>
        <w:pStyle w:val="ListParagraph"/>
        <w:numPr>
          <w:ilvl w:val="0"/>
          <w:numId w:val="5"/>
        </w:numPr>
        <w:rPr>
          <w:lang w:val="en-GB"/>
        </w:rPr>
      </w:pPr>
      <w:r w:rsidRPr="001E7237">
        <w:rPr>
          <w:b/>
          <w:bCs/>
          <w:lang w:val="en-GB"/>
        </w:rPr>
        <w:t>Budgeting for disability inclusion:</w:t>
      </w:r>
      <w:r w:rsidR="00E472DC" w:rsidRPr="00E472DC">
        <w:rPr>
          <w:lang w:val="en-GB"/>
        </w:rPr>
        <w:t xml:space="preserve"> </w:t>
      </w:r>
      <w:r w:rsidR="00E472DC">
        <w:rPr>
          <w:lang w:val="en-GB"/>
        </w:rPr>
        <w:t>No explicit allowance has been made for the costs of ensuring disability inclusion. An emphasis on “cost effectiveness” in NORAD’s stratgegy</w:t>
      </w:r>
      <w:r w:rsidR="00E472DC">
        <w:rPr>
          <w:rStyle w:val="FootnoteReference"/>
          <w:lang w:val="en-GB"/>
        </w:rPr>
        <w:footnoteReference w:id="20"/>
      </w:r>
      <w:r w:rsidR="00E472DC">
        <w:rPr>
          <w:lang w:val="en-GB"/>
        </w:rPr>
        <w:t xml:space="preserve"> could create a perverse incentive to focus on groups who are cheaper to reach</w:t>
      </w:r>
      <w:r w:rsidR="00482CBC">
        <w:rPr>
          <w:lang w:val="en-GB"/>
        </w:rPr>
        <w:t>, if interpreted narrowly</w:t>
      </w:r>
      <w:r w:rsidR="00E472DC">
        <w:rPr>
          <w:lang w:val="en-GB"/>
        </w:rPr>
        <w:t>.</w:t>
      </w:r>
    </w:p>
    <w:p w14:paraId="784F9521" w14:textId="5206F114" w:rsidR="0046485E" w:rsidRPr="00407659" w:rsidRDefault="001E7237" w:rsidP="00407659">
      <w:pPr>
        <w:pStyle w:val="ListParagraph"/>
        <w:numPr>
          <w:ilvl w:val="0"/>
          <w:numId w:val="1"/>
        </w:numPr>
        <w:rPr>
          <w:lang w:val="en-GB"/>
        </w:rPr>
      </w:pPr>
      <w:r w:rsidRPr="001E7237">
        <w:rPr>
          <w:b/>
          <w:bCs/>
          <w:lang w:val="en-GB"/>
        </w:rPr>
        <w:t>Programme management:</w:t>
      </w:r>
      <w:r w:rsidR="006619C6">
        <w:rPr>
          <w:b/>
          <w:bCs/>
          <w:lang w:val="en-GB"/>
        </w:rPr>
        <w:t xml:space="preserve"> </w:t>
      </w:r>
      <w:r w:rsidR="006619C6">
        <w:rPr>
          <w:lang w:val="en-GB"/>
        </w:rPr>
        <w:t xml:space="preserve">This review did not find any evidence of check-points for disability inclusion in the programme management process. </w:t>
      </w:r>
    </w:p>
    <w:p w14:paraId="57DD2286" w14:textId="22D121D7" w:rsidR="001E7237" w:rsidRPr="00907A57" w:rsidRDefault="001E7237" w:rsidP="00907A57">
      <w:pPr>
        <w:pStyle w:val="ListParagraph"/>
        <w:numPr>
          <w:ilvl w:val="0"/>
          <w:numId w:val="1"/>
        </w:numPr>
        <w:rPr>
          <w:lang w:val="en-GB"/>
        </w:rPr>
      </w:pPr>
      <w:r>
        <w:rPr>
          <w:b/>
          <w:bCs/>
          <w:lang w:val="en-GB"/>
        </w:rPr>
        <w:lastRenderedPageBreak/>
        <w:t>Grant management:</w:t>
      </w:r>
      <w:r w:rsidR="00351DE4">
        <w:rPr>
          <w:b/>
          <w:bCs/>
          <w:lang w:val="en-GB"/>
        </w:rPr>
        <w:t xml:space="preserve"> </w:t>
      </w:r>
      <w:r w:rsidR="00351DE4">
        <w:rPr>
          <w:lang w:val="en-GB"/>
        </w:rPr>
        <w:t>NORAD’s grant application process requires grantees to say how they plan to include persons with disabilities</w:t>
      </w:r>
      <w:r w:rsidR="004D3678">
        <w:rPr>
          <w:lang w:val="en-GB"/>
        </w:rPr>
        <w:t>.</w:t>
      </w:r>
      <w:r w:rsidR="004D3678">
        <w:rPr>
          <w:rStyle w:val="FootnoteReference"/>
          <w:lang w:val="en-GB"/>
        </w:rPr>
        <w:footnoteReference w:id="21"/>
      </w:r>
      <w:r w:rsidR="004D3678">
        <w:rPr>
          <w:lang w:val="en-GB"/>
        </w:rPr>
        <w:t xml:space="preserve"> </w:t>
      </w:r>
      <w:r w:rsidR="007A0677">
        <w:rPr>
          <w:lang w:val="en-GB"/>
        </w:rPr>
        <w:t xml:space="preserve">Only limited information is available online, so it was beyond the scope of this review to assess </w:t>
      </w:r>
      <w:r w:rsidR="004D3678">
        <w:rPr>
          <w:lang w:val="en-GB"/>
        </w:rPr>
        <w:t>which grantees must follow this process (multilateral as well as civil society?) or what the consequences are if they do not comply.</w:t>
      </w:r>
      <w:r w:rsidR="00351DE4">
        <w:rPr>
          <w:lang w:val="en-GB"/>
        </w:rPr>
        <w:t xml:space="preserve"> </w:t>
      </w:r>
      <w:r w:rsidR="001B1CD7">
        <w:rPr>
          <w:lang w:val="en-GB"/>
        </w:rPr>
        <w:t>In 2017 Norway also carried out a review of disability-inclusion within Norwegian-supported programmes implemented by the Global Partnership for Education (GPE),</w:t>
      </w:r>
      <w:r w:rsidR="001B1CD7">
        <w:rPr>
          <w:rStyle w:val="FootnoteReference"/>
          <w:lang w:val="en-GB"/>
        </w:rPr>
        <w:footnoteReference w:id="22"/>
      </w:r>
      <w:r w:rsidR="001B1CD7">
        <w:rPr>
          <w:lang w:val="en-GB"/>
        </w:rPr>
        <w:t xml:space="preserve"> but it is not clear whether this led to any changes in GPE practice. </w:t>
      </w:r>
      <w:r w:rsidR="000B6558">
        <w:rPr>
          <w:lang w:val="en-GB"/>
        </w:rPr>
        <w:t xml:space="preserve">(Please note that this review focused on incentives to include persons with disabilities in the work of civil society and multilateral partners. It was beyond its scope to examine incentives through other channels, e.g. ODA investments in private sector companies, but this would be an important area for future research). </w:t>
      </w:r>
    </w:p>
    <w:p w14:paraId="402B73AD" w14:textId="463FFCB3" w:rsidR="001E7237" w:rsidRPr="001E7237" w:rsidRDefault="001E7237" w:rsidP="001E7237">
      <w:pPr>
        <w:pStyle w:val="ListParagraph"/>
        <w:numPr>
          <w:ilvl w:val="0"/>
          <w:numId w:val="5"/>
        </w:numPr>
        <w:rPr>
          <w:lang w:val="en-GB"/>
        </w:rPr>
      </w:pPr>
      <w:r>
        <w:rPr>
          <w:b/>
          <w:bCs/>
          <w:lang w:val="en-GB"/>
        </w:rPr>
        <w:t>Procurement:</w:t>
      </w:r>
      <w:r w:rsidR="00A70535">
        <w:rPr>
          <w:b/>
          <w:bCs/>
          <w:lang w:val="en-GB"/>
        </w:rPr>
        <w:t xml:space="preserve"> </w:t>
      </w:r>
      <w:r w:rsidR="00A70535">
        <w:rPr>
          <w:lang w:val="en-GB"/>
        </w:rPr>
        <w:t>Based on Norway’s procurement documents reviewed online, there is not enough evidence to conclude whether procurement processes create incentives for suppliers to provide accessible products and to uphold the rights of persons with disabilities.</w:t>
      </w:r>
    </w:p>
    <w:p w14:paraId="7470A9BE" w14:textId="48A94B30" w:rsidR="001E7237" w:rsidRPr="006B65FD" w:rsidRDefault="00583EB9" w:rsidP="006B65FD">
      <w:pPr>
        <w:pStyle w:val="ListParagraph"/>
        <w:numPr>
          <w:ilvl w:val="0"/>
          <w:numId w:val="1"/>
        </w:numPr>
        <w:rPr>
          <w:lang w:val="en-GB"/>
        </w:rPr>
      </w:pPr>
      <w:r>
        <w:rPr>
          <w:b/>
          <w:bCs/>
          <w:lang w:val="en-GB"/>
        </w:rPr>
        <w:t>Disaggregated data and other reporting</w:t>
      </w:r>
      <w:r w:rsidR="001E7237">
        <w:rPr>
          <w:b/>
          <w:bCs/>
          <w:lang w:val="en-GB"/>
        </w:rPr>
        <w:t>:</w:t>
      </w:r>
      <w:r w:rsidR="00400F7A">
        <w:rPr>
          <w:b/>
          <w:bCs/>
          <w:lang w:val="en-GB"/>
        </w:rPr>
        <w:t xml:space="preserve"> </w:t>
      </w:r>
      <w:r w:rsidR="007A0677">
        <w:rPr>
          <w:lang w:val="en-GB"/>
        </w:rPr>
        <w:t xml:space="preserve">Full data on reporting processes is not available. However, for </w:t>
      </w:r>
      <w:r w:rsidR="007E2B86">
        <w:rPr>
          <w:lang w:val="en-GB"/>
        </w:rPr>
        <w:t>geographically specific community-level projects in the education sector (bilateral or multilateral)</w:t>
      </w:r>
      <w:r w:rsidR="006C56A3">
        <w:rPr>
          <w:lang w:val="en-GB"/>
        </w:rPr>
        <w:t>,</w:t>
      </w:r>
      <w:r w:rsidR="007E2B86">
        <w:rPr>
          <w:lang w:val="en-GB"/>
        </w:rPr>
        <w:t xml:space="preserve"> where Norway is the sole of major donor, reporting on disability</w:t>
      </w:r>
      <w:r w:rsidR="006C56A3">
        <w:rPr>
          <w:lang w:val="en-GB"/>
        </w:rPr>
        <w:t xml:space="preserve"> inclusion</w:t>
      </w:r>
      <w:r w:rsidR="007E2B86">
        <w:rPr>
          <w:lang w:val="en-GB"/>
        </w:rPr>
        <w:t xml:space="preserve"> is mandatory, though only “if data is available”.</w:t>
      </w:r>
      <w:r w:rsidR="007E2B86">
        <w:rPr>
          <w:rStyle w:val="FootnoteReference"/>
          <w:lang w:val="en-GB"/>
        </w:rPr>
        <w:footnoteReference w:id="23"/>
      </w:r>
      <w:r w:rsidR="006B65FD">
        <w:rPr>
          <w:lang w:val="en-GB"/>
        </w:rPr>
        <w:t xml:space="preserve"> </w:t>
      </w:r>
      <w:r w:rsidR="006B65FD" w:rsidRPr="0084314E">
        <w:rPr>
          <w:lang w:val="en-GB"/>
        </w:rPr>
        <w:t>(Please see ‘spending’ section below for reporting using the ‘DAC marker’).</w:t>
      </w:r>
    </w:p>
    <w:p w14:paraId="611B69CA" w14:textId="4DECCA0F" w:rsidR="001E7237" w:rsidRPr="001E7237" w:rsidRDefault="001E7237" w:rsidP="001E7237">
      <w:pPr>
        <w:pStyle w:val="ListParagraph"/>
        <w:numPr>
          <w:ilvl w:val="0"/>
          <w:numId w:val="5"/>
        </w:numPr>
        <w:rPr>
          <w:lang w:val="en-GB"/>
        </w:rPr>
      </w:pPr>
      <w:r>
        <w:rPr>
          <w:b/>
          <w:bCs/>
          <w:lang w:val="en-GB"/>
        </w:rPr>
        <w:t xml:space="preserve">Checks </w:t>
      </w:r>
      <w:r w:rsidR="00185A7B">
        <w:rPr>
          <w:b/>
          <w:bCs/>
          <w:lang w:val="en-GB"/>
        </w:rPr>
        <w:t>to detect and prevent ODA spending on activities that contravene the C</w:t>
      </w:r>
      <w:r w:rsidR="004F6865">
        <w:rPr>
          <w:b/>
          <w:bCs/>
          <w:lang w:val="en-GB"/>
        </w:rPr>
        <w:t xml:space="preserve">onvention on the </w:t>
      </w:r>
      <w:r w:rsidR="00185A7B">
        <w:rPr>
          <w:b/>
          <w:bCs/>
          <w:lang w:val="en-GB"/>
        </w:rPr>
        <w:t>R</w:t>
      </w:r>
      <w:r w:rsidR="004F6865">
        <w:rPr>
          <w:b/>
          <w:bCs/>
          <w:lang w:val="en-GB"/>
        </w:rPr>
        <w:t xml:space="preserve">ights of </w:t>
      </w:r>
      <w:r w:rsidR="00185A7B">
        <w:rPr>
          <w:b/>
          <w:bCs/>
          <w:lang w:val="en-GB"/>
        </w:rPr>
        <w:t>P</w:t>
      </w:r>
      <w:r w:rsidR="004F6865">
        <w:rPr>
          <w:b/>
          <w:bCs/>
          <w:lang w:val="en-GB"/>
        </w:rPr>
        <w:t xml:space="preserve">ersons with </w:t>
      </w:r>
      <w:r w:rsidR="00185A7B">
        <w:rPr>
          <w:b/>
          <w:bCs/>
          <w:lang w:val="en-GB"/>
        </w:rPr>
        <w:t>D</w:t>
      </w:r>
      <w:r w:rsidR="004F6865">
        <w:rPr>
          <w:b/>
          <w:bCs/>
          <w:lang w:val="en-GB"/>
        </w:rPr>
        <w:t>isabilities</w:t>
      </w:r>
      <w:r w:rsidR="00185A7B">
        <w:rPr>
          <w:b/>
          <w:bCs/>
          <w:lang w:val="en-GB"/>
        </w:rPr>
        <w:t xml:space="preserve"> (</w:t>
      </w:r>
      <w:r w:rsidR="004F6865">
        <w:rPr>
          <w:b/>
          <w:bCs/>
          <w:lang w:val="en-GB"/>
        </w:rPr>
        <w:t xml:space="preserve">CRPD) - </w:t>
      </w:r>
      <w:r w:rsidR="00185A7B">
        <w:rPr>
          <w:b/>
          <w:bCs/>
          <w:lang w:val="en-GB"/>
        </w:rPr>
        <w:t>e.g. forced psychiatric treatment:</w:t>
      </w:r>
      <w:r w:rsidR="00185A7B">
        <w:rPr>
          <w:rStyle w:val="FootnoteReference"/>
          <w:b/>
          <w:bCs/>
          <w:lang w:val="en-GB"/>
        </w:rPr>
        <w:footnoteReference w:id="24"/>
      </w:r>
      <w:r>
        <w:rPr>
          <w:b/>
          <w:bCs/>
          <w:lang w:val="en-GB"/>
        </w:rPr>
        <w:t xml:space="preserve"> </w:t>
      </w:r>
      <w:r w:rsidR="00247A04">
        <w:rPr>
          <w:lang w:val="en-GB"/>
        </w:rPr>
        <w:t xml:space="preserve">Based on the evidence analysed for this review, it was not possible to conclude what controls are in place to mitigate the risk of </w:t>
      </w:r>
      <w:r w:rsidR="00F17D5B">
        <w:rPr>
          <w:lang w:val="en-GB"/>
        </w:rPr>
        <w:t>Norwegi</w:t>
      </w:r>
      <w:r w:rsidR="00247A04">
        <w:rPr>
          <w:lang w:val="en-GB"/>
        </w:rPr>
        <w:t>an ODA funding projects</w:t>
      </w:r>
      <w:r w:rsidR="00F17D5B">
        <w:rPr>
          <w:lang w:val="en-GB"/>
        </w:rPr>
        <w:t xml:space="preserve"> that contravene the CRPD</w:t>
      </w:r>
      <w:r w:rsidR="00247A04">
        <w:rPr>
          <w:lang w:val="en-GB"/>
        </w:rPr>
        <w:t>.</w:t>
      </w:r>
    </w:p>
    <w:p w14:paraId="0A4848E3" w14:textId="77777777" w:rsidR="00595B55" w:rsidRDefault="00595B55" w:rsidP="00595B55">
      <w:pPr>
        <w:pStyle w:val="Heading3"/>
        <w:rPr>
          <w:b/>
          <w:bCs/>
          <w:sz w:val="20"/>
          <w:szCs w:val="20"/>
          <w:lang w:val="en-GB"/>
        </w:rPr>
      </w:pPr>
      <w:r w:rsidRPr="000B6BA7">
        <w:rPr>
          <w:b/>
          <w:bCs/>
          <w:sz w:val="20"/>
          <w:szCs w:val="20"/>
          <w:lang w:val="en-GB"/>
        </w:rPr>
        <w:t>SPENDING</w:t>
      </w:r>
    </w:p>
    <w:p w14:paraId="1220E2CA" w14:textId="77777777" w:rsidR="00595B55" w:rsidRDefault="00595B55" w:rsidP="00595B55">
      <w:pPr>
        <w:rPr>
          <w:rFonts w:eastAsiaTheme="minorEastAsia"/>
          <w:color w:val="5A5A5A" w:themeColor="text1" w:themeTint="A5"/>
          <w:spacing w:val="15"/>
          <w:sz w:val="20"/>
          <w:szCs w:val="20"/>
          <w:lang w:val="en-GB"/>
        </w:rPr>
      </w:pPr>
      <w:r w:rsidRPr="005C3463">
        <w:rPr>
          <w:rFonts w:eastAsiaTheme="minorEastAsia"/>
          <w:color w:val="5A5A5A" w:themeColor="text1" w:themeTint="A5"/>
          <w:spacing w:val="15"/>
          <w:sz w:val="20"/>
          <w:szCs w:val="20"/>
          <w:lang w:val="en-GB"/>
        </w:rPr>
        <w:t>Spending data shows the scale of an ODA provider’s investment in international cooperation and humanitarian action. Subject to some limitations, it also gives a snapshot of how much that ODA provider’s spending aimed to be inclusive of persons with disabilities.</w:t>
      </w:r>
    </w:p>
    <w:p w14:paraId="06B38400" w14:textId="4B7C7D57" w:rsidR="00647BAD" w:rsidRDefault="004A5EBC" w:rsidP="00647BAD">
      <w:pPr>
        <w:pStyle w:val="ListParagraph"/>
        <w:numPr>
          <w:ilvl w:val="0"/>
          <w:numId w:val="1"/>
        </w:numPr>
        <w:rPr>
          <w:lang w:val="en-GB"/>
        </w:rPr>
      </w:pPr>
      <w:r>
        <w:rPr>
          <w:b/>
          <w:bCs/>
          <w:lang w:val="en-GB"/>
        </w:rPr>
        <w:t>Norway’s</w:t>
      </w:r>
      <w:r w:rsidR="00BE543E" w:rsidRPr="00397CB5">
        <w:rPr>
          <w:b/>
          <w:bCs/>
          <w:lang w:val="en-GB"/>
        </w:rPr>
        <w:t xml:space="preserve"> total Official Development Assistance</w:t>
      </w:r>
      <w:r w:rsidR="00AA515E" w:rsidRPr="00397CB5">
        <w:rPr>
          <w:b/>
          <w:bCs/>
          <w:lang w:val="en-GB"/>
        </w:rPr>
        <w:t xml:space="preserve"> (ODA)</w:t>
      </w:r>
      <w:r w:rsidR="00BE543E" w:rsidRPr="00397CB5">
        <w:rPr>
          <w:b/>
          <w:bCs/>
          <w:lang w:val="en-GB"/>
        </w:rPr>
        <w:t xml:space="preserve"> spending</w:t>
      </w:r>
      <w:r w:rsidR="00BE543E">
        <w:rPr>
          <w:lang w:val="en-GB"/>
        </w:rPr>
        <w:t>:</w:t>
      </w:r>
      <w:r w:rsidR="00CD2EF7">
        <w:rPr>
          <w:lang w:val="en-GB"/>
        </w:rPr>
        <w:t xml:space="preserve"> </w:t>
      </w:r>
      <w:r w:rsidR="006460D8">
        <w:rPr>
          <w:lang w:val="en-GB"/>
        </w:rPr>
        <w:t>US $</w:t>
      </w:r>
      <w:r>
        <w:rPr>
          <w:lang w:val="en-GB"/>
        </w:rPr>
        <w:t>4</w:t>
      </w:r>
      <w:r w:rsidR="005449C7">
        <w:rPr>
          <w:lang w:val="en-GB"/>
        </w:rPr>
        <w:t>.</w:t>
      </w:r>
      <w:r>
        <w:rPr>
          <w:lang w:val="en-GB"/>
        </w:rPr>
        <w:t>3</w:t>
      </w:r>
      <w:r w:rsidR="005449C7">
        <w:rPr>
          <w:lang w:val="en-GB"/>
        </w:rPr>
        <w:t xml:space="preserve"> billion</w:t>
      </w:r>
      <w:r w:rsidR="00CD2EF7">
        <w:rPr>
          <w:lang w:val="en-GB"/>
        </w:rPr>
        <w:t xml:space="preserve"> </w:t>
      </w:r>
      <w:r w:rsidR="00967937">
        <w:rPr>
          <w:lang w:val="en-GB"/>
        </w:rPr>
        <w:t>(</w:t>
      </w:r>
      <w:r w:rsidR="00BD4EEE">
        <w:rPr>
          <w:lang w:val="en-GB"/>
        </w:rPr>
        <w:t>36.6</w:t>
      </w:r>
      <w:r w:rsidR="00967937">
        <w:rPr>
          <w:lang w:val="en-GB"/>
        </w:rPr>
        <w:t xml:space="preserve"> billion</w:t>
      </w:r>
      <w:r w:rsidR="00BD4EEE">
        <w:rPr>
          <w:lang w:val="en-GB"/>
        </w:rPr>
        <w:t xml:space="preserve"> krone</w:t>
      </w:r>
      <w:r w:rsidR="00967937">
        <w:rPr>
          <w:lang w:val="en-GB"/>
        </w:rPr>
        <w:t xml:space="preserve">) </w:t>
      </w:r>
      <w:r w:rsidR="00CD2EF7">
        <w:rPr>
          <w:lang w:val="en-GB"/>
        </w:rPr>
        <w:t>in 2019</w:t>
      </w:r>
      <w:r>
        <w:rPr>
          <w:lang w:val="en-GB"/>
        </w:rPr>
        <w:t>. This was 1.02% of Gross National Income.</w:t>
      </w:r>
      <w:r w:rsidR="00AD78A0">
        <w:rPr>
          <w:rStyle w:val="FootnoteReference"/>
          <w:lang w:val="en-GB"/>
        </w:rPr>
        <w:footnoteReference w:id="25"/>
      </w:r>
      <w:r>
        <w:rPr>
          <w:lang w:val="en-GB"/>
        </w:rPr>
        <w:t xml:space="preserve"> </w:t>
      </w:r>
    </w:p>
    <w:p w14:paraId="156B6D4D" w14:textId="2EB7E246" w:rsidR="007E71E3" w:rsidRPr="007E71E3" w:rsidRDefault="007E71E3" w:rsidP="007A6E30">
      <w:pPr>
        <w:pStyle w:val="ListParagraph"/>
        <w:numPr>
          <w:ilvl w:val="0"/>
          <w:numId w:val="1"/>
        </w:numPr>
        <w:rPr>
          <w:lang w:val="en-GB"/>
        </w:rPr>
      </w:pPr>
      <w:r>
        <w:rPr>
          <w:b/>
          <w:bCs/>
          <w:lang w:val="en-GB"/>
        </w:rPr>
        <w:t>Percentage of allocable ODA spending screened using the disability ‘DAC marker’ in 2018:</w:t>
      </w:r>
      <w:r>
        <w:rPr>
          <w:rStyle w:val="FootnoteReference"/>
          <w:b/>
          <w:bCs/>
          <w:lang w:val="en-GB"/>
        </w:rPr>
        <w:footnoteReference w:id="26"/>
      </w:r>
      <w:r w:rsidR="00136173">
        <w:rPr>
          <w:b/>
          <w:bCs/>
          <w:lang w:val="en-GB"/>
        </w:rPr>
        <w:t xml:space="preserve"> </w:t>
      </w:r>
      <w:r w:rsidR="00136173">
        <w:rPr>
          <w:lang w:val="en-GB"/>
        </w:rPr>
        <w:t>100%.</w:t>
      </w:r>
      <w:r w:rsidR="00E87DC2">
        <w:rPr>
          <w:rStyle w:val="FootnoteReference"/>
          <w:lang w:val="en-GB"/>
        </w:rPr>
        <w:footnoteReference w:id="27"/>
      </w:r>
    </w:p>
    <w:p w14:paraId="5E38D791" w14:textId="1E10A369" w:rsidR="007A6E30" w:rsidRDefault="007A6E30" w:rsidP="007A6E30">
      <w:pPr>
        <w:pStyle w:val="ListParagraph"/>
        <w:numPr>
          <w:ilvl w:val="0"/>
          <w:numId w:val="1"/>
        </w:numPr>
        <w:rPr>
          <w:lang w:val="en-GB"/>
        </w:rPr>
      </w:pPr>
      <w:r>
        <w:rPr>
          <w:b/>
          <w:bCs/>
          <w:lang w:val="en-GB"/>
        </w:rPr>
        <w:lastRenderedPageBreak/>
        <w:t>Percentage of</w:t>
      </w:r>
      <w:r w:rsidR="00136173">
        <w:rPr>
          <w:b/>
          <w:bCs/>
          <w:lang w:val="en-GB"/>
        </w:rPr>
        <w:t xml:space="preserve"> </w:t>
      </w:r>
      <w:r>
        <w:rPr>
          <w:b/>
          <w:bCs/>
          <w:lang w:val="en-GB"/>
        </w:rPr>
        <w:t>allocable ODA s</w:t>
      </w:r>
      <w:r w:rsidRPr="00397CB5">
        <w:rPr>
          <w:b/>
          <w:bCs/>
          <w:lang w:val="en-GB"/>
        </w:rPr>
        <w:t xml:space="preserve">pending </w:t>
      </w:r>
      <w:r w:rsidR="0048422A">
        <w:rPr>
          <w:b/>
          <w:bCs/>
          <w:lang w:val="en-GB"/>
        </w:rPr>
        <w:t>with disability inclusion as at least one objective</w:t>
      </w:r>
      <w:r>
        <w:rPr>
          <w:b/>
          <w:bCs/>
          <w:lang w:val="en-GB"/>
        </w:rPr>
        <w:t xml:space="preserve"> in 2018</w:t>
      </w:r>
      <w:r>
        <w:rPr>
          <w:lang w:val="en-GB"/>
        </w:rPr>
        <w:t>: 1%.</w:t>
      </w:r>
      <w:r>
        <w:rPr>
          <w:rStyle w:val="FootnoteReference"/>
          <w:lang w:val="en-GB"/>
        </w:rPr>
        <w:footnoteReference w:id="28"/>
      </w:r>
      <w:r>
        <w:rPr>
          <w:lang w:val="en-GB"/>
        </w:rPr>
        <w:t xml:space="preserve"> </w:t>
      </w:r>
      <w:r w:rsidR="00595B55">
        <w:rPr>
          <w:lang w:val="en-GB"/>
        </w:rPr>
        <w:t xml:space="preserve">(In interpreting this result, please note that reporting is based on self-assessment and there is no ex-post process to check different ODA providers’ reported results for methodological consistency). </w:t>
      </w:r>
      <w:hyperlink r:id="rId20" w:history="1">
        <w:r w:rsidR="00FC4478" w:rsidRPr="00FC4478">
          <w:rPr>
            <w:rStyle w:val="Hyperlink"/>
            <w:lang w:val="en-GB"/>
          </w:rPr>
          <w:t>Please refer to this link for l</w:t>
        </w:r>
        <w:r w:rsidRPr="00FC4478">
          <w:rPr>
            <w:rStyle w:val="Hyperlink"/>
            <w:lang w:val="en-GB"/>
          </w:rPr>
          <w:t>istings of the individual projects</w:t>
        </w:r>
      </w:hyperlink>
      <w:r>
        <w:rPr>
          <w:lang w:val="en-GB"/>
        </w:rPr>
        <w:t xml:space="preserve"> that </w:t>
      </w:r>
      <w:r w:rsidR="00FB5B4D">
        <w:rPr>
          <w:lang w:val="en-GB"/>
        </w:rPr>
        <w:t>had disability inclusion as at least one objective</w:t>
      </w:r>
      <w:r>
        <w:rPr>
          <w:lang w:val="en-GB"/>
        </w:rPr>
        <w:t xml:space="preserve"> </w:t>
      </w:r>
      <w:r w:rsidR="00080BCE" w:rsidRPr="00FC4478">
        <w:rPr>
          <w:lang w:val="en-GB"/>
        </w:rPr>
        <w:t>[please note the link contains two separate sheets]</w:t>
      </w:r>
      <w:r>
        <w:rPr>
          <w:lang w:val="en-GB"/>
        </w:rPr>
        <w:t>.</w:t>
      </w:r>
      <w:r w:rsidR="00936334">
        <w:rPr>
          <w:rStyle w:val="FootnoteReference"/>
          <w:lang w:val="en-GB"/>
        </w:rPr>
        <w:footnoteReference w:id="29"/>
      </w:r>
      <w:r>
        <w:rPr>
          <w:lang w:val="en-GB"/>
        </w:rPr>
        <w:t xml:space="preserve">  </w:t>
      </w:r>
    </w:p>
    <w:p w14:paraId="07D48BED" w14:textId="7D3BE2E8" w:rsidR="000C54A8" w:rsidRPr="000C54A8" w:rsidRDefault="000C54A8" w:rsidP="000C54A8">
      <w:pPr>
        <w:pStyle w:val="Heading3"/>
        <w:rPr>
          <w:b/>
          <w:bCs/>
          <w:sz w:val="22"/>
          <w:szCs w:val="22"/>
          <w:lang w:val="en-GB"/>
        </w:rPr>
      </w:pPr>
      <w:r>
        <w:rPr>
          <w:b/>
          <w:bCs/>
          <w:sz w:val="22"/>
          <w:szCs w:val="22"/>
          <w:lang w:val="en-GB"/>
        </w:rPr>
        <w:t xml:space="preserve">Annex A: </w:t>
      </w:r>
      <w:r w:rsidRPr="000C54A8">
        <w:rPr>
          <w:b/>
          <w:bCs/>
          <w:sz w:val="22"/>
          <w:szCs w:val="22"/>
          <w:lang w:val="en-GB"/>
        </w:rPr>
        <w:t>Key questions for future analysis and advocacy</w:t>
      </w:r>
      <w:r w:rsidR="008B5A82" w:rsidRPr="00680B3D">
        <w:rPr>
          <w:b/>
          <w:bCs/>
          <w:vertAlign w:val="superscript"/>
        </w:rPr>
        <w:footnoteReference w:id="30"/>
      </w:r>
    </w:p>
    <w:p w14:paraId="0008B2C2" w14:textId="77777777" w:rsidR="000C54A8" w:rsidRDefault="000C54A8" w:rsidP="000C54A8">
      <w:pPr>
        <w:pStyle w:val="ListParagraph"/>
        <w:numPr>
          <w:ilvl w:val="0"/>
          <w:numId w:val="7"/>
        </w:numPr>
        <w:rPr>
          <w:lang w:val="en-GB"/>
        </w:rPr>
      </w:pPr>
      <w:r>
        <w:rPr>
          <w:lang w:val="en-GB"/>
        </w:rPr>
        <w:t>Our understanding is that the Ministry of Foreign Affairs’ most recent published policy</w:t>
      </w:r>
      <w:r>
        <w:rPr>
          <w:rStyle w:val="FootnoteReference"/>
          <w:lang w:val="en-GB"/>
        </w:rPr>
        <w:footnoteReference w:id="31"/>
      </w:r>
      <w:r>
        <w:rPr>
          <w:lang w:val="en-GB"/>
        </w:rPr>
        <w:t xml:space="preserve"> on disability dates from 2013. As Co-Chair of the Global Action on Disability Network, what plans does the Government of Norway have to update this document with a new and more ambitious strategy on disability inclusion in Norwegian ODA?</w:t>
      </w:r>
    </w:p>
    <w:p w14:paraId="68BE5DAB" w14:textId="77777777" w:rsidR="000C54A8" w:rsidRPr="000573A4" w:rsidRDefault="000C54A8" w:rsidP="000C54A8">
      <w:pPr>
        <w:pStyle w:val="ListParagraph"/>
        <w:numPr>
          <w:ilvl w:val="0"/>
          <w:numId w:val="7"/>
        </w:numPr>
        <w:rPr>
          <w:lang w:val="en-GB"/>
        </w:rPr>
      </w:pPr>
      <w:r w:rsidRPr="000573A4">
        <w:rPr>
          <w:lang w:val="en-GB"/>
        </w:rPr>
        <w:t>What steps is the Ministry of Foreign Affairs taking to ensure that organisations of persons with disabilities systematically participate in the planning, implementation and monitoring of Norwegian development cooperation and humanitarian action – not only disability-specific programmes, but also mainstream ones?</w:t>
      </w:r>
    </w:p>
    <w:p w14:paraId="6A1C54DE" w14:textId="77777777" w:rsidR="000C54A8" w:rsidRDefault="000C54A8" w:rsidP="000C54A8">
      <w:pPr>
        <w:pStyle w:val="ListParagraph"/>
        <w:numPr>
          <w:ilvl w:val="0"/>
          <w:numId w:val="7"/>
        </w:numPr>
        <w:rPr>
          <w:lang w:val="en-GB"/>
        </w:rPr>
      </w:pPr>
      <w:r>
        <w:rPr>
          <w:lang w:val="en-GB"/>
        </w:rPr>
        <w:t>How many staff at the Ministry of Foreign Affairs / NORAD have responsibility for disability inclusion in development cooperation and humanitarian action (full-time, part-time)?</w:t>
      </w:r>
    </w:p>
    <w:p w14:paraId="5BF0B7C4" w14:textId="25879531" w:rsidR="000C54A8" w:rsidRDefault="000C54A8" w:rsidP="000C54A8">
      <w:pPr>
        <w:pStyle w:val="ListParagraph"/>
        <w:numPr>
          <w:ilvl w:val="0"/>
          <w:numId w:val="7"/>
        </w:numPr>
        <w:rPr>
          <w:lang w:val="en-GB"/>
        </w:rPr>
      </w:pPr>
      <w:r>
        <w:rPr>
          <w:lang w:val="en-GB"/>
        </w:rPr>
        <w:t xml:space="preserve">NORAD requires grant applicants to say how they plan to include persons with disabilities. How does NORAD respond if grantees’ plans for disability inclusion are not strong enough? More broadly, taking into account all the different channels for Norwegian ODA spending, does the Ministry of Foreign Affairs take </w:t>
      </w:r>
      <w:r w:rsidR="008B5A82">
        <w:rPr>
          <w:lang w:val="en-GB"/>
        </w:rPr>
        <w:t xml:space="preserve">any </w:t>
      </w:r>
      <w:r>
        <w:rPr>
          <w:lang w:val="en-GB"/>
        </w:rPr>
        <w:t xml:space="preserve">steps to check that </w:t>
      </w:r>
      <w:r w:rsidR="008B5A82">
        <w:rPr>
          <w:lang w:val="en-GB"/>
        </w:rPr>
        <w:t xml:space="preserve">all spending </w:t>
      </w:r>
      <w:r>
        <w:rPr>
          <w:lang w:val="en-GB"/>
        </w:rPr>
        <w:t>proposals are disability inclusive, before spending is approved?</w:t>
      </w:r>
    </w:p>
    <w:p w14:paraId="3CC6C25B" w14:textId="77777777" w:rsidR="000C54A8" w:rsidRDefault="000C54A8" w:rsidP="000C54A8">
      <w:pPr>
        <w:pStyle w:val="ListParagraph"/>
        <w:numPr>
          <w:ilvl w:val="0"/>
          <w:numId w:val="7"/>
        </w:numPr>
        <w:rPr>
          <w:lang w:val="en-GB"/>
        </w:rPr>
      </w:pPr>
      <w:r>
        <w:rPr>
          <w:lang w:val="en-GB"/>
        </w:rPr>
        <w:t>For geographically specific community-level projects in the education sector where Norway is the sole of major donor, reporting on disability inclusion is mandatory “if data is available”.</w:t>
      </w:r>
      <w:r>
        <w:rPr>
          <w:rStyle w:val="FootnoteReference"/>
          <w:lang w:val="en-GB"/>
        </w:rPr>
        <w:footnoteReference w:id="32"/>
      </w:r>
      <w:r>
        <w:rPr>
          <w:lang w:val="en-GB"/>
        </w:rPr>
        <w:t xml:space="preserve"> Does the Ministry of Foreign Affairs monitor and report disability-disaggregated data in other areas of intervention? If not, does it have plans to do so in future?</w:t>
      </w:r>
    </w:p>
    <w:p w14:paraId="301AE2F8" w14:textId="7414C14D" w:rsidR="000C54A8" w:rsidRDefault="000C54A8" w:rsidP="000C54A8">
      <w:pPr>
        <w:pStyle w:val="ListParagraph"/>
        <w:numPr>
          <w:ilvl w:val="0"/>
          <w:numId w:val="7"/>
        </w:numPr>
        <w:rPr>
          <w:lang w:val="en-GB"/>
        </w:rPr>
      </w:pPr>
      <w:r>
        <w:rPr>
          <w:lang w:val="en-GB"/>
        </w:rPr>
        <w:t>According to the OECD Creditor Reporting System database, in 2018, just 1</w:t>
      </w:r>
      <w:r w:rsidRPr="00DA117E">
        <w:rPr>
          <w:lang w:val="en-GB"/>
        </w:rPr>
        <w:t>%</w:t>
      </w:r>
      <w:r w:rsidRPr="00774C68">
        <w:rPr>
          <w:lang w:val="en-GB"/>
        </w:rPr>
        <w:t xml:space="preserve"> </w:t>
      </w:r>
      <w:r w:rsidR="004A5076">
        <w:rPr>
          <w:lang w:val="en-GB"/>
        </w:rPr>
        <w:t xml:space="preserve">of </w:t>
      </w:r>
      <w:r w:rsidRPr="00774C68">
        <w:rPr>
          <w:lang w:val="en-GB"/>
        </w:rPr>
        <w:t xml:space="preserve">allocable </w:t>
      </w:r>
      <w:r>
        <w:rPr>
          <w:lang w:val="en-GB"/>
        </w:rPr>
        <w:t>Norwegian</w:t>
      </w:r>
      <w:r w:rsidRPr="00774C68">
        <w:rPr>
          <w:lang w:val="en-GB"/>
        </w:rPr>
        <w:t xml:space="preserve"> ODA spending </w:t>
      </w:r>
      <w:r>
        <w:rPr>
          <w:lang w:val="en-GB"/>
        </w:rPr>
        <w:t>had disability inclusion among its objectives</w:t>
      </w:r>
      <w:r w:rsidRPr="00774C68">
        <w:rPr>
          <w:lang w:val="en-GB"/>
        </w:rPr>
        <w:t xml:space="preserve">. This </w:t>
      </w:r>
      <w:r>
        <w:rPr>
          <w:lang w:val="en-GB"/>
        </w:rPr>
        <w:t>is extremely</w:t>
      </w:r>
      <w:r w:rsidRPr="00774C68">
        <w:rPr>
          <w:lang w:val="en-GB"/>
        </w:rPr>
        <w:t xml:space="preserve"> low – is it accurate? If yes, does </w:t>
      </w:r>
      <w:r>
        <w:rPr>
          <w:lang w:val="en-GB"/>
        </w:rPr>
        <w:t>the Ministry of Foreign Affairs</w:t>
      </w:r>
      <w:r w:rsidRPr="00774C68">
        <w:rPr>
          <w:lang w:val="en-GB"/>
        </w:rPr>
        <w:t xml:space="preserve"> agree that urgent measures are needed to increase disability inclusion in </w:t>
      </w:r>
      <w:r>
        <w:rPr>
          <w:lang w:val="en-GB"/>
        </w:rPr>
        <w:t>Norwegian</w:t>
      </w:r>
      <w:r w:rsidRPr="00774C68">
        <w:rPr>
          <w:lang w:val="en-GB"/>
        </w:rPr>
        <w:t xml:space="preserve"> ODA in future? If no, how will the </w:t>
      </w:r>
      <w:r>
        <w:rPr>
          <w:lang w:val="en-GB"/>
        </w:rPr>
        <w:t>Ministry of Foreign Affairs</w:t>
      </w:r>
      <w:r w:rsidRPr="00774C68">
        <w:rPr>
          <w:lang w:val="en-GB"/>
        </w:rPr>
        <w:t xml:space="preserve"> improve the reliability of its reporting in future years?</w:t>
      </w:r>
    </w:p>
    <w:p w14:paraId="128209A1" w14:textId="1EC810AC" w:rsidR="000C54A8" w:rsidRPr="00083BD5" w:rsidRDefault="000C54A8" w:rsidP="000C54A8">
      <w:pPr>
        <w:pStyle w:val="ListParagraph"/>
        <w:numPr>
          <w:ilvl w:val="0"/>
          <w:numId w:val="7"/>
        </w:numPr>
        <w:rPr>
          <w:lang w:val="en-GB"/>
        </w:rPr>
      </w:pPr>
      <w:r>
        <w:rPr>
          <w:lang w:val="en-GB"/>
        </w:rPr>
        <w:t>NORAD’s strategy says it will “g</w:t>
      </w:r>
      <w:r w:rsidRPr="000573A4">
        <w:rPr>
          <w:lang w:val="en-GB"/>
        </w:rPr>
        <w:t xml:space="preserve">ive priority to </w:t>
      </w:r>
      <w:r w:rsidR="004A5076" w:rsidRPr="000573A4">
        <w:rPr>
          <w:lang w:val="en-GB"/>
        </w:rPr>
        <w:t>…</w:t>
      </w:r>
      <w:r w:rsidRPr="000573A4">
        <w:rPr>
          <w:lang w:val="en-GB"/>
        </w:rPr>
        <w:t xml:space="preserve"> partners that … are cost-effective.</w:t>
      </w:r>
      <w:r>
        <w:rPr>
          <w:lang w:val="en-GB"/>
        </w:rPr>
        <w:t>“</w:t>
      </w:r>
      <w:r>
        <w:rPr>
          <w:rStyle w:val="FootnoteReference"/>
          <w:lang w:val="en-GB"/>
        </w:rPr>
        <w:footnoteReference w:id="33"/>
      </w:r>
      <w:r>
        <w:rPr>
          <w:lang w:val="en-GB"/>
        </w:rPr>
        <w:t xml:space="preserve"> How does NORAD ensure partners do not interpret this to mean that they should minimise the cost per person reached, even if this means leaving out harder-to-reach groups, such as persons with </w:t>
      </w:r>
      <w:r>
        <w:rPr>
          <w:lang w:val="en-GB"/>
        </w:rPr>
        <w:lastRenderedPageBreak/>
        <w:t>disabilities? Has the Ministry of Foreign Affairs considered making an explicit statement on the need for Norwegian-funded programmes to budget for disability inclusion?</w:t>
      </w:r>
      <w:r w:rsidR="0017494C">
        <w:rPr>
          <w:rStyle w:val="FootnoteReference"/>
          <w:lang w:val="en-GB"/>
        </w:rPr>
        <w:footnoteReference w:id="34"/>
      </w:r>
    </w:p>
    <w:p w14:paraId="7788A170" w14:textId="7E3B5E89" w:rsidR="0099137A" w:rsidRDefault="0099137A" w:rsidP="0099137A">
      <w:pPr>
        <w:pStyle w:val="Heading3"/>
        <w:rPr>
          <w:b/>
          <w:bCs/>
          <w:sz w:val="22"/>
          <w:szCs w:val="22"/>
          <w:lang w:val="en-GB"/>
        </w:rPr>
      </w:pPr>
      <w:r w:rsidRPr="00B759D2">
        <w:rPr>
          <w:b/>
          <w:bCs/>
          <w:sz w:val="22"/>
          <w:szCs w:val="22"/>
          <w:lang w:val="en-GB"/>
        </w:rPr>
        <w:t>Annex</w:t>
      </w:r>
      <w:r>
        <w:rPr>
          <w:b/>
          <w:bCs/>
          <w:sz w:val="22"/>
          <w:szCs w:val="22"/>
          <w:lang w:val="en-GB"/>
        </w:rPr>
        <w:t xml:space="preserve"> </w:t>
      </w:r>
      <w:r w:rsidR="000C54A8">
        <w:rPr>
          <w:b/>
          <w:bCs/>
          <w:sz w:val="22"/>
          <w:szCs w:val="22"/>
          <w:lang w:val="en-GB"/>
        </w:rPr>
        <w:t>B</w:t>
      </w:r>
      <w:r w:rsidRPr="00B759D2">
        <w:rPr>
          <w:b/>
          <w:bCs/>
          <w:sz w:val="22"/>
          <w:szCs w:val="22"/>
          <w:lang w:val="en-GB"/>
        </w:rPr>
        <w:t xml:space="preserve">: </w:t>
      </w:r>
      <w:r>
        <w:rPr>
          <w:b/>
          <w:bCs/>
          <w:sz w:val="22"/>
          <w:szCs w:val="22"/>
          <w:lang w:val="en-GB"/>
        </w:rPr>
        <w:t>Norway’s</w:t>
      </w:r>
      <w:r w:rsidRPr="00B759D2">
        <w:rPr>
          <w:b/>
          <w:bCs/>
          <w:sz w:val="22"/>
          <w:szCs w:val="22"/>
          <w:lang w:val="en-GB"/>
        </w:rPr>
        <w:t xml:space="preserve"> priority countries </w:t>
      </w:r>
    </w:p>
    <w:p w14:paraId="4FA647B0" w14:textId="77777777" w:rsidR="0099137A" w:rsidRDefault="0099137A" w:rsidP="0099137A">
      <w:pPr>
        <w:rPr>
          <w:lang w:val="en-GB"/>
        </w:rPr>
      </w:pPr>
      <w:r>
        <w:rPr>
          <w:lang w:val="en-GB"/>
        </w:rPr>
        <w:t xml:space="preserve">Priority countries for long-term development cooperation: </w:t>
      </w:r>
      <w:r w:rsidRPr="000573A4">
        <w:rPr>
          <w:lang w:val="en-GB"/>
        </w:rPr>
        <w:t>Colombia, Ethiopia, Ghana, Indonesia, Malawi, Mozambique, Myanmar, Nepal, Tanzania and Uganda. Priority countries for « stabilisation and conflict prevention » : Afghanistan, Mali, Niger, Palestine, Somalia and South Sudan.</w:t>
      </w:r>
      <w:r>
        <w:rPr>
          <w:rStyle w:val="FootnoteReference"/>
          <w:lang w:val="en-GB"/>
        </w:rPr>
        <w:footnoteReference w:id="35"/>
      </w:r>
      <w:r w:rsidRPr="00F5190F">
        <w:rPr>
          <w:lang w:val="en-GB"/>
        </w:rPr>
        <w:t xml:space="preserve"> </w:t>
      </w:r>
    </w:p>
    <w:p w14:paraId="079A54B7" w14:textId="4AD012F9" w:rsidR="00882EFB" w:rsidRDefault="00882EFB" w:rsidP="00882EFB">
      <w:pPr>
        <w:pStyle w:val="Heading3"/>
        <w:rPr>
          <w:b/>
          <w:bCs/>
          <w:sz w:val="22"/>
          <w:szCs w:val="22"/>
          <w:lang w:val="en-GB"/>
        </w:rPr>
      </w:pPr>
      <w:r w:rsidRPr="00B759D2">
        <w:rPr>
          <w:b/>
          <w:bCs/>
          <w:sz w:val="22"/>
          <w:szCs w:val="22"/>
          <w:lang w:val="en-GB"/>
        </w:rPr>
        <w:t>Annex</w:t>
      </w:r>
      <w:r>
        <w:rPr>
          <w:b/>
          <w:bCs/>
          <w:sz w:val="22"/>
          <w:szCs w:val="22"/>
          <w:lang w:val="en-GB"/>
        </w:rPr>
        <w:t xml:space="preserve"> </w:t>
      </w:r>
      <w:r w:rsidR="000C54A8">
        <w:rPr>
          <w:b/>
          <w:bCs/>
          <w:sz w:val="22"/>
          <w:szCs w:val="22"/>
          <w:lang w:val="en-GB"/>
        </w:rPr>
        <w:t>C</w:t>
      </w:r>
      <w:r w:rsidRPr="00B759D2">
        <w:rPr>
          <w:b/>
          <w:bCs/>
          <w:sz w:val="22"/>
          <w:szCs w:val="22"/>
          <w:lang w:val="en-GB"/>
        </w:rPr>
        <w:t xml:space="preserve">: </w:t>
      </w:r>
      <w:r>
        <w:rPr>
          <w:b/>
          <w:bCs/>
          <w:sz w:val="22"/>
          <w:szCs w:val="22"/>
          <w:lang w:val="en-GB"/>
        </w:rPr>
        <w:t xml:space="preserve">key </w:t>
      </w:r>
      <w:r w:rsidR="00361C78">
        <w:rPr>
          <w:b/>
          <w:bCs/>
          <w:sz w:val="22"/>
          <w:szCs w:val="22"/>
          <w:lang w:val="en-GB"/>
        </w:rPr>
        <w:t>DPO</w:t>
      </w:r>
      <w:r>
        <w:rPr>
          <w:b/>
          <w:bCs/>
          <w:sz w:val="22"/>
          <w:szCs w:val="22"/>
          <w:lang w:val="en-GB"/>
        </w:rPr>
        <w:t xml:space="preserve"> and other contacts</w:t>
      </w:r>
    </w:p>
    <w:p w14:paraId="46B0B065" w14:textId="2477BA40" w:rsidR="00882EFB" w:rsidRDefault="00882EFB" w:rsidP="00882EFB">
      <w:pPr>
        <w:pStyle w:val="Heading3"/>
        <w:numPr>
          <w:ilvl w:val="0"/>
          <w:numId w:val="6"/>
        </w:numPr>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 xml:space="preserve">Key </w:t>
      </w:r>
      <w:r w:rsidR="00361C78">
        <w:rPr>
          <w:rFonts w:asciiTheme="minorHAnsi" w:eastAsiaTheme="minorHAnsi" w:hAnsiTheme="minorHAnsi" w:cstheme="minorBidi"/>
          <w:color w:val="auto"/>
          <w:sz w:val="22"/>
          <w:szCs w:val="22"/>
          <w:lang w:val="en-GB"/>
        </w:rPr>
        <w:t>DPO</w:t>
      </w:r>
      <w:r>
        <w:rPr>
          <w:rFonts w:asciiTheme="minorHAnsi" w:eastAsiaTheme="minorHAnsi" w:hAnsiTheme="minorHAnsi" w:cstheme="minorBidi"/>
          <w:color w:val="auto"/>
          <w:sz w:val="22"/>
          <w:szCs w:val="22"/>
          <w:lang w:val="en-GB"/>
        </w:rPr>
        <w:t xml:space="preserve"> and </w:t>
      </w:r>
      <w:r w:rsidR="00361C78">
        <w:rPr>
          <w:rFonts w:asciiTheme="minorHAnsi" w:eastAsiaTheme="minorHAnsi" w:hAnsiTheme="minorHAnsi" w:cstheme="minorBidi"/>
          <w:color w:val="auto"/>
          <w:sz w:val="22"/>
          <w:szCs w:val="22"/>
          <w:lang w:val="en-GB"/>
        </w:rPr>
        <w:t>DPO</w:t>
      </w:r>
      <w:r>
        <w:rPr>
          <w:rFonts w:asciiTheme="minorHAnsi" w:eastAsiaTheme="minorHAnsi" w:hAnsiTheme="minorHAnsi" w:cstheme="minorBidi"/>
          <w:color w:val="auto"/>
          <w:sz w:val="22"/>
          <w:szCs w:val="22"/>
          <w:lang w:val="en-GB"/>
        </w:rPr>
        <w:t xml:space="preserve">-civil society alliances: Norwegian Federation of Organisations of Disabled People (FFO); </w:t>
      </w:r>
      <w:hyperlink r:id="rId21" w:history="1">
        <w:r w:rsidRPr="00882EFB">
          <w:rPr>
            <w:rStyle w:val="Hyperlink"/>
            <w:rFonts w:asciiTheme="minorHAnsi" w:eastAsiaTheme="minorHAnsi" w:hAnsiTheme="minorHAnsi" w:cstheme="minorBidi"/>
            <w:sz w:val="22"/>
            <w:szCs w:val="22"/>
            <w:lang w:val="en-GB"/>
          </w:rPr>
          <w:t>Atlas Alliance</w:t>
        </w:r>
      </w:hyperlink>
    </w:p>
    <w:p w14:paraId="036BEA36" w14:textId="4B33F26A" w:rsidR="00882EFB" w:rsidRPr="001E14FC" w:rsidRDefault="00882EFB" w:rsidP="00882EFB">
      <w:pPr>
        <w:pStyle w:val="ListParagraph"/>
        <w:numPr>
          <w:ilvl w:val="0"/>
          <w:numId w:val="6"/>
        </w:numPr>
        <w:rPr>
          <w:lang w:val="en-GB"/>
        </w:rPr>
      </w:pPr>
      <w:r>
        <w:rPr>
          <w:lang w:val="en-GB"/>
        </w:rPr>
        <w:t xml:space="preserve">To ensure coordination with wider civil society messaging on the quantity and quality of Norwegian ODA, advocates may also want to consider contacting </w:t>
      </w:r>
      <w:r w:rsidR="00DF4E7A">
        <w:rPr>
          <w:lang w:val="en-GB"/>
        </w:rPr>
        <w:t xml:space="preserve">the </w:t>
      </w:r>
      <w:hyperlink r:id="rId22" w:history="1">
        <w:r w:rsidR="00DF4E7A" w:rsidRPr="00DF4E7A">
          <w:rPr>
            <w:rStyle w:val="Hyperlink"/>
            <w:lang w:val="en-GB"/>
          </w:rPr>
          <w:t>Norwegian Forum for Development and Environment</w:t>
        </w:r>
      </w:hyperlink>
      <w:r w:rsidR="00DF4E7A">
        <w:rPr>
          <w:lang w:val="en-GB"/>
        </w:rPr>
        <w:t xml:space="preserve"> (ForUM)</w:t>
      </w:r>
      <w:r w:rsidR="00DF4E7A" w:rsidRPr="001E14FC">
        <w:rPr>
          <w:lang w:val="en-GB"/>
        </w:rPr>
        <w:t xml:space="preserve"> </w:t>
      </w:r>
    </w:p>
    <w:p w14:paraId="71872509" w14:textId="77777777" w:rsidR="0099137A" w:rsidRPr="0099137A" w:rsidRDefault="0099137A" w:rsidP="0099137A">
      <w:pPr>
        <w:rPr>
          <w:lang w:val="en-GB"/>
        </w:rPr>
      </w:pPr>
    </w:p>
    <w:sectPr w:rsidR="0099137A" w:rsidRPr="0099137A" w:rsidSect="009B78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F76CF" w14:textId="77777777" w:rsidR="00113005" w:rsidRDefault="00113005" w:rsidP="00AD78A0">
      <w:pPr>
        <w:spacing w:after="0" w:line="240" w:lineRule="auto"/>
      </w:pPr>
      <w:r>
        <w:separator/>
      </w:r>
    </w:p>
  </w:endnote>
  <w:endnote w:type="continuationSeparator" w:id="0">
    <w:p w14:paraId="6730322C" w14:textId="77777777" w:rsidR="00113005" w:rsidRDefault="00113005" w:rsidP="00AD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A6FB0" w14:textId="77777777" w:rsidR="00113005" w:rsidRDefault="00113005" w:rsidP="00AD78A0">
      <w:pPr>
        <w:spacing w:after="0" w:line="240" w:lineRule="auto"/>
      </w:pPr>
      <w:r>
        <w:separator/>
      </w:r>
    </w:p>
  </w:footnote>
  <w:footnote w:type="continuationSeparator" w:id="0">
    <w:p w14:paraId="4CBED507" w14:textId="77777777" w:rsidR="00113005" w:rsidRDefault="00113005" w:rsidP="00AD78A0">
      <w:pPr>
        <w:spacing w:after="0" w:line="240" w:lineRule="auto"/>
      </w:pPr>
      <w:r>
        <w:continuationSeparator/>
      </w:r>
    </w:p>
  </w:footnote>
  <w:footnote w:id="1">
    <w:p w14:paraId="17D6B274" w14:textId="5092EC57" w:rsidR="002E449A" w:rsidRPr="00B23B4B" w:rsidRDefault="002E449A" w:rsidP="001A3594">
      <w:pPr>
        <w:pStyle w:val="FootnoteText"/>
        <w:rPr>
          <w:lang w:val="en-GB"/>
        </w:rPr>
      </w:pPr>
      <w:r>
        <w:rPr>
          <w:rStyle w:val="FootnoteReference"/>
        </w:rPr>
        <w:footnoteRef/>
      </w:r>
      <w:r w:rsidRPr="000573A4">
        <w:rPr>
          <w:lang w:val="en-GB"/>
        </w:rPr>
        <w:t xml:space="preserve"> </w:t>
      </w:r>
      <w:r w:rsidRPr="00647BAD">
        <w:rPr>
          <w:lang w:val="en-GB"/>
        </w:rPr>
        <w:t>Source : O</w:t>
      </w:r>
      <w:r w:rsidR="00E26745">
        <w:rPr>
          <w:lang w:val="en-GB"/>
        </w:rPr>
        <w:t xml:space="preserve">rganisation for </w:t>
      </w:r>
      <w:r w:rsidRPr="00647BAD">
        <w:rPr>
          <w:lang w:val="en-GB"/>
        </w:rPr>
        <w:t>E</w:t>
      </w:r>
      <w:r w:rsidR="00E26745">
        <w:rPr>
          <w:lang w:val="en-GB"/>
        </w:rPr>
        <w:t xml:space="preserve">conomic </w:t>
      </w:r>
      <w:r w:rsidRPr="00647BAD">
        <w:rPr>
          <w:lang w:val="en-GB"/>
        </w:rPr>
        <w:t>C</w:t>
      </w:r>
      <w:r w:rsidR="00E26745">
        <w:rPr>
          <w:lang w:val="en-GB"/>
        </w:rPr>
        <w:t xml:space="preserve">ooperation and </w:t>
      </w:r>
      <w:r w:rsidRPr="00647BAD">
        <w:rPr>
          <w:lang w:val="en-GB"/>
        </w:rPr>
        <w:t>D</w:t>
      </w:r>
      <w:r w:rsidR="00E26745">
        <w:rPr>
          <w:lang w:val="en-GB"/>
        </w:rPr>
        <w:t>evelopment’s</w:t>
      </w:r>
      <w:r w:rsidRPr="00647BAD">
        <w:rPr>
          <w:lang w:val="en-GB"/>
        </w:rPr>
        <w:t xml:space="preserve"> D</w:t>
      </w:r>
      <w:r w:rsidR="00E26745">
        <w:rPr>
          <w:lang w:val="en-GB"/>
        </w:rPr>
        <w:t xml:space="preserve">evelopment </w:t>
      </w:r>
      <w:r w:rsidRPr="00647BAD">
        <w:rPr>
          <w:lang w:val="en-GB"/>
        </w:rPr>
        <w:t>A</w:t>
      </w:r>
      <w:r w:rsidR="00E26745">
        <w:rPr>
          <w:lang w:val="en-GB"/>
        </w:rPr>
        <w:t xml:space="preserve">ssistance </w:t>
      </w:r>
      <w:r w:rsidRPr="00647BAD">
        <w:rPr>
          <w:lang w:val="en-GB"/>
        </w:rPr>
        <w:t>C</w:t>
      </w:r>
      <w:r w:rsidR="00E26745">
        <w:rPr>
          <w:lang w:val="en-GB"/>
        </w:rPr>
        <w:t>ommittee (OECD DAC)</w:t>
      </w:r>
      <w:r w:rsidRPr="00647BAD">
        <w:rPr>
          <w:lang w:val="en-GB"/>
        </w:rPr>
        <w:t xml:space="preserve"> </w:t>
      </w:r>
      <w:hyperlink r:id="rId1" w:history="1">
        <w:r w:rsidRPr="00647BAD">
          <w:rPr>
            <w:rStyle w:val="Hyperlink"/>
            <w:lang w:val="en-GB"/>
          </w:rPr>
          <w:t>Creditor Reporting System</w:t>
        </w:r>
      </w:hyperlink>
      <w:r w:rsidRPr="00647BAD">
        <w:rPr>
          <w:lang w:val="en-GB"/>
        </w:rPr>
        <w:t>. Calculated on a commitments basis</w:t>
      </w:r>
      <w:r>
        <w:rPr>
          <w:lang w:val="en-GB"/>
        </w:rPr>
        <w:t>, with negative commitments excluded</w:t>
      </w:r>
      <w:r w:rsidRPr="00647BAD">
        <w:rPr>
          <w:lang w:val="en-GB"/>
        </w:rPr>
        <w:t>.</w:t>
      </w:r>
      <w:r>
        <w:rPr>
          <w:lang w:val="en-GB"/>
        </w:rPr>
        <w:t xml:space="preserve"> </w:t>
      </w:r>
      <w:r w:rsidR="001E0040">
        <w:rPr>
          <w:lang w:val="en-GB"/>
        </w:rPr>
        <w:t xml:space="preserve">‘Allocable’ ODA spending is a category defined by the OECD – it is this category that the OECD deems most relevant for analysis on disability inclusion. </w:t>
      </w:r>
    </w:p>
  </w:footnote>
  <w:footnote w:id="2">
    <w:p w14:paraId="23AF21DD" w14:textId="77777777" w:rsidR="002E449A" w:rsidRPr="00460F58" w:rsidRDefault="002E449A" w:rsidP="0081187D">
      <w:pPr>
        <w:pStyle w:val="FootnoteText"/>
        <w:rPr>
          <w:lang w:val="en-GB"/>
        </w:rPr>
      </w:pPr>
      <w:r>
        <w:rPr>
          <w:rStyle w:val="FootnoteReference"/>
        </w:rPr>
        <w:footnoteRef/>
      </w:r>
      <w:r w:rsidRPr="000573A4">
        <w:rPr>
          <w:lang w:val="en-GB"/>
        </w:rPr>
        <w:t xml:space="preserve"> </w:t>
      </w:r>
      <w:r>
        <w:rPr>
          <w:lang w:val="en-GB"/>
        </w:rPr>
        <w:t xml:space="preserve">Library of Congress, </w:t>
      </w:r>
      <w:hyperlink r:id="rId2" w:history="1">
        <w:r w:rsidRPr="00471C1F">
          <w:rPr>
            <w:rStyle w:val="Hyperlink"/>
            <w:lang w:val="en-GB"/>
          </w:rPr>
          <w:t>Regulation of Foreign Aid: Sweden</w:t>
        </w:r>
      </w:hyperlink>
    </w:p>
  </w:footnote>
  <w:footnote w:id="3">
    <w:p w14:paraId="5626C665" w14:textId="7E50F4D0" w:rsidR="002E449A" w:rsidRPr="00083D00" w:rsidRDefault="002E449A">
      <w:pPr>
        <w:pStyle w:val="FootnoteText"/>
        <w:rPr>
          <w:lang w:val="en-GB"/>
        </w:rPr>
      </w:pPr>
      <w:r>
        <w:rPr>
          <w:rStyle w:val="FootnoteReference"/>
        </w:rPr>
        <w:footnoteRef/>
      </w:r>
      <w:r w:rsidRPr="000573A4">
        <w:rPr>
          <w:lang w:val="en-GB"/>
        </w:rPr>
        <w:t xml:space="preserve"> </w:t>
      </w:r>
      <w:r>
        <w:rPr>
          <w:lang w:val="en-GB"/>
        </w:rPr>
        <w:t>White Paper on the SDGs, p.12</w:t>
      </w:r>
      <w:r w:rsidR="00635D0A">
        <w:rPr>
          <w:lang w:val="en-GB"/>
        </w:rPr>
        <w:t>. It seems that the Norwegian version – though not the English translation – also contains a reference to disability in the context of cash transfers (source: Kroglund, ‘</w:t>
      </w:r>
      <w:hyperlink r:id="rId3" w:history="1">
        <w:r w:rsidR="00635D0A" w:rsidRPr="00635D0A">
          <w:rPr>
            <w:rStyle w:val="Hyperlink"/>
            <w:lang w:val="en-GB"/>
          </w:rPr>
          <w:t>Leave No-One Behind: a Nordic movement for change</w:t>
        </w:r>
      </w:hyperlink>
      <w:r w:rsidR="00635D0A">
        <w:rPr>
          <w:lang w:val="en-GB"/>
        </w:rPr>
        <w:t>’, p.12)</w:t>
      </w:r>
    </w:p>
  </w:footnote>
  <w:footnote w:id="4">
    <w:p w14:paraId="3F3F8969" w14:textId="29D629C6" w:rsidR="002E449A" w:rsidRPr="0009079E" w:rsidRDefault="002E449A">
      <w:pPr>
        <w:pStyle w:val="FootnoteText"/>
        <w:rPr>
          <w:lang w:val="en-GB"/>
        </w:rPr>
      </w:pPr>
      <w:r>
        <w:rPr>
          <w:rStyle w:val="FootnoteReference"/>
        </w:rPr>
        <w:footnoteRef/>
      </w:r>
      <w:r w:rsidRPr="000573A4">
        <w:rPr>
          <w:lang w:val="en-GB"/>
        </w:rPr>
        <w:t xml:space="preserve"> </w:t>
      </w:r>
      <w:r>
        <w:rPr>
          <w:lang w:val="en-GB"/>
        </w:rPr>
        <w:t>Humanitarian strategy, p.19</w:t>
      </w:r>
    </w:p>
  </w:footnote>
  <w:footnote w:id="5">
    <w:p w14:paraId="26A7D77D" w14:textId="1B8E5D5F" w:rsidR="002E449A" w:rsidRPr="00CA58A6" w:rsidRDefault="002E449A">
      <w:pPr>
        <w:pStyle w:val="FootnoteText"/>
        <w:rPr>
          <w:lang w:val="en-GB"/>
        </w:rPr>
      </w:pPr>
      <w:r>
        <w:rPr>
          <w:rStyle w:val="FootnoteReference"/>
        </w:rPr>
        <w:footnoteRef/>
      </w:r>
      <w:r w:rsidRPr="000573A4">
        <w:rPr>
          <w:lang w:val="en-GB"/>
        </w:rPr>
        <w:t xml:space="preserve"> </w:t>
      </w:r>
      <w:r>
        <w:rPr>
          <w:lang w:val="en-GB"/>
        </w:rPr>
        <w:t>White Paper on multilateral cooperation, p.36</w:t>
      </w:r>
    </w:p>
  </w:footnote>
  <w:footnote w:id="6">
    <w:p w14:paraId="2C4C3AEA" w14:textId="77BCB6E3" w:rsidR="00494612" w:rsidRPr="00494612" w:rsidRDefault="00494612">
      <w:pPr>
        <w:pStyle w:val="FootnoteText"/>
        <w:rPr>
          <w:lang w:val="en-GB"/>
        </w:rPr>
      </w:pPr>
      <w:r>
        <w:rPr>
          <w:rStyle w:val="FootnoteReference"/>
        </w:rPr>
        <w:footnoteRef/>
      </w:r>
      <w:r w:rsidRPr="000573A4">
        <w:rPr>
          <w:lang w:val="en-GB"/>
        </w:rPr>
        <w:t xml:space="preserve"> W</w:t>
      </w:r>
      <w:r>
        <w:rPr>
          <w:lang w:val="en-GB"/>
        </w:rPr>
        <w:t>th the exception of a commitment on reporting on education programmes – see ‘management and reporting’ section below</w:t>
      </w:r>
      <w:r w:rsidR="003B65F6">
        <w:rPr>
          <w:lang w:val="en-GB"/>
        </w:rPr>
        <w:t>;</w:t>
      </w:r>
      <w:r w:rsidR="0031247B">
        <w:rPr>
          <w:lang w:val="en-GB"/>
        </w:rPr>
        <w:t xml:space="preserve"> commitments on funding allocations to a small number of civil society and multlateral organisations working on disability (p.9, p.16, p.17)</w:t>
      </w:r>
      <w:r w:rsidR="003B65F6">
        <w:rPr>
          <w:lang w:val="en-GB"/>
        </w:rPr>
        <w:t>; and a commitment to draw up guidelines (see ‘internal capacity’ section below).</w:t>
      </w:r>
    </w:p>
  </w:footnote>
  <w:footnote w:id="7">
    <w:p w14:paraId="7E4A3E32" w14:textId="77777777" w:rsidR="002E449A" w:rsidRPr="00B17835" w:rsidRDefault="002E449A" w:rsidP="0046485E">
      <w:pPr>
        <w:pStyle w:val="FootnoteText"/>
        <w:rPr>
          <w:lang w:val="en-GB"/>
        </w:rPr>
      </w:pPr>
      <w:r>
        <w:rPr>
          <w:rStyle w:val="FootnoteReference"/>
        </w:rPr>
        <w:footnoteRef/>
      </w:r>
      <w:r w:rsidRPr="000573A4">
        <w:rPr>
          <w:lang w:val="en-GB"/>
        </w:rPr>
        <w:t xml:space="preserve"> </w:t>
      </w:r>
      <w:r>
        <w:rPr>
          <w:lang w:val="en-GB"/>
        </w:rPr>
        <w:t xml:space="preserve">Government of Norway, </w:t>
      </w:r>
      <w:hyperlink r:id="rId4" w:history="1">
        <w:r w:rsidRPr="00286D69">
          <w:rPr>
            <w:rStyle w:val="Hyperlink"/>
            <w:lang w:val="en-GB"/>
          </w:rPr>
          <w:t>press release</w:t>
        </w:r>
      </w:hyperlink>
      <w:r>
        <w:rPr>
          <w:lang w:val="en-GB"/>
        </w:rPr>
        <w:t xml:space="preserve">, 14 March 2019. </w:t>
      </w:r>
    </w:p>
  </w:footnote>
  <w:footnote w:id="8">
    <w:p w14:paraId="0A69D943" w14:textId="77777777" w:rsidR="00B9483F" w:rsidRPr="00EA3184" w:rsidRDefault="00B9483F" w:rsidP="00B9483F">
      <w:pPr>
        <w:pStyle w:val="FootnoteText"/>
        <w:rPr>
          <w:lang w:val="en-GB"/>
        </w:rPr>
      </w:pPr>
      <w:r>
        <w:rPr>
          <w:rStyle w:val="FootnoteReference"/>
        </w:rPr>
        <w:footnoteRef/>
      </w:r>
      <w:r w:rsidRPr="000573A4">
        <w:rPr>
          <w:lang w:val="en-GB"/>
        </w:rPr>
        <w:t xml:space="preserve"> </w:t>
      </w:r>
      <w:r>
        <w:rPr>
          <w:lang w:val="en-GB"/>
        </w:rPr>
        <w:t>GLAD, 2020, ‘</w:t>
      </w:r>
      <w:hyperlink r:id="rId5" w:history="1">
        <w:r w:rsidRPr="00EA3184">
          <w:rPr>
            <w:rStyle w:val="Hyperlink"/>
            <w:lang w:val="en-GB"/>
          </w:rPr>
          <w:t>Press release: virtual high level roundtable on the issue of COVID-19 and disability</w:t>
        </w:r>
      </w:hyperlink>
      <w:r>
        <w:rPr>
          <w:lang w:val="en-GB"/>
        </w:rPr>
        <w:t>’.</w:t>
      </w:r>
    </w:p>
  </w:footnote>
  <w:footnote w:id="9">
    <w:p w14:paraId="633E2281" w14:textId="77777777" w:rsidR="00D37B9F" w:rsidRPr="00CE66E3" w:rsidRDefault="00D37B9F" w:rsidP="00D37B9F">
      <w:pPr>
        <w:pStyle w:val="FootnoteText"/>
        <w:rPr>
          <w:lang w:val="en-GB"/>
        </w:rPr>
      </w:pPr>
      <w:r>
        <w:rPr>
          <w:rStyle w:val="FootnoteReference"/>
        </w:rPr>
        <w:footnoteRef/>
      </w:r>
      <w:r w:rsidRPr="000573A4">
        <w:rPr>
          <w:lang w:val="en-GB"/>
        </w:rPr>
        <w:t xml:space="preserve"> Source e.g. </w:t>
      </w:r>
      <w:r>
        <w:rPr>
          <w:lang w:val="en-GB"/>
        </w:rPr>
        <w:t>‘</w:t>
      </w:r>
      <w:hyperlink r:id="rId6" w:history="1">
        <w:r w:rsidRPr="000F11C6">
          <w:rPr>
            <w:rStyle w:val="Hyperlink"/>
            <w:lang w:val="en-GB"/>
          </w:rPr>
          <w:t>Norway’s international efforts to promote the rights of persons with disabilities</w:t>
        </w:r>
      </w:hyperlink>
      <w:r>
        <w:rPr>
          <w:lang w:val="en-GB"/>
        </w:rPr>
        <w:t xml:space="preserve">’, p. 7, 11, 14, 16; </w:t>
      </w:r>
      <w:hyperlink r:id="rId7" w:history="1">
        <w:r w:rsidRPr="000F11C6">
          <w:rPr>
            <w:rStyle w:val="Hyperlink"/>
            <w:lang w:val="en-GB"/>
          </w:rPr>
          <w:t>White Paper on human rights</w:t>
        </w:r>
      </w:hyperlink>
      <w:r>
        <w:rPr>
          <w:lang w:val="en-GB"/>
        </w:rPr>
        <w:t xml:space="preserve">, p.36; </w:t>
      </w:r>
      <w:hyperlink r:id="rId8" w:history="1">
        <w:r w:rsidRPr="000F11C6">
          <w:rPr>
            <w:rStyle w:val="Hyperlink"/>
            <w:lang w:val="en-GB"/>
          </w:rPr>
          <w:t>national strategy on disability</w:t>
        </w:r>
      </w:hyperlink>
      <w:r>
        <w:rPr>
          <w:lang w:val="en-GB"/>
        </w:rPr>
        <w:t xml:space="preserve">, p.23; Atlas Alliance, </w:t>
      </w:r>
      <w:hyperlink r:id="rId9" w:history="1">
        <w:r w:rsidRPr="000F11C6">
          <w:rPr>
            <w:rStyle w:val="Hyperlink"/>
            <w:lang w:val="en-GB"/>
          </w:rPr>
          <w:t>‘Mapping of the Norwegian support to promote the rights of persons with disabilities</w:t>
        </w:r>
      </w:hyperlink>
      <w:r>
        <w:rPr>
          <w:lang w:val="en-GB"/>
        </w:rPr>
        <w:t>’, p.23 and ‘</w:t>
      </w:r>
      <w:hyperlink r:id="rId10" w:history="1">
        <w:r w:rsidRPr="000573A4">
          <w:rPr>
            <w:rStyle w:val="Hyperlink"/>
            <w:lang w:val="en-GB"/>
          </w:rPr>
          <w:t>Tracking Inclusion in Norwegian Development Support to Global Education</w:t>
        </w:r>
      </w:hyperlink>
      <w:r w:rsidRPr="000573A4">
        <w:rPr>
          <w:lang w:val="en-GB"/>
        </w:rPr>
        <w:t>’, pp.4-5.</w:t>
      </w:r>
    </w:p>
  </w:footnote>
  <w:footnote w:id="10">
    <w:p w14:paraId="1F6BC35D" w14:textId="77777777" w:rsidR="003572BF" w:rsidRPr="00F21C3A" w:rsidRDefault="003572BF" w:rsidP="003572BF">
      <w:pPr>
        <w:pStyle w:val="FootnoteText"/>
        <w:rPr>
          <w:lang w:val="en-GB"/>
        </w:rPr>
      </w:pPr>
      <w:r>
        <w:rPr>
          <w:rStyle w:val="FootnoteReference"/>
        </w:rPr>
        <w:footnoteRef/>
      </w:r>
      <w:r w:rsidRPr="000573A4">
        <w:rPr>
          <w:lang w:val="en-GB"/>
        </w:rPr>
        <w:t xml:space="preserve"> </w:t>
      </w:r>
      <w:r>
        <w:rPr>
          <w:lang w:val="en-GB"/>
        </w:rPr>
        <w:t xml:space="preserve">World Bank, </w:t>
      </w:r>
      <w:hyperlink r:id="rId11" w:history="1">
        <w:r w:rsidRPr="00F21C3A">
          <w:rPr>
            <w:rStyle w:val="Hyperlink"/>
            <w:lang w:val="en-GB"/>
          </w:rPr>
          <w:t>‘Inclusive education initiative: transforming education for children with disabilities</w:t>
        </w:r>
      </w:hyperlink>
      <w:r>
        <w:rPr>
          <w:lang w:val="en-GB"/>
        </w:rPr>
        <w:t>’</w:t>
      </w:r>
    </w:p>
  </w:footnote>
  <w:footnote w:id="11">
    <w:p w14:paraId="6D48A1D7" w14:textId="4F817AFF" w:rsidR="00834A17" w:rsidRPr="00834A17" w:rsidRDefault="00834A17">
      <w:pPr>
        <w:pStyle w:val="FootnoteText"/>
        <w:rPr>
          <w:lang w:val="en-GB"/>
        </w:rPr>
      </w:pPr>
      <w:r>
        <w:rPr>
          <w:rStyle w:val="FootnoteReference"/>
        </w:rPr>
        <w:footnoteRef/>
      </w:r>
      <w:r w:rsidRPr="000573A4">
        <w:rPr>
          <w:lang w:val="en-GB"/>
        </w:rPr>
        <w:t xml:space="preserve"> </w:t>
      </w:r>
      <w:r w:rsidR="00B2207C">
        <w:rPr>
          <w:lang w:val="en-GB"/>
        </w:rPr>
        <w:t>Government of Norway, 2020, ‘</w:t>
      </w:r>
      <w:hyperlink r:id="rId12" w:history="1">
        <w:r w:rsidR="00B2207C" w:rsidRPr="00B2207C">
          <w:rPr>
            <w:rStyle w:val="Hyperlink"/>
            <w:lang w:val="en-GB"/>
          </w:rPr>
          <w:t>Together for inclusion</w:t>
        </w:r>
      </w:hyperlink>
      <w:r w:rsidR="00B2207C">
        <w:rPr>
          <w:lang w:val="en-GB"/>
        </w:rPr>
        <w:t>’ press release</w:t>
      </w:r>
    </w:p>
  </w:footnote>
  <w:footnote w:id="12">
    <w:p w14:paraId="5BF28E66" w14:textId="01FA0336" w:rsidR="006715C1" w:rsidRPr="00615D9F" w:rsidRDefault="006715C1" w:rsidP="006715C1">
      <w:pPr>
        <w:pStyle w:val="FootnoteText"/>
        <w:rPr>
          <w:lang w:val="en-GB"/>
        </w:rPr>
      </w:pPr>
      <w:r>
        <w:rPr>
          <w:rStyle w:val="FootnoteReference"/>
        </w:rPr>
        <w:footnoteRef/>
      </w:r>
      <w:r w:rsidRPr="000573A4">
        <w:rPr>
          <w:lang w:val="en-GB"/>
        </w:rPr>
        <w:t xml:space="preserve"> </w:t>
      </w:r>
      <w:r>
        <w:rPr>
          <w:lang w:val="en-GB"/>
        </w:rPr>
        <w:t>Quote from Giampiero Griffo</w:t>
      </w:r>
      <w:r w:rsidR="00FA6F56">
        <w:rPr>
          <w:lang w:val="en-GB"/>
        </w:rPr>
        <w:t xml:space="preserve"> (DPI Italia)</w:t>
      </w:r>
      <w:r>
        <w:rPr>
          <w:lang w:val="en-GB"/>
        </w:rPr>
        <w:t>, personal correspondence</w:t>
      </w:r>
    </w:p>
  </w:footnote>
  <w:footnote w:id="13">
    <w:p w14:paraId="505B2768" w14:textId="77777777" w:rsidR="002E449A" w:rsidRPr="00C51E42" w:rsidRDefault="002E449A" w:rsidP="00CC374F">
      <w:pPr>
        <w:pStyle w:val="FootnoteText"/>
        <w:rPr>
          <w:lang w:val="en-GB"/>
        </w:rPr>
      </w:pPr>
      <w:r>
        <w:rPr>
          <w:rStyle w:val="FootnoteReference"/>
        </w:rPr>
        <w:footnoteRef/>
      </w:r>
      <w:r w:rsidRPr="000573A4">
        <w:rPr>
          <w:lang w:val="en-GB"/>
        </w:rPr>
        <w:t xml:space="preserve"> </w:t>
      </w:r>
      <w:r>
        <w:rPr>
          <w:lang w:val="en-GB"/>
        </w:rPr>
        <w:t xml:space="preserve">See for example European Disability Forum, </w:t>
      </w:r>
      <w:hyperlink r:id="rId13" w:history="1">
        <w:r w:rsidRPr="009656E3">
          <w:rPr>
            <w:rStyle w:val="Hyperlink"/>
            <w:lang w:val="en-GB"/>
          </w:rPr>
          <w:t>Guidance note on the role of European organistions of persons with disabilities in development cooperation</w:t>
        </w:r>
      </w:hyperlink>
      <w:r>
        <w:rPr>
          <w:lang w:val="en-GB"/>
        </w:rPr>
        <w:t>, pp. 6-7.</w:t>
      </w:r>
    </w:p>
  </w:footnote>
  <w:footnote w:id="14">
    <w:p w14:paraId="0CF77D22" w14:textId="77777777" w:rsidR="002E449A" w:rsidRPr="00F05A70" w:rsidRDefault="002E449A" w:rsidP="007C3044">
      <w:pPr>
        <w:pStyle w:val="FootnoteText"/>
        <w:rPr>
          <w:lang w:val="en-GB"/>
        </w:rPr>
      </w:pPr>
      <w:r>
        <w:rPr>
          <w:rStyle w:val="FootnoteReference"/>
        </w:rPr>
        <w:footnoteRef/>
      </w:r>
      <w:r w:rsidRPr="000573A4">
        <w:rPr>
          <w:lang w:val="en-GB"/>
        </w:rPr>
        <w:t xml:space="preserve"> </w:t>
      </w:r>
      <w:r>
        <w:rPr>
          <w:lang w:val="en-GB"/>
        </w:rPr>
        <w:t xml:space="preserve">UN Committee on the Rights of Persons with Disabilities, 2019, </w:t>
      </w:r>
      <w:hyperlink r:id="rId14" w:history="1">
        <w:r w:rsidRPr="00C0194C">
          <w:rPr>
            <w:rStyle w:val="Hyperlink"/>
            <w:lang w:val="en-GB"/>
          </w:rPr>
          <w:t>Concluding Observations on Norway</w:t>
        </w:r>
      </w:hyperlink>
    </w:p>
  </w:footnote>
  <w:footnote w:id="15">
    <w:p w14:paraId="55B8DE29" w14:textId="74F149D5" w:rsidR="008E1959" w:rsidRPr="008E1959" w:rsidRDefault="008E1959">
      <w:pPr>
        <w:pStyle w:val="FootnoteText"/>
        <w:rPr>
          <w:lang w:val="en-GB"/>
        </w:rPr>
      </w:pPr>
      <w:r>
        <w:rPr>
          <w:rStyle w:val="FootnoteReference"/>
        </w:rPr>
        <w:footnoteRef/>
      </w:r>
      <w:r w:rsidRPr="000573A4">
        <w:rPr>
          <w:lang w:val="en-GB"/>
        </w:rPr>
        <w:t xml:space="preserve"> Kroglund, 2019, </w:t>
      </w:r>
      <w:hyperlink r:id="rId15" w:history="1">
        <w:r w:rsidRPr="000573A4">
          <w:rPr>
            <w:rStyle w:val="Hyperlink"/>
            <w:lang w:val="en-GB"/>
          </w:rPr>
          <w:t>Leaving No-One Behind : a Nordic movement for change</w:t>
        </w:r>
      </w:hyperlink>
      <w:r w:rsidRPr="000573A4">
        <w:rPr>
          <w:lang w:val="en-GB"/>
        </w:rPr>
        <w:t>, pp.27 and 29</w:t>
      </w:r>
    </w:p>
  </w:footnote>
  <w:footnote w:id="16">
    <w:p w14:paraId="460C6D9B" w14:textId="563DD0BB" w:rsidR="002000F7" w:rsidRPr="002000F7" w:rsidRDefault="002000F7">
      <w:pPr>
        <w:pStyle w:val="FootnoteText"/>
        <w:rPr>
          <w:lang w:val="en-GB"/>
        </w:rPr>
      </w:pPr>
      <w:r>
        <w:rPr>
          <w:rStyle w:val="FootnoteReference"/>
        </w:rPr>
        <w:footnoteRef/>
      </w:r>
      <w:r w:rsidRPr="000573A4">
        <w:rPr>
          <w:lang w:val="en-GB"/>
        </w:rPr>
        <w:t xml:space="preserve"> </w:t>
      </w:r>
      <w:r>
        <w:rPr>
          <w:lang w:val="en-GB"/>
        </w:rPr>
        <w:t xml:space="preserve">Source: analysis of </w:t>
      </w:r>
      <w:r w:rsidRPr="00647BAD">
        <w:rPr>
          <w:lang w:val="en-GB"/>
        </w:rPr>
        <w:t xml:space="preserve">OECD DAC </w:t>
      </w:r>
      <w:hyperlink r:id="rId16" w:history="1">
        <w:r w:rsidRPr="00647BAD">
          <w:rPr>
            <w:rStyle w:val="Hyperlink"/>
            <w:lang w:val="en-GB"/>
          </w:rPr>
          <w:t>Creditor Reporting System</w:t>
        </w:r>
      </w:hyperlink>
      <w:r>
        <w:rPr>
          <w:rStyle w:val="Hyperlink"/>
          <w:lang w:val="en-GB"/>
        </w:rPr>
        <w:t>.</w:t>
      </w:r>
    </w:p>
  </w:footnote>
  <w:footnote w:id="17">
    <w:p w14:paraId="15665763" w14:textId="13D62A9A" w:rsidR="002000F7" w:rsidRPr="002000F7" w:rsidRDefault="002000F7">
      <w:pPr>
        <w:pStyle w:val="FootnoteText"/>
        <w:rPr>
          <w:lang w:val="en-GB"/>
        </w:rPr>
      </w:pPr>
      <w:r>
        <w:rPr>
          <w:rStyle w:val="FootnoteReference"/>
        </w:rPr>
        <w:footnoteRef/>
      </w:r>
      <w:r w:rsidRPr="000573A4">
        <w:rPr>
          <w:lang w:val="en-GB"/>
        </w:rPr>
        <w:t xml:space="preserve"> </w:t>
      </w:r>
      <w:r>
        <w:rPr>
          <w:lang w:val="en-GB"/>
        </w:rPr>
        <w:t xml:space="preserve">UN Special Rapporteur on Disability, 2020, </w:t>
      </w:r>
      <w:hyperlink r:id="rId17" w:history="1">
        <w:r w:rsidRPr="00834A17">
          <w:rPr>
            <w:rStyle w:val="Hyperlink"/>
            <w:lang w:val="en-GB"/>
          </w:rPr>
          <w:t>report</w:t>
        </w:r>
      </w:hyperlink>
      <w:r>
        <w:rPr>
          <w:lang w:val="en-GB"/>
        </w:rPr>
        <w:t xml:space="preserve"> on disability-inclusive international cooperation, p.14</w:t>
      </w:r>
    </w:p>
  </w:footnote>
  <w:footnote w:id="18">
    <w:p w14:paraId="12DBF65E" w14:textId="36A25D68" w:rsidR="00767963" w:rsidRPr="00767963" w:rsidRDefault="00767963">
      <w:pPr>
        <w:pStyle w:val="FootnoteText"/>
        <w:rPr>
          <w:lang w:val="en-GB"/>
        </w:rPr>
      </w:pPr>
      <w:r>
        <w:rPr>
          <w:rStyle w:val="FootnoteReference"/>
        </w:rPr>
        <w:footnoteRef/>
      </w:r>
      <w:r w:rsidRPr="000573A4">
        <w:rPr>
          <w:lang w:val="en-GB"/>
        </w:rPr>
        <w:t xml:space="preserve"> </w:t>
      </w:r>
      <w:r>
        <w:rPr>
          <w:lang w:val="en-GB"/>
        </w:rPr>
        <w:t>Atlas Alliance, ‘</w:t>
      </w:r>
      <w:hyperlink r:id="rId18" w:history="1">
        <w:r w:rsidRPr="00767963">
          <w:rPr>
            <w:rStyle w:val="Hyperlink"/>
            <w:lang w:val="en-GB"/>
          </w:rPr>
          <w:t>Inclusive development</w:t>
        </w:r>
      </w:hyperlink>
      <w:r>
        <w:rPr>
          <w:lang w:val="en-GB"/>
        </w:rPr>
        <w:t>’</w:t>
      </w:r>
    </w:p>
  </w:footnote>
  <w:footnote w:id="19">
    <w:p w14:paraId="59A1951C" w14:textId="4B6F2238" w:rsidR="007445F5" w:rsidRPr="007445F5" w:rsidRDefault="007445F5">
      <w:pPr>
        <w:pStyle w:val="FootnoteText"/>
        <w:rPr>
          <w:lang w:val="en-GB"/>
        </w:rPr>
      </w:pPr>
      <w:r>
        <w:rPr>
          <w:rStyle w:val="FootnoteReference"/>
        </w:rPr>
        <w:footnoteRef/>
      </w:r>
      <w:r w:rsidRPr="000573A4">
        <w:rPr>
          <w:lang w:val="en-GB"/>
        </w:rPr>
        <w:t xml:space="preserve"> </w:t>
      </w:r>
      <w:r>
        <w:rPr>
          <w:lang w:val="en-GB"/>
        </w:rPr>
        <w:t>Kroglund, 2019, ‘</w:t>
      </w:r>
      <w:hyperlink r:id="rId19" w:history="1">
        <w:r w:rsidRPr="007445F5">
          <w:rPr>
            <w:rStyle w:val="Hyperlink"/>
            <w:lang w:val="en-GB"/>
          </w:rPr>
          <w:t>Leave No-One Behind: a Nordic movement for change</w:t>
        </w:r>
      </w:hyperlink>
      <w:r>
        <w:rPr>
          <w:lang w:val="en-GB"/>
        </w:rPr>
        <w:t>’, p.9</w:t>
      </w:r>
      <w:r w:rsidR="00507CE2">
        <w:rPr>
          <w:lang w:val="en-GB"/>
        </w:rPr>
        <w:t xml:space="preserve"> and p.28</w:t>
      </w:r>
    </w:p>
  </w:footnote>
  <w:footnote w:id="20">
    <w:p w14:paraId="3EFD736E" w14:textId="77777777" w:rsidR="00E472DC" w:rsidRPr="00CE1771" w:rsidRDefault="00E472DC" w:rsidP="00E472DC">
      <w:pPr>
        <w:pStyle w:val="FootnoteText"/>
        <w:rPr>
          <w:lang w:val="en-GB"/>
        </w:rPr>
      </w:pPr>
      <w:r>
        <w:rPr>
          <w:rStyle w:val="FootnoteReference"/>
        </w:rPr>
        <w:footnoteRef/>
      </w:r>
      <w:r w:rsidRPr="000573A4">
        <w:rPr>
          <w:lang w:val="en-GB"/>
        </w:rPr>
        <w:t xml:space="preserve"> </w:t>
      </w:r>
      <w:r>
        <w:rPr>
          <w:lang w:val="en-GB"/>
        </w:rPr>
        <w:t xml:space="preserve">NORAD </w:t>
      </w:r>
      <w:hyperlink r:id="rId20" w:history="1">
        <w:r w:rsidRPr="00A150BC">
          <w:rPr>
            <w:rStyle w:val="Hyperlink"/>
            <w:lang w:val="en-GB"/>
          </w:rPr>
          <w:t>strategy</w:t>
        </w:r>
      </w:hyperlink>
      <w:r>
        <w:rPr>
          <w:lang w:val="en-GB"/>
        </w:rPr>
        <w:t>, p.7</w:t>
      </w:r>
    </w:p>
  </w:footnote>
  <w:footnote w:id="21">
    <w:p w14:paraId="76FF2EC8" w14:textId="207F6DC6" w:rsidR="004D3678" w:rsidRPr="004D3678" w:rsidRDefault="004D3678">
      <w:pPr>
        <w:pStyle w:val="FootnoteText"/>
        <w:rPr>
          <w:lang w:val="en-GB"/>
        </w:rPr>
      </w:pPr>
      <w:r>
        <w:rPr>
          <w:rStyle w:val="FootnoteReference"/>
        </w:rPr>
        <w:footnoteRef/>
      </w:r>
      <w:r w:rsidRPr="000573A4">
        <w:rPr>
          <w:lang w:val="en-GB"/>
        </w:rPr>
        <w:t xml:space="preserve"> </w:t>
      </w:r>
      <w:r>
        <w:rPr>
          <w:lang w:val="en-GB"/>
        </w:rPr>
        <w:t xml:space="preserve">Atlas Alliance, 2018, </w:t>
      </w:r>
      <w:hyperlink r:id="rId21" w:history="1">
        <w:r w:rsidRPr="007A0677">
          <w:rPr>
            <w:rStyle w:val="Hyperlink"/>
            <w:lang w:val="en-GB"/>
          </w:rPr>
          <w:t>Mapping of the Norwergian support to promote the rights of persons with disabilities</w:t>
        </w:r>
      </w:hyperlink>
      <w:r>
        <w:rPr>
          <w:lang w:val="en-GB"/>
        </w:rPr>
        <w:t>, p.22</w:t>
      </w:r>
    </w:p>
  </w:footnote>
  <w:footnote w:id="22">
    <w:p w14:paraId="52B8441F" w14:textId="3722DE6B" w:rsidR="001B1CD7" w:rsidRPr="001B1CD7" w:rsidRDefault="001B1CD7">
      <w:pPr>
        <w:pStyle w:val="FootnoteText"/>
        <w:rPr>
          <w:lang w:val="en-GB"/>
        </w:rPr>
      </w:pPr>
      <w:r>
        <w:rPr>
          <w:rStyle w:val="FootnoteReference"/>
        </w:rPr>
        <w:footnoteRef/>
      </w:r>
      <w:r w:rsidRPr="000573A4">
        <w:rPr>
          <w:lang w:val="en-GB"/>
        </w:rPr>
        <w:t xml:space="preserve"> </w:t>
      </w:r>
      <w:r>
        <w:rPr>
          <w:lang w:val="en-GB"/>
        </w:rPr>
        <w:t>Kroglund, 2019, ‘</w:t>
      </w:r>
      <w:hyperlink r:id="rId22" w:history="1">
        <w:r w:rsidRPr="007445F5">
          <w:rPr>
            <w:rStyle w:val="Hyperlink"/>
            <w:lang w:val="en-GB"/>
          </w:rPr>
          <w:t>Leave No-One Behind: a Nordic movement for change</w:t>
        </w:r>
      </w:hyperlink>
      <w:r>
        <w:rPr>
          <w:lang w:val="en-GB"/>
        </w:rPr>
        <w:t>’, p.13</w:t>
      </w:r>
    </w:p>
  </w:footnote>
  <w:footnote w:id="23">
    <w:p w14:paraId="4238FC19" w14:textId="4BCCFD90" w:rsidR="007E2B86" w:rsidRPr="007E2B86" w:rsidRDefault="007E2B86">
      <w:pPr>
        <w:pStyle w:val="FootnoteText"/>
        <w:rPr>
          <w:lang w:val="en-GB"/>
        </w:rPr>
      </w:pPr>
      <w:r>
        <w:rPr>
          <w:rStyle w:val="FootnoteReference"/>
        </w:rPr>
        <w:footnoteRef/>
      </w:r>
      <w:r w:rsidRPr="000573A4">
        <w:rPr>
          <w:lang w:val="en-GB"/>
        </w:rPr>
        <w:t xml:space="preserve"> </w:t>
      </w:r>
      <w:r w:rsidR="00040B76" w:rsidRPr="000573A4">
        <w:rPr>
          <w:lang w:val="en-GB"/>
        </w:rPr>
        <w:t>NORAD, ‘</w:t>
      </w:r>
      <w:hyperlink r:id="rId23" w:history="1">
        <w:r w:rsidR="00040B76" w:rsidRPr="000573A4">
          <w:rPr>
            <w:rStyle w:val="Hyperlink"/>
            <w:lang w:val="en-GB"/>
          </w:rPr>
          <w:t>Education results reporting system</w:t>
        </w:r>
      </w:hyperlink>
      <w:r w:rsidR="00040B76" w:rsidRPr="000573A4">
        <w:rPr>
          <w:lang w:val="en-GB"/>
        </w:rPr>
        <w:t>’</w:t>
      </w:r>
    </w:p>
  </w:footnote>
  <w:footnote w:id="24">
    <w:p w14:paraId="4F722E05" w14:textId="41993ECC" w:rsidR="00185A7B" w:rsidRPr="000573A4" w:rsidRDefault="00185A7B" w:rsidP="00185A7B">
      <w:pPr>
        <w:pStyle w:val="FootnoteText"/>
        <w:rPr>
          <w:b/>
          <w:bCs/>
          <w:lang w:val="en-GB"/>
        </w:rPr>
      </w:pPr>
      <w:r>
        <w:rPr>
          <w:rStyle w:val="FootnoteReference"/>
        </w:rPr>
        <w:footnoteRef/>
      </w:r>
      <w:r w:rsidRPr="000573A4">
        <w:rPr>
          <w:lang w:val="en-GB"/>
        </w:rPr>
        <w:t xml:space="preserve"> </w:t>
      </w:r>
      <w:r>
        <w:rPr>
          <w:lang w:val="en-GB"/>
        </w:rPr>
        <w:t xml:space="preserve">This indicator looks at </w:t>
      </w:r>
      <w:r w:rsidRPr="00985E25">
        <w:rPr>
          <w:lang w:val="en-GB"/>
        </w:rPr>
        <w:t>what</w:t>
      </w:r>
      <w:r>
        <w:rPr>
          <w:lang w:val="en-GB"/>
        </w:rPr>
        <w:t xml:space="preserve"> ODA is spent on, and whether this directly contributes to activities that are contrary to the provisions of the CRPD. For the wider questions of whether ODA spending contributes to activities that fulfil the CRPD, and whether the </w:t>
      </w:r>
      <w:r>
        <w:rPr>
          <w:b/>
          <w:bCs/>
          <w:lang w:val="en-GB"/>
        </w:rPr>
        <w:t xml:space="preserve">way </w:t>
      </w:r>
      <w:r>
        <w:rPr>
          <w:lang w:val="en-GB"/>
        </w:rPr>
        <w:t xml:space="preserve">that ODA is spent complies with the CRPD by enabling the active involvement of </w:t>
      </w:r>
      <w:r w:rsidR="00361C78">
        <w:rPr>
          <w:lang w:val="en-GB"/>
        </w:rPr>
        <w:t>DPOs</w:t>
      </w:r>
      <w:r>
        <w:rPr>
          <w:lang w:val="en-GB"/>
        </w:rPr>
        <w:t xml:space="preserve">, please refer to the other sections of this fact-sheet. </w:t>
      </w:r>
      <w:r w:rsidRPr="000573A4">
        <w:rPr>
          <w:lang w:val="en-GB"/>
        </w:rPr>
        <w:t xml:space="preserve"> </w:t>
      </w:r>
    </w:p>
  </w:footnote>
  <w:footnote w:id="25">
    <w:p w14:paraId="5ACFD658" w14:textId="31E79202" w:rsidR="002E449A" w:rsidRPr="00AD78A0" w:rsidRDefault="002E449A">
      <w:pPr>
        <w:pStyle w:val="FootnoteText"/>
        <w:rPr>
          <w:lang w:val="en-GB"/>
        </w:rPr>
      </w:pPr>
      <w:r>
        <w:rPr>
          <w:rStyle w:val="FootnoteReference"/>
        </w:rPr>
        <w:footnoteRef/>
      </w:r>
      <w:r w:rsidRPr="00647BAD">
        <w:rPr>
          <w:lang w:val="en-GB"/>
        </w:rPr>
        <w:t xml:space="preserve"> </w:t>
      </w:r>
      <w:r>
        <w:rPr>
          <w:lang w:val="en-GB"/>
        </w:rPr>
        <w:t xml:space="preserve">Source: OECD DAC, </w:t>
      </w:r>
      <w:hyperlink r:id="rId24" w:history="1">
        <w:r w:rsidRPr="00804986">
          <w:rPr>
            <w:rStyle w:val="Hyperlink"/>
            <w:lang w:val="en-GB"/>
          </w:rPr>
          <w:t>2019 preliminary ODA data</w:t>
        </w:r>
      </w:hyperlink>
      <w:r>
        <w:rPr>
          <w:lang w:val="en-GB"/>
        </w:rPr>
        <w:t xml:space="preserve">, Table 1. Exchange rates calculated using the </w:t>
      </w:r>
      <w:hyperlink r:id="rId25" w:history="1">
        <w:r w:rsidRPr="00AD12D0">
          <w:rPr>
            <w:rStyle w:val="Hyperlink"/>
            <w:lang w:val="en-GB"/>
          </w:rPr>
          <w:t>IMF’s data tables</w:t>
        </w:r>
      </w:hyperlink>
      <w:r>
        <w:rPr>
          <w:lang w:val="en-GB"/>
        </w:rPr>
        <w:t xml:space="preserve"> (data for the mid-point of the year, 28 June 2019).</w:t>
      </w:r>
    </w:p>
  </w:footnote>
  <w:footnote w:id="26">
    <w:p w14:paraId="574F9D44" w14:textId="41E8F477" w:rsidR="007E71E3" w:rsidRPr="001465A3" w:rsidRDefault="007E71E3" w:rsidP="007E71E3">
      <w:pPr>
        <w:pStyle w:val="FootnoteText"/>
        <w:rPr>
          <w:lang w:val="en-GB"/>
        </w:rPr>
      </w:pPr>
      <w:r>
        <w:rPr>
          <w:rStyle w:val="FootnoteReference"/>
        </w:rPr>
        <w:footnoteRef/>
      </w:r>
      <w:r w:rsidRPr="000573A4">
        <w:rPr>
          <w:lang w:val="en-GB"/>
        </w:rPr>
        <w:t xml:space="preserve"> </w:t>
      </w:r>
      <w:r>
        <w:rPr>
          <w:lang w:val="en-GB"/>
        </w:rPr>
        <w:t>The ‘</w:t>
      </w:r>
      <w:r w:rsidRPr="00330E26">
        <w:rPr>
          <w:b/>
          <w:bCs/>
          <w:lang w:val="en-GB"/>
        </w:rPr>
        <w:t>DAC marker</w:t>
      </w:r>
      <w:r>
        <w:rPr>
          <w:lang w:val="en-GB"/>
        </w:rPr>
        <w:t>’ is a new tool introduced to the O</w:t>
      </w:r>
      <w:r w:rsidR="008A0D77">
        <w:rPr>
          <w:lang w:val="en-GB"/>
        </w:rPr>
        <w:t>ECD DAC</w:t>
      </w:r>
      <w:r>
        <w:rPr>
          <w:lang w:val="en-GB"/>
        </w:rPr>
        <w:t>’s ODA database. It allows ODA providers to flag whether their spending aims to be disability inclusive. (</w:t>
      </w:r>
      <w:hyperlink r:id="rId26" w:history="1">
        <w:r w:rsidR="00203526">
          <w:rPr>
            <w:rStyle w:val="Hyperlink"/>
            <w:lang w:val="en-GB"/>
          </w:rPr>
          <w:t>More information on the DAC marker is available here</w:t>
        </w:r>
      </w:hyperlink>
      <w:r>
        <w:rPr>
          <w:lang w:val="en-GB"/>
        </w:rPr>
        <w:t xml:space="preserve">). </w:t>
      </w:r>
      <w:r w:rsidRPr="00330E26">
        <w:rPr>
          <w:b/>
          <w:bCs/>
          <w:lang w:val="en-GB"/>
        </w:rPr>
        <w:t>Allocable ODA spending</w:t>
      </w:r>
      <w:r>
        <w:rPr>
          <w:lang w:val="en-GB"/>
        </w:rPr>
        <w:t xml:space="preserve"> is a category defined by the OECD. It describes types of ODA spending that can more easily be controlled and monitored directly by ODA providers (e.g. project spending is easier to control and monitor directly, compared with debt relief).</w:t>
      </w:r>
    </w:p>
  </w:footnote>
  <w:footnote w:id="27">
    <w:p w14:paraId="5F706C52" w14:textId="4847CDBD" w:rsidR="00E87DC2" w:rsidRPr="00E87DC2" w:rsidRDefault="00E87DC2">
      <w:pPr>
        <w:pStyle w:val="FootnoteText"/>
        <w:rPr>
          <w:lang w:val="en-GB"/>
        </w:rPr>
      </w:pPr>
      <w:r>
        <w:rPr>
          <w:rStyle w:val="FootnoteReference"/>
        </w:rPr>
        <w:footnoteRef/>
      </w:r>
      <w:r w:rsidRPr="000573A4">
        <w:rPr>
          <w:lang w:val="en-GB"/>
        </w:rPr>
        <w:t xml:space="preserve"> </w:t>
      </w:r>
      <w:r w:rsidRPr="00647BAD">
        <w:rPr>
          <w:lang w:val="en-GB"/>
        </w:rPr>
        <w:t xml:space="preserve">Source : OECD DAC </w:t>
      </w:r>
      <w:hyperlink r:id="rId27" w:history="1">
        <w:r w:rsidRPr="00647BAD">
          <w:rPr>
            <w:rStyle w:val="Hyperlink"/>
            <w:lang w:val="en-GB"/>
          </w:rPr>
          <w:t>Creditor Reporting System</w:t>
        </w:r>
      </w:hyperlink>
      <w:r w:rsidRPr="00647BAD">
        <w:rPr>
          <w:lang w:val="en-GB"/>
        </w:rPr>
        <w:t>. Calculated on a commitments basis</w:t>
      </w:r>
      <w:r>
        <w:rPr>
          <w:lang w:val="en-GB"/>
        </w:rPr>
        <w:t>, with negative commitments excluded from the analysis.</w:t>
      </w:r>
    </w:p>
  </w:footnote>
  <w:footnote w:id="28">
    <w:p w14:paraId="77511B17" w14:textId="0B87067C" w:rsidR="002E449A" w:rsidRPr="00647BAD" w:rsidRDefault="002E449A" w:rsidP="007A6E30">
      <w:pPr>
        <w:pStyle w:val="FootnoteText"/>
        <w:rPr>
          <w:lang w:val="en-GB"/>
        </w:rPr>
      </w:pPr>
      <w:r>
        <w:rPr>
          <w:rStyle w:val="FootnoteReference"/>
        </w:rPr>
        <w:footnoteRef/>
      </w:r>
      <w:r w:rsidRPr="00647BAD">
        <w:rPr>
          <w:lang w:val="en-GB"/>
        </w:rPr>
        <w:t xml:space="preserve"> Source : OECD DAC </w:t>
      </w:r>
      <w:hyperlink r:id="rId28" w:history="1">
        <w:r w:rsidRPr="00647BAD">
          <w:rPr>
            <w:rStyle w:val="Hyperlink"/>
            <w:lang w:val="en-GB"/>
          </w:rPr>
          <w:t>Creditor Reporting System</w:t>
        </w:r>
      </w:hyperlink>
      <w:r w:rsidRPr="00647BAD">
        <w:rPr>
          <w:lang w:val="en-GB"/>
        </w:rPr>
        <w:t>. Calculated on a commitments basis</w:t>
      </w:r>
      <w:r>
        <w:rPr>
          <w:lang w:val="en-GB"/>
        </w:rPr>
        <w:t>, with negative commitments excluded from the analysis</w:t>
      </w:r>
      <w:r w:rsidRPr="00647BAD">
        <w:rPr>
          <w:lang w:val="en-GB"/>
        </w:rPr>
        <w:t xml:space="preserve">. The </w:t>
      </w:r>
      <w:r>
        <w:rPr>
          <w:lang w:val="en-GB"/>
        </w:rPr>
        <w:t>1</w:t>
      </w:r>
      <w:r w:rsidRPr="00647BAD">
        <w:rPr>
          <w:lang w:val="en-GB"/>
        </w:rPr>
        <w:t>% figure includes</w:t>
      </w:r>
      <w:r>
        <w:rPr>
          <w:lang w:val="en-GB"/>
        </w:rPr>
        <w:t>: (i)</w:t>
      </w:r>
      <w:r w:rsidRPr="00647BAD">
        <w:rPr>
          <w:lang w:val="en-GB"/>
        </w:rPr>
        <w:t xml:space="preserve"> spending with disability inclusion as its « principal objective »</w:t>
      </w:r>
      <w:r>
        <w:rPr>
          <w:lang w:val="en-GB"/>
        </w:rPr>
        <w:t xml:space="preserve">, amounting to 0.3%; </w:t>
      </w:r>
      <w:r w:rsidRPr="00647BAD">
        <w:rPr>
          <w:lang w:val="en-GB"/>
        </w:rPr>
        <w:t xml:space="preserve">and </w:t>
      </w:r>
      <w:r>
        <w:rPr>
          <w:lang w:val="en-GB"/>
        </w:rPr>
        <w:t xml:space="preserve">(ii) </w:t>
      </w:r>
      <w:r w:rsidRPr="00647BAD">
        <w:rPr>
          <w:lang w:val="en-GB"/>
        </w:rPr>
        <w:t>spending with disability inclusion as a « significant objective »</w:t>
      </w:r>
      <w:r>
        <w:rPr>
          <w:lang w:val="en-GB"/>
        </w:rPr>
        <w:t>, amounting to 0.7%</w:t>
      </w:r>
      <w:r w:rsidRPr="00647BAD">
        <w:rPr>
          <w:lang w:val="en-GB"/>
        </w:rPr>
        <w:t xml:space="preserve">. </w:t>
      </w:r>
      <w:r>
        <w:rPr>
          <w:lang w:val="en-GB"/>
        </w:rPr>
        <w:t xml:space="preserve">(Please note these figures are not directly comparable with the </w:t>
      </w:r>
      <w:hyperlink r:id="rId29" w:history="1">
        <w:r w:rsidRPr="00A61570">
          <w:rPr>
            <w:rStyle w:val="Hyperlink"/>
            <w:lang w:val="en-GB"/>
          </w:rPr>
          <w:t>analysis published by the Atlas Alliance</w:t>
        </w:r>
      </w:hyperlink>
      <w:r>
        <w:rPr>
          <w:lang w:val="en-GB"/>
        </w:rPr>
        <w:t xml:space="preserve"> in 2018, because of differences in how data was reported.)</w:t>
      </w:r>
    </w:p>
  </w:footnote>
  <w:footnote w:id="29">
    <w:p w14:paraId="1B460936" w14:textId="2549073B" w:rsidR="002E449A" w:rsidRPr="00936334" w:rsidRDefault="002E449A">
      <w:pPr>
        <w:pStyle w:val="FootnoteText"/>
        <w:rPr>
          <w:lang w:val="en-GB"/>
        </w:rPr>
      </w:pPr>
      <w:r>
        <w:rPr>
          <w:rStyle w:val="FootnoteReference"/>
        </w:rPr>
        <w:footnoteRef/>
      </w:r>
      <w:r w:rsidRPr="000573A4">
        <w:rPr>
          <w:lang w:val="en-GB"/>
        </w:rPr>
        <w:t xml:space="preserve"> </w:t>
      </w:r>
      <w:r>
        <w:rPr>
          <w:lang w:val="en-GB"/>
        </w:rPr>
        <w:t xml:space="preserve">Source : derived from </w:t>
      </w:r>
      <w:r w:rsidRPr="00647BAD">
        <w:rPr>
          <w:lang w:val="en-GB"/>
        </w:rPr>
        <w:t xml:space="preserve">OECD DAC </w:t>
      </w:r>
      <w:hyperlink r:id="rId30" w:history="1">
        <w:r w:rsidRPr="00647BAD">
          <w:rPr>
            <w:rStyle w:val="Hyperlink"/>
            <w:lang w:val="en-GB"/>
          </w:rPr>
          <w:t>Creditor Reporting System</w:t>
        </w:r>
      </w:hyperlink>
      <w:r>
        <w:rPr>
          <w:rStyle w:val="Hyperlink"/>
          <w:lang w:val="en-GB"/>
        </w:rPr>
        <w:t>.</w:t>
      </w:r>
    </w:p>
  </w:footnote>
  <w:footnote w:id="30">
    <w:p w14:paraId="7D7CC89A" w14:textId="77777777" w:rsidR="008B5A82" w:rsidRPr="005B14A1" w:rsidRDefault="008B5A82" w:rsidP="008B5A82">
      <w:pPr>
        <w:pStyle w:val="FootnoteText"/>
        <w:rPr>
          <w:lang w:val="en-GB"/>
        </w:rPr>
      </w:pPr>
      <w:r>
        <w:rPr>
          <w:rStyle w:val="FootnoteReference"/>
        </w:rPr>
        <w:footnoteRef/>
      </w:r>
      <w:r w:rsidRPr="000573A4">
        <w:rPr>
          <w:lang w:val="en-GB"/>
        </w:rPr>
        <w:t xml:space="preserve"> Please note readers are advised not to draw comparisons between different ODA providers on the basis of the questions in this annex : the questions have been tailored to individual contexts and are not an indication of relative performance.</w:t>
      </w:r>
    </w:p>
  </w:footnote>
  <w:footnote w:id="31">
    <w:p w14:paraId="70FE5B9E" w14:textId="77777777" w:rsidR="000C54A8" w:rsidRPr="00EC6CFA" w:rsidRDefault="000C54A8" w:rsidP="000C54A8">
      <w:pPr>
        <w:pStyle w:val="FootnoteText"/>
        <w:rPr>
          <w:lang w:val="en-GB"/>
        </w:rPr>
      </w:pPr>
      <w:r>
        <w:rPr>
          <w:rStyle w:val="FootnoteReference"/>
        </w:rPr>
        <w:footnoteRef/>
      </w:r>
      <w:r w:rsidRPr="000573A4">
        <w:rPr>
          <w:lang w:val="en-GB"/>
        </w:rPr>
        <w:t xml:space="preserve"> </w:t>
      </w:r>
      <w:r>
        <w:rPr>
          <w:lang w:val="en-GB"/>
        </w:rPr>
        <w:t xml:space="preserve">Ministry of Foreign Affairs and Ministry of Children, Equality and Social Inclusion, 2013, </w:t>
      </w:r>
      <w:hyperlink r:id="rId31" w:history="1">
        <w:r w:rsidRPr="00CC4760">
          <w:rPr>
            <w:rStyle w:val="Hyperlink"/>
            <w:lang w:val="en-GB"/>
          </w:rPr>
          <w:t>Norway’s international efforts to promote tge rights of persons with disabilities</w:t>
        </w:r>
      </w:hyperlink>
    </w:p>
  </w:footnote>
  <w:footnote w:id="32">
    <w:p w14:paraId="690DBABA" w14:textId="77777777" w:rsidR="000C54A8" w:rsidRPr="007E2B86" w:rsidRDefault="000C54A8" w:rsidP="000C54A8">
      <w:pPr>
        <w:pStyle w:val="FootnoteText"/>
        <w:rPr>
          <w:lang w:val="en-GB"/>
        </w:rPr>
      </w:pPr>
      <w:r>
        <w:rPr>
          <w:rStyle w:val="FootnoteReference"/>
        </w:rPr>
        <w:footnoteRef/>
      </w:r>
      <w:r w:rsidRPr="000573A4">
        <w:rPr>
          <w:lang w:val="en-GB"/>
        </w:rPr>
        <w:t xml:space="preserve"> NORAD, ‘</w:t>
      </w:r>
      <w:hyperlink r:id="rId32" w:history="1">
        <w:r w:rsidRPr="000573A4">
          <w:rPr>
            <w:rStyle w:val="Hyperlink"/>
            <w:lang w:val="en-GB"/>
          </w:rPr>
          <w:t>Education results reporting system</w:t>
        </w:r>
      </w:hyperlink>
      <w:r w:rsidRPr="000573A4">
        <w:rPr>
          <w:lang w:val="en-GB"/>
        </w:rPr>
        <w:t>’</w:t>
      </w:r>
    </w:p>
  </w:footnote>
  <w:footnote w:id="33">
    <w:p w14:paraId="4EC15500" w14:textId="77777777" w:rsidR="000C54A8" w:rsidRPr="002055B2" w:rsidRDefault="000C54A8" w:rsidP="000C54A8">
      <w:pPr>
        <w:pStyle w:val="FootnoteText"/>
        <w:rPr>
          <w:lang w:val="en-GB"/>
        </w:rPr>
      </w:pPr>
      <w:r>
        <w:rPr>
          <w:rStyle w:val="FootnoteReference"/>
        </w:rPr>
        <w:footnoteRef/>
      </w:r>
      <w:r w:rsidRPr="000573A4">
        <w:rPr>
          <w:lang w:val="en-GB"/>
        </w:rPr>
        <w:t xml:space="preserve"> </w:t>
      </w:r>
      <w:r>
        <w:rPr>
          <w:lang w:val="en-GB"/>
        </w:rPr>
        <w:t xml:space="preserve">NORAD </w:t>
      </w:r>
      <w:hyperlink r:id="rId33" w:history="1">
        <w:r w:rsidRPr="00A150BC">
          <w:rPr>
            <w:rStyle w:val="Hyperlink"/>
            <w:lang w:val="en-GB"/>
          </w:rPr>
          <w:t>strategy</w:t>
        </w:r>
      </w:hyperlink>
      <w:r>
        <w:rPr>
          <w:lang w:val="en-GB"/>
        </w:rPr>
        <w:t>, p.7</w:t>
      </w:r>
    </w:p>
  </w:footnote>
  <w:footnote w:id="34">
    <w:p w14:paraId="7C346A40" w14:textId="302B90A7" w:rsidR="0017494C" w:rsidRPr="0017494C" w:rsidRDefault="0017494C">
      <w:pPr>
        <w:pStyle w:val="FootnoteText"/>
        <w:rPr>
          <w:lang w:val="en-GB"/>
        </w:rPr>
      </w:pPr>
      <w:r>
        <w:rPr>
          <w:rStyle w:val="FootnoteReference"/>
        </w:rPr>
        <w:footnoteRef/>
      </w:r>
      <w:r w:rsidRPr="000573A4">
        <w:rPr>
          <w:lang w:val="en-GB"/>
        </w:rPr>
        <w:t xml:space="preserve"> </w:t>
      </w:r>
      <w:r>
        <w:rPr>
          <w:lang w:val="en-GB"/>
        </w:rPr>
        <w:t xml:space="preserve">For more analysis on this issue, please see Loryman and Meeks, 2016, </w:t>
      </w:r>
      <w:hyperlink r:id="rId34" w:history="1">
        <w:r w:rsidRPr="0017494C">
          <w:rPr>
            <w:rStyle w:val="Hyperlink"/>
            <w:lang w:val="en-GB"/>
          </w:rPr>
          <w:t>Leaving no-one behind: the value for money of disability-inclusive development</w:t>
        </w:r>
      </w:hyperlink>
    </w:p>
  </w:footnote>
  <w:footnote w:id="35">
    <w:p w14:paraId="2ED22662" w14:textId="77777777" w:rsidR="0099137A" w:rsidRPr="00053D2A" w:rsidRDefault="0099137A" w:rsidP="0099137A">
      <w:pPr>
        <w:pStyle w:val="FootnoteText"/>
        <w:rPr>
          <w:lang w:val="en-GB"/>
        </w:rPr>
      </w:pPr>
      <w:r>
        <w:rPr>
          <w:rStyle w:val="FootnoteReference"/>
        </w:rPr>
        <w:footnoteRef/>
      </w:r>
      <w:r w:rsidRPr="00647BAD">
        <w:rPr>
          <w:lang w:val="en-GB"/>
        </w:rPr>
        <w:t xml:space="preserve"> Source :</w:t>
      </w:r>
      <w:r>
        <w:rPr>
          <w:lang w:val="en-GB"/>
        </w:rPr>
        <w:t xml:space="preserve"> “</w:t>
      </w:r>
      <w:hyperlink r:id="rId35" w:history="1">
        <w:r w:rsidRPr="007051BE">
          <w:rPr>
            <w:rStyle w:val="Hyperlink"/>
            <w:lang w:val="en-GB"/>
          </w:rPr>
          <w:t>Partner countries in Norway’s Development Policy: executive summary</w:t>
        </w:r>
      </w:hyperlink>
      <w:r>
        <w:rPr>
          <w:lang w:val="en-GB"/>
        </w:rPr>
        <w:t xml:space="preserve">” (December 2018), p.2. Please note that (as per the 2017 </w:t>
      </w:r>
      <w:hyperlink r:id="rId36" w:history="1">
        <w:r w:rsidRPr="00CC6CA8">
          <w:rPr>
            <w:rStyle w:val="Hyperlink"/>
            <w:lang w:val="en-GB"/>
          </w:rPr>
          <w:t>White Paper</w:t>
        </w:r>
      </w:hyperlink>
      <w:r>
        <w:rPr>
          <w:lang w:val="en-GB"/>
        </w:rPr>
        <w:t xml:space="preserve"> on the SDGs, p. 15) this is not an exhaustive list of the countries where Norway spends ODA: in particular humanitarian ODA, ODA channelled through civil society organisations, and ODA channelled through the development finance institution, Norfund, may also go to countries that are not on the list.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5876"/>
    <w:multiLevelType w:val="hybridMultilevel"/>
    <w:tmpl w:val="EF7036B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2229C3"/>
    <w:multiLevelType w:val="hybridMultilevel"/>
    <w:tmpl w:val="A98291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1151523"/>
    <w:multiLevelType w:val="hybridMultilevel"/>
    <w:tmpl w:val="FE1075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9FF520D"/>
    <w:multiLevelType w:val="hybridMultilevel"/>
    <w:tmpl w:val="1278F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C8C2B39"/>
    <w:multiLevelType w:val="hybridMultilevel"/>
    <w:tmpl w:val="BD5C208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6A965C2F"/>
    <w:multiLevelType w:val="hybridMultilevel"/>
    <w:tmpl w:val="E3EA22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B8C6F19"/>
    <w:multiLevelType w:val="hybridMultilevel"/>
    <w:tmpl w:val="4A8441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4B"/>
    <w:rsid w:val="00000FC0"/>
    <w:rsid w:val="000075A3"/>
    <w:rsid w:val="000222F5"/>
    <w:rsid w:val="00030643"/>
    <w:rsid w:val="00040B76"/>
    <w:rsid w:val="0004199F"/>
    <w:rsid w:val="00041B84"/>
    <w:rsid w:val="0004345F"/>
    <w:rsid w:val="00044911"/>
    <w:rsid w:val="00052745"/>
    <w:rsid w:val="00053D2A"/>
    <w:rsid w:val="000573A4"/>
    <w:rsid w:val="00060580"/>
    <w:rsid w:val="000608A1"/>
    <w:rsid w:val="00073564"/>
    <w:rsid w:val="00075012"/>
    <w:rsid w:val="00080BCE"/>
    <w:rsid w:val="00081EF6"/>
    <w:rsid w:val="00083D00"/>
    <w:rsid w:val="000842F5"/>
    <w:rsid w:val="00086214"/>
    <w:rsid w:val="0009079E"/>
    <w:rsid w:val="0009142C"/>
    <w:rsid w:val="000A46DD"/>
    <w:rsid w:val="000A5667"/>
    <w:rsid w:val="000A6F39"/>
    <w:rsid w:val="000B37C9"/>
    <w:rsid w:val="000B45A7"/>
    <w:rsid w:val="000B6558"/>
    <w:rsid w:val="000B6BA7"/>
    <w:rsid w:val="000C4040"/>
    <w:rsid w:val="000C54A8"/>
    <w:rsid w:val="000D6DDB"/>
    <w:rsid w:val="000E09D9"/>
    <w:rsid w:val="000E0FE9"/>
    <w:rsid w:val="000E48CC"/>
    <w:rsid w:val="000E5206"/>
    <w:rsid w:val="000F11C6"/>
    <w:rsid w:val="000F3D54"/>
    <w:rsid w:val="00106480"/>
    <w:rsid w:val="00113005"/>
    <w:rsid w:val="00113753"/>
    <w:rsid w:val="00122F2E"/>
    <w:rsid w:val="00122F30"/>
    <w:rsid w:val="00123182"/>
    <w:rsid w:val="00123EF7"/>
    <w:rsid w:val="00125958"/>
    <w:rsid w:val="00135144"/>
    <w:rsid w:val="00136173"/>
    <w:rsid w:val="00141ED8"/>
    <w:rsid w:val="00144CFB"/>
    <w:rsid w:val="00146F9A"/>
    <w:rsid w:val="00151607"/>
    <w:rsid w:val="00154359"/>
    <w:rsid w:val="00162F08"/>
    <w:rsid w:val="001664A9"/>
    <w:rsid w:val="00166827"/>
    <w:rsid w:val="00173044"/>
    <w:rsid w:val="00174211"/>
    <w:rsid w:val="0017494C"/>
    <w:rsid w:val="00175E59"/>
    <w:rsid w:val="00180866"/>
    <w:rsid w:val="00185A7B"/>
    <w:rsid w:val="00186D00"/>
    <w:rsid w:val="00192DDF"/>
    <w:rsid w:val="00196820"/>
    <w:rsid w:val="001A0BBF"/>
    <w:rsid w:val="001A3594"/>
    <w:rsid w:val="001A70F3"/>
    <w:rsid w:val="001B1CD7"/>
    <w:rsid w:val="001C1705"/>
    <w:rsid w:val="001C68F1"/>
    <w:rsid w:val="001D7FE6"/>
    <w:rsid w:val="001E0040"/>
    <w:rsid w:val="001E3451"/>
    <w:rsid w:val="001E7237"/>
    <w:rsid w:val="001F12E9"/>
    <w:rsid w:val="001F3C0D"/>
    <w:rsid w:val="002000F7"/>
    <w:rsid w:val="00203526"/>
    <w:rsid w:val="0020390B"/>
    <w:rsid w:val="002052BF"/>
    <w:rsid w:val="002116A1"/>
    <w:rsid w:val="00211E30"/>
    <w:rsid w:val="0021216A"/>
    <w:rsid w:val="00215101"/>
    <w:rsid w:val="00215250"/>
    <w:rsid w:val="00221571"/>
    <w:rsid w:val="002249F1"/>
    <w:rsid w:val="00240489"/>
    <w:rsid w:val="00247607"/>
    <w:rsid w:val="00247A04"/>
    <w:rsid w:val="00247A91"/>
    <w:rsid w:val="0025570C"/>
    <w:rsid w:val="002558B5"/>
    <w:rsid w:val="0026030C"/>
    <w:rsid w:val="00260A75"/>
    <w:rsid w:val="002634BB"/>
    <w:rsid w:val="00275D2A"/>
    <w:rsid w:val="00275DB9"/>
    <w:rsid w:val="002809B1"/>
    <w:rsid w:val="00286D69"/>
    <w:rsid w:val="00291B0A"/>
    <w:rsid w:val="002A737D"/>
    <w:rsid w:val="002B38B2"/>
    <w:rsid w:val="002B4BEC"/>
    <w:rsid w:val="002C01DD"/>
    <w:rsid w:val="002D3D3E"/>
    <w:rsid w:val="002D49A5"/>
    <w:rsid w:val="002E341A"/>
    <w:rsid w:val="002E3634"/>
    <w:rsid w:val="002E3F71"/>
    <w:rsid w:val="002E449A"/>
    <w:rsid w:val="002E503E"/>
    <w:rsid w:val="002F1060"/>
    <w:rsid w:val="002F15A9"/>
    <w:rsid w:val="002F7FB4"/>
    <w:rsid w:val="00307672"/>
    <w:rsid w:val="0031247B"/>
    <w:rsid w:val="00313776"/>
    <w:rsid w:val="00313AD5"/>
    <w:rsid w:val="003277B6"/>
    <w:rsid w:val="003349C5"/>
    <w:rsid w:val="003351D0"/>
    <w:rsid w:val="00336C72"/>
    <w:rsid w:val="003454C4"/>
    <w:rsid w:val="00351DE4"/>
    <w:rsid w:val="003572BF"/>
    <w:rsid w:val="00361C78"/>
    <w:rsid w:val="00364EAC"/>
    <w:rsid w:val="00366270"/>
    <w:rsid w:val="0036704A"/>
    <w:rsid w:val="00375197"/>
    <w:rsid w:val="00376B04"/>
    <w:rsid w:val="00377ABD"/>
    <w:rsid w:val="003831D8"/>
    <w:rsid w:val="00392457"/>
    <w:rsid w:val="003933BA"/>
    <w:rsid w:val="00396543"/>
    <w:rsid w:val="00397CB5"/>
    <w:rsid w:val="003A11EE"/>
    <w:rsid w:val="003B65F6"/>
    <w:rsid w:val="003C2F50"/>
    <w:rsid w:val="003C3900"/>
    <w:rsid w:val="003D09A5"/>
    <w:rsid w:val="003F306D"/>
    <w:rsid w:val="003F5431"/>
    <w:rsid w:val="003F5D6A"/>
    <w:rsid w:val="003F6A7A"/>
    <w:rsid w:val="00400F7A"/>
    <w:rsid w:val="00403F2B"/>
    <w:rsid w:val="00404257"/>
    <w:rsid w:val="00407659"/>
    <w:rsid w:val="0041443D"/>
    <w:rsid w:val="004152AD"/>
    <w:rsid w:val="00420D81"/>
    <w:rsid w:val="00423CE8"/>
    <w:rsid w:val="00427683"/>
    <w:rsid w:val="00432280"/>
    <w:rsid w:val="00432DB4"/>
    <w:rsid w:val="004375CA"/>
    <w:rsid w:val="00437CAC"/>
    <w:rsid w:val="00440AEC"/>
    <w:rsid w:val="00446D06"/>
    <w:rsid w:val="00450A8E"/>
    <w:rsid w:val="00451ECE"/>
    <w:rsid w:val="00452E86"/>
    <w:rsid w:val="0046485E"/>
    <w:rsid w:val="00475C22"/>
    <w:rsid w:val="00482B24"/>
    <w:rsid w:val="00482CBC"/>
    <w:rsid w:val="0048422A"/>
    <w:rsid w:val="0048422F"/>
    <w:rsid w:val="00486020"/>
    <w:rsid w:val="00490E70"/>
    <w:rsid w:val="00493EC3"/>
    <w:rsid w:val="00494612"/>
    <w:rsid w:val="00494E85"/>
    <w:rsid w:val="0049526D"/>
    <w:rsid w:val="00496856"/>
    <w:rsid w:val="00496F98"/>
    <w:rsid w:val="004A00EF"/>
    <w:rsid w:val="004A5076"/>
    <w:rsid w:val="004A5EBC"/>
    <w:rsid w:val="004A72E8"/>
    <w:rsid w:val="004B0842"/>
    <w:rsid w:val="004B5467"/>
    <w:rsid w:val="004B5614"/>
    <w:rsid w:val="004C2FB6"/>
    <w:rsid w:val="004D3678"/>
    <w:rsid w:val="004E1DBE"/>
    <w:rsid w:val="004E28F5"/>
    <w:rsid w:val="004E2F5E"/>
    <w:rsid w:val="004E33F8"/>
    <w:rsid w:val="004E5A61"/>
    <w:rsid w:val="004E662E"/>
    <w:rsid w:val="004E74C1"/>
    <w:rsid w:val="004F4418"/>
    <w:rsid w:val="004F6865"/>
    <w:rsid w:val="004F6D62"/>
    <w:rsid w:val="00501AFC"/>
    <w:rsid w:val="00502059"/>
    <w:rsid w:val="00507CE2"/>
    <w:rsid w:val="00520E08"/>
    <w:rsid w:val="0054316A"/>
    <w:rsid w:val="005449C7"/>
    <w:rsid w:val="00557D95"/>
    <w:rsid w:val="00571AF1"/>
    <w:rsid w:val="00572F39"/>
    <w:rsid w:val="005775D6"/>
    <w:rsid w:val="005776B0"/>
    <w:rsid w:val="00583EB9"/>
    <w:rsid w:val="00593B1A"/>
    <w:rsid w:val="00595B55"/>
    <w:rsid w:val="00596E5D"/>
    <w:rsid w:val="005A3E0A"/>
    <w:rsid w:val="005A6E05"/>
    <w:rsid w:val="005B5EE3"/>
    <w:rsid w:val="005C2403"/>
    <w:rsid w:val="005C2408"/>
    <w:rsid w:val="005D17A6"/>
    <w:rsid w:val="005E7966"/>
    <w:rsid w:val="005F1393"/>
    <w:rsid w:val="005F3C47"/>
    <w:rsid w:val="005F43D0"/>
    <w:rsid w:val="005F53A1"/>
    <w:rsid w:val="005F592D"/>
    <w:rsid w:val="005F59C9"/>
    <w:rsid w:val="005F5E51"/>
    <w:rsid w:val="00600181"/>
    <w:rsid w:val="00600D67"/>
    <w:rsid w:val="0060294D"/>
    <w:rsid w:val="00602E90"/>
    <w:rsid w:val="006125BA"/>
    <w:rsid w:val="00614DA4"/>
    <w:rsid w:val="006248A0"/>
    <w:rsid w:val="006263E4"/>
    <w:rsid w:val="00635D0A"/>
    <w:rsid w:val="006460D8"/>
    <w:rsid w:val="00647BAD"/>
    <w:rsid w:val="00654209"/>
    <w:rsid w:val="006551DF"/>
    <w:rsid w:val="0065560D"/>
    <w:rsid w:val="006619C6"/>
    <w:rsid w:val="00663C52"/>
    <w:rsid w:val="006670ED"/>
    <w:rsid w:val="00667F1D"/>
    <w:rsid w:val="006715C1"/>
    <w:rsid w:val="00685A73"/>
    <w:rsid w:val="00687C69"/>
    <w:rsid w:val="00693B82"/>
    <w:rsid w:val="00695C49"/>
    <w:rsid w:val="006A0808"/>
    <w:rsid w:val="006B087A"/>
    <w:rsid w:val="006B0F98"/>
    <w:rsid w:val="006B11B5"/>
    <w:rsid w:val="006B65FD"/>
    <w:rsid w:val="006B6D0F"/>
    <w:rsid w:val="006C56A3"/>
    <w:rsid w:val="006C7D23"/>
    <w:rsid w:val="006E54FB"/>
    <w:rsid w:val="006F14C6"/>
    <w:rsid w:val="006F1DAB"/>
    <w:rsid w:val="006F36CB"/>
    <w:rsid w:val="007051BE"/>
    <w:rsid w:val="007143FD"/>
    <w:rsid w:val="00727F63"/>
    <w:rsid w:val="007445F5"/>
    <w:rsid w:val="00744B3A"/>
    <w:rsid w:val="00746F1B"/>
    <w:rsid w:val="0074790C"/>
    <w:rsid w:val="00755375"/>
    <w:rsid w:val="00757BFA"/>
    <w:rsid w:val="00763AB3"/>
    <w:rsid w:val="007661E4"/>
    <w:rsid w:val="00767963"/>
    <w:rsid w:val="00774AEA"/>
    <w:rsid w:val="007818F0"/>
    <w:rsid w:val="00783B91"/>
    <w:rsid w:val="007847E0"/>
    <w:rsid w:val="007921AC"/>
    <w:rsid w:val="00793E7F"/>
    <w:rsid w:val="00794506"/>
    <w:rsid w:val="007952FF"/>
    <w:rsid w:val="007A0677"/>
    <w:rsid w:val="007A6E30"/>
    <w:rsid w:val="007B0E1E"/>
    <w:rsid w:val="007C3044"/>
    <w:rsid w:val="007C3CB0"/>
    <w:rsid w:val="007C6BE6"/>
    <w:rsid w:val="007D1B77"/>
    <w:rsid w:val="007E2B86"/>
    <w:rsid w:val="007E6D3E"/>
    <w:rsid w:val="007E71E3"/>
    <w:rsid w:val="007F07E3"/>
    <w:rsid w:val="00804986"/>
    <w:rsid w:val="00807BE9"/>
    <w:rsid w:val="0081187D"/>
    <w:rsid w:val="008126D7"/>
    <w:rsid w:val="00817A9C"/>
    <w:rsid w:val="00826FF8"/>
    <w:rsid w:val="00827E04"/>
    <w:rsid w:val="00834A17"/>
    <w:rsid w:val="00845F06"/>
    <w:rsid w:val="00846100"/>
    <w:rsid w:val="008462A9"/>
    <w:rsid w:val="00846F16"/>
    <w:rsid w:val="0085110B"/>
    <w:rsid w:val="00852409"/>
    <w:rsid w:val="00856FD0"/>
    <w:rsid w:val="00867A02"/>
    <w:rsid w:val="00871281"/>
    <w:rsid w:val="008713A5"/>
    <w:rsid w:val="008738E6"/>
    <w:rsid w:val="00882EFB"/>
    <w:rsid w:val="008842D6"/>
    <w:rsid w:val="00887BD8"/>
    <w:rsid w:val="00891A6C"/>
    <w:rsid w:val="008962EF"/>
    <w:rsid w:val="008965F8"/>
    <w:rsid w:val="008A0D77"/>
    <w:rsid w:val="008A22FE"/>
    <w:rsid w:val="008A3A01"/>
    <w:rsid w:val="008B1C4D"/>
    <w:rsid w:val="008B28B4"/>
    <w:rsid w:val="008B46CC"/>
    <w:rsid w:val="008B5A82"/>
    <w:rsid w:val="008C0AAD"/>
    <w:rsid w:val="008C0CD5"/>
    <w:rsid w:val="008C219C"/>
    <w:rsid w:val="008E1959"/>
    <w:rsid w:val="008E1CD5"/>
    <w:rsid w:val="008F1B1B"/>
    <w:rsid w:val="008F4162"/>
    <w:rsid w:val="008F7E83"/>
    <w:rsid w:val="00903904"/>
    <w:rsid w:val="00903E24"/>
    <w:rsid w:val="0090500C"/>
    <w:rsid w:val="00905EE1"/>
    <w:rsid w:val="00907A57"/>
    <w:rsid w:val="00910466"/>
    <w:rsid w:val="00915DF5"/>
    <w:rsid w:val="00916A99"/>
    <w:rsid w:val="00925DFD"/>
    <w:rsid w:val="00930355"/>
    <w:rsid w:val="00933996"/>
    <w:rsid w:val="00934FB9"/>
    <w:rsid w:val="009361C2"/>
    <w:rsid w:val="00936334"/>
    <w:rsid w:val="00944B8A"/>
    <w:rsid w:val="00945E4E"/>
    <w:rsid w:val="00950CFA"/>
    <w:rsid w:val="00963A25"/>
    <w:rsid w:val="00967937"/>
    <w:rsid w:val="00971281"/>
    <w:rsid w:val="009718BE"/>
    <w:rsid w:val="00975D4D"/>
    <w:rsid w:val="00981198"/>
    <w:rsid w:val="00985EE4"/>
    <w:rsid w:val="0099137A"/>
    <w:rsid w:val="009915DB"/>
    <w:rsid w:val="00991A82"/>
    <w:rsid w:val="00992E9C"/>
    <w:rsid w:val="009933E3"/>
    <w:rsid w:val="009A217B"/>
    <w:rsid w:val="009B0019"/>
    <w:rsid w:val="009B0FAB"/>
    <w:rsid w:val="009B3243"/>
    <w:rsid w:val="009B334B"/>
    <w:rsid w:val="009B7818"/>
    <w:rsid w:val="009C2D87"/>
    <w:rsid w:val="009C5ECD"/>
    <w:rsid w:val="009D1C18"/>
    <w:rsid w:val="009D32E4"/>
    <w:rsid w:val="009D7E1B"/>
    <w:rsid w:val="009E3DD6"/>
    <w:rsid w:val="009E4202"/>
    <w:rsid w:val="009E5383"/>
    <w:rsid w:val="009E7AFA"/>
    <w:rsid w:val="009F1062"/>
    <w:rsid w:val="009F67E4"/>
    <w:rsid w:val="009F6E27"/>
    <w:rsid w:val="00A04A97"/>
    <w:rsid w:val="00A05BAD"/>
    <w:rsid w:val="00A06D36"/>
    <w:rsid w:val="00A12A58"/>
    <w:rsid w:val="00A142CE"/>
    <w:rsid w:val="00A150BC"/>
    <w:rsid w:val="00A24A83"/>
    <w:rsid w:val="00A36173"/>
    <w:rsid w:val="00A36825"/>
    <w:rsid w:val="00A44D9F"/>
    <w:rsid w:val="00A46C3A"/>
    <w:rsid w:val="00A46CD0"/>
    <w:rsid w:val="00A50D0C"/>
    <w:rsid w:val="00A5151A"/>
    <w:rsid w:val="00A61570"/>
    <w:rsid w:val="00A70535"/>
    <w:rsid w:val="00A712D8"/>
    <w:rsid w:val="00A744F9"/>
    <w:rsid w:val="00A77926"/>
    <w:rsid w:val="00A82043"/>
    <w:rsid w:val="00A83DA7"/>
    <w:rsid w:val="00A87CCA"/>
    <w:rsid w:val="00A96425"/>
    <w:rsid w:val="00A972E9"/>
    <w:rsid w:val="00AA515E"/>
    <w:rsid w:val="00AB137E"/>
    <w:rsid w:val="00AB62FF"/>
    <w:rsid w:val="00AC4D10"/>
    <w:rsid w:val="00AC53CC"/>
    <w:rsid w:val="00AD12D0"/>
    <w:rsid w:val="00AD24E3"/>
    <w:rsid w:val="00AD38FA"/>
    <w:rsid w:val="00AD5071"/>
    <w:rsid w:val="00AD6754"/>
    <w:rsid w:val="00AD6813"/>
    <w:rsid w:val="00AD6A9D"/>
    <w:rsid w:val="00AD78A0"/>
    <w:rsid w:val="00AE43D9"/>
    <w:rsid w:val="00AE4A59"/>
    <w:rsid w:val="00AE4D35"/>
    <w:rsid w:val="00AE6878"/>
    <w:rsid w:val="00AF6E31"/>
    <w:rsid w:val="00B079A8"/>
    <w:rsid w:val="00B07AC3"/>
    <w:rsid w:val="00B10584"/>
    <w:rsid w:val="00B14FBD"/>
    <w:rsid w:val="00B17835"/>
    <w:rsid w:val="00B2207C"/>
    <w:rsid w:val="00B240CF"/>
    <w:rsid w:val="00B4032A"/>
    <w:rsid w:val="00B51114"/>
    <w:rsid w:val="00B52424"/>
    <w:rsid w:val="00B56604"/>
    <w:rsid w:val="00B5788B"/>
    <w:rsid w:val="00B705C8"/>
    <w:rsid w:val="00B759D2"/>
    <w:rsid w:val="00B75A4B"/>
    <w:rsid w:val="00B83526"/>
    <w:rsid w:val="00B838F9"/>
    <w:rsid w:val="00B846AF"/>
    <w:rsid w:val="00B87818"/>
    <w:rsid w:val="00B9005C"/>
    <w:rsid w:val="00B9483F"/>
    <w:rsid w:val="00BA38F6"/>
    <w:rsid w:val="00BA6191"/>
    <w:rsid w:val="00BC0E87"/>
    <w:rsid w:val="00BC17AD"/>
    <w:rsid w:val="00BD2B8A"/>
    <w:rsid w:val="00BD2D55"/>
    <w:rsid w:val="00BD4EEE"/>
    <w:rsid w:val="00BE003D"/>
    <w:rsid w:val="00BE543E"/>
    <w:rsid w:val="00BE6A96"/>
    <w:rsid w:val="00C0194C"/>
    <w:rsid w:val="00C1629A"/>
    <w:rsid w:val="00C21467"/>
    <w:rsid w:val="00C2461F"/>
    <w:rsid w:val="00C33EC6"/>
    <w:rsid w:val="00C3723F"/>
    <w:rsid w:val="00C41089"/>
    <w:rsid w:val="00C459A6"/>
    <w:rsid w:val="00C54995"/>
    <w:rsid w:val="00C56829"/>
    <w:rsid w:val="00C640C0"/>
    <w:rsid w:val="00C73F70"/>
    <w:rsid w:val="00C8223F"/>
    <w:rsid w:val="00C82C69"/>
    <w:rsid w:val="00C93A06"/>
    <w:rsid w:val="00C95484"/>
    <w:rsid w:val="00C9672F"/>
    <w:rsid w:val="00C9732D"/>
    <w:rsid w:val="00CA27C2"/>
    <w:rsid w:val="00CA46F4"/>
    <w:rsid w:val="00CA58A6"/>
    <w:rsid w:val="00CB12FE"/>
    <w:rsid w:val="00CC30B1"/>
    <w:rsid w:val="00CC374F"/>
    <w:rsid w:val="00CC4CCD"/>
    <w:rsid w:val="00CC6CA8"/>
    <w:rsid w:val="00CD1294"/>
    <w:rsid w:val="00CD2432"/>
    <w:rsid w:val="00CD2905"/>
    <w:rsid w:val="00CD2EF7"/>
    <w:rsid w:val="00CD4807"/>
    <w:rsid w:val="00CD55A7"/>
    <w:rsid w:val="00CE0261"/>
    <w:rsid w:val="00CE102D"/>
    <w:rsid w:val="00CE1771"/>
    <w:rsid w:val="00CE5230"/>
    <w:rsid w:val="00CE66E3"/>
    <w:rsid w:val="00CF47E9"/>
    <w:rsid w:val="00D00550"/>
    <w:rsid w:val="00D01954"/>
    <w:rsid w:val="00D1348E"/>
    <w:rsid w:val="00D141C5"/>
    <w:rsid w:val="00D23EFD"/>
    <w:rsid w:val="00D30609"/>
    <w:rsid w:val="00D3233F"/>
    <w:rsid w:val="00D34AD2"/>
    <w:rsid w:val="00D37B9F"/>
    <w:rsid w:val="00D42AF0"/>
    <w:rsid w:val="00D55EFE"/>
    <w:rsid w:val="00D61B6B"/>
    <w:rsid w:val="00D61EF6"/>
    <w:rsid w:val="00D77222"/>
    <w:rsid w:val="00D816A3"/>
    <w:rsid w:val="00DA0A72"/>
    <w:rsid w:val="00DA1E3D"/>
    <w:rsid w:val="00DA40CB"/>
    <w:rsid w:val="00DB023F"/>
    <w:rsid w:val="00DB4DB1"/>
    <w:rsid w:val="00DC00B4"/>
    <w:rsid w:val="00DC1906"/>
    <w:rsid w:val="00DC3D6C"/>
    <w:rsid w:val="00DC752D"/>
    <w:rsid w:val="00DD36FA"/>
    <w:rsid w:val="00DD3B8E"/>
    <w:rsid w:val="00DE1009"/>
    <w:rsid w:val="00DF4E7A"/>
    <w:rsid w:val="00E1592B"/>
    <w:rsid w:val="00E17BF6"/>
    <w:rsid w:val="00E21E21"/>
    <w:rsid w:val="00E26745"/>
    <w:rsid w:val="00E30585"/>
    <w:rsid w:val="00E33566"/>
    <w:rsid w:val="00E37E22"/>
    <w:rsid w:val="00E409A5"/>
    <w:rsid w:val="00E45BBB"/>
    <w:rsid w:val="00E472DC"/>
    <w:rsid w:val="00E57F7F"/>
    <w:rsid w:val="00E608CC"/>
    <w:rsid w:val="00E6300B"/>
    <w:rsid w:val="00E64BD1"/>
    <w:rsid w:val="00E7156C"/>
    <w:rsid w:val="00E76021"/>
    <w:rsid w:val="00E81CC7"/>
    <w:rsid w:val="00E82E7C"/>
    <w:rsid w:val="00E84FE1"/>
    <w:rsid w:val="00E870F9"/>
    <w:rsid w:val="00E87DC2"/>
    <w:rsid w:val="00E90E8E"/>
    <w:rsid w:val="00E9450D"/>
    <w:rsid w:val="00E96969"/>
    <w:rsid w:val="00EA11A3"/>
    <w:rsid w:val="00EA26EB"/>
    <w:rsid w:val="00EA7873"/>
    <w:rsid w:val="00EB6E7D"/>
    <w:rsid w:val="00EB7093"/>
    <w:rsid w:val="00EB7FD4"/>
    <w:rsid w:val="00EC4281"/>
    <w:rsid w:val="00ED13FA"/>
    <w:rsid w:val="00ED33C9"/>
    <w:rsid w:val="00ED5B43"/>
    <w:rsid w:val="00EF616C"/>
    <w:rsid w:val="00EF736B"/>
    <w:rsid w:val="00F03918"/>
    <w:rsid w:val="00F048F9"/>
    <w:rsid w:val="00F05A70"/>
    <w:rsid w:val="00F10E72"/>
    <w:rsid w:val="00F11A31"/>
    <w:rsid w:val="00F1362E"/>
    <w:rsid w:val="00F147D2"/>
    <w:rsid w:val="00F17D5B"/>
    <w:rsid w:val="00F31EAD"/>
    <w:rsid w:val="00F40139"/>
    <w:rsid w:val="00F40A93"/>
    <w:rsid w:val="00F4369A"/>
    <w:rsid w:val="00F5190F"/>
    <w:rsid w:val="00F55C4C"/>
    <w:rsid w:val="00F56072"/>
    <w:rsid w:val="00F72589"/>
    <w:rsid w:val="00F73861"/>
    <w:rsid w:val="00F76604"/>
    <w:rsid w:val="00F77926"/>
    <w:rsid w:val="00F85634"/>
    <w:rsid w:val="00F92795"/>
    <w:rsid w:val="00F9529D"/>
    <w:rsid w:val="00F97E08"/>
    <w:rsid w:val="00FA13DE"/>
    <w:rsid w:val="00FA611D"/>
    <w:rsid w:val="00FA6F56"/>
    <w:rsid w:val="00FB0919"/>
    <w:rsid w:val="00FB0AD2"/>
    <w:rsid w:val="00FB3370"/>
    <w:rsid w:val="00FB5B4D"/>
    <w:rsid w:val="00FB69F7"/>
    <w:rsid w:val="00FC3456"/>
    <w:rsid w:val="00FC4478"/>
    <w:rsid w:val="00FC7D91"/>
    <w:rsid w:val="00FD181E"/>
    <w:rsid w:val="00FD39D6"/>
    <w:rsid w:val="00FE1319"/>
    <w:rsid w:val="00FE7748"/>
    <w:rsid w:val="00FF5E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6F86"/>
  <w15:chartTrackingRefBased/>
  <w15:docId w15:val="{6E293D78-F49D-4A81-A17C-2CE6A117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4A8"/>
    <w:pPr>
      <w:keepNext/>
      <w:keepLines/>
      <w:spacing w:before="240" w:after="0"/>
      <w:outlineLvl w:val="0"/>
    </w:pPr>
    <w:rPr>
      <w:rFonts w:asciiTheme="majorHAnsi" w:eastAsiaTheme="majorEastAsia" w:hAnsiTheme="majorHAnsi" w:cstheme="majorBidi"/>
      <w:color w:val="2F5496" w:themeColor="accent1" w:themeShade="BF"/>
      <w:sz w:val="32"/>
      <w:szCs w:val="32"/>
      <w:lang w:val="fr-BE"/>
    </w:rPr>
  </w:style>
  <w:style w:type="paragraph" w:styleId="Heading2">
    <w:name w:val="heading 2"/>
    <w:basedOn w:val="Normal"/>
    <w:next w:val="Normal"/>
    <w:link w:val="Heading2Char"/>
    <w:autoRedefine/>
    <w:uiPriority w:val="9"/>
    <w:unhideWhenUsed/>
    <w:qFormat/>
    <w:rsid w:val="004A5EBC"/>
    <w:pPr>
      <w:keepNext/>
      <w:keepLines/>
      <w:spacing w:before="40" w:after="0"/>
      <w:jc w:val="center"/>
      <w:outlineLvl w:val="1"/>
    </w:pPr>
    <w:rPr>
      <w:rFonts w:asciiTheme="majorHAnsi" w:eastAsiaTheme="majorEastAsia" w:hAnsiTheme="majorHAnsi" w:cstheme="majorBidi"/>
      <w:color w:val="4472C4" w:themeColor="accent1"/>
      <w:sz w:val="24"/>
      <w:szCs w:val="24"/>
      <w:lang w:val="en-GB"/>
    </w:rPr>
  </w:style>
  <w:style w:type="paragraph" w:styleId="Heading3">
    <w:name w:val="heading 3"/>
    <w:basedOn w:val="Normal"/>
    <w:next w:val="Normal"/>
    <w:link w:val="Heading3Char"/>
    <w:uiPriority w:val="9"/>
    <w:unhideWhenUsed/>
    <w:qFormat/>
    <w:rsid w:val="006A08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5EBC"/>
    <w:rPr>
      <w:rFonts w:asciiTheme="majorHAnsi" w:eastAsiaTheme="majorEastAsia" w:hAnsiTheme="majorHAnsi" w:cstheme="majorBidi"/>
      <w:color w:val="4472C4" w:themeColor="accent1"/>
      <w:sz w:val="24"/>
      <w:szCs w:val="24"/>
      <w:lang w:val="en-GB"/>
    </w:rPr>
  </w:style>
  <w:style w:type="character" w:customStyle="1" w:styleId="Heading3Char">
    <w:name w:val="Heading 3 Char"/>
    <w:basedOn w:val="DefaultParagraphFont"/>
    <w:link w:val="Heading3"/>
    <w:uiPriority w:val="9"/>
    <w:rsid w:val="006A080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E543E"/>
    <w:pPr>
      <w:ind w:left="720"/>
      <w:contextualSpacing/>
    </w:pPr>
  </w:style>
  <w:style w:type="character" w:styleId="CommentReference">
    <w:name w:val="annotation reference"/>
    <w:basedOn w:val="DefaultParagraphFont"/>
    <w:uiPriority w:val="99"/>
    <w:semiHidden/>
    <w:unhideWhenUsed/>
    <w:rsid w:val="00600181"/>
    <w:rPr>
      <w:sz w:val="16"/>
      <w:szCs w:val="16"/>
    </w:rPr>
  </w:style>
  <w:style w:type="paragraph" w:styleId="CommentText">
    <w:name w:val="annotation text"/>
    <w:basedOn w:val="Normal"/>
    <w:link w:val="CommentTextChar"/>
    <w:uiPriority w:val="99"/>
    <w:unhideWhenUsed/>
    <w:rsid w:val="00600181"/>
    <w:pPr>
      <w:spacing w:line="240" w:lineRule="auto"/>
    </w:pPr>
    <w:rPr>
      <w:sz w:val="20"/>
      <w:szCs w:val="20"/>
    </w:rPr>
  </w:style>
  <w:style w:type="character" w:customStyle="1" w:styleId="CommentTextChar">
    <w:name w:val="Comment Text Char"/>
    <w:basedOn w:val="DefaultParagraphFont"/>
    <w:link w:val="CommentText"/>
    <w:uiPriority w:val="99"/>
    <w:rsid w:val="00600181"/>
    <w:rPr>
      <w:sz w:val="20"/>
      <w:szCs w:val="20"/>
    </w:rPr>
  </w:style>
  <w:style w:type="paragraph" w:styleId="CommentSubject">
    <w:name w:val="annotation subject"/>
    <w:basedOn w:val="CommentText"/>
    <w:next w:val="CommentText"/>
    <w:link w:val="CommentSubjectChar"/>
    <w:uiPriority w:val="99"/>
    <w:semiHidden/>
    <w:unhideWhenUsed/>
    <w:rsid w:val="00600181"/>
    <w:rPr>
      <w:b/>
      <w:bCs/>
    </w:rPr>
  </w:style>
  <w:style w:type="character" w:customStyle="1" w:styleId="CommentSubjectChar">
    <w:name w:val="Comment Subject Char"/>
    <w:basedOn w:val="CommentTextChar"/>
    <w:link w:val="CommentSubject"/>
    <w:uiPriority w:val="99"/>
    <w:semiHidden/>
    <w:rsid w:val="00600181"/>
    <w:rPr>
      <w:b/>
      <w:bCs/>
      <w:sz w:val="20"/>
      <w:szCs w:val="20"/>
    </w:rPr>
  </w:style>
  <w:style w:type="paragraph" w:styleId="BalloonText">
    <w:name w:val="Balloon Text"/>
    <w:basedOn w:val="Normal"/>
    <w:link w:val="BalloonTextChar"/>
    <w:uiPriority w:val="99"/>
    <w:semiHidden/>
    <w:unhideWhenUsed/>
    <w:rsid w:val="00600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181"/>
    <w:rPr>
      <w:rFonts w:ascii="Segoe UI" w:hAnsi="Segoe UI" w:cs="Segoe UI"/>
      <w:sz w:val="18"/>
      <w:szCs w:val="18"/>
    </w:rPr>
  </w:style>
  <w:style w:type="paragraph" w:styleId="FootnoteText">
    <w:name w:val="footnote text"/>
    <w:basedOn w:val="Normal"/>
    <w:link w:val="FootnoteTextChar"/>
    <w:uiPriority w:val="99"/>
    <w:semiHidden/>
    <w:unhideWhenUsed/>
    <w:rsid w:val="00AD7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8A0"/>
    <w:rPr>
      <w:sz w:val="20"/>
      <w:szCs w:val="20"/>
    </w:rPr>
  </w:style>
  <w:style w:type="character" w:styleId="FootnoteReference">
    <w:name w:val="footnote reference"/>
    <w:basedOn w:val="DefaultParagraphFont"/>
    <w:uiPriority w:val="99"/>
    <w:semiHidden/>
    <w:unhideWhenUsed/>
    <w:rsid w:val="00AD78A0"/>
    <w:rPr>
      <w:vertAlign w:val="superscript"/>
    </w:rPr>
  </w:style>
  <w:style w:type="character" w:styleId="Hyperlink">
    <w:name w:val="Hyperlink"/>
    <w:basedOn w:val="DefaultParagraphFont"/>
    <w:uiPriority w:val="99"/>
    <w:unhideWhenUsed/>
    <w:rsid w:val="00804986"/>
    <w:rPr>
      <w:color w:val="0563C1" w:themeColor="hyperlink"/>
      <w:u w:val="single"/>
    </w:rPr>
  </w:style>
  <w:style w:type="character" w:customStyle="1" w:styleId="UnresolvedMention1">
    <w:name w:val="Unresolved Mention1"/>
    <w:basedOn w:val="DefaultParagraphFont"/>
    <w:uiPriority w:val="99"/>
    <w:semiHidden/>
    <w:unhideWhenUsed/>
    <w:rsid w:val="00804986"/>
    <w:rPr>
      <w:color w:val="605E5C"/>
      <w:shd w:val="clear" w:color="auto" w:fill="E1DFDD"/>
    </w:rPr>
  </w:style>
  <w:style w:type="character" w:styleId="FollowedHyperlink">
    <w:name w:val="FollowedHyperlink"/>
    <w:basedOn w:val="DefaultParagraphFont"/>
    <w:uiPriority w:val="99"/>
    <w:semiHidden/>
    <w:unhideWhenUsed/>
    <w:rsid w:val="00162F08"/>
    <w:rPr>
      <w:color w:val="954F72" w:themeColor="followedHyperlink"/>
      <w:u w:val="single"/>
    </w:rPr>
  </w:style>
  <w:style w:type="character" w:styleId="Mention">
    <w:name w:val="Mention"/>
    <w:basedOn w:val="DefaultParagraphFont"/>
    <w:uiPriority w:val="99"/>
    <w:semiHidden/>
    <w:unhideWhenUsed/>
    <w:rsid w:val="00647BAD"/>
    <w:rPr>
      <w:color w:val="2B579A"/>
      <w:shd w:val="clear" w:color="auto" w:fill="E6E6E6"/>
    </w:rPr>
  </w:style>
  <w:style w:type="paragraph" w:styleId="Revision">
    <w:name w:val="Revision"/>
    <w:hidden/>
    <w:uiPriority w:val="99"/>
    <w:semiHidden/>
    <w:rsid w:val="004152AD"/>
    <w:pPr>
      <w:spacing w:after="0" w:line="240" w:lineRule="auto"/>
    </w:pPr>
  </w:style>
  <w:style w:type="character" w:styleId="UnresolvedMention">
    <w:name w:val="Unresolved Mention"/>
    <w:basedOn w:val="DefaultParagraphFont"/>
    <w:uiPriority w:val="99"/>
    <w:semiHidden/>
    <w:unhideWhenUsed/>
    <w:rsid w:val="00FD181E"/>
    <w:rPr>
      <w:color w:val="605E5C"/>
      <w:shd w:val="clear" w:color="auto" w:fill="E1DFDD"/>
    </w:rPr>
  </w:style>
  <w:style w:type="paragraph" w:styleId="Subtitle">
    <w:name w:val="Subtitle"/>
    <w:basedOn w:val="Normal"/>
    <w:next w:val="Normal"/>
    <w:link w:val="SubtitleChar"/>
    <w:uiPriority w:val="11"/>
    <w:qFormat/>
    <w:rsid w:val="000B6BA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B6BA7"/>
    <w:rPr>
      <w:rFonts w:eastAsiaTheme="minorEastAsia"/>
      <w:color w:val="5A5A5A" w:themeColor="text1" w:themeTint="A5"/>
      <w:spacing w:val="15"/>
    </w:rPr>
  </w:style>
  <w:style w:type="table" w:styleId="TableGrid">
    <w:name w:val="Table Grid"/>
    <w:basedOn w:val="TableNormal"/>
    <w:uiPriority w:val="39"/>
    <w:rsid w:val="00260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54A8"/>
    <w:rPr>
      <w:rFonts w:asciiTheme="majorHAnsi" w:eastAsiaTheme="majorEastAsia" w:hAnsiTheme="majorHAnsi" w:cstheme="majorBidi"/>
      <w:color w:val="2F5496" w:themeColor="accent1" w:themeShade="BF"/>
      <w:sz w:val="32"/>
      <w:szCs w:val="3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ad.no/en/front/" TargetMode="External"/><Relationship Id="rId13" Type="http://schemas.openxmlformats.org/officeDocument/2006/relationships/hyperlink" Target="https://www.regjeringen.no/globalassets/departementene/ud/dokumenter/hum/hum_strategy.pdf" TargetMode="External"/><Relationship Id="rId18" Type="http://schemas.openxmlformats.org/officeDocument/2006/relationships/hyperlink" Target="http://humanitariandisabilitycharter.org/" TargetMode="External"/><Relationship Id="rId3" Type="http://schemas.openxmlformats.org/officeDocument/2006/relationships/styles" Target="styles.xml"/><Relationship Id="rId21" Type="http://schemas.openxmlformats.org/officeDocument/2006/relationships/hyperlink" Target="https://atlas-alliansen.no/en/" TargetMode="External"/><Relationship Id="rId7" Type="http://schemas.openxmlformats.org/officeDocument/2006/relationships/endnotes" Target="endnotes.xml"/><Relationship Id="rId12" Type="http://schemas.openxmlformats.org/officeDocument/2006/relationships/hyperlink" Target="https://www.regjeringen.no/contentassets/217f38f99edf45c498befc04b7ef1f7e/en-gb/pdfs/stm201620170024000engpdfs.pdf" TargetMode="External"/><Relationship Id="rId17" Type="http://schemas.openxmlformats.org/officeDocument/2006/relationships/hyperlink" Target="https://www.regjeringen.no/contentassets/261f255d028b42cab91ad099ee3f99fc/en-gb/pdfs/stm201420150010000engpdfs.pdf" TargetMode="External"/><Relationship Id="rId2" Type="http://schemas.openxmlformats.org/officeDocument/2006/relationships/numbering" Target="numbering.xml"/><Relationship Id="rId16" Type="http://schemas.openxmlformats.org/officeDocument/2006/relationships/hyperlink" Target="https://www.regjeringen.no/globalassets/upload/ud/vedlegg/hum/efforts_disabilities.pdf" TargetMode="External"/><Relationship Id="rId20" Type="http://schemas.openxmlformats.org/officeDocument/2006/relationships/hyperlink" Target="https://docs.google.com/spreadsheets/d/1Yttfs9gpWw3f8sElPs6FJXoymjXhUEfKnR3De31_6fc/edit?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jeringen.no/contentassets/bc8396c163f148dc8d4dc8707482e2be/a-society-for-all_web.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orad.no/globalassets/publikasjoner/publikasjoner-2016/knowledge-for-development.pdf" TargetMode="External"/><Relationship Id="rId23" Type="http://schemas.openxmlformats.org/officeDocument/2006/relationships/fontTable" Target="fontTable.xml"/><Relationship Id="rId10" Type="http://schemas.openxmlformats.org/officeDocument/2006/relationships/hyperlink" Target="https://norad.no/en/front/" TargetMode="External"/><Relationship Id="rId19" Type="http://schemas.openxmlformats.org/officeDocument/2006/relationships/hyperlink" Target="https://gladnetwork.net/" TargetMode="External"/><Relationship Id="rId4" Type="http://schemas.openxmlformats.org/officeDocument/2006/relationships/settings" Target="settings.xml"/><Relationship Id="rId9" Type="http://schemas.openxmlformats.org/officeDocument/2006/relationships/hyperlink" Target="https://www.regjeringen.no/en/dep/ud/id833/" TargetMode="External"/><Relationship Id="rId14" Type="http://schemas.openxmlformats.org/officeDocument/2006/relationships/hyperlink" Target="https://www.regjeringen.no/contentassets/5673dadc917448148b491635289ac690/en-gb/pdfs/stm201820190027000engpdfs.pdf" TargetMode="External"/><Relationship Id="rId22" Type="http://schemas.openxmlformats.org/officeDocument/2006/relationships/hyperlink" Target="http://www.forumfor.no/en/"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edf-feph.org/sites/default/files/guidance_note_on_dpo_involvement_in_international_cooperation_0.pdf" TargetMode="External"/><Relationship Id="rId18" Type="http://schemas.openxmlformats.org/officeDocument/2006/relationships/hyperlink" Target="https://atlas-alliansen.no/what-we-do/inclusion-networks-and-links-2/" TargetMode="External"/><Relationship Id="rId26" Type="http://schemas.openxmlformats.org/officeDocument/2006/relationships/hyperlink" Target="https://inclusive-policy.org/wp-content/uploads/2020/09/OECD-DAC-data-guide-disability-marker_1.0.pdf" TargetMode="External"/><Relationship Id="rId3" Type="http://schemas.openxmlformats.org/officeDocument/2006/relationships/hyperlink" Target="https://atlas-alliansen.no/wp-content/uploads/2018/11/LeavingNoOneBehind.-ANordicMovementforChange_compressed.pdf" TargetMode="External"/><Relationship Id="rId21" Type="http://schemas.openxmlformats.org/officeDocument/2006/relationships/hyperlink" Target="https://atlas-alliansen.no/wp-content/uploads/2018/05/Mapping-of-the-Norwegian-support-to-promote-the-rights-of-persons-with-disabilities-2018.pdf" TargetMode="External"/><Relationship Id="rId34" Type="http://schemas.openxmlformats.org/officeDocument/2006/relationships/hyperlink" Target="https://www.bond.org.uk/sites/default/files/resource-documents/leaving_no_one_behind_the_value_for_money_of_disability-inclusive_development.pdf" TargetMode="External"/><Relationship Id="rId7" Type="http://schemas.openxmlformats.org/officeDocument/2006/relationships/hyperlink" Target="https://www.regjeringen.no/contentassets/261f255d028b42cab91ad099ee3f99fc/en-gb/pdfs/stm201420150010000engpdfs.pdf" TargetMode="External"/><Relationship Id="rId12" Type="http://schemas.openxmlformats.org/officeDocument/2006/relationships/hyperlink" Target="https://www.regjeringen.no/en/aktuelt/pm_inclusion/id2788329/" TargetMode="External"/><Relationship Id="rId17" Type="http://schemas.openxmlformats.org/officeDocument/2006/relationships/hyperlink" Target="https://undocs.org/en/A/75/186" TargetMode="External"/><Relationship Id="rId25" Type="http://schemas.openxmlformats.org/officeDocument/2006/relationships/hyperlink" Target="https://www.imf.org/external/np/fin/data/rms_mth.aspx?SelectDate=2019-06-30&amp;reportType=REP" TargetMode="External"/><Relationship Id="rId33" Type="http://schemas.openxmlformats.org/officeDocument/2006/relationships/hyperlink" Target="https://norad.no/globalassets/publikasjoner/publikasjoner-2016/knowledge-for-development.pdf" TargetMode="External"/><Relationship Id="rId2" Type="http://schemas.openxmlformats.org/officeDocument/2006/relationships/hyperlink" Target="https://www.loc.gov/law/help/foreign-aid/sweden.php" TargetMode="External"/><Relationship Id="rId16" Type="http://schemas.openxmlformats.org/officeDocument/2006/relationships/hyperlink" Target="https://stats.oecd.org/Index.aspx?DataSetCode=CRS1" TargetMode="External"/><Relationship Id="rId20" Type="http://schemas.openxmlformats.org/officeDocument/2006/relationships/hyperlink" Target="https://norad.no/globalassets/publikasjoner/publikasjoner-2016/knowledge-for-development.pdf" TargetMode="External"/><Relationship Id="rId29" Type="http://schemas.openxmlformats.org/officeDocument/2006/relationships/hyperlink" Target="https://atlas-alliansen.no/wp-content/uploads/2018/05/Mapping-of-the-Norwegian-support-to-promote-the-rights-of-persons-with-disabilities-2018.pdf" TargetMode="External"/><Relationship Id="rId1" Type="http://schemas.openxmlformats.org/officeDocument/2006/relationships/hyperlink" Target="https://stats.oecd.org/Index.aspx?DataSetCode=CRS1" TargetMode="External"/><Relationship Id="rId6" Type="http://schemas.openxmlformats.org/officeDocument/2006/relationships/hyperlink" Target="https://www.regjeringen.no/globalassets/upload/ud/vedlegg/hum/efforts_disabilities.pdf" TargetMode="External"/><Relationship Id="rId11" Type="http://schemas.openxmlformats.org/officeDocument/2006/relationships/hyperlink" Target="https://www.worldbank.org/en/topic/socialsustainability/brief/inclusive-education-initiative-transforming-education-for-children-with-disabilities" TargetMode="External"/><Relationship Id="rId24" Type="http://schemas.openxmlformats.org/officeDocument/2006/relationships/hyperlink" Target="https://www.oecd.org/dac/financing-sustainable-development/development-finance-data/ODA-2019-detailed-summary.pdf" TargetMode="External"/><Relationship Id="rId32" Type="http://schemas.openxmlformats.org/officeDocument/2006/relationships/hyperlink" Target="https://norad.no/en/front/thematic-areas/education/results-reporting-system/" TargetMode="External"/><Relationship Id="rId5" Type="http://schemas.openxmlformats.org/officeDocument/2006/relationships/hyperlink" Target="https://gladnetwork.net/search/news/press-release-virtual-high-level-round-table-issue-covid-19-and-disability" TargetMode="External"/><Relationship Id="rId15" Type="http://schemas.openxmlformats.org/officeDocument/2006/relationships/hyperlink" Target="https://atlas-alliansen.no/wp-content/uploads/2018/11/LeavingNoOneBehind.-ANordicMovementforChange_compressed.pdf" TargetMode="External"/><Relationship Id="rId23" Type="http://schemas.openxmlformats.org/officeDocument/2006/relationships/hyperlink" Target="https://norad.no/en/front/thematic-areas/education/results-reporting-system/" TargetMode="External"/><Relationship Id="rId28" Type="http://schemas.openxmlformats.org/officeDocument/2006/relationships/hyperlink" Target="https://stats.oecd.org/Index.aspx?DataSetCode=CRS1" TargetMode="External"/><Relationship Id="rId36" Type="http://schemas.openxmlformats.org/officeDocument/2006/relationships/hyperlink" Target="https://www.regjeringen.no/contentassets/217f38f99edf45c498befc04b7ef1f7e/en-gb/pdfs/stm201620170024000engpdfs.pdf" TargetMode="External"/><Relationship Id="rId10" Type="http://schemas.openxmlformats.org/officeDocument/2006/relationships/hyperlink" Target="https://atlas-alliansen.no/wp-content/uploads/2017/05/Full-report-for-printing_150517final.pdf" TargetMode="External"/><Relationship Id="rId19" Type="http://schemas.openxmlformats.org/officeDocument/2006/relationships/hyperlink" Target="https://atlas-alliansen.no/wp-content/uploads/2018/11/LeavingNoOneBehind.-ANordicMovementforChange_compressed.pdf" TargetMode="External"/><Relationship Id="rId31" Type="http://schemas.openxmlformats.org/officeDocument/2006/relationships/hyperlink" Target="https://www.regjeringen.no/globalassets/upload/ud/vedlegg/hum/efforts_disabilities.pdf" TargetMode="External"/><Relationship Id="rId4" Type="http://schemas.openxmlformats.org/officeDocument/2006/relationships/hyperlink" Target="https://www.regjeringen.no/en/aktuelt/pm_disabilities/id2632230/" TargetMode="External"/><Relationship Id="rId9" Type="http://schemas.openxmlformats.org/officeDocument/2006/relationships/hyperlink" Target="https://atlas-alliansen.no/wp-content/uploads/2018/05/Mapping-of-the-Norwegian-support-to-promote-the-rights-of-persons-with-disabilities-2018.pdf" TargetMode="External"/><Relationship Id="rId14" Type="http://schemas.openxmlformats.org/officeDocument/2006/relationships/hyperlink" Target="https://tbinternet.ohchr.org/_layouts/15/treatybodyexternal/Download.aspx?symbolno=CRPD%2fC%2fNOR%2fCO%2f1&amp;Lang=en" TargetMode="External"/><Relationship Id="rId22" Type="http://schemas.openxmlformats.org/officeDocument/2006/relationships/hyperlink" Target="https://atlas-alliansen.no/wp-content/uploads/2018/11/LeavingNoOneBehind.-ANordicMovementforChange_compressed.pdf" TargetMode="External"/><Relationship Id="rId27" Type="http://schemas.openxmlformats.org/officeDocument/2006/relationships/hyperlink" Target="https://stats.oecd.org/Index.aspx?DataSetCode=CRS1" TargetMode="External"/><Relationship Id="rId30" Type="http://schemas.openxmlformats.org/officeDocument/2006/relationships/hyperlink" Target="https://stats.oecd.org/Index.aspx?DataSetCode=CRS1" TargetMode="External"/><Relationship Id="rId35" Type="http://schemas.openxmlformats.org/officeDocument/2006/relationships/hyperlink" Target="https://www.regjeringen.no/contentassets/aa31d1e5d6e94d0eaa8b1eeb047f4576/partnerland_summary.pdf" TargetMode="External"/><Relationship Id="rId8" Type="http://schemas.openxmlformats.org/officeDocument/2006/relationships/hyperlink" Target="https://www.regjeringen.no/contentassets/bc8396c163f148dc8d4dc8707482e2be/a-society-for-all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9F77A-E364-4A5A-87A8-B105DA34F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2472</Words>
  <Characters>13601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Meeks</dc:creator>
  <cp:keywords/>
  <dc:description/>
  <cp:lastModifiedBy>Marion Steff</cp:lastModifiedBy>
  <cp:revision>24</cp:revision>
  <dcterms:created xsi:type="dcterms:W3CDTF">2020-12-15T09:59:00Z</dcterms:created>
  <dcterms:modified xsi:type="dcterms:W3CDTF">2021-03-01T11:58:00Z</dcterms:modified>
</cp:coreProperties>
</file>