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AABC" w14:textId="48C422E7" w:rsidR="003F50D8" w:rsidRDefault="00866264" w:rsidP="006A5EC9">
      <w:pPr>
        <w:pStyle w:val="Heading1"/>
        <w:spacing w:line="276" w:lineRule="auto"/>
        <w:rPr>
          <w:rFonts w:cs="Arial"/>
          <w:b w:val="0"/>
          <w:lang w:val="en-GB"/>
        </w:rPr>
      </w:pPr>
      <w:r w:rsidRPr="00866264">
        <w:rPr>
          <w:rFonts w:cs="Arial"/>
          <w:b w:val="0"/>
          <w:lang w:val="en-GB"/>
        </w:rPr>
        <w:t>EDF Women’s Committee</w:t>
      </w:r>
      <w:r w:rsidR="003F50D8">
        <w:rPr>
          <w:rFonts w:cs="Arial"/>
          <w:b w:val="0"/>
          <w:lang w:val="en-GB"/>
        </w:rPr>
        <w:t xml:space="preserve"> meeting </w:t>
      </w:r>
    </w:p>
    <w:p w14:paraId="7012AAC9" w14:textId="585380FA" w:rsidR="00866264" w:rsidRDefault="00866264" w:rsidP="006A5EC9">
      <w:pPr>
        <w:pStyle w:val="Heading1"/>
        <w:spacing w:line="276" w:lineRule="auto"/>
        <w:rPr>
          <w:rFonts w:cs="Arial"/>
          <w:b w:val="0"/>
          <w:lang w:val="en-GB"/>
        </w:rPr>
      </w:pPr>
      <w:r>
        <w:rPr>
          <w:rFonts w:cs="Arial"/>
          <w:b w:val="0"/>
          <w:lang w:val="en-GB"/>
        </w:rPr>
        <w:t>Annex 1</w:t>
      </w:r>
      <w:r w:rsidR="00A56E72">
        <w:rPr>
          <w:rFonts w:cs="Arial"/>
          <w:b w:val="0"/>
          <w:lang w:val="en-GB"/>
        </w:rPr>
        <w:t xml:space="preserve">: Updates from EDF’s Secretariat </w:t>
      </w:r>
      <w:r w:rsidR="0091007E">
        <w:rPr>
          <w:rFonts w:cs="Arial"/>
          <w:b w:val="0"/>
          <w:lang w:val="en-GB"/>
        </w:rPr>
        <w:t>(document for information)</w:t>
      </w:r>
    </w:p>
    <w:p w14:paraId="4C9433D5" w14:textId="77777777" w:rsidR="00A56E72" w:rsidRPr="00A56E72" w:rsidRDefault="00A56E72" w:rsidP="00A56E72">
      <w:pPr>
        <w:rPr>
          <w:lang w:val="en-GB"/>
        </w:rPr>
      </w:pPr>
    </w:p>
    <w:p w14:paraId="72FC4A5B" w14:textId="0CC91883" w:rsidR="004E6E54" w:rsidRDefault="00A56E72" w:rsidP="00A56E72">
      <w:pPr>
        <w:pStyle w:val="Heading2"/>
        <w:rPr>
          <w:lang w:val="en-GB"/>
        </w:rPr>
      </w:pPr>
      <w:r>
        <w:rPr>
          <w:lang w:val="en-GB"/>
        </w:rPr>
        <w:t xml:space="preserve">UN Treaty Bodies </w:t>
      </w:r>
    </w:p>
    <w:p w14:paraId="2941EB48" w14:textId="3537937C" w:rsidR="00A56E72" w:rsidRPr="00A56E72" w:rsidRDefault="00A56E72" w:rsidP="00A56E72">
      <w:pPr>
        <w:spacing w:after="200" w:line="276" w:lineRule="auto"/>
        <w:rPr>
          <w:rFonts w:ascii="Arial" w:eastAsia="Times New Roman" w:hAnsi="Arial" w:cs="Times New Roman"/>
          <w:sz w:val="24"/>
          <w:szCs w:val="24"/>
          <w:lang w:val="en-US" w:bidi="en-US"/>
        </w:rPr>
      </w:pPr>
      <w:r w:rsidRPr="00A56E72">
        <w:rPr>
          <w:rFonts w:ascii="Arial" w:eastAsia="Times New Roman" w:hAnsi="Arial" w:cs="Times New Roman"/>
          <w:sz w:val="24"/>
          <w:szCs w:val="24"/>
          <w:lang w:val="en-US" w:bidi="en-US"/>
        </w:rPr>
        <w:t>Together with the International Disability Alliance (IDA), EDF continue to support members in preparation of the review</w:t>
      </w:r>
      <w:r>
        <w:rPr>
          <w:rFonts w:ascii="Arial" w:eastAsia="Times New Roman" w:hAnsi="Arial" w:cs="Times New Roman"/>
          <w:sz w:val="24"/>
          <w:szCs w:val="24"/>
          <w:lang w:val="en-US" w:bidi="en-US"/>
        </w:rPr>
        <w:t xml:space="preserve"> by UN Treaty bodies, with particular focus</w:t>
      </w:r>
      <w:r w:rsidR="004C3D31">
        <w:rPr>
          <w:rFonts w:ascii="Arial" w:eastAsia="Times New Roman" w:hAnsi="Arial" w:cs="Times New Roman"/>
          <w:sz w:val="24"/>
          <w:szCs w:val="24"/>
          <w:lang w:val="en-US" w:bidi="en-US"/>
        </w:rPr>
        <w:t xml:space="preserve"> on review by the CRPD and CEDAW Committees</w:t>
      </w:r>
      <w:r>
        <w:rPr>
          <w:rFonts w:ascii="Arial" w:eastAsia="Times New Roman" w:hAnsi="Arial" w:cs="Times New Roman"/>
          <w:sz w:val="24"/>
          <w:szCs w:val="24"/>
          <w:lang w:val="en-US" w:bidi="en-US"/>
        </w:rPr>
        <w:t xml:space="preserve">. </w:t>
      </w:r>
      <w:r w:rsidRPr="00A56E72">
        <w:rPr>
          <w:rFonts w:ascii="Arial" w:eastAsia="Times New Roman" w:hAnsi="Arial" w:cs="Times New Roman"/>
          <w:sz w:val="24"/>
          <w:szCs w:val="24"/>
          <w:lang w:val="en-US" w:bidi="en-US"/>
        </w:rPr>
        <w:t xml:space="preserve"> </w:t>
      </w:r>
    </w:p>
    <w:p w14:paraId="60EC017F" w14:textId="7AF35681" w:rsidR="00A56E72" w:rsidRPr="00A56E72" w:rsidRDefault="00A56E72" w:rsidP="00A56E72">
      <w:pPr>
        <w:spacing w:after="200" w:line="276" w:lineRule="auto"/>
        <w:rPr>
          <w:rFonts w:ascii="Arial" w:eastAsia="Times New Roman" w:hAnsi="Arial" w:cs="Times New Roman"/>
          <w:sz w:val="24"/>
          <w:szCs w:val="24"/>
          <w:lang w:val="en-US" w:bidi="en-US"/>
        </w:rPr>
      </w:pPr>
      <w:r w:rsidRPr="00A56E72">
        <w:rPr>
          <w:rFonts w:ascii="Arial" w:eastAsia="Times New Roman" w:hAnsi="Arial" w:cs="Times New Roman"/>
          <w:sz w:val="24"/>
          <w:szCs w:val="24"/>
          <w:lang w:val="en-US" w:bidi="en-US"/>
        </w:rPr>
        <w:t xml:space="preserve">EDF also prepares an interim </w:t>
      </w:r>
      <w:r w:rsidRPr="00A56E72">
        <w:rPr>
          <w:rFonts w:ascii="Arial" w:eastAsia="Times New Roman" w:hAnsi="Arial" w:cs="Times New Roman"/>
          <w:b/>
          <w:bCs/>
          <w:sz w:val="24"/>
          <w:szCs w:val="24"/>
          <w:lang w:val="en-US" w:bidi="en-US"/>
        </w:rPr>
        <w:t>alternative report for the EU review</w:t>
      </w:r>
      <w:r w:rsidRPr="00A56E72">
        <w:rPr>
          <w:rFonts w:ascii="Arial" w:eastAsia="Times New Roman" w:hAnsi="Arial" w:cs="Times New Roman"/>
          <w:sz w:val="24"/>
          <w:szCs w:val="24"/>
          <w:lang w:val="en-US" w:bidi="en-US"/>
        </w:rPr>
        <w:t xml:space="preserve">. We will </w:t>
      </w:r>
      <w:proofErr w:type="spellStart"/>
      <w:r w:rsidRPr="00A56E72">
        <w:rPr>
          <w:rFonts w:ascii="Arial" w:eastAsia="Times New Roman" w:hAnsi="Arial" w:cs="Times New Roman"/>
          <w:sz w:val="24"/>
          <w:szCs w:val="24"/>
          <w:lang w:val="en-US" w:bidi="en-US"/>
        </w:rPr>
        <w:t>organise</w:t>
      </w:r>
      <w:proofErr w:type="spellEnd"/>
      <w:r w:rsidRPr="00A56E72">
        <w:rPr>
          <w:rFonts w:ascii="Arial" w:eastAsia="Times New Roman" w:hAnsi="Arial" w:cs="Times New Roman"/>
          <w:sz w:val="24"/>
          <w:szCs w:val="24"/>
          <w:lang w:val="en-US" w:bidi="en-US"/>
        </w:rPr>
        <w:t xml:space="preserve"> an online workshop with all EDF members</w:t>
      </w:r>
      <w:r w:rsidR="004C3D31">
        <w:rPr>
          <w:rFonts w:ascii="Arial" w:eastAsia="Times New Roman" w:hAnsi="Arial" w:cs="Times New Roman"/>
          <w:sz w:val="24"/>
          <w:szCs w:val="24"/>
          <w:lang w:val="en-US" w:bidi="en-US"/>
        </w:rPr>
        <w:t xml:space="preserve">, including the women’s committee. The Committee is also be consulted in written particularly on article 6 on women with disabilities, and to include the perspective of women and girls under the other articles of the Convention. </w:t>
      </w:r>
    </w:p>
    <w:p w14:paraId="2B33FC79" w14:textId="68367312" w:rsidR="00A56E72" w:rsidRDefault="00A56E72" w:rsidP="00A56E72">
      <w:pPr>
        <w:pStyle w:val="Heading3"/>
        <w:rPr>
          <w:lang w:val="en-US"/>
        </w:rPr>
      </w:pPr>
      <w:r>
        <w:rPr>
          <w:lang w:val="en-US"/>
        </w:rPr>
        <w:t xml:space="preserve">Calendar of review </w:t>
      </w:r>
    </w:p>
    <w:p w14:paraId="5EED55E4" w14:textId="29051796" w:rsidR="00A56E72" w:rsidRPr="00A56E72" w:rsidRDefault="001E4851" w:rsidP="00A56E72">
      <w:pPr>
        <w:rPr>
          <w:rFonts w:ascii="Arial" w:hAnsi="Arial" w:cs="Arial"/>
          <w:b/>
          <w:bCs/>
          <w:sz w:val="24"/>
          <w:szCs w:val="24"/>
          <w:lang w:val="en-US"/>
        </w:rPr>
      </w:pPr>
      <w:hyperlink r:id="rId8" w:history="1">
        <w:r w:rsidR="00A56E72" w:rsidRPr="00A56E72">
          <w:rPr>
            <w:rStyle w:val="Hyperlink"/>
            <w:rFonts w:ascii="Arial" w:hAnsi="Arial" w:cs="Arial"/>
            <w:b/>
            <w:bCs/>
            <w:sz w:val="24"/>
            <w:szCs w:val="24"/>
            <w:lang w:val="en-US"/>
          </w:rPr>
          <w:t>Committee on the Rights of Persons with Disabilities</w:t>
        </w:r>
      </w:hyperlink>
      <w:r w:rsidR="00A56E72" w:rsidRPr="00A56E72">
        <w:rPr>
          <w:rFonts w:ascii="Arial" w:hAnsi="Arial" w:cs="Arial"/>
          <w:b/>
          <w:bCs/>
          <w:sz w:val="24"/>
          <w:szCs w:val="24"/>
          <w:lang w:val="en-US"/>
        </w:rPr>
        <w:t xml:space="preserve"> (CRPD)</w:t>
      </w:r>
    </w:p>
    <w:p w14:paraId="4ED370DC" w14:textId="2D46E454" w:rsidR="00A56E72" w:rsidRPr="00A56E72" w:rsidRDefault="00A56E72" w:rsidP="00A56E72">
      <w:pPr>
        <w:numPr>
          <w:ilvl w:val="0"/>
          <w:numId w:val="15"/>
        </w:numPr>
        <w:spacing w:after="200" w:line="276" w:lineRule="auto"/>
        <w:rPr>
          <w:rFonts w:ascii="Arial" w:eastAsia="Times New Roman" w:hAnsi="Arial" w:cs="Times New Roman"/>
          <w:sz w:val="24"/>
          <w:szCs w:val="24"/>
          <w:lang w:val="en-US" w:bidi="en-US"/>
        </w:rPr>
      </w:pPr>
      <w:r w:rsidRPr="00A56E72">
        <w:rPr>
          <w:rFonts w:ascii="Arial" w:eastAsia="Times New Roman" w:hAnsi="Arial" w:cs="Times New Roman"/>
          <w:sz w:val="24"/>
          <w:szCs w:val="24"/>
          <w:lang w:val="en-US" w:bidi="en-US"/>
        </w:rPr>
        <w:t>August</w:t>
      </w:r>
      <w:r>
        <w:rPr>
          <w:rFonts w:ascii="Arial" w:eastAsia="Times New Roman" w:hAnsi="Arial" w:cs="Times New Roman"/>
          <w:sz w:val="24"/>
          <w:szCs w:val="24"/>
          <w:lang w:val="en-US" w:bidi="en-US"/>
        </w:rPr>
        <w:t>/September</w:t>
      </w:r>
      <w:r w:rsidRPr="00A56E72">
        <w:rPr>
          <w:rFonts w:ascii="Arial" w:eastAsia="Times New Roman" w:hAnsi="Arial" w:cs="Times New Roman"/>
          <w:sz w:val="24"/>
          <w:szCs w:val="24"/>
          <w:lang w:val="en-US" w:bidi="en-US"/>
        </w:rPr>
        <w:t xml:space="preserve"> 2021: </w:t>
      </w:r>
      <w:r w:rsidRPr="00A56E72">
        <w:rPr>
          <w:rFonts w:ascii="Arial" w:eastAsia="Times New Roman" w:hAnsi="Arial" w:cs="Times New Roman"/>
          <w:b/>
          <w:bCs/>
          <w:sz w:val="24"/>
          <w:szCs w:val="24"/>
          <w:lang w:val="en-US" w:bidi="en-US"/>
        </w:rPr>
        <w:t>France</w:t>
      </w:r>
      <w:r w:rsidRPr="00A56E72">
        <w:rPr>
          <w:rFonts w:ascii="Arial" w:eastAsia="Times New Roman" w:hAnsi="Arial" w:cs="Times New Roman"/>
          <w:sz w:val="24"/>
          <w:szCs w:val="24"/>
          <w:lang w:val="en-US" w:bidi="en-US"/>
        </w:rPr>
        <w:t xml:space="preserve"> (Concluding observations) </w:t>
      </w:r>
    </w:p>
    <w:p w14:paraId="209D9339" w14:textId="77777777" w:rsidR="00A56E72" w:rsidRPr="00A56E72" w:rsidRDefault="00A56E72" w:rsidP="00A56E72">
      <w:pPr>
        <w:numPr>
          <w:ilvl w:val="0"/>
          <w:numId w:val="15"/>
        </w:numPr>
        <w:spacing w:after="200" w:line="276" w:lineRule="auto"/>
        <w:rPr>
          <w:rFonts w:ascii="Arial" w:eastAsia="Times New Roman" w:hAnsi="Arial" w:cs="Times New Roman"/>
          <w:sz w:val="24"/>
          <w:szCs w:val="24"/>
          <w:lang w:val="en-US" w:bidi="en-US"/>
        </w:rPr>
      </w:pPr>
      <w:r w:rsidRPr="00A56E72">
        <w:rPr>
          <w:rFonts w:ascii="Arial" w:eastAsia="Times New Roman" w:hAnsi="Arial" w:cs="Times New Roman"/>
          <w:sz w:val="24"/>
          <w:szCs w:val="24"/>
          <w:lang w:val="en-US" w:bidi="en-US"/>
        </w:rPr>
        <w:t xml:space="preserve">March/April 2022: </w:t>
      </w:r>
      <w:r w:rsidRPr="00A56E72">
        <w:rPr>
          <w:rFonts w:ascii="Arial" w:eastAsia="Times New Roman" w:hAnsi="Arial" w:cs="Times New Roman"/>
          <w:b/>
          <w:bCs/>
          <w:sz w:val="24"/>
          <w:szCs w:val="24"/>
          <w:lang w:val="en-US" w:bidi="en-US"/>
        </w:rPr>
        <w:t>Italy</w:t>
      </w:r>
      <w:r w:rsidRPr="00A56E72">
        <w:rPr>
          <w:rFonts w:ascii="Arial" w:eastAsia="Times New Roman" w:hAnsi="Arial" w:cs="Times New Roman"/>
          <w:sz w:val="24"/>
          <w:szCs w:val="24"/>
          <w:lang w:val="en-US" w:bidi="en-US"/>
        </w:rPr>
        <w:t xml:space="preserve"> (List of Issues prior to reporting); </w:t>
      </w:r>
      <w:r w:rsidRPr="00A56E72">
        <w:rPr>
          <w:rFonts w:ascii="Arial" w:eastAsia="Times New Roman" w:hAnsi="Arial" w:cs="Times New Roman"/>
          <w:b/>
          <w:bCs/>
          <w:sz w:val="24"/>
          <w:szCs w:val="24"/>
          <w:lang w:val="en-US" w:bidi="en-US"/>
        </w:rPr>
        <w:t>Norway</w:t>
      </w:r>
      <w:r w:rsidRPr="00A56E72">
        <w:rPr>
          <w:rFonts w:ascii="Arial" w:eastAsia="Times New Roman" w:hAnsi="Arial" w:cs="Times New Roman"/>
          <w:sz w:val="24"/>
          <w:szCs w:val="24"/>
          <w:lang w:val="en-US" w:bidi="en-US"/>
        </w:rPr>
        <w:t xml:space="preserve"> (List of Issues prior to reporting); </w:t>
      </w:r>
      <w:r w:rsidRPr="00A56E72">
        <w:rPr>
          <w:rFonts w:ascii="Arial" w:eastAsia="Times New Roman" w:hAnsi="Arial" w:cs="Times New Roman"/>
          <w:b/>
          <w:bCs/>
          <w:sz w:val="24"/>
          <w:szCs w:val="24"/>
          <w:lang w:val="en-US" w:bidi="en-US"/>
        </w:rPr>
        <w:t>United Kingdom</w:t>
      </w:r>
      <w:r w:rsidRPr="00A56E72">
        <w:rPr>
          <w:rFonts w:ascii="Arial" w:eastAsia="Times New Roman" w:hAnsi="Arial" w:cs="Times New Roman"/>
          <w:sz w:val="24"/>
          <w:szCs w:val="24"/>
          <w:lang w:val="en-US" w:bidi="en-US"/>
        </w:rPr>
        <w:t xml:space="preserve"> (List of Issues prior to reporting)</w:t>
      </w:r>
    </w:p>
    <w:p w14:paraId="51DAB80B" w14:textId="130109EA" w:rsidR="00A56E72" w:rsidRPr="00A56E72" w:rsidRDefault="00A56E72" w:rsidP="00A56E72">
      <w:pPr>
        <w:numPr>
          <w:ilvl w:val="0"/>
          <w:numId w:val="15"/>
        </w:numPr>
        <w:spacing w:after="200" w:line="276" w:lineRule="auto"/>
        <w:rPr>
          <w:rFonts w:ascii="Arial" w:eastAsia="Times New Roman" w:hAnsi="Arial" w:cs="Times New Roman"/>
          <w:sz w:val="24"/>
          <w:szCs w:val="24"/>
          <w:lang w:val="en-US" w:bidi="en-US"/>
        </w:rPr>
      </w:pPr>
      <w:r w:rsidRPr="00A56E72">
        <w:rPr>
          <w:rFonts w:ascii="Arial" w:eastAsia="Times New Roman" w:hAnsi="Arial" w:cs="Times New Roman"/>
          <w:sz w:val="24"/>
          <w:szCs w:val="24"/>
          <w:lang w:val="en-US" w:bidi="en-US"/>
        </w:rPr>
        <w:t xml:space="preserve">September 2022: </w:t>
      </w:r>
      <w:r w:rsidRPr="00A56E72">
        <w:rPr>
          <w:rFonts w:ascii="Arial" w:eastAsia="Times New Roman" w:hAnsi="Arial" w:cs="Times New Roman"/>
          <w:b/>
          <w:bCs/>
          <w:sz w:val="24"/>
          <w:szCs w:val="24"/>
          <w:lang w:val="en-US" w:bidi="en-US"/>
        </w:rPr>
        <w:t>European Union</w:t>
      </w:r>
      <w:r w:rsidRPr="00A56E72">
        <w:rPr>
          <w:rFonts w:ascii="Arial" w:eastAsia="Times New Roman" w:hAnsi="Arial" w:cs="Times New Roman"/>
          <w:sz w:val="24"/>
          <w:szCs w:val="24"/>
          <w:lang w:val="en-US" w:bidi="en-US"/>
        </w:rPr>
        <w:t xml:space="preserve"> (List of Issues prior to reporting); </w:t>
      </w:r>
      <w:r w:rsidRPr="00A56E72">
        <w:rPr>
          <w:rFonts w:ascii="Arial" w:eastAsia="Times New Roman" w:hAnsi="Arial" w:cs="Times New Roman"/>
          <w:b/>
          <w:bCs/>
          <w:sz w:val="24"/>
          <w:szCs w:val="24"/>
          <w:lang w:val="en-US" w:bidi="en-US"/>
        </w:rPr>
        <w:t>Portugal</w:t>
      </w:r>
      <w:r w:rsidRPr="00A56E72">
        <w:rPr>
          <w:rFonts w:ascii="Arial" w:eastAsia="Times New Roman" w:hAnsi="Arial" w:cs="Times New Roman"/>
          <w:sz w:val="24"/>
          <w:szCs w:val="24"/>
          <w:lang w:val="en-US" w:bidi="en-US"/>
        </w:rPr>
        <w:t xml:space="preserve"> (List of Issues Prior to Reporting) </w:t>
      </w:r>
    </w:p>
    <w:p w14:paraId="0A72791B" w14:textId="77777777" w:rsidR="00A56E72" w:rsidRPr="00A56E72" w:rsidRDefault="001E4851" w:rsidP="00A56E72">
      <w:pPr>
        <w:spacing w:after="0" w:line="360" w:lineRule="auto"/>
        <w:rPr>
          <w:rFonts w:ascii="Arial" w:eastAsia="Times New Roman" w:hAnsi="Arial" w:cs="Times New Roman"/>
          <w:b/>
          <w:bCs/>
          <w:sz w:val="24"/>
          <w:lang w:val="en-US" w:bidi="en-US"/>
        </w:rPr>
      </w:pPr>
      <w:hyperlink r:id="rId9" w:history="1">
        <w:r w:rsidR="00A56E72" w:rsidRPr="00A56E72">
          <w:rPr>
            <w:rFonts w:ascii="Arial" w:eastAsia="Times New Roman" w:hAnsi="Arial" w:cs="Times New Roman"/>
            <w:b/>
            <w:bCs/>
            <w:color w:val="0000FF"/>
            <w:sz w:val="24"/>
            <w:u w:val="single"/>
            <w:lang w:val="en-US" w:bidi="en-US"/>
          </w:rPr>
          <w:t>Committee on Elimination of Discrimination Against Women</w:t>
        </w:r>
      </w:hyperlink>
      <w:r w:rsidR="00A56E72" w:rsidRPr="00A56E72">
        <w:rPr>
          <w:rFonts w:ascii="Arial" w:eastAsia="Times New Roman" w:hAnsi="Arial" w:cs="Times New Roman"/>
          <w:b/>
          <w:bCs/>
          <w:sz w:val="24"/>
          <w:lang w:val="en-US" w:bidi="en-US"/>
        </w:rPr>
        <w:t xml:space="preserve"> (CEDAW)</w:t>
      </w:r>
    </w:p>
    <w:p w14:paraId="649CBF39" w14:textId="77777777" w:rsidR="00A56E72" w:rsidRPr="00A56E72" w:rsidRDefault="00A56E72" w:rsidP="00A56E72">
      <w:pPr>
        <w:numPr>
          <w:ilvl w:val="0"/>
          <w:numId w:val="13"/>
        </w:numPr>
        <w:spacing w:after="0" w:line="360" w:lineRule="auto"/>
        <w:rPr>
          <w:rFonts w:ascii="Arial" w:eastAsia="Times New Roman" w:hAnsi="Arial" w:cs="Times New Roman"/>
          <w:sz w:val="24"/>
          <w:lang w:val="en-US" w:bidi="en-US"/>
        </w:rPr>
      </w:pPr>
      <w:r w:rsidRPr="00A56E72">
        <w:rPr>
          <w:rFonts w:ascii="Arial" w:eastAsia="Times New Roman" w:hAnsi="Arial" w:cs="Times New Roman"/>
          <w:sz w:val="24"/>
          <w:lang w:val="en-US" w:bidi="en-US"/>
        </w:rPr>
        <w:t xml:space="preserve">February/March: review of </w:t>
      </w:r>
      <w:r w:rsidRPr="00A56E72">
        <w:rPr>
          <w:rFonts w:ascii="Arial" w:eastAsia="Times New Roman" w:hAnsi="Arial" w:cs="Times New Roman"/>
          <w:b/>
          <w:bCs/>
          <w:sz w:val="24"/>
          <w:lang w:val="en-US" w:bidi="en-US"/>
        </w:rPr>
        <w:t>Denmark</w:t>
      </w:r>
      <w:r w:rsidRPr="00A56E72">
        <w:rPr>
          <w:rFonts w:ascii="Arial" w:eastAsia="Times New Roman" w:hAnsi="Arial" w:cs="Times New Roman"/>
          <w:sz w:val="24"/>
          <w:lang w:val="en-US" w:bidi="en-US"/>
        </w:rPr>
        <w:t xml:space="preserve">; List of issues on </w:t>
      </w:r>
      <w:r w:rsidRPr="00A56E72">
        <w:rPr>
          <w:rFonts w:ascii="Arial" w:eastAsia="Times New Roman" w:hAnsi="Arial" w:cs="Times New Roman"/>
          <w:b/>
          <w:bCs/>
          <w:sz w:val="24"/>
          <w:lang w:val="en-US" w:bidi="en-US"/>
        </w:rPr>
        <w:t>Italy</w:t>
      </w:r>
      <w:r w:rsidRPr="00A56E72">
        <w:rPr>
          <w:rFonts w:ascii="Arial" w:eastAsia="Times New Roman" w:hAnsi="Arial" w:cs="Times New Roman"/>
          <w:sz w:val="24"/>
          <w:lang w:val="en-US" w:bidi="en-US"/>
        </w:rPr>
        <w:t xml:space="preserve"> and </w:t>
      </w:r>
      <w:r w:rsidRPr="00A56E72">
        <w:rPr>
          <w:rFonts w:ascii="Arial" w:eastAsia="Times New Roman" w:hAnsi="Arial" w:cs="Times New Roman"/>
          <w:b/>
          <w:bCs/>
          <w:sz w:val="24"/>
          <w:lang w:val="en-US" w:bidi="en-US"/>
        </w:rPr>
        <w:t>Hungary</w:t>
      </w:r>
      <w:r w:rsidRPr="00A56E72">
        <w:rPr>
          <w:rFonts w:ascii="Arial" w:eastAsia="Times New Roman" w:hAnsi="Arial" w:cs="Times New Roman"/>
          <w:sz w:val="24"/>
          <w:lang w:val="en-US" w:bidi="en-US"/>
        </w:rPr>
        <w:t xml:space="preserve"> </w:t>
      </w:r>
    </w:p>
    <w:p w14:paraId="6C60D34F" w14:textId="77777777" w:rsidR="00A56E72" w:rsidRPr="00A56E72" w:rsidRDefault="00A56E72" w:rsidP="00A56E72">
      <w:pPr>
        <w:numPr>
          <w:ilvl w:val="0"/>
          <w:numId w:val="13"/>
        </w:numPr>
        <w:spacing w:after="0" w:line="360" w:lineRule="auto"/>
        <w:rPr>
          <w:rFonts w:ascii="Arial" w:eastAsia="Times New Roman" w:hAnsi="Arial" w:cs="Times New Roman"/>
          <w:sz w:val="24"/>
          <w:lang w:val="en-US" w:bidi="en-US"/>
        </w:rPr>
      </w:pPr>
      <w:r w:rsidRPr="00A56E72">
        <w:rPr>
          <w:rFonts w:ascii="Arial" w:eastAsia="Times New Roman" w:hAnsi="Arial" w:cs="Times New Roman"/>
          <w:sz w:val="24"/>
          <w:lang w:val="en-US" w:bidi="en-US"/>
        </w:rPr>
        <w:t xml:space="preserve">June/July: review of </w:t>
      </w:r>
      <w:r w:rsidRPr="00A56E72">
        <w:rPr>
          <w:rFonts w:ascii="Arial" w:eastAsia="Times New Roman" w:hAnsi="Arial" w:cs="Times New Roman"/>
          <w:b/>
          <w:bCs/>
          <w:sz w:val="24"/>
          <w:lang w:val="en-US" w:bidi="en-US"/>
        </w:rPr>
        <w:t>Spain</w:t>
      </w:r>
      <w:r w:rsidRPr="00A56E72">
        <w:rPr>
          <w:rFonts w:ascii="Arial" w:eastAsia="Times New Roman" w:hAnsi="Arial" w:cs="Times New Roman"/>
          <w:sz w:val="24"/>
          <w:lang w:val="en-US" w:bidi="en-US"/>
        </w:rPr>
        <w:t xml:space="preserve">; List of issues of Armenia, </w:t>
      </w:r>
      <w:r w:rsidRPr="00A56E72">
        <w:rPr>
          <w:rFonts w:ascii="Arial" w:eastAsia="Times New Roman" w:hAnsi="Arial" w:cs="Times New Roman"/>
          <w:b/>
          <w:bCs/>
          <w:sz w:val="24"/>
          <w:lang w:val="en-US" w:bidi="en-US"/>
        </w:rPr>
        <w:t>Estonia</w:t>
      </w:r>
      <w:r w:rsidRPr="00A56E72">
        <w:rPr>
          <w:rFonts w:ascii="Arial" w:eastAsia="Times New Roman" w:hAnsi="Arial" w:cs="Times New Roman"/>
          <w:sz w:val="24"/>
          <w:lang w:val="en-US" w:bidi="en-US"/>
        </w:rPr>
        <w:t xml:space="preserve">, </w:t>
      </w:r>
      <w:r w:rsidRPr="00A56E72">
        <w:rPr>
          <w:rFonts w:ascii="Arial" w:eastAsia="Times New Roman" w:hAnsi="Arial" w:cs="Times New Roman"/>
          <w:b/>
          <w:bCs/>
          <w:sz w:val="24"/>
          <w:lang w:val="en-US" w:bidi="en-US"/>
        </w:rPr>
        <w:t>Finland</w:t>
      </w:r>
      <w:r w:rsidRPr="00A56E72">
        <w:rPr>
          <w:rFonts w:ascii="Arial" w:eastAsia="Times New Roman" w:hAnsi="Arial" w:cs="Times New Roman"/>
          <w:sz w:val="24"/>
          <w:lang w:val="en-US" w:bidi="en-US"/>
        </w:rPr>
        <w:t xml:space="preserve">, </w:t>
      </w:r>
      <w:r w:rsidRPr="00A56E72">
        <w:rPr>
          <w:rFonts w:ascii="Arial" w:eastAsia="Times New Roman" w:hAnsi="Arial" w:cs="Times New Roman"/>
          <w:b/>
          <w:bCs/>
          <w:sz w:val="24"/>
          <w:lang w:val="en-US" w:bidi="en-US"/>
        </w:rPr>
        <w:t>Netherlands</w:t>
      </w:r>
      <w:r w:rsidRPr="00A56E72">
        <w:rPr>
          <w:rFonts w:ascii="Arial" w:eastAsia="Times New Roman" w:hAnsi="Arial" w:cs="Times New Roman"/>
          <w:sz w:val="24"/>
          <w:lang w:val="en-US" w:bidi="en-US"/>
        </w:rPr>
        <w:t xml:space="preserve">, </w:t>
      </w:r>
      <w:r w:rsidRPr="00A56E72">
        <w:rPr>
          <w:rFonts w:ascii="Arial" w:eastAsia="Times New Roman" w:hAnsi="Arial" w:cs="Times New Roman"/>
          <w:b/>
          <w:bCs/>
          <w:sz w:val="24"/>
          <w:lang w:val="en-US" w:bidi="en-US"/>
        </w:rPr>
        <w:t>Turkey</w:t>
      </w:r>
      <w:r w:rsidRPr="00A56E72">
        <w:rPr>
          <w:rFonts w:ascii="Arial" w:eastAsia="Times New Roman" w:hAnsi="Arial" w:cs="Times New Roman"/>
          <w:sz w:val="24"/>
          <w:lang w:val="en-US" w:bidi="en-US"/>
        </w:rPr>
        <w:t xml:space="preserve"> </w:t>
      </w:r>
    </w:p>
    <w:p w14:paraId="1FC686B5" w14:textId="082B36C3" w:rsidR="00A56E72" w:rsidRPr="00A56E72" w:rsidRDefault="00A56E72" w:rsidP="00A56E72">
      <w:pPr>
        <w:numPr>
          <w:ilvl w:val="0"/>
          <w:numId w:val="13"/>
        </w:numPr>
        <w:spacing w:after="0" w:line="360" w:lineRule="auto"/>
        <w:rPr>
          <w:rFonts w:ascii="Arial" w:eastAsia="Times New Roman" w:hAnsi="Arial" w:cs="Times New Roman"/>
          <w:sz w:val="24"/>
          <w:lang w:val="en-US" w:bidi="en-US"/>
        </w:rPr>
      </w:pPr>
      <w:r w:rsidRPr="00A56E72">
        <w:rPr>
          <w:rFonts w:ascii="Arial" w:eastAsia="Times New Roman" w:hAnsi="Arial" w:cs="Times New Roman"/>
          <w:sz w:val="24"/>
          <w:lang w:val="en-US" w:bidi="en-US"/>
        </w:rPr>
        <w:t xml:space="preserve">October/November: review of </w:t>
      </w:r>
      <w:r w:rsidRPr="00A56E72">
        <w:rPr>
          <w:rFonts w:ascii="Arial" w:eastAsia="Times New Roman" w:hAnsi="Arial" w:cs="Times New Roman"/>
          <w:b/>
          <w:bCs/>
          <w:sz w:val="24"/>
          <w:lang w:val="en-US" w:bidi="en-US"/>
        </w:rPr>
        <w:t>Sweden</w:t>
      </w:r>
      <w:r w:rsidRPr="00A56E72">
        <w:rPr>
          <w:rFonts w:ascii="Arial" w:eastAsia="Times New Roman" w:hAnsi="Arial" w:cs="Times New Roman"/>
          <w:sz w:val="24"/>
          <w:lang w:val="en-US" w:bidi="en-US"/>
        </w:rPr>
        <w:t xml:space="preserve"> </w:t>
      </w:r>
    </w:p>
    <w:p w14:paraId="1E2A910B" w14:textId="77777777" w:rsidR="00A56E72" w:rsidRPr="00A56E72" w:rsidRDefault="001E4851" w:rsidP="00A56E72">
      <w:pPr>
        <w:spacing w:after="0" w:line="360" w:lineRule="auto"/>
        <w:rPr>
          <w:rFonts w:ascii="Arial" w:eastAsia="Times New Roman" w:hAnsi="Arial" w:cs="Times New Roman"/>
          <w:b/>
          <w:bCs/>
          <w:sz w:val="24"/>
          <w:lang w:val="en-US" w:bidi="en-US"/>
        </w:rPr>
      </w:pPr>
      <w:hyperlink r:id="rId10" w:history="1">
        <w:r w:rsidR="00A56E72" w:rsidRPr="00A56E72">
          <w:rPr>
            <w:rFonts w:ascii="Arial" w:eastAsia="Times New Roman" w:hAnsi="Arial" w:cs="Times New Roman"/>
            <w:b/>
            <w:bCs/>
            <w:color w:val="0000FF"/>
            <w:sz w:val="24"/>
            <w:u w:val="single"/>
            <w:lang w:val="en-US" w:bidi="en-US"/>
          </w:rPr>
          <w:t>Committee on Economic, Social and Cultural Rights</w:t>
        </w:r>
      </w:hyperlink>
      <w:r w:rsidR="00A56E72" w:rsidRPr="00A56E72">
        <w:rPr>
          <w:rFonts w:ascii="Arial" w:eastAsia="Times New Roman" w:hAnsi="Arial" w:cs="Times New Roman"/>
          <w:b/>
          <w:bCs/>
          <w:sz w:val="24"/>
          <w:lang w:val="en-US" w:bidi="en-US"/>
        </w:rPr>
        <w:t xml:space="preserve"> (CESCR)</w:t>
      </w:r>
    </w:p>
    <w:p w14:paraId="620B0AD1" w14:textId="77777777" w:rsidR="00A56E72" w:rsidRPr="00A56E72" w:rsidRDefault="00A56E72" w:rsidP="00A56E72">
      <w:pPr>
        <w:numPr>
          <w:ilvl w:val="0"/>
          <w:numId w:val="13"/>
        </w:numPr>
        <w:spacing w:after="0" w:line="360" w:lineRule="auto"/>
        <w:rPr>
          <w:rFonts w:ascii="Arial" w:eastAsia="Times New Roman" w:hAnsi="Arial" w:cs="Times New Roman"/>
          <w:sz w:val="24"/>
          <w:lang w:val="en-US" w:bidi="en-US"/>
        </w:rPr>
      </w:pPr>
      <w:r w:rsidRPr="00A56E72">
        <w:rPr>
          <w:rFonts w:ascii="Arial" w:eastAsia="Times New Roman" w:hAnsi="Arial" w:cs="Times New Roman"/>
          <w:sz w:val="24"/>
          <w:lang w:val="en-US" w:bidi="en-US"/>
        </w:rPr>
        <w:t xml:space="preserve">February/March: review of </w:t>
      </w:r>
      <w:r w:rsidRPr="00A56E72">
        <w:rPr>
          <w:rFonts w:ascii="Arial" w:eastAsia="Times New Roman" w:hAnsi="Arial" w:cs="Times New Roman"/>
          <w:b/>
          <w:bCs/>
          <w:sz w:val="24"/>
          <w:lang w:val="en-US" w:bidi="en-US"/>
        </w:rPr>
        <w:t>Finland</w:t>
      </w:r>
      <w:r w:rsidRPr="00A56E72">
        <w:rPr>
          <w:rFonts w:ascii="Arial" w:eastAsia="Times New Roman" w:hAnsi="Arial" w:cs="Times New Roman"/>
          <w:sz w:val="24"/>
          <w:lang w:val="en-US" w:bidi="en-US"/>
        </w:rPr>
        <w:t xml:space="preserve"> and </w:t>
      </w:r>
      <w:r w:rsidRPr="00A56E72">
        <w:rPr>
          <w:rFonts w:ascii="Arial" w:eastAsia="Times New Roman" w:hAnsi="Arial" w:cs="Times New Roman"/>
          <w:b/>
          <w:bCs/>
          <w:sz w:val="24"/>
          <w:lang w:val="en-US" w:bidi="en-US"/>
        </w:rPr>
        <w:t>Latvia</w:t>
      </w:r>
      <w:r w:rsidRPr="00A56E72">
        <w:rPr>
          <w:rFonts w:ascii="Arial" w:eastAsia="Times New Roman" w:hAnsi="Arial" w:cs="Times New Roman"/>
          <w:sz w:val="24"/>
          <w:lang w:val="en-US" w:bidi="en-US"/>
        </w:rPr>
        <w:t xml:space="preserve">; List of issues on </w:t>
      </w:r>
      <w:r w:rsidRPr="00A56E72">
        <w:rPr>
          <w:rFonts w:ascii="Arial" w:eastAsia="Times New Roman" w:hAnsi="Arial" w:cs="Times New Roman"/>
          <w:b/>
          <w:bCs/>
          <w:sz w:val="24"/>
          <w:lang w:val="en-US" w:bidi="en-US"/>
        </w:rPr>
        <w:t>Lithuania</w:t>
      </w:r>
      <w:r w:rsidRPr="00A56E72">
        <w:rPr>
          <w:rFonts w:ascii="Arial" w:eastAsia="Times New Roman" w:hAnsi="Arial" w:cs="Times New Roman"/>
          <w:sz w:val="24"/>
          <w:lang w:val="en-US" w:bidi="en-US"/>
        </w:rPr>
        <w:t xml:space="preserve"> and </w:t>
      </w:r>
      <w:r w:rsidRPr="00A56E72">
        <w:rPr>
          <w:rFonts w:ascii="Arial" w:eastAsia="Times New Roman" w:hAnsi="Arial" w:cs="Times New Roman"/>
          <w:b/>
          <w:bCs/>
          <w:sz w:val="24"/>
          <w:lang w:val="en-US" w:bidi="en-US"/>
        </w:rPr>
        <w:t>Portugal</w:t>
      </w:r>
      <w:r w:rsidRPr="00A56E72">
        <w:rPr>
          <w:rFonts w:ascii="Arial" w:eastAsia="Times New Roman" w:hAnsi="Arial" w:cs="Times New Roman"/>
          <w:sz w:val="24"/>
          <w:lang w:val="en-US" w:bidi="en-US"/>
        </w:rPr>
        <w:t xml:space="preserve"> </w:t>
      </w:r>
    </w:p>
    <w:p w14:paraId="5CAADA20" w14:textId="77777777" w:rsidR="00A56E72" w:rsidRPr="00A56E72" w:rsidRDefault="00A56E72" w:rsidP="00A56E72">
      <w:pPr>
        <w:numPr>
          <w:ilvl w:val="0"/>
          <w:numId w:val="13"/>
        </w:numPr>
        <w:spacing w:after="0" w:line="360" w:lineRule="auto"/>
        <w:rPr>
          <w:rFonts w:ascii="Arial" w:eastAsia="Times New Roman" w:hAnsi="Arial" w:cs="Times New Roman"/>
          <w:sz w:val="24"/>
          <w:lang w:val="en-US" w:bidi="en-US"/>
        </w:rPr>
      </w:pPr>
      <w:r w:rsidRPr="00A56E72">
        <w:rPr>
          <w:rFonts w:ascii="Arial" w:eastAsia="Times New Roman" w:hAnsi="Arial" w:cs="Times New Roman"/>
          <w:sz w:val="24"/>
          <w:lang w:val="en-US" w:bidi="en-US"/>
        </w:rPr>
        <w:t xml:space="preserve">September/October: List of issues of Armenia and </w:t>
      </w:r>
      <w:r w:rsidRPr="00A56E72">
        <w:rPr>
          <w:rFonts w:ascii="Arial" w:eastAsia="Times New Roman" w:hAnsi="Arial" w:cs="Times New Roman"/>
          <w:b/>
          <w:bCs/>
          <w:sz w:val="24"/>
          <w:lang w:val="en-US" w:bidi="en-US"/>
        </w:rPr>
        <w:t>Romania</w:t>
      </w:r>
      <w:r w:rsidRPr="00A56E72">
        <w:rPr>
          <w:rFonts w:ascii="Arial" w:eastAsia="Times New Roman" w:hAnsi="Arial" w:cs="Times New Roman"/>
          <w:sz w:val="24"/>
          <w:lang w:val="en-US" w:bidi="en-US"/>
        </w:rPr>
        <w:t xml:space="preserve"> </w:t>
      </w:r>
    </w:p>
    <w:p w14:paraId="217EF48A" w14:textId="77777777" w:rsidR="00A56E72" w:rsidRPr="00A56E72" w:rsidRDefault="001E4851" w:rsidP="00A56E72">
      <w:pPr>
        <w:spacing w:after="0" w:line="360" w:lineRule="auto"/>
        <w:rPr>
          <w:rFonts w:ascii="Arial" w:eastAsia="Times New Roman" w:hAnsi="Arial" w:cs="Times New Roman"/>
          <w:b/>
          <w:bCs/>
          <w:sz w:val="24"/>
          <w:lang w:val="en-US" w:bidi="en-US"/>
        </w:rPr>
      </w:pPr>
      <w:hyperlink r:id="rId11" w:history="1">
        <w:r w:rsidR="00A56E72" w:rsidRPr="00A56E72">
          <w:rPr>
            <w:rFonts w:ascii="Arial" w:eastAsia="Times New Roman" w:hAnsi="Arial" w:cs="Times New Roman"/>
            <w:b/>
            <w:bCs/>
            <w:color w:val="0000FF"/>
            <w:sz w:val="24"/>
            <w:u w:val="single"/>
            <w:lang w:val="en-US" w:bidi="en-US"/>
          </w:rPr>
          <w:t>Committee on the Rights of the Child</w:t>
        </w:r>
      </w:hyperlink>
      <w:r w:rsidR="00A56E72" w:rsidRPr="00A56E72">
        <w:rPr>
          <w:rFonts w:ascii="Arial" w:eastAsia="Times New Roman" w:hAnsi="Arial" w:cs="Times New Roman"/>
          <w:b/>
          <w:bCs/>
          <w:sz w:val="24"/>
          <w:lang w:val="en-US" w:bidi="en-US"/>
        </w:rPr>
        <w:t xml:space="preserve"> (CRC) </w:t>
      </w:r>
    </w:p>
    <w:p w14:paraId="1E780FBA" w14:textId="77777777" w:rsidR="00A56E72" w:rsidRPr="00A56E72" w:rsidRDefault="00A56E72" w:rsidP="00A56E72">
      <w:pPr>
        <w:numPr>
          <w:ilvl w:val="0"/>
          <w:numId w:val="14"/>
        </w:numPr>
        <w:spacing w:after="0" w:line="360" w:lineRule="auto"/>
        <w:rPr>
          <w:rFonts w:ascii="Arial" w:eastAsia="Times New Roman" w:hAnsi="Arial" w:cs="Times New Roman"/>
          <w:sz w:val="24"/>
          <w:lang w:val="en-US" w:bidi="en-US"/>
        </w:rPr>
      </w:pPr>
      <w:r w:rsidRPr="00A56E72">
        <w:rPr>
          <w:rFonts w:ascii="Arial" w:eastAsia="Times New Roman" w:hAnsi="Arial" w:cs="Times New Roman"/>
          <w:sz w:val="24"/>
          <w:lang w:val="en-US" w:bidi="en-US"/>
        </w:rPr>
        <w:t xml:space="preserve">May/June: review of </w:t>
      </w:r>
      <w:r w:rsidRPr="00A56E72">
        <w:rPr>
          <w:rFonts w:ascii="Arial" w:eastAsia="Times New Roman" w:hAnsi="Arial" w:cs="Times New Roman"/>
          <w:b/>
          <w:bCs/>
          <w:sz w:val="24"/>
          <w:lang w:val="en-US" w:bidi="en-US"/>
        </w:rPr>
        <w:t>Cyprus</w:t>
      </w:r>
      <w:r w:rsidRPr="00A56E72">
        <w:rPr>
          <w:rFonts w:ascii="Arial" w:eastAsia="Times New Roman" w:hAnsi="Arial" w:cs="Times New Roman"/>
          <w:sz w:val="24"/>
          <w:lang w:val="en-US" w:bidi="en-US"/>
        </w:rPr>
        <w:t xml:space="preserve">, </w:t>
      </w:r>
      <w:r w:rsidRPr="00A56E72">
        <w:rPr>
          <w:rFonts w:ascii="Arial" w:eastAsia="Times New Roman" w:hAnsi="Arial" w:cs="Times New Roman"/>
          <w:b/>
          <w:bCs/>
          <w:sz w:val="24"/>
          <w:lang w:val="en-US" w:bidi="en-US"/>
        </w:rPr>
        <w:t>Czechia</w:t>
      </w:r>
      <w:r w:rsidRPr="00A56E72">
        <w:rPr>
          <w:rFonts w:ascii="Arial" w:eastAsia="Times New Roman" w:hAnsi="Arial" w:cs="Times New Roman"/>
          <w:sz w:val="24"/>
          <w:lang w:val="en-US" w:bidi="en-US"/>
        </w:rPr>
        <w:t xml:space="preserve">, </w:t>
      </w:r>
      <w:r w:rsidRPr="00A56E72">
        <w:rPr>
          <w:rFonts w:ascii="Arial" w:eastAsia="Times New Roman" w:hAnsi="Arial" w:cs="Times New Roman"/>
          <w:b/>
          <w:bCs/>
          <w:sz w:val="24"/>
          <w:lang w:val="en-US" w:bidi="en-US"/>
        </w:rPr>
        <w:t>Luxembourg</w:t>
      </w:r>
      <w:r w:rsidRPr="00A56E72">
        <w:rPr>
          <w:rFonts w:ascii="Arial" w:eastAsia="Times New Roman" w:hAnsi="Arial" w:cs="Times New Roman"/>
          <w:sz w:val="24"/>
          <w:lang w:val="en-US" w:bidi="en-US"/>
        </w:rPr>
        <w:t xml:space="preserve"> and </w:t>
      </w:r>
      <w:r w:rsidRPr="00A56E72">
        <w:rPr>
          <w:rFonts w:ascii="Arial" w:eastAsia="Times New Roman" w:hAnsi="Arial" w:cs="Times New Roman"/>
          <w:b/>
          <w:bCs/>
          <w:sz w:val="24"/>
          <w:lang w:val="en-US" w:bidi="en-US"/>
        </w:rPr>
        <w:t>Poland</w:t>
      </w:r>
      <w:r w:rsidRPr="00A56E72">
        <w:rPr>
          <w:rFonts w:ascii="Arial" w:eastAsia="Times New Roman" w:hAnsi="Arial" w:cs="Times New Roman"/>
          <w:sz w:val="24"/>
          <w:lang w:val="en-US" w:bidi="en-US"/>
        </w:rPr>
        <w:t xml:space="preserve">; List of issues on Albania, </w:t>
      </w:r>
      <w:r w:rsidRPr="00A56E72">
        <w:rPr>
          <w:rFonts w:ascii="Arial" w:eastAsia="Times New Roman" w:hAnsi="Arial" w:cs="Times New Roman"/>
          <w:b/>
          <w:bCs/>
          <w:sz w:val="24"/>
          <w:lang w:val="en-US" w:bidi="en-US"/>
        </w:rPr>
        <w:t>Bulgaria</w:t>
      </w:r>
      <w:r w:rsidRPr="00A56E72">
        <w:rPr>
          <w:rFonts w:ascii="Arial" w:eastAsia="Times New Roman" w:hAnsi="Arial" w:cs="Times New Roman"/>
          <w:sz w:val="24"/>
          <w:lang w:val="en-US" w:bidi="en-US"/>
        </w:rPr>
        <w:t xml:space="preserve">, </w:t>
      </w:r>
      <w:r w:rsidRPr="00A56E72">
        <w:rPr>
          <w:rFonts w:ascii="Arial" w:eastAsia="Times New Roman" w:hAnsi="Arial" w:cs="Times New Roman"/>
          <w:b/>
          <w:bCs/>
          <w:sz w:val="24"/>
          <w:lang w:val="en-US" w:bidi="en-US"/>
        </w:rPr>
        <w:t>Finland</w:t>
      </w:r>
      <w:r w:rsidRPr="00A56E72">
        <w:rPr>
          <w:rFonts w:ascii="Arial" w:eastAsia="Times New Roman" w:hAnsi="Arial" w:cs="Times New Roman"/>
          <w:sz w:val="24"/>
          <w:lang w:val="en-US" w:bidi="en-US"/>
        </w:rPr>
        <w:t xml:space="preserve"> and </w:t>
      </w:r>
      <w:r w:rsidRPr="00A56E72">
        <w:rPr>
          <w:rFonts w:ascii="Arial" w:eastAsia="Times New Roman" w:hAnsi="Arial" w:cs="Times New Roman"/>
          <w:b/>
          <w:bCs/>
          <w:sz w:val="24"/>
          <w:lang w:val="en-US" w:bidi="en-US"/>
        </w:rPr>
        <w:t>Turkey</w:t>
      </w:r>
      <w:r w:rsidRPr="00A56E72">
        <w:rPr>
          <w:rFonts w:ascii="Arial" w:eastAsia="Times New Roman" w:hAnsi="Arial" w:cs="Times New Roman"/>
          <w:sz w:val="24"/>
          <w:lang w:val="en-US" w:bidi="en-US"/>
        </w:rPr>
        <w:t xml:space="preserve"> </w:t>
      </w:r>
    </w:p>
    <w:p w14:paraId="40BAF799" w14:textId="7EEE171A" w:rsidR="00A56E72" w:rsidRPr="00A56E72" w:rsidRDefault="00A56E72" w:rsidP="00A56E72">
      <w:pPr>
        <w:numPr>
          <w:ilvl w:val="0"/>
          <w:numId w:val="14"/>
        </w:numPr>
        <w:spacing w:after="0" w:line="360" w:lineRule="auto"/>
        <w:rPr>
          <w:rFonts w:ascii="Arial" w:eastAsia="Times New Roman" w:hAnsi="Arial" w:cs="Times New Roman"/>
          <w:sz w:val="24"/>
          <w:lang w:val="en-US" w:bidi="en-US"/>
        </w:rPr>
      </w:pPr>
      <w:r w:rsidRPr="00A56E72">
        <w:rPr>
          <w:rFonts w:ascii="Arial" w:eastAsia="Times New Roman" w:hAnsi="Arial" w:cs="Times New Roman"/>
          <w:sz w:val="24"/>
          <w:lang w:val="en-US" w:bidi="en-US"/>
        </w:rPr>
        <w:lastRenderedPageBreak/>
        <w:t xml:space="preserve">September: review of </w:t>
      </w:r>
      <w:r w:rsidRPr="00A56E72">
        <w:rPr>
          <w:rFonts w:ascii="Arial" w:eastAsia="Times New Roman" w:hAnsi="Arial" w:cs="Times New Roman"/>
          <w:b/>
          <w:bCs/>
          <w:sz w:val="24"/>
          <w:lang w:val="en-US" w:bidi="en-US"/>
        </w:rPr>
        <w:t>Croatia</w:t>
      </w:r>
      <w:r w:rsidRPr="00A56E72">
        <w:rPr>
          <w:rFonts w:ascii="Arial" w:eastAsia="Times New Roman" w:hAnsi="Arial" w:cs="Times New Roman"/>
          <w:sz w:val="24"/>
          <w:lang w:val="en-US" w:bidi="en-US"/>
        </w:rPr>
        <w:t xml:space="preserve">, </w:t>
      </w:r>
      <w:r w:rsidRPr="00A56E72">
        <w:rPr>
          <w:rFonts w:ascii="Arial" w:eastAsia="Times New Roman" w:hAnsi="Arial" w:cs="Times New Roman"/>
          <w:b/>
          <w:bCs/>
          <w:sz w:val="24"/>
          <w:lang w:val="en-US" w:bidi="en-US"/>
        </w:rPr>
        <w:t>Greece</w:t>
      </w:r>
      <w:r w:rsidRPr="00A56E72">
        <w:rPr>
          <w:rFonts w:ascii="Arial" w:eastAsia="Times New Roman" w:hAnsi="Arial" w:cs="Times New Roman"/>
          <w:sz w:val="24"/>
          <w:lang w:val="en-US" w:bidi="en-US"/>
        </w:rPr>
        <w:t xml:space="preserve">, </w:t>
      </w:r>
      <w:r w:rsidRPr="00A56E72">
        <w:rPr>
          <w:rFonts w:ascii="Arial" w:eastAsia="Times New Roman" w:hAnsi="Arial" w:cs="Times New Roman"/>
          <w:b/>
          <w:bCs/>
          <w:sz w:val="24"/>
          <w:lang w:val="en-US" w:bidi="en-US"/>
        </w:rPr>
        <w:t>Netherlands</w:t>
      </w:r>
      <w:r w:rsidRPr="00A56E72">
        <w:rPr>
          <w:rFonts w:ascii="Arial" w:eastAsia="Times New Roman" w:hAnsi="Arial" w:cs="Times New Roman"/>
          <w:sz w:val="24"/>
          <w:lang w:val="en-US" w:bidi="en-US"/>
        </w:rPr>
        <w:t xml:space="preserve">; List of issues on </w:t>
      </w:r>
      <w:r w:rsidRPr="00A56E72">
        <w:rPr>
          <w:rFonts w:ascii="Arial" w:eastAsia="Times New Roman" w:hAnsi="Arial" w:cs="Times New Roman"/>
          <w:b/>
          <w:bCs/>
          <w:sz w:val="24"/>
          <w:lang w:val="en-US" w:bidi="en-US"/>
        </w:rPr>
        <w:t>Estonia</w:t>
      </w:r>
      <w:r w:rsidRPr="00A56E72">
        <w:rPr>
          <w:rFonts w:ascii="Arial" w:eastAsia="Times New Roman" w:hAnsi="Arial" w:cs="Times New Roman"/>
          <w:sz w:val="24"/>
          <w:lang w:val="en-US" w:bidi="en-US"/>
        </w:rPr>
        <w:t xml:space="preserve"> </w:t>
      </w:r>
    </w:p>
    <w:p w14:paraId="5FB98305" w14:textId="77777777" w:rsidR="00A56E72" w:rsidRPr="00A56E72" w:rsidRDefault="001E4851" w:rsidP="00A56E72">
      <w:pPr>
        <w:spacing w:after="0" w:line="360" w:lineRule="auto"/>
        <w:rPr>
          <w:rFonts w:ascii="Arial" w:eastAsia="Times New Roman" w:hAnsi="Arial" w:cs="Times New Roman"/>
          <w:b/>
          <w:bCs/>
          <w:sz w:val="24"/>
          <w:lang w:val="en-US" w:bidi="en-US"/>
        </w:rPr>
      </w:pPr>
      <w:hyperlink r:id="rId12" w:history="1">
        <w:r w:rsidR="00A56E72" w:rsidRPr="00A56E72">
          <w:rPr>
            <w:rFonts w:ascii="Arial" w:eastAsia="Times New Roman" w:hAnsi="Arial" w:cs="Times New Roman"/>
            <w:b/>
            <w:bCs/>
            <w:color w:val="0000FF"/>
            <w:sz w:val="24"/>
            <w:u w:val="single"/>
            <w:lang w:val="en-US" w:bidi="en-US"/>
          </w:rPr>
          <w:t>Committee Against Torture</w:t>
        </w:r>
      </w:hyperlink>
      <w:r w:rsidR="00A56E72" w:rsidRPr="00A56E72">
        <w:rPr>
          <w:rFonts w:ascii="Arial" w:eastAsia="Times New Roman" w:hAnsi="Arial" w:cs="Times New Roman"/>
          <w:b/>
          <w:bCs/>
          <w:sz w:val="24"/>
          <w:lang w:val="en-US" w:bidi="en-US"/>
        </w:rPr>
        <w:t xml:space="preserve"> (CAT) </w:t>
      </w:r>
    </w:p>
    <w:p w14:paraId="6AE439DF" w14:textId="77777777" w:rsidR="00A56E72" w:rsidRPr="00A56E72" w:rsidRDefault="00A56E72" w:rsidP="00A56E72">
      <w:pPr>
        <w:numPr>
          <w:ilvl w:val="0"/>
          <w:numId w:val="14"/>
        </w:numPr>
        <w:spacing w:after="0" w:line="360" w:lineRule="auto"/>
        <w:rPr>
          <w:rFonts w:ascii="Arial" w:eastAsia="Times New Roman" w:hAnsi="Arial" w:cs="Times New Roman"/>
          <w:sz w:val="24"/>
          <w:lang w:val="en-US" w:bidi="en-US"/>
        </w:rPr>
      </w:pPr>
      <w:r w:rsidRPr="00A56E72">
        <w:rPr>
          <w:rFonts w:ascii="Arial" w:eastAsia="Times New Roman" w:hAnsi="Arial" w:cs="Times New Roman"/>
          <w:sz w:val="24"/>
          <w:lang w:val="en-US" w:bidi="en-US"/>
        </w:rPr>
        <w:t xml:space="preserve">April/May: review of </w:t>
      </w:r>
      <w:r w:rsidRPr="00A56E72">
        <w:rPr>
          <w:rFonts w:ascii="Arial" w:eastAsia="Times New Roman" w:hAnsi="Arial" w:cs="Times New Roman"/>
          <w:b/>
          <w:bCs/>
          <w:sz w:val="24"/>
          <w:lang w:val="en-US" w:bidi="en-US"/>
        </w:rPr>
        <w:t>Iceland</w:t>
      </w:r>
      <w:r w:rsidRPr="00A56E72">
        <w:rPr>
          <w:rFonts w:ascii="Arial" w:eastAsia="Times New Roman" w:hAnsi="Arial" w:cs="Times New Roman"/>
          <w:sz w:val="24"/>
          <w:lang w:val="en-US" w:bidi="en-US"/>
        </w:rPr>
        <w:t xml:space="preserve">; List of issues on </w:t>
      </w:r>
      <w:r w:rsidRPr="00A56E72">
        <w:rPr>
          <w:rFonts w:ascii="Arial" w:eastAsia="Times New Roman" w:hAnsi="Arial" w:cs="Times New Roman"/>
          <w:b/>
          <w:bCs/>
          <w:sz w:val="24"/>
          <w:lang w:val="en-US" w:bidi="en-US"/>
        </w:rPr>
        <w:t>Czechia</w:t>
      </w:r>
      <w:r w:rsidRPr="00A56E72">
        <w:rPr>
          <w:rFonts w:ascii="Arial" w:eastAsia="Times New Roman" w:hAnsi="Arial" w:cs="Times New Roman"/>
          <w:sz w:val="24"/>
          <w:lang w:val="en-US" w:bidi="en-US"/>
        </w:rPr>
        <w:t xml:space="preserve">, </w:t>
      </w:r>
      <w:r w:rsidRPr="00A56E72">
        <w:rPr>
          <w:rFonts w:ascii="Arial" w:eastAsia="Times New Roman" w:hAnsi="Arial" w:cs="Times New Roman"/>
          <w:b/>
          <w:bCs/>
          <w:sz w:val="24"/>
          <w:lang w:val="en-US" w:bidi="en-US"/>
        </w:rPr>
        <w:t>Norway</w:t>
      </w:r>
      <w:r w:rsidRPr="00A56E72">
        <w:rPr>
          <w:rFonts w:ascii="Arial" w:eastAsia="Times New Roman" w:hAnsi="Arial" w:cs="Times New Roman"/>
          <w:sz w:val="24"/>
          <w:lang w:val="en-US" w:bidi="en-US"/>
        </w:rPr>
        <w:t xml:space="preserve"> </w:t>
      </w:r>
    </w:p>
    <w:p w14:paraId="508CFECC" w14:textId="77777777" w:rsidR="00A56E72" w:rsidRPr="00A56E72" w:rsidRDefault="00A56E72" w:rsidP="00A56E72">
      <w:pPr>
        <w:numPr>
          <w:ilvl w:val="0"/>
          <w:numId w:val="14"/>
        </w:numPr>
        <w:spacing w:after="0" w:line="360" w:lineRule="auto"/>
        <w:rPr>
          <w:rFonts w:ascii="Arial" w:eastAsia="Times New Roman" w:hAnsi="Arial" w:cs="Times New Roman"/>
          <w:sz w:val="24"/>
          <w:lang w:val="en-US" w:bidi="en-US"/>
        </w:rPr>
      </w:pPr>
      <w:r w:rsidRPr="00A56E72">
        <w:rPr>
          <w:rFonts w:ascii="Arial" w:eastAsia="Times New Roman" w:hAnsi="Arial" w:cs="Times New Roman"/>
          <w:sz w:val="24"/>
          <w:lang w:val="en-US" w:bidi="en-US"/>
        </w:rPr>
        <w:t xml:space="preserve">July: review of </w:t>
      </w:r>
      <w:r w:rsidRPr="00A56E72">
        <w:rPr>
          <w:rFonts w:ascii="Arial" w:eastAsia="Times New Roman" w:hAnsi="Arial" w:cs="Times New Roman"/>
          <w:b/>
          <w:bCs/>
          <w:sz w:val="24"/>
          <w:lang w:val="en-US" w:bidi="en-US"/>
        </w:rPr>
        <w:t>Belgium</w:t>
      </w:r>
      <w:r w:rsidRPr="00A56E72">
        <w:rPr>
          <w:rFonts w:ascii="Arial" w:eastAsia="Times New Roman" w:hAnsi="Arial" w:cs="Times New Roman"/>
          <w:sz w:val="24"/>
          <w:lang w:val="en-US" w:bidi="en-US"/>
        </w:rPr>
        <w:t xml:space="preserve"> </w:t>
      </w:r>
    </w:p>
    <w:p w14:paraId="42CAD7B1" w14:textId="1B2D58C4" w:rsidR="00A56E72" w:rsidRPr="00A56E72" w:rsidRDefault="00A56E72" w:rsidP="00A56E72">
      <w:pPr>
        <w:numPr>
          <w:ilvl w:val="0"/>
          <w:numId w:val="14"/>
        </w:numPr>
        <w:spacing w:after="0" w:line="360" w:lineRule="auto"/>
        <w:rPr>
          <w:rFonts w:ascii="Arial" w:eastAsia="Times New Roman" w:hAnsi="Arial" w:cs="Times New Roman"/>
          <w:sz w:val="24"/>
          <w:lang w:val="en-US" w:bidi="en-US"/>
        </w:rPr>
      </w:pPr>
      <w:r w:rsidRPr="00A56E72">
        <w:rPr>
          <w:rFonts w:ascii="Arial" w:eastAsia="Times New Roman" w:hAnsi="Arial" w:cs="Times New Roman"/>
          <w:sz w:val="24"/>
          <w:lang w:val="en-US" w:bidi="en-US"/>
        </w:rPr>
        <w:t xml:space="preserve">November/December: review of </w:t>
      </w:r>
      <w:r w:rsidRPr="00A56E72">
        <w:rPr>
          <w:rFonts w:ascii="Arial" w:eastAsia="Times New Roman" w:hAnsi="Arial" w:cs="Times New Roman"/>
          <w:b/>
          <w:bCs/>
          <w:sz w:val="24"/>
          <w:lang w:val="en-US" w:bidi="en-US"/>
        </w:rPr>
        <w:t>Lithuania</w:t>
      </w:r>
      <w:r w:rsidRPr="00A56E72">
        <w:rPr>
          <w:rFonts w:ascii="Arial" w:eastAsia="Times New Roman" w:hAnsi="Arial" w:cs="Times New Roman"/>
          <w:sz w:val="24"/>
          <w:lang w:val="en-US" w:bidi="en-US"/>
        </w:rPr>
        <w:t xml:space="preserve">, </w:t>
      </w:r>
      <w:r w:rsidRPr="00A56E72">
        <w:rPr>
          <w:rFonts w:ascii="Arial" w:eastAsia="Times New Roman" w:hAnsi="Arial" w:cs="Times New Roman"/>
          <w:b/>
          <w:bCs/>
          <w:sz w:val="24"/>
          <w:lang w:val="en-US" w:bidi="en-US"/>
        </w:rPr>
        <w:t>Serbia</w:t>
      </w:r>
      <w:r w:rsidRPr="00A56E72">
        <w:rPr>
          <w:rFonts w:ascii="Arial" w:eastAsia="Times New Roman" w:hAnsi="Arial" w:cs="Times New Roman"/>
          <w:sz w:val="24"/>
          <w:lang w:val="en-US" w:bidi="en-US"/>
        </w:rPr>
        <w:t xml:space="preserve"> and </w:t>
      </w:r>
      <w:r w:rsidRPr="00A56E72">
        <w:rPr>
          <w:rFonts w:ascii="Arial" w:eastAsia="Times New Roman" w:hAnsi="Arial" w:cs="Times New Roman"/>
          <w:b/>
          <w:bCs/>
          <w:sz w:val="24"/>
          <w:lang w:val="en-US" w:bidi="en-US"/>
        </w:rPr>
        <w:t>Sweden</w:t>
      </w:r>
      <w:r w:rsidRPr="00A56E72">
        <w:rPr>
          <w:rFonts w:ascii="Arial" w:eastAsia="Times New Roman" w:hAnsi="Arial" w:cs="Times New Roman"/>
          <w:sz w:val="24"/>
          <w:lang w:val="en-US" w:bidi="en-US"/>
        </w:rPr>
        <w:t xml:space="preserve">; List of issues on the </w:t>
      </w:r>
      <w:r w:rsidRPr="00A56E72">
        <w:rPr>
          <w:rFonts w:ascii="Arial" w:eastAsia="Times New Roman" w:hAnsi="Arial" w:cs="Times New Roman"/>
          <w:b/>
          <w:bCs/>
          <w:sz w:val="24"/>
          <w:lang w:val="en-US" w:bidi="en-US"/>
        </w:rPr>
        <w:t>Netherlands</w:t>
      </w:r>
      <w:r w:rsidRPr="00A56E72">
        <w:rPr>
          <w:rFonts w:ascii="Arial" w:eastAsia="Times New Roman" w:hAnsi="Arial" w:cs="Times New Roman"/>
          <w:sz w:val="24"/>
          <w:lang w:val="en-US" w:bidi="en-US"/>
        </w:rPr>
        <w:t xml:space="preserve"> </w:t>
      </w:r>
    </w:p>
    <w:p w14:paraId="7AC18421" w14:textId="77777777" w:rsidR="00A56E72" w:rsidRPr="00A56E72" w:rsidRDefault="001E4851" w:rsidP="00A56E72">
      <w:pPr>
        <w:spacing w:after="0" w:line="360" w:lineRule="auto"/>
        <w:rPr>
          <w:rFonts w:ascii="Arial" w:eastAsia="Times New Roman" w:hAnsi="Arial" w:cs="Times New Roman"/>
          <w:b/>
          <w:bCs/>
          <w:sz w:val="24"/>
          <w:lang w:val="en-US" w:bidi="en-US"/>
        </w:rPr>
      </w:pPr>
      <w:hyperlink r:id="rId13" w:history="1">
        <w:r w:rsidR="00A56E72" w:rsidRPr="00A56E72">
          <w:rPr>
            <w:rFonts w:ascii="Arial" w:eastAsia="Times New Roman" w:hAnsi="Arial" w:cs="Times New Roman"/>
            <w:b/>
            <w:bCs/>
            <w:color w:val="0000FF"/>
            <w:sz w:val="24"/>
            <w:u w:val="single"/>
            <w:lang w:val="en-US" w:bidi="en-US"/>
          </w:rPr>
          <w:t>Human Rights Committee</w:t>
        </w:r>
      </w:hyperlink>
      <w:r w:rsidR="00A56E72" w:rsidRPr="00A56E72">
        <w:rPr>
          <w:rFonts w:ascii="Arial" w:eastAsia="Times New Roman" w:hAnsi="Arial" w:cs="Times New Roman"/>
          <w:b/>
          <w:bCs/>
          <w:sz w:val="24"/>
          <w:lang w:val="en-US" w:bidi="en-US"/>
        </w:rPr>
        <w:t xml:space="preserve"> </w:t>
      </w:r>
    </w:p>
    <w:p w14:paraId="6CF6D63A" w14:textId="77777777" w:rsidR="00A56E72" w:rsidRPr="00A56E72" w:rsidRDefault="00A56E72" w:rsidP="00A56E72">
      <w:pPr>
        <w:numPr>
          <w:ilvl w:val="0"/>
          <w:numId w:val="14"/>
        </w:numPr>
        <w:spacing w:after="0" w:line="360" w:lineRule="auto"/>
        <w:rPr>
          <w:rFonts w:ascii="Arial" w:eastAsia="Times New Roman" w:hAnsi="Arial" w:cs="Times New Roman"/>
          <w:sz w:val="24"/>
          <w:lang w:val="en-US" w:bidi="en-US"/>
        </w:rPr>
      </w:pPr>
      <w:r w:rsidRPr="00A56E72">
        <w:rPr>
          <w:rFonts w:ascii="Arial" w:eastAsia="Times New Roman" w:hAnsi="Arial" w:cs="Times New Roman"/>
          <w:sz w:val="24"/>
          <w:lang w:val="en-US" w:bidi="en-US"/>
        </w:rPr>
        <w:t xml:space="preserve">March: review of </w:t>
      </w:r>
      <w:r w:rsidRPr="00A56E72">
        <w:rPr>
          <w:rFonts w:ascii="Arial" w:eastAsia="Times New Roman" w:hAnsi="Arial" w:cs="Times New Roman"/>
          <w:b/>
          <w:bCs/>
          <w:sz w:val="24"/>
          <w:lang w:val="en-US" w:bidi="en-US"/>
        </w:rPr>
        <w:t>Finland</w:t>
      </w:r>
      <w:r w:rsidRPr="00A56E72">
        <w:rPr>
          <w:rFonts w:ascii="Arial" w:eastAsia="Times New Roman" w:hAnsi="Arial" w:cs="Times New Roman"/>
          <w:sz w:val="24"/>
          <w:lang w:val="en-US" w:bidi="en-US"/>
        </w:rPr>
        <w:t xml:space="preserve">; List of issues on </w:t>
      </w:r>
      <w:r w:rsidRPr="00A56E72">
        <w:rPr>
          <w:rFonts w:ascii="Arial" w:eastAsia="Times New Roman" w:hAnsi="Arial" w:cs="Times New Roman"/>
          <w:b/>
          <w:bCs/>
          <w:sz w:val="24"/>
          <w:lang w:val="en-US" w:bidi="en-US"/>
        </w:rPr>
        <w:t>Iceland</w:t>
      </w:r>
      <w:r w:rsidRPr="00A56E72">
        <w:rPr>
          <w:rFonts w:ascii="Arial" w:eastAsia="Times New Roman" w:hAnsi="Arial" w:cs="Times New Roman"/>
          <w:sz w:val="24"/>
          <w:lang w:val="en-US" w:bidi="en-US"/>
        </w:rPr>
        <w:t xml:space="preserve"> </w:t>
      </w:r>
    </w:p>
    <w:p w14:paraId="5485732B" w14:textId="77777777" w:rsidR="00A56E72" w:rsidRPr="00A56E72" w:rsidRDefault="00A56E72" w:rsidP="00A56E72">
      <w:pPr>
        <w:numPr>
          <w:ilvl w:val="0"/>
          <w:numId w:val="14"/>
        </w:numPr>
        <w:spacing w:after="0" w:line="360" w:lineRule="auto"/>
        <w:rPr>
          <w:rFonts w:ascii="Arial" w:eastAsia="Times New Roman" w:hAnsi="Arial" w:cs="Times New Roman"/>
          <w:sz w:val="24"/>
          <w:lang w:val="en-US" w:bidi="en-US"/>
        </w:rPr>
      </w:pPr>
      <w:r w:rsidRPr="00A56E72">
        <w:rPr>
          <w:rFonts w:ascii="Arial" w:eastAsia="Times New Roman" w:hAnsi="Arial" w:cs="Times New Roman"/>
          <w:sz w:val="24"/>
          <w:lang w:val="en-US" w:bidi="en-US"/>
        </w:rPr>
        <w:t xml:space="preserve">June/July: List of issues on Albania, </w:t>
      </w:r>
      <w:r w:rsidRPr="00A56E72">
        <w:rPr>
          <w:rFonts w:ascii="Arial" w:eastAsia="Times New Roman" w:hAnsi="Arial" w:cs="Times New Roman"/>
          <w:b/>
          <w:bCs/>
          <w:sz w:val="24"/>
          <w:lang w:val="en-US" w:bidi="en-US"/>
        </w:rPr>
        <w:t>France</w:t>
      </w:r>
      <w:r w:rsidRPr="00A56E72">
        <w:rPr>
          <w:rFonts w:ascii="Arial" w:eastAsia="Times New Roman" w:hAnsi="Arial" w:cs="Times New Roman"/>
          <w:sz w:val="24"/>
          <w:lang w:val="en-US" w:bidi="en-US"/>
        </w:rPr>
        <w:t xml:space="preserve"> and </w:t>
      </w:r>
      <w:r w:rsidRPr="00A56E72">
        <w:rPr>
          <w:rFonts w:ascii="Arial" w:eastAsia="Times New Roman" w:hAnsi="Arial" w:cs="Times New Roman"/>
          <w:b/>
          <w:bCs/>
          <w:sz w:val="24"/>
          <w:lang w:val="en-US" w:bidi="en-US"/>
        </w:rPr>
        <w:t>Turkey</w:t>
      </w:r>
      <w:r w:rsidRPr="00A56E72">
        <w:rPr>
          <w:rFonts w:ascii="Arial" w:eastAsia="Times New Roman" w:hAnsi="Arial" w:cs="Times New Roman"/>
          <w:sz w:val="24"/>
          <w:lang w:val="en-US" w:bidi="en-US"/>
        </w:rPr>
        <w:t xml:space="preserve"> </w:t>
      </w:r>
    </w:p>
    <w:p w14:paraId="421370E4" w14:textId="6BD8B87F" w:rsidR="00A56E72" w:rsidRPr="00A56E72" w:rsidRDefault="00A56E72" w:rsidP="00A56E72">
      <w:pPr>
        <w:pStyle w:val="Heading1"/>
        <w:rPr>
          <w:lang w:val="en-GB"/>
        </w:rPr>
      </w:pPr>
      <w:r>
        <w:rPr>
          <w:lang w:val="en-GB"/>
        </w:rPr>
        <w:t xml:space="preserve">Development at EU level </w:t>
      </w:r>
    </w:p>
    <w:p w14:paraId="7CBA4C05" w14:textId="77777777" w:rsidR="003F50D8" w:rsidRPr="000674C2" w:rsidRDefault="003F50D8" w:rsidP="003F50D8">
      <w:pPr>
        <w:pStyle w:val="ListParagraph"/>
        <w:numPr>
          <w:ilvl w:val="0"/>
          <w:numId w:val="8"/>
        </w:numPr>
        <w:spacing w:before="240" w:after="0" w:line="276" w:lineRule="auto"/>
        <w:contextualSpacing w:val="0"/>
        <w:rPr>
          <w:rFonts w:ascii="Arial" w:hAnsi="Arial" w:cs="Arial"/>
          <w:b/>
          <w:bCs/>
          <w:color w:val="000000" w:themeColor="text1"/>
          <w:sz w:val="24"/>
          <w:szCs w:val="24"/>
          <w:lang w:val="en-US"/>
        </w:rPr>
      </w:pPr>
      <w:r w:rsidRPr="000674C2">
        <w:rPr>
          <w:rFonts w:ascii="Arial" w:hAnsi="Arial" w:cs="Arial"/>
          <w:b/>
          <w:bCs/>
          <w:color w:val="000000" w:themeColor="text1"/>
          <w:sz w:val="24"/>
          <w:szCs w:val="24"/>
          <w:lang w:val="en-US"/>
        </w:rPr>
        <w:t>EU Disability Strategy</w:t>
      </w:r>
    </w:p>
    <w:p w14:paraId="20BBCBD8" w14:textId="6DFF88CB" w:rsidR="003F50D8" w:rsidRDefault="003F50D8" w:rsidP="003F50D8">
      <w:pPr>
        <w:spacing w:before="240" w:after="0" w:line="276" w:lineRule="auto"/>
        <w:rPr>
          <w:rFonts w:ascii="Arial" w:hAnsi="Arial" w:cs="Arial"/>
          <w:color w:val="000000" w:themeColor="text1"/>
          <w:sz w:val="24"/>
          <w:szCs w:val="24"/>
          <w:lang w:val="en-US"/>
        </w:rPr>
      </w:pPr>
      <w:r w:rsidRPr="003F50D8">
        <w:rPr>
          <w:rFonts w:ascii="Arial" w:hAnsi="Arial" w:cs="Arial"/>
          <w:color w:val="000000" w:themeColor="text1"/>
          <w:sz w:val="24"/>
          <w:szCs w:val="24"/>
          <w:lang w:val="en-US"/>
        </w:rPr>
        <w:t>On 3</w:t>
      </w:r>
      <w:r w:rsidRPr="003F50D8">
        <w:rPr>
          <w:rFonts w:ascii="Arial" w:hAnsi="Arial" w:cs="Arial"/>
          <w:color w:val="000000" w:themeColor="text1"/>
          <w:sz w:val="24"/>
          <w:szCs w:val="24"/>
          <w:vertAlign w:val="superscript"/>
          <w:lang w:val="en-US"/>
        </w:rPr>
        <w:t>rd</w:t>
      </w:r>
      <w:r w:rsidRPr="003F50D8">
        <w:rPr>
          <w:rFonts w:ascii="Arial" w:hAnsi="Arial" w:cs="Arial"/>
          <w:color w:val="000000" w:themeColor="text1"/>
          <w:sz w:val="24"/>
          <w:szCs w:val="24"/>
          <w:lang w:val="en-US"/>
        </w:rPr>
        <w:t xml:space="preserve"> of March, the European Commiss</w:t>
      </w:r>
      <w:r w:rsidR="00474DE6">
        <w:rPr>
          <w:rFonts w:ascii="Arial" w:hAnsi="Arial" w:cs="Arial"/>
          <w:color w:val="000000" w:themeColor="text1"/>
          <w:sz w:val="24"/>
          <w:szCs w:val="24"/>
          <w:lang w:val="en-US"/>
        </w:rPr>
        <w:t>i</w:t>
      </w:r>
      <w:r w:rsidRPr="003F50D8">
        <w:rPr>
          <w:rFonts w:ascii="Arial" w:hAnsi="Arial" w:cs="Arial"/>
          <w:color w:val="000000" w:themeColor="text1"/>
          <w:sz w:val="24"/>
          <w:szCs w:val="24"/>
          <w:lang w:val="en-US"/>
        </w:rPr>
        <w:t>on adopted its EU </w:t>
      </w:r>
      <w:hyperlink r:id="rId14" w:history="1">
        <w:r w:rsidRPr="003F50D8">
          <w:rPr>
            <w:rStyle w:val="Hyperlink"/>
            <w:rFonts w:ascii="Arial" w:hAnsi="Arial" w:cs="Arial"/>
            <w:sz w:val="24"/>
            <w:szCs w:val="24"/>
            <w:lang w:val="en-US"/>
          </w:rPr>
          <w:t>Disability Rights Strategy for 2021-2020</w:t>
        </w:r>
      </w:hyperlink>
      <w:r w:rsidRPr="003F50D8">
        <w:rPr>
          <w:rFonts w:ascii="Arial" w:hAnsi="Arial" w:cs="Arial"/>
          <w:color w:val="000000" w:themeColor="text1"/>
          <w:sz w:val="24"/>
          <w:szCs w:val="24"/>
          <w:lang w:val="en-US"/>
        </w:rPr>
        <w:t xml:space="preserve">. </w:t>
      </w:r>
    </w:p>
    <w:p w14:paraId="78A79478" w14:textId="771C6D93" w:rsidR="003F50D8" w:rsidRPr="003F50D8" w:rsidRDefault="003F50D8" w:rsidP="003F50D8">
      <w:pPr>
        <w:spacing w:before="240" w:after="0" w:line="276" w:lineRule="auto"/>
        <w:rPr>
          <w:rFonts w:ascii="Arial" w:hAnsi="Arial" w:cs="Arial"/>
          <w:color w:val="000000" w:themeColor="text1"/>
          <w:sz w:val="24"/>
          <w:szCs w:val="24"/>
          <w:lang w:val="en-US"/>
        </w:rPr>
      </w:pPr>
      <w:r w:rsidRPr="003F50D8">
        <w:rPr>
          <w:rFonts w:ascii="Arial" w:hAnsi="Arial" w:cs="Arial"/>
          <w:color w:val="000000" w:themeColor="text1"/>
          <w:sz w:val="24"/>
          <w:szCs w:val="24"/>
          <w:lang w:val="en-US"/>
        </w:rPr>
        <w:t xml:space="preserve">The Strategy aims to promote the life of persons with disabilities in the EU and beyond in the coming decade and is based on the </w:t>
      </w:r>
      <w:r w:rsidR="00474DE6">
        <w:rPr>
          <w:rFonts w:ascii="Arial" w:hAnsi="Arial" w:cs="Arial"/>
          <w:color w:val="000000" w:themeColor="text1"/>
          <w:sz w:val="24"/>
          <w:szCs w:val="24"/>
          <w:lang w:val="en-US"/>
        </w:rPr>
        <w:t>CRPD</w:t>
      </w:r>
      <w:r w:rsidRPr="003F50D8">
        <w:rPr>
          <w:rFonts w:ascii="Arial" w:hAnsi="Arial" w:cs="Arial"/>
          <w:color w:val="000000" w:themeColor="text1"/>
          <w:sz w:val="24"/>
          <w:szCs w:val="24"/>
          <w:lang w:val="en-US"/>
        </w:rPr>
        <w:t xml:space="preserve"> ratified by the EU and all its Member States.</w:t>
      </w:r>
      <w:r w:rsidR="00474DE6">
        <w:rPr>
          <w:rFonts w:ascii="Arial" w:hAnsi="Arial" w:cs="Arial"/>
          <w:color w:val="000000" w:themeColor="text1"/>
          <w:sz w:val="24"/>
          <w:szCs w:val="24"/>
          <w:lang w:val="en-US"/>
        </w:rPr>
        <w:t xml:space="preserve"> It </w:t>
      </w:r>
      <w:r w:rsidRPr="003F50D8">
        <w:rPr>
          <w:rFonts w:ascii="Arial" w:hAnsi="Arial" w:cs="Arial"/>
          <w:color w:val="000000" w:themeColor="text1"/>
          <w:sz w:val="24"/>
          <w:szCs w:val="24"/>
          <w:lang w:val="en-US"/>
        </w:rPr>
        <w:t>promotes an intersectional perspective “addressing specific barriers faced by persons with disabilities who are at the intersection of identities (gender, racial, ethnic, sexual, religious) or in a difficult socioeconomic or other vulnerable situation”.</w:t>
      </w:r>
    </w:p>
    <w:p w14:paraId="4FF7A96E" w14:textId="77777777" w:rsidR="003F50D8" w:rsidRPr="003F50D8" w:rsidRDefault="003F50D8" w:rsidP="003F50D8">
      <w:pPr>
        <w:spacing w:before="240" w:after="0" w:line="276" w:lineRule="auto"/>
        <w:rPr>
          <w:rFonts w:ascii="Arial" w:hAnsi="Arial" w:cs="Arial"/>
          <w:color w:val="000000" w:themeColor="text1"/>
          <w:sz w:val="24"/>
          <w:szCs w:val="24"/>
          <w:lang w:val="en-US"/>
        </w:rPr>
      </w:pPr>
      <w:r w:rsidRPr="003F50D8">
        <w:rPr>
          <w:rFonts w:ascii="Arial" w:hAnsi="Arial" w:cs="Arial"/>
          <w:color w:val="000000" w:themeColor="text1"/>
          <w:sz w:val="24"/>
          <w:szCs w:val="24"/>
          <w:lang w:val="en-US"/>
        </w:rPr>
        <w:t>Women and girls with disabilities are explicitly mentioned among persons with disabilities. There are 4 references to gender and 7 references to women in the text of the strategy.</w:t>
      </w:r>
    </w:p>
    <w:p w14:paraId="6B2BBD7F" w14:textId="77777777" w:rsidR="003F50D8" w:rsidRPr="003F50D8" w:rsidRDefault="003F50D8" w:rsidP="003F50D8">
      <w:pPr>
        <w:spacing w:before="240" w:after="0" w:line="276" w:lineRule="auto"/>
        <w:rPr>
          <w:rFonts w:ascii="Arial" w:hAnsi="Arial" w:cs="Arial"/>
          <w:color w:val="000000" w:themeColor="text1"/>
          <w:sz w:val="24"/>
          <w:szCs w:val="24"/>
          <w:lang w:val="en-US"/>
        </w:rPr>
      </w:pPr>
      <w:r w:rsidRPr="003F50D8">
        <w:rPr>
          <w:rFonts w:ascii="Arial" w:hAnsi="Arial" w:cs="Arial"/>
          <w:color w:val="000000" w:themeColor="text1"/>
          <w:sz w:val="24"/>
          <w:szCs w:val="24"/>
          <w:lang w:val="en-US"/>
        </w:rPr>
        <w:t>The Strategy specifically looks at several issues particularly relevant to women and girls with disabilities, such as the necessity to:</w:t>
      </w:r>
    </w:p>
    <w:p w14:paraId="0811977E" w14:textId="77777777" w:rsidR="003F50D8" w:rsidRPr="003F50D8" w:rsidRDefault="003F50D8" w:rsidP="003F50D8">
      <w:pPr>
        <w:numPr>
          <w:ilvl w:val="0"/>
          <w:numId w:val="16"/>
        </w:numPr>
        <w:spacing w:before="240" w:after="0" w:line="276" w:lineRule="auto"/>
        <w:rPr>
          <w:rFonts w:ascii="Arial" w:hAnsi="Arial" w:cs="Arial"/>
          <w:color w:val="000000" w:themeColor="text1"/>
          <w:sz w:val="24"/>
          <w:szCs w:val="24"/>
          <w:lang w:val="en-US"/>
        </w:rPr>
      </w:pPr>
      <w:r w:rsidRPr="003F50D8">
        <w:rPr>
          <w:rFonts w:ascii="Arial" w:hAnsi="Arial" w:cs="Arial"/>
          <w:color w:val="000000" w:themeColor="text1"/>
          <w:sz w:val="24"/>
          <w:szCs w:val="24"/>
          <w:lang w:val="en-US"/>
        </w:rPr>
        <w:t>Create </w:t>
      </w:r>
      <w:r w:rsidRPr="003F50D8">
        <w:rPr>
          <w:rFonts w:ascii="Arial" w:hAnsi="Arial" w:cs="Arial"/>
          <w:b/>
          <w:bCs/>
          <w:color w:val="000000" w:themeColor="text1"/>
          <w:sz w:val="24"/>
          <w:szCs w:val="24"/>
          <w:lang w:val="en-US"/>
        </w:rPr>
        <w:t>gender and culture-sensitive mainstream support services</w:t>
      </w:r>
    </w:p>
    <w:p w14:paraId="25ED750C" w14:textId="1687E6C4" w:rsidR="003F50D8" w:rsidRPr="003F50D8" w:rsidRDefault="003F50D8" w:rsidP="003F50D8">
      <w:pPr>
        <w:numPr>
          <w:ilvl w:val="0"/>
          <w:numId w:val="16"/>
        </w:numPr>
        <w:spacing w:before="240" w:after="0" w:line="276" w:lineRule="auto"/>
        <w:rPr>
          <w:rFonts w:ascii="Arial" w:hAnsi="Arial" w:cs="Arial"/>
          <w:color w:val="000000" w:themeColor="text1"/>
          <w:sz w:val="24"/>
          <w:szCs w:val="24"/>
          <w:lang w:val="en-US"/>
        </w:rPr>
      </w:pPr>
      <w:r w:rsidRPr="003F50D8">
        <w:rPr>
          <w:rFonts w:ascii="Arial" w:hAnsi="Arial" w:cs="Arial"/>
          <w:color w:val="000000" w:themeColor="text1"/>
          <w:sz w:val="24"/>
          <w:szCs w:val="24"/>
          <w:lang w:val="en-US"/>
        </w:rPr>
        <w:t>Give specific attention of women with disabilities in foresting </w:t>
      </w:r>
      <w:r w:rsidRPr="003F50D8">
        <w:rPr>
          <w:rFonts w:ascii="Arial" w:hAnsi="Arial" w:cs="Arial"/>
          <w:b/>
          <w:bCs/>
          <w:color w:val="000000" w:themeColor="text1"/>
          <w:sz w:val="24"/>
          <w:szCs w:val="24"/>
          <w:lang w:val="en-US"/>
        </w:rPr>
        <w:t>access to quality and sustainable job</w:t>
      </w:r>
      <w:r w:rsidR="0091007E">
        <w:rPr>
          <w:rFonts w:ascii="Arial" w:hAnsi="Arial" w:cs="Arial"/>
          <w:b/>
          <w:bCs/>
          <w:color w:val="000000" w:themeColor="text1"/>
          <w:sz w:val="24"/>
          <w:szCs w:val="24"/>
          <w:lang w:val="en-US"/>
        </w:rPr>
        <w:t xml:space="preserve"> </w:t>
      </w:r>
      <w:r w:rsidRPr="003F50D8">
        <w:rPr>
          <w:rFonts w:ascii="Arial" w:hAnsi="Arial" w:cs="Arial"/>
          <w:color w:val="000000" w:themeColor="text1"/>
          <w:sz w:val="24"/>
          <w:szCs w:val="24"/>
          <w:lang w:val="en-US"/>
        </w:rPr>
        <w:t>in order to ensure economic and social inclusion</w:t>
      </w:r>
    </w:p>
    <w:p w14:paraId="21B010A6" w14:textId="77777777" w:rsidR="003F50D8" w:rsidRPr="003F50D8" w:rsidRDefault="003F50D8" w:rsidP="003F50D8">
      <w:pPr>
        <w:numPr>
          <w:ilvl w:val="0"/>
          <w:numId w:val="16"/>
        </w:numPr>
        <w:spacing w:before="240" w:after="0" w:line="276" w:lineRule="auto"/>
        <w:rPr>
          <w:rFonts w:ascii="Arial" w:hAnsi="Arial" w:cs="Arial"/>
          <w:color w:val="000000" w:themeColor="text1"/>
          <w:sz w:val="24"/>
          <w:szCs w:val="24"/>
          <w:lang w:val="en-US"/>
        </w:rPr>
      </w:pPr>
      <w:r w:rsidRPr="003F50D8">
        <w:rPr>
          <w:rFonts w:ascii="Arial" w:hAnsi="Arial" w:cs="Arial"/>
          <w:color w:val="000000" w:themeColor="text1"/>
          <w:sz w:val="24"/>
          <w:szCs w:val="24"/>
          <w:lang w:val="en-US"/>
        </w:rPr>
        <w:t>Ensure effective </w:t>
      </w:r>
      <w:r w:rsidRPr="003F50D8">
        <w:rPr>
          <w:rFonts w:ascii="Arial" w:hAnsi="Arial" w:cs="Arial"/>
          <w:b/>
          <w:bCs/>
          <w:color w:val="000000" w:themeColor="text1"/>
          <w:sz w:val="24"/>
          <w:szCs w:val="24"/>
          <w:lang w:val="en-US"/>
        </w:rPr>
        <w:t>access to justice and combat violence</w:t>
      </w:r>
      <w:r w:rsidRPr="003F50D8">
        <w:rPr>
          <w:rFonts w:ascii="Arial" w:hAnsi="Arial" w:cs="Arial"/>
          <w:color w:val="000000" w:themeColor="text1"/>
          <w:sz w:val="24"/>
          <w:szCs w:val="24"/>
          <w:lang w:val="en-US"/>
        </w:rPr>
        <w:t> faced by women with disabilities and persons with disabilities living in institutions</w:t>
      </w:r>
    </w:p>
    <w:p w14:paraId="7A7B681F" w14:textId="77777777" w:rsidR="003F50D8" w:rsidRPr="003F50D8" w:rsidRDefault="003F50D8" w:rsidP="003F50D8">
      <w:pPr>
        <w:numPr>
          <w:ilvl w:val="0"/>
          <w:numId w:val="16"/>
        </w:numPr>
        <w:spacing w:before="240" w:after="0" w:line="276" w:lineRule="auto"/>
        <w:rPr>
          <w:rFonts w:ascii="Arial" w:hAnsi="Arial" w:cs="Arial"/>
          <w:color w:val="000000" w:themeColor="text1"/>
          <w:sz w:val="24"/>
          <w:szCs w:val="24"/>
          <w:lang w:val="en-US"/>
        </w:rPr>
      </w:pPr>
      <w:r w:rsidRPr="003F50D8">
        <w:rPr>
          <w:rFonts w:ascii="Arial" w:hAnsi="Arial" w:cs="Arial"/>
          <w:color w:val="000000" w:themeColor="text1"/>
          <w:sz w:val="24"/>
          <w:szCs w:val="24"/>
          <w:lang w:val="en-US"/>
        </w:rPr>
        <w:t>Ensure </w:t>
      </w:r>
      <w:r w:rsidRPr="003F50D8">
        <w:rPr>
          <w:rFonts w:ascii="Arial" w:hAnsi="Arial" w:cs="Arial"/>
          <w:b/>
          <w:bCs/>
          <w:color w:val="000000" w:themeColor="text1"/>
          <w:sz w:val="24"/>
          <w:szCs w:val="24"/>
          <w:lang w:val="en-US"/>
        </w:rPr>
        <w:t>sustainable and equal access to healthcare</w:t>
      </w:r>
      <w:r w:rsidRPr="003F50D8">
        <w:rPr>
          <w:rFonts w:ascii="Arial" w:hAnsi="Arial" w:cs="Arial"/>
          <w:color w:val="000000" w:themeColor="text1"/>
          <w:sz w:val="24"/>
          <w:szCs w:val="24"/>
          <w:lang w:val="en-US"/>
        </w:rPr>
        <w:t>, including sexual and reproductive healthcare and prevention services</w:t>
      </w:r>
    </w:p>
    <w:p w14:paraId="0E028B0E" w14:textId="5B2581FE" w:rsidR="00F1419F" w:rsidRPr="003F50D8" w:rsidRDefault="003F50D8" w:rsidP="003F50D8">
      <w:pPr>
        <w:spacing w:before="240" w:after="0" w:line="276" w:lineRule="auto"/>
        <w:rPr>
          <w:rFonts w:ascii="Arial" w:hAnsi="Arial" w:cs="Arial"/>
          <w:color w:val="000000" w:themeColor="text1"/>
          <w:sz w:val="24"/>
          <w:szCs w:val="24"/>
          <w:lang w:val="en-US"/>
        </w:rPr>
      </w:pPr>
      <w:r w:rsidRPr="003F50D8">
        <w:rPr>
          <w:rFonts w:ascii="Arial" w:hAnsi="Arial" w:cs="Arial"/>
          <w:color w:val="000000" w:themeColor="text1"/>
          <w:sz w:val="24"/>
          <w:szCs w:val="24"/>
          <w:lang w:val="en-US"/>
        </w:rPr>
        <w:lastRenderedPageBreak/>
        <w:t>However, the strategy fails short to include the gender perspective in its planned actions and flagship initiatives.</w:t>
      </w:r>
      <w:r w:rsidR="00474DE6">
        <w:rPr>
          <w:rFonts w:ascii="Arial" w:hAnsi="Arial" w:cs="Arial"/>
          <w:color w:val="000000" w:themeColor="text1"/>
          <w:sz w:val="24"/>
          <w:szCs w:val="24"/>
          <w:lang w:val="en-US"/>
        </w:rPr>
        <w:t xml:space="preserve"> We need to advocate for full inclusion in implementation of the Strategy. We started to do so in relation of the Council Conclusions on the Strategy, and in our public reaction on the Strategy. </w:t>
      </w:r>
    </w:p>
    <w:p w14:paraId="4FDB5CDC" w14:textId="15DDEB5E" w:rsidR="004E6E54" w:rsidRDefault="004E6E54" w:rsidP="0029209E">
      <w:pPr>
        <w:pStyle w:val="ListParagraph"/>
        <w:numPr>
          <w:ilvl w:val="0"/>
          <w:numId w:val="8"/>
        </w:numPr>
        <w:spacing w:before="240" w:after="0" w:line="276" w:lineRule="auto"/>
        <w:contextualSpacing w:val="0"/>
        <w:rPr>
          <w:rFonts w:ascii="Arial" w:hAnsi="Arial" w:cs="Arial"/>
          <w:b/>
          <w:bCs/>
          <w:color w:val="000000" w:themeColor="text1"/>
          <w:sz w:val="24"/>
          <w:szCs w:val="24"/>
          <w:lang w:val="en-US"/>
        </w:rPr>
      </w:pPr>
      <w:r w:rsidRPr="000674C2">
        <w:rPr>
          <w:rFonts w:ascii="Arial" w:hAnsi="Arial" w:cs="Arial"/>
          <w:b/>
          <w:bCs/>
          <w:color w:val="000000" w:themeColor="text1"/>
          <w:sz w:val="24"/>
          <w:szCs w:val="24"/>
          <w:lang w:val="en-US"/>
        </w:rPr>
        <w:t>EU Gender Equality Strategy</w:t>
      </w:r>
    </w:p>
    <w:p w14:paraId="7F78A9D8" w14:textId="67061D55" w:rsidR="003F50D8" w:rsidRDefault="003F50D8" w:rsidP="003F50D8">
      <w:pPr>
        <w:spacing w:before="240" w:after="0" w:line="276" w:lineRule="auto"/>
        <w:rPr>
          <w:rFonts w:ascii="Arial" w:hAnsi="Arial" w:cs="Arial"/>
          <w:color w:val="000000" w:themeColor="text1"/>
          <w:sz w:val="24"/>
          <w:szCs w:val="24"/>
          <w:lang w:val="en-US"/>
        </w:rPr>
      </w:pPr>
      <w:r w:rsidRPr="003F50D8">
        <w:rPr>
          <w:rFonts w:ascii="Arial" w:hAnsi="Arial" w:cs="Arial"/>
          <w:color w:val="000000" w:themeColor="text1"/>
          <w:sz w:val="24"/>
          <w:szCs w:val="24"/>
          <w:lang w:val="en-US"/>
        </w:rPr>
        <w:t xml:space="preserve">As part of the implementation of the EU Gender Equality Strategy the European Commission launched </w:t>
      </w:r>
      <w:r w:rsidR="0033541C">
        <w:rPr>
          <w:rFonts w:ascii="Arial" w:hAnsi="Arial" w:cs="Arial"/>
          <w:color w:val="000000" w:themeColor="text1"/>
          <w:sz w:val="24"/>
          <w:szCs w:val="24"/>
          <w:lang w:val="en-US"/>
        </w:rPr>
        <w:t>an</w:t>
      </w:r>
      <w:r w:rsidRPr="003F50D8">
        <w:rPr>
          <w:rFonts w:ascii="Arial" w:hAnsi="Arial" w:cs="Arial"/>
          <w:color w:val="000000" w:themeColor="text1"/>
          <w:sz w:val="24"/>
          <w:szCs w:val="24"/>
          <w:lang w:val="en-US"/>
        </w:rPr>
        <w:t xml:space="preserve"> important consultations on violence against women and combatting gender-based violence. The consultation aim</w:t>
      </w:r>
      <w:r w:rsidR="0033541C">
        <w:rPr>
          <w:rFonts w:ascii="Arial" w:hAnsi="Arial" w:cs="Arial"/>
          <w:color w:val="000000" w:themeColor="text1"/>
          <w:sz w:val="24"/>
          <w:szCs w:val="24"/>
          <w:lang w:val="en-US"/>
        </w:rPr>
        <w:t>s</w:t>
      </w:r>
      <w:r w:rsidRPr="003F50D8">
        <w:rPr>
          <w:rFonts w:ascii="Arial" w:hAnsi="Arial" w:cs="Arial"/>
          <w:color w:val="000000" w:themeColor="text1"/>
          <w:sz w:val="24"/>
          <w:szCs w:val="24"/>
          <w:lang w:val="en-US"/>
        </w:rPr>
        <w:t xml:space="preserve"> at assessing the legislation combatting violence against women and measures taken to support victims and punish offenders. </w:t>
      </w:r>
      <w:r w:rsidR="0033541C">
        <w:rPr>
          <w:rFonts w:ascii="Arial" w:hAnsi="Arial" w:cs="Arial"/>
          <w:color w:val="000000" w:themeColor="text1"/>
          <w:sz w:val="24"/>
          <w:szCs w:val="24"/>
          <w:lang w:val="en-US"/>
        </w:rPr>
        <w:t>It is</w:t>
      </w:r>
      <w:r w:rsidRPr="003F50D8">
        <w:rPr>
          <w:rFonts w:ascii="Arial" w:hAnsi="Arial" w:cs="Arial"/>
          <w:color w:val="000000" w:themeColor="text1"/>
          <w:sz w:val="24"/>
          <w:szCs w:val="24"/>
          <w:lang w:val="en-US"/>
        </w:rPr>
        <w:t xml:space="preserve"> available in all languages of the EU Member States</w:t>
      </w:r>
      <w:r>
        <w:rPr>
          <w:rFonts w:ascii="Arial" w:hAnsi="Arial" w:cs="Arial"/>
          <w:color w:val="000000" w:themeColor="text1"/>
          <w:sz w:val="24"/>
          <w:szCs w:val="24"/>
          <w:lang w:val="en-US"/>
        </w:rPr>
        <w:t xml:space="preserve">: </w:t>
      </w:r>
    </w:p>
    <w:p w14:paraId="43BE19B3" w14:textId="77777777" w:rsidR="003F50D8" w:rsidRPr="003F50D8" w:rsidRDefault="001E4851" w:rsidP="003F50D8">
      <w:pPr>
        <w:numPr>
          <w:ilvl w:val="0"/>
          <w:numId w:val="17"/>
        </w:numPr>
        <w:spacing w:before="240" w:after="0" w:line="276" w:lineRule="auto"/>
        <w:rPr>
          <w:rFonts w:ascii="Arial" w:hAnsi="Arial" w:cs="Arial"/>
          <w:color w:val="000000" w:themeColor="text1"/>
          <w:sz w:val="24"/>
          <w:szCs w:val="24"/>
          <w:lang w:val="en-US"/>
        </w:rPr>
      </w:pPr>
      <w:hyperlink r:id="rId15" w:history="1">
        <w:r w:rsidR="003F50D8" w:rsidRPr="003F50D8">
          <w:rPr>
            <w:rStyle w:val="Hyperlink"/>
            <w:rFonts w:ascii="Arial" w:hAnsi="Arial" w:cs="Arial"/>
            <w:sz w:val="24"/>
            <w:szCs w:val="24"/>
            <w:lang w:val="en-US"/>
          </w:rPr>
          <w:t>Violence against women and domestic violence – fitness check of EU legislation</w:t>
        </w:r>
      </w:hyperlink>
      <w:r w:rsidR="003F50D8" w:rsidRPr="003F50D8">
        <w:rPr>
          <w:rFonts w:ascii="Arial" w:hAnsi="Arial" w:cs="Arial"/>
          <w:color w:val="000000" w:themeColor="text1"/>
          <w:sz w:val="24"/>
          <w:szCs w:val="24"/>
          <w:lang w:val="en-US"/>
        </w:rPr>
        <w:t> </w:t>
      </w:r>
    </w:p>
    <w:p w14:paraId="6EECCD7A" w14:textId="77777777" w:rsidR="003F50D8" w:rsidRPr="003F50D8" w:rsidRDefault="001E4851" w:rsidP="003F50D8">
      <w:pPr>
        <w:numPr>
          <w:ilvl w:val="0"/>
          <w:numId w:val="17"/>
        </w:numPr>
        <w:spacing w:before="240" w:after="0" w:line="276" w:lineRule="auto"/>
        <w:rPr>
          <w:rFonts w:ascii="Arial" w:hAnsi="Arial" w:cs="Arial"/>
          <w:color w:val="000000" w:themeColor="text1"/>
          <w:sz w:val="24"/>
          <w:szCs w:val="24"/>
          <w:lang w:val="en-US"/>
        </w:rPr>
      </w:pPr>
      <w:hyperlink r:id="rId16" w:history="1">
        <w:r w:rsidR="003F50D8" w:rsidRPr="003F50D8">
          <w:rPr>
            <w:rStyle w:val="Hyperlink"/>
            <w:rFonts w:ascii="Arial" w:hAnsi="Arial" w:cs="Arial"/>
            <w:sz w:val="24"/>
            <w:szCs w:val="24"/>
            <w:lang w:val="en-US"/>
          </w:rPr>
          <w:t>Combating gender-based violence – protecting victims and punishing offenders</w:t>
        </w:r>
      </w:hyperlink>
      <w:r w:rsidR="003F50D8" w:rsidRPr="003F50D8">
        <w:rPr>
          <w:rFonts w:ascii="Arial" w:hAnsi="Arial" w:cs="Arial"/>
          <w:color w:val="000000" w:themeColor="text1"/>
          <w:sz w:val="24"/>
          <w:szCs w:val="24"/>
          <w:lang w:val="en-US"/>
        </w:rPr>
        <w:t> </w:t>
      </w:r>
    </w:p>
    <w:p w14:paraId="609E5C77" w14:textId="05F9BCFE" w:rsidR="003F50D8" w:rsidRPr="003F50D8" w:rsidRDefault="0033541C" w:rsidP="003F50D8">
      <w:pPr>
        <w:spacing w:before="240" w:after="0" w:line="276"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There are 2 links but it is the same questionnaire. To contribute to the consultation we are preparing a position paper on violence against women and girls with disabilities that was sent to the Committee separately. </w:t>
      </w:r>
    </w:p>
    <w:p w14:paraId="1027A898" w14:textId="77777777" w:rsidR="004E6E54" w:rsidRPr="004E6E54" w:rsidRDefault="004E6E54" w:rsidP="006D1695">
      <w:pPr>
        <w:pStyle w:val="ListParagraph"/>
        <w:numPr>
          <w:ilvl w:val="0"/>
          <w:numId w:val="8"/>
        </w:numPr>
        <w:spacing w:before="240" w:line="276" w:lineRule="auto"/>
        <w:contextualSpacing w:val="0"/>
        <w:rPr>
          <w:rFonts w:ascii="Arial" w:hAnsi="Arial" w:cs="Arial"/>
          <w:b/>
          <w:bCs/>
          <w:color w:val="000000" w:themeColor="text1"/>
          <w:sz w:val="24"/>
          <w:szCs w:val="24"/>
          <w:lang w:val="en-US"/>
        </w:rPr>
      </w:pPr>
      <w:r w:rsidRPr="004E6E54">
        <w:rPr>
          <w:rFonts w:ascii="Arial" w:hAnsi="Arial" w:cs="Arial"/>
          <w:b/>
          <w:bCs/>
          <w:color w:val="000000" w:themeColor="text1"/>
          <w:sz w:val="24"/>
          <w:szCs w:val="24"/>
          <w:lang w:val="en-US"/>
        </w:rPr>
        <w:t xml:space="preserve">EU Strategy on victims’ rights </w:t>
      </w:r>
    </w:p>
    <w:p w14:paraId="2089325D" w14:textId="65D14767" w:rsidR="004E6E54" w:rsidRPr="001E4851" w:rsidRDefault="001E4851" w:rsidP="0029209E">
      <w:pPr>
        <w:spacing w:line="276" w:lineRule="auto"/>
        <w:rPr>
          <w:rFonts w:ascii="Arial" w:hAnsi="Arial" w:cs="Arial"/>
          <w:color w:val="111111"/>
          <w:sz w:val="24"/>
          <w:szCs w:val="24"/>
          <w:shd w:val="clear" w:color="auto" w:fill="FFFFFF"/>
          <w:lang w:val="en-US"/>
        </w:rPr>
      </w:pPr>
      <w:r>
        <w:rPr>
          <w:rFonts w:ascii="Arial" w:hAnsi="Arial" w:cs="Arial"/>
          <w:color w:val="111111"/>
          <w:sz w:val="24"/>
          <w:szCs w:val="24"/>
          <w:shd w:val="clear" w:color="auto" w:fill="FFFFFF"/>
          <w:lang w:val="en-US"/>
        </w:rPr>
        <w:t xml:space="preserve">In June 2020, the EU adopted an </w:t>
      </w:r>
      <w:hyperlink r:id="rId17" w:history="1">
        <w:r w:rsidRPr="001E4851">
          <w:rPr>
            <w:rStyle w:val="Hyperlink"/>
            <w:rFonts w:ascii="Arial" w:hAnsi="Arial" w:cs="Arial"/>
            <w:sz w:val="24"/>
            <w:szCs w:val="24"/>
            <w:shd w:val="clear" w:color="auto" w:fill="FFFFFF"/>
            <w:lang w:val="en-US"/>
          </w:rPr>
          <w:t>EU Strategy on victims' rights (2020-2025)</w:t>
        </w:r>
      </w:hyperlink>
      <w:r>
        <w:rPr>
          <w:rFonts w:ascii="Arial" w:hAnsi="Arial" w:cs="Arial"/>
          <w:color w:val="111111"/>
          <w:sz w:val="24"/>
          <w:szCs w:val="24"/>
          <w:shd w:val="clear" w:color="auto" w:fill="FFFFFF"/>
          <w:lang w:val="en-US"/>
        </w:rPr>
        <w:t xml:space="preserve">. It is very important because it includes victims with disabilities, including women and girls with disabilities who are more likely to be victims of violence. There are several references to accessibility and to victims with disabilities.  </w:t>
      </w:r>
    </w:p>
    <w:p w14:paraId="452DEC06" w14:textId="7788A1EB" w:rsidR="00295E67" w:rsidRPr="003F50D8" w:rsidRDefault="001E4851" w:rsidP="001E4851">
      <w:pPr>
        <w:spacing w:line="276" w:lineRule="auto"/>
        <w:rPr>
          <w:rFonts w:ascii="Arial" w:hAnsi="Arial" w:cs="Arial"/>
          <w:color w:val="111111"/>
          <w:sz w:val="24"/>
          <w:szCs w:val="24"/>
          <w:shd w:val="clear" w:color="auto" w:fill="FFFFFF"/>
          <w:lang w:val="en-US"/>
        </w:rPr>
      </w:pPr>
      <w:r w:rsidRPr="001E4851">
        <w:rPr>
          <w:rFonts w:ascii="Arial" w:hAnsi="Arial" w:cs="Arial"/>
          <w:color w:val="111111"/>
          <w:sz w:val="24"/>
          <w:szCs w:val="24"/>
          <w:shd w:val="clear" w:color="auto" w:fill="FFFFFF"/>
          <w:lang w:val="en-US"/>
        </w:rPr>
        <w:t>Following our advocacy on the Victims’ Rights Strategy, EDF has been asked to become a member of the EU Victims’ Rights Platform.</w:t>
      </w:r>
      <w:r>
        <w:rPr>
          <w:rFonts w:ascii="Arial" w:hAnsi="Arial" w:cs="Arial"/>
          <w:color w:val="111111"/>
          <w:sz w:val="24"/>
          <w:szCs w:val="24"/>
          <w:shd w:val="clear" w:color="auto" w:fill="FFFFFF"/>
          <w:lang w:val="en-US"/>
        </w:rPr>
        <w:t xml:space="preserve"> We will continue to include the perspective of women and girls with disabilities through the Committee in advocacy on the implementation of the strategy, for example in the upcoming consultation on the Victims’ Rights Directive. </w:t>
      </w:r>
    </w:p>
    <w:sectPr w:rsidR="00295E67" w:rsidRPr="003F50D8">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38BC" w14:textId="77777777" w:rsidR="00690943" w:rsidRDefault="00690943" w:rsidP="00690943">
      <w:pPr>
        <w:spacing w:after="0" w:line="240" w:lineRule="auto"/>
      </w:pPr>
      <w:r>
        <w:separator/>
      </w:r>
    </w:p>
  </w:endnote>
  <w:endnote w:type="continuationSeparator" w:id="0">
    <w:p w14:paraId="53A848A0" w14:textId="77777777" w:rsidR="00690943" w:rsidRDefault="00690943" w:rsidP="0069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4DB3" w14:textId="22DBD018" w:rsidR="00F52524" w:rsidRDefault="00F5252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1</w:t>
    </w:r>
    <w:r>
      <w:rPr>
        <w:caps/>
        <w:noProof/>
        <w:color w:val="4472C4" w:themeColor="accent1"/>
      </w:rPr>
      <w:fldChar w:fldCharType="end"/>
    </w:r>
  </w:p>
  <w:p w14:paraId="75DFD836" w14:textId="77777777" w:rsidR="00F52524" w:rsidRDefault="00F52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82AE" w14:textId="77777777" w:rsidR="00690943" w:rsidRDefault="00690943" w:rsidP="00690943">
      <w:pPr>
        <w:spacing w:after="0" w:line="240" w:lineRule="auto"/>
      </w:pPr>
      <w:r>
        <w:separator/>
      </w:r>
    </w:p>
  </w:footnote>
  <w:footnote w:type="continuationSeparator" w:id="0">
    <w:p w14:paraId="6AD8027C" w14:textId="77777777" w:rsidR="00690943" w:rsidRDefault="00690943" w:rsidP="00690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384E" w14:textId="1EE8D3CA" w:rsidR="00690943" w:rsidRPr="00B10A93" w:rsidRDefault="006E4424" w:rsidP="00690943">
    <w:pPr>
      <w:tabs>
        <w:tab w:val="center" w:pos="4320"/>
        <w:tab w:val="right" w:pos="8640"/>
      </w:tabs>
      <w:spacing w:after="0" w:line="240" w:lineRule="auto"/>
      <w:ind w:right="902"/>
      <w:rPr>
        <w:rFonts w:ascii="Open Sans" w:hAnsi="Open Sans"/>
        <w:b/>
        <w:bCs/>
        <w:color w:val="003480"/>
        <w:sz w:val="12"/>
        <w:szCs w:val="12"/>
        <w:lang w:val="en"/>
      </w:rPr>
    </w:pPr>
    <w:r>
      <w:rPr>
        <w:noProof/>
        <w:lang w:eastAsia="fr-BE"/>
      </w:rPr>
      <w:drawing>
        <wp:anchor distT="0" distB="0" distL="114300" distR="114300" simplePos="0" relativeHeight="251659264" behindDoc="0" locked="0" layoutInCell="1" allowOverlap="1" wp14:anchorId="0E289C73" wp14:editId="72AF821C">
          <wp:simplePos x="0" y="0"/>
          <wp:positionH relativeFrom="margin">
            <wp:align>right</wp:align>
          </wp:positionH>
          <wp:positionV relativeFrom="paragraph">
            <wp:posOffset>-364785</wp:posOffset>
          </wp:positionV>
          <wp:extent cx="918210" cy="8083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21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60288" behindDoc="0" locked="0" layoutInCell="1" allowOverlap="1" wp14:anchorId="61EF5042" wp14:editId="6511A208">
          <wp:simplePos x="0" y="0"/>
          <wp:positionH relativeFrom="margin">
            <wp:align>left</wp:align>
          </wp:positionH>
          <wp:positionV relativeFrom="paragraph">
            <wp:posOffset>-322565</wp:posOffset>
          </wp:positionV>
          <wp:extent cx="681355" cy="754380"/>
          <wp:effectExtent l="0" t="0" r="444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355"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B00B8" w14:textId="77777777" w:rsidR="00690943" w:rsidRDefault="00690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FE0"/>
    <w:multiLevelType w:val="hybridMultilevel"/>
    <w:tmpl w:val="A10E30EE"/>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 w15:restartNumberingAfterBreak="0">
    <w:nsid w:val="0FC6530E"/>
    <w:multiLevelType w:val="hybridMultilevel"/>
    <w:tmpl w:val="34B8C1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13F5882"/>
    <w:multiLevelType w:val="hybridMultilevel"/>
    <w:tmpl w:val="778E1E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D174A7"/>
    <w:multiLevelType w:val="hybridMultilevel"/>
    <w:tmpl w:val="F6748742"/>
    <w:lvl w:ilvl="0" w:tplc="7B5288D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87D6B8C"/>
    <w:multiLevelType w:val="multilevel"/>
    <w:tmpl w:val="431E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05EFA"/>
    <w:multiLevelType w:val="multilevel"/>
    <w:tmpl w:val="E3E2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C7054"/>
    <w:multiLevelType w:val="hybridMultilevel"/>
    <w:tmpl w:val="9D647FA2"/>
    <w:lvl w:ilvl="0" w:tplc="47923B8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3DB248C"/>
    <w:multiLevelType w:val="hybridMultilevel"/>
    <w:tmpl w:val="AFDE50E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A161251"/>
    <w:multiLevelType w:val="hybridMultilevel"/>
    <w:tmpl w:val="D7602D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E1C6FDF"/>
    <w:multiLevelType w:val="hybridMultilevel"/>
    <w:tmpl w:val="3AD460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AF55723"/>
    <w:multiLevelType w:val="hybridMultilevel"/>
    <w:tmpl w:val="4684C0FC"/>
    <w:lvl w:ilvl="0" w:tplc="7B5288D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9030FD6"/>
    <w:multiLevelType w:val="hybridMultilevel"/>
    <w:tmpl w:val="92C4148A"/>
    <w:lvl w:ilvl="0" w:tplc="7B5288D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9F41DCE"/>
    <w:multiLevelType w:val="hybridMultilevel"/>
    <w:tmpl w:val="3AD2D9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B7C5189"/>
    <w:multiLevelType w:val="hybridMultilevel"/>
    <w:tmpl w:val="99D04CE4"/>
    <w:lvl w:ilvl="0" w:tplc="5D28590C">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C325C05"/>
    <w:multiLevelType w:val="hybridMultilevel"/>
    <w:tmpl w:val="E8EA133E"/>
    <w:lvl w:ilvl="0" w:tplc="5D28590C">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CEF3E28"/>
    <w:multiLevelType w:val="multilevel"/>
    <w:tmpl w:val="664E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71861"/>
    <w:multiLevelType w:val="hybridMultilevel"/>
    <w:tmpl w:val="CFF80E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4"/>
  </w:num>
  <w:num w:numId="4">
    <w:abstractNumId w:val="16"/>
  </w:num>
  <w:num w:numId="5">
    <w:abstractNumId w:val="12"/>
  </w:num>
  <w:num w:numId="6">
    <w:abstractNumId w:val="6"/>
  </w:num>
  <w:num w:numId="7">
    <w:abstractNumId w:val="2"/>
  </w:num>
  <w:num w:numId="8">
    <w:abstractNumId w:val="7"/>
  </w:num>
  <w:num w:numId="9">
    <w:abstractNumId w:val="0"/>
  </w:num>
  <w:num w:numId="10">
    <w:abstractNumId w:val="9"/>
  </w:num>
  <w:num w:numId="11">
    <w:abstractNumId w:val="8"/>
  </w:num>
  <w:num w:numId="12">
    <w:abstractNumId w:val="4"/>
  </w:num>
  <w:num w:numId="13">
    <w:abstractNumId w:val="11"/>
  </w:num>
  <w:num w:numId="14">
    <w:abstractNumId w:val="10"/>
  </w:num>
  <w:num w:numId="15">
    <w:abstractNumId w:val="3"/>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3B"/>
    <w:rsid w:val="000143E6"/>
    <w:rsid w:val="000674C2"/>
    <w:rsid w:val="0009253A"/>
    <w:rsid w:val="000A56D1"/>
    <w:rsid w:val="000D0EA5"/>
    <w:rsid w:val="000D606A"/>
    <w:rsid w:val="001424E1"/>
    <w:rsid w:val="00155F3B"/>
    <w:rsid w:val="00157CA7"/>
    <w:rsid w:val="001811BC"/>
    <w:rsid w:val="00193F9E"/>
    <w:rsid w:val="001B4E69"/>
    <w:rsid w:val="001E4851"/>
    <w:rsid w:val="0020378E"/>
    <w:rsid w:val="002229C5"/>
    <w:rsid w:val="00284468"/>
    <w:rsid w:val="0029209E"/>
    <w:rsid w:val="00293135"/>
    <w:rsid w:val="00294C3B"/>
    <w:rsid w:val="00295E67"/>
    <w:rsid w:val="002A6594"/>
    <w:rsid w:val="002B04EA"/>
    <w:rsid w:val="002B0672"/>
    <w:rsid w:val="002D1639"/>
    <w:rsid w:val="0030350E"/>
    <w:rsid w:val="0032084D"/>
    <w:rsid w:val="0033541C"/>
    <w:rsid w:val="00336044"/>
    <w:rsid w:val="003B17D4"/>
    <w:rsid w:val="003F50D8"/>
    <w:rsid w:val="0043348C"/>
    <w:rsid w:val="00440BFB"/>
    <w:rsid w:val="00445595"/>
    <w:rsid w:val="004528FE"/>
    <w:rsid w:val="00463C6E"/>
    <w:rsid w:val="00474DE6"/>
    <w:rsid w:val="004C1C9B"/>
    <w:rsid w:val="004C3D31"/>
    <w:rsid w:val="004E06B4"/>
    <w:rsid w:val="004E6E54"/>
    <w:rsid w:val="00517DFA"/>
    <w:rsid w:val="00555544"/>
    <w:rsid w:val="00572CE7"/>
    <w:rsid w:val="00596EE3"/>
    <w:rsid w:val="005A4DF1"/>
    <w:rsid w:val="005B3AC2"/>
    <w:rsid w:val="005C50A0"/>
    <w:rsid w:val="00612602"/>
    <w:rsid w:val="00667FC9"/>
    <w:rsid w:val="00690943"/>
    <w:rsid w:val="006954D5"/>
    <w:rsid w:val="006A2D25"/>
    <w:rsid w:val="006A3735"/>
    <w:rsid w:val="006A5EC9"/>
    <w:rsid w:val="006C0717"/>
    <w:rsid w:val="006D1695"/>
    <w:rsid w:val="006E4424"/>
    <w:rsid w:val="006F7E55"/>
    <w:rsid w:val="00725C4B"/>
    <w:rsid w:val="0073091C"/>
    <w:rsid w:val="00767680"/>
    <w:rsid w:val="007A4C22"/>
    <w:rsid w:val="007A4F6E"/>
    <w:rsid w:val="007D2AD7"/>
    <w:rsid w:val="007E6173"/>
    <w:rsid w:val="007F5DEB"/>
    <w:rsid w:val="00802677"/>
    <w:rsid w:val="00803487"/>
    <w:rsid w:val="008202A8"/>
    <w:rsid w:val="00821608"/>
    <w:rsid w:val="0082635C"/>
    <w:rsid w:val="00845CE8"/>
    <w:rsid w:val="008469A4"/>
    <w:rsid w:val="00863D52"/>
    <w:rsid w:val="00866264"/>
    <w:rsid w:val="008950F1"/>
    <w:rsid w:val="008D74A4"/>
    <w:rsid w:val="0091007E"/>
    <w:rsid w:val="00915103"/>
    <w:rsid w:val="0093086A"/>
    <w:rsid w:val="009351F7"/>
    <w:rsid w:val="00950F99"/>
    <w:rsid w:val="00957364"/>
    <w:rsid w:val="009A3E78"/>
    <w:rsid w:val="009F29FB"/>
    <w:rsid w:val="00A12FDA"/>
    <w:rsid w:val="00A133CB"/>
    <w:rsid w:val="00A56E72"/>
    <w:rsid w:val="00A67334"/>
    <w:rsid w:val="00A81596"/>
    <w:rsid w:val="00A877B4"/>
    <w:rsid w:val="00A92A33"/>
    <w:rsid w:val="00AD712E"/>
    <w:rsid w:val="00AF627B"/>
    <w:rsid w:val="00B214FA"/>
    <w:rsid w:val="00B464ED"/>
    <w:rsid w:val="00B91F9E"/>
    <w:rsid w:val="00BB36F7"/>
    <w:rsid w:val="00BB768D"/>
    <w:rsid w:val="00CB79FC"/>
    <w:rsid w:val="00CD3D03"/>
    <w:rsid w:val="00CD49F5"/>
    <w:rsid w:val="00D61CC4"/>
    <w:rsid w:val="00D65AF3"/>
    <w:rsid w:val="00DB63A2"/>
    <w:rsid w:val="00E26B0D"/>
    <w:rsid w:val="00E43F19"/>
    <w:rsid w:val="00E7252E"/>
    <w:rsid w:val="00E727B9"/>
    <w:rsid w:val="00EC0A4D"/>
    <w:rsid w:val="00EC4D44"/>
    <w:rsid w:val="00EC60B9"/>
    <w:rsid w:val="00ED0428"/>
    <w:rsid w:val="00F04779"/>
    <w:rsid w:val="00F1419F"/>
    <w:rsid w:val="00F3410B"/>
    <w:rsid w:val="00F37226"/>
    <w:rsid w:val="00F52524"/>
    <w:rsid w:val="00F92E7E"/>
    <w:rsid w:val="00F96453"/>
    <w:rsid w:val="00FC0CC7"/>
    <w:rsid w:val="00FD4B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2FCD"/>
  <w15:chartTrackingRefBased/>
  <w15:docId w15:val="{B1EFBB03-BFE3-4FC6-8431-8B406E65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07E"/>
    <w:pPr>
      <w:keepNext/>
      <w:keepLines/>
      <w:spacing w:before="240" w:after="0"/>
      <w:outlineLvl w:val="0"/>
    </w:pPr>
    <w:rPr>
      <w:rFonts w:ascii="Arial" w:eastAsiaTheme="majorEastAsia" w:hAnsi="Arial"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1007E"/>
    <w:pPr>
      <w:keepNext/>
      <w:keepLines/>
      <w:spacing w:before="40" w:after="0"/>
      <w:outlineLvl w:val="1"/>
    </w:pPr>
    <w:rPr>
      <w:rFonts w:ascii="Arial" w:eastAsiaTheme="majorEastAsia" w:hAnsi="Arial"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91007E"/>
    <w:pPr>
      <w:keepNext/>
      <w:keepLines/>
      <w:spacing w:before="40" w:after="0"/>
      <w:outlineLvl w:val="2"/>
    </w:pPr>
    <w:rPr>
      <w:rFonts w:ascii="Arial" w:eastAsiaTheme="majorEastAsia" w:hAnsi="Arial"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7E"/>
    <w:rPr>
      <w:rFonts w:ascii="Arial" w:eastAsiaTheme="majorEastAsia" w:hAnsi="Arial" w:cstheme="majorBidi"/>
      <w:b/>
      <w:color w:val="2F5496" w:themeColor="accent1" w:themeShade="BF"/>
      <w:sz w:val="32"/>
      <w:szCs w:val="32"/>
    </w:rPr>
  </w:style>
  <w:style w:type="character" w:customStyle="1" w:styleId="Heading2Char">
    <w:name w:val="Heading 2 Char"/>
    <w:basedOn w:val="DefaultParagraphFont"/>
    <w:link w:val="Heading2"/>
    <w:uiPriority w:val="9"/>
    <w:rsid w:val="0091007E"/>
    <w:rPr>
      <w:rFonts w:ascii="Arial" w:eastAsiaTheme="majorEastAsia" w:hAnsi="Arial" w:cstheme="majorBidi"/>
      <w:b/>
      <w:color w:val="2F5496" w:themeColor="accent1" w:themeShade="BF"/>
      <w:sz w:val="26"/>
      <w:szCs w:val="26"/>
    </w:rPr>
  </w:style>
  <w:style w:type="paragraph" w:styleId="ListParagraph">
    <w:name w:val="List Paragraph"/>
    <w:basedOn w:val="Normal"/>
    <w:uiPriority w:val="34"/>
    <w:qFormat/>
    <w:rsid w:val="00A877B4"/>
    <w:pPr>
      <w:ind w:left="720"/>
      <w:contextualSpacing/>
    </w:pPr>
  </w:style>
  <w:style w:type="character" w:styleId="CommentReference">
    <w:name w:val="annotation reference"/>
    <w:basedOn w:val="DefaultParagraphFont"/>
    <w:uiPriority w:val="99"/>
    <w:semiHidden/>
    <w:unhideWhenUsed/>
    <w:rsid w:val="00A877B4"/>
    <w:rPr>
      <w:sz w:val="16"/>
      <w:szCs w:val="16"/>
    </w:rPr>
  </w:style>
  <w:style w:type="paragraph" w:styleId="CommentText">
    <w:name w:val="annotation text"/>
    <w:basedOn w:val="Normal"/>
    <w:link w:val="CommentTextChar"/>
    <w:uiPriority w:val="99"/>
    <w:semiHidden/>
    <w:unhideWhenUsed/>
    <w:rsid w:val="00A877B4"/>
    <w:pPr>
      <w:spacing w:line="240" w:lineRule="auto"/>
    </w:pPr>
    <w:rPr>
      <w:sz w:val="20"/>
      <w:szCs w:val="20"/>
    </w:rPr>
  </w:style>
  <w:style w:type="character" w:customStyle="1" w:styleId="CommentTextChar">
    <w:name w:val="Comment Text Char"/>
    <w:basedOn w:val="DefaultParagraphFont"/>
    <w:link w:val="CommentText"/>
    <w:uiPriority w:val="99"/>
    <w:semiHidden/>
    <w:rsid w:val="00A877B4"/>
    <w:rPr>
      <w:sz w:val="20"/>
      <w:szCs w:val="20"/>
    </w:rPr>
  </w:style>
  <w:style w:type="paragraph" w:styleId="CommentSubject">
    <w:name w:val="annotation subject"/>
    <w:basedOn w:val="CommentText"/>
    <w:next w:val="CommentText"/>
    <w:link w:val="CommentSubjectChar"/>
    <w:uiPriority w:val="99"/>
    <w:semiHidden/>
    <w:unhideWhenUsed/>
    <w:rsid w:val="00A877B4"/>
    <w:rPr>
      <w:b/>
      <w:bCs/>
    </w:rPr>
  </w:style>
  <w:style w:type="character" w:customStyle="1" w:styleId="CommentSubjectChar">
    <w:name w:val="Comment Subject Char"/>
    <w:basedOn w:val="CommentTextChar"/>
    <w:link w:val="CommentSubject"/>
    <w:uiPriority w:val="99"/>
    <w:semiHidden/>
    <w:rsid w:val="00A877B4"/>
    <w:rPr>
      <w:b/>
      <w:bCs/>
      <w:sz w:val="20"/>
      <w:szCs w:val="20"/>
    </w:rPr>
  </w:style>
  <w:style w:type="paragraph" w:styleId="BalloonText">
    <w:name w:val="Balloon Text"/>
    <w:basedOn w:val="Normal"/>
    <w:link w:val="BalloonTextChar"/>
    <w:uiPriority w:val="99"/>
    <w:semiHidden/>
    <w:unhideWhenUsed/>
    <w:rsid w:val="00A87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7B4"/>
    <w:rPr>
      <w:rFonts w:ascii="Segoe UI" w:hAnsi="Segoe UI" w:cs="Segoe UI"/>
      <w:sz w:val="18"/>
      <w:szCs w:val="18"/>
    </w:rPr>
  </w:style>
  <w:style w:type="character" w:styleId="Hyperlink">
    <w:name w:val="Hyperlink"/>
    <w:basedOn w:val="DefaultParagraphFont"/>
    <w:uiPriority w:val="99"/>
    <w:unhideWhenUsed/>
    <w:rsid w:val="00295E67"/>
    <w:rPr>
      <w:color w:val="0563C1" w:themeColor="hyperlink"/>
      <w:u w:val="single"/>
    </w:rPr>
  </w:style>
  <w:style w:type="character" w:styleId="Mention">
    <w:name w:val="Mention"/>
    <w:basedOn w:val="DefaultParagraphFont"/>
    <w:uiPriority w:val="99"/>
    <w:semiHidden/>
    <w:unhideWhenUsed/>
    <w:rsid w:val="00295E67"/>
    <w:rPr>
      <w:color w:val="2B579A"/>
      <w:shd w:val="clear" w:color="auto" w:fill="E6E6E6"/>
    </w:rPr>
  </w:style>
  <w:style w:type="paragraph" w:customStyle="1" w:styleId="m-6089985959172159908gmail-m-8846629367181731682m-8792664869348136626gmail-m-94780493540567739msolistparagraph">
    <w:name w:val="m_-6089985959172159908gmail-m_-8846629367181731682m_-8792664869348136626gmail-m_-94780493540567739msolistparagraph"/>
    <w:basedOn w:val="Normal"/>
    <w:uiPriority w:val="99"/>
    <w:rsid w:val="00155F3B"/>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39"/>
    <w:rsid w:val="0082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09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0943"/>
  </w:style>
  <w:style w:type="paragraph" w:styleId="Footer">
    <w:name w:val="footer"/>
    <w:basedOn w:val="Normal"/>
    <w:link w:val="FooterChar"/>
    <w:uiPriority w:val="99"/>
    <w:unhideWhenUsed/>
    <w:rsid w:val="006909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0943"/>
  </w:style>
  <w:style w:type="character" w:customStyle="1" w:styleId="Heading3Char">
    <w:name w:val="Heading 3 Char"/>
    <w:basedOn w:val="DefaultParagraphFont"/>
    <w:link w:val="Heading3"/>
    <w:uiPriority w:val="9"/>
    <w:rsid w:val="0091007E"/>
    <w:rPr>
      <w:rFonts w:ascii="Arial" w:eastAsiaTheme="majorEastAsia" w:hAnsi="Arial" w:cstheme="majorBidi"/>
      <w:color w:val="1F3763" w:themeColor="accent1" w:themeShade="7F"/>
      <w:sz w:val="24"/>
      <w:szCs w:val="24"/>
    </w:rPr>
  </w:style>
  <w:style w:type="character" w:styleId="UnresolvedMention">
    <w:name w:val="Unresolved Mention"/>
    <w:basedOn w:val="DefaultParagraphFont"/>
    <w:uiPriority w:val="99"/>
    <w:semiHidden/>
    <w:unhideWhenUsed/>
    <w:rsid w:val="00A5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140084">
      <w:bodyDiv w:val="1"/>
      <w:marLeft w:val="0"/>
      <w:marRight w:val="0"/>
      <w:marTop w:val="0"/>
      <w:marBottom w:val="0"/>
      <w:divBdr>
        <w:top w:val="none" w:sz="0" w:space="0" w:color="auto"/>
        <w:left w:val="none" w:sz="0" w:space="0" w:color="auto"/>
        <w:bottom w:val="none" w:sz="0" w:space="0" w:color="auto"/>
        <w:right w:val="none" w:sz="0" w:space="0" w:color="auto"/>
      </w:divBdr>
    </w:div>
    <w:div w:id="1074159251">
      <w:bodyDiv w:val="1"/>
      <w:marLeft w:val="0"/>
      <w:marRight w:val="0"/>
      <w:marTop w:val="0"/>
      <w:marBottom w:val="0"/>
      <w:divBdr>
        <w:top w:val="none" w:sz="0" w:space="0" w:color="auto"/>
        <w:left w:val="none" w:sz="0" w:space="0" w:color="auto"/>
        <w:bottom w:val="none" w:sz="0" w:space="0" w:color="auto"/>
        <w:right w:val="none" w:sz="0" w:space="0" w:color="auto"/>
      </w:divBdr>
    </w:div>
    <w:div w:id="1409109611">
      <w:bodyDiv w:val="1"/>
      <w:marLeft w:val="0"/>
      <w:marRight w:val="0"/>
      <w:marTop w:val="0"/>
      <w:marBottom w:val="0"/>
      <w:divBdr>
        <w:top w:val="none" w:sz="0" w:space="0" w:color="auto"/>
        <w:left w:val="none" w:sz="0" w:space="0" w:color="auto"/>
        <w:bottom w:val="none" w:sz="0" w:space="0" w:color="auto"/>
        <w:right w:val="none" w:sz="0" w:space="0" w:color="auto"/>
      </w:divBdr>
    </w:div>
    <w:div w:id="160552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_layouts/15/TreatyBodyExternal/SessionsList.aspx?Treaty=CRPD" TargetMode="External"/><Relationship Id="rId13" Type="http://schemas.openxmlformats.org/officeDocument/2006/relationships/hyperlink" Target="https://tbinternet.ohchr.org/_layouts/15/TreatyBodyExternal/SessionsList.aspx?Treaty=CCP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binternet.ohchr.org/_layouts/15/TreatyBodyExternal/SessionsList.aspx?Treaty=CAT" TargetMode="External"/><Relationship Id="rId17" Type="http://schemas.openxmlformats.org/officeDocument/2006/relationships/hyperlink" Target="https://eur-lex.europa.eu/legal-content/EN/TXT/?uri=CELEX:52020DC0258" TargetMode="External"/><Relationship Id="rId2" Type="http://schemas.openxmlformats.org/officeDocument/2006/relationships/numbering" Target="numbering.xml"/><Relationship Id="rId16" Type="http://schemas.openxmlformats.org/officeDocument/2006/relationships/hyperlink" Target="https://ec.europa.eu/info/law/better-regulation/have-your-say/initiatives/12682-Combating-gender-based-violence-protecting-victims-and-punishing-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binternet.ohchr.org/_layouts/15/TreatyBodyExternal/SessionsList.aspx?Treaty=CRC" TargetMode="External"/><Relationship Id="rId5" Type="http://schemas.openxmlformats.org/officeDocument/2006/relationships/webSettings" Target="webSettings.xml"/><Relationship Id="rId15" Type="http://schemas.openxmlformats.org/officeDocument/2006/relationships/hyperlink" Target="https://ec.europa.eu/info/law/better-regulation/have-your-say/initiatives/12472-Violence-against-women-and-domestic-violence-fitness-check-of-EU-legislation" TargetMode="External"/><Relationship Id="rId10" Type="http://schemas.openxmlformats.org/officeDocument/2006/relationships/hyperlink" Target="https://tbinternet.ohchr.org/_layouts/15/TreatyBodyExternal/SessionsList.aspx?Treaty=CESC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binternet.ohchr.org/_layouts/15/TreatyBodyExternal/SessionsList.aspx?Treaty=CEDAW" TargetMode="External"/><Relationship Id="rId14" Type="http://schemas.openxmlformats.org/officeDocument/2006/relationships/hyperlink" Target="https://www.edf-feph.org/a-new-journey-for-disability-rights-the-european-disability-forum-welcomes-the-new-disability-rights-strategy-2021-203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BDE33-F101-4291-95B6-8F99BD55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1010</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Marine Uldry</cp:lastModifiedBy>
  <cp:revision>102</cp:revision>
  <dcterms:created xsi:type="dcterms:W3CDTF">2019-09-10T23:12:00Z</dcterms:created>
  <dcterms:modified xsi:type="dcterms:W3CDTF">2021-04-28T11:27:00Z</dcterms:modified>
</cp:coreProperties>
</file>