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F20CE7" w:rsidRDefault="008054A7" w:rsidP="00541EBA">
      <w:pPr>
        <w:spacing w:before="240"/>
        <w:jc w:val="center"/>
        <w:rPr>
          <w:lang w:val="en-GB"/>
        </w:rPr>
      </w:pPr>
      <w:r w:rsidRPr="00F20CE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F20CE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F20CE7">
        <w:rPr>
          <w:noProof/>
          <w:lang w:val="en-GB"/>
        </w:rPr>
        <w:drawing>
          <wp:inline distT="0" distB="0" distL="0" distR="0" wp14:anchorId="3382C997" wp14:editId="1C5191B6">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249E642D" w:rsidR="00D11DAB" w:rsidRPr="00F20CE7" w:rsidRDefault="00C87AD2" w:rsidP="00D11DAB">
      <w:pPr>
        <w:pStyle w:val="Title"/>
        <w:spacing w:before="360"/>
        <w:rPr>
          <w:sz w:val="71"/>
          <w:szCs w:val="71"/>
          <w:lang w:val="en-GB"/>
        </w:rPr>
      </w:pPr>
      <w:r w:rsidRPr="00F20CE7">
        <w:rPr>
          <w:sz w:val="71"/>
          <w:szCs w:val="71"/>
          <w:lang w:val="en-GB"/>
        </w:rPr>
        <w:t>Accessible</w:t>
      </w:r>
      <w:r w:rsidR="00600291" w:rsidRPr="00F20CE7">
        <w:rPr>
          <w:sz w:val="71"/>
          <w:szCs w:val="71"/>
          <w:lang w:val="en-GB"/>
        </w:rPr>
        <w:t xml:space="preserve">, </w:t>
      </w:r>
      <w:r w:rsidR="0036557E" w:rsidRPr="00F20CE7">
        <w:rPr>
          <w:sz w:val="71"/>
          <w:szCs w:val="71"/>
          <w:lang w:val="en-GB"/>
        </w:rPr>
        <w:t>Independent</w:t>
      </w:r>
      <w:r w:rsidRPr="00F20CE7">
        <w:rPr>
          <w:sz w:val="71"/>
          <w:szCs w:val="71"/>
          <w:lang w:val="en-GB"/>
        </w:rPr>
        <w:t xml:space="preserve"> and </w:t>
      </w:r>
      <w:r w:rsidR="00E449C1" w:rsidRPr="00F20CE7">
        <w:rPr>
          <w:sz w:val="71"/>
          <w:szCs w:val="71"/>
          <w:lang w:val="en-GB"/>
        </w:rPr>
        <w:t xml:space="preserve">Spontaneous </w:t>
      </w:r>
      <w:r w:rsidRPr="00F20CE7">
        <w:rPr>
          <w:sz w:val="71"/>
          <w:szCs w:val="71"/>
          <w:lang w:val="en-GB"/>
        </w:rPr>
        <w:t>Intermodal Transport</w:t>
      </w:r>
      <w:r w:rsidR="00E449C1" w:rsidRPr="00F20CE7">
        <w:rPr>
          <w:sz w:val="71"/>
          <w:szCs w:val="71"/>
          <w:lang w:val="en-GB"/>
        </w:rPr>
        <w:t xml:space="preserve"> for all</w:t>
      </w:r>
    </w:p>
    <w:p w14:paraId="2BCF485D" w14:textId="5B44DB6D" w:rsidR="008054A7" w:rsidRPr="00F20CE7" w:rsidRDefault="00E47FF5" w:rsidP="00355289">
      <w:pPr>
        <w:pStyle w:val="Subtitle"/>
        <w:spacing w:before="480"/>
        <w:rPr>
          <w:lang w:val="en-GB"/>
        </w:rPr>
      </w:pPr>
      <w:r w:rsidRPr="00F20CE7">
        <w:rPr>
          <w:lang w:val="en-GB"/>
        </w:rPr>
        <w:t xml:space="preserve">European Disability </w:t>
      </w:r>
      <w:r w:rsidR="00606390" w:rsidRPr="00F20CE7">
        <w:rPr>
          <w:lang w:val="en-GB"/>
        </w:rPr>
        <w:t xml:space="preserve">Forum </w:t>
      </w:r>
    </w:p>
    <w:p w14:paraId="1C5853C0" w14:textId="68B24582" w:rsidR="00D11DAB" w:rsidRPr="00F20CE7" w:rsidRDefault="00D11DAB" w:rsidP="00D11DAB">
      <w:pPr>
        <w:pStyle w:val="Subtitle"/>
        <w:spacing w:after="360"/>
        <w:rPr>
          <w:lang w:val="en-GB"/>
        </w:rPr>
      </w:pPr>
      <w:r w:rsidRPr="00F20CE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4DF63589">
                <wp:simplePos x="0" y="0"/>
                <wp:positionH relativeFrom="page">
                  <wp:align>right</wp:align>
                </wp:positionH>
                <wp:positionV relativeFrom="paragraph">
                  <wp:posOffset>462412</wp:posOffset>
                </wp:positionV>
                <wp:extent cx="7549116" cy="577850"/>
                <wp:effectExtent l="0" t="0" r="13970"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7785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5ECA1" id="Rectangle 3" o:spid="_x0000_s1026" alt="&quot;&quot;" style="position:absolute;margin-left:543.2pt;margin-top:36.4pt;width:594.4pt;height:45.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" fillcolor="#a20000" strokecolor="#1f3763 [1604]" strokeweight="1pt">
                <w10:wrap anchorx="page"/>
              </v:rect>
            </w:pict>
          </mc:Fallback>
        </mc:AlternateContent>
      </w:r>
      <w:r w:rsidR="00C87AD2" w:rsidRPr="00F20CE7">
        <w:rPr>
          <w:noProof/>
          <w:lang w:val="en-GB"/>
          <w14:textOutline w14:w="0" w14:cap="rnd" w14:cmpd="sng" w14:algn="ctr">
            <w14:noFill/>
            <w14:prstDash w14:val="solid"/>
            <w14:bevel/>
          </w14:textOutline>
        </w:rPr>
        <w:t>April</w:t>
      </w:r>
      <w:r w:rsidRPr="00F20CE7">
        <w:rPr>
          <w:lang w:val="en-GB"/>
        </w:rPr>
        <w:t xml:space="preserve"> </w:t>
      </w:r>
      <w:r w:rsidR="00606390" w:rsidRPr="00F20CE7">
        <w:rPr>
          <w:lang w:val="en-GB"/>
        </w:rPr>
        <w:t>2021</w:t>
      </w:r>
    </w:p>
    <w:p w14:paraId="75770BC9" w14:textId="0164F817" w:rsidR="00E62CBF" w:rsidRPr="00F20CE7" w:rsidRDefault="00C87AD2" w:rsidP="00D11DAB">
      <w:pPr>
        <w:spacing w:before="360" w:after="840"/>
        <w:rPr>
          <w:b/>
          <w:bCs/>
          <w:color w:val="FFFFFF" w:themeColor="background1"/>
          <w:sz w:val="26"/>
          <w:szCs w:val="26"/>
          <w:lang w:val="en-GB"/>
        </w:rPr>
      </w:pPr>
      <w:r w:rsidRPr="00F20CE7">
        <w:rPr>
          <w:b/>
          <w:bCs/>
          <w:color w:val="FFFFFF" w:themeColor="background1"/>
          <w:sz w:val="26"/>
          <w:szCs w:val="26"/>
          <w:lang w:val="en-GB"/>
        </w:rPr>
        <w:t xml:space="preserve">Position Paper on </w:t>
      </w:r>
      <w:r w:rsidR="00EF64BF" w:rsidRPr="00F20CE7">
        <w:rPr>
          <w:b/>
          <w:bCs/>
          <w:color w:val="FFFFFF" w:themeColor="background1"/>
          <w:sz w:val="26"/>
          <w:szCs w:val="26"/>
          <w:lang w:val="en-GB"/>
        </w:rPr>
        <w:t>Union Guidelines for the development of the trans-European transport network (TEN-T Regulation)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F20CE7" w14:paraId="18E8BE2C" w14:textId="77777777" w:rsidTr="001E0F08">
        <w:tc>
          <w:tcPr>
            <w:tcW w:w="2245" w:type="dxa"/>
          </w:tcPr>
          <w:p w14:paraId="5DFDD4D9" w14:textId="0F47CB15" w:rsidR="001E0F08" w:rsidRPr="00F20CE7" w:rsidRDefault="001E0F08" w:rsidP="001E0F08">
            <w:pPr>
              <w:rPr>
                <w:color w:val="FFFFFF" w:themeColor="background1"/>
                <w:lang w:val="en-GB" w:eastAsia="zh-CN" w:bidi="hi-IN"/>
              </w:rPr>
            </w:pPr>
            <w:r w:rsidRPr="00F20CE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F20CE7" w:rsidRDefault="001E0F08" w:rsidP="001E0F08">
            <w:pPr>
              <w:rPr>
                <w:color w:val="FFFFFF" w:themeColor="background1"/>
                <w:lang w:val="en-GB" w:eastAsia="zh-CN" w:bidi="hi-IN"/>
              </w:rPr>
            </w:pPr>
            <w:r w:rsidRPr="00F20CE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F20CE7" w:rsidRDefault="00A9576D" w:rsidP="008054A7">
      <w:pPr>
        <w:pStyle w:val="Heading1"/>
        <w:pageBreakBefore/>
        <w:rPr>
          <w:lang w:val="en-GB"/>
        </w:rPr>
      </w:pPr>
      <w:bookmarkStart w:id="0" w:name="_Toc70089510"/>
      <w:r w:rsidRPr="00F20CE7">
        <w:rPr>
          <w:lang w:val="en-GB"/>
        </w:rPr>
        <w:lastRenderedPageBreak/>
        <w:t>Table of Contents</w:t>
      </w:r>
      <w:bookmarkEnd w:id="0"/>
    </w:p>
    <w:p w14:paraId="243606A8" w14:textId="79795947" w:rsidR="004004DB" w:rsidRDefault="00A9576D">
      <w:pPr>
        <w:pStyle w:val="TOC1"/>
        <w:tabs>
          <w:tab w:val="right" w:leader="dot" w:pos="9016"/>
        </w:tabs>
        <w:rPr>
          <w:rFonts w:asciiTheme="minorHAnsi" w:eastAsiaTheme="minorEastAsia" w:hAnsiTheme="minorHAnsi"/>
          <w:noProof/>
          <w:sz w:val="22"/>
          <w:lang w:val="en-GB" w:eastAsia="en-GB"/>
        </w:rPr>
      </w:pPr>
      <w:r w:rsidRPr="00F20CE7">
        <w:rPr>
          <w:lang w:val="en-GB"/>
        </w:rPr>
        <w:fldChar w:fldCharType="begin"/>
      </w:r>
      <w:r w:rsidRPr="00F20CE7">
        <w:rPr>
          <w:lang w:val="en-GB"/>
        </w:rPr>
        <w:instrText xml:space="preserve"> TOC \o "1-2" \h \z \u </w:instrText>
      </w:r>
      <w:r w:rsidRPr="00F20CE7">
        <w:rPr>
          <w:lang w:val="en-GB"/>
        </w:rPr>
        <w:fldChar w:fldCharType="separate"/>
      </w:r>
      <w:hyperlink w:anchor="_Toc70089510" w:history="1">
        <w:r w:rsidR="004004DB" w:rsidRPr="0071327E">
          <w:rPr>
            <w:rStyle w:val="Hyperlink"/>
            <w:noProof/>
            <w:lang w:val="en-GB"/>
          </w:rPr>
          <w:t>Table of Contents</w:t>
        </w:r>
        <w:r w:rsidR="004004DB">
          <w:rPr>
            <w:noProof/>
            <w:webHidden/>
          </w:rPr>
          <w:tab/>
        </w:r>
        <w:r w:rsidR="004004DB">
          <w:rPr>
            <w:noProof/>
            <w:webHidden/>
          </w:rPr>
          <w:fldChar w:fldCharType="begin"/>
        </w:r>
        <w:r w:rsidR="004004DB">
          <w:rPr>
            <w:noProof/>
            <w:webHidden/>
          </w:rPr>
          <w:instrText xml:space="preserve"> PAGEREF _Toc70089510 \h </w:instrText>
        </w:r>
        <w:r w:rsidR="004004DB">
          <w:rPr>
            <w:noProof/>
            <w:webHidden/>
          </w:rPr>
        </w:r>
        <w:r w:rsidR="004004DB">
          <w:rPr>
            <w:noProof/>
            <w:webHidden/>
          </w:rPr>
          <w:fldChar w:fldCharType="separate"/>
        </w:r>
        <w:r w:rsidR="004004DB">
          <w:rPr>
            <w:noProof/>
            <w:webHidden/>
          </w:rPr>
          <w:t>2</w:t>
        </w:r>
        <w:r w:rsidR="004004DB">
          <w:rPr>
            <w:noProof/>
            <w:webHidden/>
          </w:rPr>
          <w:fldChar w:fldCharType="end"/>
        </w:r>
      </w:hyperlink>
    </w:p>
    <w:p w14:paraId="47AA1D31" w14:textId="60A18451" w:rsidR="004004DB" w:rsidRDefault="000C3A98">
      <w:pPr>
        <w:pStyle w:val="TOC1"/>
        <w:tabs>
          <w:tab w:val="right" w:leader="dot" w:pos="9016"/>
        </w:tabs>
        <w:rPr>
          <w:rFonts w:asciiTheme="minorHAnsi" w:eastAsiaTheme="minorEastAsia" w:hAnsiTheme="minorHAnsi"/>
          <w:noProof/>
          <w:sz w:val="22"/>
          <w:lang w:val="en-GB" w:eastAsia="en-GB"/>
        </w:rPr>
      </w:pPr>
      <w:hyperlink w:anchor="_Toc70089511" w:history="1">
        <w:r w:rsidR="004004DB" w:rsidRPr="0071327E">
          <w:rPr>
            <w:rStyle w:val="Hyperlink"/>
            <w:noProof/>
            <w:lang w:val="en-GB"/>
          </w:rPr>
          <w:t>Introduction</w:t>
        </w:r>
        <w:r w:rsidR="004004DB">
          <w:rPr>
            <w:noProof/>
            <w:webHidden/>
          </w:rPr>
          <w:tab/>
        </w:r>
        <w:r w:rsidR="004004DB">
          <w:rPr>
            <w:noProof/>
            <w:webHidden/>
          </w:rPr>
          <w:fldChar w:fldCharType="begin"/>
        </w:r>
        <w:r w:rsidR="004004DB">
          <w:rPr>
            <w:noProof/>
            <w:webHidden/>
          </w:rPr>
          <w:instrText xml:space="preserve"> PAGEREF _Toc70089511 \h </w:instrText>
        </w:r>
        <w:r w:rsidR="004004DB">
          <w:rPr>
            <w:noProof/>
            <w:webHidden/>
          </w:rPr>
        </w:r>
        <w:r w:rsidR="004004DB">
          <w:rPr>
            <w:noProof/>
            <w:webHidden/>
          </w:rPr>
          <w:fldChar w:fldCharType="separate"/>
        </w:r>
        <w:r w:rsidR="004004DB">
          <w:rPr>
            <w:noProof/>
            <w:webHidden/>
          </w:rPr>
          <w:t>2</w:t>
        </w:r>
        <w:r w:rsidR="004004DB">
          <w:rPr>
            <w:noProof/>
            <w:webHidden/>
          </w:rPr>
          <w:fldChar w:fldCharType="end"/>
        </w:r>
      </w:hyperlink>
    </w:p>
    <w:p w14:paraId="642EC98C" w14:textId="60A25BE7" w:rsidR="004004DB" w:rsidRDefault="000C3A98">
      <w:pPr>
        <w:pStyle w:val="TOC2"/>
        <w:tabs>
          <w:tab w:val="right" w:leader="dot" w:pos="9016"/>
        </w:tabs>
        <w:rPr>
          <w:rFonts w:asciiTheme="minorHAnsi" w:eastAsiaTheme="minorEastAsia" w:hAnsiTheme="minorHAnsi"/>
          <w:noProof/>
          <w:sz w:val="22"/>
          <w:lang w:val="en-GB" w:eastAsia="en-GB"/>
        </w:rPr>
      </w:pPr>
      <w:hyperlink w:anchor="_Toc70089512" w:history="1">
        <w:r w:rsidR="004004DB" w:rsidRPr="0071327E">
          <w:rPr>
            <w:rStyle w:val="Hyperlink"/>
            <w:noProof/>
            <w:lang w:val="en-GB"/>
          </w:rPr>
          <w:t>Executive Summary</w:t>
        </w:r>
        <w:r w:rsidR="004004DB">
          <w:rPr>
            <w:noProof/>
            <w:webHidden/>
          </w:rPr>
          <w:tab/>
        </w:r>
        <w:r w:rsidR="004004DB">
          <w:rPr>
            <w:noProof/>
            <w:webHidden/>
          </w:rPr>
          <w:fldChar w:fldCharType="begin"/>
        </w:r>
        <w:r w:rsidR="004004DB">
          <w:rPr>
            <w:noProof/>
            <w:webHidden/>
          </w:rPr>
          <w:instrText xml:space="preserve"> PAGEREF _Toc70089512 \h </w:instrText>
        </w:r>
        <w:r w:rsidR="004004DB">
          <w:rPr>
            <w:noProof/>
            <w:webHidden/>
          </w:rPr>
        </w:r>
        <w:r w:rsidR="004004DB">
          <w:rPr>
            <w:noProof/>
            <w:webHidden/>
          </w:rPr>
          <w:fldChar w:fldCharType="separate"/>
        </w:r>
        <w:r w:rsidR="004004DB">
          <w:rPr>
            <w:noProof/>
            <w:webHidden/>
          </w:rPr>
          <w:t>3</w:t>
        </w:r>
        <w:r w:rsidR="004004DB">
          <w:rPr>
            <w:noProof/>
            <w:webHidden/>
          </w:rPr>
          <w:fldChar w:fldCharType="end"/>
        </w:r>
      </w:hyperlink>
    </w:p>
    <w:p w14:paraId="71F6FD83" w14:textId="18FB5173" w:rsidR="004004DB" w:rsidRDefault="000C3A98">
      <w:pPr>
        <w:pStyle w:val="TOC1"/>
        <w:tabs>
          <w:tab w:val="right" w:leader="dot" w:pos="9016"/>
        </w:tabs>
        <w:rPr>
          <w:rFonts w:asciiTheme="minorHAnsi" w:eastAsiaTheme="minorEastAsia" w:hAnsiTheme="minorHAnsi"/>
          <w:noProof/>
          <w:sz w:val="22"/>
          <w:lang w:val="en-GB" w:eastAsia="en-GB"/>
        </w:rPr>
      </w:pPr>
      <w:hyperlink w:anchor="_Toc70089513" w:history="1">
        <w:r w:rsidR="004004DB" w:rsidRPr="0071327E">
          <w:rPr>
            <w:rStyle w:val="Hyperlink"/>
            <w:noProof/>
            <w:lang w:val="en-GB"/>
          </w:rPr>
          <w:t>EDF Recommendations on Ensuring Accessible, Independent and Spontaneous Intermodal Transport for All</w:t>
        </w:r>
        <w:r w:rsidR="004004DB">
          <w:rPr>
            <w:noProof/>
            <w:webHidden/>
          </w:rPr>
          <w:tab/>
        </w:r>
        <w:r w:rsidR="004004DB">
          <w:rPr>
            <w:noProof/>
            <w:webHidden/>
          </w:rPr>
          <w:fldChar w:fldCharType="begin"/>
        </w:r>
        <w:r w:rsidR="004004DB">
          <w:rPr>
            <w:noProof/>
            <w:webHidden/>
          </w:rPr>
          <w:instrText xml:space="preserve"> PAGEREF _Toc70089513 \h </w:instrText>
        </w:r>
        <w:r w:rsidR="004004DB">
          <w:rPr>
            <w:noProof/>
            <w:webHidden/>
          </w:rPr>
        </w:r>
        <w:r w:rsidR="004004DB">
          <w:rPr>
            <w:noProof/>
            <w:webHidden/>
          </w:rPr>
          <w:fldChar w:fldCharType="separate"/>
        </w:r>
        <w:r w:rsidR="004004DB">
          <w:rPr>
            <w:noProof/>
            <w:webHidden/>
          </w:rPr>
          <w:t>4</w:t>
        </w:r>
        <w:r w:rsidR="004004DB">
          <w:rPr>
            <w:noProof/>
            <w:webHidden/>
          </w:rPr>
          <w:fldChar w:fldCharType="end"/>
        </w:r>
      </w:hyperlink>
    </w:p>
    <w:p w14:paraId="2B687BE2" w14:textId="423CE427" w:rsidR="004004DB" w:rsidRDefault="000C3A98">
      <w:pPr>
        <w:pStyle w:val="TOC2"/>
        <w:tabs>
          <w:tab w:val="right" w:leader="dot" w:pos="9016"/>
        </w:tabs>
        <w:rPr>
          <w:rFonts w:asciiTheme="minorHAnsi" w:eastAsiaTheme="minorEastAsia" w:hAnsiTheme="minorHAnsi"/>
          <w:noProof/>
          <w:sz w:val="22"/>
          <w:lang w:val="en-GB" w:eastAsia="en-GB"/>
        </w:rPr>
      </w:pPr>
      <w:hyperlink w:anchor="_Toc70089514" w:history="1">
        <w:r w:rsidR="004004DB" w:rsidRPr="0071327E">
          <w:rPr>
            <w:rStyle w:val="Hyperlink"/>
            <w:noProof/>
            <w:lang w:val="en-GB" w:eastAsia="nl-NL"/>
          </w:rPr>
          <w:t>Positive aspects of the TEN-T Regulation which should be maintained</w:t>
        </w:r>
        <w:r w:rsidR="004004DB">
          <w:rPr>
            <w:noProof/>
            <w:webHidden/>
          </w:rPr>
          <w:tab/>
        </w:r>
        <w:r w:rsidR="004004DB">
          <w:rPr>
            <w:noProof/>
            <w:webHidden/>
          </w:rPr>
          <w:fldChar w:fldCharType="begin"/>
        </w:r>
        <w:r w:rsidR="004004DB">
          <w:rPr>
            <w:noProof/>
            <w:webHidden/>
          </w:rPr>
          <w:instrText xml:space="preserve"> PAGEREF _Toc70089514 \h </w:instrText>
        </w:r>
        <w:r w:rsidR="004004DB">
          <w:rPr>
            <w:noProof/>
            <w:webHidden/>
          </w:rPr>
        </w:r>
        <w:r w:rsidR="004004DB">
          <w:rPr>
            <w:noProof/>
            <w:webHidden/>
          </w:rPr>
          <w:fldChar w:fldCharType="separate"/>
        </w:r>
        <w:r w:rsidR="004004DB">
          <w:rPr>
            <w:noProof/>
            <w:webHidden/>
          </w:rPr>
          <w:t>4</w:t>
        </w:r>
        <w:r w:rsidR="004004DB">
          <w:rPr>
            <w:noProof/>
            <w:webHidden/>
          </w:rPr>
          <w:fldChar w:fldCharType="end"/>
        </w:r>
      </w:hyperlink>
    </w:p>
    <w:p w14:paraId="62655927" w14:textId="2EB4B0F4" w:rsidR="004004DB" w:rsidRDefault="000C3A98">
      <w:pPr>
        <w:pStyle w:val="TOC2"/>
        <w:tabs>
          <w:tab w:val="right" w:leader="dot" w:pos="9016"/>
        </w:tabs>
        <w:rPr>
          <w:rFonts w:asciiTheme="minorHAnsi" w:eastAsiaTheme="minorEastAsia" w:hAnsiTheme="minorHAnsi"/>
          <w:noProof/>
          <w:sz w:val="22"/>
          <w:lang w:val="en-GB" w:eastAsia="en-GB"/>
        </w:rPr>
      </w:pPr>
      <w:hyperlink w:anchor="_Toc70089515" w:history="1">
        <w:r w:rsidR="004004DB" w:rsidRPr="0071327E">
          <w:rPr>
            <w:rStyle w:val="Hyperlink"/>
            <w:noProof/>
            <w:lang w:val="en-GB" w:eastAsia="nl-NL"/>
          </w:rPr>
          <w:t>Necessary improvements for ensuring accessible, independent and spontaneous intermodal transport for all</w:t>
        </w:r>
        <w:r w:rsidR="004004DB">
          <w:rPr>
            <w:noProof/>
            <w:webHidden/>
          </w:rPr>
          <w:tab/>
        </w:r>
        <w:r w:rsidR="004004DB">
          <w:rPr>
            <w:noProof/>
            <w:webHidden/>
          </w:rPr>
          <w:fldChar w:fldCharType="begin"/>
        </w:r>
        <w:r w:rsidR="004004DB">
          <w:rPr>
            <w:noProof/>
            <w:webHidden/>
          </w:rPr>
          <w:instrText xml:space="preserve"> PAGEREF _Toc70089515 \h </w:instrText>
        </w:r>
        <w:r w:rsidR="004004DB">
          <w:rPr>
            <w:noProof/>
            <w:webHidden/>
          </w:rPr>
        </w:r>
        <w:r w:rsidR="004004DB">
          <w:rPr>
            <w:noProof/>
            <w:webHidden/>
          </w:rPr>
          <w:fldChar w:fldCharType="separate"/>
        </w:r>
        <w:r w:rsidR="004004DB">
          <w:rPr>
            <w:noProof/>
            <w:webHidden/>
          </w:rPr>
          <w:t>5</w:t>
        </w:r>
        <w:r w:rsidR="004004DB">
          <w:rPr>
            <w:noProof/>
            <w:webHidden/>
          </w:rPr>
          <w:fldChar w:fldCharType="end"/>
        </w:r>
      </w:hyperlink>
    </w:p>
    <w:p w14:paraId="651A1504" w14:textId="23BFFA25" w:rsidR="004004DB" w:rsidRDefault="000C3A98">
      <w:pPr>
        <w:pStyle w:val="TOC1"/>
        <w:tabs>
          <w:tab w:val="right" w:leader="dot" w:pos="9016"/>
        </w:tabs>
        <w:rPr>
          <w:rFonts w:asciiTheme="minorHAnsi" w:eastAsiaTheme="minorEastAsia" w:hAnsiTheme="minorHAnsi"/>
          <w:noProof/>
          <w:sz w:val="22"/>
          <w:lang w:val="en-GB" w:eastAsia="en-GB"/>
        </w:rPr>
      </w:pPr>
      <w:hyperlink w:anchor="_Toc70089516" w:history="1">
        <w:r w:rsidR="004004DB" w:rsidRPr="0071327E">
          <w:rPr>
            <w:rStyle w:val="Hyperlink"/>
            <w:noProof/>
            <w:lang w:val="en-GB" w:eastAsia="nl-NL"/>
          </w:rPr>
          <w:t>Background information</w:t>
        </w:r>
        <w:r w:rsidR="004004DB">
          <w:rPr>
            <w:noProof/>
            <w:webHidden/>
          </w:rPr>
          <w:tab/>
        </w:r>
        <w:r w:rsidR="004004DB">
          <w:rPr>
            <w:noProof/>
            <w:webHidden/>
          </w:rPr>
          <w:fldChar w:fldCharType="begin"/>
        </w:r>
        <w:r w:rsidR="004004DB">
          <w:rPr>
            <w:noProof/>
            <w:webHidden/>
          </w:rPr>
          <w:instrText xml:space="preserve"> PAGEREF _Toc70089516 \h </w:instrText>
        </w:r>
        <w:r w:rsidR="004004DB">
          <w:rPr>
            <w:noProof/>
            <w:webHidden/>
          </w:rPr>
        </w:r>
        <w:r w:rsidR="004004DB">
          <w:rPr>
            <w:noProof/>
            <w:webHidden/>
          </w:rPr>
          <w:fldChar w:fldCharType="separate"/>
        </w:r>
        <w:r w:rsidR="004004DB">
          <w:rPr>
            <w:noProof/>
            <w:webHidden/>
          </w:rPr>
          <w:t>11</w:t>
        </w:r>
        <w:r w:rsidR="004004DB">
          <w:rPr>
            <w:noProof/>
            <w:webHidden/>
          </w:rPr>
          <w:fldChar w:fldCharType="end"/>
        </w:r>
      </w:hyperlink>
    </w:p>
    <w:p w14:paraId="34A53137" w14:textId="630437E6" w:rsidR="004004DB" w:rsidRDefault="000C3A98">
      <w:pPr>
        <w:pStyle w:val="TOC2"/>
        <w:tabs>
          <w:tab w:val="right" w:leader="dot" w:pos="9016"/>
        </w:tabs>
        <w:rPr>
          <w:rFonts w:asciiTheme="minorHAnsi" w:eastAsiaTheme="minorEastAsia" w:hAnsiTheme="minorHAnsi"/>
          <w:noProof/>
          <w:sz w:val="22"/>
          <w:lang w:val="en-GB" w:eastAsia="en-GB"/>
        </w:rPr>
      </w:pPr>
      <w:hyperlink w:anchor="_Toc70089517" w:history="1">
        <w:r w:rsidR="004004DB" w:rsidRPr="0071327E">
          <w:rPr>
            <w:rStyle w:val="Hyperlink"/>
            <w:noProof/>
            <w:lang w:val="en-GB"/>
          </w:rPr>
          <w:t xml:space="preserve">International and European Legal and Policy Framework </w:t>
        </w:r>
        <w:r w:rsidR="004004DB">
          <w:rPr>
            <w:noProof/>
            <w:webHidden/>
          </w:rPr>
          <w:tab/>
        </w:r>
        <w:r w:rsidR="004004DB">
          <w:rPr>
            <w:noProof/>
            <w:webHidden/>
          </w:rPr>
          <w:fldChar w:fldCharType="begin"/>
        </w:r>
        <w:r w:rsidR="004004DB">
          <w:rPr>
            <w:noProof/>
            <w:webHidden/>
          </w:rPr>
          <w:instrText xml:space="preserve"> PAGEREF _Toc70089517 \h </w:instrText>
        </w:r>
        <w:r w:rsidR="004004DB">
          <w:rPr>
            <w:noProof/>
            <w:webHidden/>
          </w:rPr>
        </w:r>
        <w:r w:rsidR="004004DB">
          <w:rPr>
            <w:noProof/>
            <w:webHidden/>
          </w:rPr>
          <w:fldChar w:fldCharType="separate"/>
        </w:r>
        <w:r w:rsidR="004004DB">
          <w:rPr>
            <w:noProof/>
            <w:webHidden/>
          </w:rPr>
          <w:t>11</w:t>
        </w:r>
        <w:r w:rsidR="004004DB">
          <w:rPr>
            <w:noProof/>
            <w:webHidden/>
          </w:rPr>
          <w:fldChar w:fldCharType="end"/>
        </w:r>
      </w:hyperlink>
    </w:p>
    <w:p w14:paraId="405DE100" w14:textId="7886E336" w:rsidR="004004DB" w:rsidRDefault="000C3A98">
      <w:pPr>
        <w:pStyle w:val="TOC1"/>
        <w:tabs>
          <w:tab w:val="right" w:leader="dot" w:pos="9016"/>
        </w:tabs>
        <w:rPr>
          <w:rFonts w:asciiTheme="minorHAnsi" w:eastAsiaTheme="minorEastAsia" w:hAnsiTheme="minorHAnsi"/>
          <w:noProof/>
          <w:sz w:val="22"/>
          <w:lang w:val="en-GB" w:eastAsia="en-GB"/>
        </w:rPr>
      </w:pPr>
      <w:hyperlink w:anchor="_Toc70089518" w:history="1">
        <w:r w:rsidR="004004DB" w:rsidRPr="0071327E">
          <w:rPr>
            <w:rStyle w:val="Hyperlink"/>
            <w:noProof/>
            <w:lang w:val="en-GB"/>
          </w:rPr>
          <w:t>Document credits</w:t>
        </w:r>
        <w:r w:rsidR="004004DB">
          <w:rPr>
            <w:noProof/>
            <w:webHidden/>
          </w:rPr>
          <w:tab/>
        </w:r>
        <w:r w:rsidR="004004DB">
          <w:rPr>
            <w:noProof/>
            <w:webHidden/>
          </w:rPr>
          <w:fldChar w:fldCharType="begin"/>
        </w:r>
        <w:r w:rsidR="004004DB">
          <w:rPr>
            <w:noProof/>
            <w:webHidden/>
          </w:rPr>
          <w:instrText xml:space="preserve"> PAGEREF _Toc70089518 \h </w:instrText>
        </w:r>
        <w:r w:rsidR="004004DB">
          <w:rPr>
            <w:noProof/>
            <w:webHidden/>
          </w:rPr>
        </w:r>
        <w:r w:rsidR="004004DB">
          <w:rPr>
            <w:noProof/>
            <w:webHidden/>
          </w:rPr>
          <w:fldChar w:fldCharType="separate"/>
        </w:r>
        <w:r w:rsidR="004004DB">
          <w:rPr>
            <w:noProof/>
            <w:webHidden/>
          </w:rPr>
          <w:t>13</w:t>
        </w:r>
        <w:r w:rsidR="004004DB">
          <w:rPr>
            <w:noProof/>
            <w:webHidden/>
          </w:rPr>
          <w:fldChar w:fldCharType="end"/>
        </w:r>
      </w:hyperlink>
    </w:p>
    <w:p w14:paraId="588D3280" w14:textId="6C8D848E" w:rsidR="001E0F08" w:rsidRPr="00F20CE7" w:rsidRDefault="00A9576D" w:rsidP="00282B80">
      <w:pPr>
        <w:pStyle w:val="Heading1"/>
        <w:rPr>
          <w:lang w:val="en-GB"/>
        </w:rPr>
      </w:pPr>
      <w:r w:rsidRPr="00F20CE7">
        <w:rPr>
          <w:lang w:val="en-GB"/>
        </w:rPr>
        <w:fldChar w:fldCharType="end"/>
      </w:r>
      <w:bookmarkStart w:id="1" w:name="_Toc70089511"/>
      <w:r w:rsidR="001E0F08" w:rsidRPr="00F20CE7">
        <w:rPr>
          <w:lang w:val="en-GB"/>
        </w:rPr>
        <w:t>Introduction</w:t>
      </w:r>
      <w:bookmarkEnd w:id="1"/>
    </w:p>
    <w:p w14:paraId="70F30724" w14:textId="3C116A6C" w:rsidR="00282B80" w:rsidRPr="00F20CE7" w:rsidRDefault="00282B80" w:rsidP="00282B80">
      <w:pPr>
        <w:pStyle w:val="Heading3"/>
        <w:rPr>
          <w:lang w:val="en-GB"/>
        </w:rPr>
      </w:pPr>
      <w:r w:rsidRPr="00F20CE7">
        <w:rPr>
          <w:lang w:val="en-GB"/>
        </w:rPr>
        <w:t>The European Disability Forum</w:t>
      </w:r>
    </w:p>
    <w:p w14:paraId="06C637A5" w14:textId="7BBE5383" w:rsidR="003D062D" w:rsidRDefault="00282B80" w:rsidP="00282B80">
      <w:pPr>
        <w:rPr>
          <w:lang w:val="en-GB"/>
        </w:rPr>
      </w:pPr>
      <w:r w:rsidRPr="00F20CE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4F96CDBD" w14:textId="77777777" w:rsidR="003D062D" w:rsidRDefault="003D062D">
      <w:pPr>
        <w:rPr>
          <w:lang w:val="en-GB"/>
        </w:rPr>
      </w:pPr>
      <w:r>
        <w:rPr>
          <w:lang w:val="en-GB"/>
        </w:rPr>
        <w:br w:type="page"/>
      </w:r>
    </w:p>
    <w:p w14:paraId="5F2DC615" w14:textId="55C8A389" w:rsidR="00282B80" w:rsidRPr="00F20CE7" w:rsidRDefault="00282B80" w:rsidP="00282B80">
      <w:pPr>
        <w:pStyle w:val="Heading2"/>
        <w:rPr>
          <w:lang w:val="en-GB"/>
        </w:rPr>
      </w:pPr>
      <w:bookmarkStart w:id="2" w:name="_Toc70089512"/>
      <w:r w:rsidRPr="00F20CE7">
        <w:rPr>
          <w:lang w:val="en-GB"/>
        </w:rPr>
        <w:lastRenderedPageBreak/>
        <w:t>Executive Summary</w:t>
      </w:r>
      <w:bookmarkEnd w:id="2"/>
    </w:p>
    <w:p w14:paraId="0C0747DF" w14:textId="05216ED5" w:rsidR="001E1902" w:rsidRDefault="001E1902" w:rsidP="00021933">
      <w:pPr>
        <w:rPr>
          <w:lang w:val="en-GB" w:eastAsia="nl-NL"/>
        </w:rPr>
      </w:pPr>
      <w:r w:rsidRPr="00F20CE7">
        <w:rPr>
          <w:lang w:val="en-GB" w:eastAsia="nl-NL"/>
        </w:rPr>
        <w:t>EDF welcomes the opportunity to further improve the</w:t>
      </w:r>
      <w:r w:rsidR="00A25EB5">
        <w:rPr>
          <w:lang w:val="en-GB" w:eastAsia="nl-NL"/>
        </w:rPr>
        <w:t xml:space="preserve"> TEN-T</w:t>
      </w:r>
      <w:r w:rsidRPr="00F20CE7">
        <w:rPr>
          <w:lang w:val="en-GB" w:eastAsia="nl-NL"/>
        </w:rPr>
        <w:t xml:space="preserve"> Regulation by revising </w:t>
      </w:r>
      <w:r>
        <w:rPr>
          <w:lang w:val="en-GB" w:eastAsia="nl-NL"/>
        </w:rPr>
        <w:t>it</w:t>
      </w:r>
      <w:r w:rsidRPr="00F20CE7">
        <w:rPr>
          <w:lang w:val="en-GB" w:eastAsia="nl-NL"/>
        </w:rPr>
        <w:t>, to ensure that equal access to transport is achieved and right to freedom of movement of persons with disabilities is fully respected in the EU. To achieve this, the revised TEN-T Regulation must:</w:t>
      </w:r>
    </w:p>
    <w:p w14:paraId="1E030BBF" w14:textId="33534799" w:rsidR="001E1902" w:rsidRDefault="001E1902" w:rsidP="00A25EB5">
      <w:pPr>
        <w:pStyle w:val="Heading4"/>
        <w:rPr>
          <w:lang w:val="en-GB" w:eastAsia="nl-NL"/>
        </w:rPr>
      </w:pPr>
      <w:r>
        <w:rPr>
          <w:lang w:val="en-GB" w:eastAsia="nl-NL"/>
        </w:rPr>
        <w:t>Keep existing references to accessibility</w:t>
      </w:r>
    </w:p>
    <w:p w14:paraId="7D29EE91" w14:textId="6EA593BA" w:rsidR="00F608C6" w:rsidRPr="001E1902" w:rsidRDefault="001E1902" w:rsidP="00A25EB5">
      <w:pPr>
        <w:pStyle w:val="ListParagraph"/>
        <w:numPr>
          <w:ilvl w:val="0"/>
          <w:numId w:val="10"/>
        </w:numPr>
        <w:rPr>
          <w:lang w:val="en-GB" w:eastAsia="nl-NL"/>
        </w:rPr>
      </w:pPr>
      <w:r w:rsidRPr="001E1902">
        <w:rPr>
          <w:lang w:val="en-GB" w:eastAsia="nl-NL"/>
        </w:rPr>
        <w:t xml:space="preserve">The </w:t>
      </w:r>
      <w:r>
        <w:rPr>
          <w:lang w:val="en-GB" w:eastAsia="nl-NL"/>
        </w:rPr>
        <w:t xml:space="preserve">existing </w:t>
      </w:r>
      <w:r w:rsidR="00F608C6" w:rsidRPr="001E1902">
        <w:rPr>
          <w:lang w:val="en-GB" w:eastAsia="nl-NL"/>
        </w:rPr>
        <w:t xml:space="preserve">provision on </w:t>
      </w:r>
      <w:r w:rsidR="00F608C6" w:rsidRPr="001E1902">
        <w:rPr>
          <w:b/>
          <w:lang w:val="en-GB" w:eastAsia="nl-NL"/>
        </w:rPr>
        <w:t>accessibility</w:t>
      </w:r>
      <w:r w:rsidR="00F608C6" w:rsidRPr="001E1902">
        <w:rPr>
          <w:lang w:val="en-GB" w:eastAsia="nl-NL"/>
        </w:rPr>
        <w:t xml:space="preserve"> of the trans-European transport network for </w:t>
      </w:r>
      <w:r w:rsidR="00F608C6" w:rsidRPr="001E1902">
        <w:rPr>
          <w:b/>
          <w:u w:val="single"/>
          <w:lang w:val="en-GB" w:eastAsia="nl-NL"/>
        </w:rPr>
        <w:t>all</w:t>
      </w:r>
      <w:r w:rsidR="00F608C6" w:rsidRPr="001E1902">
        <w:rPr>
          <w:b/>
          <w:lang w:val="en-GB" w:eastAsia="nl-NL"/>
        </w:rPr>
        <w:t xml:space="preserve"> users</w:t>
      </w:r>
      <w:r w:rsidR="00F608C6" w:rsidRPr="001E1902">
        <w:rPr>
          <w:lang w:val="en-GB" w:eastAsia="nl-NL"/>
        </w:rPr>
        <w:t xml:space="preserve"> </w:t>
      </w:r>
      <w:r w:rsidR="00F608C6" w:rsidRPr="00B318FA">
        <w:rPr>
          <w:b/>
          <w:lang w:val="en-GB" w:eastAsia="nl-NL"/>
        </w:rPr>
        <w:t>(Art 37).</w:t>
      </w:r>
      <w:r w:rsidR="00F608C6" w:rsidRPr="001E1902">
        <w:rPr>
          <w:lang w:val="en-GB" w:eastAsia="nl-NL"/>
        </w:rPr>
        <w:t xml:space="preserve"> </w:t>
      </w:r>
      <w:r w:rsidR="00F608C6" w:rsidRPr="001E1902">
        <w:rPr>
          <w:b/>
          <w:lang w:val="en-GB" w:eastAsia="nl-NL"/>
        </w:rPr>
        <w:t>should definitely be included in the revised law.</w:t>
      </w:r>
      <w:r w:rsidR="00F608C6" w:rsidRPr="001E1902">
        <w:rPr>
          <w:lang w:val="en-GB" w:eastAsia="nl-NL"/>
        </w:rPr>
        <w:t xml:space="preserve"> </w:t>
      </w:r>
    </w:p>
    <w:p w14:paraId="0504205D" w14:textId="77BE2FAE" w:rsidR="007C7969" w:rsidRPr="007649B3" w:rsidRDefault="007C7969" w:rsidP="007649B3">
      <w:pPr>
        <w:pStyle w:val="Heading4"/>
        <w:rPr>
          <w:lang w:val="en-GB"/>
        </w:rPr>
      </w:pPr>
      <w:r w:rsidRPr="007649B3">
        <w:rPr>
          <w:lang w:val="en-GB"/>
        </w:rPr>
        <w:t>Strengthen accessibility</w:t>
      </w:r>
    </w:p>
    <w:p w14:paraId="31B26F76" w14:textId="77777777" w:rsidR="007649B3" w:rsidRDefault="00021933" w:rsidP="007649B3">
      <w:pPr>
        <w:pStyle w:val="ListParagraph"/>
        <w:numPr>
          <w:ilvl w:val="0"/>
          <w:numId w:val="7"/>
        </w:numPr>
        <w:spacing w:after="240" w:line="240" w:lineRule="auto"/>
        <w:rPr>
          <w:rFonts w:cs="Arial"/>
          <w:lang w:val="en-GB"/>
        </w:rPr>
      </w:pPr>
      <w:r w:rsidRPr="007649B3">
        <w:rPr>
          <w:rFonts w:cs="Arial"/>
          <w:lang w:val="en-GB"/>
        </w:rPr>
        <w:t xml:space="preserve">Clarify the definition of accessibility with a design for all (universal design) approach in accordance with the UN </w:t>
      </w:r>
      <w:r w:rsidR="007649B3" w:rsidRPr="007649B3">
        <w:rPr>
          <w:rFonts w:cs="Arial"/>
          <w:lang w:val="en-GB"/>
        </w:rPr>
        <w:t>Convention on the Rights of Persons with Disabilities (UN CRPD).</w:t>
      </w:r>
    </w:p>
    <w:p w14:paraId="0E276E23" w14:textId="248A3DFB" w:rsidR="00F20CE7" w:rsidRPr="007649B3" w:rsidRDefault="00021933" w:rsidP="007649B3">
      <w:pPr>
        <w:pStyle w:val="ListParagraph"/>
        <w:numPr>
          <w:ilvl w:val="0"/>
          <w:numId w:val="7"/>
        </w:numPr>
        <w:spacing w:after="240" w:line="240" w:lineRule="auto"/>
        <w:rPr>
          <w:rFonts w:cs="Arial"/>
          <w:lang w:val="en-GB"/>
        </w:rPr>
      </w:pPr>
      <w:r w:rsidRPr="007649B3">
        <w:rPr>
          <w:rFonts w:cs="Arial"/>
          <w:lang w:val="en-GB"/>
        </w:rPr>
        <w:t>Mainstream accessibility throughout the Regulation in addition to the specific article on accessibility, i.e., article 37</w:t>
      </w:r>
      <w:r w:rsidR="005268D9">
        <w:rPr>
          <w:rFonts w:cs="Arial"/>
          <w:lang w:val="en-GB"/>
        </w:rPr>
        <w:t>.</w:t>
      </w:r>
    </w:p>
    <w:p w14:paraId="7825B697" w14:textId="56381FD2" w:rsidR="007C7969" w:rsidRPr="007649B3" w:rsidRDefault="007C7969" w:rsidP="007649B3">
      <w:pPr>
        <w:pStyle w:val="Heading4"/>
        <w:rPr>
          <w:lang w:val="en-GB"/>
        </w:rPr>
      </w:pPr>
      <w:r w:rsidRPr="007649B3">
        <w:rPr>
          <w:lang w:val="en-GB"/>
        </w:rPr>
        <w:t>Set clearer targets</w:t>
      </w:r>
    </w:p>
    <w:p w14:paraId="65F56E5E" w14:textId="0134DFF6" w:rsidR="00F20CE7" w:rsidRPr="005268D9" w:rsidRDefault="00021933" w:rsidP="005268D9">
      <w:pPr>
        <w:pStyle w:val="ListParagraph"/>
        <w:numPr>
          <w:ilvl w:val="0"/>
          <w:numId w:val="8"/>
        </w:numPr>
        <w:spacing w:after="240" w:line="240" w:lineRule="auto"/>
        <w:rPr>
          <w:rFonts w:cs="Arial"/>
          <w:lang w:val="en-GB"/>
        </w:rPr>
      </w:pPr>
      <w:r w:rsidRPr="005268D9">
        <w:rPr>
          <w:rFonts w:cs="Arial"/>
          <w:lang w:val="en-GB"/>
        </w:rPr>
        <w:t>Set deadlines for ensuring accessibility of the core and comprehensive networks</w:t>
      </w:r>
      <w:r w:rsidR="005268D9">
        <w:rPr>
          <w:rFonts w:cs="Arial"/>
          <w:lang w:val="en-GB"/>
        </w:rPr>
        <w:t>.</w:t>
      </w:r>
    </w:p>
    <w:p w14:paraId="422BAEBA" w14:textId="0572EA11" w:rsidR="00F20CE7" w:rsidRPr="005268D9" w:rsidRDefault="00F20CE7" w:rsidP="005268D9">
      <w:pPr>
        <w:pStyle w:val="Heading4"/>
        <w:rPr>
          <w:lang w:val="en-GB"/>
        </w:rPr>
      </w:pPr>
      <w:r w:rsidRPr="005268D9">
        <w:rPr>
          <w:lang w:val="en-GB"/>
        </w:rPr>
        <w:t>Expand scope in general and in relation to accessibility</w:t>
      </w:r>
    </w:p>
    <w:p w14:paraId="7B8B0FE1" w14:textId="677F7398" w:rsidR="005268D9" w:rsidRDefault="00021933" w:rsidP="005268D9">
      <w:pPr>
        <w:pStyle w:val="ListParagraph"/>
        <w:numPr>
          <w:ilvl w:val="0"/>
          <w:numId w:val="4"/>
        </w:numPr>
        <w:spacing w:after="240" w:line="240" w:lineRule="auto"/>
        <w:rPr>
          <w:rFonts w:cs="Arial"/>
          <w:lang w:val="en-GB"/>
        </w:rPr>
      </w:pPr>
      <w:r w:rsidRPr="00F20CE7">
        <w:rPr>
          <w:rFonts w:cs="Arial"/>
          <w:lang w:val="en-GB"/>
        </w:rPr>
        <w:t>Includ</w:t>
      </w:r>
      <w:r w:rsidR="005268D9">
        <w:rPr>
          <w:rFonts w:cs="Arial"/>
          <w:lang w:val="en-GB"/>
        </w:rPr>
        <w:t>e</w:t>
      </w:r>
      <w:r w:rsidRPr="00F20CE7">
        <w:rPr>
          <w:rFonts w:cs="Arial"/>
          <w:lang w:val="en-GB"/>
        </w:rPr>
        <w:t xml:space="preserve"> and address accessibility of vehicles in the Regulation</w:t>
      </w:r>
      <w:r w:rsidR="000E43CD">
        <w:rPr>
          <w:rFonts w:cs="Arial"/>
          <w:lang w:val="en-GB"/>
        </w:rPr>
        <w:t>.</w:t>
      </w:r>
    </w:p>
    <w:p w14:paraId="612819E7" w14:textId="1F8283EF" w:rsidR="005268D9" w:rsidRDefault="00021933" w:rsidP="005268D9">
      <w:pPr>
        <w:pStyle w:val="ListParagraph"/>
        <w:numPr>
          <w:ilvl w:val="0"/>
          <w:numId w:val="4"/>
        </w:numPr>
        <w:spacing w:after="240" w:line="240" w:lineRule="auto"/>
        <w:rPr>
          <w:rFonts w:cs="Arial"/>
          <w:lang w:val="en-GB"/>
        </w:rPr>
      </w:pPr>
      <w:r w:rsidRPr="005268D9">
        <w:rPr>
          <w:rFonts w:cs="Arial"/>
          <w:lang w:val="en-GB"/>
        </w:rPr>
        <w:t>Ensur</w:t>
      </w:r>
      <w:r w:rsidR="005268D9">
        <w:rPr>
          <w:rFonts w:cs="Arial"/>
          <w:lang w:val="en-GB"/>
        </w:rPr>
        <w:t>e</w:t>
      </w:r>
      <w:r w:rsidRPr="005268D9">
        <w:rPr>
          <w:rFonts w:cs="Arial"/>
          <w:lang w:val="en-GB"/>
        </w:rPr>
        <w:t xml:space="preserve"> accessibility of urban nodes and door-to-door travel</w:t>
      </w:r>
      <w:r w:rsidR="000E43CD">
        <w:rPr>
          <w:rFonts w:cs="Arial"/>
          <w:lang w:val="en-GB"/>
        </w:rPr>
        <w:t>.</w:t>
      </w:r>
    </w:p>
    <w:p w14:paraId="5ACD01E0" w14:textId="61609EB9" w:rsidR="00F20CE7" w:rsidRPr="005268D9" w:rsidRDefault="00F20CE7" w:rsidP="005268D9">
      <w:pPr>
        <w:pStyle w:val="Heading4"/>
        <w:rPr>
          <w:lang w:val="en-GB"/>
        </w:rPr>
      </w:pPr>
      <w:r w:rsidRPr="005268D9">
        <w:rPr>
          <w:lang w:val="en-GB"/>
        </w:rPr>
        <w:t>Address funding issues</w:t>
      </w:r>
    </w:p>
    <w:p w14:paraId="3D6DBAC9" w14:textId="7FEF0670" w:rsidR="005268D9" w:rsidRDefault="00021933" w:rsidP="005268D9">
      <w:pPr>
        <w:pStyle w:val="ListParagraph"/>
        <w:numPr>
          <w:ilvl w:val="0"/>
          <w:numId w:val="9"/>
        </w:numPr>
        <w:spacing w:after="240" w:line="240" w:lineRule="auto"/>
        <w:rPr>
          <w:rFonts w:cs="Arial"/>
          <w:lang w:val="en-GB"/>
        </w:rPr>
      </w:pPr>
      <w:r w:rsidRPr="005268D9">
        <w:rPr>
          <w:rFonts w:cs="Arial"/>
          <w:lang w:val="en-GB"/>
        </w:rPr>
        <w:t>Ensur</w:t>
      </w:r>
      <w:r w:rsidR="005268D9">
        <w:rPr>
          <w:rFonts w:cs="Arial"/>
          <w:lang w:val="en-GB"/>
        </w:rPr>
        <w:t>e</w:t>
      </w:r>
      <w:r w:rsidRPr="005268D9">
        <w:rPr>
          <w:rFonts w:cs="Arial"/>
          <w:lang w:val="en-GB"/>
        </w:rPr>
        <w:t xml:space="preserve"> </w:t>
      </w:r>
      <w:r w:rsidR="007C7969" w:rsidRPr="005268D9">
        <w:rPr>
          <w:rFonts w:cs="Arial"/>
          <w:lang w:val="en-GB"/>
        </w:rPr>
        <w:t xml:space="preserve">that </w:t>
      </w:r>
      <w:r w:rsidRPr="005268D9">
        <w:rPr>
          <w:rFonts w:cs="Arial"/>
          <w:lang w:val="en-GB"/>
        </w:rPr>
        <w:t>projects</w:t>
      </w:r>
      <w:r w:rsidR="007C7969" w:rsidRPr="005268D9">
        <w:rPr>
          <w:rFonts w:cs="Arial"/>
          <w:lang w:val="en-GB"/>
        </w:rPr>
        <w:t xml:space="preserve"> funded</w:t>
      </w:r>
      <w:r w:rsidRPr="005268D9">
        <w:rPr>
          <w:rFonts w:cs="Arial"/>
          <w:lang w:val="en-GB"/>
        </w:rPr>
        <w:t xml:space="preserve"> </w:t>
      </w:r>
      <w:r w:rsidR="007C7969" w:rsidRPr="005268D9">
        <w:rPr>
          <w:rFonts w:cs="Arial"/>
          <w:lang w:val="en-GB"/>
        </w:rPr>
        <w:t>under TEN-T do not</w:t>
      </w:r>
      <w:r w:rsidRPr="005268D9">
        <w:rPr>
          <w:rFonts w:cs="Arial"/>
          <w:lang w:val="en-GB"/>
        </w:rPr>
        <w:t xml:space="preserve"> create </w:t>
      </w:r>
      <w:r w:rsidR="007C7969" w:rsidRPr="005268D9">
        <w:rPr>
          <w:rFonts w:cs="Arial"/>
          <w:lang w:val="en-GB"/>
        </w:rPr>
        <w:t>or</w:t>
      </w:r>
      <w:r w:rsidRPr="005268D9">
        <w:rPr>
          <w:rFonts w:cs="Arial"/>
          <w:lang w:val="en-GB"/>
        </w:rPr>
        <w:t xml:space="preserve"> maintain </w:t>
      </w:r>
      <w:r w:rsidR="007C7969" w:rsidRPr="005268D9">
        <w:rPr>
          <w:rFonts w:cs="Arial"/>
          <w:lang w:val="en-GB"/>
        </w:rPr>
        <w:t>accessibility barriers</w:t>
      </w:r>
      <w:r w:rsidR="005268D9">
        <w:rPr>
          <w:rFonts w:cs="Arial"/>
          <w:lang w:val="en-GB"/>
        </w:rPr>
        <w:t>.</w:t>
      </w:r>
    </w:p>
    <w:p w14:paraId="593C907C" w14:textId="766924B5" w:rsidR="00021933" w:rsidRPr="005268D9" w:rsidRDefault="007C7969" w:rsidP="005268D9">
      <w:pPr>
        <w:pStyle w:val="ListParagraph"/>
        <w:numPr>
          <w:ilvl w:val="0"/>
          <w:numId w:val="9"/>
        </w:numPr>
        <w:spacing w:after="240" w:line="240" w:lineRule="auto"/>
        <w:rPr>
          <w:rFonts w:cs="Arial"/>
          <w:lang w:val="en-GB"/>
        </w:rPr>
      </w:pPr>
      <w:r w:rsidRPr="005268D9">
        <w:rPr>
          <w:rFonts w:cs="Arial"/>
          <w:lang w:val="en-GB"/>
        </w:rPr>
        <w:t>Increas</w:t>
      </w:r>
      <w:r w:rsidR="005268D9">
        <w:rPr>
          <w:rFonts w:cs="Arial"/>
          <w:lang w:val="en-GB"/>
        </w:rPr>
        <w:t>e</w:t>
      </w:r>
      <w:r w:rsidRPr="005268D9">
        <w:rPr>
          <w:rFonts w:cs="Arial"/>
          <w:lang w:val="en-GB"/>
        </w:rPr>
        <w:t xml:space="preserve"> transparency and accountability of funding</w:t>
      </w:r>
      <w:r w:rsidR="00021933" w:rsidRPr="005268D9">
        <w:rPr>
          <w:rFonts w:cs="Arial"/>
          <w:lang w:val="en-GB"/>
        </w:rPr>
        <w:t xml:space="preserve"> </w:t>
      </w:r>
      <w:r w:rsidRPr="005268D9">
        <w:rPr>
          <w:rFonts w:cs="Arial"/>
          <w:lang w:val="en-GB"/>
        </w:rPr>
        <w:t>by providing publicly available, easy to find, easy to understand, and accessible information on award criteria, awarded projects, as well as implementation and outcomes of projects</w:t>
      </w:r>
      <w:r w:rsidR="005268D9">
        <w:rPr>
          <w:rFonts w:cs="Arial"/>
          <w:lang w:val="en-GB"/>
        </w:rPr>
        <w:t>.</w:t>
      </w:r>
    </w:p>
    <w:p w14:paraId="251FD3C1" w14:textId="4A1B3DA6" w:rsidR="00F20CE7" w:rsidRPr="005268D9" w:rsidRDefault="00F20CE7" w:rsidP="005268D9">
      <w:pPr>
        <w:pStyle w:val="Heading4"/>
        <w:rPr>
          <w:lang w:val="en-GB"/>
        </w:rPr>
      </w:pPr>
      <w:r w:rsidRPr="005268D9">
        <w:rPr>
          <w:lang w:val="en-GB"/>
        </w:rPr>
        <w:t>Strengthen monitoring and enforcement</w:t>
      </w:r>
    </w:p>
    <w:p w14:paraId="4122EE06" w14:textId="1218E35F" w:rsidR="005268D9" w:rsidRDefault="007C7969" w:rsidP="005268D9">
      <w:pPr>
        <w:pStyle w:val="ListParagraph"/>
        <w:numPr>
          <w:ilvl w:val="0"/>
          <w:numId w:val="4"/>
        </w:numPr>
        <w:spacing w:after="240" w:line="240" w:lineRule="auto"/>
        <w:rPr>
          <w:rFonts w:cs="Arial"/>
          <w:lang w:val="en-GB"/>
        </w:rPr>
      </w:pPr>
      <w:r w:rsidRPr="00F20CE7">
        <w:rPr>
          <w:rFonts w:cs="Arial"/>
          <w:lang w:val="en-GB"/>
        </w:rPr>
        <w:t xml:space="preserve">Strengthen </w:t>
      </w:r>
      <w:r w:rsidR="00021933" w:rsidRPr="00F20CE7">
        <w:rPr>
          <w:rFonts w:cs="Arial"/>
          <w:lang w:val="en-GB"/>
        </w:rPr>
        <w:t xml:space="preserve">monitoring </w:t>
      </w:r>
      <w:r w:rsidRPr="00F20CE7">
        <w:rPr>
          <w:rFonts w:cs="Arial"/>
          <w:lang w:val="en-GB"/>
        </w:rPr>
        <w:t>of accessibility of TEN-T projects</w:t>
      </w:r>
      <w:r w:rsidR="000E43CD">
        <w:rPr>
          <w:rFonts w:cs="Arial"/>
          <w:lang w:val="en-GB"/>
        </w:rPr>
        <w:t>.</w:t>
      </w:r>
    </w:p>
    <w:p w14:paraId="22EB65F0" w14:textId="5FD773B9" w:rsidR="005268D9" w:rsidRDefault="00F20CE7" w:rsidP="005268D9">
      <w:pPr>
        <w:pStyle w:val="ListParagraph"/>
        <w:numPr>
          <w:ilvl w:val="0"/>
          <w:numId w:val="4"/>
        </w:numPr>
        <w:spacing w:after="240" w:line="240" w:lineRule="auto"/>
        <w:rPr>
          <w:rFonts w:cs="Arial"/>
          <w:lang w:val="en-GB"/>
        </w:rPr>
      </w:pPr>
      <w:r w:rsidRPr="005268D9">
        <w:rPr>
          <w:rFonts w:cs="Arial"/>
          <w:lang w:val="en-GB"/>
        </w:rPr>
        <w:t>Strengthen e</w:t>
      </w:r>
      <w:r w:rsidR="00021933" w:rsidRPr="005268D9">
        <w:rPr>
          <w:rFonts w:cs="Arial"/>
          <w:lang w:val="en-GB"/>
        </w:rPr>
        <w:t>nforcement, reporting and remedy mechanisms</w:t>
      </w:r>
      <w:r w:rsidR="000E43CD">
        <w:rPr>
          <w:rFonts w:cs="Arial"/>
          <w:lang w:val="en-GB"/>
        </w:rPr>
        <w:t>.</w:t>
      </w:r>
    </w:p>
    <w:p w14:paraId="45BDADC6" w14:textId="7431716C" w:rsidR="00F608C6" w:rsidRPr="005268D9" w:rsidRDefault="00F20CE7" w:rsidP="005268D9">
      <w:pPr>
        <w:pStyle w:val="Heading4"/>
        <w:rPr>
          <w:lang w:val="en-GB"/>
        </w:rPr>
      </w:pPr>
      <w:r w:rsidRPr="005268D9">
        <w:rPr>
          <w:lang w:val="en-GB"/>
        </w:rPr>
        <w:t xml:space="preserve">Ensuring meaningful participation persons with disabilities </w:t>
      </w:r>
      <w:r w:rsidR="00010298" w:rsidRPr="005268D9">
        <w:rPr>
          <w:lang w:val="en-GB"/>
        </w:rPr>
        <w:t>in implementation of the TEN-T</w:t>
      </w:r>
      <w:r w:rsidR="005268D9">
        <w:rPr>
          <w:lang w:val="en-GB"/>
        </w:rPr>
        <w:t>.</w:t>
      </w:r>
    </w:p>
    <w:p w14:paraId="2CFD1649" w14:textId="528A285D" w:rsidR="00282B80" w:rsidRDefault="00600291" w:rsidP="00A9576D">
      <w:pPr>
        <w:pStyle w:val="Heading1"/>
        <w:pageBreakBefore/>
        <w:rPr>
          <w:lang w:val="en-GB"/>
        </w:rPr>
      </w:pPr>
      <w:bookmarkStart w:id="3" w:name="_Toc70089513"/>
      <w:r w:rsidRPr="00F20CE7">
        <w:rPr>
          <w:lang w:val="en-GB"/>
        </w:rPr>
        <w:lastRenderedPageBreak/>
        <w:t xml:space="preserve">EDF Recommendations on </w:t>
      </w:r>
      <w:r w:rsidR="0036557E" w:rsidRPr="00F20CE7">
        <w:rPr>
          <w:lang w:val="en-GB"/>
        </w:rPr>
        <w:t>E</w:t>
      </w:r>
      <w:r w:rsidRPr="00F20CE7">
        <w:rPr>
          <w:lang w:val="en-GB"/>
        </w:rPr>
        <w:t xml:space="preserve">nsuring </w:t>
      </w:r>
      <w:r w:rsidR="0036557E" w:rsidRPr="00F20CE7">
        <w:rPr>
          <w:lang w:val="en-GB"/>
        </w:rPr>
        <w:t>A</w:t>
      </w:r>
      <w:r w:rsidRPr="00F20CE7">
        <w:rPr>
          <w:lang w:val="en-GB"/>
        </w:rPr>
        <w:t xml:space="preserve">ccessible, </w:t>
      </w:r>
      <w:r w:rsidR="0036557E" w:rsidRPr="00F20CE7">
        <w:rPr>
          <w:lang w:val="en-GB"/>
        </w:rPr>
        <w:t>I</w:t>
      </w:r>
      <w:r w:rsidRPr="00F20CE7">
        <w:rPr>
          <w:lang w:val="en-GB"/>
        </w:rPr>
        <w:t xml:space="preserve">ndependent and </w:t>
      </w:r>
      <w:r w:rsidR="0036557E" w:rsidRPr="00F20CE7">
        <w:rPr>
          <w:lang w:val="en-GB"/>
        </w:rPr>
        <w:t>S</w:t>
      </w:r>
      <w:r w:rsidRPr="00F20CE7">
        <w:rPr>
          <w:lang w:val="en-GB"/>
        </w:rPr>
        <w:t xml:space="preserve">pontaneous </w:t>
      </w:r>
      <w:r w:rsidR="0036557E" w:rsidRPr="00F20CE7">
        <w:rPr>
          <w:lang w:val="en-GB"/>
        </w:rPr>
        <w:t xml:space="preserve">Intermodal </w:t>
      </w:r>
      <w:r w:rsidR="00D07464" w:rsidRPr="00F20CE7">
        <w:rPr>
          <w:lang w:val="en-GB"/>
        </w:rPr>
        <w:t>Transport</w:t>
      </w:r>
      <w:r w:rsidRPr="00F20CE7">
        <w:rPr>
          <w:lang w:val="en-GB"/>
        </w:rPr>
        <w:t xml:space="preserve"> for </w:t>
      </w:r>
      <w:r w:rsidR="0036557E" w:rsidRPr="00F20CE7">
        <w:rPr>
          <w:lang w:val="en-GB"/>
        </w:rPr>
        <w:t>All</w:t>
      </w:r>
      <w:bookmarkEnd w:id="3"/>
    </w:p>
    <w:p w14:paraId="4EB3A010" w14:textId="77777777" w:rsidR="00C4665D" w:rsidRPr="00F20CE7" w:rsidRDefault="00C4665D" w:rsidP="00C4665D">
      <w:pPr>
        <w:pStyle w:val="Heading3"/>
        <w:rPr>
          <w:lang w:val="en-GB"/>
        </w:rPr>
      </w:pPr>
      <w:r w:rsidRPr="00F20CE7">
        <w:rPr>
          <w:lang w:val="en-GB"/>
        </w:rPr>
        <w:t>The aim of the EDF Position Paper on TEN-T</w:t>
      </w:r>
    </w:p>
    <w:p w14:paraId="5C1076CE" w14:textId="77777777" w:rsidR="00C4665D" w:rsidRPr="00F20CE7" w:rsidRDefault="00C4665D" w:rsidP="00C4665D">
      <w:pPr>
        <w:rPr>
          <w:lang w:val="en-GB"/>
        </w:rPr>
      </w:pPr>
      <w:r w:rsidRPr="00F20CE7">
        <w:rPr>
          <w:lang w:val="en-GB"/>
        </w:rPr>
        <w:t xml:space="preserve">This Position Paper aims to contribute to the revision of the </w:t>
      </w:r>
      <w:hyperlink r:id="rId10" w:history="1">
        <w:r w:rsidRPr="00F20CE7">
          <w:rPr>
            <w:rStyle w:val="Hyperlink"/>
            <w:lang w:val="en-GB"/>
          </w:rPr>
          <w:t>EU Regulation on Union Guidelines for the development of the trans-European transport network (TEN-T)</w:t>
        </w:r>
      </w:hyperlink>
      <w:r w:rsidRPr="00F20CE7">
        <w:rPr>
          <w:lang w:val="en-GB"/>
        </w:rPr>
        <w:t>.</w:t>
      </w:r>
      <w:r>
        <w:rPr>
          <w:rStyle w:val="FootnoteReference"/>
          <w:lang w:val="en-GB"/>
        </w:rPr>
        <w:footnoteReference w:id="1"/>
      </w:r>
      <w:r w:rsidRPr="00F20CE7">
        <w:rPr>
          <w:lang w:val="en-GB"/>
        </w:rPr>
        <w:t xml:space="preserve"> It is the basis of our input to the </w:t>
      </w:r>
      <w:hyperlink r:id="rId11" w:history="1">
        <w:r w:rsidRPr="00F20CE7">
          <w:rPr>
            <w:rStyle w:val="Hyperlink"/>
            <w:lang w:val="en-GB"/>
          </w:rPr>
          <w:t>European Commission’s public consultation for finalizing its proposal for revision of TEN-T</w:t>
        </w:r>
      </w:hyperlink>
      <w:r w:rsidRPr="00F20CE7">
        <w:rPr>
          <w:lang w:val="en-GB"/>
        </w:rPr>
        <w:t xml:space="preserve">, and future advocacy towards the EU in relation to the TEN-T policy as it raises the needs and interest of persons with disabilities in relation to intermodal transport. </w:t>
      </w:r>
    </w:p>
    <w:p w14:paraId="7EAA9360" w14:textId="77777777" w:rsidR="00C4665D" w:rsidRPr="00F20CE7" w:rsidRDefault="00C4665D" w:rsidP="00C4665D">
      <w:pPr>
        <w:pStyle w:val="Heading3"/>
        <w:rPr>
          <w:lang w:val="en-GB"/>
        </w:rPr>
      </w:pPr>
      <w:r w:rsidRPr="00F20CE7">
        <w:rPr>
          <w:lang w:val="en-GB"/>
        </w:rPr>
        <w:t>Our involvement in shaping the revised TEN-T Policy</w:t>
      </w:r>
    </w:p>
    <w:p w14:paraId="70E4C235" w14:textId="77777777" w:rsidR="00C4665D" w:rsidRPr="00F20CE7" w:rsidRDefault="00C4665D" w:rsidP="00C4665D">
      <w:pPr>
        <w:rPr>
          <w:lang w:val="en-GB"/>
        </w:rPr>
      </w:pPr>
      <w:r>
        <w:rPr>
          <w:lang w:val="en-GB"/>
        </w:rPr>
        <w:t>We have</w:t>
      </w:r>
      <w:r w:rsidRPr="00F20CE7">
        <w:rPr>
          <w:lang w:val="en-GB"/>
        </w:rPr>
        <w:t xml:space="preserve"> actively engaged in the review process of the current TEN-T Regulation. In 2019, we have participated in the European Commission’s public consultation on reviewing the TEN-T Regulation</w:t>
      </w:r>
      <w:r w:rsidRPr="00F20CE7">
        <w:rPr>
          <w:rStyle w:val="FootnoteReference"/>
          <w:lang w:val="en-GB"/>
        </w:rPr>
        <w:footnoteReference w:id="2"/>
      </w:r>
      <w:r w:rsidRPr="00F20CE7">
        <w:rPr>
          <w:lang w:val="en-GB"/>
        </w:rPr>
        <w:t xml:space="preserve"> and shared our recommendations with the Relevant Unit of DG Move, European Commission.</w:t>
      </w:r>
      <w:r w:rsidRPr="00F20CE7">
        <w:rPr>
          <w:rStyle w:val="FootnoteReference"/>
          <w:lang w:val="en-GB"/>
        </w:rPr>
        <w:footnoteReference w:id="3"/>
      </w:r>
      <w:r w:rsidRPr="00F20CE7">
        <w:rPr>
          <w:lang w:val="en-GB"/>
        </w:rPr>
        <w:t xml:space="preserve"> In 2020, we have provided feedback to targeted stakeholder consultations, including </w:t>
      </w:r>
      <w:r>
        <w:rPr>
          <w:lang w:val="en-GB"/>
        </w:rPr>
        <w:t>to</w:t>
      </w:r>
      <w:r w:rsidRPr="00F20CE7">
        <w:rPr>
          <w:lang w:val="en-GB"/>
        </w:rPr>
        <w:t xml:space="preserve"> thematic consultations on 1. Seamless and barrier-free mobility TEN-T; 2. TEN-T as an enabler of a future oriented mobility system; 3. role of urban nodes in TEN-T policy; and 4. Digitalization of intermodal transport. </w:t>
      </w:r>
    </w:p>
    <w:p w14:paraId="054F4FC3" w14:textId="1EA9912A" w:rsidR="00C4665D" w:rsidRPr="00C4665D" w:rsidRDefault="00C4665D" w:rsidP="00C4665D">
      <w:pPr>
        <w:rPr>
          <w:lang w:val="en-GB"/>
        </w:rPr>
      </w:pPr>
      <w:r w:rsidRPr="00F20CE7">
        <w:rPr>
          <w:b/>
          <w:bCs/>
          <w:lang w:val="en-GB"/>
        </w:rPr>
        <w:t>We look forward to the European Commission’s proposal for revision of the current TEN-T Regulation which reflects our extensive input and interest of 100 million persons with disabilities in the EU.</w:t>
      </w:r>
    </w:p>
    <w:p w14:paraId="3F3551C2" w14:textId="30CE033E" w:rsidR="00E467DC" w:rsidRPr="00F20CE7" w:rsidRDefault="00010298" w:rsidP="00E467DC">
      <w:pPr>
        <w:pStyle w:val="Heading2"/>
        <w:rPr>
          <w:lang w:val="en-GB" w:eastAsia="nl-NL"/>
        </w:rPr>
      </w:pPr>
      <w:bookmarkStart w:id="4" w:name="_Toc70089514"/>
      <w:r>
        <w:rPr>
          <w:lang w:val="en-GB" w:eastAsia="nl-NL"/>
        </w:rPr>
        <w:t>Positive aspects of the</w:t>
      </w:r>
      <w:r w:rsidR="00E467DC" w:rsidRPr="00F20CE7">
        <w:rPr>
          <w:lang w:val="en-GB" w:eastAsia="nl-NL"/>
        </w:rPr>
        <w:t xml:space="preserve"> TEN-T</w:t>
      </w:r>
      <w:r w:rsidR="005B7E5F">
        <w:rPr>
          <w:lang w:val="en-GB" w:eastAsia="nl-NL"/>
        </w:rPr>
        <w:t xml:space="preserve"> Regulation</w:t>
      </w:r>
      <w:r>
        <w:rPr>
          <w:lang w:val="en-GB" w:eastAsia="nl-NL"/>
        </w:rPr>
        <w:t xml:space="preserve"> which should be maintained</w:t>
      </w:r>
      <w:bookmarkEnd w:id="4"/>
    </w:p>
    <w:p w14:paraId="0676D9B5" w14:textId="155FE777" w:rsidR="00A311A9" w:rsidRPr="00F20CE7" w:rsidRDefault="00A311A9" w:rsidP="00A311A9">
      <w:pPr>
        <w:rPr>
          <w:lang w:val="en-GB" w:eastAsia="nl-NL"/>
        </w:rPr>
      </w:pPr>
      <w:r w:rsidRPr="00F20CE7">
        <w:rPr>
          <w:lang w:val="en-GB" w:eastAsia="nl-NL"/>
        </w:rPr>
        <w:t xml:space="preserve">The current TEN-T Regulation already recognises the importance of accessible transport infrastructure for persons with disabilities, persons with reduced mobility and older persons, through a specific provision on </w:t>
      </w:r>
      <w:r w:rsidRPr="00F20CE7">
        <w:rPr>
          <w:b/>
          <w:lang w:val="en-GB" w:eastAsia="nl-NL"/>
        </w:rPr>
        <w:t>accessibility</w:t>
      </w:r>
      <w:r w:rsidRPr="00F20CE7">
        <w:rPr>
          <w:lang w:val="en-GB" w:eastAsia="nl-NL"/>
        </w:rPr>
        <w:t xml:space="preserve"> of the trans-European transport network for </w:t>
      </w:r>
      <w:r w:rsidRPr="00F20CE7">
        <w:rPr>
          <w:b/>
          <w:u w:val="single"/>
          <w:lang w:val="en-GB" w:eastAsia="nl-NL"/>
        </w:rPr>
        <w:t>all</w:t>
      </w:r>
      <w:r w:rsidRPr="00F20CE7">
        <w:rPr>
          <w:b/>
          <w:lang w:val="en-GB" w:eastAsia="nl-NL"/>
        </w:rPr>
        <w:t xml:space="preserve"> users</w:t>
      </w:r>
      <w:r w:rsidRPr="00F20CE7">
        <w:rPr>
          <w:lang w:val="en-GB" w:eastAsia="nl-NL"/>
        </w:rPr>
        <w:t xml:space="preserve"> </w:t>
      </w:r>
      <w:r w:rsidRPr="00F20CE7">
        <w:rPr>
          <w:b/>
          <w:lang w:val="en-GB" w:eastAsia="nl-NL"/>
        </w:rPr>
        <w:t>(Art 37).</w:t>
      </w:r>
      <w:r w:rsidRPr="00F20CE7">
        <w:rPr>
          <w:lang w:val="en-GB" w:eastAsia="nl-NL"/>
        </w:rPr>
        <w:t xml:space="preserve"> </w:t>
      </w:r>
      <w:r w:rsidRPr="00F20CE7">
        <w:rPr>
          <w:b/>
          <w:lang w:val="en-GB" w:eastAsia="nl-NL"/>
        </w:rPr>
        <w:t>This provision is the result of EDF’s campaign and advocacy work during the adoption of the original TEN-T Regulation and is therefore very important to be retained</w:t>
      </w:r>
      <w:r w:rsidRPr="00F20CE7">
        <w:rPr>
          <w:lang w:val="en-GB" w:eastAsia="nl-NL"/>
        </w:rPr>
        <w:t xml:space="preserve">. However, EDF welcomes the opportunity to further improve the Regulation by revising the guidelines </w:t>
      </w:r>
      <w:r w:rsidRPr="00F20CE7">
        <w:rPr>
          <w:lang w:val="en-GB" w:eastAsia="nl-NL"/>
        </w:rPr>
        <w:lastRenderedPageBreak/>
        <w:t>for the trans-European transport network (TEN-T), to ensure that full accessibility of transport in the EU is achieved and right to freedom of movement of persons with disabilities and persons with reduced mobility is fully respected.</w:t>
      </w:r>
    </w:p>
    <w:p w14:paraId="6C9FD46A" w14:textId="77777777" w:rsidR="00ED3DD9" w:rsidRPr="00F20CE7" w:rsidRDefault="00ED3DD9" w:rsidP="00ED3DD9">
      <w:pPr>
        <w:spacing w:after="240"/>
        <w:rPr>
          <w:rFonts w:cs="Arial"/>
          <w:lang w:val="en-GB"/>
        </w:rPr>
      </w:pPr>
      <w:r w:rsidRPr="00F20CE7">
        <w:rPr>
          <w:rFonts w:cs="Arial"/>
          <w:lang w:val="en-GB"/>
        </w:rPr>
        <w:t xml:space="preserve">We </w:t>
      </w:r>
      <w:r w:rsidRPr="00F20CE7">
        <w:rPr>
          <w:rFonts w:cs="Arial"/>
          <w:b/>
          <w:lang w:val="en-GB"/>
        </w:rPr>
        <w:t>support</w:t>
      </w:r>
      <w:r w:rsidRPr="00F20CE7">
        <w:rPr>
          <w:rFonts w:cs="Arial"/>
          <w:lang w:val="en-GB"/>
        </w:rPr>
        <w:t xml:space="preserve"> the following provisions of the current Regulation, which </w:t>
      </w:r>
      <w:r w:rsidRPr="00F20CE7">
        <w:rPr>
          <w:rFonts w:cs="Arial"/>
          <w:b/>
          <w:lang w:val="en-GB"/>
        </w:rPr>
        <w:t>should remain</w:t>
      </w:r>
      <w:r w:rsidRPr="00F20CE7">
        <w:rPr>
          <w:rFonts w:cs="Arial"/>
          <w:lang w:val="en-GB"/>
        </w:rPr>
        <w:t xml:space="preserve"> in the updated guidelines:  </w:t>
      </w:r>
    </w:p>
    <w:p w14:paraId="4AA4D999" w14:textId="77777777" w:rsidR="00ED3DD9" w:rsidRPr="00F20CE7" w:rsidRDefault="00ED3DD9" w:rsidP="00ED3DD9">
      <w:pPr>
        <w:pStyle w:val="ListParagraph"/>
        <w:numPr>
          <w:ilvl w:val="0"/>
          <w:numId w:val="3"/>
        </w:numPr>
        <w:spacing w:after="240" w:line="240" w:lineRule="auto"/>
        <w:rPr>
          <w:rFonts w:cs="Arial"/>
          <w:lang w:val="en-GB"/>
        </w:rPr>
      </w:pPr>
      <w:r w:rsidRPr="00F20CE7">
        <w:rPr>
          <w:rFonts w:cs="Arial"/>
          <w:lang w:val="en-GB"/>
        </w:rPr>
        <w:t>development of the core network as a European priority by 2030 and the development of the comprehensive network by 2050 (Recitals 13, 19, 41; Art 38.3, 41.2, 54.2);</w:t>
      </w:r>
    </w:p>
    <w:p w14:paraId="313C9C6C" w14:textId="6E59EC37" w:rsidR="00ED3DD9" w:rsidRPr="00F20CE7" w:rsidRDefault="00ED3DD9" w:rsidP="00ED3DD9">
      <w:pPr>
        <w:pStyle w:val="ListParagraph"/>
        <w:numPr>
          <w:ilvl w:val="0"/>
          <w:numId w:val="3"/>
        </w:numPr>
        <w:spacing w:after="240" w:line="240" w:lineRule="auto"/>
        <w:rPr>
          <w:rFonts w:cs="Arial"/>
          <w:lang w:val="en-GB"/>
        </w:rPr>
      </w:pPr>
      <w:r w:rsidRPr="00F20CE7">
        <w:rPr>
          <w:rFonts w:cs="Arial"/>
          <w:lang w:val="en-GB"/>
        </w:rPr>
        <w:t xml:space="preserve">acknowledgement of accessibility of TEN-T for persons with disabilities, persons with reduced mobility and older persons as one of the conditions for increasing the benefits of TEN-T for its users, as European added value of TEN-T (Art 4.d.v.); </w:t>
      </w:r>
    </w:p>
    <w:p w14:paraId="7D49ACE7" w14:textId="77777777" w:rsidR="00ED3DD9" w:rsidRPr="00F20CE7" w:rsidRDefault="00ED3DD9" w:rsidP="00ED3DD9">
      <w:pPr>
        <w:pStyle w:val="ListParagraph"/>
        <w:numPr>
          <w:ilvl w:val="0"/>
          <w:numId w:val="3"/>
        </w:numPr>
        <w:spacing w:after="240" w:line="240" w:lineRule="auto"/>
        <w:rPr>
          <w:rFonts w:cs="Arial"/>
          <w:lang w:val="en-GB"/>
        </w:rPr>
      </w:pPr>
      <w:r w:rsidRPr="00F20CE7">
        <w:rPr>
          <w:rFonts w:cs="Arial"/>
          <w:lang w:val="en-GB"/>
        </w:rPr>
        <w:t>assurance that projects under TEN-T comply with relevant Union law on accessibility and public procurement (Art 7.4);</w:t>
      </w:r>
    </w:p>
    <w:p w14:paraId="0E7B19AD" w14:textId="77777777" w:rsidR="00ED3DD9" w:rsidRPr="00F20CE7" w:rsidRDefault="00ED3DD9" w:rsidP="00ED3DD9">
      <w:pPr>
        <w:pStyle w:val="ListParagraph"/>
        <w:numPr>
          <w:ilvl w:val="0"/>
          <w:numId w:val="3"/>
        </w:numPr>
        <w:spacing w:after="240" w:line="240" w:lineRule="auto"/>
        <w:rPr>
          <w:rFonts w:cs="Arial"/>
          <w:lang w:val="en-GB"/>
        </w:rPr>
      </w:pPr>
      <w:r w:rsidRPr="00F20CE7">
        <w:rPr>
          <w:rFonts w:cs="Arial"/>
          <w:lang w:val="en-GB"/>
        </w:rPr>
        <w:t>prioritisation of measures involving the improvement and maintenance of infrastructure that take into consideration accessibility for persons with disabilities, persons with reduced mobility and older persons during the development of the comprehensive network (Art 10.e);</w:t>
      </w:r>
    </w:p>
    <w:p w14:paraId="2394A9C9" w14:textId="77777777" w:rsidR="00ED3DD9" w:rsidRPr="00F20CE7" w:rsidRDefault="00ED3DD9" w:rsidP="00ED3DD9">
      <w:pPr>
        <w:pStyle w:val="ListParagraph"/>
        <w:numPr>
          <w:ilvl w:val="0"/>
          <w:numId w:val="3"/>
        </w:numPr>
        <w:spacing w:after="240" w:line="240" w:lineRule="auto"/>
        <w:rPr>
          <w:rFonts w:cs="Arial"/>
          <w:b/>
          <w:lang w:val="en-GB"/>
        </w:rPr>
      </w:pPr>
      <w:r w:rsidRPr="00F20CE7">
        <w:rPr>
          <w:rFonts w:cs="Arial"/>
          <w:b/>
          <w:lang w:val="en-GB"/>
        </w:rPr>
        <w:t>assurance of seamless mobility and accessibility for all users, in particular of persons with disabilities, persons with reduced mobility and older persons (Art 37).</w:t>
      </w:r>
    </w:p>
    <w:p w14:paraId="27FF6B87" w14:textId="28FFA9F9" w:rsidR="00E467DC" w:rsidRPr="00F20CE7" w:rsidRDefault="00F66DB1" w:rsidP="00010298">
      <w:pPr>
        <w:pStyle w:val="Heading2"/>
        <w:rPr>
          <w:lang w:val="en-GB" w:eastAsia="nl-NL"/>
        </w:rPr>
      </w:pPr>
      <w:bookmarkStart w:id="5" w:name="_Toc70089515"/>
      <w:r>
        <w:rPr>
          <w:lang w:val="en-GB" w:eastAsia="nl-NL"/>
        </w:rPr>
        <w:t>Necessary</w:t>
      </w:r>
      <w:r w:rsidR="00010298">
        <w:rPr>
          <w:lang w:val="en-GB" w:eastAsia="nl-NL"/>
        </w:rPr>
        <w:t xml:space="preserve"> improvements for e</w:t>
      </w:r>
      <w:r w:rsidR="00010298" w:rsidRPr="00010298">
        <w:rPr>
          <w:lang w:val="en-GB" w:eastAsia="nl-NL"/>
        </w:rPr>
        <w:t xml:space="preserve">nsuring </w:t>
      </w:r>
      <w:r w:rsidR="00010298">
        <w:rPr>
          <w:lang w:val="en-GB" w:eastAsia="nl-NL"/>
        </w:rPr>
        <w:t>a</w:t>
      </w:r>
      <w:r w:rsidR="00010298" w:rsidRPr="00010298">
        <w:rPr>
          <w:lang w:val="en-GB" w:eastAsia="nl-NL"/>
        </w:rPr>
        <w:t xml:space="preserve">ccessible, </w:t>
      </w:r>
      <w:r w:rsidR="00010298">
        <w:rPr>
          <w:lang w:val="en-GB" w:eastAsia="nl-NL"/>
        </w:rPr>
        <w:t>i</w:t>
      </w:r>
      <w:r w:rsidR="00010298" w:rsidRPr="00010298">
        <w:rPr>
          <w:lang w:val="en-GB" w:eastAsia="nl-NL"/>
        </w:rPr>
        <w:t xml:space="preserve">ndependent and </w:t>
      </w:r>
      <w:r w:rsidR="00010298">
        <w:rPr>
          <w:lang w:val="en-GB" w:eastAsia="nl-NL"/>
        </w:rPr>
        <w:t>s</w:t>
      </w:r>
      <w:r w:rsidR="00010298" w:rsidRPr="00010298">
        <w:rPr>
          <w:lang w:val="en-GB" w:eastAsia="nl-NL"/>
        </w:rPr>
        <w:t xml:space="preserve">pontaneous </w:t>
      </w:r>
      <w:r w:rsidR="00010298">
        <w:rPr>
          <w:lang w:val="en-GB" w:eastAsia="nl-NL"/>
        </w:rPr>
        <w:t>i</w:t>
      </w:r>
      <w:r w:rsidR="00010298" w:rsidRPr="00010298">
        <w:rPr>
          <w:lang w:val="en-GB" w:eastAsia="nl-NL"/>
        </w:rPr>
        <w:t xml:space="preserve">ntermodal </w:t>
      </w:r>
      <w:r w:rsidR="00010298">
        <w:rPr>
          <w:lang w:val="en-GB" w:eastAsia="nl-NL"/>
        </w:rPr>
        <w:t>t</w:t>
      </w:r>
      <w:r w:rsidR="00010298" w:rsidRPr="00010298">
        <w:rPr>
          <w:lang w:val="en-GB" w:eastAsia="nl-NL"/>
        </w:rPr>
        <w:t xml:space="preserve">ransport for </w:t>
      </w:r>
      <w:r w:rsidR="00010298">
        <w:rPr>
          <w:lang w:val="en-GB" w:eastAsia="nl-NL"/>
        </w:rPr>
        <w:t>al</w:t>
      </w:r>
      <w:r w:rsidR="00010298" w:rsidRPr="00010298">
        <w:rPr>
          <w:lang w:val="en-GB" w:eastAsia="nl-NL"/>
        </w:rPr>
        <w:t>l</w:t>
      </w:r>
      <w:bookmarkEnd w:id="5"/>
    </w:p>
    <w:p w14:paraId="73288CAC" w14:textId="6E4BEFF8" w:rsidR="00F66DB1" w:rsidRPr="00F66DB1" w:rsidRDefault="00F66DB1" w:rsidP="00F66DB1">
      <w:pPr>
        <w:pStyle w:val="Heading3"/>
        <w:rPr>
          <w:lang w:val="en-GB"/>
        </w:rPr>
      </w:pPr>
      <w:r>
        <w:rPr>
          <w:lang w:val="en-GB"/>
        </w:rPr>
        <w:t>A</w:t>
      </w:r>
      <w:r w:rsidRPr="00F66DB1">
        <w:rPr>
          <w:lang w:val="en-GB"/>
        </w:rPr>
        <w:t>ccessibility</w:t>
      </w:r>
    </w:p>
    <w:p w14:paraId="551D44AB" w14:textId="77777777" w:rsidR="00C92B0C" w:rsidRPr="00C92B0C" w:rsidRDefault="00F66DB1" w:rsidP="00C92B0C">
      <w:pPr>
        <w:pStyle w:val="Heading4"/>
        <w:rPr>
          <w:lang w:val="en-GB"/>
        </w:rPr>
      </w:pPr>
      <w:r w:rsidRPr="00C92B0C">
        <w:rPr>
          <w:lang w:val="en-GB"/>
        </w:rPr>
        <w:t xml:space="preserve">The definition of accessibility should be clarified with a design for all approach in accordance with the UN CRPD. </w:t>
      </w:r>
    </w:p>
    <w:p w14:paraId="6D7C5028" w14:textId="34A40778" w:rsidR="00F66DB1" w:rsidRPr="00F66DB1" w:rsidRDefault="00F66DB1" w:rsidP="00C92B0C">
      <w:pPr>
        <w:spacing w:after="240" w:line="240" w:lineRule="auto"/>
        <w:rPr>
          <w:rFonts w:cs="Arial"/>
          <w:lang w:val="en-GB"/>
        </w:rPr>
      </w:pPr>
      <w:r>
        <w:rPr>
          <w:rFonts w:cs="Arial"/>
          <w:lang w:val="en-GB"/>
        </w:rPr>
        <w:t xml:space="preserve">This will allow TEN-T infrastructure to be accessible for wide diversity of persons with reduced mobility, including persons with </w:t>
      </w:r>
      <w:r w:rsidR="00C92B0C">
        <w:rPr>
          <w:rFonts w:cs="Arial"/>
          <w:lang w:val="en-GB"/>
        </w:rPr>
        <w:t>differen</w:t>
      </w:r>
      <w:r w:rsidR="005851DD">
        <w:rPr>
          <w:rFonts w:cs="Arial"/>
          <w:lang w:val="en-GB"/>
        </w:rPr>
        <w:t>t</w:t>
      </w:r>
      <w:r w:rsidR="00C92B0C">
        <w:rPr>
          <w:rFonts w:cs="Arial"/>
          <w:lang w:val="en-GB"/>
        </w:rPr>
        <w:t xml:space="preserve"> disabilities. It will also </w:t>
      </w:r>
      <w:r w:rsidRPr="00F66DB1">
        <w:rPr>
          <w:rFonts w:cs="Arial"/>
          <w:lang w:val="en-GB"/>
        </w:rPr>
        <w:t xml:space="preserve">reduce the risk of misinterpretation and ensure a shared understanding among relevant stakeholders, </w:t>
      </w:r>
      <w:r w:rsidR="00C92B0C">
        <w:rPr>
          <w:rFonts w:cs="Arial"/>
          <w:lang w:val="en-GB"/>
        </w:rPr>
        <w:t>such as</w:t>
      </w:r>
      <w:r w:rsidRPr="00F66DB1">
        <w:rPr>
          <w:rFonts w:cs="Arial"/>
          <w:lang w:val="en-GB"/>
        </w:rPr>
        <w:t xml:space="preserve"> Single Contact Authorities and infrastructure managers. </w:t>
      </w:r>
      <w:r w:rsidR="005B768D">
        <w:rPr>
          <w:rFonts w:cs="Arial"/>
          <w:lang w:val="en-GB"/>
        </w:rPr>
        <w:t>Currently,</w:t>
      </w:r>
      <w:r w:rsidR="005851DD">
        <w:rPr>
          <w:rFonts w:cs="Arial"/>
          <w:lang w:val="en-GB"/>
        </w:rPr>
        <w:t xml:space="preserve"> ‘accessibility’ is widely used as synonym for ‘availability’, ‘connectedness’, and ‘affordability’ (financial access). There is also different understanding of what level of access to transport by persons with disabilities is ‘enough access’ </w:t>
      </w:r>
      <w:r w:rsidR="005B768D">
        <w:rPr>
          <w:rFonts w:cs="Arial"/>
          <w:lang w:val="en-GB"/>
        </w:rPr>
        <w:t>among</w:t>
      </w:r>
      <w:r w:rsidR="005851DD">
        <w:rPr>
          <w:rFonts w:cs="Arial"/>
          <w:lang w:val="en-GB"/>
        </w:rPr>
        <w:t xml:space="preserve"> different stakeholders. The Regulation should highlight right of </w:t>
      </w:r>
      <w:r w:rsidR="005B768D">
        <w:rPr>
          <w:rFonts w:cs="Arial"/>
          <w:lang w:val="en-GB"/>
        </w:rPr>
        <w:t xml:space="preserve">all </w:t>
      </w:r>
      <w:r w:rsidR="005851DD">
        <w:rPr>
          <w:rFonts w:cs="Arial"/>
          <w:lang w:val="en-GB"/>
        </w:rPr>
        <w:t xml:space="preserve">persons with disabilities to access transport on equal level to persons without disabilities, as required by the UN CRPD.  </w:t>
      </w:r>
    </w:p>
    <w:p w14:paraId="7E3C2E68" w14:textId="5A558EBF" w:rsidR="00C92B0C" w:rsidRDefault="00C92B0C" w:rsidP="00C92B0C">
      <w:pPr>
        <w:spacing w:after="240"/>
        <w:rPr>
          <w:rFonts w:cs="Arial"/>
          <w:lang w:val="en-GB"/>
        </w:rPr>
      </w:pPr>
      <w:r w:rsidRPr="000E43CD">
        <w:rPr>
          <w:rFonts w:cs="Arial"/>
          <w:lang w:val="en-GB"/>
        </w:rPr>
        <w:t>We recommend</w:t>
      </w:r>
      <w:r w:rsidR="00F66DB1" w:rsidRPr="000E43CD">
        <w:rPr>
          <w:rFonts w:cs="Arial"/>
          <w:lang w:val="en-GB"/>
        </w:rPr>
        <w:t xml:space="preserve"> a new </w:t>
      </w:r>
      <w:r w:rsidR="00F66DB1" w:rsidRPr="000E43CD">
        <w:rPr>
          <w:rFonts w:cs="Arial"/>
          <w:b/>
          <w:bCs/>
          <w:lang w:val="en-GB"/>
        </w:rPr>
        <w:t>Annex detailing accessibility requirements</w:t>
      </w:r>
      <w:r w:rsidRPr="000E43CD">
        <w:rPr>
          <w:rFonts w:cs="Arial"/>
          <w:b/>
          <w:bCs/>
          <w:lang w:val="en-GB"/>
        </w:rPr>
        <w:t xml:space="preserve"> for elements of TEN-T infrastructure</w:t>
      </w:r>
      <w:r>
        <w:rPr>
          <w:rFonts w:cs="Arial"/>
          <w:lang w:val="en-GB"/>
        </w:rPr>
        <w:t xml:space="preserve"> by referencing relevant EU </w:t>
      </w:r>
      <w:r>
        <w:rPr>
          <w:rFonts w:cs="Arial"/>
          <w:lang w:val="en-GB"/>
        </w:rPr>
        <w:lastRenderedPageBreak/>
        <w:t>accessibility laws and standards</w:t>
      </w:r>
      <w:r w:rsidR="005851DD">
        <w:rPr>
          <w:rFonts w:cs="Arial"/>
          <w:lang w:val="en-GB"/>
        </w:rPr>
        <w:t>, such as the European Accessibility Act</w:t>
      </w:r>
      <w:r w:rsidR="00FC499F">
        <w:rPr>
          <w:rStyle w:val="FootnoteReference"/>
          <w:rFonts w:cs="Arial"/>
          <w:lang w:val="en-GB"/>
        </w:rPr>
        <w:footnoteReference w:id="4"/>
      </w:r>
      <w:r w:rsidR="005851DD">
        <w:rPr>
          <w:rFonts w:cs="Arial"/>
          <w:lang w:val="en-GB"/>
        </w:rPr>
        <w:t>, European Standard on accessibility and usability of the built environment (EN1721</w:t>
      </w:r>
      <w:r w:rsidR="00FC499F">
        <w:rPr>
          <w:rFonts w:cs="Arial"/>
          <w:lang w:val="en-GB"/>
        </w:rPr>
        <w:t>0</w:t>
      </w:r>
      <w:r w:rsidR="00FC499F">
        <w:rPr>
          <w:rStyle w:val="FootnoteReference"/>
          <w:rFonts w:cs="Arial"/>
          <w:lang w:val="en-GB"/>
        </w:rPr>
        <w:footnoteReference w:id="5"/>
      </w:r>
      <w:r w:rsidR="005851DD">
        <w:rPr>
          <w:rFonts w:cs="Arial"/>
          <w:lang w:val="en-GB"/>
        </w:rPr>
        <w:t xml:space="preserve">) and European Standard </w:t>
      </w:r>
      <w:r w:rsidR="00674CE6">
        <w:rPr>
          <w:rFonts w:cs="Arial"/>
          <w:lang w:val="en-GB"/>
        </w:rPr>
        <w:t>on accessibility requirements for ICT products and services (EN301</w:t>
      </w:r>
      <w:r w:rsidR="00FC499F">
        <w:rPr>
          <w:rFonts w:cs="Arial"/>
          <w:lang w:val="en-GB"/>
        </w:rPr>
        <w:t>549</w:t>
      </w:r>
      <w:r w:rsidR="00FC499F">
        <w:rPr>
          <w:rStyle w:val="FootnoteReference"/>
          <w:rFonts w:cs="Arial"/>
          <w:lang w:val="en-GB"/>
        </w:rPr>
        <w:footnoteReference w:id="6"/>
      </w:r>
      <w:r w:rsidR="00674CE6">
        <w:rPr>
          <w:rFonts w:cs="Arial"/>
          <w:lang w:val="en-GB"/>
        </w:rPr>
        <w:t>)</w:t>
      </w:r>
      <w:r>
        <w:rPr>
          <w:rFonts w:cs="Arial"/>
          <w:lang w:val="en-GB"/>
        </w:rPr>
        <w:t xml:space="preserve">. </w:t>
      </w:r>
      <w:r w:rsidR="00674CE6">
        <w:rPr>
          <w:rFonts w:cs="Arial"/>
          <w:lang w:val="en-GB"/>
        </w:rPr>
        <w:t>The Regulation should also foresee the development of additional</w:t>
      </w:r>
      <w:r>
        <w:rPr>
          <w:rFonts w:cs="Arial"/>
          <w:lang w:val="en-GB"/>
        </w:rPr>
        <w:t xml:space="preserve"> accessibility requirements for elements of TEN-T infrastructure which are not </w:t>
      </w:r>
      <w:r w:rsidR="00FC499F">
        <w:rPr>
          <w:rFonts w:cs="Arial"/>
          <w:lang w:val="en-GB"/>
        </w:rPr>
        <w:t xml:space="preserve">sufficiently </w:t>
      </w:r>
      <w:r>
        <w:rPr>
          <w:rFonts w:cs="Arial"/>
          <w:lang w:val="en-GB"/>
        </w:rPr>
        <w:t xml:space="preserve">covered </w:t>
      </w:r>
      <w:r w:rsidR="00674CE6">
        <w:rPr>
          <w:rFonts w:cs="Arial"/>
          <w:lang w:val="en-GB"/>
        </w:rPr>
        <w:t>by</w:t>
      </w:r>
      <w:r>
        <w:rPr>
          <w:rFonts w:cs="Arial"/>
          <w:lang w:val="en-GB"/>
        </w:rPr>
        <w:t xml:space="preserve"> existing </w:t>
      </w:r>
      <w:r w:rsidR="00674CE6">
        <w:rPr>
          <w:rFonts w:cs="Arial"/>
          <w:lang w:val="en-GB"/>
        </w:rPr>
        <w:t xml:space="preserve">accessibility </w:t>
      </w:r>
      <w:r>
        <w:rPr>
          <w:rFonts w:cs="Arial"/>
          <w:lang w:val="en-GB"/>
        </w:rPr>
        <w:t xml:space="preserve">laws and standards. </w:t>
      </w:r>
    </w:p>
    <w:p w14:paraId="2E406D22" w14:textId="068E32FB" w:rsidR="00F66DB1" w:rsidRPr="00C92B0C" w:rsidRDefault="00C92B0C" w:rsidP="00C92B0C">
      <w:pPr>
        <w:pStyle w:val="Heading4"/>
        <w:rPr>
          <w:lang w:val="en-GB"/>
        </w:rPr>
      </w:pPr>
      <w:r w:rsidRPr="00C92B0C">
        <w:rPr>
          <w:lang w:val="en-GB"/>
        </w:rPr>
        <w:t>A</w:t>
      </w:r>
      <w:r w:rsidR="00F66DB1" w:rsidRPr="00C92B0C">
        <w:rPr>
          <w:lang w:val="en-GB"/>
        </w:rPr>
        <w:t xml:space="preserve">ccessibility </w:t>
      </w:r>
      <w:r w:rsidRPr="00C92B0C">
        <w:rPr>
          <w:lang w:val="en-GB"/>
        </w:rPr>
        <w:t>should be</w:t>
      </w:r>
      <w:r w:rsidR="00F66DB1" w:rsidRPr="00C92B0C">
        <w:rPr>
          <w:lang w:val="en-GB"/>
        </w:rPr>
        <w:t xml:space="preserve"> mainstreamed throughout the Regulation. </w:t>
      </w:r>
    </w:p>
    <w:p w14:paraId="78A78B90" w14:textId="5ADC39C8" w:rsidR="00F66DB1" w:rsidRPr="00F20CE7" w:rsidRDefault="00F66DB1" w:rsidP="00C92B0C">
      <w:pPr>
        <w:spacing w:after="240"/>
        <w:rPr>
          <w:rFonts w:cs="Arial"/>
          <w:lang w:val="en-GB"/>
        </w:rPr>
      </w:pPr>
      <w:r w:rsidRPr="00F20CE7">
        <w:rPr>
          <w:rFonts w:cs="Arial"/>
          <w:lang w:val="en-GB"/>
        </w:rPr>
        <w:t xml:space="preserve">Accessibility is vital for persons with disabilities, persons with reduced mobility and older persons. </w:t>
      </w:r>
      <w:r w:rsidR="00C92B0C">
        <w:rPr>
          <w:rFonts w:cs="Arial"/>
          <w:lang w:val="en-GB"/>
        </w:rPr>
        <w:t>There are over</w:t>
      </w:r>
      <w:r w:rsidRPr="00F20CE7">
        <w:rPr>
          <w:rFonts w:cs="Arial"/>
          <w:lang w:val="en-GB"/>
        </w:rPr>
        <w:t xml:space="preserve"> 100 million</w:t>
      </w:r>
      <w:r w:rsidR="00C92B0C">
        <w:rPr>
          <w:rFonts w:cs="Arial"/>
          <w:lang w:val="en-GB"/>
        </w:rPr>
        <w:t xml:space="preserve"> persons with disabilities living</w:t>
      </w:r>
      <w:r w:rsidRPr="00F20CE7">
        <w:rPr>
          <w:rFonts w:cs="Arial"/>
          <w:lang w:val="en-GB"/>
        </w:rPr>
        <w:t xml:space="preserve"> in </w:t>
      </w:r>
      <w:r w:rsidR="00C92B0C">
        <w:rPr>
          <w:rFonts w:cs="Arial"/>
          <w:lang w:val="en-GB"/>
        </w:rPr>
        <w:t>the EU</w:t>
      </w:r>
      <w:r w:rsidRPr="00F20CE7">
        <w:rPr>
          <w:rFonts w:cs="Arial"/>
          <w:lang w:val="en-GB"/>
        </w:rPr>
        <w:t xml:space="preserve">. Additionally, there are more than 150 million persons older than 50 years of age. Given ageing societies, these numbers are going to rise significantly in the coming years, as are the numbers of persons with reduced mobility that travel in Europe. The latter is already a well acknowledged fact among transport providers and infrastructure managers. However, it is the experience of many persons with disabilities that accessibility is seen as less important than other crucial aspects of transport development, such as environmental and security concerns. This kind of subjective prioritisation greatly reduces the potential and ambition of EU legislation. </w:t>
      </w:r>
    </w:p>
    <w:p w14:paraId="4EA207D3" w14:textId="23D90934" w:rsidR="00F66DB1" w:rsidRPr="00F20CE7" w:rsidRDefault="00F66DB1" w:rsidP="00C92B0C">
      <w:pPr>
        <w:spacing w:after="240"/>
        <w:rPr>
          <w:rFonts w:cs="Arial"/>
          <w:lang w:val="en-GB"/>
        </w:rPr>
      </w:pPr>
      <w:r w:rsidRPr="00F20CE7">
        <w:rPr>
          <w:rFonts w:cs="Arial"/>
          <w:lang w:val="en-GB"/>
        </w:rPr>
        <w:t>We believe that accessibility should be mainstreamed throughout the Regulation in addition to Art</w:t>
      </w:r>
      <w:r w:rsidR="00C92B0C">
        <w:rPr>
          <w:rFonts w:cs="Arial"/>
          <w:lang w:val="en-GB"/>
        </w:rPr>
        <w:t>icle</w:t>
      </w:r>
      <w:r w:rsidRPr="00F20CE7">
        <w:rPr>
          <w:rFonts w:cs="Arial"/>
          <w:lang w:val="en-GB"/>
        </w:rPr>
        <w:t xml:space="preserve"> 37. Provisions that aim to ensure a safe, sustainable, environmentally-friendly and efficient transport network should incorporate accessibility as one of the other equally important aspects serving the objective of TEN-T (inter alia Recitals 2; 29; Art 3.d; Art 3.f; Art 11.3, etc.). </w:t>
      </w:r>
    </w:p>
    <w:p w14:paraId="689CE40C" w14:textId="54474FF2" w:rsidR="00010298" w:rsidRDefault="0019095E" w:rsidP="00C92B0C">
      <w:pPr>
        <w:spacing w:after="240" w:line="240" w:lineRule="auto"/>
        <w:rPr>
          <w:rFonts w:cs="Arial"/>
          <w:lang w:val="en-GB"/>
        </w:rPr>
      </w:pPr>
      <w:r>
        <w:rPr>
          <w:rFonts w:cs="Arial"/>
          <w:lang w:val="en-GB"/>
        </w:rPr>
        <w:t>In addition</w:t>
      </w:r>
      <w:r w:rsidR="00F66DB1" w:rsidRPr="00F20CE7">
        <w:rPr>
          <w:rFonts w:cs="Arial"/>
          <w:lang w:val="en-GB"/>
        </w:rPr>
        <w:t xml:space="preserve">, the Regulation currently considers accessibility as regards </w:t>
      </w:r>
      <w:r>
        <w:rPr>
          <w:rFonts w:cs="Arial"/>
          <w:lang w:val="en-GB"/>
        </w:rPr>
        <w:t>passengers</w:t>
      </w:r>
      <w:r w:rsidR="00F66DB1" w:rsidRPr="00F20CE7">
        <w:rPr>
          <w:rFonts w:cs="Arial"/>
          <w:lang w:val="en-GB"/>
        </w:rPr>
        <w:t xml:space="preserve">, while accessibility should also be ensured in the operation systems of the network [Art 3 (f), (g), (h), (i), (j) (k), (l)], </w:t>
      </w:r>
      <w:r>
        <w:rPr>
          <w:rFonts w:cs="Arial"/>
          <w:lang w:val="en-GB"/>
        </w:rPr>
        <w:t xml:space="preserve">so that </w:t>
      </w:r>
      <w:r w:rsidR="00F66DB1" w:rsidRPr="00F20CE7">
        <w:rPr>
          <w:rFonts w:cs="Arial"/>
          <w:lang w:val="en-GB"/>
        </w:rPr>
        <w:t xml:space="preserve">persons with disabilities </w:t>
      </w:r>
      <w:r>
        <w:rPr>
          <w:rFonts w:cs="Arial"/>
          <w:lang w:val="en-GB"/>
        </w:rPr>
        <w:t>can be</w:t>
      </w:r>
      <w:r w:rsidR="00F66DB1" w:rsidRPr="00F20CE7">
        <w:rPr>
          <w:rFonts w:cs="Arial"/>
          <w:lang w:val="en-GB"/>
        </w:rPr>
        <w:t xml:space="preserve"> employees of transport infrastructure management bodies.  </w:t>
      </w:r>
    </w:p>
    <w:p w14:paraId="4ED2E429" w14:textId="3DD262BF" w:rsidR="0019095E" w:rsidRDefault="0019095E" w:rsidP="0019095E">
      <w:pPr>
        <w:pStyle w:val="Heading3"/>
        <w:rPr>
          <w:lang w:val="en-GB"/>
        </w:rPr>
      </w:pPr>
      <w:r>
        <w:rPr>
          <w:lang w:val="en-GB"/>
        </w:rPr>
        <w:lastRenderedPageBreak/>
        <w:t xml:space="preserve">Timelines for implementation </w:t>
      </w:r>
    </w:p>
    <w:p w14:paraId="1C632136" w14:textId="79F855B2" w:rsidR="0097780E" w:rsidRPr="0097780E" w:rsidRDefault="00D14CF2" w:rsidP="0097780E">
      <w:pPr>
        <w:pStyle w:val="Heading4"/>
        <w:rPr>
          <w:lang w:val="en-GB"/>
        </w:rPr>
      </w:pPr>
      <w:r>
        <w:rPr>
          <w:lang w:val="en-GB"/>
        </w:rPr>
        <w:t xml:space="preserve">The </w:t>
      </w:r>
      <w:r w:rsidR="0097780E">
        <w:rPr>
          <w:lang w:val="en-GB"/>
        </w:rPr>
        <w:t xml:space="preserve">TEN-T should set </w:t>
      </w:r>
      <w:r w:rsidR="0097780E" w:rsidRPr="0097780E">
        <w:rPr>
          <w:lang w:val="en-GB"/>
        </w:rPr>
        <w:t>specific deadlines to make the core and comprehensive network</w:t>
      </w:r>
      <w:r w:rsidR="0097780E">
        <w:rPr>
          <w:lang w:val="en-GB"/>
        </w:rPr>
        <w:t>s</w:t>
      </w:r>
      <w:r w:rsidR="0097780E" w:rsidRPr="0097780E">
        <w:rPr>
          <w:lang w:val="en-GB"/>
        </w:rPr>
        <w:t xml:space="preserve"> accessible for persons with </w:t>
      </w:r>
      <w:r w:rsidR="00D55B09" w:rsidRPr="0097780E">
        <w:rPr>
          <w:lang w:val="en-GB"/>
        </w:rPr>
        <w:t>disabilities.</w:t>
      </w:r>
      <w:r w:rsidR="0097780E" w:rsidRPr="0097780E">
        <w:rPr>
          <w:lang w:val="en-GB"/>
        </w:rPr>
        <w:t xml:space="preserve">    </w:t>
      </w:r>
    </w:p>
    <w:p w14:paraId="21FDC433" w14:textId="5ABE7710" w:rsidR="0097780E" w:rsidRDefault="0097780E" w:rsidP="0097780E">
      <w:pPr>
        <w:spacing w:after="240"/>
        <w:rPr>
          <w:rFonts w:cs="Arial"/>
          <w:lang w:val="en-GB"/>
        </w:rPr>
      </w:pPr>
      <w:r>
        <w:rPr>
          <w:lang w:val="en-GB"/>
        </w:rPr>
        <w:t>I</w:t>
      </w:r>
      <w:r w:rsidRPr="0097780E">
        <w:rPr>
          <w:lang w:val="en-GB"/>
        </w:rPr>
        <w:t xml:space="preserve">n addition to existing deadlines for development of the </w:t>
      </w:r>
      <w:r>
        <w:rPr>
          <w:lang w:val="en-GB"/>
        </w:rPr>
        <w:t xml:space="preserve">core and comprehensive </w:t>
      </w:r>
      <w:r w:rsidRPr="0097780E">
        <w:rPr>
          <w:lang w:val="en-GB"/>
        </w:rPr>
        <w:t>networks (in relation to Recitals 13, 19, 41; Art 38.3, 41.2, 54.2)</w:t>
      </w:r>
      <w:r>
        <w:rPr>
          <w:lang w:val="en-GB"/>
        </w:rPr>
        <w:t>, TEN-T should specify the timeline of making infrastructure accessible for persons with disabilities</w:t>
      </w:r>
      <w:r w:rsidRPr="0097780E">
        <w:rPr>
          <w:lang w:val="en-GB"/>
        </w:rPr>
        <w:t xml:space="preserve">. </w:t>
      </w:r>
      <w:r w:rsidRPr="00F20CE7">
        <w:rPr>
          <w:rFonts w:cs="Arial"/>
          <w:lang w:val="en-GB"/>
        </w:rPr>
        <w:t xml:space="preserve">This </w:t>
      </w:r>
      <w:r>
        <w:rPr>
          <w:rFonts w:cs="Arial"/>
          <w:lang w:val="en-GB"/>
        </w:rPr>
        <w:t>will</w:t>
      </w:r>
      <w:r w:rsidRPr="00F20CE7">
        <w:rPr>
          <w:rFonts w:cs="Arial"/>
          <w:lang w:val="en-GB"/>
        </w:rPr>
        <w:t xml:space="preserve"> ensure that practical impact for persons with disabilities </w:t>
      </w:r>
      <w:r>
        <w:rPr>
          <w:rFonts w:cs="Arial"/>
          <w:lang w:val="en-GB"/>
        </w:rPr>
        <w:t>is</w:t>
      </w:r>
      <w:r w:rsidRPr="00F20CE7">
        <w:rPr>
          <w:rFonts w:cs="Arial"/>
          <w:lang w:val="en-GB"/>
        </w:rPr>
        <w:t xml:space="preserve"> achieved in reasonable time. </w:t>
      </w:r>
    </w:p>
    <w:p w14:paraId="57EA855D" w14:textId="316EBEB6" w:rsidR="0097780E" w:rsidRDefault="0097780E" w:rsidP="0097780E">
      <w:pPr>
        <w:spacing w:after="240"/>
        <w:rPr>
          <w:rFonts w:cs="Arial"/>
          <w:lang w:val="en-GB"/>
        </w:rPr>
      </w:pPr>
      <w:r>
        <w:rPr>
          <w:rFonts w:cs="Arial"/>
          <w:lang w:val="en-GB"/>
        </w:rPr>
        <w:t xml:space="preserve">We recommend </w:t>
      </w:r>
      <w:r w:rsidRPr="0097780E">
        <w:rPr>
          <w:rFonts w:cs="Arial"/>
          <w:b/>
          <w:bCs/>
          <w:lang w:val="en-GB"/>
        </w:rPr>
        <w:t>an implementation plan for making TEN-T infrastructure accessible</w:t>
      </w:r>
      <w:r>
        <w:rPr>
          <w:rFonts w:cs="Arial"/>
          <w:lang w:val="en-GB"/>
        </w:rPr>
        <w:t xml:space="preserve"> for persons with disabilities with long-, mid-, and short-term targets. </w:t>
      </w:r>
    </w:p>
    <w:p w14:paraId="00970DAF" w14:textId="315B8047" w:rsidR="00D55B09" w:rsidRPr="00F20CE7" w:rsidRDefault="00D55B09" w:rsidP="00D55B09">
      <w:pPr>
        <w:pStyle w:val="Heading3"/>
        <w:rPr>
          <w:lang w:val="en-GB"/>
        </w:rPr>
      </w:pPr>
      <w:r>
        <w:rPr>
          <w:lang w:val="en-GB"/>
        </w:rPr>
        <w:t>Scope</w:t>
      </w:r>
    </w:p>
    <w:p w14:paraId="4C5D4347" w14:textId="65F28012" w:rsidR="00D55B09" w:rsidRPr="00D55B09" w:rsidRDefault="00D55B09" w:rsidP="00D55B09">
      <w:pPr>
        <w:pStyle w:val="Heading4"/>
        <w:rPr>
          <w:lang w:val="en-GB"/>
        </w:rPr>
      </w:pPr>
      <w:r>
        <w:rPr>
          <w:lang w:val="en-GB"/>
        </w:rPr>
        <w:t>The TEN-T</w:t>
      </w:r>
      <w:r w:rsidRPr="00D55B09">
        <w:rPr>
          <w:lang w:val="en-GB"/>
        </w:rPr>
        <w:t xml:space="preserve"> Regulation </w:t>
      </w:r>
      <w:r>
        <w:rPr>
          <w:lang w:val="en-GB"/>
        </w:rPr>
        <w:t xml:space="preserve">should address accessibility of </w:t>
      </w:r>
      <w:r w:rsidRPr="00D55B09">
        <w:rPr>
          <w:lang w:val="en-GB"/>
        </w:rPr>
        <w:t xml:space="preserve">vehicles in </w:t>
      </w:r>
      <w:r>
        <w:rPr>
          <w:lang w:val="en-GB"/>
        </w:rPr>
        <w:t>its scope.</w:t>
      </w:r>
    </w:p>
    <w:p w14:paraId="7BFB14E8" w14:textId="2075046C" w:rsidR="00D55B09" w:rsidRPr="00F20CE7" w:rsidRDefault="00D55B09" w:rsidP="00D55B09">
      <w:pPr>
        <w:rPr>
          <w:rFonts w:cs="Arial"/>
          <w:lang w:val="en-GB"/>
        </w:rPr>
      </w:pPr>
      <w:r>
        <w:rPr>
          <w:rFonts w:cs="Arial"/>
          <w:lang w:val="en-GB"/>
        </w:rPr>
        <w:t>To</w:t>
      </w:r>
      <w:r w:rsidRPr="00F20CE7">
        <w:rPr>
          <w:rFonts w:cs="Arial"/>
          <w:lang w:val="en-GB"/>
        </w:rPr>
        <w:t xml:space="preserve"> ensure</w:t>
      </w:r>
      <w:r>
        <w:rPr>
          <w:rFonts w:cs="Arial"/>
          <w:lang w:val="en-GB"/>
        </w:rPr>
        <w:t xml:space="preserve"> accessibility of intermodal travel for passengers with disabilities, TEN-T infrastructure needs to be interoperable with rolling stock, vehicles, carriers, and vessels</w:t>
      </w:r>
      <w:r w:rsidR="0076448A">
        <w:rPr>
          <w:rFonts w:cs="Arial"/>
          <w:lang w:val="en-GB"/>
        </w:rPr>
        <w:t>. Therefore, the revised TEN-T Regulation should require that vehicles using TEN-T infrastructure are interoperable with it and accessible for persons with disabilities.</w:t>
      </w:r>
      <w:r>
        <w:rPr>
          <w:rFonts w:cs="Arial"/>
          <w:lang w:val="en-GB"/>
        </w:rPr>
        <w:t xml:space="preserve"> </w:t>
      </w:r>
      <w:r w:rsidRPr="00F20CE7">
        <w:rPr>
          <w:rFonts w:cs="Arial"/>
          <w:lang w:val="en-GB"/>
        </w:rPr>
        <w:t xml:space="preserve">For </w:t>
      </w:r>
      <w:r>
        <w:rPr>
          <w:rFonts w:cs="Arial"/>
          <w:lang w:val="en-GB"/>
        </w:rPr>
        <w:t>example</w:t>
      </w:r>
      <w:r w:rsidRPr="00F20CE7">
        <w:rPr>
          <w:rFonts w:cs="Arial"/>
          <w:lang w:val="en-GB"/>
        </w:rPr>
        <w:t xml:space="preserve">, a TEN-T project aiming </w:t>
      </w:r>
      <w:r>
        <w:rPr>
          <w:rFonts w:cs="Arial"/>
          <w:lang w:val="en-GB"/>
        </w:rPr>
        <w:t>to</w:t>
      </w:r>
      <w:r w:rsidR="0076448A">
        <w:rPr>
          <w:rFonts w:cs="Arial"/>
          <w:lang w:val="en-GB"/>
        </w:rPr>
        <w:t xml:space="preserve"> improve</w:t>
      </w:r>
      <w:r w:rsidRPr="00F20CE7">
        <w:rPr>
          <w:rFonts w:cs="Arial"/>
          <w:lang w:val="en-GB"/>
        </w:rPr>
        <w:t xml:space="preserve"> accessibility of a train station </w:t>
      </w:r>
      <w:r w:rsidR="0076448A">
        <w:rPr>
          <w:rFonts w:cs="Arial"/>
          <w:lang w:val="en-GB"/>
        </w:rPr>
        <w:t>will</w:t>
      </w:r>
      <w:r w:rsidRPr="00F20CE7">
        <w:rPr>
          <w:rFonts w:cs="Arial"/>
          <w:lang w:val="en-GB"/>
        </w:rPr>
        <w:t xml:space="preserve"> </w:t>
      </w:r>
      <w:r w:rsidR="0076448A">
        <w:rPr>
          <w:rFonts w:cs="Arial"/>
          <w:lang w:val="en-GB"/>
        </w:rPr>
        <w:t>still be inaccessible for</w:t>
      </w:r>
      <w:r w:rsidRPr="00F20CE7">
        <w:rPr>
          <w:rFonts w:cs="Arial"/>
          <w:lang w:val="en-GB"/>
        </w:rPr>
        <w:t xml:space="preserve"> passenger</w:t>
      </w:r>
      <w:r w:rsidR="0076448A">
        <w:rPr>
          <w:rFonts w:cs="Arial"/>
          <w:lang w:val="en-GB"/>
        </w:rPr>
        <w:t>s with disabilities</w:t>
      </w:r>
      <w:r w:rsidRPr="00F20CE7">
        <w:rPr>
          <w:rFonts w:cs="Arial"/>
          <w:lang w:val="en-GB"/>
        </w:rPr>
        <w:t xml:space="preserve"> if the trains passing through this station are not made accessible and compatible with the train station.</w:t>
      </w:r>
    </w:p>
    <w:p w14:paraId="27D53B67" w14:textId="2BB1C048" w:rsidR="00D55B09" w:rsidRPr="0076448A" w:rsidRDefault="00D14CF2" w:rsidP="0076448A">
      <w:pPr>
        <w:pStyle w:val="Heading4"/>
        <w:rPr>
          <w:lang w:val="en-GB"/>
        </w:rPr>
      </w:pPr>
      <w:r>
        <w:rPr>
          <w:lang w:val="en-GB"/>
        </w:rPr>
        <w:t xml:space="preserve">The </w:t>
      </w:r>
      <w:r w:rsidR="0076448A">
        <w:rPr>
          <w:lang w:val="en-GB"/>
        </w:rPr>
        <w:t>TEN-T</w:t>
      </w:r>
      <w:r w:rsidR="00D55B09" w:rsidRPr="0076448A">
        <w:rPr>
          <w:lang w:val="en-GB"/>
        </w:rPr>
        <w:t xml:space="preserve"> Regulation </w:t>
      </w:r>
      <w:r w:rsidR="0076448A">
        <w:rPr>
          <w:lang w:val="en-GB"/>
        </w:rPr>
        <w:t xml:space="preserve">should </w:t>
      </w:r>
      <w:r w:rsidR="00D55B09" w:rsidRPr="0076448A">
        <w:rPr>
          <w:lang w:val="en-GB"/>
        </w:rPr>
        <w:t>ensure accessibility of urb</w:t>
      </w:r>
      <w:r w:rsidR="0076448A">
        <w:rPr>
          <w:lang w:val="en-GB"/>
        </w:rPr>
        <w:t>an mobility, including urban nodes</w:t>
      </w:r>
      <w:r w:rsidR="00D55B09" w:rsidRPr="0076448A">
        <w:rPr>
          <w:lang w:val="en-GB"/>
        </w:rPr>
        <w:t xml:space="preserve">. </w:t>
      </w:r>
    </w:p>
    <w:p w14:paraId="3A54A9A6" w14:textId="23281E23" w:rsidR="00D55B09" w:rsidRDefault="00D55B09" w:rsidP="00D55B09">
      <w:pPr>
        <w:spacing w:after="240"/>
        <w:rPr>
          <w:rFonts w:cs="Arial"/>
          <w:lang w:val="en-GB"/>
        </w:rPr>
      </w:pPr>
      <w:r w:rsidRPr="00F20CE7">
        <w:rPr>
          <w:rFonts w:cs="Arial"/>
          <w:lang w:val="en-GB"/>
        </w:rPr>
        <w:t>Leaving local transport outside the scope of TEN-T hugely reduce</w:t>
      </w:r>
      <w:r w:rsidR="00DC327B">
        <w:rPr>
          <w:rFonts w:cs="Arial"/>
          <w:lang w:val="en-GB"/>
        </w:rPr>
        <w:t>s</w:t>
      </w:r>
      <w:r w:rsidRPr="00F20CE7">
        <w:rPr>
          <w:rFonts w:cs="Arial"/>
          <w:lang w:val="en-GB"/>
        </w:rPr>
        <w:t xml:space="preserve"> the impact it can have on millions of persons with disabilities</w:t>
      </w:r>
      <w:r w:rsidR="00DC327B">
        <w:rPr>
          <w:rFonts w:cs="Arial"/>
          <w:lang w:val="en-GB"/>
        </w:rPr>
        <w:t xml:space="preserve"> </w:t>
      </w:r>
      <w:r w:rsidRPr="00F20CE7">
        <w:rPr>
          <w:rFonts w:cs="Arial"/>
          <w:lang w:val="en-GB"/>
        </w:rPr>
        <w:t>(also applicable to Art 30.d).</w:t>
      </w:r>
      <w:r w:rsidR="00DC327B">
        <w:rPr>
          <w:rFonts w:cs="Arial"/>
          <w:lang w:val="en-GB"/>
        </w:rPr>
        <w:t xml:space="preserve"> If a local bus (stop) or train (station) is not accessible, passengers with disabilities cannot arrive at a train station or airport even if these are accessible under TEN-T. </w:t>
      </w:r>
    </w:p>
    <w:p w14:paraId="5518F842" w14:textId="6F662383" w:rsidR="00DC327B" w:rsidRPr="00F20CE7" w:rsidRDefault="00DC327B" w:rsidP="00DC327B">
      <w:pPr>
        <w:pStyle w:val="Heading3"/>
        <w:rPr>
          <w:lang w:val="en-GB"/>
        </w:rPr>
      </w:pPr>
      <w:r>
        <w:rPr>
          <w:lang w:val="en-GB"/>
        </w:rPr>
        <w:lastRenderedPageBreak/>
        <w:t>Funding</w:t>
      </w:r>
    </w:p>
    <w:p w14:paraId="0E1E52BE" w14:textId="226E38AE" w:rsidR="00DC327B" w:rsidRPr="00622E54" w:rsidRDefault="00622E54" w:rsidP="00622E54">
      <w:pPr>
        <w:pStyle w:val="Heading4"/>
        <w:rPr>
          <w:lang w:val="en-GB"/>
        </w:rPr>
      </w:pPr>
      <w:r>
        <w:rPr>
          <w:lang w:val="en-GB"/>
        </w:rPr>
        <w:t xml:space="preserve">The </w:t>
      </w:r>
      <w:r w:rsidR="00DC327B" w:rsidRPr="00622E54">
        <w:rPr>
          <w:lang w:val="en-GB"/>
        </w:rPr>
        <w:t xml:space="preserve">TEN-T </w:t>
      </w:r>
      <w:r>
        <w:rPr>
          <w:lang w:val="en-GB"/>
        </w:rPr>
        <w:t>Regulation should ensure that funding for projects is granted on the condition of making infrastructure accessible for persons with disabilities.</w:t>
      </w:r>
    </w:p>
    <w:p w14:paraId="4B215666" w14:textId="6251F860" w:rsidR="00622E54" w:rsidRDefault="00622E54" w:rsidP="00622E54">
      <w:pPr>
        <w:spacing w:after="240"/>
        <w:rPr>
          <w:lang w:val="en-GB"/>
        </w:rPr>
      </w:pPr>
      <w:r>
        <w:rPr>
          <w:lang w:val="en-GB"/>
        </w:rPr>
        <w:t xml:space="preserve">Sufficient funding is essential for making infrastructure accessible. </w:t>
      </w:r>
      <w:r w:rsidR="00DC327B" w:rsidRPr="00F20CE7">
        <w:rPr>
          <w:lang w:val="en-GB"/>
        </w:rPr>
        <w:t xml:space="preserve">It is crucial </w:t>
      </w:r>
      <w:r w:rsidR="00BC2482">
        <w:rPr>
          <w:lang w:val="en-GB"/>
        </w:rPr>
        <w:t>that the TEN-T Regulation explicitly forbids using public money, such as EU funds</w:t>
      </w:r>
      <w:r w:rsidR="00DC327B" w:rsidRPr="00F20CE7">
        <w:rPr>
          <w:lang w:val="en-GB"/>
        </w:rPr>
        <w:t xml:space="preserve"> from creating new, inaccessible infrastructure</w:t>
      </w:r>
      <w:r w:rsidR="00BC2482">
        <w:rPr>
          <w:lang w:val="en-GB"/>
        </w:rPr>
        <w:t xml:space="preserve">. </w:t>
      </w:r>
    </w:p>
    <w:p w14:paraId="7DB26977" w14:textId="265B9651" w:rsidR="00410C03" w:rsidRDefault="00410C03" w:rsidP="00622E54">
      <w:pPr>
        <w:spacing w:after="240"/>
        <w:rPr>
          <w:lang w:val="en-GB"/>
        </w:rPr>
      </w:pPr>
      <w:r>
        <w:rPr>
          <w:lang w:val="en-GB"/>
        </w:rPr>
        <w:t xml:space="preserve">Accessibility requirements should be part of obligatory criteria for awarding TEN-T funding. </w:t>
      </w:r>
    </w:p>
    <w:p w14:paraId="75F084EC" w14:textId="36FC5122" w:rsidR="00622E54" w:rsidRDefault="00D14CF2" w:rsidP="00622E54">
      <w:pPr>
        <w:pStyle w:val="Heading4"/>
        <w:rPr>
          <w:lang w:val="en-GB"/>
        </w:rPr>
      </w:pPr>
      <w:r>
        <w:rPr>
          <w:lang w:val="en-GB"/>
        </w:rPr>
        <w:t xml:space="preserve">The </w:t>
      </w:r>
      <w:r w:rsidR="00622E54">
        <w:rPr>
          <w:lang w:val="en-GB"/>
        </w:rPr>
        <w:t>TEN-T Regulation should increase t</w:t>
      </w:r>
      <w:r w:rsidR="00622E54" w:rsidRPr="00622E54">
        <w:rPr>
          <w:lang w:val="en-GB"/>
        </w:rPr>
        <w:t xml:space="preserve">ransparency </w:t>
      </w:r>
      <w:r w:rsidR="00622E54">
        <w:rPr>
          <w:lang w:val="en-GB"/>
        </w:rPr>
        <w:t xml:space="preserve">related to how EU funding is spent to improve accessibility of infrastructure.  </w:t>
      </w:r>
    </w:p>
    <w:p w14:paraId="11BB218B" w14:textId="65C28FED" w:rsidR="00DC327B" w:rsidRDefault="00780086" w:rsidP="00DC327B">
      <w:pPr>
        <w:spacing w:after="240"/>
        <w:rPr>
          <w:rFonts w:cs="Arial"/>
          <w:lang w:val="en-GB"/>
        </w:rPr>
      </w:pPr>
      <w:r>
        <w:rPr>
          <w:rFonts w:cs="Arial"/>
          <w:lang w:val="en-GB"/>
        </w:rPr>
        <w:t xml:space="preserve">It is important </w:t>
      </w:r>
      <w:r w:rsidR="00410C03">
        <w:rPr>
          <w:rFonts w:cs="Arial"/>
          <w:lang w:val="en-GB"/>
        </w:rPr>
        <w:t xml:space="preserve">that there is </w:t>
      </w:r>
      <w:r w:rsidR="00DC327B" w:rsidRPr="00622E54">
        <w:rPr>
          <w:rFonts w:cs="Arial"/>
          <w:lang w:val="en-GB"/>
        </w:rPr>
        <w:t>publicly available, easy to find</w:t>
      </w:r>
      <w:r w:rsidR="006F5A57">
        <w:rPr>
          <w:rFonts w:cs="Arial"/>
          <w:lang w:val="en-GB"/>
        </w:rPr>
        <w:t xml:space="preserve"> and</w:t>
      </w:r>
      <w:r w:rsidR="00410C03">
        <w:rPr>
          <w:rFonts w:cs="Arial"/>
          <w:lang w:val="en-GB"/>
        </w:rPr>
        <w:t xml:space="preserve"> understand,</w:t>
      </w:r>
      <w:r w:rsidR="00DC327B" w:rsidRPr="00622E54">
        <w:rPr>
          <w:rFonts w:cs="Arial"/>
          <w:lang w:val="en-GB"/>
        </w:rPr>
        <w:t xml:space="preserve"> and accessible information </w:t>
      </w:r>
      <w:r w:rsidR="00410C03">
        <w:rPr>
          <w:rFonts w:cs="Arial"/>
          <w:lang w:val="en-GB"/>
        </w:rPr>
        <w:t>about funding</w:t>
      </w:r>
      <w:r w:rsidR="00DC327B" w:rsidRPr="00622E54">
        <w:rPr>
          <w:rFonts w:cs="Arial"/>
          <w:lang w:val="en-GB"/>
        </w:rPr>
        <w:t xml:space="preserve"> criteria,</w:t>
      </w:r>
      <w:r w:rsidR="006F5A57">
        <w:rPr>
          <w:rFonts w:cs="Arial"/>
          <w:lang w:val="en-GB"/>
        </w:rPr>
        <w:t xml:space="preserve"> and</w:t>
      </w:r>
      <w:r w:rsidR="00DC327B" w:rsidRPr="00622E54">
        <w:rPr>
          <w:rFonts w:cs="Arial"/>
          <w:lang w:val="en-GB"/>
        </w:rPr>
        <w:t xml:space="preserve"> </w:t>
      </w:r>
      <w:r w:rsidR="00486FB5">
        <w:rPr>
          <w:rFonts w:cs="Arial"/>
          <w:lang w:val="en-GB"/>
        </w:rPr>
        <w:t xml:space="preserve">project </w:t>
      </w:r>
      <w:r w:rsidR="00DC327B" w:rsidRPr="00622E54">
        <w:rPr>
          <w:rFonts w:cs="Arial"/>
          <w:lang w:val="en-GB"/>
        </w:rPr>
        <w:t xml:space="preserve">implementation </w:t>
      </w:r>
      <w:r w:rsidR="00486FB5">
        <w:rPr>
          <w:rFonts w:cs="Arial"/>
          <w:lang w:val="en-GB"/>
        </w:rPr>
        <w:t>and</w:t>
      </w:r>
      <w:r w:rsidR="00410C03">
        <w:rPr>
          <w:rFonts w:cs="Arial"/>
          <w:lang w:val="en-GB"/>
        </w:rPr>
        <w:t xml:space="preserve"> outcomes</w:t>
      </w:r>
      <w:r w:rsidR="00DC327B" w:rsidRPr="00622E54">
        <w:rPr>
          <w:rFonts w:cs="Arial"/>
          <w:lang w:val="en-GB"/>
        </w:rPr>
        <w:t>.</w:t>
      </w:r>
      <w:r>
        <w:rPr>
          <w:rFonts w:cs="Arial"/>
          <w:lang w:val="en-GB"/>
        </w:rPr>
        <w:t xml:space="preserve"> </w:t>
      </w:r>
      <w:r w:rsidR="006F5A57">
        <w:rPr>
          <w:rFonts w:cs="Arial"/>
          <w:lang w:val="en-GB"/>
        </w:rPr>
        <w:t>We</w:t>
      </w:r>
      <w:r w:rsidR="00DC327B" w:rsidRPr="00F20CE7">
        <w:rPr>
          <w:rFonts w:cs="Arial"/>
          <w:lang w:val="en-GB"/>
        </w:rPr>
        <w:t xml:space="preserve"> regularly receive complaints regarding inaccessible infrastructure from persons with disabilities, but often find it difficult to verify </w:t>
      </w:r>
      <w:r w:rsidR="001E1191" w:rsidRPr="00F20CE7">
        <w:rPr>
          <w:rFonts w:cs="Arial"/>
          <w:lang w:val="en-GB"/>
        </w:rPr>
        <w:t>whether</w:t>
      </w:r>
      <w:r w:rsidR="00DC327B" w:rsidRPr="00F20CE7">
        <w:rPr>
          <w:rFonts w:cs="Arial"/>
          <w:lang w:val="en-GB"/>
        </w:rPr>
        <w:t xml:space="preserve"> EU funds were used for </w:t>
      </w:r>
      <w:r w:rsidR="006F5A57">
        <w:rPr>
          <w:rFonts w:cs="Arial"/>
          <w:lang w:val="en-GB"/>
        </w:rPr>
        <w:t>these</w:t>
      </w:r>
      <w:r w:rsidR="00DC327B" w:rsidRPr="00F20CE7">
        <w:rPr>
          <w:rFonts w:cs="Arial"/>
          <w:lang w:val="en-GB"/>
        </w:rPr>
        <w:t xml:space="preserve">. </w:t>
      </w:r>
    </w:p>
    <w:p w14:paraId="55553F86" w14:textId="6874C823" w:rsidR="00780086" w:rsidRDefault="00780086" w:rsidP="00DC327B">
      <w:pPr>
        <w:spacing w:after="240"/>
        <w:rPr>
          <w:rFonts w:cs="Arial"/>
          <w:lang w:val="en-GB"/>
        </w:rPr>
      </w:pPr>
      <w:r>
        <w:rPr>
          <w:rFonts w:cs="Arial"/>
          <w:lang w:val="en-GB"/>
        </w:rPr>
        <w:t xml:space="preserve">We recommend adding accessibility as </w:t>
      </w:r>
      <w:r w:rsidR="006F5A57">
        <w:rPr>
          <w:rFonts w:cs="Arial"/>
          <w:lang w:val="en-GB"/>
        </w:rPr>
        <w:t xml:space="preserve">a </w:t>
      </w:r>
      <w:r>
        <w:rPr>
          <w:rFonts w:cs="Arial"/>
          <w:lang w:val="en-GB"/>
        </w:rPr>
        <w:t xml:space="preserve">TEN-T compliance indicator in </w:t>
      </w:r>
      <w:r w:rsidRPr="00780086">
        <w:rPr>
          <w:rFonts w:cs="Arial"/>
          <w:lang w:val="en-GB"/>
        </w:rPr>
        <w:t>the interactive geographical and technical information system for the trans-European transport network (TENtec)</w:t>
      </w:r>
      <w:r w:rsidR="00410C03">
        <w:rPr>
          <w:rFonts w:cs="Arial"/>
          <w:lang w:val="en-GB"/>
        </w:rPr>
        <w:t>. It is also crucial that this platform is accessible for persons with disabilities</w:t>
      </w:r>
      <w:r w:rsidR="001E1191">
        <w:rPr>
          <w:rFonts w:cs="Arial"/>
          <w:lang w:val="en-GB"/>
        </w:rPr>
        <w:t xml:space="preserve"> by meeting existing harmonised accessibility standards</w:t>
      </w:r>
      <w:r w:rsidR="00410C03">
        <w:rPr>
          <w:rFonts w:cs="Arial"/>
          <w:lang w:val="en-GB"/>
        </w:rPr>
        <w:t>.</w:t>
      </w:r>
      <w:r w:rsidR="00410C03">
        <w:rPr>
          <w:rStyle w:val="FootnoteReference"/>
          <w:rFonts w:cs="Arial"/>
          <w:lang w:val="en-GB"/>
        </w:rPr>
        <w:footnoteReference w:id="7"/>
      </w:r>
    </w:p>
    <w:p w14:paraId="3503EBCA" w14:textId="2F811E06" w:rsidR="006F5A57" w:rsidRDefault="006F5A57" w:rsidP="006F5A57">
      <w:pPr>
        <w:pStyle w:val="Heading3"/>
        <w:rPr>
          <w:lang w:val="en-GB"/>
        </w:rPr>
      </w:pPr>
      <w:r>
        <w:rPr>
          <w:lang w:val="en-GB"/>
        </w:rPr>
        <w:t>Monitoring and enforcement</w:t>
      </w:r>
    </w:p>
    <w:p w14:paraId="78443FD1" w14:textId="7A421F7D" w:rsidR="006F5A57" w:rsidRDefault="006F5A57" w:rsidP="006F5A57">
      <w:pPr>
        <w:pStyle w:val="Heading4"/>
        <w:rPr>
          <w:lang w:val="en-GB"/>
        </w:rPr>
      </w:pPr>
      <w:r>
        <w:rPr>
          <w:lang w:val="en-GB"/>
        </w:rPr>
        <w:t>P</w:t>
      </w:r>
      <w:r w:rsidRPr="006F5A57">
        <w:rPr>
          <w:lang w:val="en-GB"/>
        </w:rPr>
        <w:t xml:space="preserve">rovisions regarding monitoring the progress of TEN-T </w:t>
      </w:r>
      <w:r>
        <w:rPr>
          <w:lang w:val="en-GB"/>
        </w:rPr>
        <w:t>should be</w:t>
      </w:r>
      <w:r w:rsidRPr="006F5A57">
        <w:rPr>
          <w:lang w:val="en-GB"/>
        </w:rPr>
        <w:t xml:space="preserve"> strengthened</w:t>
      </w:r>
      <w:r>
        <w:rPr>
          <w:lang w:val="en-GB"/>
        </w:rPr>
        <w:t>.</w:t>
      </w:r>
    </w:p>
    <w:p w14:paraId="0FA0D0ED" w14:textId="146CCFF3" w:rsidR="006F5A57" w:rsidRDefault="006F5A57" w:rsidP="006F5A57">
      <w:pPr>
        <w:spacing w:after="240" w:line="240" w:lineRule="auto"/>
        <w:rPr>
          <w:rFonts w:cs="Arial"/>
          <w:lang w:val="en-GB"/>
        </w:rPr>
      </w:pPr>
      <w:r>
        <w:rPr>
          <w:rFonts w:cs="Arial"/>
          <w:lang w:val="en-GB"/>
        </w:rPr>
        <w:t xml:space="preserve">There is still great lack of systematic data on advancement of accessibility of TEN-T infrastructure. As mentioned, we </w:t>
      </w:r>
      <w:r w:rsidR="00B45C6A">
        <w:rPr>
          <w:rFonts w:cs="Arial"/>
          <w:lang w:val="en-GB"/>
        </w:rPr>
        <w:t xml:space="preserve">have anecdotal evidence based on feedback we receive from persons with disabilities, but this is not enough to </w:t>
      </w:r>
      <w:r w:rsidR="00CF3BF4">
        <w:rPr>
          <w:rFonts w:cs="Arial"/>
          <w:lang w:val="en-GB"/>
        </w:rPr>
        <w:t>monitor how accessibility requirements of the TEN-T Regulation are implemented</w:t>
      </w:r>
      <w:r w:rsidR="00B45C6A">
        <w:rPr>
          <w:rFonts w:cs="Arial"/>
          <w:lang w:val="en-GB"/>
        </w:rPr>
        <w:t>. It has also made</w:t>
      </w:r>
      <w:r w:rsidR="00CF3BF4">
        <w:rPr>
          <w:rFonts w:cs="Arial"/>
          <w:lang w:val="en-GB"/>
        </w:rPr>
        <w:t xml:space="preserve"> it</w:t>
      </w:r>
      <w:r w:rsidR="00B45C6A">
        <w:rPr>
          <w:rFonts w:cs="Arial"/>
          <w:lang w:val="en-GB"/>
        </w:rPr>
        <w:t xml:space="preserve"> difficult to support informed </w:t>
      </w:r>
      <w:r w:rsidR="001E1191">
        <w:rPr>
          <w:rFonts w:cs="Arial"/>
          <w:lang w:val="en-GB"/>
        </w:rPr>
        <w:t>policymaking</w:t>
      </w:r>
      <w:r w:rsidR="00B45C6A">
        <w:rPr>
          <w:rFonts w:cs="Arial"/>
          <w:lang w:val="en-GB"/>
        </w:rPr>
        <w:t xml:space="preserve"> during the evaluation and revision of the current Regulation.</w:t>
      </w:r>
    </w:p>
    <w:p w14:paraId="6D512F22" w14:textId="05E5753A" w:rsidR="006F5A57" w:rsidRDefault="00B45C6A" w:rsidP="00CF3BF4">
      <w:pPr>
        <w:spacing w:after="240" w:line="240" w:lineRule="auto"/>
        <w:rPr>
          <w:rFonts w:cs="Arial"/>
          <w:lang w:val="en-GB"/>
        </w:rPr>
      </w:pPr>
      <w:r>
        <w:rPr>
          <w:rFonts w:cs="Arial"/>
          <w:lang w:val="en-GB"/>
        </w:rPr>
        <w:t>We recommend</w:t>
      </w:r>
      <w:r w:rsidR="006F5A57" w:rsidRPr="006F5A57">
        <w:rPr>
          <w:rFonts w:cs="Arial"/>
          <w:lang w:val="en-GB"/>
        </w:rPr>
        <w:t xml:space="preserve"> incorporating clear indicators for accessibility</w:t>
      </w:r>
      <w:r w:rsidR="00CF3BF4">
        <w:rPr>
          <w:rFonts w:cs="Arial"/>
          <w:lang w:val="en-GB"/>
        </w:rPr>
        <w:t xml:space="preserve"> monitoring </w:t>
      </w:r>
      <w:r>
        <w:rPr>
          <w:rFonts w:cs="Arial"/>
          <w:lang w:val="en-GB"/>
        </w:rPr>
        <w:t xml:space="preserve">based on the accessibility requirements and timelines suggested above. </w:t>
      </w:r>
    </w:p>
    <w:p w14:paraId="71716979" w14:textId="58949AB9" w:rsidR="006F5A57" w:rsidRDefault="00467A17" w:rsidP="00467A17">
      <w:pPr>
        <w:pStyle w:val="Heading4"/>
        <w:rPr>
          <w:lang w:val="en-GB"/>
        </w:rPr>
      </w:pPr>
      <w:r>
        <w:rPr>
          <w:lang w:val="en-GB"/>
        </w:rPr>
        <w:lastRenderedPageBreak/>
        <w:t>E</w:t>
      </w:r>
      <w:r w:rsidR="006F5A57" w:rsidRPr="00467A17">
        <w:rPr>
          <w:lang w:val="en-GB"/>
        </w:rPr>
        <w:t xml:space="preserve">nforcement, </w:t>
      </w:r>
      <w:r>
        <w:rPr>
          <w:lang w:val="en-GB"/>
        </w:rPr>
        <w:t>feedback</w:t>
      </w:r>
      <w:r w:rsidRPr="00467A17">
        <w:rPr>
          <w:lang w:val="en-GB"/>
        </w:rPr>
        <w:t>,</w:t>
      </w:r>
      <w:r w:rsidR="006F5A57" w:rsidRPr="00467A17">
        <w:rPr>
          <w:lang w:val="en-GB"/>
        </w:rPr>
        <w:t xml:space="preserve"> and remedy mechanisms are strengthened in the</w:t>
      </w:r>
      <w:r>
        <w:rPr>
          <w:lang w:val="en-GB"/>
        </w:rPr>
        <w:t xml:space="preserve"> TEN-T</w:t>
      </w:r>
      <w:r w:rsidR="006F5A57" w:rsidRPr="00467A17">
        <w:rPr>
          <w:lang w:val="en-GB"/>
        </w:rPr>
        <w:t xml:space="preserve"> Regulation</w:t>
      </w:r>
      <w:r>
        <w:rPr>
          <w:lang w:val="en-GB"/>
        </w:rPr>
        <w:t>.</w:t>
      </w:r>
    </w:p>
    <w:p w14:paraId="51214C4D" w14:textId="77777777" w:rsidR="00467A17" w:rsidRDefault="00467A17" w:rsidP="00467A17">
      <w:pPr>
        <w:rPr>
          <w:rFonts w:cs="Arial"/>
          <w:lang w:val="en-GB"/>
        </w:rPr>
      </w:pPr>
      <w:r>
        <w:rPr>
          <w:lang w:val="en-GB"/>
        </w:rPr>
        <w:t xml:space="preserve">To support monitoring of TEN-T, especially in relation to implementing accessibility requirements, the Regulation should </w:t>
      </w:r>
      <w:r w:rsidR="006F5A57" w:rsidRPr="00467A17">
        <w:rPr>
          <w:rFonts w:cs="Arial"/>
          <w:lang w:val="en-GB"/>
        </w:rPr>
        <w:t>clarify the powers and functions of Single Contact Authorities and ensur</w:t>
      </w:r>
      <w:r>
        <w:rPr>
          <w:rFonts w:cs="Arial"/>
          <w:lang w:val="en-GB"/>
        </w:rPr>
        <w:t>e</w:t>
      </w:r>
      <w:r w:rsidR="006F5A57" w:rsidRPr="00467A17">
        <w:rPr>
          <w:rFonts w:cs="Arial"/>
          <w:lang w:val="en-GB"/>
        </w:rPr>
        <w:t xml:space="preserve"> they have the capacity and means to carry out their mandates efficiently (Art 55)</w:t>
      </w:r>
      <w:r>
        <w:rPr>
          <w:rFonts w:cs="Arial"/>
          <w:lang w:val="en-GB"/>
        </w:rPr>
        <w:t xml:space="preserve">. </w:t>
      </w:r>
    </w:p>
    <w:p w14:paraId="6F28EA2A" w14:textId="28B23632" w:rsidR="006F5A57" w:rsidRDefault="00467A17" w:rsidP="00467A17">
      <w:pPr>
        <w:rPr>
          <w:sz w:val="18"/>
          <w:szCs w:val="18"/>
          <w:lang w:val="en-GB"/>
        </w:rPr>
      </w:pPr>
      <w:r>
        <w:rPr>
          <w:rFonts w:cs="Arial"/>
          <w:lang w:val="en-GB"/>
        </w:rPr>
        <w:t xml:space="preserve">The Regulation should also </w:t>
      </w:r>
      <w:r w:rsidR="006F5A57" w:rsidRPr="00467A17">
        <w:rPr>
          <w:rFonts w:cs="Arial"/>
          <w:lang w:val="en-GB"/>
        </w:rPr>
        <w:t>ensur</w:t>
      </w:r>
      <w:r>
        <w:rPr>
          <w:rFonts w:cs="Arial"/>
          <w:lang w:val="en-GB"/>
        </w:rPr>
        <w:t>e</w:t>
      </w:r>
      <w:r w:rsidR="006F5A57" w:rsidRPr="00467A17">
        <w:rPr>
          <w:rFonts w:cs="Arial"/>
          <w:lang w:val="en-GB"/>
        </w:rPr>
        <w:t xml:space="preserve"> simple, accessible means of reporting</w:t>
      </w:r>
      <w:r>
        <w:rPr>
          <w:rFonts w:cs="Arial"/>
          <w:lang w:val="en-GB"/>
        </w:rPr>
        <w:t xml:space="preserve"> and feedback mechanisms</w:t>
      </w:r>
      <w:r w:rsidR="006F5A57" w:rsidRPr="00467A17">
        <w:rPr>
          <w:rFonts w:cs="Arial"/>
          <w:lang w:val="en-GB"/>
        </w:rPr>
        <w:t xml:space="preserve">. When </w:t>
      </w:r>
      <w:r>
        <w:rPr>
          <w:rFonts w:cs="Arial"/>
          <w:lang w:val="en-GB"/>
        </w:rPr>
        <w:t>infrastructure under TEN-T is not accessible</w:t>
      </w:r>
      <w:r w:rsidR="006F5A57" w:rsidRPr="00467A17">
        <w:rPr>
          <w:rFonts w:cs="Arial"/>
          <w:lang w:val="en-GB"/>
        </w:rPr>
        <w:t xml:space="preserve">, persons with disabilities should </w:t>
      </w:r>
      <w:r>
        <w:rPr>
          <w:rFonts w:cs="Arial"/>
          <w:lang w:val="en-GB"/>
        </w:rPr>
        <w:t xml:space="preserve">know who to contact and how. Information, contact means, (telephone, websites, etc.) and feedback forms should be easy to find, understand, and </w:t>
      </w:r>
      <w:r w:rsidR="001E1191">
        <w:rPr>
          <w:rFonts w:cs="Arial"/>
          <w:lang w:val="en-GB"/>
        </w:rPr>
        <w:t>accessible</w:t>
      </w:r>
      <w:r>
        <w:rPr>
          <w:rFonts w:cs="Arial"/>
          <w:lang w:val="en-GB"/>
        </w:rPr>
        <w:t xml:space="preserve"> for persons with disabilities.</w:t>
      </w:r>
      <w:r w:rsidR="001E1191">
        <w:rPr>
          <w:rFonts w:cs="Arial"/>
          <w:lang w:val="en-GB"/>
        </w:rPr>
        <w:t xml:space="preserve"> </w:t>
      </w:r>
      <w:r w:rsidR="006F5A57" w:rsidRPr="00467A17">
        <w:rPr>
          <w:rFonts w:cs="Arial"/>
          <w:lang w:val="en-GB"/>
        </w:rPr>
        <w:t>The EU and Member State responsible bodies should</w:t>
      </w:r>
      <w:r>
        <w:rPr>
          <w:rFonts w:cs="Arial"/>
          <w:lang w:val="en-GB"/>
        </w:rPr>
        <w:t xml:space="preserve"> be </w:t>
      </w:r>
      <w:r w:rsidR="006F5A57" w:rsidRPr="00467A17">
        <w:rPr>
          <w:rFonts w:cs="Arial"/>
          <w:lang w:val="en-GB"/>
        </w:rPr>
        <w:t xml:space="preserve">proactive </w:t>
      </w:r>
      <w:r>
        <w:rPr>
          <w:rFonts w:cs="Arial"/>
          <w:lang w:val="en-GB"/>
        </w:rPr>
        <w:t>in</w:t>
      </w:r>
      <w:r w:rsidR="006F5A57" w:rsidRPr="00467A17">
        <w:rPr>
          <w:rFonts w:cs="Arial"/>
          <w:lang w:val="en-GB"/>
        </w:rPr>
        <w:t xml:space="preserve"> communicating this information to </w:t>
      </w:r>
      <w:r>
        <w:rPr>
          <w:rFonts w:cs="Arial"/>
          <w:lang w:val="en-GB"/>
        </w:rPr>
        <w:t>passengers in a manner</w:t>
      </w:r>
      <w:r w:rsidR="00AC6003">
        <w:rPr>
          <w:rFonts w:cs="Arial"/>
          <w:lang w:val="en-GB"/>
        </w:rPr>
        <w:t xml:space="preserve"> and through channels</w:t>
      </w:r>
      <w:r>
        <w:rPr>
          <w:rFonts w:cs="Arial"/>
          <w:lang w:val="en-GB"/>
        </w:rPr>
        <w:t xml:space="preserve"> accessible </w:t>
      </w:r>
      <w:r w:rsidR="00AC6003">
        <w:rPr>
          <w:rFonts w:cs="Arial"/>
          <w:lang w:val="en-GB"/>
        </w:rPr>
        <w:t xml:space="preserve">for persons with disabilities. </w:t>
      </w:r>
      <w:r w:rsidR="006F5A57" w:rsidRPr="00467A17">
        <w:rPr>
          <w:sz w:val="18"/>
          <w:szCs w:val="18"/>
          <w:lang w:val="en-GB"/>
        </w:rPr>
        <w:t> </w:t>
      </w:r>
    </w:p>
    <w:p w14:paraId="5B4CAF35" w14:textId="308D5DB1" w:rsidR="005268D9" w:rsidRDefault="005268D9" w:rsidP="005268D9">
      <w:pPr>
        <w:pStyle w:val="Heading3"/>
        <w:rPr>
          <w:lang w:val="en-GB"/>
        </w:rPr>
      </w:pPr>
      <w:r>
        <w:rPr>
          <w:lang w:val="en-GB"/>
        </w:rPr>
        <w:t>M</w:t>
      </w:r>
      <w:r w:rsidRPr="005268D9">
        <w:rPr>
          <w:lang w:val="en-GB"/>
        </w:rPr>
        <w:t xml:space="preserve">eaningful participation of persons with disabilities in implementation of the TEN-T </w:t>
      </w:r>
      <w:r>
        <w:rPr>
          <w:lang w:val="en-GB"/>
        </w:rPr>
        <w:t>Regulation</w:t>
      </w:r>
    </w:p>
    <w:p w14:paraId="4C4056BF" w14:textId="73716648" w:rsidR="005268D9" w:rsidRDefault="005268D9" w:rsidP="00467A17">
      <w:pPr>
        <w:rPr>
          <w:sz w:val="18"/>
          <w:szCs w:val="18"/>
          <w:lang w:val="en-GB"/>
        </w:rPr>
      </w:pPr>
      <w:r>
        <w:rPr>
          <w:lang w:val="en-GB"/>
        </w:rPr>
        <w:t>The UN CRPD requires that “i</w:t>
      </w:r>
      <w:r w:rsidRPr="005268D9">
        <w:rPr>
          <w:lang w:val="en-GB"/>
        </w:rPr>
        <w:t>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Pr>
          <w:lang w:val="en-GB"/>
        </w:rPr>
        <w:t>”</w:t>
      </w:r>
      <w:r>
        <w:rPr>
          <w:rStyle w:val="FootnoteReference"/>
          <w:lang w:val="en-GB"/>
        </w:rPr>
        <w:footnoteReference w:id="8"/>
      </w:r>
      <w:r>
        <w:rPr>
          <w:lang w:val="en-GB"/>
        </w:rPr>
        <w:t xml:space="preserve"> So, the TEN-T Regulation should ensure this as well. In practice this means that experts with disabilities should be priority stakeholders when developing and implementing projects under TEN-T, mon</w:t>
      </w:r>
      <w:r w:rsidR="000112E3">
        <w:rPr>
          <w:lang w:val="en-GB"/>
        </w:rPr>
        <w:t xml:space="preserve">itoring, </w:t>
      </w:r>
      <w:r w:rsidR="001E1191">
        <w:rPr>
          <w:lang w:val="en-GB"/>
        </w:rPr>
        <w:t>complaint,</w:t>
      </w:r>
      <w:r w:rsidR="000112E3">
        <w:rPr>
          <w:lang w:val="en-GB"/>
        </w:rPr>
        <w:t xml:space="preserve"> and other feedback mechanisms should be accessible for persons with disabilities, information about implementation of TEN-T is accessible, review of the current Regulation and development of future relevant policies ensure organisations of persons with disabilities are meaningfully consulted and </w:t>
      </w:r>
      <w:r w:rsidR="004410CC">
        <w:rPr>
          <w:lang w:val="en-GB"/>
        </w:rPr>
        <w:t xml:space="preserve">have the opportunity to </w:t>
      </w:r>
      <w:r w:rsidR="000112E3">
        <w:rPr>
          <w:lang w:val="en-GB"/>
        </w:rPr>
        <w:t xml:space="preserve">engage. </w:t>
      </w:r>
    </w:p>
    <w:p w14:paraId="1C424D6D" w14:textId="2979C8B3" w:rsidR="00AC6003" w:rsidRPr="00467A17" w:rsidRDefault="00AC6003" w:rsidP="00AC6003">
      <w:pPr>
        <w:pStyle w:val="Heading3"/>
        <w:rPr>
          <w:rFonts w:cs="Arial"/>
          <w:lang w:val="en-GB"/>
        </w:rPr>
      </w:pPr>
      <w:r>
        <w:rPr>
          <w:lang w:val="en-GB"/>
        </w:rPr>
        <w:t xml:space="preserve">Other aspects of TEN-T </w:t>
      </w:r>
      <w:r w:rsidR="004004DB">
        <w:rPr>
          <w:lang w:val="en-GB"/>
        </w:rPr>
        <w:t>to</w:t>
      </w:r>
      <w:r>
        <w:rPr>
          <w:lang w:val="en-GB"/>
        </w:rPr>
        <w:t xml:space="preserve"> </w:t>
      </w:r>
      <w:r w:rsidR="003D5287">
        <w:rPr>
          <w:lang w:val="en-GB"/>
        </w:rPr>
        <w:t>improve</w:t>
      </w:r>
    </w:p>
    <w:p w14:paraId="526E8680" w14:textId="7ACFEA9A" w:rsidR="00ED3DD9" w:rsidRPr="00AC6003" w:rsidRDefault="00AC6003" w:rsidP="00AC6003">
      <w:pPr>
        <w:pStyle w:val="Heading4"/>
        <w:rPr>
          <w:lang w:val="en-GB"/>
        </w:rPr>
      </w:pPr>
      <w:r>
        <w:rPr>
          <w:lang w:val="en-GB"/>
        </w:rPr>
        <w:t>Add r</w:t>
      </w:r>
      <w:r w:rsidR="00ED3DD9" w:rsidRPr="00AC6003">
        <w:rPr>
          <w:lang w:val="en-GB"/>
        </w:rPr>
        <w:t xml:space="preserve">eference to the UN </w:t>
      </w:r>
      <w:r>
        <w:rPr>
          <w:lang w:val="en-GB"/>
        </w:rPr>
        <w:t xml:space="preserve">Convention on the Rights of Persons with </w:t>
      </w:r>
      <w:r w:rsidR="00D14CF2">
        <w:rPr>
          <w:lang w:val="en-GB"/>
        </w:rPr>
        <w:t>D</w:t>
      </w:r>
      <w:r>
        <w:rPr>
          <w:lang w:val="en-GB"/>
        </w:rPr>
        <w:t>isabilities</w:t>
      </w:r>
      <w:r w:rsidR="00B9034C">
        <w:rPr>
          <w:lang w:val="en-GB"/>
        </w:rPr>
        <w:t xml:space="preserve"> (UN CRPD) and use UN CRPD language</w:t>
      </w:r>
      <w:r w:rsidR="00ED3DD9" w:rsidRPr="00AC6003">
        <w:rPr>
          <w:lang w:val="en-GB"/>
        </w:rPr>
        <w:t xml:space="preserve">. </w:t>
      </w:r>
    </w:p>
    <w:p w14:paraId="752AB6C9" w14:textId="3360507C" w:rsidR="00ED3DD9" w:rsidRPr="00F20CE7" w:rsidRDefault="00ED3DD9" w:rsidP="00C92B0C">
      <w:pPr>
        <w:spacing w:after="240"/>
        <w:rPr>
          <w:rFonts w:cs="Arial"/>
          <w:lang w:val="en-GB"/>
        </w:rPr>
      </w:pPr>
      <w:r w:rsidRPr="00F20CE7">
        <w:rPr>
          <w:rFonts w:cs="Arial"/>
          <w:lang w:val="en-GB"/>
        </w:rPr>
        <w:t xml:space="preserve">The EU is </w:t>
      </w:r>
      <w:r w:rsidR="009969E2">
        <w:rPr>
          <w:rFonts w:cs="Arial"/>
          <w:lang w:val="en-GB"/>
        </w:rPr>
        <w:t xml:space="preserve">State </w:t>
      </w:r>
      <w:r w:rsidRPr="00F20CE7">
        <w:rPr>
          <w:rFonts w:cs="Arial"/>
          <w:lang w:val="en-GB"/>
        </w:rPr>
        <w:t xml:space="preserve">Party to the UN CRPD, which means that all Union law should comply with the Convention. Explicit reference in the Regulation is </w:t>
      </w:r>
      <w:r w:rsidRPr="00F20CE7">
        <w:rPr>
          <w:rFonts w:cs="Arial"/>
          <w:lang w:val="en-GB"/>
        </w:rPr>
        <w:lastRenderedPageBreak/>
        <w:t xml:space="preserve">therefore </w:t>
      </w:r>
      <w:r w:rsidR="00AC6003">
        <w:rPr>
          <w:rFonts w:cs="Arial"/>
          <w:lang w:val="en-GB"/>
        </w:rPr>
        <w:t>necessary</w:t>
      </w:r>
      <w:r w:rsidRPr="00F20CE7">
        <w:rPr>
          <w:rFonts w:cs="Arial"/>
          <w:lang w:val="en-GB"/>
        </w:rPr>
        <w:t xml:space="preserve"> to reflect the spirit of the Convention in EU law. This is already done in </w:t>
      </w:r>
      <w:r w:rsidR="00AC6003">
        <w:rPr>
          <w:rFonts w:cs="Arial"/>
          <w:lang w:val="en-GB"/>
        </w:rPr>
        <w:t>several</w:t>
      </w:r>
      <w:r w:rsidRPr="00F20CE7">
        <w:rPr>
          <w:rFonts w:cs="Arial"/>
          <w:lang w:val="en-GB"/>
        </w:rPr>
        <w:t xml:space="preserve"> EU </w:t>
      </w:r>
      <w:r w:rsidR="00AC6003">
        <w:rPr>
          <w:rFonts w:cs="Arial"/>
          <w:lang w:val="en-GB"/>
        </w:rPr>
        <w:t>accessibility and transport laws.</w:t>
      </w:r>
      <w:r w:rsidR="00AC6003">
        <w:rPr>
          <w:rStyle w:val="FootnoteReference"/>
          <w:rFonts w:cs="Arial"/>
          <w:lang w:val="en-GB"/>
        </w:rPr>
        <w:footnoteReference w:id="9"/>
      </w:r>
      <w:r w:rsidR="00B9034C" w:rsidRPr="00F20CE7">
        <w:rPr>
          <w:rFonts w:cs="Arial"/>
          <w:lang w:val="en-GB"/>
        </w:rPr>
        <w:t xml:space="preserve"> </w:t>
      </w:r>
    </w:p>
    <w:p w14:paraId="308B6D87" w14:textId="6FECE05B" w:rsidR="00ED3DD9" w:rsidRPr="00F20CE7" w:rsidRDefault="00B9034C" w:rsidP="009969E2">
      <w:pPr>
        <w:spacing w:after="240"/>
        <w:rPr>
          <w:rFonts w:cs="Arial"/>
          <w:lang w:val="en-GB"/>
        </w:rPr>
      </w:pPr>
      <w:r>
        <w:rPr>
          <w:rFonts w:cs="Arial"/>
          <w:lang w:val="en-GB"/>
        </w:rPr>
        <w:t xml:space="preserve">We also recommend that </w:t>
      </w:r>
      <w:r w:rsidR="009969E2">
        <w:rPr>
          <w:rFonts w:cs="Arial"/>
          <w:lang w:val="en-GB"/>
        </w:rPr>
        <w:t>the text of the Regulation</w:t>
      </w:r>
      <w:r>
        <w:rPr>
          <w:rFonts w:cs="Arial"/>
          <w:lang w:val="en-GB"/>
        </w:rPr>
        <w:t xml:space="preserve"> in general uses UN CRPD language when referring to persons with disabilities or defining accessibility.</w:t>
      </w:r>
    </w:p>
    <w:p w14:paraId="6FF5A484" w14:textId="48DABA4C" w:rsidR="00ED3DD9" w:rsidRPr="00BC017E" w:rsidRDefault="00BC017E" w:rsidP="00BC017E">
      <w:pPr>
        <w:pStyle w:val="Heading4"/>
        <w:rPr>
          <w:lang w:val="en-GB"/>
        </w:rPr>
      </w:pPr>
      <w:r>
        <w:rPr>
          <w:lang w:val="en-GB"/>
        </w:rPr>
        <w:t>Add</w:t>
      </w:r>
      <w:r w:rsidR="00ED3DD9" w:rsidRPr="00BC017E">
        <w:rPr>
          <w:lang w:val="en-GB"/>
        </w:rPr>
        <w:t xml:space="preserve"> reference to EU legislation</w:t>
      </w:r>
      <w:r w:rsidR="00CF12F1">
        <w:rPr>
          <w:lang w:val="en-GB"/>
        </w:rPr>
        <w:t xml:space="preserve"> and standards</w:t>
      </w:r>
      <w:r w:rsidR="00ED3DD9" w:rsidRPr="00BC017E">
        <w:rPr>
          <w:lang w:val="en-GB"/>
        </w:rPr>
        <w:t xml:space="preserve"> relevant for persons with</w:t>
      </w:r>
      <w:r>
        <w:rPr>
          <w:lang w:val="en-GB"/>
        </w:rPr>
        <w:t xml:space="preserve"> disabilities</w:t>
      </w:r>
      <w:r w:rsidR="00ED3DD9" w:rsidRPr="00BC017E">
        <w:rPr>
          <w:lang w:val="en-GB"/>
        </w:rPr>
        <w:t>.</w:t>
      </w:r>
    </w:p>
    <w:p w14:paraId="20D9F184" w14:textId="64131CE2" w:rsidR="00B318FA" w:rsidRDefault="00BC017E" w:rsidP="00C92B0C">
      <w:pPr>
        <w:spacing w:after="240"/>
        <w:rPr>
          <w:rFonts w:cs="Arial"/>
          <w:lang w:val="en-GB"/>
        </w:rPr>
      </w:pPr>
      <w:r w:rsidRPr="00F20CE7">
        <w:rPr>
          <w:rFonts w:cs="Arial"/>
          <w:lang w:val="en-GB"/>
        </w:rPr>
        <w:t>At the moment the Regulation makes a very general reference to Union and national law on accessibility and public procurement for projects of common interest (Art 7.4), but does not specify which laws are relevant. This can lead to confusion and misinterpretation.</w:t>
      </w:r>
      <w:r>
        <w:rPr>
          <w:rFonts w:cs="Arial"/>
          <w:lang w:val="en-GB"/>
        </w:rPr>
        <w:t xml:space="preserve"> </w:t>
      </w:r>
      <w:r w:rsidR="00CF12F1">
        <w:rPr>
          <w:rFonts w:cs="Arial"/>
          <w:lang w:val="en-GB"/>
        </w:rPr>
        <w:t>To ensure consistency of the TEN-T Regulation with existing Union laws aiming to improve accessibility and passenger rights,</w:t>
      </w:r>
      <w:r w:rsidR="00CF12F1" w:rsidRPr="00F20CE7">
        <w:rPr>
          <w:rFonts w:cs="Arial"/>
          <w:lang w:val="en-GB"/>
        </w:rPr>
        <w:t xml:space="preserve"> we believe that explicit </w:t>
      </w:r>
      <w:r w:rsidR="00CF12F1">
        <w:rPr>
          <w:rFonts w:cs="Arial"/>
          <w:lang w:val="en-GB"/>
        </w:rPr>
        <w:t>references are necessary</w:t>
      </w:r>
      <w:r>
        <w:rPr>
          <w:rFonts w:cs="Arial"/>
          <w:lang w:val="en-GB"/>
        </w:rPr>
        <w:t>.</w:t>
      </w:r>
      <w:r w:rsidR="00CF12F1">
        <w:rPr>
          <w:rStyle w:val="FootnoteReference"/>
          <w:rFonts w:cs="Arial"/>
          <w:lang w:val="en-GB"/>
        </w:rPr>
        <w:footnoteReference w:id="10"/>
      </w:r>
      <w:r w:rsidR="00B93BF0">
        <w:rPr>
          <w:rFonts w:cs="Arial"/>
          <w:lang w:val="en-GB"/>
        </w:rPr>
        <w:t xml:space="preserve"> </w:t>
      </w:r>
      <w:r w:rsidR="00CF12F1">
        <w:rPr>
          <w:rFonts w:cs="Arial"/>
          <w:lang w:val="en-GB"/>
        </w:rPr>
        <w:t xml:space="preserve">We also recommend </w:t>
      </w:r>
      <w:r w:rsidR="00B93BF0">
        <w:rPr>
          <w:rFonts w:cs="Arial"/>
          <w:lang w:val="en-GB"/>
        </w:rPr>
        <w:t>referencing relevant</w:t>
      </w:r>
      <w:r w:rsidR="00CF12F1">
        <w:rPr>
          <w:rFonts w:cs="Arial"/>
          <w:lang w:val="en-GB"/>
        </w:rPr>
        <w:t xml:space="preserve"> European Standards</w:t>
      </w:r>
      <w:r w:rsidR="00B93BF0">
        <w:rPr>
          <w:rFonts w:cs="Arial"/>
          <w:lang w:val="en-GB"/>
        </w:rPr>
        <w:t xml:space="preserve"> on accessibility.</w:t>
      </w:r>
      <w:r w:rsidR="00B93BF0">
        <w:rPr>
          <w:rStyle w:val="FootnoteReference"/>
          <w:rFonts w:cs="Arial"/>
          <w:lang w:val="en-GB"/>
        </w:rPr>
        <w:footnoteReference w:id="11"/>
      </w:r>
      <w:r w:rsidR="00B93BF0">
        <w:rPr>
          <w:rFonts w:cs="Arial"/>
          <w:lang w:val="en-GB"/>
        </w:rPr>
        <w:t xml:space="preserve"> </w:t>
      </w:r>
      <w:r w:rsidR="00CF12F1">
        <w:rPr>
          <w:rFonts w:cs="Arial"/>
          <w:lang w:val="en-GB"/>
        </w:rPr>
        <w:t xml:space="preserve"> </w:t>
      </w:r>
    </w:p>
    <w:p w14:paraId="161FAC3D" w14:textId="7F2765C8" w:rsidR="00B318FA" w:rsidRDefault="00B318FA" w:rsidP="00C92B0C">
      <w:pPr>
        <w:spacing w:after="240"/>
        <w:rPr>
          <w:rFonts w:cs="Arial"/>
          <w:lang w:val="en-GB"/>
        </w:rPr>
      </w:pPr>
      <w:r>
        <w:rPr>
          <w:rFonts w:cs="Arial"/>
          <w:lang w:val="en-GB"/>
        </w:rPr>
        <w:t xml:space="preserve">Furthermore, the Disability Rights Strategy 2021-2030 also makes a reference to revision of the TEN-T, so the revised Regulation should also make that connection with the Disability Rights Strategy. </w:t>
      </w:r>
    </w:p>
    <w:p w14:paraId="7F635660" w14:textId="5CEF9940" w:rsidR="00B93BF0" w:rsidRPr="00F20CE7" w:rsidRDefault="00B93BF0" w:rsidP="00B93BF0">
      <w:pPr>
        <w:pStyle w:val="Heading4"/>
        <w:rPr>
          <w:lang w:val="en-GB"/>
        </w:rPr>
      </w:pPr>
      <w:r>
        <w:rPr>
          <w:lang w:val="en-GB"/>
        </w:rPr>
        <w:t>Ensure accessibility of TEN-T infrastructure in cooperation with third countries.</w:t>
      </w:r>
    </w:p>
    <w:p w14:paraId="15761A0A" w14:textId="35F2BCD5" w:rsidR="00B93BF0" w:rsidRDefault="00B93BF0" w:rsidP="00C92B0C">
      <w:pPr>
        <w:spacing w:after="240"/>
        <w:rPr>
          <w:rFonts w:cs="Arial"/>
          <w:lang w:val="en-GB"/>
        </w:rPr>
      </w:pPr>
      <w:r>
        <w:rPr>
          <w:rFonts w:cs="Arial"/>
          <w:lang w:val="en-GB"/>
        </w:rPr>
        <w:t xml:space="preserve">Article 8 of the Regulation notes that the EU </w:t>
      </w:r>
      <w:r w:rsidRPr="00B93BF0">
        <w:rPr>
          <w:rFonts w:cs="Arial"/>
          <w:lang w:val="en-GB"/>
        </w:rPr>
        <w:t xml:space="preserve">may support, including financially, projects of common interest </w:t>
      </w:r>
      <w:r w:rsidR="00360815" w:rsidRPr="00B93BF0">
        <w:rPr>
          <w:rFonts w:cs="Arial"/>
          <w:lang w:val="en-GB"/>
        </w:rPr>
        <w:t>to</w:t>
      </w:r>
      <w:r w:rsidRPr="00B93BF0">
        <w:rPr>
          <w:rFonts w:cs="Arial"/>
          <w:lang w:val="en-GB"/>
        </w:rPr>
        <w:t xml:space="preserve"> connect the trans-European transport network with infrastructure networks of neighbouring countries</w:t>
      </w:r>
      <w:r>
        <w:rPr>
          <w:rFonts w:cs="Arial"/>
          <w:lang w:val="en-GB"/>
        </w:rPr>
        <w:t xml:space="preserve">. When this is done, same requirements and conditions for accessibility highlighted in above chapters should be ensured, especially when external cooperation projects are supported by EU funding. </w:t>
      </w:r>
    </w:p>
    <w:p w14:paraId="3FE75207" w14:textId="43DFBB11" w:rsidR="00394869" w:rsidRPr="00F20CE7" w:rsidRDefault="00394869" w:rsidP="00394869">
      <w:pPr>
        <w:pStyle w:val="Heading1"/>
        <w:rPr>
          <w:lang w:val="en-GB" w:eastAsia="nl-NL"/>
        </w:rPr>
      </w:pPr>
      <w:bookmarkStart w:id="6" w:name="_Toc70089516"/>
      <w:r w:rsidRPr="00F20CE7">
        <w:rPr>
          <w:lang w:val="en-GB" w:eastAsia="nl-NL"/>
        </w:rPr>
        <w:lastRenderedPageBreak/>
        <w:t>Background information</w:t>
      </w:r>
      <w:bookmarkEnd w:id="6"/>
    </w:p>
    <w:p w14:paraId="6BB80402" w14:textId="77777777" w:rsidR="00394869" w:rsidRPr="00F20CE7" w:rsidRDefault="00394869" w:rsidP="00394869">
      <w:pPr>
        <w:pStyle w:val="Heading2"/>
        <w:rPr>
          <w:lang w:val="en-GB"/>
        </w:rPr>
      </w:pPr>
      <w:bookmarkStart w:id="7" w:name="_Toc70089517"/>
      <w:r w:rsidRPr="00F20CE7">
        <w:rPr>
          <w:lang w:val="en-GB"/>
        </w:rPr>
        <w:t xml:space="preserve">International and European Legal and Policy Framework </w:t>
      </w:r>
      <w:bookmarkEnd w:id="7"/>
    </w:p>
    <w:p w14:paraId="67587320" w14:textId="77777777" w:rsidR="00394869" w:rsidRPr="00F20CE7" w:rsidRDefault="00394869" w:rsidP="00394869">
      <w:pPr>
        <w:pStyle w:val="Heading3"/>
        <w:rPr>
          <w:lang w:val="en-GB"/>
        </w:rPr>
      </w:pPr>
      <w:r w:rsidRPr="00F20CE7">
        <w:rPr>
          <w:lang w:val="en-GB"/>
        </w:rPr>
        <w:t xml:space="preserve">UN Convention on the Rights of Persons with Disabilities </w:t>
      </w:r>
    </w:p>
    <w:p w14:paraId="47457169" w14:textId="77777777" w:rsidR="00394869" w:rsidRPr="00F20CE7" w:rsidRDefault="00394869" w:rsidP="00394869">
      <w:pPr>
        <w:rPr>
          <w:lang w:val="en-GB"/>
        </w:rPr>
      </w:pPr>
      <w:r w:rsidRPr="00F20CE7">
        <w:rPr>
          <w:lang w:val="en-GB"/>
        </w:rPr>
        <w:t>As signatories to the United Nations Convention on the Rights of Persons with Disabilities (UN CRPD), the European Union (EU) and all Member States are legally obliged to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(Article 9 – Accessibility).</w:t>
      </w:r>
      <w:r w:rsidRPr="00F20CE7">
        <w:rPr>
          <w:rStyle w:val="FootnoteReference"/>
          <w:lang w:val="en-GB"/>
        </w:rPr>
        <w:footnoteReference w:id="12"/>
      </w:r>
      <w:r w:rsidRPr="00F20CE7">
        <w:rPr>
          <w:lang w:val="en-GB"/>
        </w:rPr>
        <w:t xml:space="preserve"> </w:t>
      </w:r>
    </w:p>
    <w:p w14:paraId="4E1C9A5E" w14:textId="77777777" w:rsidR="00394869" w:rsidRPr="00F20CE7" w:rsidRDefault="00394869" w:rsidP="00394869">
      <w:pPr>
        <w:pStyle w:val="Heading3"/>
        <w:rPr>
          <w:lang w:val="en-GB" w:eastAsia="nl-NL"/>
        </w:rPr>
      </w:pPr>
      <w:r w:rsidRPr="00F20CE7">
        <w:rPr>
          <w:lang w:val="en-GB" w:eastAsia="nl-NL"/>
        </w:rPr>
        <w:t>EU Treaties – Freedom of Movement</w:t>
      </w:r>
    </w:p>
    <w:p w14:paraId="3A5ADE18" w14:textId="77777777" w:rsidR="00394869" w:rsidRPr="00F20CE7" w:rsidRDefault="00394869" w:rsidP="00394869">
      <w:pPr>
        <w:rPr>
          <w:lang w:val="en-GB"/>
        </w:rPr>
      </w:pPr>
      <w:r w:rsidRPr="00F20CE7">
        <w:rPr>
          <w:lang w:val="en-GB"/>
        </w:rPr>
        <w:t xml:space="preserve">Accessible transport is a vital condition for guaranteeing one of the main freedoms granted by Treaties of the European Union - free movement of citizens, including of 100 million persons with disabilities in the EU. </w:t>
      </w:r>
    </w:p>
    <w:p w14:paraId="4B06FF4E" w14:textId="77777777" w:rsidR="00394869" w:rsidRPr="00F20CE7" w:rsidRDefault="00394869" w:rsidP="00394869">
      <w:pPr>
        <w:pStyle w:val="Heading3"/>
        <w:rPr>
          <w:lang w:val="en-GB" w:eastAsia="nl-NL"/>
        </w:rPr>
      </w:pPr>
      <w:r w:rsidRPr="00F20CE7">
        <w:rPr>
          <w:lang w:val="en-GB" w:eastAsia="nl-NL"/>
        </w:rPr>
        <w:t>Strategy for the Rights of Persons with Disabilities 2021-2030</w:t>
      </w:r>
    </w:p>
    <w:p w14:paraId="667D4334" w14:textId="77777777" w:rsidR="00394869" w:rsidRPr="00F20CE7" w:rsidRDefault="00394869" w:rsidP="00394869">
      <w:pPr>
        <w:rPr>
          <w:lang w:val="en-GB" w:eastAsia="nl-NL"/>
        </w:rPr>
      </w:pPr>
      <w:r w:rsidRPr="00F20CE7">
        <w:rPr>
          <w:lang w:val="en-GB" w:eastAsia="nl-NL"/>
        </w:rPr>
        <w:t xml:space="preserve">Accessibility as an </w:t>
      </w:r>
      <w:r w:rsidRPr="00F20CE7">
        <w:rPr>
          <w:b/>
          <w:bCs/>
          <w:lang w:val="en-GB" w:eastAsia="nl-NL"/>
        </w:rPr>
        <w:t>enabler of rights, autonomy and equality</w:t>
      </w:r>
      <w:r w:rsidRPr="00F20CE7">
        <w:rPr>
          <w:lang w:val="en-GB" w:eastAsia="nl-NL"/>
        </w:rPr>
        <w:t xml:space="preserve"> is highlighted in the European Union’s Strategy for the Rights of Persons with Disabilities 2021-2030. The Strategy recognizes that “</w:t>
      </w:r>
      <w:r w:rsidRPr="00D14CF2">
        <w:rPr>
          <w:lang w:val="en-GB" w:eastAsia="nl-NL"/>
        </w:rPr>
        <w:t>Millions</w:t>
      </w:r>
      <w:r w:rsidRPr="00F20CE7">
        <w:rPr>
          <w:b/>
          <w:bCs/>
          <w:lang w:val="en-GB" w:eastAsia="nl-NL"/>
        </w:rPr>
        <w:t xml:space="preserve"> </w:t>
      </w:r>
      <w:r w:rsidRPr="00F20CE7">
        <w:rPr>
          <w:lang w:val="en-GB" w:eastAsia="nl-NL"/>
        </w:rPr>
        <w:t>of persons with disabilities experience barriers to use transport, to access buildings or to receive information”</w:t>
      </w:r>
      <w:r w:rsidRPr="00F20CE7">
        <w:rPr>
          <w:rStyle w:val="FootnoteReference"/>
          <w:lang w:val="en-GB" w:eastAsia="nl-NL"/>
        </w:rPr>
        <w:footnoteReference w:id="13"/>
      </w:r>
      <w:r w:rsidRPr="00F20CE7">
        <w:rPr>
          <w:lang w:val="en-GB" w:eastAsia="nl-NL"/>
        </w:rPr>
        <w:t xml:space="preserve"> and proposes revision of TEN-T Regulation in 2021 “</w:t>
      </w:r>
      <w:r w:rsidRPr="00F20CE7">
        <w:rPr>
          <w:lang w:val="en-GB"/>
        </w:rPr>
        <w:t>to strengthen the provision on accessibility.”</w:t>
      </w:r>
      <w:r w:rsidRPr="00F20CE7">
        <w:rPr>
          <w:rStyle w:val="FootnoteReference"/>
          <w:lang w:val="en-GB"/>
        </w:rPr>
        <w:footnoteReference w:id="14"/>
      </w:r>
    </w:p>
    <w:p w14:paraId="6E8802FF" w14:textId="77777777" w:rsidR="00394869" w:rsidRPr="00F20CE7" w:rsidRDefault="00394869" w:rsidP="00394869">
      <w:pPr>
        <w:pStyle w:val="Heading3"/>
        <w:rPr>
          <w:lang w:val="en-GB" w:eastAsia="nl-NL"/>
        </w:rPr>
      </w:pPr>
      <w:r w:rsidRPr="00F20CE7">
        <w:rPr>
          <w:lang w:val="en-GB" w:eastAsia="nl-NL"/>
        </w:rPr>
        <w:t>EU Green Deal</w:t>
      </w:r>
    </w:p>
    <w:p w14:paraId="72E7DA0F" w14:textId="77777777" w:rsidR="00394869" w:rsidRPr="00F20CE7" w:rsidRDefault="00394869" w:rsidP="00394869">
      <w:pPr>
        <w:rPr>
          <w:lang w:val="en-GB"/>
        </w:rPr>
      </w:pPr>
      <w:r w:rsidRPr="00F20CE7">
        <w:rPr>
          <w:lang w:val="en-GB"/>
        </w:rPr>
        <w:t xml:space="preserve">The EU has committed to taking serious measures to tackle climate change. The EU Green Deal was adopted with the aim to make the EU's economy sustainable. </w:t>
      </w:r>
      <w:r w:rsidRPr="00F20CE7">
        <w:rPr>
          <w:b/>
          <w:bCs/>
          <w:lang w:val="en-GB"/>
        </w:rPr>
        <w:t>The Deal acknowledges the importance of just and inclusive transition for all</w:t>
      </w:r>
      <w:r w:rsidRPr="00F20CE7">
        <w:rPr>
          <w:lang w:val="en-GB"/>
        </w:rPr>
        <w:t>.</w:t>
      </w:r>
      <w:r w:rsidRPr="00F20CE7">
        <w:rPr>
          <w:rStyle w:val="FootnoteReference"/>
          <w:lang w:val="en-GB"/>
        </w:rPr>
        <w:footnoteReference w:id="15"/>
      </w:r>
      <w:r w:rsidRPr="00F20CE7">
        <w:rPr>
          <w:lang w:val="en-GB"/>
        </w:rPr>
        <w:t xml:space="preserve"> EDF has further emphasized that accessibility is crucial for ensuring that green transition is inclusive of persons with disabilities and has made recommendations on inclusive sustainable mobility.</w:t>
      </w:r>
      <w:r w:rsidRPr="00F20CE7">
        <w:rPr>
          <w:rStyle w:val="FootnoteReference"/>
          <w:lang w:val="en-GB"/>
        </w:rPr>
        <w:footnoteReference w:id="16"/>
      </w:r>
    </w:p>
    <w:p w14:paraId="43A5612B" w14:textId="77777777" w:rsidR="00394869" w:rsidRPr="00F20CE7" w:rsidRDefault="00394869" w:rsidP="00394869">
      <w:pPr>
        <w:pStyle w:val="Heading3"/>
        <w:rPr>
          <w:lang w:val="en-GB" w:eastAsia="nl-NL"/>
        </w:rPr>
      </w:pPr>
      <w:r w:rsidRPr="00F20CE7">
        <w:rPr>
          <w:lang w:val="en-GB" w:eastAsia="nl-NL"/>
        </w:rPr>
        <w:lastRenderedPageBreak/>
        <w:t xml:space="preserve">EU Sustainable and Smart Mobility Strategy </w:t>
      </w:r>
    </w:p>
    <w:p w14:paraId="3A8D81DE" w14:textId="77777777" w:rsidR="00394869" w:rsidRPr="00F20CE7" w:rsidRDefault="00394869" w:rsidP="00394869">
      <w:pPr>
        <w:rPr>
          <w:szCs w:val="24"/>
          <w:lang w:val="en-GB" w:eastAsia="nl-NL"/>
        </w:rPr>
      </w:pPr>
      <w:r w:rsidRPr="00F20CE7">
        <w:rPr>
          <w:szCs w:val="24"/>
          <w:lang w:val="en-GB" w:eastAsia="nl-NL"/>
        </w:rPr>
        <w:t xml:space="preserve">The EU Sustainable and Smart Mobility Strategy is one of the initiatives under the EU Green Deal. Flagship 9 of the Strategy “Making mobility fair and just for all” concerns persons with disabilities directly. The Strategy </w:t>
      </w:r>
      <w:r w:rsidRPr="00F20CE7">
        <w:rPr>
          <w:rFonts w:cs="Arial"/>
          <w:color w:val="2E2E2E"/>
          <w:szCs w:val="24"/>
          <w:shd w:val="clear" w:color="auto" w:fill="FFFFFF"/>
          <w:lang w:val="en-GB"/>
        </w:rPr>
        <w:t>recognizes the need for affordable, accessible and fair mobility for passengers, and notes that any future proposal for transport will be compliant with the EU Disability Strategy</w:t>
      </w:r>
      <w:r w:rsidRPr="00F20CE7">
        <w:rPr>
          <w:szCs w:val="24"/>
          <w:lang w:val="en-GB" w:eastAsia="nl-NL"/>
        </w:rPr>
        <w:t>. Revision of TEN-T is foreseen within implementation of this Strategy.</w:t>
      </w:r>
      <w:r w:rsidRPr="00F20CE7">
        <w:rPr>
          <w:rStyle w:val="FootnoteReference"/>
          <w:szCs w:val="24"/>
          <w:lang w:val="en-GB" w:eastAsia="nl-NL"/>
        </w:rPr>
        <w:footnoteReference w:id="17"/>
      </w:r>
      <w:r w:rsidRPr="00F20CE7">
        <w:rPr>
          <w:szCs w:val="24"/>
          <w:lang w:val="en-GB" w:eastAsia="nl-NL"/>
        </w:rPr>
        <w:t xml:space="preserve"> </w:t>
      </w:r>
    </w:p>
    <w:p w14:paraId="61BBF3EB" w14:textId="77777777" w:rsidR="00394869" w:rsidRPr="00F20CE7" w:rsidRDefault="00394869" w:rsidP="00394869">
      <w:pPr>
        <w:pStyle w:val="Heading3"/>
        <w:rPr>
          <w:lang w:val="en-GB" w:eastAsia="nl-NL"/>
        </w:rPr>
      </w:pPr>
      <w:r w:rsidRPr="00F20CE7">
        <w:rPr>
          <w:lang w:val="en-GB" w:eastAsia="nl-NL"/>
        </w:rPr>
        <w:t>Other relevant policy and legislative initiatives</w:t>
      </w:r>
    </w:p>
    <w:p w14:paraId="02896926" w14:textId="77777777" w:rsidR="00394869" w:rsidRPr="00F20CE7" w:rsidRDefault="00394869" w:rsidP="00394869">
      <w:pPr>
        <w:rPr>
          <w:lang w:val="en-GB" w:eastAsia="nl-NL"/>
        </w:rPr>
      </w:pPr>
      <w:r w:rsidRPr="00F20CE7">
        <w:rPr>
          <w:lang w:val="en-GB" w:eastAsia="nl-NL"/>
        </w:rPr>
        <w:t>Other EU-level policy and legislative initiatives which have relevance for persons with disabilities in the context of TEN-T are:</w:t>
      </w:r>
      <w:r w:rsidRPr="00F20CE7">
        <w:rPr>
          <w:rStyle w:val="FootnoteReference"/>
          <w:lang w:val="en-GB" w:eastAsia="nl-NL"/>
        </w:rPr>
        <w:footnoteReference w:id="18"/>
      </w:r>
    </w:p>
    <w:p w14:paraId="6C93840F" w14:textId="77777777" w:rsidR="00394869" w:rsidRPr="00F20CE7" w:rsidRDefault="00394869" w:rsidP="00394869">
      <w:pPr>
        <w:pStyle w:val="ListParagraph"/>
        <w:numPr>
          <w:ilvl w:val="0"/>
          <w:numId w:val="2"/>
        </w:numPr>
        <w:rPr>
          <w:lang w:val="en-GB" w:eastAsia="nl-NL"/>
        </w:rPr>
      </w:pPr>
      <w:r w:rsidRPr="00F20CE7">
        <w:rPr>
          <w:lang w:val="en-GB" w:eastAsia="nl-NL"/>
        </w:rPr>
        <w:t>European Accessibility Act (digital aspects of transport infrastructure)</w:t>
      </w:r>
    </w:p>
    <w:p w14:paraId="723E2890" w14:textId="77777777" w:rsidR="00394869" w:rsidRPr="00F20CE7" w:rsidRDefault="00394869" w:rsidP="00394869">
      <w:pPr>
        <w:pStyle w:val="ListParagraph"/>
        <w:numPr>
          <w:ilvl w:val="0"/>
          <w:numId w:val="2"/>
        </w:numPr>
        <w:rPr>
          <w:lang w:val="en-GB" w:eastAsia="nl-NL"/>
        </w:rPr>
      </w:pPr>
      <w:r w:rsidRPr="00F20CE7">
        <w:rPr>
          <w:lang w:val="en-GB" w:eastAsia="nl-NL"/>
        </w:rPr>
        <w:t>Rail Accessibility Regulation (TSI-PRM)</w:t>
      </w:r>
    </w:p>
    <w:p w14:paraId="55A7097B" w14:textId="77777777" w:rsidR="00394869" w:rsidRPr="00F20CE7" w:rsidRDefault="00394869" w:rsidP="00394869">
      <w:pPr>
        <w:pStyle w:val="ListParagraph"/>
        <w:numPr>
          <w:ilvl w:val="0"/>
          <w:numId w:val="2"/>
        </w:numPr>
        <w:rPr>
          <w:lang w:val="en-GB" w:eastAsia="nl-NL"/>
        </w:rPr>
      </w:pPr>
      <w:r w:rsidRPr="00F20CE7">
        <w:rPr>
          <w:lang w:val="en-GB" w:eastAsia="nl-NL"/>
        </w:rPr>
        <w:t>Urban Mobility Package</w:t>
      </w:r>
    </w:p>
    <w:p w14:paraId="0423A68D" w14:textId="77777777" w:rsidR="00394869" w:rsidRPr="00F20CE7" w:rsidRDefault="00394869" w:rsidP="00394869">
      <w:pPr>
        <w:pStyle w:val="ListParagraph"/>
        <w:numPr>
          <w:ilvl w:val="0"/>
          <w:numId w:val="2"/>
        </w:numPr>
        <w:rPr>
          <w:lang w:val="en-GB" w:eastAsia="nl-NL"/>
        </w:rPr>
      </w:pPr>
      <w:r w:rsidRPr="00F20CE7">
        <w:rPr>
          <w:lang w:val="en-GB" w:eastAsia="nl-NL"/>
        </w:rPr>
        <w:t xml:space="preserve">EU Directive on Alternative Fuels Infrastructure (recharging for electric cars) </w:t>
      </w:r>
    </w:p>
    <w:p w14:paraId="66B93428" w14:textId="77777777" w:rsidR="00394869" w:rsidRPr="00F20CE7" w:rsidRDefault="00394869" w:rsidP="00394869">
      <w:pPr>
        <w:pStyle w:val="ListParagraph"/>
        <w:numPr>
          <w:ilvl w:val="0"/>
          <w:numId w:val="2"/>
        </w:numPr>
        <w:rPr>
          <w:lang w:val="en-GB" w:eastAsia="nl-NL"/>
        </w:rPr>
      </w:pPr>
      <w:r w:rsidRPr="00F20CE7">
        <w:rPr>
          <w:lang w:val="en-GB" w:eastAsia="nl-NL"/>
        </w:rPr>
        <w:t xml:space="preserve">Intelligent Transport Systems Directive (real-time transport information) </w:t>
      </w:r>
    </w:p>
    <w:p w14:paraId="6A12C090" w14:textId="77777777" w:rsidR="00394869" w:rsidRPr="00F20CE7" w:rsidRDefault="00394869" w:rsidP="00394869">
      <w:pPr>
        <w:pStyle w:val="ListParagraph"/>
        <w:numPr>
          <w:ilvl w:val="0"/>
          <w:numId w:val="2"/>
        </w:numPr>
        <w:rPr>
          <w:lang w:val="en-GB" w:eastAsia="nl-NL"/>
        </w:rPr>
      </w:pPr>
      <w:r w:rsidRPr="00F20CE7">
        <w:rPr>
          <w:lang w:val="en-GB" w:eastAsia="nl-NL"/>
        </w:rPr>
        <w:t>EU passengers’ rights regulations (for air, rail, bus &amp; coach, waterborne transport)</w:t>
      </w:r>
    </w:p>
    <w:p w14:paraId="6C7252F0" w14:textId="77777777" w:rsidR="00394869" w:rsidRPr="00F20CE7" w:rsidRDefault="00394869" w:rsidP="00394869">
      <w:pPr>
        <w:pStyle w:val="ListParagraph"/>
        <w:numPr>
          <w:ilvl w:val="0"/>
          <w:numId w:val="2"/>
        </w:numPr>
        <w:rPr>
          <w:lang w:val="en-GB" w:eastAsia="nl-NL"/>
        </w:rPr>
      </w:pPr>
      <w:r w:rsidRPr="00F20CE7">
        <w:rPr>
          <w:lang w:val="en-GB" w:eastAsia="nl-NL"/>
        </w:rPr>
        <w:t>EU Green Paper on Ageing (recognizes accessibility for older persons)</w:t>
      </w:r>
    </w:p>
    <w:p w14:paraId="78E4C056" w14:textId="77777777" w:rsidR="00394869" w:rsidRPr="00F20CE7" w:rsidRDefault="00394869" w:rsidP="00394869">
      <w:pPr>
        <w:pStyle w:val="ListParagraph"/>
        <w:numPr>
          <w:ilvl w:val="0"/>
          <w:numId w:val="2"/>
        </w:numPr>
        <w:rPr>
          <w:lang w:val="en-GB" w:eastAsia="nl-NL"/>
        </w:rPr>
      </w:pPr>
      <w:r w:rsidRPr="00F20CE7">
        <w:rPr>
          <w:lang w:val="en-GB" w:eastAsia="nl-NL"/>
        </w:rPr>
        <w:t>European Standards on 1. accessibility of the built environment (EN17210); and 2. accessibility of digital services and goods (EN301 549)</w:t>
      </w:r>
    </w:p>
    <w:p w14:paraId="79185756" w14:textId="77777777" w:rsidR="00394869" w:rsidRPr="00F20CE7" w:rsidRDefault="00394869" w:rsidP="00394869">
      <w:pPr>
        <w:rPr>
          <w:lang w:val="en-GB" w:eastAsia="nl-NL"/>
        </w:rPr>
      </w:pPr>
    </w:p>
    <w:p w14:paraId="63B7F075" w14:textId="12DB4006" w:rsidR="00A9576D" w:rsidRPr="00F20CE7" w:rsidRDefault="00A9576D" w:rsidP="00A9576D">
      <w:pPr>
        <w:pStyle w:val="Heading1"/>
        <w:pageBreakBefore/>
        <w:rPr>
          <w:lang w:val="en-GB"/>
        </w:rPr>
      </w:pPr>
      <w:bookmarkStart w:id="8" w:name="_Toc70089518"/>
      <w:r w:rsidRPr="00F20CE7">
        <w:rPr>
          <w:lang w:val="en-GB"/>
        </w:rPr>
        <w:lastRenderedPageBreak/>
        <w:t>Document credits</w:t>
      </w:r>
      <w:bookmarkEnd w:id="8"/>
    </w:p>
    <w:p w14:paraId="2B95C88F" w14:textId="2FE8C32F" w:rsidR="00A9576D" w:rsidRPr="00F20CE7" w:rsidRDefault="00A9576D" w:rsidP="006D0B23">
      <w:pPr>
        <w:widowControl w:val="0"/>
        <w:spacing w:before="480"/>
        <w:rPr>
          <w:lang w:val="en-GB"/>
        </w:rPr>
      </w:pPr>
      <w:r w:rsidRPr="00F20CE7">
        <w:rPr>
          <w:lang w:val="en-GB"/>
        </w:rPr>
        <w:t>This document was prepared by</w:t>
      </w:r>
      <w:r w:rsidR="0018733F" w:rsidRPr="00F20CE7">
        <w:rPr>
          <w:lang w:val="en-GB"/>
        </w:rPr>
        <w:t xml:space="preserve"> Mher Hakobyan, EDF Accessibility Officer</w:t>
      </w:r>
      <w:r w:rsidR="00B9392A" w:rsidRPr="00F20CE7">
        <w:rPr>
          <w:lang w:val="en-GB"/>
        </w:rPr>
        <w:t xml:space="preserve"> (</w:t>
      </w:r>
      <w:hyperlink r:id="rId12" w:history="1">
        <w:r w:rsidR="00B9392A" w:rsidRPr="00F20CE7">
          <w:rPr>
            <w:rStyle w:val="Hyperlink"/>
            <w:lang w:val="en-GB"/>
          </w:rPr>
          <w:t>mher.hakobyan@edf-feph.org</w:t>
        </w:r>
      </w:hyperlink>
      <w:r w:rsidR="00B9392A" w:rsidRPr="00F20CE7">
        <w:rPr>
          <w:lang w:val="en-GB"/>
        </w:rPr>
        <w:t xml:space="preserve">). </w:t>
      </w:r>
    </w:p>
    <w:p w14:paraId="46103BCC" w14:textId="51BEFD9B" w:rsidR="00394869" w:rsidRPr="00F20CE7" w:rsidRDefault="00394869" w:rsidP="006D0B23">
      <w:pPr>
        <w:widowControl w:val="0"/>
        <w:spacing w:before="480"/>
        <w:rPr>
          <w:lang w:val="en-GB"/>
        </w:rPr>
      </w:pPr>
      <w:r w:rsidRPr="00F20CE7">
        <w:rPr>
          <w:lang w:val="en-GB"/>
        </w:rPr>
        <w:t xml:space="preserve">Supported by Marie Denninghaus, EDF Policy Coordinator </w:t>
      </w:r>
    </w:p>
    <w:p w14:paraId="4C6ADB5B" w14:textId="77777777" w:rsidR="00394869" w:rsidRPr="00F20CE7" w:rsidRDefault="00394869" w:rsidP="00394869">
      <w:pPr>
        <w:pStyle w:val="Heading3"/>
        <w:rPr>
          <w:lang w:val="en-GB"/>
        </w:rPr>
      </w:pPr>
      <w:r w:rsidRPr="00F20CE7">
        <w:rPr>
          <w:lang w:val="en-GB"/>
        </w:rPr>
        <w:t>Acknowledgements</w:t>
      </w:r>
    </w:p>
    <w:p w14:paraId="3E292B31" w14:textId="4F20070B" w:rsidR="00394869" w:rsidRPr="00F20CE7" w:rsidRDefault="00394869" w:rsidP="00D44C85">
      <w:pPr>
        <w:rPr>
          <w:lang w:val="en-GB"/>
        </w:rPr>
      </w:pPr>
      <w:r w:rsidRPr="00F20CE7">
        <w:rPr>
          <w:lang w:val="en-GB"/>
        </w:rPr>
        <w:t>We thank the members of the EDF transport accessibility and passenger rights expert group, and the EDF board for their support in developing this Position Paper.</w:t>
      </w:r>
    </w:p>
    <w:p w14:paraId="177D1331" w14:textId="30D02CFC" w:rsidR="009277BC" w:rsidRPr="00F20CE7" w:rsidRDefault="009277BC" w:rsidP="009277BC">
      <w:pPr>
        <w:widowControl w:val="0"/>
        <w:spacing w:before="480"/>
        <w:rPr>
          <w:lang w:val="en-GB"/>
        </w:rPr>
      </w:pPr>
      <w:r w:rsidRPr="00F20CE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F20CE7" w:rsidRDefault="00A9576D" w:rsidP="006D0B23">
      <w:pPr>
        <w:widowControl w:val="0"/>
        <w:spacing w:before="480"/>
        <w:rPr>
          <w:lang w:val="en-GB"/>
        </w:rPr>
      </w:pPr>
      <w:r w:rsidRPr="00F20CE7">
        <w:rPr>
          <w:lang w:val="en-GB"/>
        </w:rPr>
        <w:t>The European Disability Forum</w:t>
      </w:r>
      <w:r w:rsidR="009277BC" w:rsidRPr="00F20CE7">
        <w:rPr>
          <w:lang w:val="en-GB"/>
        </w:rPr>
        <w:br/>
        <w:t>Mundo Madou</w:t>
      </w:r>
      <w:r w:rsidR="009277BC" w:rsidRPr="00F20CE7">
        <w:rPr>
          <w:lang w:val="en-GB"/>
        </w:rPr>
        <w:br/>
      </w:r>
      <w:r w:rsidRPr="00F20CE7">
        <w:rPr>
          <w:lang w:val="en-GB"/>
        </w:rPr>
        <w:t>Avenue des Arts 7-8</w:t>
      </w:r>
      <w:r w:rsidR="009277BC" w:rsidRPr="00F20CE7">
        <w:rPr>
          <w:lang w:val="en-GB"/>
        </w:rPr>
        <w:br/>
        <w:t>1210 Brussels, Belgium.</w:t>
      </w:r>
    </w:p>
    <w:p w14:paraId="63FAD6C0" w14:textId="334864FE" w:rsidR="00A9576D" w:rsidRPr="00F20CE7" w:rsidRDefault="000C3A98" w:rsidP="006D0B23">
      <w:pPr>
        <w:widowControl w:val="0"/>
        <w:spacing w:before="480"/>
        <w:rPr>
          <w:lang w:val="en-GB"/>
        </w:rPr>
      </w:pPr>
      <w:hyperlink r:id="rId13" w:history="1">
        <w:r w:rsidR="00A9576D" w:rsidRPr="00F20CE7">
          <w:rPr>
            <w:rStyle w:val="Hyperlink"/>
            <w:lang w:val="en-GB"/>
          </w:rPr>
          <w:t>www.edf-feph.org</w:t>
        </w:r>
      </w:hyperlink>
    </w:p>
    <w:p w14:paraId="7B572B14" w14:textId="5A1C910E" w:rsidR="009277BC" w:rsidRPr="00F20CE7" w:rsidRDefault="000C3A98" w:rsidP="006D0B23">
      <w:pPr>
        <w:widowControl w:val="0"/>
        <w:spacing w:before="480"/>
        <w:rPr>
          <w:lang w:val="en-GB"/>
        </w:rPr>
      </w:pPr>
      <w:hyperlink r:id="rId14" w:history="1">
        <w:r w:rsidR="009277BC" w:rsidRPr="00F20CE7">
          <w:rPr>
            <w:rStyle w:val="Hyperlink"/>
            <w:lang w:val="en-GB"/>
          </w:rPr>
          <w:t>info@edf-feph.org</w:t>
        </w:r>
      </w:hyperlink>
    </w:p>
    <w:p w14:paraId="23807C83" w14:textId="06A6BD57" w:rsidR="009277BC" w:rsidRPr="00F20CE7" w:rsidRDefault="009277BC" w:rsidP="009277BC">
      <w:pPr>
        <w:widowControl w:val="0"/>
        <w:spacing w:before="1680" w:after="120"/>
        <w:rPr>
          <w:lang w:val="en-GB"/>
        </w:rPr>
      </w:pPr>
      <w:r w:rsidRPr="00F20CE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F20CE7" w:rsidRDefault="009277BC" w:rsidP="009277BC">
      <w:pPr>
        <w:widowControl w:val="0"/>
        <w:spacing w:before="120"/>
        <w:jc w:val="center"/>
        <w:rPr>
          <w:lang w:val="en-GB"/>
        </w:rPr>
      </w:pPr>
      <w:r w:rsidRPr="00F20CE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F20CE7"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9AEC" w14:textId="77777777" w:rsidR="008D1512" w:rsidRDefault="008D1512" w:rsidP="00E47FF5">
      <w:pPr>
        <w:spacing w:after="0" w:line="240" w:lineRule="auto"/>
      </w:pPr>
      <w:r>
        <w:separator/>
      </w:r>
    </w:p>
  </w:endnote>
  <w:endnote w:type="continuationSeparator" w:id="0">
    <w:p w14:paraId="1F764F34" w14:textId="77777777" w:rsidR="008D1512" w:rsidRDefault="008D1512"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9E3EA1" w:rsidRDefault="009E3EA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9E3EA1" w:rsidRDefault="009E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95E7" w14:textId="77777777" w:rsidR="008D1512" w:rsidRDefault="008D1512" w:rsidP="00E47FF5">
      <w:pPr>
        <w:spacing w:after="0" w:line="240" w:lineRule="auto"/>
      </w:pPr>
      <w:r>
        <w:separator/>
      </w:r>
    </w:p>
  </w:footnote>
  <w:footnote w:type="continuationSeparator" w:id="0">
    <w:p w14:paraId="01CA4196" w14:textId="77777777" w:rsidR="008D1512" w:rsidRDefault="008D1512" w:rsidP="00E47FF5">
      <w:pPr>
        <w:spacing w:after="0" w:line="240" w:lineRule="auto"/>
      </w:pPr>
      <w:r>
        <w:continuationSeparator/>
      </w:r>
    </w:p>
  </w:footnote>
  <w:footnote w:id="1">
    <w:p w14:paraId="49439C5A" w14:textId="77777777" w:rsidR="00C4665D" w:rsidRPr="00F84142" w:rsidRDefault="00C4665D" w:rsidP="00C4665D">
      <w:pPr>
        <w:pStyle w:val="FootnoteText"/>
        <w:rPr>
          <w:lang w:val="en-GB"/>
        </w:rPr>
      </w:pPr>
      <w:r>
        <w:rPr>
          <w:rStyle w:val="FootnoteReference"/>
        </w:rPr>
        <w:footnoteRef/>
      </w:r>
      <w:r>
        <w:t xml:space="preserve"> </w:t>
      </w:r>
      <w:r>
        <w:rPr>
          <w:lang w:val="en-GB"/>
        </w:rPr>
        <w:t xml:space="preserve">We will use ‘the TEN-T’, ‘the TEN-T Regulation’, ‘TEN-T Policy’, ‘the Regulation’ in this document instead of the longer name of the Regulation. </w:t>
      </w:r>
    </w:p>
  </w:footnote>
  <w:footnote w:id="2">
    <w:p w14:paraId="41D20994" w14:textId="77777777" w:rsidR="00C4665D" w:rsidRPr="001C1166" w:rsidRDefault="00C4665D" w:rsidP="00C4665D">
      <w:pPr>
        <w:pStyle w:val="FootnoteText"/>
        <w:rPr>
          <w:lang w:val="en-GB"/>
        </w:rPr>
      </w:pPr>
      <w:r>
        <w:rPr>
          <w:rStyle w:val="FootnoteReference"/>
        </w:rPr>
        <w:footnoteRef/>
      </w:r>
      <w:r>
        <w:t xml:space="preserve"> </w:t>
      </w:r>
      <w:hyperlink r:id="rId1" w:history="1">
        <w:r w:rsidRPr="001C1166">
          <w:rPr>
            <w:rStyle w:val="Hyperlink"/>
            <w:lang w:val="en-GB"/>
          </w:rPr>
          <w:t>See our feedback to the public consultation for evaluation of TEN-T (2019)</w:t>
        </w:r>
      </w:hyperlink>
    </w:p>
  </w:footnote>
  <w:footnote w:id="3">
    <w:p w14:paraId="31C64749" w14:textId="77777777" w:rsidR="00C4665D" w:rsidRPr="001C1166" w:rsidRDefault="00C4665D" w:rsidP="00C4665D">
      <w:pPr>
        <w:pStyle w:val="FootnoteText"/>
        <w:rPr>
          <w:lang w:val="en-GB"/>
        </w:rPr>
      </w:pPr>
      <w:r>
        <w:rPr>
          <w:rStyle w:val="FootnoteReference"/>
        </w:rPr>
        <w:footnoteRef/>
      </w:r>
      <w:r>
        <w:t xml:space="preserve"> Unit </w:t>
      </w:r>
      <w:r w:rsidRPr="001C1166">
        <w:t>B.1 DG MOVE, European Commission</w:t>
      </w:r>
    </w:p>
  </w:footnote>
  <w:footnote w:id="4">
    <w:p w14:paraId="278524E0" w14:textId="1ECAD046" w:rsidR="00FC499F" w:rsidRPr="00FC499F" w:rsidRDefault="00FC499F">
      <w:pPr>
        <w:pStyle w:val="FootnoteText"/>
      </w:pPr>
      <w:r>
        <w:rPr>
          <w:rStyle w:val="FootnoteReference"/>
        </w:rPr>
        <w:footnoteRef/>
      </w:r>
      <w:r>
        <w:t xml:space="preserve"> </w:t>
      </w:r>
      <w:hyperlink r:id="rId2" w:history="1">
        <w:r w:rsidRPr="00FC499F">
          <w:rPr>
            <w:rStyle w:val="Hyperlink"/>
          </w:rPr>
          <w:t>Directive (EU) 2019/882 of the European Parliament and of the Council of 17 April 2019 on the accessibility requirements for products and services</w:t>
        </w:r>
      </w:hyperlink>
    </w:p>
  </w:footnote>
  <w:footnote w:id="5">
    <w:p w14:paraId="1F522CD3" w14:textId="6A3A97D3" w:rsidR="00FC499F" w:rsidRPr="00FC499F" w:rsidRDefault="00FC499F">
      <w:pPr>
        <w:pStyle w:val="FootnoteText"/>
      </w:pPr>
      <w:r>
        <w:rPr>
          <w:rStyle w:val="FootnoteReference"/>
        </w:rPr>
        <w:footnoteRef/>
      </w:r>
      <w:r>
        <w:t xml:space="preserve"> See </w:t>
      </w:r>
      <w:hyperlink r:id="rId3" w:history="1">
        <w:r w:rsidRPr="00B93BF0">
          <w:rPr>
            <w:rStyle w:val="Hyperlink"/>
            <w:lang w:val="en-GB"/>
          </w:rPr>
          <w:t>European Standard on accessibility and usability of the built environment (EN17210)</w:t>
        </w:r>
      </w:hyperlink>
      <w:r>
        <w:rPr>
          <w:lang w:val="en-GB"/>
        </w:rPr>
        <w:t>;</w:t>
      </w:r>
    </w:p>
  </w:footnote>
  <w:footnote w:id="6">
    <w:p w14:paraId="78F10233" w14:textId="41287182" w:rsidR="00FC499F" w:rsidRPr="00FC499F" w:rsidRDefault="00FC499F">
      <w:pPr>
        <w:pStyle w:val="FootnoteText"/>
      </w:pPr>
      <w:r>
        <w:rPr>
          <w:rStyle w:val="FootnoteReference"/>
        </w:rPr>
        <w:footnoteRef/>
      </w:r>
      <w:r>
        <w:t xml:space="preserve"> See </w:t>
      </w:r>
      <w:hyperlink r:id="rId4" w:history="1">
        <w:r w:rsidRPr="00410C03">
          <w:rPr>
            <w:rStyle w:val="Hyperlink"/>
          </w:rPr>
          <w:t>European Standard on Accessibility requirements for ICT products and services (EN301 549)</w:t>
        </w:r>
      </w:hyperlink>
    </w:p>
  </w:footnote>
  <w:footnote w:id="7">
    <w:p w14:paraId="20BCB7C1" w14:textId="4BB58CDC" w:rsidR="009E3EA1" w:rsidRPr="00410C03" w:rsidRDefault="009E3EA1">
      <w:pPr>
        <w:pStyle w:val="FootnoteText"/>
        <w:rPr>
          <w:lang w:val="en-GB"/>
        </w:rPr>
      </w:pPr>
      <w:r>
        <w:rPr>
          <w:rStyle w:val="FootnoteReference"/>
        </w:rPr>
        <w:footnoteRef/>
      </w:r>
      <w:r>
        <w:t xml:space="preserve"> See </w:t>
      </w:r>
      <w:hyperlink r:id="rId5" w:history="1">
        <w:r w:rsidRPr="00410C03">
          <w:rPr>
            <w:rStyle w:val="Hyperlink"/>
          </w:rPr>
          <w:t>European Standard on Accessibility requirements for ICT products and services (EN301 549)</w:t>
        </w:r>
      </w:hyperlink>
    </w:p>
  </w:footnote>
  <w:footnote w:id="8">
    <w:p w14:paraId="5A94B72F" w14:textId="597FBEF7" w:rsidR="005268D9" w:rsidRPr="005268D9" w:rsidRDefault="005268D9">
      <w:pPr>
        <w:pStyle w:val="FootnoteText"/>
        <w:rPr>
          <w:lang w:val="en-GB"/>
        </w:rPr>
      </w:pPr>
      <w:r>
        <w:rPr>
          <w:rStyle w:val="FootnoteReference"/>
        </w:rPr>
        <w:footnoteRef/>
      </w:r>
      <w:r>
        <w:t xml:space="preserve"> </w:t>
      </w:r>
      <w:r>
        <w:rPr>
          <w:lang w:val="en-GB"/>
        </w:rPr>
        <w:t xml:space="preserve">See </w:t>
      </w:r>
      <w:hyperlink r:id="rId6" w:history="1">
        <w:r w:rsidRPr="005268D9">
          <w:rPr>
            <w:rStyle w:val="Hyperlink"/>
            <w:lang w:val="en-GB"/>
          </w:rPr>
          <w:t>General Obligations - article 4.3 of UN CRPD</w:t>
        </w:r>
      </w:hyperlink>
      <w:r>
        <w:rPr>
          <w:lang w:val="en-GB"/>
        </w:rPr>
        <w:t xml:space="preserve"> </w:t>
      </w:r>
    </w:p>
  </w:footnote>
  <w:footnote w:id="9">
    <w:p w14:paraId="4F118067" w14:textId="52AEB111" w:rsidR="009E3EA1" w:rsidRPr="00AC6003" w:rsidRDefault="009E3EA1">
      <w:pPr>
        <w:pStyle w:val="FootnoteText"/>
        <w:rPr>
          <w:lang w:val="en-GB"/>
        </w:rPr>
      </w:pPr>
      <w:r>
        <w:rPr>
          <w:rStyle w:val="FootnoteReference"/>
        </w:rPr>
        <w:footnoteRef/>
      </w:r>
      <w:r>
        <w:t xml:space="preserve"> </w:t>
      </w:r>
      <w:r>
        <w:rPr>
          <w:lang w:val="en-GB"/>
        </w:rPr>
        <w:t xml:space="preserve">For example: </w:t>
      </w:r>
      <w:hyperlink r:id="rId7" w:history="1">
        <w:r w:rsidRPr="00AC6003">
          <w:rPr>
            <w:rStyle w:val="Hyperlink"/>
            <w:lang w:val="en-GB"/>
          </w:rPr>
          <w:t>Regulation (EU) No 1300/2014</w:t>
        </w:r>
      </w:hyperlink>
      <w:r>
        <w:rPr>
          <w:lang w:val="en-GB"/>
        </w:rPr>
        <w:t xml:space="preserve"> (TSI-PRM); </w:t>
      </w:r>
      <w:hyperlink r:id="rId8" w:history="1">
        <w:r w:rsidRPr="00AC6003">
          <w:rPr>
            <w:rStyle w:val="Hyperlink"/>
            <w:lang w:val="en-GB"/>
          </w:rPr>
          <w:t>Regulation (EU) No 181/2011</w:t>
        </w:r>
      </w:hyperlink>
      <w:r w:rsidRPr="00AC6003">
        <w:rPr>
          <w:lang w:val="en-GB"/>
        </w:rPr>
        <w:t xml:space="preserve"> </w:t>
      </w:r>
      <w:r>
        <w:rPr>
          <w:lang w:val="en-GB"/>
        </w:rPr>
        <w:t xml:space="preserve">(rights of passenger in bus and coach transport), other passenger rights regulations; </w:t>
      </w:r>
      <w:hyperlink r:id="rId9" w:history="1">
        <w:r w:rsidRPr="00B9034C">
          <w:rPr>
            <w:rStyle w:val="Hyperlink"/>
          </w:rPr>
          <w:t>Directive (EU) 2019/882</w:t>
        </w:r>
      </w:hyperlink>
      <w:r>
        <w:t xml:space="preserve"> (European Accessibility Act)</w:t>
      </w:r>
      <w:r>
        <w:rPr>
          <w:lang w:val="en-GB"/>
        </w:rPr>
        <w:t xml:space="preserve">, among others. </w:t>
      </w:r>
    </w:p>
  </w:footnote>
  <w:footnote w:id="10">
    <w:p w14:paraId="41322168" w14:textId="4D510B26" w:rsidR="00CF12F1" w:rsidRPr="00CF12F1" w:rsidRDefault="00CF12F1">
      <w:pPr>
        <w:pStyle w:val="FootnoteText"/>
        <w:rPr>
          <w:lang w:val="en-GB"/>
        </w:rPr>
      </w:pPr>
      <w:r>
        <w:rPr>
          <w:rStyle w:val="FootnoteReference"/>
        </w:rPr>
        <w:footnoteRef/>
      </w:r>
      <w:r>
        <w:t xml:space="preserve"> </w:t>
      </w:r>
      <w:r w:rsidR="00B93BF0">
        <w:rPr>
          <w:lang w:val="en-GB"/>
        </w:rPr>
        <w:t>See</w:t>
      </w:r>
      <w:r>
        <w:rPr>
          <w:lang w:val="en-GB"/>
        </w:rPr>
        <w:t xml:space="preserve"> </w:t>
      </w:r>
      <w:hyperlink r:id="rId10" w:history="1">
        <w:r w:rsidRPr="00CF12F1">
          <w:rPr>
            <w:rStyle w:val="Hyperlink"/>
            <w:lang w:val="en-GB"/>
          </w:rPr>
          <w:t>European Accessibility Act</w:t>
        </w:r>
      </w:hyperlink>
      <w:r w:rsidRPr="00CF12F1">
        <w:rPr>
          <w:lang w:val="en-GB"/>
        </w:rPr>
        <w:t xml:space="preserve">; legislation  on passengers’ rights such as </w:t>
      </w:r>
      <w:hyperlink r:id="rId11" w:history="1">
        <w:r w:rsidRPr="00CF12F1">
          <w:rPr>
            <w:rStyle w:val="Hyperlink"/>
            <w:lang w:val="en-GB"/>
          </w:rPr>
          <w:t>Regulation (EC) No 1371/2007</w:t>
        </w:r>
      </w:hyperlink>
      <w:r w:rsidRPr="00CF12F1">
        <w:rPr>
          <w:lang w:val="en-GB"/>
        </w:rPr>
        <w:t xml:space="preserve">, </w:t>
      </w:r>
      <w:hyperlink r:id="rId12" w:history="1">
        <w:r w:rsidRPr="00CF12F1">
          <w:rPr>
            <w:rStyle w:val="Hyperlink"/>
            <w:lang w:val="en-GB"/>
          </w:rPr>
          <w:t>Regulation (EC) No 1107/2006</w:t>
        </w:r>
      </w:hyperlink>
      <w:r w:rsidRPr="00CF12F1">
        <w:rPr>
          <w:lang w:val="en-GB"/>
        </w:rPr>
        <w:t xml:space="preserve">; the accessibility of transport infrastructure, such as </w:t>
      </w:r>
      <w:hyperlink r:id="rId13" w:history="1">
        <w:r w:rsidRPr="00CF12F1">
          <w:rPr>
            <w:rStyle w:val="Hyperlink"/>
            <w:lang w:val="en-GB"/>
          </w:rPr>
          <w:t>Regulation (EU) No 1300/2014</w:t>
        </w:r>
      </w:hyperlink>
      <w:r w:rsidRPr="00CF12F1">
        <w:rPr>
          <w:lang w:val="en-GB"/>
        </w:rPr>
        <w:t xml:space="preserve">; accessibility of ICT products and services: </w:t>
      </w:r>
      <w:hyperlink r:id="rId14" w:history="1">
        <w:r w:rsidRPr="00CF12F1">
          <w:rPr>
            <w:rStyle w:val="Hyperlink"/>
            <w:lang w:val="en-GB"/>
          </w:rPr>
          <w:t>Directive (EU) 2016/2102</w:t>
        </w:r>
      </w:hyperlink>
      <w:r w:rsidRPr="00CF12F1">
        <w:rPr>
          <w:lang w:val="en-GB"/>
        </w:rPr>
        <w:t xml:space="preserve">; electronic communication: </w:t>
      </w:r>
      <w:hyperlink r:id="rId15" w:history="1">
        <w:r w:rsidRPr="00CF12F1">
          <w:rPr>
            <w:rStyle w:val="Hyperlink"/>
            <w:lang w:val="en-GB"/>
          </w:rPr>
          <w:t>Directive (EU) 2018/1972</w:t>
        </w:r>
      </w:hyperlink>
      <w:r w:rsidRPr="00CF12F1">
        <w:rPr>
          <w:lang w:val="en-GB"/>
        </w:rPr>
        <w:t>; and</w:t>
      </w:r>
      <w:r>
        <w:rPr>
          <w:lang w:val="en-GB"/>
        </w:rPr>
        <w:t xml:space="preserve"> EU</w:t>
      </w:r>
      <w:r w:rsidRPr="00CF12F1">
        <w:rPr>
          <w:lang w:val="en-GB"/>
        </w:rPr>
        <w:t xml:space="preserve"> public procurement law</w:t>
      </w:r>
      <w:r>
        <w:rPr>
          <w:lang w:val="en-GB"/>
        </w:rPr>
        <w:t xml:space="preserve">: </w:t>
      </w:r>
      <w:hyperlink r:id="rId16" w:history="1">
        <w:r w:rsidRPr="00CF12F1">
          <w:rPr>
            <w:rStyle w:val="Hyperlink"/>
            <w:lang w:val="en-GB"/>
          </w:rPr>
          <w:t>Directive 2014/24/EU</w:t>
        </w:r>
      </w:hyperlink>
    </w:p>
  </w:footnote>
  <w:footnote w:id="11">
    <w:p w14:paraId="73DC9CC6" w14:textId="1BB54128" w:rsidR="00B93BF0" w:rsidRPr="00B93BF0" w:rsidRDefault="00B93BF0">
      <w:pPr>
        <w:pStyle w:val="FootnoteText"/>
        <w:rPr>
          <w:lang w:val="en-GB"/>
        </w:rPr>
      </w:pPr>
      <w:r>
        <w:rPr>
          <w:rStyle w:val="FootnoteReference"/>
        </w:rPr>
        <w:footnoteRef/>
      </w:r>
      <w:r>
        <w:t xml:space="preserve"> See </w:t>
      </w:r>
      <w:hyperlink r:id="rId17" w:history="1">
        <w:r w:rsidRPr="00B93BF0">
          <w:rPr>
            <w:rStyle w:val="Hyperlink"/>
            <w:lang w:val="en-GB"/>
          </w:rPr>
          <w:t>European Standard on accessibility and usability of the built environment (EN17210)</w:t>
        </w:r>
      </w:hyperlink>
      <w:r>
        <w:rPr>
          <w:lang w:val="en-GB"/>
        </w:rPr>
        <w:t xml:space="preserve">; and </w:t>
      </w:r>
      <w:hyperlink r:id="rId18" w:history="1">
        <w:r w:rsidRPr="00B93BF0">
          <w:rPr>
            <w:rStyle w:val="Hyperlink"/>
            <w:lang w:val="en-GB"/>
          </w:rPr>
          <w:t>European Standard on accessibility requirements for ICT services and products</w:t>
        </w:r>
      </w:hyperlink>
    </w:p>
  </w:footnote>
  <w:footnote w:id="12">
    <w:p w14:paraId="7AB3ACE2" w14:textId="77777777" w:rsidR="009E3EA1" w:rsidRPr="00A311A9" w:rsidRDefault="009E3EA1" w:rsidP="00394869">
      <w:pPr>
        <w:pStyle w:val="FootnoteText"/>
        <w:rPr>
          <w:lang w:val="en-GB"/>
        </w:rPr>
      </w:pPr>
      <w:r>
        <w:rPr>
          <w:rStyle w:val="FootnoteReference"/>
        </w:rPr>
        <w:footnoteRef/>
      </w:r>
      <w:r>
        <w:t xml:space="preserve"> See </w:t>
      </w:r>
      <w:hyperlink r:id="rId19" w:history="1">
        <w:r w:rsidRPr="00F53763">
          <w:rPr>
            <w:rStyle w:val="Hyperlink"/>
          </w:rPr>
          <w:t>UN Convention on the Rights of Persons with Disabilities (UN CRPD)</w:t>
        </w:r>
      </w:hyperlink>
      <w:r>
        <w:t xml:space="preserve">; and </w:t>
      </w:r>
      <w:hyperlink r:id="rId20" w:history="1">
        <w:r w:rsidRPr="00F53763">
          <w:rPr>
            <w:rStyle w:val="Hyperlink"/>
          </w:rPr>
          <w:t>General Comment No 2 on Article 9 of the UN CRPD Committee</w:t>
        </w:r>
      </w:hyperlink>
      <w:r>
        <w:t xml:space="preserve"> </w:t>
      </w:r>
    </w:p>
  </w:footnote>
  <w:footnote w:id="13">
    <w:p w14:paraId="59FC4DDD" w14:textId="77777777" w:rsidR="009E3EA1" w:rsidRPr="003C41BC" w:rsidRDefault="009E3EA1" w:rsidP="00394869">
      <w:pPr>
        <w:pStyle w:val="FootnoteText"/>
        <w:rPr>
          <w:lang w:val="en-GB"/>
        </w:rPr>
      </w:pPr>
      <w:r>
        <w:rPr>
          <w:rStyle w:val="FootnoteReference"/>
        </w:rPr>
        <w:footnoteRef/>
      </w:r>
      <w:r>
        <w:t xml:space="preserve"> P</w:t>
      </w:r>
      <w:r>
        <w:rPr>
          <w:lang w:val="en-GB"/>
        </w:rPr>
        <w:t xml:space="preserve">.6 of </w:t>
      </w:r>
      <w:hyperlink r:id="rId21" w:history="1">
        <w:r w:rsidRPr="003C41BC">
          <w:rPr>
            <w:rStyle w:val="Hyperlink"/>
            <w:lang w:val="en-GB"/>
          </w:rPr>
          <w:t>Union of Equality: Strategy for the Rights of Persons with Disabilities 2021-2030</w:t>
        </w:r>
      </w:hyperlink>
    </w:p>
  </w:footnote>
  <w:footnote w:id="14">
    <w:p w14:paraId="3F44098D" w14:textId="77777777" w:rsidR="009E3EA1" w:rsidRPr="003C41BC" w:rsidRDefault="009E3EA1" w:rsidP="00394869">
      <w:pPr>
        <w:pStyle w:val="FootnoteText"/>
        <w:rPr>
          <w:lang w:val="en-GB"/>
        </w:rPr>
      </w:pPr>
      <w:r>
        <w:rPr>
          <w:rStyle w:val="FootnoteReference"/>
        </w:rPr>
        <w:footnoteRef/>
      </w:r>
      <w:r>
        <w:t xml:space="preserve"> </w:t>
      </w:r>
      <w:r>
        <w:rPr>
          <w:lang w:val="en-GB"/>
        </w:rPr>
        <w:t xml:space="preserve">P.8 of </w:t>
      </w:r>
      <w:hyperlink r:id="rId22" w:history="1">
        <w:r w:rsidRPr="003C41BC">
          <w:rPr>
            <w:rStyle w:val="Hyperlink"/>
            <w:lang w:val="en-GB"/>
          </w:rPr>
          <w:t>Union of Equality: Strategy for the Rights of Persons with Disabilities 2021-2030</w:t>
        </w:r>
      </w:hyperlink>
    </w:p>
  </w:footnote>
  <w:footnote w:id="15">
    <w:p w14:paraId="302F4023" w14:textId="77777777" w:rsidR="009E3EA1" w:rsidRPr="00BC3ADF" w:rsidRDefault="009E3EA1" w:rsidP="00394869">
      <w:pPr>
        <w:pStyle w:val="FootnoteText"/>
        <w:rPr>
          <w:lang w:val="en-GB"/>
        </w:rPr>
      </w:pPr>
      <w:r>
        <w:rPr>
          <w:rStyle w:val="FootnoteReference"/>
        </w:rPr>
        <w:footnoteRef/>
      </w:r>
      <w:r>
        <w:t xml:space="preserve"> </w:t>
      </w:r>
      <w:hyperlink r:id="rId23" w:history="1">
        <w:r w:rsidRPr="00BC3ADF">
          <w:rPr>
            <w:rStyle w:val="Hyperlink"/>
          </w:rPr>
          <w:t>European Commission: A European Green Deal</w:t>
        </w:r>
      </w:hyperlink>
    </w:p>
  </w:footnote>
  <w:footnote w:id="16">
    <w:p w14:paraId="1FBC575B" w14:textId="77777777" w:rsidR="009E3EA1" w:rsidRPr="00BC3ADF" w:rsidRDefault="009E3EA1" w:rsidP="00394869">
      <w:pPr>
        <w:pStyle w:val="FootnoteText"/>
        <w:rPr>
          <w:lang w:val="en-GB"/>
        </w:rPr>
      </w:pPr>
      <w:r>
        <w:rPr>
          <w:rStyle w:val="FootnoteReference"/>
        </w:rPr>
        <w:footnoteRef/>
      </w:r>
      <w:r>
        <w:t xml:space="preserve"> </w:t>
      </w:r>
      <w:hyperlink r:id="rId24" w:history="1">
        <w:r w:rsidRPr="00BC3ADF">
          <w:rPr>
            <w:rStyle w:val="Hyperlink"/>
            <w:lang w:val="en-GB"/>
          </w:rPr>
          <w:t xml:space="preserve">EDF Position on </w:t>
        </w:r>
        <w:r w:rsidRPr="00BC3ADF">
          <w:rPr>
            <w:rStyle w:val="Hyperlink"/>
          </w:rPr>
          <w:t>An inclusive Green Deal for Europe</w:t>
        </w:r>
      </w:hyperlink>
    </w:p>
  </w:footnote>
  <w:footnote w:id="17">
    <w:p w14:paraId="17701354" w14:textId="77777777" w:rsidR="009E3EA1" w:rsidRPr="000777EB" w:rsidRDefault="009E3EA1" w:rsidP="00394869">
      <w:pPr>
        <w:pStyle w:val="FootnoteText"/>
        <w:rPr>
          <w:lang w:val="en-GB"/>
        </w:rPr>
      </w:pPr>
      <w:r>
        <w:rPr>
          <w:rStyle w:val="FootnoteReference"/>
        </w:rPr>
        <w:footnoteRef/>
      </w:r>
      <w:r>
        <w:t xml:space="preserve"> </w:t>
      </w:r>
      <w:hyperlink r:id="rId25" w:history="1">
        <w:r w:rsidRPr="000777EB">
          <w:rPr>
            <w:rStyle w:val="Hyperlink"/>
          </w:rPr>
          <w:t>EDF analysis of the EU's Sustainable and Smart Mobility Strategy</w:t>
        </w:r>
      </w:hyperlink>
    </w:p>
  </w:footnote>
  <w:footnote w:id="18">
    <w:p w14:paraId="41A24C1E" w14:textId="77777777" w:rsidR="009E3EA1" w:rsidRPr="00C713F2" w:rsidRDefault="009E3EA1" w:rsidP="00394869">
      <w:pPr>
        <w:pStyle w:val="FootnoteText"/>
        <w:rPr>
          <w:lang w:val="en-GB"/>
        </w:rPr>
      </w:pPr>
      <w:r>
        <w:rPr>
          <w:rStyle w:val="FootnoteReference"/>
        </w:rPr>
        <w:footnoteRef/>
      </w:r>
      <w:r>
        <w:t xml:space="preserve"> </w:t>
      </w:r>
      <w:r>
        <w:rPr>
          <w:lang w:val="en-GB"/>
        </w:rPr>
        <w:t xml:space="preserve">Please note, the initiatives are not always listed with their official names. Contact EDF if you need clarification.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7A2"/>
    <w:multiLevelType w:val="hybridMultilevel"/>
    <w:tmpl w:val="9156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2ACC"/>
    <w:multiLevelType w:val="hybridMultilevel"/>
    <w:tmpl w:val="2DB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6592D"/>
    <w:multiLevelType w:val="hybridMultilevel"/>
    <w:tmpl w:val="95EA9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832093"/>
    <w:multiLevelType w:val="hybridMultilevel"/>
    <w:tmpl w:val="CC3E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D2580"/>
    <w:multiLevelType w:val="hybridMultilevel"/>
    <w:tmpl w:val="BBC8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253A7"/>
    <w:multiLevelType w:val="hybridMultilevel"/>
    <w:tmpl w:val="F77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742F9"/>
    <w:multiLevelType w:val="hybridMultilevel"/>
    <w:tmpl w:val="22F8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12B72"/>
    <w:multiLevelType w:val="hybridMultilevel"/>
    <w:tmpl w:val="FBE63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15036"/>
    <w:multiLevelType w:val="hybridMultilevel"/>
    <w:tmpl w:val="FC76E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4"/>
  </w:num>
  <w:num w:numId="7">
    <w:abstractNumId w:val="0"/>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0298"/>
    <w:rsid w:val="000112E3"/>
    <w:rsid w:val="0001767B"/>
    <w:rsid w:val="00021933"/>
    <w:rsid w:val="000411DF"/>
    <w:rsid w:val="00054D5A"/>
    <w:rsid w:val="00057F9D"/>
    <w:rsid w:val="000777EB"/>
    <w:rsid w:val="000C3A98"/>
    <w:rsid w:val="000D37E5"/>
    <w:rsid w:val="000E43CD"/>
    <w:rsid w:val="00120F79"/>
    <w:rsid w:val="00155FC2"/>
    <w:rsid w:val="0018733F"/>
    <w:rsid w:val="00187E62"/>
    <w:rsid w:val="0019095E"/>
    <w:rsid w:val="001C1166"/>
    <w:rsid w:val="001E0F08"/>
    <w:rsid w:val="001E1191"/>
    <w:rsid w:val="001E1902"/>
    <w:rsid w:val="00282B80"/>
    <w:rsid w:val="00285130"/>
    <w:rsid w:val="003107AE"/>
    <w:rsid w:val="00355289"/>
    <w:rsid w:val="00360815"/>
    <w:rsid w:val="0036557E"/>
    <w:rsid w:val="00394869"/>
    <w:rsid w:val="003C41BC"/>
    <w:rsid w:val="003C78D1"/>
    <w:rsid w:val="003D062D"/>
    <w:rsid w:val="003D1BF3"/>
    <w:rsid w:val="003D5287"/>
    <w:rsid w:val="003D6215"/>
    <w:rsid w:val="004004DB"/>
    <w:rsid w:val="00410C03"/>
    <w:rsid w:val="004136FE"/>
    <w:rsid w:val="004410CC"/>
    <w:rsid w:val="00467A17"/>
    <w:rsid w:val="00486FB5"/>
    <w:rsid w:val="004F1684"/>
    <w:rsid w:val="004F3C03"/>
    <w:rsid w:val="004F56FD"/>
    <w:rsid w:val="005268D9"/>
    <w:rsid w:val="00541EBA"/>
    <w:rsid w:val="00573E19"/>
    <w:rsid w:val="005851DD"/>
    <w:rsid w:val="005B01F0"/>
    <w:rsid w:val="005B768D"/>
    <w:rsid w:val="005B7E5F"/>
    <w:rsid w:val="005C71B9"/>
    <w:rsid w:val="005D414D"/>
    <w:rsid w:val="00600291"/>
    <w:rsid w:val="00606390"/>
    <w:rsid w:val="00622E54"/>
    <w:rsid w:val="00665D9C"/>
    <w:rsid w:val="00674CE6"/>
    <w:rsid w:val="006A6BD9"/>
    <w:rsid w:val="006C1A26"/>
    <w:rsid w:val="006D0B23"/>
    <w:rsid w:val="006F5A57"/>
    <w:rsid w:val="00726EE8"/>
    <w:rsid w:val="0076448A"/>
    <w:rsid w:val="007649B3"/>
    <w:rsid w:val="00780086"/>
    <w:rsid w:val="007C7969"/>
    <w:rsid w:val="007C7ABA"/>
    <w:rsid w:val="007C7CD3"/>
    <w:rsid w:val="008054A7"/>
    <w:rsid w:val="008065A5"/>
    <w:rsid w:val="00883E8A"/>
    <w:rsid w:val="008D1512"/>
    <w:rsid w:val="009277BC"/>
    <w:rsid w:val="0097780E"/>
    <w:rsid w:val="00983367"/>
    <w:rsid w:val="009969E2"/>
    <w:rsid w:val="009D42C6"/>
    <w:rsid w:val="009E3EA1"/>
    <w:rsid w:val="00A25EB5"/>
    <w:rsid w:val="00A311A9"/>
    <w:rsid w:val="00A754D0"/>
    <w:rsid w:val="00A9576D"/>
    <w:rsid w:val="00AC6003"/>
    <w:rsid w:val="00AD55B8"/>
    <w:rsid w:val="00B30927"/>
    <w:rsid w:val="00B318FA"/>
    <w:rsid w:val="00B45C6A"/>
    <w:rsid w:val="00B515CD"/>
    <w:rsid w:val="00B9034C"/>
    <w:rsid w:val="00B9392A"/>
    <w:rsid w:val="00B93BF0"/>
    <w:rsid w:val="00BC017E"/>
    <w:rsid w:val="00BC2482"/>
    <w:rsid w:val="00BC3ADF"/>
    <w:rsid w:val="00C3356F"/>
    <w:rsid w:val="00C4665D"/>
    <w:rsid w:val="00C713F2"/>
    <w:rsid w:val="00C87AD2"/>
    <w:rsid w:val="00C92B0C"/>
    <w:rsid w:val="00CD5C83"/>
    <w:rsid w:val="00CF12F1"/>
    <w:rsid w:val="00CF3BF4"/>
    <w:rsid w:val="00D06B3E"/>
    <w:rsid w:val="00D07464"/>
    <w:rsid w:val="00D11DAB"/>
    <w:rsid w:val="00D14CF2"/>
    <w:rsid w:val="00D44C85"/>
    <w:rsid w:val="00D55B09"/>
    <w:rsid w:val="00DC327B"/>
    <w:rsid w:val="00E41423"/>
    <w:rsid w:val="00E449C1"/>
    <w:rsid w:val="00E467DC"/>
    <w:rsid w:val="00E47FF5"/>
    <w:rsid w:val="00E508DB"/>
    <w:rsid w:val="00E62CBF"/>
    <w:rsid w:val="00EA0706"/>
    <w:rsid w:val="00EC688E"/>
    <w:rsid w:val="00ED3DD9"/>
    <w:rsid w:val="00EF64BF"/>
    <w:rsid w:val="00F20CE7"/>
    <w:rsid w:val="00F23735"/>
    <w:rsid w:val="00F34A74"/>
    <w:rsid w:val="00F41EAA"/>
    <w:rsid w:val="00F5051D"/>
    <w:rsid w:val="00F53763"/>
    <w:rsid w:val="00F608C6"/>
    <w:rsid w:val="00F66DB1"/>
    <w:rsid w:val="00F84142"/>
    <w:rsid w:val="00F969D1"/>
    <w:rsid w:val="00FC4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8C6"/>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customStyle="1" w:styleId="Default">
    <w:name w:val="Default"/>
    <w:rsid w:val="00C3356F"/>
    <w:pPr>
      <w:autoSpaceDE w:val="0"/>
      <w:autoSpaceDN w:val="0"/>
      <w:adjustRightInd w:val="0"/>
      <w:spacing w:after="0" w:line="240" w:lineRule="auto"/>
    </w:pPr>
    <w:rPr>
      <w:rFonts w:ascii="Verdana" w:hAnsi="Verdana" w:cs="Verdana"/>
      <w:color w:val="000000"/>
      <w:sz w:val="24"/>
      <w:szCs w:val="24"/>
      <w:lang w:val="en-GB"/>
    </w:rPr>
  </w:style>
  <w:style w:type="paragraph" w:styleId="FootnoteText">
    <w:name w:val="footnote text"/>
    <w:basedOn w:val="Normal"/>
    <w:link w:val="FootnoteTextChar"/>
    <w:uiPriority w:val="99"/>
    <w:semiHidden/>
    <w:unhideWhenUsed/>
    <w:rsid w:val="00A31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1A9"/>
    <w:rPr>
      <w:rFonts w:ascii="Verdana" w:hAnsi="Verdana"/>
      <w:sz w:val="20"/>
      <w:szCs w:val="20"/>
    </w:rPr>
  </w:style>
  <w:style w:type="character" w:styleId="FootnoteReference">
    <w:name w:val="footnote reference"/>
    <w:basedOn w:val="DefaultParagraphFont"/>
    <w:uiPriority w:val="99"/>
    <w:semiHidden/>
    <w:unhideWhenUsed/>
    <w:rsid w:val="00A311A9"/>
    <w:rPr>
      <w:vertAlign w:val="superscript"/>
    </w:rPr>
  </w:style>
  <w:style w:type="character" w:styleId="FollowedHyperlink">
    <w:name w:val="FollowedHyperlink"/>
    <w:basedOn w:val="DefaultParagraphFont"/>
    <w:uiPriority w:val="99"/>
    <w:semiHidden/>
    <w:unhideWhenUsed/>
    <w:rsid w:val="00AC6003"/>
    <w:rPr>
      <w:color w:val="954F72" w:themeColor="followedHyperlink"/>
      <w:u w:val="single"/>
    </w:rPr>
  </w:style>
  <w:style w:type="character" w:styleId="CommentReference">
    <w:name w:val="annotation reference"/>
    <w:basedOn w:val="DefaultParagraphFont"/>
    <w:uiPriority w:val="99"/>
    <w:semiHidden/>
    <w:unhideWhenUsed/>
    <w:rsid w:val="001E1902"/>
    <w:rPr>
      <w:sz w:val="16"/>
      <w:szCs w:val="16"/>
    </w:rPr>
  </w:style>
  <w:style w:type="paragraph" w:styleId="CommentText">
    <w:name w:val="annotation text"/>
    <w:basedOn w:val="Normal"/>
    <w:link w:val="CommentTextChar"/>
    <w:uiPriority w:val="99"/>
    <w:semiHidden/>
    <w:unhideWhenUsed/>
    <w:rsid w:val="001E1902"/>
    <w:pPr>
      <w:spacing w:line="240" w:lineRule="auto"/>
    </w:pPr>
    <w:rPr>
      <w:sz w:val="20"/>
      <w:szCs w:val="20"/>
    </w:rPr>
  </w:style>
  <w:style w:type="character" w:customStyle="1" w:styleId="CommentTextChar">
    <w:name w:val="Comment Text Char"/>
    <w:basedOn w:val="DefaultParagraphFont"/>
    <w:link w:val="CommentText"/>
    <w:uiPriority w:val="99"/>
    <w:semiHidden/>
    <w:rsid w:val="001E190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E1902"/>
    <w:rPr>
      <w:b/>
      <w:bCs/>
    </w:rPr>
  </w:style>
  <w:style w:type="character" w:customStyle="1" w:styleId="CommentSubjectChar">
    <w:name w:val="Comment Subject Char"/>
    <w:basedOn w:val="CommentTextChar"/>
    <w:link w:val="CommentSubject"/>
    <w:uiPriority w:val="99"/>
    <w:semiHidden/>
    <w:rsid w:val="001E190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279">
      <w:bodyDiv w:val="1"/>
      <w:marLeft w:val="0"/>
      <w:marRight w:val="0"/>
      <w:marTop w:val="0"/>
      <w:marBottom w:val="0"/>
      <w:divBdr>
        <w:top w:val="none" w:sz="0" w:space="0" w:color="auto"/>
        <w:left w:val="none" w:sz="0" w:space="0" w:color="auto"/>
        <w:bottom w:val="none" w:sz="0" w:space="0" w:color="auto"/>
        <w:right w:val="none" w:sz="0" w:space="0" w:color="auto"/>
      </w:divBdr>
    </w:div>
    <w:div w:id="899286618">
      <w:bodyDiv w:val="1"/>
      <w:marLeft w:val="0"/>
      <w:marRight w:val="0"/>
      <w:marTop w:val="0"/>
      <w:marBottom w:val="0"/>
      <w:divBdr>
        <w:top w:val="none" w:sz="0" w:space="0" w:color="auto"/>
        <w:left w:val="none" w:sz="0" w:space="0" w:color="auto"/>
        <w:bottom w:val="none" w:sz="0" w:space="0" w:color="auto"/>
        <w:right w:val="none" w:sz="0" w:space="0" w:color="auto"/>
      </w:divBdr>
    </w:div>
    <w:div w:id="1681200261">
      <w:bodyDiv w:val="1"/>
      <w:marLeft w:val="0"/>
      <w:marRight w:val="0"/>
      <w:marTop w:val="0"/>
      <w:marBottom w:val="0"/>
      <w:divBdr>
        <w:top w:val="none" w:sz="0" w:space="0" w:color="auto"/>
        <w:left w:val="none" w:sz="0" w:space="0" w:color="auto"/>
        <w:bottom w:val="none" w:sz="0" w:space="0" w:color="auto"/>
        <w:right w:val="none" w:sz="0" w:space="0" w:color="auto"/>
      </w:divBdr>
    </w:div>
    <w:div w:id="2083134969">
      <w:bodyDiv w:val="1"/>
      <w:marLeft w:val="0"/>
      <w:marRight w:val="0"/>
      <w:marTop w:val="0"/>
      <w:marBottom w:val="0"/>
      <w:divBdr>
        <w:top w:val="none" w:sz="0" w:space="0" w:color="auto"/>
        <w:left w:val="none" w:sz="0" w:space="0" w:color="auto"/>
        <w:bottom w:val="none" w:sz="0" w:space="0" w:color="auto"/>
        <w:right w:val="none" w:sz="0" w:space="0" w:color="auto"/>
      </w:divBdr>
      <w:divsChild>
        <w:div w:id="1043822567">
          <w:marLeft w:val="0"/>
          <w:marRight w:val="0"/>
          <w:marTop w:val="0"/>
          <w:marBottom w:val="0"/>
          <w:divBdr>
            <w:top w:val="none" w:sz="0" w:space="0" w:color="auto"/>
            <w:left w:val="none" w:sz="0" w:space="0" w:color="auto"/>
            <w:bottom w:val="none" w:sz="0" w:space="0" w:color="auto"/>
            <w:right w:val="none" w:sz="0" w:space="0" w:color="auto"/>
          </w:divBdr>
          <w:divsChild>
            <w:div w:id="9405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er.hakobyan@edf-fep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better-regulation/have-your-say/initiatives/12532-Trans-European-transport-network-TEN-T-revised-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ransport/themes/infrastructure/ten-t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A32011R0181" TargetMode="External"/><Relationship Id="rId13" Type="http://schemas.openxmlformats.org/officeDocument/2006/relationships/hyperlink" Target="https://eur-lex.europa.eu/legal-content/EN/TXT/?uri=CELEX:32014R1300" TargetMode="External"/><Relationship Id="rId18" Type="http://schemas.openxmlformats.org/officeDocument/2006/relationships/hyperlink" Target="https://www.etsi.org/deliver/etsi_en/301500_301599/301549/03.01.01_60/en_301549v030101p.pdf" TargetMode="External"/><Relationship Id="rId3" Type="http://schemas.openxmlformats.org/officeDocument/2006/relationships/hyperlink" Target="https://www.edf-feph.org/first-european-accessibility-standard-on-built-environment-approved/" TargetMode="External"/><Relationship Id="rId21" Type="http://schemas.openxmlformats.org/officeDocument/2006/relationships/hyperlink" Target="https://www.edf-feph.org/content/uploads/2021/03/KE0221257ENN_002-proof-2.pdf" TargetMode="External"/><Relationship Id="rId7" Type="http://schemas.openxmlformats.org/officeDocument/2006/relationships/hyperlink" Target="https://eur-lex.europa.eu/legal-content/EN/TXT/?uri=CELEX:32014R1300" TargetMode="External"/><Relationship Id="rId12" Type="http://schemas.openxmlformats.org/officeDocument/2006/relationships/hyperlink" Target="https://eur-lex.europa.eu/legal-content/EN/ALL/?uri=celex%3A32006R1107" TargetMode="External"/><Relationship Id="rId17" Type="http://schemas.openxmlformats.org/officeDocument/2006/relationships/hyperlink" Target="https://www.edf-feph.org/first-european-accessibility-standard-on-built-environment-approved/" TargetMode="External"/><Relationship Id="rId25" Type="http://schemas.openxmlformats.org/officeDocument/2006/relationships/hyperlink" Target="https://www.edf-feph.org/edf-analysis-of-the-eus-sustainable-and-smart-mobility-strategy/" TargetMode="External"/><Relationship Id="rId2" Type="http://schemas.openxmlformats.org/officeDocument/2006/relationships/hyperlink" Target="https://eur-lex.europa.eu/legal-content/EN/TXT/?uri=CELEX%3A32019L0882" TargetMode="External"/><Relationship Id="rId16" Type="http://schemas.openxmlformats.org/officeDocument/2006/relationships/hyperlink" Target="https://eur-lex.europa.eu/legal-content/EN/TXT/?uri=celex%3A32014L0024" TargetMode="External"/><Relationship Id="rId20" Type="http://schemas.openxmlformats.org/officeDocument/2006/relationships/hyperlink" Target="https://tbinternet.ohchr.org/_layouts/15/treatybodyexternal/Download.aspx?symbolno=CRPD/C/GC/2&amp;Lang=en" TargetMode="External"/><Relationship Id="rId1" Type="http://schemas.openxmlformats.org/officeDocument/2006/relationships/hyperlink" Target="https://www.edf-feph.org/publications/trans-european-transport-network-ten-t-guidelines-evaluation/" TargetMode="External"/><Relationship Id="rId6" Type="http://schemas.openxmlformats.org/officeDocument/2006/relationships/hyperlink" Target="https://www.un.org/development/desa/disabilities/convention-on-the-rights-of-persons-with-disabilities/article-4-general-obligations.html" TargetMode="External"/><Relationship Id="rId11" Type="http://schemas.openxmlformats.org/officeDocument/2006/relationships/hyperlink" Target="https://eur-lex.europa.eu/legal-content/en/ALL/?uri=CELEX%3A32007R1371" TargetMode="External"/><Relationship Id="rId24" Type="http://schemas.openxmlformats.org/officeDocument/2006/relationships/hyperlink" Target="https://www.edf-feph.org/publications/eu-green-deal-2/" TargetMode="External"/><Relationship Id="rId5" Type="http://schemas.openxmlformats.org/officeDocument/2006/relationships/hyperlink" Target="https://www.etsi.org/deliver/etsi_en/301500_301599/301549/03.01.01_60/en_301549v030101p.pdf" TargetMode="External"/><Relationship Id="rId15" Type="http://schemas.openxmlformats.org/officeDocument/2006/relationships/hyperlink" Target="https://eur-lex.europa.eu/legal-content/EN/TXT/?uri=CELEX:32018L1972" TargetMode="External"/><Relationship Id="rId23" Type="http://schemas.openxmlformats.org/officeDocument/2006/relationships/hyperlink" Target="https://ec.europa.eu/info/strategy/priorities-2019-2024/european-green-deal_en" TargetMode="External"/><Relationship Id="rId10" Type="http://schemas.openxmlformats.org/officeDocument/2006/relationships/hyperlink" Target="http://edf-feph.org/sites/default/files/st15174-ad01.en18.pdf" TargetMode="External"/><Relationship Id="rId19" Type="http://schemas.openxmlformats.org/officeDocument/2006/relationships/hyperlink" Target="https://www.un.org/development/desa/disabilities/convention-on-the-rights-of-persons-with-disabilities.html" TargetMode="External"/><Relationship Id="rId4" Type="http://schemas.openxmlformats.org/officeDocument/2006/relationships/hyperlink" Target="https://www.etsi.org/deliver/etsi_en/301500_301599/301549/03.01.01_60/en_301549v030101p.pdf" TargetMode="External"/><Relationship Id="rId9" Type="http://schemas.openxmlformats.org/officeDocument/2006/relationships/hyperlink" Target="https://eur-lex.europa.eu/legal-content/EN/TXT/?uri=CELEX%3A32019L0882" TargetMode="External"/><Relationship Id="rId14" Type="http://schemas.openxmlformats.org/officeDocument/2006/relationships/hyperlink" Target="https://eur-lex.europa.eu/legal-content/EN/TXT/?uri=uriserv:OJ.L_.2016.327.01.0001.01.ENG&amp;toc=OJ:L:2016:327:TOC" TargetMode="External"/><Relationship Id="rId22" Type="http://schemas.openxmlformats.org/officeDocument/2006/relationships/hyperlink" Target="https://www.edf-feph.org/content/uploads/2021/03/KE0221257ENN_002-proof-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485B-65CA-4349-A523-E256A53B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13</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59</cp:revision>
  <dcterms:created xsi:type="dcterms:W3CDTF">2021-02-22T09:45:00Z</dcterms:created>
  <dcterms:modified xsi:type="dcterms:W3CDTF">2021-05-04T11:57:00Z</dcterms:modified>
</cp:coreProperties>
</file>