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5374" w14:textId="1F7906F3" w:rsidR="0066366A" w:rsidRPr="00B8541D" w:rsidRDefault="00D82D30" w:rsidP="0066366A">
      <w:pPr>
        <w:pStyle w:val="Heading1"/>
        <w:rPr>
          <w:rFonts w:ascii="Arial" w:hAnsi="Arial"/>
          <w:bCs/>
          <w:color w:val="0A77B3"/>
          <w:sz w:val="28"/>
          <w:szCs w:val="28"/>
        </w:rPr>
      </w:pPr>
      <w:r>
        <w:rPr>
          <w:rFonts w:ascii="Arial" w:hAnsi="Arial"/>
          <w:bCs/>
          <w:color w:val="0A77B3"/>
          <w:sz w:val="28"/>
          <w:szCs w:val="28"/>
        </w:rPr>
        <w:t>Work Plan of the EDF Youth Committee for 2022</w:t>
      </w:r>
    </w:p>
    <w:p w14:paraId="31B01980" w14:textId="6E735FF8" w:rsidR="005D2194" w:rsidRPr="00B8541D" w:rsidRDefault="00B8541D" w:rsidP="00B8541D">
      <w:pPr>
        <w:pStyle w:val="Heading2"/>
        <w:rPr>
          <w:rFonts w:ascii="Arial" w:hAnsi="Arial"/>
          <w:color w:val="0A77B3"/>
        </w:rPr>
      </w:pPr>
      <w:r w:rsidRPr="00B8541D">
        <w:rPr>
          <w:rFonts w:ascii="Arial" w:hAnsi="Arial"/>
          <w:color w:val="0A77B3"/>
        </w:rPr>
        <w:t>Introduction</w:t>
      </w:r>
    </w:p>
    <w:p w14:paraId="27B6925A" w14:textId="77777777" w:rsidR="00D82D30" w:rsidRDefault="00D82D30" w:rsidP="00D82D30">
      <w:pPr>
        <w:rPr>
          <w:lang w:val="en-US"/>
        </w:rPr>
      </w:pPr>
      <w:r>
        <w:rPr>
          <w:lang w:val="en-US"/>
        </w:rPr>
        <w:t>This document includes the proposal for a work plan for the 2022 as a follow up to the four year plan adopted by the Youth Committee at the beginning of its mandate. The topic of the year will be decided, the activities set up in the EDF Work Plan for 2022 are included and the ones proposed by the Committee itself.</w:t>
      </w:r>
    </w:p>
    <w:p w14:paraId="22195C7E" w14:textId="77777777" w:rsidR="00D82D30" w:rsidRDefault="00D82D30" w:rsidP="00D82D30">
      <w:pPr>
        <w:rPr>
          <w:lang w:val="en-US"/>
        </w:rPr>
      </w:pPr>
      <w:r w:rsidRPr="001C4A9D">
        <w:rPr>
          <w:b/>
          <w:bCs/>
          <w:lang w:val="en-US"/>
        </w:rPr>
        <w:t>Topic of the Year</w:t>
      </w:r>
      <w:r>
        <w:rPr>
          <w:lang w:val="en-US"/>
        </w:rPr>
        <w:t>: Green Deal others, to be decided</w:t>
      </w:r>
    </w:p>
    <w:p w14:paraId="3F53EB98" w14:textId="1E923617" w:rsidR="00B8541D" w:rsidRPr="000C0C8E" w:rsidRDefault="00D82D30" w:rsidP="000C0C8E">
      <w:pPr>
        <w:pStyle w:val="Heading2"/>
        <w:rPr>
          <w:rFonts w:ascii="Arial" w:hAnsi="Arial"/>
          <w:color w:val="0A77B3"/>
        </w:rPr>
      </w:pPr>
      <w:r>
        <w:rPr>
          <w:rFonts w:ascii="Arial" w:hAnsi="Arial"/>
          <w:color w:val="0A77B3"/>
        </w:rPr>
        <w:t>Objectives</w:t>
      </w:r>
    </w:p>
    <w:p w14:paraId="773F35B7" w14:textId="77777777" w:rsidR="00D82D30" w:rsidRPr="002D0610" w:rsidRDefault="00D82D30" w:rsidP="00D82D30">
      <w:pPr>
        <w:pStyle w:val="ListParagraph"/>
        <w:numPr>
          <w:ilvl w:val="0"/>
          <w:numId w:val="20"/>
        </w:numPr>
        <w:spacing w:after="160" w:line="259" w:lineRule="auto"/>
        <w:jc w:val="left"/>
      </w:pPr>
      <w:r w:rsidRPr="002D0610">
        <w:t>Mainstream the youth voice within EDF</w:t>
      </w:r>
    </w:p>
    <w:p w14:paraId="4EFCA956" w14:textId="77777777" w:rsidR="00D82D30" w:rsidRPr="002D0610" w:rsidRDefault="00D82D30" w:rsidP="00D82D30">
      <w:pPr>
        <w:pStyle w:val="ListParagraph"/>
        <w:numPr>
          <w:ilvl w:val="0"/>
          <w:numId w:val="20"/>
        </w:numPr>
        <w:spacing w:after="160" w:line="259" w:lineRule="auto"/>
        <w:jc w:val="left"/>
      </w:pPr>
      <w:r w:rsidRPr="002D0610">
        <w:t>Bring input in all policies that is relevant for young people such as: education, employment Disability rights etc.</w:t>
      </w:r>
    </w:p>
    <w:p w14:paraId="4DF92BD2" w14:textId="77777777" w:rsidR="00D82D30" w:rsidRPr="002D0610" w:rsidRDefault="00D82D30" w:rsidP="00D82D30">
      <w:pPr>
        <w:pStyle w:val="ListParagraph"/>
        <w:numPr>
          <w:ilvl w:val="0"/>
          <w:numId w:val="20"/>
        </w:numPr>
        <w:spacing w:after="160" w:line="259" w:lineRule="auto"/>
        <w:jc w:val="left"/>
      </w:pPr>
      <w:r w:rsidRPr="002D0610">
        <w:t>Promote the rights of persons with disabilities via participating in events for young people such as the European Youth Event, events organised by the EU Institutions and youth the youth movement.</w:t>
      </w:r>
    </w:p>
    <w:p w14:paraId="6B13007C" w14:textId="77777777" w:rsidR="00D82D30" w:rsidRDefault="00D82D30" w:rsidP="00D82D30">
      <w:pPr>
        <w:pStyle w:val="ListParagraph"/>
        <w:numPr>
          <w:ilvl w:val="0"/>
          <w:numId w:val="20"/>
        </w:numPr>
        <w:spacing w:after="160" w:line="259" w:lineRule="auto"/>
        <w:jc w:val="left"/>
      </w:pPr>
      <w:r w:rsidRPr="002D0610">
        <w:t>Act as a resource along our members and other actors dealing with the Rights of young people, providing training, workshops</w:t>
      </w:r>
    </w:p>
    <w:p w14:paraId="53069626" w14:textId="77777777" w:rsidR="00D82D30" w:rsidRPr="002D0610" w:rsidRDefault="00D82D30" w:rsidP="00D82D30">
      <w:pPr>
        <w:rPr>
          <w:lang w:val="en-US"/>
        </w:rPr>
      </w:pPr>
      <w:r>
        <w:rPr>
          <w:lang w:val="en-US"/>
        </w:rPr>
        <w:t>The above objectives will be achieved via the below mentioned activities and other that may come. The Committee is open to all activities as long as they fit in the objectives of the Committee and respect the Rights of Persons with Disabilities, and the time and resources allocated to the Committee allows.</w:t>
      </w:r>
    </w:p>
    <w:p w14:paraId="3592852E" w14:textId="77777777" w:rsidR="005938B6" w:rsidRDefault="005938B6" w:rsidP="005938B6">
      <w:pPr>
        <w:pStyle w:val="ListParagraph"/>
        <w:numPr>
          <w:ilvl w:val="0"/>
          <w:numId w:val="16"/>
        </w:numPr>
        <w:rPr>
          <w:rStyle w:val="BookTitle"/>
          <w:b w:val="0"/>
          <w:bCs w:val="0"/>
          <w:smallCaps w:val="0"/>
          <w:spacing w:val="0"/>
        </w:rPr>
      </w:pPr>
    </w:p>
    <w:p w14:paraId="10162F54" w14:textId="6293CA55" w:rsidR="005938B6" w:rsidRPr="005938B6" w:rsidRDefault="00D82D30" w:rsidP="005938B6">
      <w:pPr>
        <w:pStyle w:val="Heading2"/>
        <w:rPr>
          <w:rFonts w:ascii="Arial" w:hAnsi="Arial"/>
          <w:color w:val="0A77B3"/>
        </w:rPr>
      </w:pPr>
      <w:r>
        <w:rPr>
          <w:rFonts w:ascii="Arial" w:hAnsi="Arial"/>
          <w:color w:val="0A77B3"/>
        </w:rPr>
        <w:t>EDF 25</w:t>
      </w:r>
      <w:r w:rsidRPr="00D82D30">
        <w:rPr>
          <w:rFonts w:ascii="Arial" w:hAnsi="Arial"/>
          <w:color w:val="0A77B3"/>
          <w:vertAlign w:val="superscript"/>
        </w:rPr>
        <w:t>th</w:t>
      </w:r>
      <w:r>
        <w:rPr>
          <w:rFonts w:ascii="Arial" w:hAnsi="Arial"/>
          <w:color w:val="0A77B3"/>
        </w:rPr>
        <w:t xml:space="preserve"> Anniversary</w:t>
      </w:r>
    </w:p>
    <w:p w14:paraId="27291096" w14:textId="0DDEB54C" w:rsidR="00D82D30" w:rsidRDefault="00D82D30" w:rsidP="00D82D30">
      <w:pPr>
        <w:rPr>
          <w:lang w:val="en-US"/>
        </w:rPr>
      </w:pPr>
      <w:r>
        <w:rPr>
          <w:lang w:val="en-US"/>
        </w:rPr>
        <w:t>In 2022 our Organisation will celebrate its 25 anniversary. In view of this celebration the youth committee should be present and propose also an activity and be present as speakers active actors in the over all plans.</w:t>
      </w:r>
    </w:p>
    <w:p w14:paraId="48172663" w14:textId="77777777" w:rsidR="00D82D30" w:rsidRDefault="00D82D30" w:rsidP="00D82D30">
      <w:pPr>
        <w:pStyle w:val="Heading2"/>
        <w:rPr>
          <w:rFonts w:ascii="Arial" w:hAnsi="Arial"/>
          <w:color w:val="0A77B3"/>
        </w:rPr>
      </w:pPr>
    </w:p>
    <w:p w14:paraId="33DDD577" w14:textId="131C8496" w:rsidR="00D82D30" w:rsidRPr="00D82D30" w:rsidRDefault="00D82D30" w:rsidP="00D82D30">
      <w:pPr>
        <w:pStyle w:val="Heading2"/>
        <w:rPr>
          <w:rFonts w:ascii="Arial" w:hAnsi="Arial"/>
          <w:color w:val="0A77B3"/>
        </w:rPr>
      </w:pPr>
      <w:r w:rsidRPr="00D82D30">
        <w:rPr>
          <w:rFonts w:ascii="Arial" w:hAnsi="Arial"/>
          <w:color w:val="0A77B3"/>
        </w:rPr>
        <w:t>The 6th European Parliament of Persons with Disabilities</w:t>
      </w:r>
    </w:p>
    <w:p w14:paraId="52E1C15B" w14:textId="5BC429B9" w:rsidR="00D82D30" w:rsidRDefault="00D82D30" w:rsidP="00D82D30">
      <w:pPr>
        <w:rPr>
          <w:lang w:val="en-US"/>
        </w:rPr>
      </w:pPr>
      <w:r>
        <w:rPr>
          <w:lang w:val="en-US"/>
        </w:rPr>
        <w:t>In the second half of next year EDF aims to organizing the 6</w:t>
      </w:r>
      <w:r w:rsidRPr="00D82D30">
        <w:rPr>
          <w:vertAlign w:val="superscript"/>
          <w:lang w:val="en-US"/>
        </w:rPr>
        <w:t>th</w:t>
      </w:r>
      <w:r>
        <w:rPr>
          <w:lang w:val="en-US"/>
        </w:rPr>
        <w:t xml:space="preserve"> European Parliament of Persons with Disabilities. The Youth Committee should aim to being present, to include young people in each national delegation and have a speaker during one of the panels during the event.</w:t>
      </w:r>
    </w:p>
    <w:p w14:paraId="59F9443B" w14:textId="77777777" w:rsidR="00D82D30" w:rsidRDefault="00D82D30" w:rsidP="00D82D30">
      <w:pPr>
        <w:pStyle w:val="Heading2"/>
      </w:pPr>
    </w:p>
    <w:p w14:paraId="4EEFEBF6" w14:textId="491C33BA" w:rsidR="00D82D30" w:rsidRPr="00D82D30" w:rsidRDefault="00D82D30" w:rsidP="00D82D30">
      <w:pPr>
        <w:pStyle w:val="Heading2"/>
        <w:rPr>
          <w:rFonts w:ascii="Arial" w:hAnsi="Arial"/>
          <w:color w:val="0A77B3"/>
        </w:rPr>
      </w:pPr>
      <w:r w:rsidRPr="00D82D30">
        <w:rPr>
          <w:rFonts w:ascii="Arial" w:hAnsi="Arial"/>
          <w:color w:val="0A77B3"/>
        </w:rPr>
        <w:t>European Youth Event</w:t>
      </w:r>
    </w:p>
    <w:p w14:paraId="653C100F" w14:textId="77777777" w:rsidR="00D82D30" w:rsidRDefault="00D82D30" w:rsidP="00D82D30">
      <w:pPr>
        <w:rPr>
          <w:lang w:val="en-US"/>
        </w:rPr>
      </w:pPr>
      <w:r>
        <w:rPr>
          <w:lang w:val="en-US"/>
        </w:rPr>
        <w:t xml:space="preserve">Like the previous years we will aim to continue our cooperation with the Youth Outreach Unit of the European Parliament to organize at least one event around the topic of the year. We will further aim on advocating towards more accessible activities within the event and that </w:t>
      </w:r>
      <w:r>
        <w:rPr>
          <w:lang w:val="en-US"/>
        </w:rPr>
        <w:lastRenderedPageBreak/>
        <w:t>the European Parliament commits to provide with Sign Interpretation and Speech to text for more activities that the one organised with us.</w:t>
      </w:r>
    </w:p>
    <w:p w14:paraId="6C642B85" w14:textId="77777777" w:rsidR="00D82D30" w:rsidRDefault="00D82D30" w:rsidP="00D82D30">
      <w:pPr>
        <w:pStyle w:val="Heading2"/>
      </w:pPr>
    </w:p>
    <w:p w14:paraId="4C410B88" w14:textId="043E7D93" w:rsidR="00D82D30" w:rsidRPr="00D82D30" w:rsidRDefault="00D82D30" w:rsidP="00D82D30">
      <w:pPr>
        <w:pStyle w:val="Heading2"/>
        <w:rPr>
          <w:rFonts w:ascii="Arial" w:hAnsi="Arial"/>
          <w:color w:val="0A77B3"/>
        </w:rPr>
      </w:pPr>
      <w:r w:rsidRPr="00D82D30">
        <w:rPr>
          <w:rFonts w:ascii="Arial" w:hAnsi="Arial"/>
          <w:color w:val="0A77B3"/>
        </w:rPr>
        <w:t>Communications</w:t>
      </w:r>
    </w:p>
    <w:p w14:paraId="76643273" w14:textId="59E67338" w:rsidR="00D82D30" w:rsidRDefault="00D82D30" w:rsidP="00D82D30">
      <w:pPr>
        <w:rPr>
          <w:lang w:val="en-US"/>
        </w:rPr>
      </w:pPr>
      <w:r>
        <w:rPr>
          <w:lang w:val="en-US"/>
        </w:rPr>
        <w:t>The Youth Committee will help to prepare an issue of the EDF Newsletter dedicated to youth issues. They will also prepare messages for the International Youth Day on Agust 12</w:t>
      </w:r>
      <w:r w:rsidRPr="00621D26">
        <w:rPr>
          <w:vertAlign w:val="superscript"/>
          <w:lang w:val="en-US"/>
        </w:rPr>
        <w:t>th</w:t>
      </w:r>
      <w:r>
        <w:rPr>
          <w:lang w:val="en-US"/>
        </w:rPr>
        <w:t xml:space="preserve"> and messages for the European Day of Persons with Disabilities.</w:t>
      </w:r>
    </w:p>
    <w:p w14:paraId="78DF0661" w14:textId="77777777" w:rsidR="00D82D30" w:rsidRDefault="00D82D30" w:rsidP="00D82D30">
      <w:pPr>
        <w:rPr>
          <w:lang w:val="en-US"/>
        </w:rPr>
      </w:pPr>
    </w:p>
    <w:p w14:paraId="7CF06201" w14:textId="7577BCC0" w:rsidR="00D82D30" w:rsidRPr="00D82D30" w:rsidRDefault="00D82D30" w:rsidP="00D82D30">
      <w:pPr>
        <w:pStyle w:val="Heading2"/>
        <w:rPr>
          <w:rFonts w:ascii="Arial" w:hAnsi="Arial"/>
          <w:color w:val="0A77B3"/>
        </w:rPr>
      </w:pPr>
      <w:r w:rsidRPr="00D82D30">
        <w:rPr>
          <w:rFonts w:ascii="Arial" w:hAnsi="Arial"/>
          <w:color w:val="0A77B3"/>
        </w:rPr>
        <w:t xml:space="preserve">Youth issues </w:t>
      </w:r>
      <w:r>
        <w:rPr>
          <w:rFonts w:ascii="Arial" w:hAnsi="Arial"/>
          <w:color w:val="0A77B3"/>
        </w:rPr>
        <w:t>main</w:t>
      </w:r>
      <w:r w:rsidRPr="00D82D30">
        <w:rPr>
          <w:rFonts w:ascii="Arial" w:hAnsi="Arial"/>
          <w:color w:val="0A77B3"/>
        </w:rPr>
        <w:t>streamed within EDF</w:t>
      </w:r>
    </w:p>
    <w:p w14:paraId="2CECC6DC" w14:textId="77777777" w:rsidR="00D82D30" w:rsidRDefault="00D82D30" w:rsidP="00D82D30">
      <w:pPr>
        <w:rPr>
          <w:lang w:val="en-US"/>
        </w:rPr>
      </w:pPr>
      <w:r>
        <w:rPr>
          <w:lang w:val="en-US"/>
        </w:rPr>
        <w:t>The Youth Committee will have its byanual meetings in Brussels for the European Day of Persons with Disabilities and another one somewhere in the EU during the 1</w:t>
      </w:r>
      <w:r w:rsidRPr="00621D26">
        <w:rPr>
          <w:vertAlign w:val="superscript"/>
          <w:lang w:val="en-US"/>
        </w:rPr>
        <w:t>st</w:t>
      </w:r>
      <w:r>
        <w:rPr>
          <w:lang w:val="en-US"/>
        </w:rPr>
        <w:t xml:space="preserve"> half of the Year. The Chair will attend also the EDF statutory Meetings such as the Annual General Assembly and the Board of Directors meetings in Spring and Autumn. The Chair attends also the meetings of the Social Committee and Inclusion and is active in bringing input. The Youth Committee will give input on the ongoing policies dealt with by our organisations</w:t>
      </w:r>
    </w:p>
    <w:p w14:paraId="1295C190" w14:textId="77777777" w:rsidR="00D82D30" w:rsidRDefault="00D82D30" w:rsidP="00D82D30">
      <w:pPr>
        <w:rPr>
          <w:lang w:val="en-US"/>
        </w:rPr>
      </w:pPr>
      <w:r>
        <w:rPr>
          <w:lang w:val="en-US"/>
        </w:rPr>
        <w:t>Attention will be given to:</w:t>
      </w:r>
    </w:p>
    <w:p w14:paraId="162F6A69" w14:textId="77777777" w:rsidR="00D82D30" w:rsidRPr="006B4EB4" w:rsidRDefault="00D82D30" w:rsidP="00D82D30">
      <w:pPr>
        <w:pStyle w:val="ListParagraph"/>
        <w:numPr>
          <w:ilvl w:val="0"/>
          <w:numId w:val="21"/>
        </w:numPr>
        <w:spacing w:after="160" w:line="259" w:lineRule="auto"/>
        <w:jc w:val="left"/>
      </w:pPr>
      <w:r w:rsidRPr="006B4EB4">
        <w:t>Toolkit on Erasmus+ and European Solidarity Corps</w:t>
      </w:r>
    </w:p>
    <w:p w14:paraId="3412015B" w14:textId="77777777" w:rsidR="00D82D30" w:rsidRPr="006B4EB4" w:rsidRDefault="00D82D30" w:rsidP="00D82D30">
      <w:pPr>
        <w:pStyle w:val="ListParagraph"/>
        <w:numPr>
          <w:ilvl w:val="0"/>
          <w:numId w:val="21"/>
        </w:numPr>
        <w:spacing w:after="160" w:line="259" w:lineRule="auto"/>
        <w:jc w:val="left"/>
      </w:pPr>
      <w:r w:rsidRPr="006B4EB4">
        <w:t>Engaging in activities to help the implementation of Erasmus+ and European Solidarity Corps Programmes</w:t>
      </w:r>
    </w:p>
    <w:p w14:paraId="4DB182C1" w14:textId="35FAF8DB" w:rsidR="00D82D30" w:rsidRPr="00EC3BCB" w:rsidRDefault="00D82D30" w:rsidP="00EC3BCB">
      <w:pPr>
        <w:pStyle w:val="ListParagraph"/>
        <w:numPr>
          <w:ilvl w:val="0"/>
          <w:numId w:val="21"/>
        </w:numPr>
        <w:spacing w:after="160" w:line="259" w:lineRule="auto"/>
        <w:jc w:val="left"/>
        <w:rPr>
          <w:rFonts w:cstheme="minorBidi"/>
          <w:sz w:val="22"/>
          <w:szCs w:val="22"/>
        </w:rPr>
      </w:pPr>
      <w:r w:rsidRPr="006B4EB4">
        <w:rPr>
          <w:rFonts w:cs="Arial"/>
        </w:rPr>
        <w:t>Review of the Quality Framework for Traineeships</w:t>
      </w:r>
    </w:p>
    <w:p w14:paraId="2DF1F64A" w14:textId="77777777" w:rsidR="00D82D30" w:rsidRDefault="00D82D30" w:rsidP="00D82D30">
      <w:pPr>
        <w:rPr>
          <w:lang w:val="en-US"/>
        </w:rPr>
      </w:pPr>
    </w:p>
    <w:p w14:paraId="368235FF" w14:textId="77777777" w:rsidR="00D82D30" w:rsidRPr="00EC3BCB" w:rsidRDefault="00D82D30" w:rsidP="00D82D30">
      <w:pPr>
        <w:pStyle w:val="Heading2"/>
        <w:rPr>
          <w:rFonts w:ascii="Arial" w:hAnsi="Arial"/>
          <w:color w:val="0A77B3"/>
        </w:rPr>
      </w:pPr>
      <w:r w:rsidRPr="00EC3BCB">
        <w:rPr>
          <w:rFonts w:ascii="Arial" w:hAnsi="Arial"/>
          <w:color w:val="0A77B3"/>
        </w:rPr>
        <w:t>The Conference on the Future of Europe</w:t>
      </w:r>
    </w:p>
    <w:p w14:paraId="3C5E4B8F" w14:textId="258218A6" w:rsidR="00D82D30" w:rsidRDefault="00D82D30" w:rsidP="00D82D30">
      <w:pPr>
        <w:rPr>
          <w:lang w:val="en-US"/>
        </w:rPr>
      </w:pPr>
      <w:r>
        <w:rPr>
          <w:lang w:val="en-US"/>
        </w:rPr>
        <w:t>The Committee will be active in the final phase of the Conference on the Future of Europe and the 25 Procent Project where EDF is a partner. Will participate in the final event end of March and in any other way possible.</w:t>
      </w:r>
    </w:p>
    <w:p w14:paraId="0AF852D4" w14:textId="77777777" w:rsidR="00EC3BCB" w:rsidRDefault="00EC3BCB" w:rsidP="00D82D30">
      <w:pPr>
        <w:rPr>
          <w:lang w:val="en-US"/>
        </w:rPr>
      </w:pPr>
    </w:p>
    <w:p w14:paraId="08857136" w14:textId="77777777" w:rsidR="00D82D30" w:rsidRPr="00EC3BCB" w:rsidRDefault="00D82D30" w:rsidP="00D82D30">
      <w:pPr>
        <w:pStyle w:val="Heading2"/>
        <w:rPr>
          <w:rFonts w:ascii="Arial" w:hAnsi="Arial"/>
          <w:color w:val="0A77B3"/>
        </w:rPr>
      </w:pPr>
      <w:r w:rsidRPr="00EC3BCB">
        <w:rPr>
          <w:rFonts w:ascii="Arial" w:hAnsi="Arial"/>
          <w:color w:val="0A77B3"/>
        </w:rPr>
        <w:t>Setting up a new Youth Committee</w:t>
      </w:r>
    </w:p>
    <w:p w14:paraId="0254EA4E" w14:textId="77777777" w:rsidR="00D82D30" w:rsidRDefault="00D82D30" w:rsidP="00D82D30">
      <w:pPr>
        <w:rPr>
          <w:lang w:val="en-US"/>
        </w:rPr>
      </w:pPr>
      <w:r>
        <w:rPr>
          <w:lang w:val="en-US"/>
        </w:rPr>
        <w:t>In 2021 the mandate of the present Youth Committee was extended with one year, as elections of the Governing Bodies could not be held. In 2022 these elections are foreseen and the Women and Youth Committees will be re-established. The revised terms of Reference will be used to select the new members of the youth Committee.</w:t>
      </w:r>
    </w:p>
    <w:p w14:paraId="0EAD62F8" w14:textId="5BDB606D" w:rsidR="00D82D30" w:rsidRDefault="00D82D30" w:rsidP="00D82D30">
      <w:pPr>
        <w:rPr>
          <w:lang w:val="en-US"/>
        </w:rPr>
      </w:pPr>
      <w:r>
        <w:rPr>
          <w:lang w:val="en-US"/>
        </w:rPr>
        <w:t>The New Youth Committee will receive an induction from EDF secretariat as well as from one or two members of the present Youth Committee. They will also have the opportunity to receiving training from EDF Staff, the YC and the European Youth  Forum on Youth Rights and the rights of Persons with Disabilities.</w:t>
      </w:r>
    </w:p>
    <w:p w14:paraId="0A0F2D1D" w14:textId="77777777" w:rsidR="00484787" w:rsidRDefault="00484787" w:rsidP="00D82D30">
      <w:pPr>
        <w:rPr>
          <w:lang w:val="en-US"/>
        </w:rPr>
      </w:pPr>
    </w:p>
    <w:p w14:paraId="539F23AB" w14:textId="11D670F0" w:rsidR="00484787" w:rsidRPr="00484787" w:rsidRDefault="00484787" w:rsidP="00484787">
      <w:pPr>
        <w:pStyle w:val="Heading2"/>
        <w:rPr>
          <w:rFonts w:ascii="Arial" w:hAnsi="Arial"/>
          <w:color w:val="0A77B3"/>
        </w:rPr>
      </w:pPr>
      <w:r w:rsidRPr="00484787">
        <w:rPr>
          <w:rFonts w:ascii="Arial" w:hAnsi="Arial"/>
          <w:color w:val="0A77B3"/>
        </w:rPr>
        <w:lastRenderedPageBreak/>
        <w:t>The Youth Committee as a Resource</w:t>
      </w:r>
    </w:p>
    <w:p w14:paraId="6AB77436" w14:textId="77F4A3CA" w:rsidR="00484787" w:rsidRDefault="00484787" w:rsidP="00D82D30">
      <w:pPr>
        <w:rPr>
          <w:lang w:val="en-US"/>
        </w:rPr>
      </w:pPr>
      <w:r>
        <w:rPr>
          <w:lang w:val="en-US"/>
        </w:rPr>
        <w:t xml:space="preserve">The members of the Youth Committee have expertise in a wide range of areas linked to youth and disability rights. They can provide workshop speeches testimonials during events of members or EU Institutions or provide a workshop or other type of activity to the membership on request. </w:t>
      </w:r>
    </w:p>
    <w:p w14:paraId="7F3C68A7" w14:textId="1FF40CC1" w:rsidR="001D3913" w:rsidRDefault="001D3913" w:rsidP="00D82D30">
      <w:pPr>
        <w:rPr>
          <w:lang w:val="en-US"/>
        </w:rPr>
      </w:pPr>
      <w:r>
        <w:rPr>
          <w:lang w:val="en-US"/>
        </w:rPr>
        <w:t>Members of the Youth Committee are also present in advisory boards of different Youth projects such as the SIEM advisory Board Creating Training Courses for the Volunteers Going on a volunteering project within the European Solidarity Corps, etc.</w:t>
      </w:r>
    </w:p>
    <w:p w14:paraId="47B610E4" w14:textId="24C585EE" w:rsidR="00484787" w:rsidRDefault="00484787" w:rsidP="00D82D30">
      <w:pPr>
        <w:rPr>
          <w:lang w:val="en-US"/>
        </w:rPr>
      </w:pPr>
    </w:p>
    <w:p w14:paraId="0AA8949D" w14:textId="5AC5F917" w:rsidR="005938B6" w:rsidRPr="000C0C8E" w:rsidRDefault="005938B6" w:rsidP="005938B6">
      <w:pPr>
        <w:rPr>
          <w:rStyle w:val="BookTitle"/>
          <w:b w:val="0"/>
          <w:bCs w:val="0"/>
          <w:smallCaps w:val="0"/>
          <w:spacing w:val="0"/>
          <w:lang w:val="en-US"/>
        </w:rPr>
      </w:pPr>
    </w:p>
    <w:sectPr w:rsidR="005938B6" w:rsidRPr="000C0C8E" w:rsidSect="00A62797">
      <w:headerReference w:type="even" r:id="rId8"/>
      <w:headerReference w:type="default" r:id="rId9"/>
      <w:footerReference w:type="even" r:id="rId10"/>
      <w:footerReference w:type="default" r:id="rId11"/>
      <w:headerReference w:type="first" r:id="rId12"/>
      <w:footerReference w:type="first" r:id="rId13"/>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5348" w14:textId="77777777" w:rsidR="00001BC2" w:rsidRDefault="00001BC2" w:rsidP="001F5172">
      <w:r>
        <w:separator/>
      </w:r>
    </w:p>
  </w:endnote>
  <w:endnote w:type="continuationSeparator" w:id="0">
    <w:p w14:paraId="5B2F4F5A" w14:textId="77777777" w:rsidR="00001BC2" w:rsidRDefault="00001BC2"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2D54" w14:textId="77777777"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9484" w14:textId="77777777" w:rsidR="00837921" w:rsidRDefault="00837921">
    <w:pPr>
      <w:pStyle w:val="Footer"/>
      <w:jc w:val="center"/>
      <w:rPr>
        <w:noProof/>
      </w:rPr>
    </w:pPr>
    <w:r>
      <w:fldChar w:fldCharType="begin"/>
    </w:r>
    <w:r>
      <w:instrText xml:space="preserve"> PAGE   \* MERGEFORMAT </w:instrText>
    </w:r>
    <w:r>
      <w:fldChar w:fldCharType="separate"/>
    </w:r>
    <w:r w:rsidR="00577488">
      <w:rPr>
        <w:noProof/>
      </w:rPr>
      <w:t>2</w:t>
    </w:r>
    <w:r>
      <w:rPr>
        <w:noProof/>
      </w:rPr>
      <w:fldChar w:fldCharType="end"/>
    </w:r>
  </w:p>
  <w:p w14:paraId="388D7514" w14:textId="77777777" w:rsidR="00837921" w:rsidRDefault="00A2199C">
    <w:pPr>
      <w:pStyle w:val="Footer"/>
    </w:pPr>
    <w:r>
      <w:rPr>
        <w:noProof/>
        <w:lang w:eastAsia="fr-BE"/>
      </w:rPr>
      <w:drawing>
        <wp:inline distT="0" distB="0" distL="0" distR="0" wp14:anchorId="0628264F" wp14:editId="4D52624A">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B5B5" w14:textId="77777777"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F7AC" w14:textId="77777777" w:rsidR="00001BC2" w:rsidRDefault="00001BC2" w:rsidP="001F5172">
      <w:r>
        <w:separator/>
      </w:r>
    </w:p>
  </w:footnote>
  <w:footnote w:type="continuationSeparator" w:id="0">
    <w:p w14:paraId="32A0C0BB" w14:textId="77777777" w:rsidR="00001BC2" w:rsidRDefault="00001BC2"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32AC" w14:textId="77777777"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F5BB" w14:textId="77777777"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47376269" wp14:editId="32C73FCB">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20E72CEF" wp14:editId="5FB38CA9">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9F4" w14:textId="77777777"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4C98"/>
    <w:multiLevelType w:val="hybridMultilevel"/>
    <w:tmpl w:val="266A1574"/>
    <w:lvl w:ilvl="0" w:tplc="48462F5C">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65AB8"/>
    <w:multiLevelType w:val="multilevel"/>
    <w:tmpl w:val="185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B36496"/>
    <w:multiLevelType w:val="multilevel"/>
    <w:tmpl w:val="178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33AFA"/>
    <w:multiLevelType w:val="hybridMultilevel"/>
    <w:tmpl w:val="7C08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9626E"/>
    <w:multiLevelType w:val="multilevel"/>
    <w:tmpl w:val="D7B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847A4"/>
    <w:multiLevelType w:val="hybridMultilevel"/>
    <w:tmpl w:val="7C08A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634E8C"/>
    <w:multiLevelType w:val="hybridMultilevel"/>
    <w:tmpl w:val="41665F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2F5BA5"/>
    <w:multiLevelType w:val="hybridMultilevel"/>
    <w:tmpl w:val="1D56D5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5734AB8"/>
    <w:multiLevelType w:val="multilevel"/>
    <w:tmpl w:val="539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6BC5E9C"/>
    <w:multiLevelType w:val="multilevel"/>
    <w:tmpl w:val="B552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5"/>
  </w:num>
  <w:num w:numId="3">
    <w:abstractNumId w:val="16"/>
  </w:num>
  <w:num w:numId="4">
    <w:abstractNumId w:val="5"/>
  </w:num>
  <w:num w:numId="5">
    <w:abstractNumId w:val="5"/>
  </w:num>
  <w:num w:numId="6">
    <w:abstractNumId w:val="14"/>
  </w:num>
  <w:num w:numId="7">
    <w:abstractNumId w:val="18"/>
  </w:num>
  <w:num w:numId="8">
    <w:abstractNumId w:val="10"/>
  </w:num>
  <w:num w:numId="9">
    <w:abstractNumId w:val="2"/>
  </w:num>
  <w:num w:numId="10">
    <w:abstractNumId w:val="8"/>
  </w:num>
  <w:num w:numId="11">
    <w:abstractNumId w:val="6"/>
  </w:num>
  <w:num w:numId="12">
    <w:abstractNumId w:val="7"/>
  </w:num>
  <w:num w:numId="13">
    <w:abstractNumId w:val="11"/>
  </w:num>
  <w:num w:numId="14">
    <w:abstractNumId w:val="17"/>
  </w:num>
  <w:num w:numId="15">
    <w:abstractNumId w:val="15"/>
  </w:num>
  <w:num w:numId="16">
    <w:abstractNumId w:val="0"/>
  </w:num>
  <w:num w:numId="17">
    <w:abstractNumId w:val="1"/>
  </w:num>
  <w:num w:numId="18">
    <w:abstractNumId w:val="3"/>
  </w:num>
  <w:num w:numId="19">
    <w:abstractNumId w:val="9"/>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DD"/>
    <w:rsid w:val="00001BC2"/>
    <w:rsid w:val="000034F9"/>
    <w:rsid w:val="00047133"/>
    <w:rsid w:val="0005331A"/>
    <w:rsid w:val="000C0C8E"/>
    <w:rsid w:val="00191530"/>
    <w:rsid w:val="00193513"/>
    <w:rsid w:val="001D3913"/>
    <w:rsid w:val="001D5784"/>
    <w:rsid w:val="001F5172"/>
    <w:rsid w:val="00201D63"/>
    <w:rsid w:val="00236C59"/>
    <w:rsid w:val="00237F33"/>
    <w:rsid w:val="0027501D"/>
    <w:rsid w:val="00276FCE"/>
    <w:rsid w:val="002B1A36"/>
    <w:rsid w:val="002C262B"/>
    <w:rsid w:val="002C785D"/>
    <w:rsid w:val="002E6F26"/>
    <w:rsid w:val="0036539F"/>
    <w:rsid w:val="00383453"/>
    <w:rsid w:val="003B2AB0"/>
    <w:rsid w:val="003F6D4D"/>
    <w:rsid w:val="00427BBF"/>
    <w:rsid w:val="004528D4"/>
    <w:rsid w:val="00484787"/>
    <w:rsid w:val="004B09C5"/>
    <w:rsid w:val="00577488"/>
    <w:rsid w:val="005938B6"/>
    <w:rsid w:val="005D2194"/>
    <w:rsid w:val="005F19CC"/>
    <w:rsid w:val="0065321B"/>
    <w:rsid w:val="0066366A"/>
    <w:rsid w:val="00674D53"/>
    <w:rsid w:val="00702AE9"/>
    <w:rsid w:val="007053A5"/>
    <w:rsid w:val="007066DD"/>
    <w:rsid w:val="00740F00"/>
    <w:rsid w:val="00837921"/>
    <w:rsid w:val="00876694"/>
    <w:rsid w:val="008E36E1"/>
    <w:rsid w:val="008F4858"/>
    <w:rsid w:val="009020B0"/>
    <w:rsid w:val="00902ECF"/>
    <w:rsid w:val="00927E23"/>
    <w:rsid w:val="009415A4"/>
    <w:rsid w:val="009B08DC"/>
    <w:rsid w:val="00A0347F"/>
    <w:rsid w:val="00A06F9F"/>
    <w:rsid w:val="00A1762C"/>
    <w:rsid w:val="00A2199C"/>
    <w:rsid w:val="00A56FB0"/>
    <w:rsid w:val="00A62797"/>
    <w:rsid w:val="00A97FCD"/>
    <w:rsid w:val="00B7343D"/>
    <w:rsid w:val="00B842DB"/>
    <w:rsid w:val="00B8541D"/>
    <w:rsid w:val="00BC38E2"/>
    <w:rsid w:val="00BD3DDD"/>
    <w:rsid w:val="00BF229C"/>
    <w:rsid w:val="00C07FEE"/>
    <w:rsid w:val="00C3560B"/>
    <w:rsid w:val="00C46439"/>
    <w:rsid w:val="00C60412"/>
    <w:rsid w:val="00C63625"/>
    <w:rsid w:val="00D82D30"/>
    <w:rsid w:val="00DC4BD9"/>
    <w:rsid w:val="00E372F2"/>
    <w:rsid w:val="00EA327F"/>
    <w:rsid w:val="00EC3BCB"/>
    <w:rsid w:val="00F12557"/>
    <w:rsid w:val="00F17252"/>
    <w:rsid w:val="00F8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49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 w:type="paragraph" w:styleId="NormalWeb">
    <w:name w:val="Normal (Web)"/>
    <w:basedOn w:val="Normal"/>
    <w:uiPriority w:val="99"/>
    <w:semiHidden/>
    <w:unhideWhenUsed/>
    <w:rsid w:val="00B8541D"/>
    <w:pPr>
      <w:spacing w:before="100" w:beforeAutospacing="1" w:after="100" w:afterAutospacing="1"/>
      <w:jc w:val="left"/>
    </w:pPr>
    <w:rPr>
      <w:rFonts w:ascii="Times New Roman" w:eastAsia="Times New Roman" w:hAnsi="Times New Roman"/>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8146">
      <w:bodyDiv w:val="1"/>
      <w:marLeft w:val="0"/>
      <w:marRight w:val="0"/>
      <w:marTop w:val="0"/>
      <w:marBottom w:val="0"/>
      <w:divBdr>
        <w:top w:val="none" w:sz="0" w:space="0" w:color="auto"/>
        <w:left w:val="none" w:sz="0" w:space="0" w:color="auto"/>
        <w:bottom w:val="none" w:sz="0" w:space="0" w:color="auto"/>
        <w:right w:val="none" w:sz="0" w:space="0" w:color="auto"/>
      </w:divBdr>
    </w:div>
    <w:div w:id="658316069">
      <w:bodyDiv w:val="1"/>
      <w:marLeft w:val="0"/>
      <w:marRight w:val="0"/>
      <w:marTop w:val="0"/>
      <w:marBottom w:val="0"/>
      <w:divBdr>
        <w:top w:val="none" w:sz="0" w:space="0" w:color="auto"/>
        <w:left w:val="none" w:sz="0" w:space="0" w:color="auto"/>
        <w:bottom w:val="none" w:sz="0" w:space="0" w:color="auto"/>
        <w:right w:val="none" w:sz="0" w:space="0" w:color="auto"/>
      </w:divBdr>
    </w:div>
    <w:div w:id="1027878015">
      <w:bodyDiv w:val="1"/>
      <w:marLeft w:val="0"/>
      <w:marRight w:val="0"/>
      <w:marTop w:val="0"/>
      <w:marBottom w:val="0"/>
      <w:divBdr>
        <w:top w:val="none" w:sz="0" w:space="0" w:color="auto"/>
        <w:left w:val="none" w:sz="0" w:space="0" w:color="auto"/>
        <w:bottom w:val="none" w:sz="0" w:space="0" w:color="auto"/>
        <w:right w:val="none" w:sz="0" w:space="0" w:color="auto"/>
      </w:divBdr>
    </w:div>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B38D-5C52-435F-89FE-16B56953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4778</CharactersWithSpaces>
  <SharedDoc>false</SharedDoc>
  <HLinks>
    <vt:vector size="42" baseType="variant">
      <vt:variant>
        <vt:i4>1441852</vt:i4>
      </vt:variant>
      <vt:variant>
        <vt:i4>38</vt:i4>
      </vt:variant>
      <vt:variant>
        <vt:i4>0</vt:i4>
      </vt:variant>
      <vt:variant>
        <vt:i4>5</vt:i4>
      </vt:variant>
      <vt:variant>
        <vt:lpwstr/>
      </vt:variant>
      <vt:variant>
        <vt:lpwstr>_Toc315186279</vt:lpwstr>
      </vt:variant>
      <vt:variant>
        <vt:i4>1441852</vt:i4>
      </vt:variant>
      <vt:variant>
        <vt:i4>32</vt:i4>
      </vt:variant>
      <vt:variant>
        <vt:i4>0</vt:i4>
      </vt:variant>
      <vt:variant>
        <vt:i4>5</vt:i4>
      </vt:variant>
      <vt:variant>
        <vt:lpwstr/>
      </vt:variant>
      <vt:variant>
        <vt:lpwstr>_Toc315186278</vt:lpwstr>
      </vt:variant>
      <vt:variant>
        <vt:i4>1441852</vt:i4>
      </vt:variant>
      <vt:variant>
        <vt:i4>26</vt:i4>
      </vt:variant>
      <vt:variant>
        <vt:i4>0</vt:i4>
      </vt:variant>
      <vt:variant>
        <vt:i4>5</vt:i4>
      </vt:variant>
      <vt:variant>
        <vt:lpwstr/>
      </vt:variant>
      <vt:variant>
        <vt:lpwstr>_Toc315186277</vt:lpwstr>
      </vt:variant>
      <vt:variant>
        <vt:i4>1441852</vt:i4>
      </vt:variant>
      <vt:variant>
        <vt:i4>20</vt:i4>
      </vt:variant>
      <vt:variant>
        <vt:i4>0</vt:i4>
      </vt:variant>
      <vt:variant>
        <vt:i4>5</vt:i4>
      </vt:variant>
      <vt:variant>
        <vt:lpwstr/>
      </vt:variant>
      <vt:variant>
        <vt:lpwstr>_Toc315186276</vt:lpwstr>
      </vt:variant>
      <vt:variant>
        <vt:i4>1441852</vt:i4>
      </vt:variant>
      <vt:variant>
        <vt:i4>14</vt:i4>
      </vt:variant>
      <vt:variant>
        <vt:i4>0</vt:i4>
      </vt:variant>
      <vt:variant>
        <vt:i4>5</vt:i4>
      </vt:variant>
      <vt:variant>
        <vt:lpwstr/>
      </vt:variant>
      <vt:variant>
        <vt:lpwstr>_Toc315186275</vt:lpwstr>
      </vt:variant>
      <vt:variant>
        <vt:i4>1441852</vt:i4>
      </vt:variant>
      <vt:variant>
        <vt:i4>8</vt:i4>
      </vt:variant>
      <vt:variant>
        <vt:i4>0</vt:i4>
      </vt:variant>
      <vt:variant>
        <vt:i4>5</vt:i4>
      </vt:variant>
      <vt:variant>
        <vt:lpwstr/>
      </vt:variant>
      <vt:variant>
        <vt:lpwstr>_Toc315186274</vt:lpwstr>
      </vt:variant>
      <vt:variant>
        <vt:i4>1441852</vt:i4>
      </vt:variant>
      <vt:variant>
        <vt:i4>2</vt:i4>
      </vt:variant>
      <vt:variant>
        <vt:i4>0</vt:i4>
      </vt:variant>
      <vt:variant>
        <vt:i4>5</vt:i4>
      </vt:variant>
      <vt:variant>
        <vt:lpwstr/>
      </vt:variant>
      <vt:variant>
        <vt:lpwstr>_Toc315186273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2021-06-01T08:03:00Z</dcterms:created>
  <dcterms:modified xsi:type="dcterms:W3CDTF">2021-06-01T08:22:00Z</dcterms:modified>
</cp:coreProperties>
</file>