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DB77968" w:rsidR="00D11DAB" w:rsidRPr="00D11DAB" w:rsidRDefault="0097039E" w:rsidP="00D11DAB">
      <w:pPr>
        <w:pStyle w:val="Title"/>
        <w:spacing w:before="360"/>
      </w:pPr>
      <w:bookmarkStart w:id="0" w:name="_Hlk71276079"/>
      <w:r>
        <w:t>V</w:t>
      </w:r>
      <w:r w:rsidR="009C5D57">
        <w:t>iolence against women and girls with disabilities</w:t>
      </w:r>
      <w:r>
        <w:t xml:space="preserve"> in the European Union</w:t>
      </w:r>
    </w:p>
    <w:bookmarkEnd w:id="0"/>
    <w:p w14:paraId="2BCF485D" w14:textId="595F1193" w:rsidR="008054A7" w:rsidRDefault="00E47FF5" w:rsidP="00355289">
      <w:pPr>
        <w:pStyle w:val="Subtitle"/>
        <w:spacing w:before="480"/>
      </w:pPr>
      <w:r w:rsidRPr="00606390">
        <w:t xml:space="preserve">European Disability </w:t>
      </w:r>
      <w:r w:rsidR="00606390">
        <w:t>Forum</w:t>
      </w:r>
      <w:r w:rsidR="002E5B3B">
        <w:t xml:space="preserve"> -</w:t>
      </w:r>
      <w:r w:rsidR="00606390">
        <w:t xml:space="preserve"> </w:t>
      </w:r>
      <w:r w:rsidRPr="00606390">
        <w:t>Position Paper</w:t>
      </w:r>
    </w:p>
    <w:p w14:paraId="1C5853C0" w14:textId="55C1EEDB"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9C5D57">
        <w:t xml:space="preserve">May </w:t>
      </w:r>
      <w:r w:rsidR="00606390">
        <w:t>2021</w:t>
      </w:r>
    </w:p>
    <w:p w14:paraId="75770BC9" w14:textId="6CB1EFCE" w:rsidR="00E62CBF" w:rsidRDefault="009C5D57" w:rsidP="00D11DAB">
      <w:pPr>
        <w:spacing w:before="360" w:after="840"/>
        <w:rPr>
          <w:b/>
          <w:bCs/>
          <w:color w:val="FFFFFF" w:themeColor="background1"/>
          <w:sz w:val="28"/>
          <w:szCs w:val="28"/>
        </w:rPr>
      </w:pPr>
      <w:r w:rsidRPr="009C5D57">
        <w:rPr>
          <w:b/>
          <w:bCs/>
          <w:color w:val="FFFFFF" w:themeColor="background1"/>
          <w:sz w:val="28"/>
          <w:szCs w:val="28"/>
        </w:rPr>
        <w:t xml:space="preserve">Recommendations on EU policies to combat violence against women and girls with </w:t>
      </w:r>
      <w:proofErr w:type="gramStart"/>
      <w:r w:rsidRPr="009C5D57">
        <w:rPr>
          <w:b/>
          <w:bCs/>
          <w:color w:val="FFFFFF" w:themeColor="background1"/>
          <w:sz w:val="28"/>
          <w:szCs w:val="28"/>
        </w:rPr>
        <w:t>disabilities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70070129"/>
      <w:r>
        <w:lastRenderedPageBreak/>
        <w:t>Table of Contents</w:t>
      </w:r>
      <w:bookmarkEnd w:id="1"/>
    </w:p>
    <w:p w14:paraId="65AE005B" w14:textId="58EADD64" w:rsidR="00AF7753"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70070129" w:history="1">
        <w:r w:rsidR="00AF7753" w:rsidRPr="0085692D">
          <w:rPr>
            <w:rStyle w:val="Hyperlink"/>
            <w:noProof/>
          </w:rPr>
          <w:t>Table of Contents</w:t>
        </w:r>
        <w:r w:rsidR="00AF7753">
          <w:rPr>
            <w:noProof/>
            <w:webHidden/>
          </w:rPr>
          <w:tab/>
        </w:r>
        <w:r w:rsidR="00AF7753">
          <w:rPr>
            <w:noProof/>
            <w:webHidden/>
          </w:rPr>
          <w:fldChar w:fldCharType="begin"/>
        </w:r>
        <w:r w:rsidR="00AF7753">
          <w:rPr>
            <w:noProof/>
            <w:webHidden/>
          </w:rPr>
          <w:instrText xml:space="preserve"> PAGEREF _Toc70070129 \h </w:instrText>
        </w:r>
        <w:r w:rsidR="00AF7753">
          <w:rPr>
            <w:noProof/>
            <w:webHidden/>
          </w:rPr>
        </w:r>
        <w:r w:rsidR="00AF7753">
          <w:rPr>
            <w:noProof/>
            <w:webHidden/>
          </w:rPr>
          <w:fldChar w:fldCharType="separate"/>
        </w:r>
        <w:r w:rsidR="00E7343A">
          <w:rPr>
            <w:noProof/>
            <w:webHidden/>
          </w:rPr>
          <w:t>2</w:t>
        </w:r>
        <w:r w:rsidR="00AF7753">
          <w:rPr>
            <w:noProof/>
            <w:webHidden/>
          </w:rPr>
          <w:fldChar w:fldCharType="end"/>
        </w:r>
      </w:hyperlink>
    </w:p>
    <w:p w14:paraId="5F509C84" w14:textId="76505241"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0" w:history="1">
        <w:r w:rsidR="00AF7753" w:rsidRPr="0085692D">
          <w:rPr>
            <w:rStyle w:val="Hyperlink"/>
            <w:noProof/>
          </w:rPr>
          <w:t>Introduction</w:t>
        </w:r>
        <w:r w:rsidR="00AF7753">
          <w:rPr>
            <w:noProof/>
            <w:webHidden/>
          </w:rPr>
          <w:tab/>
        </w:r>
        <w:r w:rsidR="00AF7753">
          <w:rPr>
            <w:noProof/>
            <w:webHidden/>
          </w:rPr>
          <w:fldChar w:fldCharType="begin"/>
        </w:r>
        <w:r w:rsidR="00AF7753">
          <w:rPr>
            <w:noProof/>
            <w:webHidden/>
          </w:rPr>
          <w:instrText xml:space="preserve"> PAGEREF _Toc70070130 \h </w:instrText>
        </w:r>
        <w:r w:rsidR="00AF7753">
          <w:rPr>
            <w:noProof/>
            <w:webHidden/>
          </w:rPr>
        </w:r>
        <w:r w:rsidR="00AF7753">
          <w:rPr>
            <w:noProof/>
            <w:webHidden/>
          </w:rPr>
          <w:fldChar w:fldCharType="separate"/>
        </w:r>
        <w:r w:rsidR="00E7343A">
          <w:rPr>
            <w:noProof/>
            <w:webHidden/>
          </w:rPr>
          <w:t>2</w:t>
        </w:r>
        <w:r w:rsidR="00AF7753">
          <w:rPr>
            <w:noProof/>
            <w:webHidden/>
          </w:rPr>
          <w:fldChar w:fldCharType="end"/>
        </w:r>
      </w:hyperlink>
    </w:p>
    <w:p w14:paraId="32915EA7" w14:textId="3250AC16" w:rsidR="00AF7753" w:rsidRDefault="00570B2D">
      <w:pPr>
        <w:pStyle w:val="TOC2"/>
        <w:tabs>
          <w:tab w:val="right" w:leader="dot" w:pos="9016"/>
        </w:tabs>
        <w:rPr>
          <w:rFonts w:asciiTheme="minorHAnsi" w:eastAsiaTheme="minorEastAsia" w:hAnsiTheme="minorHAnsi"/>
          <w:noProof/>
          <w:sz w:val="22"/>
          <w:lang w:val="fr-BE" w:eastAsia="fr-BE"/>
        </w:rPr>
      </w:pPr>
      <w:hyperlink w:anchor="_Toc70070131" w:history="1">
        <w:r w:rsidR="00AF7753" w:rsidRPr="0085692D">
          <w:rPr>
            <w:rStyle w:val="Hyperlink"/>
            <w:noProof/>
          </w:rPr>
          <w:t>Executive Summary</w:t>
        </w:r>
        <w:r w:rsidR="00AF7753">
          <w:rPr>
            <w:noProof/>
            <w:webHidden/>
          </w:rPr>
          <w:tab/>
        </w:r>
        <w:r w:rsidR="00AF7753">
          <w:rPr>
            <w:noProof/>
            <w:webHidden/>
          </w:rPr>
          <w:fldChar w:fldCharType="begin"/>
        </w:r>
        <w:r w:rsidR="00AF7753">
          <w:rPr>
            <w:noProof/>
            <w:webHidden/>
          </w:rPr>
          <w:instrText xml:space="preserve"> PAGEREF _Toc70070131 \h </w:instrText>
        </w:r>
        <w:r w:rsidR="00AF7753">
          <w:rPr>
            <w:noProof/>
            <w:webHidden/>
          </w:rPr>
        </w:r>
        <w:r w:rsidR="00AF7753">
          <w:rPr>
            <w:noProof/>
            <w:webHidden/>
          </w:rPr>
          <w:fldChar w:fldCharType="separate"/>
        </w:r>
        <w:r w:rsidR="00E7343A">
          <w:rPr>
            <w:noProof/>
            <w:webHidden/>
          </w:rPr>
          <w:t>3</w:t>
        </w:r>
        <w:r w:rsidR="00AF7753">
          <w:rPr>
            <w:noProof/>
            <w:webHidden/>
          </w:rPr>
          <w:fldChar w:fldCharType="end"/>
        </w:r>
      </w:hyperlink>
    </w:p>
    <w:p w14:paraId="0DE8F953" w14:textId="39FAEFA2"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2" w:history="1">
        <w:r w:rsidR="00AF7753" w:rsidRPr="0085692D">
          <w:rPr>
            <w:rStyle w:val="Hyperlink"/>
            <w:noProof/>
          </w:rPr>
          <w:t>Easy to Read</w:t>
        </w:r>
        <w:r w:rsidR="00AF7753">
          <w:rPr>
            <w:noProof/>
            <w:webHidden/>
          </w:rPr>
          <w:tab/>
        </w:r>
        <w:r w:rsidR="00AF7753">
          <w:rPr>
            <w:noProof/>
            <w:webHidden/>
          </w:rPr>
          <w:fldChar w:fldCharType="begin"/>
        </w:r>
        <w:r w:rsidR="00AF7753">
          <w:rPr>
            <w:noProof/>
            <w:webHidden/>
          </w:rPr>
          <w:instrText xml:space="preserve"> PAGEREF _Toc70070132 \h </w:instrText>
        </w:r>
        <w:r w:rsidR="00AF7753">
          <w:rPr>
            <w:noProof/>
            <w:webHidden/>
          </w:rPr>
        </w:r>
        <w:r w:rsidR="00AF7753">
          <w:rPr>
            <w:noProof/>
            <w:webHidden/>
          </w:rPr>
          <w:fldChar w:fldCharType="separate"/>
        </w:r>
        <w:r w:rsidR="00E7343A">
          <w:rPr>
            <w:noProof/>
            <w:webHidden/>
          </w:rPr>
          <w:t>5</w:t>
        </w:r>
        <w:r w:rsidR="00AF7753">
          <w:rPr>
            <w:noProof/>
            <w:webHidden/>
          </w:rPr>
          <w:fldChar w:fldCharType="end"/>
        </w:r>
      </w:hyperlink>
    </w:p>
    <w:p w14:paraId="3DB191A9" w14:textId="11643B6D"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3" w:history="1">
        <w:r w:rsidR="00AF7753" w:rsidRPr="0085692D">
          <w:rPr>
            <w:rStyle w:val="Hyperlink"/>
            <w:noProof/>
          </w:rPr>
          <w:t>EU’s obligations to ensure the rights of women and girls with disabilities under the UN Convention on the Rights of Persons with Disabilities</w:t>
        </w:r>
        <w:r w:rsidR="00AF7753">
          <w:rPr>
            <w:noProof/>
            <w:webHidden/>
          </w:rPr>
          <w:tab/>
        </w:r>
        <w:r w:rsidR="00AF7753">
          <w:rPr>
            <w:noProof/>
            <w:webHidden/>
          </w:rPr>
          <w:fldChar w:fldCharType="begin"/>
        </w:r>
        <w:r w:rsidR="00AF7753">
          <w:rPr>
            <w:noProof/>
            <w:webHidden/>
          </w:rPr>
          <w:instrText xml:space="preserve"> PAGEREF _Toc70070133 \h </w:instrText>
        </w:r>
        <w:r w:rsidR="00AF7753">
          <w:rPr>
            <w:noProof/>
            <w:webHidden/>
          </w:rPr>
        </w:r>
        <w:r w:rsidR="00AF7753">
          <w:rPr>
            <w:noProof/>
            <w:webHidden/>
          </w:rPr>
          <w:fldChar w:fldCharType="separate"/>
        </w:r>
        <w:r w:rsidR="00E7343A">
          <w:rPr>
            <w:noProof/>
            <w:webHidden/>
          </w:rPr>
          <w:t>6</w:t>
        </w:r>
        <w:r w:rsidR="00AF7753">
          <w:rPr>
            <w:noProof/>
            <w:webHidden/>
          </w:rPr>
          <w:fldChar w:fldCharType="end"/>
        </w:r>
      </w:hyperlink>
    </w:p>
    <w:p w14:paraId="602DD630" w14:textId="73CB1930"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4" w:history="1">
        <w:r w:rsidR="00AF7753" w:rsidRPr="0085692D">
          <w:rPr>
            <w:rStyle w:val="Hyperlink"/>
            <w:noProof/>
          </w:rPr>
          <w:t>Violence against women and girls with disabilities in the European Union</w:t>
        </w:r>
        <w:r w:rsidR="00AF7753">
          <w:rPr>
            <w:noProof/>
            <w:webHidden/>
          </w:rPr>
          <w:tab/>
        </w:r>
        <w:r w:rsidR="00AF7753">
          <w:rPr>
            <w:noProof/>
            <w:webHidden/>
          </w:rPr>
          <w:fldChar w:fldCharType="begin"/>
        </w:r>
        <w:r w:rsidR="00AF7753">
          <w:rPr>
            <w:noProof/>
            <w:webHidden/>
          </w:rPr>
          <w:instrText xml:space="preserve"> PAGEREF _Toc70070134 \h </w:instrText>
        </w:r>
        <w:r w:rsidR="00AF7753">
          <w:rPr>
            <w:noProof/>
            <w:webHidden/>
          </w:rPr>
        </w:r>
        <w:r w:rsidR="00AF7753">
          <w:rPr>
            <w:noProof/>
            <w:webHidden/>
          </w:rPr>
          <w:fldChar w:fldCharType="separate"/>
        </w:r>
        <w:r w:rsidR="00E7343A">
          <w:rPr>
            <w:noProof/>
            <w:webHidden/>
          </w:rPr>
          <w:t>7</w:t>
        </w:r>
        <w:r w:rsidR="00AF7753">
          <w:rPr>
            <w:noProof/>
            <w:webHidden/>
          </w:rPr>
          <w:fldChar w:fldCharType="end"/>
        </w:r>
      </w:hyperlink>
    </w:p>
    <w:p w14:paraId="597EC873" w14:textId="7173ACEE" w:rsidR="00AF7753" w:rsidRDefault="00570B2D">
      <w:pPr>
        <w:pStyle w:val="TOC2"/>
        <w:tabs>
          <w:tab w:val="right" w:leader="dot" w:pos="9016"/>
        </w:tabs>
        <w:rPr>
          <w:rFonts w:asciiTheme="minorHAnsi" w:eastAsiaTheme="minorEastAsia" w:hAnsiTheme="minorHAnsi"/>
          <w:noProof/>
          <w:sz w:val="22"/>
          <w:lang w:val="fr-BE" w:eastAsia="fr-BE"/>
        </w:rPr>
      </w:pPr>
      <w:hyperlink w:anchor="_Toc70070135" w:history="1">
        <w:r w:rsidR="00AF7753" w:rsidRPr="0085692D">
          <w:rPr>
            <w:rStyle w:val="Hyperlink"/>
            <w:noProof/>
          </w:rPr>
          <w:t>Data on violence against women and girls with disabilities in the EU</w:t>
        </w:r>
        <w:r w:rsidR="00AF7753">
          <w:rPr>
            <w:noProof/>
            <w:webHidden/>
          </w:rPr>
          <w:tab/>
        </w:r>
        <w:r w:rsidR="00AF7753">
          <w:rPr>
            <w:noProof/>
            <w:webHidden/>
          </w:rPr>
          <w:fldChar w:fldCharType="begin"/>
        </w:r>
        <w:r w:rsidR="00AF7753">
          <w:rPr>
            <w:noProof/>
            <w:webHidden/>
          </w:rPr>
          <w:instrText xml:space="preserve"> PAGEREF _Toc70070135 \h </w:instrText>
        </w:r>
        <w:r w:rsidR="00AF7753">
          <w:rPr>
            <w:noProof/>
            <w:webHidden/>
          </w:rPr>
        </w:r>
        <w:r w:rsidR="00AF7753">
          <w:rPr>
            <w:noProof/>
            <w:webHidden/>
          </w:rPr>
          <w:fldChar w:fldCharType="separate"/>
        </w:r>
        <w:r w:rsidR="00E7343A">
          <w:rPr>
            <w:noProof/>
            <w:webHidden/>
          </w:rPr>
          <w:t>7</w:t>
        </w:r>
        <w:r w:rsidR="00AF7753">
          <w:rPr>
            <w:noProof/>
            <w:webHidden/>
          </w:rPr>
          <w:fldChar w:fldCharType="end"/>
        </w:r>
      </w:hyperlink>
    </w:p>
    <w:p w14:paraId="6FDCDBE3" w14:textId="7FA51E8B" w:rsidR="00AF7753" w:rsidRDefault="00570B2D">
      <w:pPr>
        <w:pStyle w:val="TOC2"/>
        <w:tabs>
          <w:tab w:val="right" w:leader="dot" w:pos="9016"/>
        </w:tabs>
        <w:rPr>
          <w:rFonts w:asciiTheme="minorHAnsi" w:eastAsiaTheme="minorEastAsia" w:hAnsiTheme="minorHAnsi"/>
          <w:noProof/>
          <w:sz w:val="22"/>
          <w:lang w:val="fr-BE" w:eastAsia="fr-BE"/>
        </w:rPr>
      </w:pPr>
      <w:hyperlink w:anchor="_Toc70070136" w:history="1">
        <w:r w:rsidR="00AF7753" w:rsidRPr="0085692D">
          <w:rPr>
            <w:rStyle w:val="Hyperlink"/>
            <w:noProof/>
          </w:rPr>
          <w:t>Examples of violence against women and girls with disabilities</w:t>
        </w:r>
        <w:r w:rsidR="00AF7753">
          <w:rPr>
            <w:noProof/>
            <w:webHidden/>
          </w:rPr>
          <w:tab/>
        </w:r>
        <w:r w:rsidR="00AF7753">
          <w:rPr>
            <w:noProof/>
            <w:webHidden/>
          </w:rPr>
          <w:fldChar w:fldCharType="begin"/>
        </w:r>
        <w:r w:rsidR="00AF7753">
          <w:rPr>
            <w:noProof/>
            <w:webHidden/>
          </w:rPr>
          <w:instrText xml:space="preserve"> PAGEREF _Toc70070136 \h </w:instrText>
        </w:r>
        <w:r w:rsidR="00AF7753">
          <w:rPr>
            <w:noProof/>
            <w:webHidden/>
          </w:rPr>
        </w:r>
        <w:r w:rsidR="00AF7753">
          <w:rPr>
            <w:noProof/>
            <w:webHidden/>
          </w:rPr>
          <w:fldChar w:fldCharType="separate"/>
        </w:r>
        <w:r w:rsidR="00E7343A">
          <w:rPr>
            <w:noProof/>
            <w:webHidden/>
          </w:rPr>
          <w:t>8</w:t>
        </w:r>
        <w:r w:rsidR="00AF7753">
          <w:rPr>
            <w:noProof/>
            <w:webHidden/>
          </w:rPr>
          <w:fldChar w:fldCharType="end"/>
        </w:r>
      </w:hyperlink>
    </w:p>
    <w:p w14:paraId="06EC73D4" w14:textId="7CABC2AB"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7" w:history="1">
        <w:r w:rsidR="00AF7753" w:rsidRPr="0085692D">
          <w:rPr>
            <w:rStyle w:val="Hyperlink"/>
            <w:noProof/>
          </w:rPr>
          <w:t>Barriers in reporting violence and sanctioning perpetrators</w:t>
        </w:r>
        <w:r w:rsidR="00AF7753">
          <w:rPr>
            <w:noProof/>
            <w:webHidden/>
          </w:rPr>
          <w:tab/>
        </w:r>
        <w:r w:rsidR="00AF7753">
          <w:rPr>
            <w:noProof/>
            <w:webHidden/>
          </w:rPr>
          <w:fldChar w:fldCharType="begin"/>
        </w:r>
        <w:r w:rsidR="00AF7753">
          <w:rPr>
            <w:noProof/>
            <w:webHidden/>
          </w:rPr>
          <w:instrText xml:space="preserve"> PAGEREF _Toc70070137 \h </w:instrText>
        </w:r>
        <w:r w:rsidR="00AF7753">
          <w:rPr>
            <w:noProof/>
            <w:webHidden/>
          </w:rPr>
        </w:r>
        <w:r w:rsidR="00AF7753">
          <w:rPr>
            <w:noProof/>
            <w:webHidden/>
          </w:rPr>
          <w:fldChar w:fldCharType="separate"/>
        </w:r>
        <w:r w:rsidR="00E7343A">
          <w:rPr>
            <w:noProof/>
            <w:webHidden/>
          </w:rPr>
          <w:t>11</w:t>
        </w:r>
        <w:r w:rsidR="00AF7753">
          <w:rPr>
            <w:noProof/>
            <w:webHidden/>
          </w:rPr>
          <w:fldChar w:fldCharType="end"/>
        </w:r>
      </w:hyperlink>
    </w:p>
    <w:p w14:paraId="38242FE8" w14:textId="23473048"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8" w:history="1">
        <w:r w:rsidR="00AF7753" w:rsidRPr="0085692D">
          <w:rPr>
            <w:rStyle w:val="Hyperlink"/>
            <w:noProof/>
          </w:rPr>
          <w:t>Barriers in protecting victims with disabilities</w:t>
        </w:r>
        <w:r w:rsidR="00AF7753">
          <w:rPr>
            <w:noProof/>
            <w:webHidden/>
          </w:rPr>
          <w:tab/>
        </w:r>
        <w:r w:rsidR="00AF7753">
          <w:rPr>
            <w:noProof/>
            <w:webHidden/>
          </w:rPr>
          <w:fldChar w:fldCharType="begin"/>
        </w:r>
        <w:r w:rsidR="00AF7753">
          <w:rPr>
            <w:noProof/>
            <w:webHidden/>
          </w:rPr>
          <w:instrText xml:space="preserve"> PAGEREF _Toc70070138 \h </w:instrText>
        </w:r>
        <w:r w:rsidR="00AF7753">
          <w:rPr>
            <w:noProof/>
            <w:webHidden/>
          </w:rPr>
        </w:r>
        <w:r w:rsidR="00AF7753">
          <w:rPr>
            <w:noProof/>
            <w:webHidden/>
          </w:rPr>
          <w:fldChar w:fldCharType="separate"/>
        </w:r>
        <w:r w:rsidR="00E7343A">
          <w:rPr>
            <w:noProof/>
            <w:webHidden/>
          </w:rPr>
          <w:t>12</w:t>
        </w:r>
        <w:r w:rsidR="00AF7753">
          <w:rPr>
            <w:noProof/>
            <w:webHidden/>
          </w:rPr>
          <w:fldChar w:fldCharType="end"/>
        </w:r>
      </w:hyperlink>
    </w:p>
    <w:p w14:paraId="5F4EB158" w14:textId="017EC6CB" w:rsidR="00AF7753" w:rsidRDefault="00570B2D">
      <w:pPr>
        <w:pStyle w:val="TOC1"/>
        <w:tabs>
          <w:tab w:val="right" w:leader="dot" w:pos="9016"/>
        </w:tabs>
        <w:rPr>
          <w:rFonts w:asciiTheme="minorHAnsi" w:eastAsiaTheme="minorEastAsia" w:hAnsiTheme="minorHAnsi"/>
          <w:noProof/>
          <w:sz w:val="22"/>
          <w:lang w:val="fr-BE" w:eastAsia="fr-BE"/>
        </w:rPr>
      </w:pPr>
      <w:hyperlink w:anchor="_Toc70070139" w:history="1">
        <w:r w:rsidR="00AF7753" w:rsidRPr="0085692D">
          <w:rPr>
            <w:rStyle w:val="Hyperlink"/>
            <w:noProof/>
          </w:rPr>
          <w:t>Conclusions and recommendations</w:t>
        </w:r>
        <w:r w:rsidR="00AF7753">
          <w:rPr>
            <w:noProof/>
            <w:webHidden/>
          </w:rPr>
          <w:tab/>
        </w:r>
        <w:r w:rsidR="00AF7753">
          <w:rPr>
            <w:noProof/>
            <w:webHidden/>
          </w:rPr>
          <w:fldChar w:fldCharType="begin"/>
        </w:r>
        <w:r w:rsidR="00AF7753">
          <w:rPr>
            <w:noProof/>
            <w:webHidden/>
          </w:rPr>
          <w:instrText xml:space="preserve"> PAGEREF _Toc70070139 \h </w:instrText>
        </w:r>
        <w:r w:rsidR="00AF7753">
          <w:rPr>
            <w:noProof/>
            <w:webHidden/>
          </w:rPr>
        </w:r>
        <w:r w:rsidR="00AF7753">
          <w:rPr>
            <w:noProof/>
            <w:webHidden/>
          </w:rPr>
          <w:fldChar w:fldCharType="separate"/>
        </w:r>
        <w:r w:rsidR="00E7343A">
          <w:rPr>
            <w:noProof/>
            <w:webHidden/>
          </w:rPr>
          <w:t>15</w:t>
        </w:r>
        <w:r w:rsidR="00AF7753">
          <w:rPr>
            <w:noProof/>
            <w:webHidden/>
          </w:rPr>
          <w:fldChar w:fldCharType="end"/>
        </w:r>
      </w:hyperlink>
    </w:p>
    <w:p w14:paraId="68F6638B" w14:textId="5F7E5077" w:rsidR="00AF7753" w:rsidRDefault="00570B2D">
      <w:pPr>
        <w:pStyle w:val="TOC1"/>
        <w:tabs>
          <w:tab w:val="right" w:leader="dot" w:pos="9016"/>
        </w:tabs>
        <w:rPr>
          <w:rFonts w:asciiTheme="minorHAnsi" w:eastAsiaTheme="minorEastAsia" w:hAnsiTheme="minorHAnsi"/>
          <w:noProof/>
          <w:sz w:val="22"/>
          <w:lang w:val="fr-BE" w:eastAsia="fr-BE"/>
        </w:rPr>
      </w:pPr>
      <w:hyperlink w:anchor="_Toc70070140" w:history="1">
        <w:r w:rsidR="00AF7753" w:rsidRPr="0085692D">
          <w:rPr>
            <w:rStyle w:val="Hyperlink"/>
            <w:noProof/>
          </w:rPr>
          <w:t>Document credits</w:t>
        </w:r>
        <w:r w:rsidR="00AF7753">
          <w:rPr>
            <w:noProof/>
            <w:webHidden/>
          </w:rPr>
          <w:tab/>
        </w:r>
        <w:r w:rsidR="00AF7753">
          <w:rPr>
            <w:noProof/>
            <w:webHidden/>
          </w:rPr>
          <w:fldChar w:fldCharType="begin"/>
        </w:r>
        <w:r w:rsidR="00AF7753">
          <w:rPr>
            <w:noProof/>
            <w:webHidden/>
          </w:rPr>
          <w:instrText xml:space="preserve"> PAGEREF _Toc70070140 \h </w:instrText>
        </w:r>
        <w:r w:rsidR="00AF7753">
          <w:rPr>
            <w:noProof/>
            <w:webHidden/>
          </w:rPr>
        </w:r>
        <w:r w:rsidR="00AF7753">
          <w:rPr>
            <w:noProof/>
            <w:webHidden/>
          </w:rPr>
          <w:fldChar w:fldCharType="separate"/>
        </w:r>
        <w:r w:rsidR="00E7343A">
          <w:rPr>
            <w:noProof/>
            <w:webHidden/>
          </w:rPr>
          <w:t>17</w:t>
        </w:r>
        <w:r w:rsidR="00AF7753">
          <w:rPr>
            <w:noProof/>
            <w:webHidden/>
          </w:rPr>
          <w:fldChar w:fldCharType="end"/>
        </w:r>
      </w:hyperlink>
    </w:p>
    <w:p w14:paraId="588D3280" w14:textId="4F55BEE3" w:rsidR="001E0F08" w:rsidRDefault="00A9576D" w:rsidP="00282B80">
      <w:pPr>
        <w:pStyle w:val="Heading1"/>
      </w:pPr>
      <w:r>
        <w:fldChar w:fldCharType="end"/>
      </w:r>
      <w:bookmarkStart w:id="2" w:name="_Toc70070130"/>
      <w:r w:rsidR="001E0F08">
        <w:t>Introduction</w:t>
      </w:r>
      <w:bookmarkEnd w:id="2"/>
    </w:p>
    <w:p w14:paraId="70F30724" w14:textId="3C116A6C" w:rsidR="00282B80" w:rsidRDefault="00282B80" w:rsidP="00282B80">
      <w:pPr>
        <w:pStyle w:val="Heading3"/>
      </w:pPr>
      <w:r>
        <w:t>The European Disability Forum</w:t>
      </w:r>
    </w:p>
    <w:p w14:paraId="643E1BFF" w14:textId="77777777" w:rsidR="003B7E0E" w:rsidRDefault="003B7E0E" w:rsidP="00282B80">
      <w:r w:rsidRPr="003B7E0E">
        <w:t xml:space="preserve">The European Disability Forum (EDF) is an umbrella </w:t>
      </w:r>
      <w:proofErr w:type="spellStart"/>
      <w:r w:rsidRPr="003B7E0E">
        <w:t>organisation</w:t>
      </w:r>
      <w:proofErr w:type="spellEnd"/>
      <w:r w:rsidRPr="003B7E0E">
        <w:t xml:space="preserve"> of persons with disabilities that defends the interests of over 100 million persons with disabilities in the European Union. We are a unique platform which brings together representative </w:t>
      </w:r>
      <w:proofErr w:type="spellStart"/>
      <w:r w:rsidRPr="003B7E0E">
        <w:t>organisation</w:t>
      </w:r>
      <w:proofErr w:type="spellEnd"/>
      <w:r w:rsidRPr="003B7E0E">
        <w:t xml:space="preserve"> of persons with disabilities from across Europe. We are run by persons with disabilities and their families, and as such represent a strong, united voice of persons with disabilities in Europe. </w:t>
      </w:r>
    </w:p>
    <w:p w14:paraId="7BB0D2EE" w14:textId="6B0502E0" w:rsidR="007C43EF" w:rsidRDefault="003B7E0E" w:rsidP="00282B80">
      <w:r w:rsidRPr="003B7E0E">
        <w:t>EDF is committed to</w:t>
      </w:r>
      <w:r w:rsidR="0006631A">
        <w:t xml:space="preserve"> women’s rights, gender equality and</w:t>
      </w:r>
      <w:r w:rsidRPr="003B7E0E">
        <w:t xml:space="preserve"> the women’s movement</w:t>
      </w:r>
      <w:r w:rsidR="0006631A">
        <w:t>. We</w:t>
      </w:r>
      <w:r w:rsidRPr="003B7E0E">
        <w:t xml:space="preserve"> an active member of the European Women’s Lobby and </w:t>
      </w:r>
      <w:r w:rsidR="0006631A">
        <w:t xml:space="preserve">the </w:t>
      </w:r>
      <w:r w:rsidRPr="003B7E0E">
        <w:t>European Coalition to end violence against women and girls.</w:t>
      </w:r>
    </w:p>
    <w:p w14:paraId="3A4C4DE7" w14:textId="51CFA7CA" w:rsidR="007C43EF" w:rsidRDefault="007C43EF" w:rsidP="00141EAA">
      <w:pPr>
        <w:pStyle w:val="Heading3"/>
      </w:pPr>
      <w:r>
        <w:t xml:space="preserve">Purpose of the position paper  </w:t>
      </w:r>
    </w:p>
    <w:p w14:paraId="4B0A9572" w14:textId="49CB7905" w:rsidR="007C43EF" w:rsidRDefault="007C43EF" w:rsidP="00282B80">
      <w:r>
        <w:t xml:space="preserve">This document was prepared </w:t>
      </w:r>
      <w:r w:rsidR="004930B0">
        <w:t>to contribute to</w:t>
      </w:r>
      <w:r>
        <w:t xml:space="preserve"> the consultation </w:t>
      </w:r>
      <w:r w:rsidR="004930B0">
        <w:t xml:space="preserve">on domestic and gender-based violence </w:t>
      </w:r>
      <w:proofErr w:type="spellStart"/>
      <w:r>
        <w:t>organised</w:t>
      </w:r>
      <w:proofErr w:type="spellEnd"/>
      <w:r>
        <w:t xml:space="preserve"> by the European Commission. It </w:t>
      </w:r>
      <w:r w:rsidR="004930B0">
        <w:t>provides</w:t>
      </w:r>
      <w:r>
        <w:t xml:space="preserve"> recommendations</w:t>
      </w:r>
      <w:r w:rsidR="004930B0">
        <w:t xml:space="preserve"> to the European Union</w:t>
      </w:r>
      <w:r>
        <w:t xml:space="preserve"> </w:t>
      </w:r>
      <w:r w:rsidR="004930B0">
        <w:t>on initiatives necessary</w:t>
      </w:r>
      <w:r>
        <w:t xml:space="preserve"> to end gender-based violence and violence against women</w:t>
      </w:r>
      <w:r w:rsidR="00E24778">
        <w:t xml:space="preserve"> and girls</w:t>
      </w:r>
      <w:r>
        <w:t xml:space="preserve"> in all their diversity in the EU</w:t>
      </w:r>
      <w:r w:rsidR="004930B0">
        <w:t>, including women and girls with disabilities</w:t>
      </w:r>
      <w:r>
        <w:t xml:space="preserve">. </w:t>
      </w:r>
    </w:p>
    <w:p w14:paraId="6061FC13" w14:textId="5CC3BA74" w:rsidR="00282B80" w:rsidRDefault="00282B80" w:rsidP="00282B80">
      <w:pPr>
        <w:pStyle w:val="Heading3"/>
      </w:pPr>
      <w:r>
        <w:lastRenderedPageBreak/>
        <w:t>Acknowledgements</w:t>
      </w:r>
    </w:p>
    <w:p w14:paraId="78B4111E" w14:textId="1C6BF8D4" w:rsidR="00B9398C" w:rsidRDefault="003B7E0E" w:rsidP="00282B80">
      <w:r>
        <w:t xml:space="preserve">This position paper was prepared thanks to the contribution of EDF Women’s Committee and EDF Board. </w:t>
      </w:r>
    </w:p>
    <w:p w14:paraId="5F2DC615" w14:textId="2A9759C9" w:rsidR="00282B80" w:rsidRDefault="00282B80" w:rsidP="00282B80">
      <w:pPr>
        <w:pStyle w:val="Heading2"/>
      </w:pPr>
      <w:bookmarkStart w:id="3" w:name="_Toc70070131"/>
      <w:r>
        <w:t>Executive Summary</w:t>
      </w:r>
      <w:bookmarkEnd w:id="3"/>
    </w:p>
    <w:p w14:paraId="6768D7DE" w14:textId="4557D11F" w:rsidR="00B9398C" w:rsidRDefault="00B9398C" w:rsidP="00B9398C">
      <w:r w:rsidRPr="00B9398C">
        <w:t>Women</w:t>
      </w:r>
      <w:r w:rsidR="007C64AD">
        <w:t xml:space="preserve"> and girls</w:t>
      </w:r>
      <w:r w:rsidRPr="00B9398C">
        <w:t xml:space="preserve"> with disabilities constitute 16% of the total population of women in the European Union</w:t>
      </w:r>
      <w:r w:rsidR="007C64AD">
        <w:t xml:space="preserve"> (EU)</w:t>
      </w:r>
      <w:r w:rsidRPr="00B9398C">
        <w:t xml:space="preserve">, and 60% of the overall population of 100 million persons with disabilities. This corresponds to an estimated 60 million of women </w:t>
      </w:r>
      <w:r w:rsidR="007C64AD">
        <w:t xml:space="preserve">and girls </w:t>
      </w:r>
      <w:r w:rsidRPr="00B9398C">
        <w:t xml:space="preserve">with </w:t>
      </w:r>
      <w:proofErr w:type="gramStart"/>
      <w:r w:rsidRPr="00B9398C">
        <w:t>disabilities</w:t>
      </w:r>
      <w:r w:rsidR="007C64AD">
        <w:t>;</w:t>
      </w:r>
      <w:proofErr w:type="gramEnd"/>
      <w:r w:rsidR="007C64AD">
        <w:t xml:space="preserve"> the equivalent to the total population of Italy. </w:t>
      </w:r>
    </w:p>
    <w:p w14:paraId="0A73074B" w14:textId="3AAD309F" w:rsidR="00B9398C" w:rsidRDefault="007C64AD" w:rsidP="00B9398C">
      <w:bookmarkStart w:id="4" w:name="_Hlk71275906"/>
      <w:r>
        <w:t xml:space="preserve">Women and girls with disabilities continue to face </w:t>
      </w:r>
      <w:r w:rsidR="00B9398C" w:rsidRPr="00B9398C">
        <w:t xml:space="preserve">multiple and intersectional discrimination in all areas of life, and are more at risk to face violence, </w:t>
      </w:r>
      <w:proofErr w:type="gramStart"/>
      <w:r w:rsidR="00B9398C" w:rsidRPr="00B9398C">
        <w:t>abuses</w:t>
      </w:r>
      <w:proofErr w:type="gramEnd"/>
      <w:r w:rsidR="00B9398C" w:rsidRPr="00B9398C">
        <w:t xml:space="preserve"> and harmful practices. Violence may take place in various settings (including in institutions and segregated schools) and take different forms, including harassment and sexual violence, but also forced abortion and </w:t>
      </w:r>
      <w:proofErr w:type="spellStart"/>
      <w:r w:rsidR="00B9398C" w:rsidRPr="00B9398C">
        <w:t>sterilisation</w:t>
      </w:r>
      <w:proofErr w:type="spellEnd"/>
      <w:r>
        <w:t xml:space="preserve">, and disability specific violence. </w:t>
      </w:r>
    </w:p>
    <w:p w14:paraId="60EE2026" w14:textId="6C6EC128" w:rsidR="007C64AD" w:rsidRDefault="007C64AD" w:rsidP="007C64AD">
      <w:r>
        <w:t xml:space="preserve">Not only they face violence at a higher rate than women without disabilities, </w:t>
      </w:r>
      <w:proofErr w:type="gramStart"/>
      <w:r>
        <w:t>they</w:t>
      </w:r>
      <w:proofErr w:type="gramEnd"/>
      <w:r>
        <w:t xml:space="preserve"> also face additional barriers in reporting, accessing justice, and have access to victims’ rights support measures and protection orders. </w:t>
      </w:r>
    </w:p>
    <w:p w14:paraId="2A544A71" w14:textId="21962F9D" w:rsidR="007C64AD" w:rsidRDefault="007C64AD" w:rsidP="007C64AD">
      <w:r>
        <w:t>The European Disability Forum calls on the EU to urgently adopt measures to end violence against women and girls, including</w:t>
      </w:r>
      <w:r w:rsidR="00B312ED">
        <w:t xml:space="preserve"> male violence against women and specific forms of</w:t>
      </w:r>
      <w:r>
        <w:t xml:space="preserve"> violence </w:t>
      </w:r>
      <w:r w:rsidR="00B312ED">
        <w:t>faced by</w:t>
      </w:r>
      <w:r>
        <w:t xml:space="preserve"> women</w:t>
      </w:r>
      <w:r w:rsidR="00B312ED">
        <w:t xml:space="preserve"> and girls</w:t>
      </w:r>
      <w:r>
        <w:t xml:space="preserve"> with disabilities</w:t>
      </w:r>
      <w:r w:rsidR="00A45A7A" w:rsidRPr="00A45A7A">
        <w:t xml:space="preserve"> and mothers and women caring for relatives with disabilities</w:t>
      </w:r>
      <w:r w:rsidR="00B312ED">
        <w:t xml:space="preserve">. </w:t>
      </w:r>
      <w:r>
        <w:t xml:space="preserve"> </w:t>
      </w:r>
    </w:p>
    <w:p w14:paraId="0F875BE0" w14:textId="77777777" w:rsidR="007C64AD" w:rsidRPr="007C64AD" w:rsidRDefault="007C64AD" w:rsidP="007C64AD">
      <w:r w:rsidRPr="007C64AD">
        <w:t xml:space="preserve">In particularly we call on the EU to: </w:t>
      </w:r>
    </w:p>
    <w:p w14:paraId="56DC5BDE" w14:textId="08403EAA" w:rsidR="007C64AD" w:rsidRPr="007C64AD" w:rsidRDefault="007C64AD" w:rsidP="007C64AD">
      <w:pPr>
        <w:numPr>
          <w:ilvl w:val="0"/>
          <w:numId w:val="9"/>
        </w:numPr>
        <w:rPr>
          <w:lang w:val="en-GB"/>
        </w:rPr>
      </w:pPr>
      <w:r w:rsidRPr="007C64AD">
        <w:rPr>
          <w:lang w:val="en-GB"/>
        </w:rPr>
        <w:t xml:space="preserve">Swiftly </w:t>
      </w:r>
      <w:r w:rsidRPr="007C64AD">
        <w:rPr>
          <w:b/>
          <w:bCs/>
          <w:lang w:val="en-GB"/>
        </w:rPr>
        <w:t>ratify and implement the Council of Europe Convention on preventing and combating violence against women and domestic violence</w:t>
      </w:r>
      <w:r w:rsidRPr="007C64AD">
        <w:rPr>
          <w:bCs/>
          <w:lang w:val="en-GB"/>
        </w:rPr>
        <w:t xml:space="preserve"> (Istanbul Convention</w:t>
      </w:r>
      <w:r w:rsidR="00B312ED">
        <w:rPr>
          <w:bCs/>
          <w:lang w:val="en-GB"/>
        </w:rPr>
        <w:t>).</w:t>
      </w:r>
    </w:p>
    <w:p w14:paraId="5EBD3607" w14:textId="4E40264D" w:rsidR="007C64AD" w:rsidRPr="007C64AD" w:rsidRDefault="007C64AD" w:rsidP="007C64AD">
      <w:pPr>
        <w:numPr>
          <w:ilvl w:val="0"/>
          <w:numId w:val="9"/>
        </w:numPr>
        <w:rPr>
          <w:b/>
          <w:lang w:val="en-GB"/>
        </w:rPr>
      </w:pPr>
      <w:r w:rsidRPr="007C64AD">
        <w:rPr>
          <w:bCs/>
          <w:lang w:val="en-GB"/>
        </w:rPr>
        <w:t>Add gender-based violence to the</w:t>
      </w:r>
      <w:r w:rsidRPr="007C64AD">
        <w:rPr>
          <w:b/>
          <w:lang w:val="en-GB"/>
        </w:rPr>
        <w:t xml:space="preserve"> </w:t>
      </w:r>
      <w:r w:rsidRPr="007C64AD">
        <w:rPr>
          <w:bCs/>
          <w:lang w:val="en-GB"/>
        </w:rPr>
        <w:t>list of</w:t>
      </w:r>
      <w:r w:rsidRPr="007C64AD">
        <w:rPr>
          <w:b/>
          <w:lang w:val="en-GB"/>
        </w:rPr>
        <w:t xml:space="preserve"> EU crimes</w:t>
      </w:r>
      <w:r w:rsidR="00B312ED">
        <w:rPr>
          <w:bCs/>
          <w:lang w:val="en-GB"/>
        </w:rPr>
        <w:t>.</w:t>
      </w:r>
    </w:p>
    <w:p w14:paraId="1BCE9757" w14:textId="0E0A4752" w:rsidR="007C64AD" w:rsidRPr="007C64AD" w:rsidRDefault="007C64AD" w:rsidP="007C64AD">
      <w:pPr>
        <w:numPr>
          <w:ilvl w:val="0"/>
          <w:numId w:val="9"/>
        </w:numPr>
        <w:rPr>
          <w:lang w:val="en-GB"/>
        </w:rPr>
      </w:pPr>
      <w:r w:rsidRPr="007C64AD">
        <w:t>Adopt a</w:t>
      </w:r>
      <w:r w:rsidR="00B312ED">
        <w:t>n</w:t>
      </w:r>
      <w:r w:rsidRPr="007C64AD">
        <w:t xml:space="preserve"> </w:t>
      </w:r>
      <w:r w:rsidRPr="007C64AD">
        <w:rPr>
          <w:b/>
          <w:bCs/>
        </w:rPr>
        <w:t>EU</w:t>
      </w:r>
      <w:r w:rsidRPr="007C64AD">
        <w:t xml:space="preserve"> </w:t>
      </w:r>
      <w:r w:rsidRPr="007C64AD">
        <w:rPr>
          <w:b/>
          <w:bCs/>
        </w:rPr>
        <w:t xml:space="preserve">Directive </w:t>
      </w:r>
      <w:proofErr w:type="spellStart"/>
      <w:r w:rsidRPr="007C64AD">
        <w:rPr>
          <w:b/>
          <w:bCs/>
        </w:rPr>
        <w:t>criminalising</w:t>
      </w:r>
      <w:proofErr w:type="spellEnd"/>
      <w:r w:rsidRPr="007C64AD">
        <w:rPr>
          <w:b/>
          <w:bCs/>
        </w:rPr>
        <w:t xml:space="preserve"> all forms of male violence against women and girls</w:t>
      </w:r>
      <w:r w:rsidRPr="007C64AD">
        <w:t xml:space="preserve"> (including forced </w:t>
      </w:r>
      <w:proofErr w:type="spellStart"/>
      <w:r w:rsidRPr="007C64AD">
        <w:t>sterilisation</w:t>
      </w:r>
      <w:proofErr w:type="spellEnd"/>
      <w:proofErr w:type="gramStart"/>
      <w:r w:rsidRPr="007C64AD">
        <w:t>), and</w:t>
      </w:r>
      <w:proofErr w:type="gramEnd"/>
      <w:r w:rsidRPr="007C64AD">
        <w:t xml:space="preserve"> providing assistance and support to all women and girls victims.</w:t>
      </w:r>
    </w:p>
    <w:p w14:paraId="5F90B48D" w14:textId="5AAD79FF" w:rsidR="007C64AD" w:rsidRPr="007C64AD" w:rsidRDefault="007C64AD" w:rsidP="007C64AD">
      <w:pPr>
        <w:numPr>
          <w:ilvl w:val="0"/>
          <w:numId w:val="9"/>
        </w:numPr>
        <w:rPr>
          <w:lang w:val="en-GB"/>
        </w:rPr>
      </w:pPr>
      <w:r w:rsidRPr="007C64AD">
        <w:rPr>
          <w:lang w:val="en-GB"/>
        </w:rPr>
        <w:t xml:space="preserve">Set up a </w:t>
      </w:r>
      <w:r w:rsidRPr="007C64AD">
        <w:rPr>
          <w:b/>
          <w:bCs/>
          <w:lang w:val="en-GB"/>
        </w:rPr>
        <w:t>coordinating body to end violence against women and girls</w:t>
      </w:r>
      <w:r w:rsidRPr="007C64AD">
        <w:rPr>
          <w:lang w:val="en-GB"/>
        </w:rPr>
        <w:t>, under the umbrella of the European Commission’s work on equality between women and men</w:t>
      </w:r>
      <w:r w:rsidR="00234DE1">
        <w:rPr>
          <w:lang w:val="en-GB"/>
        </w:rPr>
        <w:t xml:space="preserve">, </w:t>
      </w:r>
      <w:bookmarkStart w:id="5" w:name="_Hlk71128786"/>
      <w:r w:rsidR="00234DE1" w:rsidRPr="008222D8">
        <w:rPr>
          <w:rFonts w:eastAsia="Times New Roman"/>
          <w:lang w:val="en-GB"/>
        </w:rPr>
        <w:t>and ensure it contains a department specifically related to violence against women and girls with disabilities</w:t>
      </w:r>
      <w:bookmarkEnd w:id="5"/>
      <w:r w:rsidRPr="007C64AD">
        <w:rPr>
          <w:lang w:val="en-GB"/>
        </w:rPr>
        <w:t>.</w:t>
      </w:r>
    </w:p>
    <w:p w14:paraId="4D6B7E28" w14:textId="77777777" w:rsidR="007C64AD" w:rsidRPr="007C64AD" w:rsidRDefault="007C64AD" w:rsidP="007C64AD">
      <w:pPr>
        <w:numPr>
          <w:ilvl w:val="0"/>
          <w:numId w:val="8"/>
        </w:numPr>
        <w:rPr>
          <w:bCs/>
          <w:lang w:val="en-GB"/>
        </w:rPr>
      </w:pPr>
      <w:r w:rsidRPr="007C64AD">
        <w:rPr>
          <w:bCs/>
          <w:lang w:val="en-GB"/>
        </w:rPr>
        <w:lastRenderedPageBreak/>
        <w:t xml:space="preserve">Ensuring that gender-based violence is addressed within relevant EU policies and strategies (education, humanitarian aid, digital agenda, etc.). All actions should be part of a comprehensive </w:t>
      </w:r>
      <w:r w:rsidRPr="007C64AD">
        <w:rPr>
          <w:b/>
          <w:lang w:val="en-GB"/>
        </w:rPr>
        <w:t>EU Strategy to end violence against women and girls</w:t>
      </w:r>
      <w:r w:rsidRPr="007C64AD">
        <w:rPr>
          <w:bCs/>
          <w:lang w:val="en-GB"/>
        </w:rPr>
        <w:t xml:space="preserve">, including prevention, awareness-raising, and part of the implementation of EU Victims’ Rights Directive and Strategy, Disability Rights Strategy and Gender Equality Strategy. </w:t>
      </w:r>
    </w:p>
    <w:p w14:paraId="2FD3A4D1" w14:textId="62F479CE" w:rsidR="007C64AD" w:rsidRPr="007C64AD" w:rsidRDefault="007C64AD" w:rsidP="007C64AD">
      <w:pPr>
        <w:numPr>
          <w:ilvl w:val="0"/>
          <w:numId w:val="8"/>
        </w:numPr>
        <w:rPr>
          <w:bCs/>
          <w:lang w:val="en-GB"/>
        </w:rPr>
      </w:pPr>
      <w:r w:rsidRPr="007C64AD">
        <w:rPr>
          <w:b/>
          <w:lang w:val="en-GB"/>
        </w:rPr>
        <w:t>Collect data and conducting research</w:t>
      </w:r>
      <w:r w:rsidRPr="007C64AD">
        <w:rPr>
          <w:bCs/>
          <w:lang w:val="en-GB"/>
        </w:rPr>
        <w:t xml:space="preserve"> on the root causes, prevalence, </w:t>
      </w:r>
      <w:proofErr w:type="gramStart"/>
      <w:r w:rsidRPr="007C64AD">
        <w:rPr>
          <w:bCs/>
          <w:lang w:val="en-GB"/>
        </w:rPr>
        <w:t>consequences</w:t>
      </w:r>
      <w:proofErr w:type="gramEnd"/>
      <w:r w:rsidRPr="007C64AD">
        <w:rPr>
          <w:bCs/>
          <w:lang w:val="en-GB"/>
        </w:rPr>
        <w:t xml:space="preserve"> and costs of gender based and domestic violence. Data and research should be disaggregated to inform on the specific situation of marginalised groups, including women and girls with disabilities</w:t>
      </w:r>
      <w:r w:rsidR="00710AEC">
        <w:rPr>
          <w:bCs/>
          <w:lang w:val="en-GB"/>
        </w:rPr>
        <w:t xml:space="preserve"> </w:t>
      </w:r>
      <w:r w:rsidR="00680EAF" w:rsidRPr="00680EAF">
        <w:rPr>
          <w:bCs/>
          <w:lang w:val="en-GB"/>
        </w:rPr>
        <w:t>and mother</w:t>
      </w:r>
      <w:r w:rsidR="002B3494">
        <w:rPr>
          <w:bCs/>
          <w:lang w:val="en-GB"/>
        </w:rPr>
        <w:t>s</w:t>
      </w:r>
      <w:r w:rsidR="00680EAF" w:rsidRPr="00680EAF">
        <w:rPr>
          <w:bCs/>
          <w:lang w:val="en-GB"/>
        </w:rPr>
        <w:t xml:space="preserve"> and </w:t>
      </w:r>
      <w:r w:rsidR="002B3494">
        <w:rPr>
          <w:bCs/>
          <w:lang w:val="en-GB"/>
        </w:rPr>
        <w:t xml:space="preserve">other </w:t>
      </w:r>
      <w:r w:rsidR="00680EAF" w:rsidRPr="00680EAF">
        <w:rPr>
          <w:bCs/>
          <w:lang w:val="en-GB"/>
        </w:rPr>
        <w:t xml:space="preserve">women caring for </w:t>
      </w:r>
      <w:r w:rsidR="005D6392">
        <w:rPr>
          <w:bCs/>
          <w:lang w:val="en-GB"/>
        </w:rPr>
        <w:t>relatives</w:t>
      </w:r>
      <w:r w:rsidR="00680EAF" w:rsidRPr="00680EAF">
        <w:rPr>
          <w:bCs/>
          <w:lang w:val="en-GB"/>
        </w:rPr>
        <w:t xml:space="preserve"> with disabilities, in various settings such as in institutions, schools and workplace, and in relation to trafficking</w:t>
      </w:r>
      <w:r w:rsidRPr="007C64AD">
        <w:rPr>
          <w:bCs/>
          <w:lang w:val="en-GB"/>
        </w:rPr>
        <w:t>. Experts with specific expertise on disability and the link between disability, gender and violence should participate to data collection and research.</w:t>
      </w:r>
    </w:p>
    <w:p w14:paraId="3BA68E54" w14:textId="6B2BE2D5" w:rsidR="00710AEC" w:rsidRDefault="007C64AD" w:rsidP="00710AEC">
      <w:pPr>
        <w:numPr>
          <w:ilvl w:val="0"/>
          <w:numId w:val="8"/>
        </w:numPr>
        <w:rPr>
          <w:bCs/>
          <w:lang w:val="en-GB"/>
        </w:rPr>
      </w:pPr>
      <w:r w:rsidRPr="007C64AD">
        <w:rPr>
          <w:b/>
          <w:lang w:val="en-GB"/>
        </w:rPr>
        <w:t>Finance and promote training and capacity building of professionals in EU Member States</w:t>
      </w:r>
      <w:r w:rsidRPr="007C64AD">
        <w:rPr>
          <w:bCs/>
          <w:lang w:val="en-GB"/>
        </w:rPr>
        <w:t xml:space="preserve">, such as support service providers, </w:t>
      </w:r>
      <w:proofErr w:type="gramStart"/>
      <w:r w:rsidRPr="007C64AD">
        <w:rPr>
          <w:bCs/>
          <w:lang w:val="en-GB"/>
        </w:rPr>
        <w:t>healthcare</w:t>
      </w:r>
      <w:proofErr w:type="gramEnd"/>
      <w:r w:rsidRPr="007C64AD">
        <w:rPr>
          <w:bCs/>
          <w:lang w:val="en-GB"/>
        </w:rPr>
        <w:t xml:space="preserve"> and criminal justice professionals</w:t>
      </w:r>
      <w:r w:rsidR="0056104A">
        <w:rPr>
          <w:bCs/>
          <w:lang w:val="en-GB"/>
        </w:rPr>
        <w:t xml:space="preserve"> (including providers of services for victims’, doctors, midwives, police officers, judges)</w:t>
      </w:r>
      <w:r w:rsidRPr="007C64AD">
        <w:rPr>
          <w:bCs/>
          <w:lang w:val="en-GB"/>
        </w:rPr>
        <w:t xml:space="preserve">. All professionals should be trained on violence against women and girls, </w:t>
      </w:r>
      <w:proofErr w:type="gramStart"/>
      <w:r w:rsidRPr="007C64AD">
        <w:rPr>
          <w:bCs/>
          <w:lang w:val="en-GB"/>
        </w:rPr>
        <w:t>in particular those</w:t>
      </w:r>
      <w:proofErr w:type="gramEnd"/>
      <w:r w:rsidRPr="007C64AD">
        <w:rPr>
          <w:bCs/>
          <w:lang w:val="en-GB"/>
        </w:rPr>
        <w:t xml:space="preserve"> working with marginalised groups of women such as women and girls with disabilities, including those living in institutions.</w:t>
      </w:r>
    </w:p>
    <w:p w14:paraId="2D835053" w14:textId="77777777" w:rsidR="00141EAA" w:rsidRPr="004911A3" w:rsidRDefault="00710AEC" w:rsidP="004911A3">
      <w:pPr>
        <w:pStyle w:val="ListParagraph"/>
        <w:numPr>
          <w:ilvl w:val="0"/>
          <w:numId w:val="8"/>
        </w:numPr>
        <w:rPr>
          <w:lang w:val="en-GB"/>
        </w:rPr>
      </w:pPr>
      <w:bookmarkStart w:id="6" w:name="_Hlk71128859"/>
      <w:r w:rsidRPr="004911A3">
        <w:rPr>
          <w:b/>
          <w:lang w:val="en-GB"/>
        </w:rPr>
        <w:t xml:space="preserve">Finance and promote emotional and sexuality education in EU Member States, including through project funding. </w:t>
      </w:r>
      <w:r w:rsidRPr="004911A3">
        <w:rPr>
          <w:lang w:val="en-GB"/>
        </w:rPr>
        <w:t xml:space="preserve">This should be offered to young people with disabilities living in and outside </w:t>
      </w:r>
      <w:proofErr w:type="gramStart"/>
      <w:r w:rsidRPr="004911A3">
        <w:rPr>
          <w:lang w:val="en-GB"/>
        </w:rPr>
        <w:t>institutions, and</w:t>
      </w:r>
      <w:proofErr w:type="gramEnd"/>
      <w:r w:rsidRPr="004911A3">
        <w:rPr>
          <w:lang w:val="en-GB"/>
        </w:rPr>
        <w:t xml:space="preserve"> include information on respect to others and capacity of saying no</w:t>
      </w:r>
      <w:r w:rsidR="00A91943" w:rsidRPr="004911A3">
        <w:rPr>
          <w:lang w:val="en-GB"/>
        </w:rPr>
        <w:t>, involving organisations of women with disabilities and women’s groups</w:t>
      </w:r>
      <w:r w:rsidRPr="004911A3">
        <w:rPr>
          <w:lang w:val="en-GB"/>
        </w:rPr>
        <w:t>.</w:t>
      </w:r>
      <w:bookmarkEnd w:id="4"/>
      <w:r w:rsidRPr="004911A3">
        <w:rPr>
          <w:lang w:val="en-GB"/>
        </w:rPr>
        <w:t xml:space="preserve"> </w:t>
      </w:r>
      <w:bookmarkStart w:id="7" w:name="_Toc70070132"/>
      <w:bookmarkEnd w:id="6"/>
    </w:p>
    <w:p w14:paraId="6D6ED810" w14:textId="77777777" w:rsidR="00141EAA" w:rsidRDefault="00141EAA" w:rsidP="00141EAA"/>
    <w:p w14:paraId="5CFE094B" w14:textId="18B76DB2" w:rsidR="00141EAA" w:rsidRDefault="00141EAA" w:rsidP="00141EAA"/>
    <w:p w14:paraId="51312255" w14:textId="63194F24" w:rsidR="00A9576D" w:rsidRDefault="00A9576D" w:rsidP="00141EAA">
      <w:pPr>
        <w:pStyle w:val="Heading1"/>
      </w:pPr>
      <w:r>
        <w:lastRenderedPageBreak/>
        <w:t xml:space="preserve">Easy to </w:t>
      </w:r>
      <w:proofErr w:type="gramStart"/>
      <w:r>
        <w:t>Read</w:t>
      </w:r>
      <w:bookmarkEnd w:id="7"/>
      <w:proofErr w:type="gramEnd"/>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14:paraId="34FF9798" w14:textId="77777777" w:rsidTr="004F50ED">
        <w:tc>
          <w:tcPr>
            <w:tcW w:w="3964" w:type="dxa"/>
            <w:gridSpan w:val="2"/>
            <w:tcMar>
              <w:top w:w="144" w:type="dxa"/>
              <w:left w:w="144" w:type="dxa"/>
              <w:bottom w:w="144" w:type="dxa"/>
              <w:right w:w="144" w:type="dxa"/>
            </w:tcMar>
            <w:vAlign w:val="center"/>
          </w:tcPr>
          <w:p w14:paraId="7BC9EEB2" w14:textId="718E71F5" w:rsidR="00A9576D" w:rsidRDefault="00A9576D" w:rsidP="009277BC">
            <w:pPr>
              <w:jc w:val="center"/>
            </w:pPr>
            <w:r>
              <w:rPr>
                <w:noProof/>
              </w:rPr>
              <w:drawing>
                <wp:inline distT="0" distB="0" distL="0" distR="0" wp14:anchorId="6DD02333" wp14:editId="32ED1802">
                  <wp:extent cx="1219200" cy="1209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5052" w:type="dxa"/>
            <w:tcMar>
              <w:top w:w="144" w:type="dxa"/>
              <w:left w:w="144" w:type="dxa"/>
              <w:bottom w:w="144" w:type="dxa"/>
              <w:right w:w="144" w:type="dxa"/>
            </w:tcMar>
            <w:vAlign w:val="center"/>
          </w:tcPr>
          <w:p w14:paraId="11EDC15D" w14:textId="1279785D" w:rsidR="003C78D1" w:rsidRDefault="00A9576D" w:rsidP="00E41423">
            <w:pPr>
              <w:rPr>
                <w:rFonts w:ascii="Arial" w:hAnsi="Arial" w:cs="Arial"/>
                <w:sz w:val="32"/>
                <w:szCs w:val="32"/>
              </w:rPr>
            </w:pPr>
            <w:r w:rsidRPr="003C78D1">
              <w:rPr>
                <w:rFonts w:ascii="Arial" w:hAnsi="Arial" w:cs="Arial"/>
                <w:sz w:val="32"/>
                <w:szCs w:val="32"/>
              </w:rPr>
              <w:t>This</w:t>
            </w:r>
            <w:r w:rsidR="004F50ED">
              <w:rPr>
                <w:rFonts w:ascii="Arial" w:hAnsi="Arial" w:cs="Arial"/>
                <w:sz w:val="32"/>
                <w:szCs w:val="32"/>
              </w:rPr>
              <w:t xml:space="preserve"> is</w:t>
            </w:r>
            <w:r w:rsidR="00BC6032">
              <w:rPr>
                <w:rFonts w:ascii="Arial" w:hAnsi="Arial" w:cs="Arial"/>
                <w:sz w:val="32"/>
                <w:szCs w:val="32"/>
              </w:rPr>
              <w:t xml:space="preserve"> a paper</w:t>
            </w:r>
            <w:r w:rsidR="004F50ED">
              <w:rPr>
                <w:rFonts w:ascii="Arial" w:hAnsi="Arial" w:cs="Arial"/>
                <w:sz w:val="32"/>
                <w:szCs w:val="32"/>
              </w:rPr>
              <w:t xml:space="preserve"> about violence against women and girls with disabilities in Europe.</w:t>
            </w:r>
          </w:p>
          <w:p w14:paraId="045022CC" w14:textId="77777777" w:rsidR="004F50ED" w:rsidRDefault="004F50ED" w:rsidP="00E41423">
            <w:pPr>
              <w:rPr>
                <w:rFonts w:ascii="Arial" w:hAnsi="Arial" w:cs="Arial"/>
                <w:sz w:val="32"/>
                <w:szCs w:val="32"/>
              </w:rPr>
            </w:pPr>
          </w:p>
          <w:p w14:paraId="54B3945B" w14:textId="77777777" w:rsidR="004F50ED" w:rsidRDefault="004F50ED" w:rsidP="00E41423">
            <w:pPr>
              <w:rPr>
                <w:rFonts w:ascii="Arial" w:hAnsi="Arial" w:cs="Arial"/>
                <w:sz w:val="32"/>
                <w:szCs w:val="32"/>
              </w:rPr>
            </w:pPr>
            <w:r>
              <w:rPr>
                <w:rFonts w:ascii="Arial" w:hAnsi="Arial" w:cs="Arial"/>
                <w:sz w:val="32"/>
                <w:szCs w:val="32"/>
              </w:rPr>
              <w:t>It explains:</w:t>
            </w:r>
          </w:p>
          <w:p w14:paraId="23E32670" w14:textId="77777777" w:rsidR="004F50ED" w:rsidRDefault="004F50ED" w:rsidP="00E41423">
            <w:pPr>
              <w:rPr>
                <w:rFonts w:ascii="Arial" w:hAnsi="Arial" w:cs="Arial"/>
                <w:sz w:val="32"/>
                <w:szCs w:val="32"/>
              </w:rPr>
            </w:pPr>
          </w:p>
          <w:p w14:paraId="07E4E54B" w14:textId="55D9107B" w:rsidR="004F50ED" w:rsidRDefault="004F50ED" w:rsidP="004F50ED">
            <w:pPr>
              <w:pStyle w:val="ListParagraph"/>
              <w:numPr>
                <w:ilvl w:val="0"/>
                <w:numId w:val="3"/>
              </w:numPr>
              <w:rPr>
                <w:rFonts w:ascii="Arial" w:hAnsi="Arial" w:cs="Arial"/>
                <w:sz w:val="32"/>
                <w:szCs w:val="32"/>
              </w:rPr>
            </w:pPr>
            <w:r w:rsidRPr="004F50ED">
              <w:rPr>
                <w:rFonts w:ascii="Arial" w:hAnsi="Arial" w:cs="Arial"/>
                <w:sz w:val="32"/>
                <w:szCs w:val="32"/>
              </w:rPr>
              <w:t>the forms of violence</w:t>
            </w:r>
          </w:p>
          <w:p w14:paraId="035A166E" w14:textId="1107161A" w:rsidR="004F50ED" w:rsidRDefault="004F50ED" w:rsidP="004F50ED">
            <w:pPr>
              <w:pStyle w:val="ListParagraph"/>
              <w:numPr>
                <w:ilvl w:val="0"/>
                <w:numId w:val="3"/>
              </w:numPr>
              <w:rPr>
                <w:rFonts w:ascii="Arial" w:hAnsi="Arial" w:cs="Arial"/>
                <w:sz w:val="32"/>
                <w:szCs w:val="32"/>
              </w:rPr>
            </w:pPr>
            <w:r>
              <w:rPr>
                <w:rFonts w:ascii="Arial" w:hAnsi="Arial" w:cs="Arial"/>
                <w:sz w:val="32"/>
                <w:szCs w:val="32"/>
              </w:rPr>
              <w:t xml:space="preserve">the difficulties to report </w:t>
            </w:r>
            <w:proofErr w:type="gramStart"/>
            <w:r>
              <w:rPr>
                <w:rFonts w:ascii="Arial" w:hAnsi="Arial" w:cs="Arial"/>
                <w:sz w:val="32"/>
                <w:szCs w:val="32"/>
              </w:rPr>
              <w:t>violence</w:t>
            </w:r>
            <w:proofErr w:type="gramEnd"/>
            <w:r>
              <w:rPr>
                <w:rFonts w:ascii="Arial" w:hAnsi="Arial" w:cs="Arial"/>
                <w:sz w:val="32"/>
                <w:szCs w:val="32"/>
              </w:rPr>
              <w:t xml:space="preserve"> </w:t>
            </w:r>
          </w:p>
          <w:p w14:paraId="57E7A202" w14:textId="2BBBE6EE" w:rsidR="004F50ED" w:rsidRDefault="004F50ED" w:rsidP="004F50ED">
            <w:pPr>
              <w:pStyle w:val="ListParagraph"/>
              <w:numPr>
                <w:ilvl w:val="0"/>
                <w:numId w:val="3"/>
              </w:numPr>
              <w:rPr>
                <w:rFonts w:ascii="Arial" w:hAnsi="Arial" w:cs="Arial"/>
                <w:sz w:val="32"/>
                <w:szCs w:val="32"/>
              </w:rPr>
            </w:pPr>
            <w:r>
              <w:rPr>
                <w:rFonts w:ascii="Arial" w:hAnsi="Arial" w:cs="Arial"/>
                <w:sz w:val="32"/>
                <w:szCs w:val="32"/>
              </w:rPr>
              <w:t xml:space="preserve">the difficulties to protect </w:t>
            </w:r>
            <w:proofErr w:type="gramStart"/>
            <w:r>
              <w:rPr>
                <w:rFonts w:ascii="Arial" w:hAnsi="Arial" w:cs="Arial"/>
                <w:sz w:val="32"/>
                <w:szCs w:val="32"/>
              </w:rPr>
              <w:t>victims</w:t>
            </w:r>
            <w:proofErr w:type="gramEnd"/>
          </w:p>
          <w:p w14:paraId="09C25936" w14:textId="175832F6" w:rsidR="004F50ED" w:rsidRDefault="004F50ED" w:rsidP="00E41423">
            <w:pPr>
              <w:rPr>
                <w:rFonts w:ascii="Arial" w:hAnsi="Arial" w:cs="Arial"/>
                <w:sz w:val="32"/>
                <w:szCs w:val="32"/>
              </w:rPr>
            </w:pPr>
          </w:p>
          <w:p w14:paraId="0CD726FE" w14:textId="590B51F7" w:rsidR="004F50ED" w:rsidRPr="003C78D1" w:rsidRDefault="004F50ED" w:rsidP="00E41423">
            <w:pPr>
              <w:rPr>
                <w:rFonts w:ascii="Arial" w:hAnsi="Arial" w:cs="Arial"/>
                <w:sz w:val="32"/>
                <w:szCs w:val="32"/>
              </w:rPr>
            </w:pPr>
            <w:r>
              <w:rPr>
                <w:rFonts w:ascii="Arial" w:hAnsi="Arial" w:cs="Arial"/>
                <w:sz w:val="32"/>
                <w:szCs w:val="32"/>
              </w:rPr>
              <w:t xml:space="preserve">It gives recommendations to the European Union to end violence. </w:t>
            </w:r>
          </w:p>
        </w:tc>
      </w:tr>
      <w:tr w:rsidR="009277BC" w14:paraId="7BF13665" w14:textId="77777777" w:rsidTr="004F50ED">
        <w:trPr>
          <w:trHeight w:val="1228"/>
        </w:trPr>
        <w:tc>
          <w:tcPr>
            <w:tcW w:w="1998" w:type="dxa"/>
            <w:tcMar>
              <w:top w:w="144" w:type="dxa"/>
              <w:left w:w="144" w:type="dxa"/>
              <w:bottom w:w="144" w:type="dxa"/>
              <w:right w:w="144" w:type="dxa"/>
            </w:tcMar>
            <w:vAlign w:val="center"/>
          </w:tcPr>
          <w:p w14:paraId="77AF21B1" w14:textId="49A87C40" w:rsidR="00E41423" w:rsidRDefault="00E41423" w:rsidP="00A9576D">
            <w:r>
              <w:rPr>
                <w:noProof/>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1966" w:type="dxa"/>
            <w:vAlign w:val="center"/>
          </w:tcPr>
          <w:p w14:paraId="0FA8123C" w14:textId="452853A3" w:rsidR="00E41423" w:rsidRDefault="00E41423" w:rsidP="009277BC">
            <w:pPr>
              <w:jc w:val="center"/>
            </w:pPr>
            <w:r>
              <w:rPr>
                <w:noProof/>
              </w:rPr>
              <w:drawing>
                <wp:inline distT="0" distB="0" distL="0" distR="0" wp14:anchorId="371D7D1E" wp14:editId="1172F291">
                  <wp:extent cx="977463" cy="969665"/>
                  <wp:effectExtent l="0" t="0" r="0" b="1905"/>
                  <wp:docPr id="10" name="Picture 10"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5052" w:type="dxa"/>
            <w:tcMar>
              <w:top w:w="144" w:type="dxa"/>
              <w:left w:w="144" w:type="dxa"/>
              <w:bottom w:w="144" w:type="dxa"/>
              <w:right w:w="144" w:type="dxa"/>
            </w:tcMar>
            <w:vAlign w:val="center"/>
          </w:tcPr>
          <w:p w14:paraId="3DD05247" w14:textId="3BCA21C8" w:rsidR="00E41423" w:rsidRPr="00E41423" w:rsidRDefault="00E41423" w:rsidP="00E41423">
            <w:pPr>
              <w:rPr>
                <w:rFonts w:ascii="Arial" w:hAnsi="Arial" w:cs="Arial"/>
                <w:sz w:val="32"/>
                <w:szCs w:val="32"/>
              </w:rPr>
            </w:pPr>
            <w:r w:rsidRPr="003C78D1">
              <w:rPr>
                <w:rFonts w:ascii="Arial" w:hAnsi="Arial" w:cs="Arial"/>
                <w:sz w:val="32"/>
                <w:szCs w:val="32"/>
              </w:rPr>
              <w:t>If you want more of this document in Easy to Read,</w:t>
            </w:r>
          </w:p>
        </w:tc>
      </w:tr>
      <w:tr w:rsidR="009277BC" w14:paraId="0D369D03" w14:textId="77777777" w:rsidTr="004F50ED">
        <w:trPr>
          <w:trHeight w:val="1226"/>
        </w:trPr>
        <w:tc>
          <w:tcPr>
            <w:tcW w:w="1998" w:type="dxa"/>
            <w:tcMar>
              <w:top w:w="144" w:type="dxa"/>
              <w:left w:w="144" w:type="dxa"/>
              <w:bottom w:w="144" w:type="dxa"/>
              <w:right w:w="144" w:type="dxa"/>
            </w:tcMar>
            <w:vAlign w:val="center"/>
          </w:tcPr>
          <w:p w14:paraId="42D54444" w14:textId="77777777" w:rsidR="009277BC" w:rsidRDefault="009277BC" w:rsidP="001E0F08">
            <w:pPr>
              <w:jc w:val="center"/>
              <w:rPr>
                <w:rFonts w:ascii="Arial" w:hAnsi="Arial" w:cs="Arial"/>
                <w:b/>
                <w:bCs/>
                <w:sz w:val="32"/>
                <w:szCs w:val="32"/>
              </w:rPr>
            </w:pPr>
            <w:r>
              <w:rPr>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Default="009277BC" w:rsidP="001E0F08">
            <w:pPr>
              <w:jc w:val="center"/>
              <w:rPr>
                <w:rFonts w:ascii="Arial" w:hAnsi="Arial" w:cs="Arial"/>
                <w:b/>
                <w:bCs/>
                <w:sz w:val="32"/>
                <w:szCs w:val="32"/>
              </w:rPr>
            </w:pPr>
            <w:r w:rsidRPr="00E41423">
              <w:rPr>
                <w:rFonts w:ascii="Arial" w:hAnsi="Arial" w:cs="Arial"/>
                <w:b/>
                <w:bCs/>
                <w:sz w:val="32"/>
                <w:szCs w:val="32"/>
              </w:rPr>
              <w:t>+ 32 2 282 46 00</w:t>
            </w:r>
          </w:p>
        </w:tc>
        <w:tc>
          <w:tcPr>
            <w:tcW w:w="1966" w:type="dxa"/>
            <w:vAlign w:val="center"/>
          </w:tcPr>
          <w:p w14:paraId="0E16A3EE" w14:textId="77777777" w:rsidR="009277BC" w:rsidRDefault="009277BC" w:rsidP="001E0F08">
            <w:pPr>
              <w:jc w:val="center"/>
              <w:rPr>
                <w:b/>
                <w:bCs/>
              </w:rPr>
            </w:pPr>
            <w:r>
              <w:rPr>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E41423" w:rsidRDefault="00570B2D" w:rsidP="001E0F08">
            <w:pPr>
              <w:jc w:val="center"/>
              <w:rPr>
                <w:b/>
                <w:bCs/>
              </w:rPr>
            </w:pPr>
            <w:hyperlink r:id="rId14" w:history="1">
              <w:r w:rsidR="009277BC" w:rsidRPr="008C480E">
                <w:rPr>
                  <w:rStyle w:val="Hyperlink"/>
                  <w:rFonts w:ascii="Arial" w:hAnsi="Arial" w:cs="Arial"/>
                  <w:b/>
                  <w:bCs/>
                  <w:sz w:val="32"/>
                  <w:szCs w:val="32"/>
                </w:rPr>
                <w:t>info@edf-feph.org</w:t>
              </w:r>
            </w:hyperlink>
          </w:p>
        </w:tc>
        <w:tc>
          <w:tcPr>
            <w:tcW w:w="5052" w:type="dxa"/>
            <w:tcMar>
              <w:top w:w="144" w:type="dxa"/>
              <w:left w:w="144" w:type="dxa"/>
              <w:bottom w:w="144" w:type="dxa"/>
              <w:right w:w="144" w:type="dxa"/>
            </w:tcMar>
            <w:vAlign w:val="center"/>
          </w:tcPr>
          <w:p w14:paraId="78D25F8F" w14:textId="77777777" w:rsidR="009277BC" w:rsidRPr="009277BC" w:rsidRDefault="009277BC" w:rsidP="009277BC">
            <w:pPr>
              <w:spacing w:before="240"/>
              <w:rPr>
                <w:rFonts w:ascii="Arial" w:hAnsi="Arial" w:cs="Arial"/>
                <w:b/>
                <w:bCs/>
                <w:sz w:val="32"/>
                <w:szCs w:val="32"/>
              </w:rPr>
            </w:pPr>
            <w:r w:rsidRPr="009277BC">
              <w:rPr>
                <w:rFonts w:ascii="Arial" w:hAnsi="Arial" w:cs="Arial"/>
                <w:sz w:val="32"/>
                <w:szCs w:val="32"/>
              </w:rPr>
              <w:t xml:space="preserve">You can phone us at </w:t>
            </w:r>
            <w:r w:rsidRPr="009277BC">
              <w:rPr>
                <w:rFonts w:ascii="Arial" w:hAnsi="Arial" w:cs="Arial"/>
                <w:sz w:val="32"/>
                <w:szCs w:val="32"/>
              </w:rPr>
              <w:br/>
            </w:r>
            <w:r w:rsidRPr="009277BC">
              <w:rPr>
                <w:rFonts w:ascii="Arial" w:hAnsi="Arial" w:cs="Arial"/>
                <w:b/>
                <w:bCs/>
                <w:sz w:val="32"/>
                <w:szCs w:val="32"/>
              </w:rPr>
              <w:t xml:space="preserve">+ 32 2 282 46 </w:t>
            </w:r>
            <w:proofErr w:type="gramStart"/>
            <w:r w:rsidRPr="009277BC">
              <w:rPr>
                <w:rFonts w:ascii="Arial" w:hAnsi="Arial" w:cs="Arial"/>
                <w:b/>
                <w:bCs/>
                <w:sz w:val="32"/>
                <w:szCs w:val="32"/>
              </w:rPr>
              <w:t>00</w:t>
            </w:r>
            <w:proofErr w:type="gramEnd"/>
          </w:p>
          <w:p w14:paraId="14FEC775" w14:textId="081397B2" w:rsidR="009277BC" w:rsidRPr="009277BC" w:rsidRDefault="009277BC" w:rsidP="009277BC">
            <w:pPr>
              <w:spacing w:before="240"/>
              <w:rPr>
                <w:rFonts w:ascii="Arial" w:hAnsi="Arial" w:cs="Arial"/>
                <w:sz w:val="32"/>
                <w:szCs w:val="32"/>
              </w:rPr>
            </w:pPr>
            <w:r w:rsidRPr="009277BC">
              <w:rPr>
                <w:rFonts w:ascii="Arial" w:hAnsi="Arial" w:cs="Arial"/>
                <w:sz w:val="32"/>
                <w:szCs w:val="32"/>
              </w:rPr>
              <w:t>Or email us at</w:t>
            </w:r>
            <w:r w:rsidRPr="009277BC">
              <w:rPr>
                <w:rFonts w:ascii="Arial" w:hAnsi="Arial" w:cs="Arial"/>
                <w:sz w:val="32"/>
                <w:szCs w:val="32"/>
              </w:rPr>
              <w:br/>
            </w:r>
            <w:hyperlink r:id="rId15" w:history="1">
              <w:r w:rsidRPr="009277BC">
                <w:rPr>
                  <w:rStyle w:val="Hyperlink"/>
                  <w:rFonts w:ascii="Arial" w:hAnsi="Arial" w:cs="Arial"/>
                  <w:b/>
                  <w:bCs/>
                  <w:sz w:val="32"/>
                  <w:szCs w:val="32"/>
                </w:rPr>
                <w:t>info@edf-feph.org</w:t>
              </w:r>
            </w:hyperlink>
          </w:p>
        </w:tc>
      </w:tr>
    </w:tbl>
    <w:p w14:paraId="0742CE94" w14:textId="77777777" w:rsidR="00F81B52" w:rsidRDefault="00F81B52" w:rsidP="00F81B52">
      <w:pPr>
        <w:pStyle w:val="Heading1"/>
      </w:pPr>
      <w:bookmarkStart w:id="8" w:name="_Toc70070133"/>
      <w:r>
        <w:lastRenderedPageBreak/>
        <w:t>EU’s obligations to ensure the rights of women and girls with disabilities under the UN Convention on the Rights of Persons with Disabilities</w:t>
      </w:r>
      <w:bookmarkEnd w:id="8"/>
      <w:r>
        <w:t xml:space="preserve"> </w:t>
      </w:r>
    </w:p>
    <w:p w14:paraId="28FBC987" w14:textId="77777777" w:rsidR="00F81B52" w:rsidRPr="00DD4128" w:rsidRDefault="00F81B52" w:rsidP="00F81B52">
      <w:pPr>
        <w:rPr>
          <w:bCs/>
          <w:iCs/>
          <w:lang w:val="en-GB"/>
        </w:rPr>
      </w:pPr>
      <w:r w:rsidRPr="00DD4128">
        <w:rPr>
          <w:bCs/>
          <w:iCs/>
          <w:lang w:val="en-GB"/>
        </w:rPr>
        <w:t>The EU and all its Member States have committed to protect and promote the rights of persons with disabilities, including women and girls with disabilities by ratifying the United Nations Convention on the Rights of Persons with Disabilities (</w:t>
      </w:r>
      <w:hyperlink r:id="rId16" w:history="1">
        <w:r w:rsidRPr="00DD4128">
          <w:rPr>
            <w:rStyle w:val="Hyperlink"/>
            <w:lang w:val="en-GB"/>
          </w:rPr>
          <w:t>CRPD</w:t>
        </w:r>
      </w:hyperlink>
      <w:r w:rsidRPr="00DD4128">
        <w:rPr>
          <w:bCs/>
          <w:iCs/>
          <w:lang w:val="en-GB"/>
        </w:rPr>
        <w:t xml:space="preserve">). </w:t>
      </w:r>
    </w:p>
    <w:p w14:paraId="5E6EF7A3" w14:textId="77777777" w:rsidR="00F81B52" w:rsidRPr="00DD4128" w:rsidRDefault="00F81B52" w:rsidP="00F81B52">
      <w:pPr>
        <w:rPr>
          <w:bCs/>
          <w:iCs/>
        </w:rPr>
      </w:pPr>
      <w:r w:rsidRPr="00DD4128">
        <w:rPr>
          <w:bCs/>
          <w:iCs/>
          <w:lang w:val="en-GB"/>
        </w:rPr>
        <w:t xml:space="preserve">Article 16 of the Convention specifically addresses exploitation, </w:t>
      </w:r>
      <w:proofErr w:type="gramStart"/>
      <w:r w:rsidRPr="00DD4128">
        <w:rPr>
          <w:bCs/>
          <w:iCs/>
          <w:lang w:val="en-GB"/>
        </w:rPr>
        <w:t>violence</w:t>
      </w:r>
      <w:proofErr w:type="gramEnd"/>
      <w:r w:rsidRPr="00DD4128">
        <w:rPr>
          <w:bCs/>
          <w:iCs/>
          <w:lang w:val="en-GB"/>
        </w:rPr>
        <w:t xml:space="preserve"> and abuse. According to article 16 paragraph 1, States Parties must “take all appropriate legislative, administrative, social, educational and other measures to protect persons with disabilities, both within and outside the home, from all forms of exploitation, violence and abuse, including their gender-based aspects.”</w:t>
      </w:r>
      <w:r>
        <w:rPr>
          <w:rStyle w:val="FootnoteReference"/>
          <w:bCs/>
          <w:iCs/>
          <w:lang w:val="en-GB"/>
        </w:rPr>
        <w:footnoteReference w:id="1"/>
      </w:r>
    </w:p>
    <w:p w14:paraId="621F1FE0" w14:textId="77777777" w:rsidR="00F81B52" w:rsidRPr="00DD4128" w:rsidRDefault="00F81B52" w:rsidP="00F81B52">
      <w:pPr>
        <w:rPr>
          <w:bCs/>
          <w:iCs/>
          <w:lang w:val="en-IE"/>
        </w:rPr>
      </w:pPr>
      <w:r w:rsidRPr="00DD4128">
        <w:rPr>
          <w:bCs/>
          <w:iCs/>
          <w:lang w:val="en-GB"/>
        </w:rPr>
        <w:t xml:space="preserve">In 2015 the CRPD Committee adopted specific recommendations to be followed by the EU in its </w:t>
      </w:r>
      <w:hyperlink r:id="rId17" w:history="1">
        <w:r w:rsidRPr="00DD4128">
          <w:rPr>
            <w:rStyle w:val="Hyperlink"/>
            <w:lang w:val="en-IE"/>
          </w:rPr>
          <w:t>Concluding observations on the initial report of the EU</w:t>
        </w:r>
      </w:hyperlink>
      <w:r w:rsidRPr="00DD4128">
        <w:rPr>
          <w:bCs/>
          <w:iCs/>
          <w:lang w:val="en-IE"/>
        </w:rPr>
        <w:t xml:space="preserve">. The Committee made the following recommendations to the EU in relation to women and girls with disabilities and gender-based violence: </w:t>
      </w:r>
    </w:p>
    <w:p w14:paraId="5F16B149" w14:textId="780349F5" w:rsidR="00F81B52" w:rsidRPr="00DD4128" w:rsidRDefault="00F81B52" w:rsidP="00F81B52">
      <w:pPr>
        <w:numPr>
          <w:ilvl w:val="0"/>
          <w:numId w:val="4"/>
        </w:numPr>
        <w:rPr>
          <w:bCs/>
          <w:iCs/>
        </w:rPr>
      </w:pPr>
      <w:r w:rsidRPr="00DD4128">
        <w:rPr>
          <w:bCs/>
          <w:iCs/>
          <w:lang w:val="en-GB"/>
        </w:rPr>
        <w:t>Acce</w:t>
      </w:r>
      <w:r w:rsidR="00E341CA">
        <w:rPr>
          <w:bCs/>
          <w:iCs/>
          <w:lang w:val="en-GB"/>
        </w:rPr>
        <w:t>ss</w:t>
      </w:r>
      <w:r w:rsidRPr="00DD4128">
        <w:rPr>
          <w:bCs/>
          <w:iCs/>
          <w:lang w:val="en-GB"/>
        </w:rPr>
        <w:t xml:space="preserve"> </w:t>
      </w:r>
      <w:r w:rsidRPr="00DD4128">
        <w:rPr>
          <w:bCs/>
          <w:iCs/>
        </w:rPr>
        <w:t>to the Council of Europe Convention on preventing and combating violence against women and domestic violence (Istanbul Convention) as a step to combating violence against women and girls with disabilities</w:t>
      </w:r>
      <w:r w:rsidR="00E341CA">
        <w:rPr>
          <w:bCs/>
          <w:iCs/>
        </w:rPr>
        <w:t>.</w:t>
      </w:r>
    </w:p>
    <w:p w14:paraId="049C205B" w14:textId="32C62EEF" w:rsidR="00F81B52" w:rsidRDefault="00F81B52" w:rsidP="00F81B52">
      <w:pPr>
        <w:numPr>
          <w:ilvl w:val="0"/>
          <w:numId w:val="4"/>
        </w:numPr>
      </w:pPr>
      <w:r w:rsidRPr="00DD4128">
        <w:rPr>
          <w:bCs/>
          <w:iCs/>
        </w:rPr>
        <w:t xml:space="preserve">Take the necessary measures to mainstream disability in all legislation, </w:t>
      </w:r>
      <w:proofErr w:type="gramStart"/>
      <w:r w:rsidRPr="00DD4128">
        <w:rPr>
          <w:bCs/>
          <w:iCs/>
        </w:rPr>
        <w:t>policies</w:t>
      </w:r>
      <w:proofErr w:type="gramEnd"/>
      <w:r w:rsidRPr="00DD4128">
        <w:rPr>
          <w:bCs/>
          <w:iCs/>
        </w:rPr>
        <w:t xml:space="preserve"> and strategies for combating violence, abuse and exploitation, and provide effective protection from violence, abuse and exploitation to all persons with all types of disabilities inside and outside of the home environment</w:t>
      </w:r>
      <w:r w:rsidR="00E341CA">
        <w:rPr>
          <w:bCs/>
          <w:iCs/>
        </w:rPr>
        <w:t>.</w:t>
      </w:r>
    </w:p>
    <w:p w14:paraId="2DFABD74" w14:textId="4ACED076" w:rsidR="00F81B52" w:rsidRPr="00F81B52" w:rsidRDefault="0037728B" w:rsidP="00F81B52">
      <w:r>
        <w:t xml:space="preserve">The European Commission should specifically take into consideration these recommendations in the implementation of the EU Gender Equality Strategy, Disability Rights Strategy and Victims’ Rights Strategy. </w:t>
      </w:r>
    </w:p>
    <w:p w14:paraId="2CFD1649" w14:textId="4085EEDE" w:rsidR="00282B80" w:rsidRDefault="00E558AF" w:rsidP="00A9576D">
      <w:pPr>
        <w:pStyle w:val="Heading1"/>
        <w:pageBreakBefore/>
      </w:pPr>
      <w:bookmarkStart w:id="9" w:name="_Toc70070134"/>
      <w:r>
        <w:lastRenderedPageBreak/>
        <w:t>Violence against women and girls with disabilities in the European Union</w:t>
      </w:r>
      <w:bookmarkEnd w:id="9"/>
      <w:r>
        <w:t xml:space="preserve"> </w:t>
      </w:r>
    </w:p>
    <w:p w14:paraId="1F474362" w14:textId="77777777" w:rsidR="00044BF6" w:rsidRDefault="00044BF6" w:rsidP="00044BF6">
      <w:pPr>
        <w:rPr>
          <w:bCs/>
          <w:iCs/>
          <w:lang w:val="en-GB"/>
        </w:rPr>
      </w:pPr>
      <w:r w:rsidRPr="009C3B88">
        <w:rPr>
          <w:bCs/>
          <w:iCs/>
          <w:lang w:val="en-GB"/>
        </w:rPr>
        <w:t xml:space="preserve">Women with disabilities constitute </w:t>
      </w:r>
      <w:r w:rsidRPr="00FA7ACB">
        <w:rPr>
          <w:iCs/>
          <w:lang w:val="en-GB"/>
        </w:rPr>
        <w:t>16% of the total population of women in the European Union</w:t>
      </w:r>
      <w:r w:rsidRPr="009C3B88">
        <w:rPr>
          <w:bCs/>
          <w:iCs/>
          <w:lang w:val="en-GB"/>
        </w:rPr>
        <w:t xml:space="preserve">, and 60% of the overall population of 100 million persons with disabilities. This corresponds to an estimated 60 million of </w:t>
      </w:r>
      <w:proofErr w:type="gramStart"/>
      <w:r w:rsidRPr="009C3B88">
        <w:rPr>
          <w:bCs/>
          <w:iCs/>
          <w:lang w:val="en-GB"/>
        </w:rPr>
        <w:t>women;</w:t>
      </w:r>
      <w:proofErr w:type="gramEnd"/>
      <w:r w:rsidRPr="009C3B88">
        <w:rPr>
          <w:bCs/>
          <w:iCs/>
          <w:lang w:val="en-GB"/>
        </w:rPr>
        <w:t xml:space="preserve"> equivalent to the total population of Italy. </w:t>
      </w:r>
    </w:p>
    <w:p w14:paraId="7D30ABA4" w14:textId="0D6B2386" w:rsidR="00044BF6" w:rsidRDefault="00044BF6" w:rsidP="00044BF6">
      <w:pPr>
        <w:rPr>
          <w:bCs/>
          <w:iCs/>
          <w:lang w:val="en-GB"/>
        </w:rPr>
      </w:pPr>
      <w:r w:rsidRPr="0014531D">
        <w:rPr>
          <w:bCs/>
          <w:iCs/>
        </w:rPr>
        <w:t xml:space="preserve">Women and girls with disabilities face multiple and intersectional discrimination in all areas of life, and are more at risk </w:t>
      </w:r>
      <w:r>
        <w:rPr>
          <w:bCs/>
          <w:iCs/>
          <w:lang w:val="en-GB"/>
        </w:rPr>
        <w:t>of</w:t>
      </w:r>
      <w:r w:rsidRPr="00DD7628">
        <w:rPr>
          <w:bCs/>
          <w:iCs/>
          <w:lang w:val="en-GB"/>
        </w:rPr>
        <w:t xml:space="preserve"> violence, exploitation and abuse</w:t>
      </w:r>
      <w:r>
        <w:rPr>
          <w:bCs/>
          <w:iCs/>
          <w:lang w:val="en-GB"/>
        </w:rPr>
        <w:t xml:space="preserve"> </w:t>
      </w:r>
      <w:r w:rsidRPr="00DD7628">
        <w:rPr>
          <w:bCs/>
          <w:iCs/>
          <w:lang w:val="en-GB"/>
        </w:rPr>
        <w:t>compared to other women.</w:t>
      </w:r>
      <w:r>
        <w:rPr>
          <w:bCs/>
          <w:iCs/>
          <w:lang w:val="en-GB"/>
        </w:rPr>
        <w:t xml:space="preserve"> </w:t>
      </w:r>
      <w:r w:rsidRPr="009C3B88">
        <w:rPr>
          <w:bCs/>
          <w:iCs/>
          <w:lang w:val="en-GB"/>
        </w:rPr>
        <w:t xml:space="preserve">Violence </w:t>
      </w:r>
      <w:r w:rsidRPr="006349D6">
        <w:rPr>
          <w:bCs/>
          <w:iCs/>
          <w:lang w:val="en-GB"/>
        </w:rPr>
        <w:t>may be interpersonal or institutional and/or structural</w:t>
      </w:r>
      <w:r>
        <w:rPr>
          <w:bCs/>
          <w:iCs/>
          <w:lang w:val="en-GB"/>
        </w:rPr>
        <w:t xml:space="preserve"> and</w:t>
      </w:r>
      <w:r w:rsidRPr="00327509">
        <w:rPr>
          <w:bCs/>
          <w:iCs/>
          <w:lang w:val="en-GB"/>
        </w:rPr>
        <w:t xml:space="preserve"> </w:t>
      </w:r>
      <w:r w:rsidRPr="009C3B88">
        <w:rPr>
          <w:bCs/>
          <w:iCs/>
          <w:lang w:val="en-GB"/>
        </w:rPr>
        <w:t>take place in various settings including</w:t>
      </w:r>
      <w:r>
        <w:rPr>
          <w:bCs/>
          <w:iCs/>
          <w:lang w:val="en-GB"/>
        </w:rPr>
        <w:t xml:space="preserve"> at home and at work, and in close settings such as</w:t>
      </w:r>
      <w:r w:rsidRPr="009C3B88">
        <w:rPr>
          <w:bCs/>
          <w:iCs/>
          <w:lang w:val="en-GB"/>
        </w:rPr>
        <w:t xml:space="preserve"> in institutions and </w:t>
      </w:r>
      <w:r>
        <w:rPr>
          <w:bCs/>
          <w:iCs/>
          <w:lang w:val="en-GB"/>
        </w:rPr>
        <w:t xml:space="preserve">in </w:t>
      </w:r>
      <w:r w:rsidRPr="009C3B88">
        <w:rPr>
          <w:bCs/>
          <w:iCs/>
          <w:lang w:val="en-GB"/>
        </w:rPr>
        <w:t>segregated schools</w:t>
      </w:r>
      <w:r>
        <w:rPr>
          <w:bCs/>
          <w:iCs/>
          <w:lang w:val="en-GB"/>
        </w:rPr>
        <w:t xml:space="preserve">. </w:t>
      </w:r>
    </w:p>
    <w:p w14:paraId="0BF0D98D" w14:textId="18CB1CD2" w:rsidR="00044BF6" w:rsidRPr="00FA7ACB" w:rsidRDefault="00044BF6" w:rsidP="00044BF6">
      <w:pPr>
        <w:rPr>
          <w:bCs/>
          <w:iCs/>
          <w:lang w:val="en-GB"/>
        </w:rPr>
      </w:pPr>
      <w:r>
        <w:rPr>
          <w:bCs/>
          <w:iCs/>
          <w:lang w:val="en-GB"/>
        </w:rPr>
        <w:t>Violence against women and girls with disabilities can take different forms</w:t>
      </w:r>
      <w:r w:rsidRPr="009C3B88">
        <w:rPr>
          <w:bCs/>
          <w:iCs/>
          <w:lang w:val="en-GB"/>
        </w:rPr>
        <w:t xml:space="preserve"> including</w:t>
      </w:r>
      <w:r>
        <w:rPr>
          <w:bCs/>
          <w:iCs/>
          <w:lang w:val="en-GB"/>
        </w:rPr>
        <w:t xml:space="preserve"> </w:t>
      </w:r>
      <w:r w:rsidRPr="00044BF6">
        <w:rPr>
          <w:bCs/>
          <w:iCs/>
          <w:lang w:val="en-GB"/>
        </w:rPr>
        <w:t>harassment, sexual violence,</w:t>
      </w:r>
      <w:r w:rsidR="00952780">
        <w:rPr>
          <w:bCs/>
          <w:iCs/>
          <w:lang w:val="en-GB"/>
        </w:rPr>
        <w:t xml:space="preserve"> incest,</w:t>
      </w:r>
      <w:r w:rsidRPr="00044BF6">
        <w:rPr>
          <w:bCs/>
          <w:iCs/>
          <w:lang w:val="en-GB"/>
        </w:rPr>
        <w:t xml:space="preserve"> and forced abortion, </w:t>
      </w:r>
      <w:proofErr w:type="gramStart"/>
      <w:r w:rsidRPr="00044BF6">
        <w:rPr>
          <w:bCs/>
          <w:iCs/>
          <w:lang w:val="en-GB"/>
        </w:rPr>
        <w:t>sterilisation</w:t>
      </w:r>
      <w:proofErr w:type="gramEnd"/>
      <w:r w:rsidRPr="00044BF6">
        <w:rPr>
          <w:bCs/>
          <w:iCs/>
          <w:lang w:val="en-GB"/>
        </w:rPr>
        <w:t xml:space="preserve"> and contraception. </w:t>
      </w:r>
      <w:r w:rsidRPr="00044BF6">
        <w:rPr>
          <w:bCs/>
          <w:iCs/>
        </w:rPr>
        <w:t xml:space="preserve">They also include </w:t>
      </w:r>
      <w:r w:rsidRPr="00044BF6">
        <w:rPr>
          <w:b/>
          <w:iCs/>
        </w:rPr>
        <w:t>disability specific violence</w:t>
      </w:r>
      <w:r w:rsidR="00952780">
        <w:rPr>
          <w:b/>
          <w:iCs/>
        </w:rPr>
        <w:t xml:space="preserve"> </w:t>
      </w:r>
      <w:r w:rsidRPr="00FA7ACB">
        <w:rPr>
          <w:bCs/>
          <w:iCs/>
          <w:lang w:val="en-GB"/>
        </w:rPr>
        <w:t xml:space="preserve">such as restraint, sexual abuse during daily hygiene routines, removal or control of communication aids, violence </w:t>
      </w:r>
      <w:proofErr w:type="gramStart"/>
      <w:r w:rsidRPr="00FA7ACB">
        <w:rPr>
          <w:bCs/>
          <w:iCs/>
          <w:lang w:val="en-GB"/>
        </w:rPr>
        <w:t>in the course of</w:t>
      </w:r>
      <w:proofErr w:type="gramEnd"/>
      <w:r w:rsidRPr="00FA7ACB">
        <w:rPr>
          <w:bCs/>
          <w:iCs/>
          <w:lang w:val="en-GB"/>
        </w:rPr>
        <w:t xml:space="preserve"> treatment, overmedication or withholding medication. </w:t>
      </w:r>
      <w:r w:rsidR="00952780">
        <w:rPr>
          <w:bCs/>
          <w:iCs/>
          <w:lang w:val="en-GB"/>
        </w:rPr>
        <w:t>Perpetrators often take advantage of the barriers and discrimination faced by women and girls with intellectual or psychosocial disabilities, deafblind women and girls, and women and girls with high support needs</w:t>
      </w:r>
      <w:r w:rsidR="005A0573">
        <w:rPr>
          <w:bCs/>
          <w:iCs/>
          <w:lang w:val="en-GB"/>
        </w:rPr>
        <w:t xml:space="preserve">. </w:t>
      </w:r>
    </w:p>
    <w:p w14:paraId="30F577B4" w14:textId="690583F8" w:rsidR="00E558AF" w:rsidRPr="00044BF6" w:rsidRDefault="00044BF6" w:rsidP="00E558AF">
      <w:pPr>
        <w:rPr>
          <w:bCs/>
          <w:iCs/>
          <w:lang w:val="en-GB"/>
        </w:rPr>
      </w:pPr>
      <w:r>
        <w:rPr>
          <w:bCs/>
          <w:iCs/>
          <w:lang w:val="en-GB"/>
        </w:rPr>
        <w:t xml:space="preserve">With the COVID-19 pandemic, </w:t>
      </w:r>
      <w:r w:rsidRPr="00FA7ACB">
        <w:rPr>
          <w:bCs/>
          <w:iCs/>
          <w:lang w:val="en-GB"/>
        </w:rPr>
        <w:t>especially during lockdown</w:t>
      </w:r>
      <w:r w:rsidR="002618DF">
        <w:rPr>
          <w:bCs/>
          <w:iCs/>
          <w:lang w:val="en-GB"/>
        </w:rPr>
        <w:t>s</w:t>
      </w:r>
      <w:r w:rsidRPr="00FA7ACB">
        <w:rPr>
          <w:bCs/>
          <w:iCs/>
          <w:lang w:val="en-GB"/>
        </w:rPr>
        <w:t>, violence against women and domestic violence has intensified.</w:t>
      </w:r>
      <w:r w:rsidRPr="00FA7ACB">
        <w:t xml:space="preserve"> </w:t>
      </w:r>
      <w:r w:rsidRPr="00FA7ACB">
        <w:rPr>
          <w:bCs/>
          <w:iCs/>
        </w:rPr>
        <w:t>Although we do not know the proportion of women and girls with disabilities victims of violence during the pandemic, the UN Office of the High Commissioner for Human Rights (OHCHR) has reported that, women with disabilities, likely facing higher numbers of domestic violence, are reporting less.</w:t>
      </w:r>
      <w:r w:rsidR="002618DF">
        <w:rPr>
          <w:rStyle w:val="FootnoteReference"/>
          <w:bCs/>
          <w:iCs/>
        </w:rPr>
        <w:footnoteReference w:id="2"/>
      </w:r>
    </w:p>
    <w:p w14:paraId="75230A91" w14:textId="13A43D12" w:rsidR="00E558AF" w:rsidRDefault="00E558AF" w:rsidP="00E558AF">
      <w:pPr>
        <w:pStyle w:val="Heading2"/>
      </w:pPr>
      <w:bookmarkStart w:id="10" w:name="_Toc70070135"/>
      <w:r>
        <w:t xml:space="preserve">Data on violence against women and girls with disabilities </w:t>
      </w:r>
      <w:r w:rsidR="00044BF6">
        <w:t>in the EU</w:t>
      </w:r>
      <w:bookmarkEnd w:id="10"/>
    </w:p>
    <w:p w14:paraId="25A4A4A8" w14:textId="59801792" w:rsidR="00044BF6" w:rsidRDefault="00044BF6" w:rsidP="00044BF6">
      <w:pPr>
        <w:rPr>
          <w:bCs/>
          <w:iCs/>
          <w:lang w:val="en-GB"/>
        </w:rPr>
      </w:pPr>
      <w:r>
        <w:rPr>
          <w:bCs/>
          <w:iCs/>
          <w:lang w:val="en-GB"/>
        </w:rPr>
        <w:t xml:space="preserve">Data on violence against women and girls with disabilities is very limited. This is because of the lack </w:t>
      </w:r>
      <w:r w:rsidR="00B35CFC">
        <w:rPr>
          <w:bCs/>
          <w:iCs/>
          <w:lang w:val="en-GB"/>
        </w:rPr>
        <w:t>of data collection</w:t>
      </w:r>
      <w:r>
        <w:rPr>
          <w:bCs/>
          <w:iCs/>
          <w:lang w:val="en-GB"/>
        </w:rPr>
        <w:t xml:space="preserve"> disaggregated by </w:t>
      </w:r>
      <w:r w:rsidR="00FE355A">
        <w:rPr>
          <w:bCs/>
          <w:iCs/>
          <w:lang w:val="en-GB"/>
        </w:rPr>
        <w:t xml:space="preserve">disability, including on </w:t>
      </w:r>
      <w:r w:rsidR="00B35CFC">
        <w:rPr>
          <w:bCs/>
          <w:iCs/>
          <w:lang w:val="en-GB"/>
        </w:rPr>
        <w:t>violence</w:t>
      </w:r>
      <w:r w:rsidR="008B6E99">
        <w:rPr>
          <w:bCs/>
          <w:iCs/>
          <w:lang w:val="en-GB"/>
        </w:rPr>
        <w:t xml:space="preserve"> </w:t>
      </w:r>
      <w:r w:rsidR="00B35CFC">
        <w:rPr>
          <w:bCs/>
          <w:iCs/>
          <w:lang w:val="en-GB"/>
        </w:rPr>
        <w:t>taking place in closed settings</w:t>
      </w:r>
      <w:r w:rsidR="008B6E99">
        <w:rPr>
          <w:bCs/>
          <w:iCs/>
          <w:lang w:val="en-GB"/>
        </w:rPr>
        <w:t xml:space="preserve"> (for example in institutions, asylum centres or psychiatric hospitals)</w:t>
      </w:r>
      <w:r w:rsidR="00FE355A">
        <w:rPr>
          <w:bCs/>
          <w:iCs/>
          <w:lang w:val="en-GB"/>
        </w:rPr>
        <w:t>, on disability specific violence (including forced sterilisation), on the relationship of the victim with the perpetrator(s) of the violence,</w:t>
      </w:r>
      <w:r>
        <w:rPr>
          <w:bCs/>
          <w:iCs/>
          <w:lang w:val="en-GB"/>
        </w:rPr>
        <w:t xml:space="preserve"> and </w:t>
      </w:r>
      <w:r w:rsidR="00FE355A">
        <w:rPr>
          <w:bCs/>
          <w:iCs/>
          <w:lang w:val="en-GB"/>
        </w:rPr>
        <w:t xml:space="preserve">on </w:t>
      </w:r>
      <w:r>
        <w:rPr>
          <w:bCs/>
          <w:iCs/>
          <w:lang w:val="en-GB"/>
        </w:rPr>
        <w:t>the barriers in reporting violence</w:t>
      </w:r>
      <w:r w:rsidR="001A33A7">
        <w:rPr>
          <w:bCs/>
          <w:iCs/>
          <w:lang w:val="en-GB"/>
        </w:rPr>
        <w:t xml:space="preserve"> that keep women and girls with disabilities silenced and invisible</w:t>
      </w:r>
      <w:r>
        <w:rPr>
          <w:bCs/>
          <w:iCs/>
          <w:lang w:val="en-GB"/>
        </w:rPr>
        <w:t xml:space="preserve">. </w:t>
      </w:r>
    </w:p>
    <w:p w14:paraId="67952E0F" w14:textId="6A82B2B1" w:rsidR="0056104A" w:rsidRDefault="0056104A" w:rsidP="00044BF6">
      <w:pPr>
        <w:rPr>
          <w:bCs/>
          <w:iCs/>
          <w:lang w:val="en-GB"/>
        </w:rPr>
      </w:pPr>
      <w:r>
        <w:rPr>
          <w:bCs/>
          <w:iCs/>
          <w:lang w:val="en-GB"/>
        </w:rPr>
        <w:t xml:space="preserve">There are also little considerations to women and girls with disabilities in relation to emerging forms of violence against women, such as </w:t>
      </w:r>
      <w:r w:rsidRPr="0056104A">
        <w:rPr>
          <w:bCs/>
          <w:iCs/>
          <w:lang w:val="en-GB"/>
        </w:rPr>
        <w:t xml:space="preserve">cyber </w:t>
      </w:r>
      <w:r w:rsidR="0027113B" w:rsidRPr="0056104A">
        <w:rPr>
          <w:bCs/>
          <w:iCs/>
          <w:lang w:val="en-GB"/>
        </w:rPr>
        <w:lastRenderedPageBreak/>
        <w:t>gender-based</w:t>
      </w:r>
      <w:r w:rsidRPr="0056104A">
        <w:rPr>
          <w:bCs/>
          <w:iCs/>
          <w:lang w:val="en-GB"/>
        </w:rPr>
        <w:t xml:space="preserve"> violence</w:t>
      </w:r>
      <w:r w:rsidR="0027113B">
        <w:rPr>
          <w:bCs/>
          <w:iCs/>
          <w:lang w:val="en-GB"/>
        </w:rPr>
        <w:t>,</w:t>
      </w:r>
      <w:r>
        <w:rPr>
          <w:rStyle w:val="FootnoteReference"/>
          <w:bCs/>
          <w:iCs/>
          <w:lang w:val="en-GB"/>
        </w:rPr>
        <w:footnoteReference w:id="3"/>
      </w:r>
      <w:r w:rsidR="0027113B">
        <w:rPr>
          <w:bCs/>
          <w:iCs/>
          <w:lang w:val="en-GB"/>
        </w:rPr>
        <w:t xml:space="preserve"> and violence taking place in school and work settings. </w:t>
      </w:r>
      <w:r>
        <w:rPr>
          <w:bCs/>
          <w:iCs/>
          <w:lang w:val="en-GB"/>
        </w:rPr>
        <w:t xml:space="preserve"> </w:t>
      </w:r>
    </w:p>
    <w:p w14:paraId="729754DB" w14:textId="59521512" w:rsidR="00044BF6" w:rsidRDefault="003C58ED" w:rsidP="00044BF6">
      <w:pPr>
        <w:rPr>
          <w:bCs/>
          <w:iCs/>
          <w:lang w:val="en-GB"/>
        </w:rPr>
      </w:pPr>
      <w:r>
        <w:rPr>
          <w:bCs/>
          <w:iCs/>
          <w:lang w:val="en-GB"/>
        </w:rPr>
        <w:t>D</w:t>
      </w:r>
      <w:r w:rsidR="00044BF6">
        <w:rPr>
          <w:bCs/>
          <w:iCs/>
          <w:lang w:val="en-GB"/>
        </w:rPr>
        <w:t>ata available show</w:t>
      </w:r>
      <w:r>
        <w:rPr>
          <w:bCs/>
          <w:iCs/>
          <w:lang w:val="en-GB"/>
        </w:rPr>
        <w:t>s</w:t>
      </w:r>
      <w:r w:rsidR="00044BF6">
        <w:rPr>
          <w:bCs/>
          <w:iCs/>
          <w:lang w:val="en-GB"/>
        </w:rPr>
        <w:t xml:space="preserve"> that women and girls with disabilities living in the EU are at higher risk of violence than </w:t>
      </w:r>
      <w:r>
        <w:rPr>
          <w:bCs/>
          <w:iCs/>
          <w:lang w:val="en-GB"/>
        </w:rPr>
        <w:t>those</w:t>
      </w:r>
      <w:r w:rsidR="00044BF6">
        <w:rPr>
          <w:bCs/>
          <w:iCs/>
          <w:lang w:val="en-GB"/>
        </w:rPr>
        <w:t xml:space="preserve"> with</w:t>
      </w:r>
      <w:r w:rsidR="008B6E99">
        <w:rPr>
          <w:bCs/>
          <w:iCs/>
          <w:lang w:val="en-GB"/>
        </w:rPr>
        <w:t>out</w:t>
      </w:r>
      <w:r w:rsidR="00044BF6">
        <w:rPr>
          <w:bCs/>
          <w:iCs/>
          <w:lang w:val="en-GB"/>
        </w:rPr>
        <w:t xml:space="preserve"> disabilities: </w:t>
      </w:r>
    </w:p>
    <w:p w14:paraId="46BE7E9F" w14:textId="4EBFA48F" w:rsidR="00044BF6" w:rsidRPr="00044BF6" w:rsidRDefault="00044BF6" w:rsidP="00044BF6">
      <w:pPr>
        <w:numPr>
          <w:ilvl w:val="0"/>
          <w:numId w:val="2"/>
        </w:numPr>
        <w:rPr>
          <w:bCs/>
          <w:iCs/>
        </w:rPr>
      </w:pPr>
      <w:r>
        <w:rPr>
          <w:bCs/>
          <w:iCs/>
          <w:lang w:val="en-GB"/>
        </w:rPr>
        <w:t>W</w:t>
      </w:r>
      <w:r w:rsidRPr="00044BF6">
        <w:rPr>
          <w:bCs/>
          <w:iCs/>
        </w:rPr>
        <w:t xml:space="preserve">omen with disabilities are </w:t>
      </w:r>
      <w:r w:rsidR="008B6E99">
        <w:rPr>
          <w:bCs/>
          <w:iCs/>
        </w:rPr>
        <w:t>2</w:t>
      </w:r>
      <w:r w:rsidRPr="00044BF6">
        <w:rPr>
          <w:bCs/>
          <w:iCs/>
        </w:rPr>
        <w:t xml:space="preserve"> to </w:t>
      </w:r>
      <w:r w:rsidR="008B6E99">
        <w:rPr>
          <w:bCs/>
          <w:iCs/>
        </w:rPr>
        <w:t>5</w:t>
      </w:r>
      <w:r w:rsidRPr="00044BF6">
        <w:rPr>
          <w:bCs/>
          <w:iCs/>
        </w:rPr>
        <w:t xml:space="preserve"> times more likely to face </w:t>
      </w:r>
      <w:r w:rsidRPr="00F2657A">
        <w:rPr>
          <w:b/>
          <w:iCs/>
        </w:rPr>
        <w:t>violence</w:t>
      </w:r>
      <w:r w:rsidRPr="00044BF6">
        <w:rPr>
          <w:bCs/>
          <w:iCs/>
        </w:rPr>
        <w:t xml:space="preserve"> than other women</w:t>
      </w:r>
      <w:r>
        <w:rPr>
          <w:bCs/>
          <w:iCs/>
        </w:rPr>
        <w:t>.</w:t>
      </w:r>
      <w:r w:rsidR="003C58ED">
        <w:rPr>
          <w:rStyle w:val="FootnoteReference"/>
          <w:bCs/>
          <w:iCs/>
        </w:rPr>
        <w:footnoteReference w:id="4"/>
      </w:r>
      <w:r>
        <w:rPr>
          <w:bCs/>
          <w:iCs/>
        </w:rPr>
        <w:t xml:space="preserve"> </w:t>
      </w:r>
    </w:p>
    <w:p w14:paraId="1CA14B41" w14:textId="42A30B67" w:rsidR="00044BF6" w:rsidRDefault="00044BF6" w:rsidP="00044BF6">
      <w:pPr>
        <w:numPr>
          <w:ilvl w:val="0"/>
          <w:numId w:val="2"/>
        </w:numPr>
        <w:rPr>
          <w:bCs/>
          <w:iCs/>
        </w:rPr>
      </w:pPr>
      <w:r w:rsidRPr="00044BF6">
        <w:rPr>
          <w:bCs/>
          <w:iCs/>
        </w:rPr>
        <w:t xml:space="preserve">34 % of women with a health problem or a disability have experienced </w:t>
      </w:r>
      <w:r w:rsidRPr="00F2657A">
        <w:rPr>
          <w:b/>
          <w:iCs/>
        </w:rPr>
        <w:t>physical or sexual violence by a partner in their lifetime</w:t>
      </w:r>
      <w:r w:rsidR="006C0E2C">
        <w:rPr>
          <w:bCs/>
          <w:iCs/>
        </w:rPr>
        <w:t xml:space="preserve"> (comparing to 19% of women without disabilities)</w:t>
      </w:r>
      <w:r>
        <w:rPr>
          <w:bCs/>
          <w:iCs/>
        </w:rPr>
        <w:t>.</w:t>
      </w:r>
      <w:r w:rsidR="006C0E2C">
        <w:rPr>
          <w:rStyle w:val="FootnoteReference"/>
          <w:bCs/>
          <w:iCs/>
        </w:rPr>
        <w:footnoteReference w:id="5"/>
      </w:r>
      <w:r>
        <w:rPr>
          <w:bCs/>
          <w:iCs/>
        </w:rPr>
        <w:t xml:space="preserve"> </w:t>
      </w:r>
    </w:p>
    <w:p w14:paraId="03F958F8" w14:textId="78540DFB" w:rsidR="00F2657A" w:rsidRPr="00044BF6" w:rsidRDefault="00F2657A" w:rsidP="00044BF6">
      <w:pPr>
        <w:numPr>
          <w:ilvl w:val="0"/>
          <w:numId w:val="2"/>
        </w:numPr>
        <w:rPr>
          <w:bCs/>
          <w:iCs/>
        </w:rPr>
      </w:pPr>
      <w:r>
        <w:rPr>
          <w:bCs/>
          <w:iCs/>
        </w:rPr>
        <w:t xml:space="preserve">61% of women with a health problem or a disability have experienced </w:t>
      </w:r>
      <w:r w:rsidRPr="00BF56E1">
        <w:rPr>
          <w:b/>
          <w:iCs/>
        </w:rPr>
        <w:t>sexual harassment</w:t>
      </w:r>
      <w:r>
        <w:rPr>
          <w:bCs/>
          <w:iCs/>
        </w:rPr>
        <w:t xml:space="preserve"> since the age of 15 (comparing to 54% of women without disabilities).</w:t>
      </w:r>
      <w:r>
        <w:rPr>
          <w:rStyle w:val="FootnoteReference"/>
          <w:bCs/>
          <w:iCs/>
        </w:rPr>
        <w:footnoteReference w:id="6"/>
      </w:r>
    </w:p>
    <w:p w14:paraId="23908C39" w14:textId="26E6F2C1" w:rsidR="00044BF6" w:rsidRDefault="00044BF6" w:rsidP="00044BF6">
      <w:pPr>
        <w:pStyle w:val="Heading2"/>
        <w:pBdr>
          <w:top w:val="single" w:sz="4" w:space="0" w:color="A20000"/>
        </w:pBdr>
      </w:pPr>
      <w:bookmarkStart w:id="11" w:name="_Toc70070136"/>
      <w:r>
        <w:t>Examples of violence against women and girls with disabilities</w:t>
      </w:r>
      <w:bookmarkEnd w:id="11"/>
      <w:r>
        <w:t xml:space="preserve"> </w:t>
      </w:r>
    </w:p>
    <w:p w14:paraId="7B602558" w14:textId="50E95DED" w:rsidR="00044BF6" w:rsidRDefault="00D5284D" w:rsidP="00044BF6">
      <w:r>
        <w:t xml:space="preserve">This section offers a non-exhaustive list of examples of violence face by women and girls with disabilities in the European Union. </w:t>
      </w:r>
    </w:p>
    <w:p w14:paraId="23C529A3" w14:textId="009711E0" w:rsidR="00D5284D" w:rsidRDefault="00D5284D" w:rsidP="00D5284D">
      <w:pPr>
        <w:pStyle w:val="Heading3"/>
      </w:pPr>
      <w:bookmarkStart w:id="12" w:name="_Hlk70000867"/>
      <w:r>
        <w:t xml:space="preserve">Overview </w:t>
      </w:r>
      <w:r w:rsidR="00615D31">
        <w:t>of</w:t>
      </w:r>
      <w:r>
        <w:t xml:space="preserve"> the Concluding observations adopted by the Committee on the Rights of Persons with Disabilities </w:t>
      </w:r>
    </w:p>
    <w:bookmarkEnd w:id="12"/>
    <w:p w14:paraId="20289F59" w14:textId="232F3207" w:rsidR="00C1199E" w:rsidRPr="00C1199E" w:rsidRDefault="00C1199E" w:rsidP="00C1199E">
      <w:pPr>
        <w:rPr>
          <w:bCs/>
          <w:iCs/>
        </w:rPr>
      </w:pPr>
      <w:r w:rsidRPr="00C1199E">
        <w:rPr>
          <w:bCs/>
          <w:iCs/>
        </w:rPr>
        <w:t xml:space="preserve">In reviewing the implementation of the </w:t>
      </w:r>
      <w:r w:rsidR="00360A10">
        <w:rPr>
          <w:bCs/>
          <w:iCs/>
        </w:rPr>
        <w:t>UN Convention on the Rights of Persons with Disabilities (CRPD)</w:t>
      </w:r>
      <w:r w:rsidRPr="00C1199E">
        <w:rPr>
          <w:bCs/>
          <w:iCs/>
        </w:rPr>
        <w:t xml:space="preserve"> in EU countries, the CRPD Committee raised concerns </w:t>
      </w:r>
      <w:r w:rsidR="000D01BC">
        <w:rPr>
          <w:bCs/>
          <w:iCs/>
        </w:rPr>
        <w:t>about</w:t>
      </w:r>
      <w:r w:rsidRPr="00C1199E">
        <w:rPr>
          <w:bCs/>
          <w:iCs/>
        </w:rPr>
        <w:t xml:space="preserve"> violence in all EU Member States. These include: </w:t>
      </w:r>
    </w:p>
    <w:p w14:paraId="5175DCFE" w14:textId="481A210D" w:rsidR="00C1199E" w:rsidRPr="000D01BC" w:rsidRDefault="00C1199E" w:rsidP="000D01BC">
      <w:pPr>
        <w:pStyle w:val="ListParagraph"/>
        <w:numPr>
          <w:ilvl w:val="0"/>
          <w:numId w:val="7"/>
        </w:numPr>
        <w:rPr>
          <w:bCs/>
          <w:iCs/>
        </w:rPr>
      </w:pPr>
      <w:r w:rsidRPr="00615D31">
        <w:rPr>
          <w:bCs/>
          <w:iCs/>
        </w:rPr>
        <w:t xml:space="preserve">Allegations of physical, </w:t>
      </w:r>
      <w:proofErr w:type="gramStart"/>
      <w:r w:rsidRPr="00615D31">
        <w:rPr>
          <w:bCs/>
          <w:iCs/>
        </w:rPr>
        <w:t>psychological</w:t>
      </w:r>
      <w:proofErr w:type="gramEnd"/>
      <w:r w:rsidRPr="00615D31">
        <w:rPr>
          <w:bCs/>
          <w:iCs/>
        </w:rPr>
        <w:t xml:space="preserve"> and sexual violence and abuse</w:t>
      </w:r>
      <w:r w:rsidRPr="000D01BC">
        <w:rPr>
          <w:bCs/>
          <w:iCs/>
        </w:rPr>
        <w:t xml:space="preserve"> of persons with disabilities, especially women with disabilities in family and in institutional settings (</w:t>
      </w:r>
      <w:r w:rsidR="00A650DA" w:rsidRPr="00A650DA">
        <w:rPr>
          <w:b/>
          <w:iCs/>
        </w:rPr>
        <w:t>Austria,</w:t>
      </w:r>
      <w:r w:rsidR="00A650DA">
        <w:rPr>
          <w:bCs/>
          <w:iCs/>
        </w:rPr>
        <w:t xml:space="preserve"> </w:t>
      </w:r>
      <w:r w:rsidR="00A650DA" w:rsidRPr="00A650DA">
        <w:rPr>
          <w:b/>
          <w:iCs/>
        </w:rPr>
        <w:t>Bulgaria,</w:t>
      </w:r>
      <w:r w:rsidR="00A650DA">
        <w:rPr>
          <w:b/>
          <w:iCs/>
        </w:rPr>
        <w:t xml:space="preserve"> Hungary,</w:t>
      </w:r>
      <w:r w:rsidR="00A650DA">
        <w:rPr>
          <w:bCs/>
          <w:iCs/>
        </w:rPr>
        <w:t xml:space="preserve"> </w:t>
      </w:r>
      <w:r w:rsidR="00281475" w:rsidRPr="00A650DA">
        <w:rPr>
          <w:b/>
          <w:iCs/>
        </w:rPr>
        <w:t>Latvia,</w:t>
      </w:r>
      <w:r w:rsidR="00A650DA" w:rsidRPr="00A650DA">
        <w:rPr>
          <w:b/>
          <w:iCs/>
        </w:rPr>
        <w:t xml:space="preserve"> Lithuania, Luxembourg,</w:t>
      </w:r>
      <w:r w:rsidR="00281475" w:rsidRPr="00A650DA">
        <w:rPr>
          <w:b/>
          <w:iCs/>
        </w:rPr>
        <w:t xml:space="preserve"> Malta,</w:t>
      </w:r>
      <w:r w:rsidRPr="00A650DA">
        <w:rPr>
          <w:b/>
          <w:iCs/>
        </w:rPr>
        <w:t xml:space="preserve"> Slovenia, </w:t>
      </w:r>
      <w:r w:rsidR="00281475" w:rsidRPr="00A650DA">
        <w:rPr>
          <w:b/>
          <w:iCs/>
        </w:rPr>
        <w:t>Spain</w:t>
      </w:r>
      <w:r w:rsidR="00A650DA">
        <w:rPr>
          <w:b/>
          <w:iCs/>
        </w:rPr>
        <w:t>, Sweden</w:t>
      </w:r>
      <w:r w:rsidRPr="000D01BC">
        <w:rPr>
          <w:bCs/>
          <w:iCs/>
        </w:rPr>
        <w:t xml:space="preserve">) </w:t>
      </w:r>
    </w:p>
    <w:p w14:paraId="529DEFEC" w14:textId="0AA71D42" w:rsidR="00D5284D" w:rsidRDefault="00C1199E" w:rsidP="00044BF6">
      <w:pPr>
        <w:pStyle w:val="ListParagraph"/>
        <w:numPr>
          <w:ilvl w:val="0"/>
          <w:numId w:val="7"/>
        </w:numPr>
        <w:rPr>
          <w:bCs/>
          <w:iCs/>
        </w:rPr>
      </w:pPr>
      <w:r w:rsidRPr="000D01BC">
        <w:rPr>
          <w:bCs/>
          <w:iCs/>
        </w:rPr>
        <w:t xml:space="preserve">Violence against and abuse of persons with disabilities in care and psychiatric institutions, especially of women with intellectual disabilities </w:t>
      </w:r>
      <w:r w:rsidR="0040111C">
        <w:rPr>
          <w:bCs/>
          <w:iCs/>
        </w:rPr>
        <w:t>(</w:t>
      </w:r>
      <w:r w:rsidR="00A650DA" w:rsidRPr="00A650DA">
        <w:rPr>
          <w:b/>
          <w:iCs/>
        </w:rPr>
        <w:t>Latvia, Lithuania,</w:t>
      </w:r>
      <w:r w:rsidRPr="00A650DA">
        <w:rPr>
          <w:b/>
          <w:iCs/>
        </w:rPr>
        <w:t xml:space="preserve"> Poland</w:t>
      </w:r>
      <w:r w:rsidRPr="000D01BC">
        <w:rPr>
          <w:bCs/>
          <w:iCs/>
        </w:rPr>
        <w:t>)</w:t>
      </w:r>
    </w:p>
    <w:p w14:paraId="26432CE1" w14:textId="4CBC90FA" w:rsidR="00CD6585" w:rsidRDefault="00A650DA" w:rsidP="00CD6585">
      <w:pPr>
        <w:pStyle w:val="ListParagraph"/>
        <w:numPr>
          <w:ilvl w:val="0"/>
          <w:numId w:val="7"/>
        </w:numPr>
        <w:rPr>
          <w:bCs/>
          <w:iCs/>
        </w:rPr>
      </w:pPr>
      <w:r>
        <w:rPr>
          <w:bCs/>
          <w:iCs/>
        </w:rPr>
        <w:t xml:space="preserve">Involuntary medical treatment, including forced abortion and </w:t>
      </w:r>
      <w:proofErr w:type="spellStart"/>
      <w:r>
        <w:rPr>
          <w:bCs/>
          <w:iCs/>
        </w:rPr>
        <w:t>sterilisation</w:t>
      </w:r>
      <w:proofErr w:type="spellEnd"/>
      <w:r>
        <w:rPr>
          <w:bCs/>
          <w:iCs/>
        </w:rPr>
        <w:t xml:space="preserve"> (</w:t>
      </w:r>
      <w:r w:rsidR="0040111C" w:rsidRPr="0040111C">
        <w:rPr>
          <w:b/>
          <w:iCs/>
        </w:rPr>
        <w:t>Croatia,</w:t>
      </w:r>
      <w:r w:rsidR="0040111C">
        <w:rPr>
          <w:bCs/>
          <w:iCs/>
        </w:rPr>
        <w:t xml:space="preserve"> </w:t>
      </w:r>
      <w:r w:rsidR="0040111C" w:rsidRPr="0040111C">
        <w:rPr>
          <w:b/>
          <w:iCs/>
        </w:rPr>
        <w:t>Czechia,</w:t>
      </w:r>
      <w:r w:rsidR="0040111C">
        <w:rPr>
          <w:b/>
          <w:iCs/>
        </w:rPr>
        <w:t xml:space="preserve"> Germany,</w:t>
      </w:r>
      <w:r w:rsidR="0040111C">
        <w:rPr>
          <w:bCs/>
          <w:iCs/>
        </w:rPr>
        <w:t xml:space="preserve"> </w:t>
      </w:r>
      <w:r w:rsidRPr="00A650DA">
        <w:rPr>
          <w:b/>
          <w:iCs/>
        </w:rPr>
        <w:t>Lithuania, Poland,</w:t>
      </w:r>
      <w:r>
        <w:rPr>
          <w:b/>
          <w:iCs/>
        </w:rPr>
        <w:t xml:space="preserve"> Portugal,</w:t>
      </w:r>
      <w:r w:rsidRPr="00A650DA">
        <w:rPr>
          <w:b/>
          <w:iCs/>
        </w:rPr>
        <w:t xml:space="preserve"> </w:t>
      </w:r>
      <w:r w:rsidR="0040111C">
        <w:rPr>
          <w:b/>
          <w:iCs/>
        </w:rPr>
        <w:t xml:space="preserve">Slovakia, </w:t>
      </w:r>
      <w:r w:rsidRPr="00A650DA">
        <w:rPr>
          <w:b/>
          <w:iCs/>
        </w:rPr>
        <w:t>Spain</w:t>
      </w:r>
      <w:r>
        <w:rPr>
          <w:bCs/>
          <w:iCs/>
        </w:rPr>
        <w:t xml:space="preserve">) </w:t>
      </w:r>
    </w:p>
    <w:p w14:paraId="7912B4F6" w14:textId="4136C2FC" w:rsidR="00CD6585" w:rsidRDefault="00CD6585" w:rsidP="00141EAA">
      <w:pPr>
        <w:pStyle w:val="Heading3"/>
      </w:pPr>
      <w:r>
        <w:lastRenderedPageBreak/>
        <w:t xml:space="preserve">Violence against girls and young women with disabilities </w:t>
      </w:r>
    </w:p>
    <w:p w14:paraId="5C0A11DB" w14:textId="75EE7D05" w:rsidR="00CD6585" w:rsidRDefault="00CD6585" w:rsidP="00CD6585">
      <w:pPr>
        <w:rPr>
          <w:bCs/>
          <w:iCs/>
        </w:rPr>
      </w:pPr>
      <w:r>
        <w:rPr>
          <w:bCs/>
          <w:iCs/>
        </w:rPr>
        <w:t>Girl and young women with disabilities are at an enhanced risk of violence</w:t>
      </w:r>
      <w:r w:rsidR="00AF11B7">
        <w:rPr>
          <w:bCs/>
          <w:iCs/>
        </w:rPr>
        <w:t>, including bullying, physical and psychological violence</w:t>
      </w:r>
      <w:r>
        <w:rPr>
          <w:bCs/>
          <w:iCs/>
        </w:rPr>
        <w:t>. The EU Fundamental Rights Agency reported that “r</w:t>
      </w:r>
      <w:r w:rsidRPr="00CD6585">
        <w:rPr>
          <w:bCs/>
          <w:iCs/>
        </w:rPr>
        <w:t xml:space="preserve">esearch based on focus group discussions and in-depth interviews with women with disabilities in </w:t>
      </w:r>
      <w:r w:rsidRPr="00141EAA">
        <w:rPr>
          <w:b/>
          <w:iCs/>
        </w:rPr>
        <w:t>Austria</w:t>
      </w:r>
      <w:r w:rsidRPr="00CD6585">
        <w:rPr>
          <w:bCs/>
          <w:iCs/>
        </w:rPr>
        <w:t xml:space="preserve">, </w:t>
      </w:r>
      <w:r w:rsidRPr="00141EAA">
        <w:rPr>
          <w:b/>
          <w:iCs/>
        </w:rPr>
        <w:t>Germany</w:t>
      </w:r>
      <w:r w:rsidRPr="00CD6585">
        <w:rPr>
          <w:bCs/>
          <w:iCs/>
        </w:rPr>
        <w:t xml:space="preserve">, </w:t>
      </w:r>
      <w:r w:rsidRPr="00141EAA">
        <w:rPr>
          <w:b/>
          <w:iCs/>
        </w:rPr>
        <w:t>Iceland</w:t>
      </w:r>
      <w:r w:rsidRPr="00CD6585">
        <w:rPr>
          <w:bCs/>
          <w:iCs/>
        </w:rPr>
        <w:t xml:space="preserve"> and the </w:t>
      </w:r>
      <w:r w:rsidRPr="00141EAA">
        <w:rPr>
          <w:b/>
          <w:iCs/>
        </w:rPr>
        <w:t>United Kingdom</w:t>
      </w:r>
      <w:r w:rsidRPr="00CD6585">
        <w:rPr>
          <w:bCs/>
          <w:iCs/>
        </w:rPr>
        <w:t xml:space="preserve"> reveals that many women, especially those with intellectual disabilities and sensory impairments, were exposed to bullying in schools and residential care homes during childhood.</w:t>
      </w:r>
      <w:r>
        <w:rPr>
          <w:bCs/>
          <w:iCs/>
        </w:rPr>
        <w:t>”</w:t>
      </w:r>
      <w:r>
        <w:rPr>
          <w:rStyle w:val="FootnoteReference"/>
          <w:bCs/>
          <w:iCs/>
        </w:rPr>
        <w:footnoteReference w:id="7"/>
      </w:r>
      <w:r>
        <w:rPr>
          <w:bCs/>
          <w:iCs/>
        </w:rPr>
        <w:t xml:space="preserve"> It also notes that </w:t>
      </w:r>
      <w:r w:rsidRPr="00CD6585">
        <w:rPr>
          <w:bCs/>
          <w:iCs/>
        </w:rPr>
        <w:t>women with disabilities often experience psychological violence from their parents during childhood</w:t>
      </w:r>
      <w:r>
        <w:rPr>
          <w:bCs/>
          <w:iCs/>
        </w:rPr>
        <w:t xml:space="preserve">, </w:t>
      </w:r>
      <w:r w:rsidRPr="00CD6585">
        <w:rPr>
          <w:bCs/>
          <w:iCs/>
        </w:rPr>
        <w:t>which increases the risk of violence later in life</w:t>
      </w:r>
      <w:r>
        <w:rPr>
          <w:bCs/>
          <w:iCs/>
        </w:rPr>
        <w:t>,</w:t>
      </w:r>
      <w:r>
        <w:rPr>
          <w:rStyle w:val="FootnoteReference"/>
          <w:bCs/>
          <w:iCs/>
        </w:rPr>
        <w:footnoteReference w:id="8"/>
      </w:r>
      <w:r>
        <w:rPr>
          <w:bCs/>
          <w:iCs/>
        </w:rPr>
        <w:t xml:space="preserve"> including sexual abuse</w:t>
      </w:r>
      <w:r w:rsidRPr="00CD6585">
        <w:rPr>
          <w:bCs/>
          <w:iCs/>
        </w:rPr>
        <w:t>.</w:t>
      </w:r>
    </w:p>
    <w:p w14:paraId="593F2FC3" w14:textId="6AA63E36" w:rsidR="00AF11B7" w:rsidRPr="00CD6585" w:rsidRDefault="00AF11B7" w:rsidP="00141EAA">
      <w:pPr>
        <w:rPr>
          <w:bCs/>
          <w:iCs/>
        </w:rPr>
      </w:pPr>
      <w:r>
        <w:rPr>
          <w:bCs/>
          <w:iCs/>
        </w:rPr>
        <w:t xml:space="preserve">Respondent in the </w:t>
      </w:r>
      <w:r w:rsidRPr="00141EAA">
        <w:rPr>
          <w:b/>
          <w:iCs/>
        </w:rPr>
        <w:t>Netherlands</w:t>
      </w:r>
      <w:r>
        <w:rPr>
          <w:bCs/>
          <w:iCs/>
        </w:rPr>
        <w:t xml:space="preserve"> informed</w:t>
      </w:r>
      <w:r w:rsidRPr="00AF11B7">
        <w:rPr>
          <w:bCs/>
          <w:iCs/>
        </w:rPr>
        <w:t xml:space="preserve"> that girls with intellectual disabilities </w:t>
      </w:r>
      <w:r w:rsidR="00E134CE">
        <w:rPr>
          <w:bCs/>
          <w:iCs/>
        </w:rPr>
        <w:t>were</w:t>
      </w:r>
      <w:r w:rsidRPr="00AF11B7">
        <w:rPr>
          <w:bCs/>
          <w:iCs/>
        </w:rPr>
        <w:t xml:space="preserve"> at increased risk of becoming victims of so-called ‘lover boys’, which refers to a specific human trafficking method that involves seducing and grooming girls and eventually exploiting them sexually and coercing them into prostitution.</w:t>
      </w:r>
      <w:r>
        <w:rPr>
          <w:rStyle w:val="FootnoteReference"/>
          <w:bCs/>
          <w:iCs/>
        </w:rPr>
        <w:footnoteReference w:id="9"/>
      </w:r>
    </w:p>
    <w:p w14:paraId="0A8E276D" w14:textId="1CFEAF0F" w:rsidR="00D5284D" w:rsidRDefault="00D5284D" w:rsidP="00CB297D">
      <w:pPr>
        <w:pStyle w:val="Heading3"/>
      </w:pPr>
      <w:r>
        <w:t xml:space="preserve">Forced </w:t>
      </w:r>
      <w:proofErr w:type="spellStart"/>
      <w:r>
        <w:t>sterilisation</w:t>
      </w:r>
      <w:proofErr w:type="spellEnd"/>
      <w:r w:rsidR="001A33A7">
        <w:t xml:space="preserve"> and </w:t>
      </w:r>
      <w:proofErr w:type="gramStart"/>
      <w:r w:rsidR="001A33A7">
        <w:t>abortion</w:t>
      </w:r>
      <w:proofErr w:type="gramEnd"/>
    </w:p>
    <w:p w14:paraId="633F5645" w14:textId="0B9BB38C" w:rsidR="00044BF6" w:rsidRDefault="00044BF6" w:rsidP="00044BF6">
      <w:pPr>
        <w:rPr>
          <w:bCs/>
          <w:iCs/>
        </w:rPr>
      </w:pPr>
      <w:proofErr w:type="spellStart"/>
      <w:r>
        <w:rPr>
          <w:bCs/>
          <w:iCs/>
        </w:rPr>
        <w:t>S</w:t>
      </w:r>
      <w:r w:rsidRPr="00044BF6">
        <w:rPr>
          <w:bCs/>
          <w:iCs/>
        </w:rPr>
        <w:t>terilisation</w:t>
      </w:r>
      <w:proofErr w:type="spellEnd"/>
      <w:r w:rsidRPr="00044BF6">
        <w:rPr>
          <w:bCs/>
          <w:iCs/>
        </w:rPr>
        <w:t xml:space="preserve"> of women with disabilities without their knowledge or consent is a widespread form of violence, in particular affecting members of ethnic minorities such as Roma women</w:t>
      </w:r>
      <w:r w:rsidR="00AB2160" w:rsidRPr="00044BF6">
        <w:rPr>
          <w:bCs/>
          <w:iCs/>
          <w:vertAlign w:val="superscript"/>
        </w:rPr>
        <w:footnoteReference w:id="10"/>
      </w:r>
      <w:r w:rsidR="00AB2160">
        <w:rPr>
          <w:bCs/>
          <w:iCs/>
        </w:rPr>
        <w:t xml:space="preserve"> and women under guardianships and</w:t>
      </w:r>
      <w:r w:rsidR="001A33A7">
        <w:rPr>
          <w:bCs/>
          <w:iCs/>
        </w:rPr>
        <w:t>/or</w:t>
      </w:r>
      <w:r w:rsidR="00AB2160">
        <w:rPr>
          <w:bCs/>
          <w:iCs/>
        </w:rPr>
        <w:t xml:space="preserve"> living in institutions</w:t>
      </w:r>
      <w:r w:rsidR="00D5284D">
        <w:rPr>
          <w:bCs/>
          <w:iCs/>
        </w:rPr>
        <w:t>.</w:t>
      </w:r>
    </w:p>
    <w:p w14:paraId="68F8BF4D" w14:textId="53B699A4" w:rsidR="00AB2160" w:rsidRDefault="00AB2160" w:rsidP="00044BF6">
      <w:pPr>
        <w:rPr>
          <w:bCs/>
          <w:iCs/>
        </w:rPr>
      </w:pPr>
      <w:r>
        <w:rPr>
          <w:bCs/>
          <w:iCs/>
        </w:rPr>
        <w:t xml:space="preserve">The CRPD Committee raised concerns over the fact that several EU Member States still </w:t>
      </w:r>
      <w:proofErr w:type="spellStart"/>
      <w:r>
        <w:rPr>
          <w:bCs/>
          <w:iCs/>
        </w:rPr>
        <w:t>authorise</w:t>
      </w:r>
      <w:proofErr w:type="spellEnd"/>
      <w:r>
        <w:rPr>
          <w:bCs/>
          <w:iCs/>
        </w:rPr>
        <w:t xml:space="preserve"> forced </w:t>
      </w:r>
      <w:proofErr w:type="spellStart"/>
      <w:r>
        <w:rPr>
          <w:bCs/>
          <w:iCs/>
        </w:rPr>
        <w:t>sterilisation</w:t>
      </w:r>
      <w:proofErr w:type="spellEnd"/>
      <w:r>
        <w:rPr>
          <w:bCs/>
          <w:iCs/>
        </w:rPr>
        <w:t xml:space="preserve"> and abortion in their legislation, including in </w:t>
      </w:r>
      <w:r w:rsidRPr="00AB2160">
        <w:rPr>
          <w:b/>
          <w:iCs/>
        </w:rPr>
        <w:t xml:space="preserve">Croatia, Czechia, Germany, Lithuania, </w:t>
      </w:r>
      <w:proofErr w:type="gramStart"/>
      <w:r w:rsidRPr="00AB2160">
        <w:rPr>
          <w:b/>
          <w:iCs/>
        </w:rPr>
        <w:t>Slovakia</w:t>
      </w:r>
      <w:proofErr w:type="gramEnd"/>
      <w:r w:rsidRPr="00AB2160">
        <w:rPr>
          <w:b/>
          <w:iCs/>
        </w:rPr>
        <w:t xml:space="preserve"> and Spain</w:t>
      </w:r>
      <w:r w:rsidR="005C6400" w:rsidRPr="005C6400">
        <w:rPr>
          <w:bCs/>
          <w:iCs/>
        </w:rPr>
        <w:t>.</w:t>
      </w:r>
      <w:r w:rsidR="005C6400" w:rsidRPr="005C6400">
        <w:rPr>
          <w:rStyle w:val="FootnoteReference"/>
          <w:bCs/>
          <w:iCs/>
        </w:rPr>
        <w:footnoteReference w:id="11"/>
      </w:r>
      <w:r>
        <w:rPr>
          <w:bCs/>
          <w:iCs/>
        </w:rPr>
        <w:t xml:space="preserve"> In </w:t>
      </w:r>
      <w:r w:rsidR="001A33A7">
        <w:rPr>
          <w:bCs/>
          <w:iCs/>
        </w:rPr>
        <w:t xml:space="preserve">December </w:t>
      </w:r>
      <w:r>
        <w:rPr>
          <w:bCs/>
          <w:iCs/>
        </w:rPr>
        <w:t xml:space="preserve">2020, Spain </w:t>
      </w:r>
      <w:r w:rsidR="001A33A7">
        <w:rPr>
          <w:bCs/>
          <w:iCs/>
        </w:rPr>
        <w:t xml:space="preserve">adopted a bill to </w:t>
      </w:r>
      <w:r>
        <w:rPr>
          <w:bCs/>
          <w:iCs/>
        </w:rPr>
        <w:t xml:space="preserve">prohibit forced </w:t>
      </w:r>
      <w:proofErr w:type="spellStart"/>
      <w:r>
        <w:rPr>
          <w:bCs/>
          <w:iCs/>
        </w:rPr>
        <w:t>sterilisation</w:t>
      </w:r>
      <w:proofErr w:type="spellEnd"/>
      <w:r>
        <w:rPr>
          <w:bCs/>
          <w:iCs/>
        </w:rPr>
        <w:t xml:space="preserve"> in its </w:t>
      </w:r>
      <w:r w:rsidR="001A33A7">
        <w:rPr>
          <w:bCs/>
          <w:iCs/>
        </w:rPr>
        <w:t>penal</w:t>
      </w:r>
      <w:r>
        <w:rPr>
          <w:bCs/>
          <w:iCs/>
        </w:rPr>
        <w:t xml:space="preserve"> code. </w:t>
      </w:r>
      <w:r w:rsidR="001A33A7">
        <w:rPr>
          <w:bCs/>
          <w:iCs/>
        </w:rPr>
        <w:t xml:space="preserve">Previously, the penal code was </w:t>
      </w:r>
      <w:proofErr w:type="spellStart"/>
      <w:r w:rsidR="001A33A7">
        <w:rPr>
          <w:bCs/>
          <w:iCs/>
        </w:rPr>
        <w:t>authorising</w:t>
      </w:r>
      <w:proofErr w:type="spellEnd"/>
      <w:r w:rsidR="001A33A7">
        <w:rPr>
          <w:bCs/>
          <w:iCs/>
        </w:rPr>
        <w:t xml:space="preserve"> such practice by decision of a doctor.</w:t>
      </w:r>
      <w:r w:rsidR="00480454">
        <w:rPr>
          <w:rStyle w:val="FootnoteReference"/>
          <w:bCs/>
          <w:iCs/>
        </w:rPr>
        <w:footnoteReference w:id="12"/>
      </w:r>
      <w:r w:rsidR="001A33A7">
        <w:rPr>
          <w:bCs/>
          <w:iCs/>
        </w:rPr>
        <w:t xml:space="preserve"> </w:t>
      </w:r>
    </w:p>
    <w:p w14:paraId="1F3118AC" w14:textId="29713ED9" w:rsidR="00480454" w:rsidRDefault="004972CD" w:rsidP="00044BF6">
      <w:pPr>
        <w:rPr>
          <w:bCs/>
          <w:iCs/>
        </w:rPr>
      </w:pPr>
      <w:r>
        <w:rPr>
          <w:bCs/>
          <w:iCs/>
        </w:rPr>
        <w:t>Even i</w:t>
      </w:r>
      <w:r w:rsidR="00480454">
        <w:rPr>
          <w:bCs/>
          <w:iCs/>
        </w:rPr>
        <w:t xml:space="preserve">n countries </w:t>
      </w:r>
      <w:r>
        <w:rPr>
          <w:bCs/>
          <w:iCs/>
        </w:rPr>
        <w:t xml:space="preserve">in </w:t>
      </w:r>
      <w:r w:rsidR="00480454">
        <w:rPr>
          <w:bCs/>
          <w:iCs/>
        </w:rPr>
        <w:t xml:space="preserve">which </w:t>
      </w:r>
      <w:r>
        <w:rPr>
          <w:bCs/>
          <w:iCs/>
        </w:rPr>
        <w:t xml:space="preserve">the </w:t>
      </w:r>
      <w:r w:rsidR="00480454">
        <w:rPr>
          <w:bCs/>
          <w:iCs/>
        </w:rPr>
        <w:t>l</w:t>
      </w:r>
      <w:r>
        <w:rPr>
          <w:bCs/>
          <w:iCs/>
        </w:rPr>
        <w:t>aw</w:t>
      </w:r>
      <w:r w:rsidR="00480454">
        <w:rPr>
          <w:bCs/>
          <w:iCs/>
        </w:rPr>
        <w:t xml:space="preserve"> does not </w:t>
      </w:r>
      <w:proofErr w:type="spellStart"/>
      <w:r>
        <w:rPr>
          <w:bCs/>
          <w:iCs/>
        </w:rPr>
        <w:t>authorise</w:t>
      </w:r>
      <w:proofErr w:type="spellEnd"/>
      <w:r w:rsidR="00480454">
        <w:rPr>
          <w:bCs/>
          <w:iCs/>
        </w:rPr>
        <w:t xml:space="preserve"> forced </w:t>
      </w:r>
      <w:proofErr w:type="spellStart"/>
      <w:r w:rsidR="00480454">
        <w:rPr>
          <w:bCs/>
          <w:iCs/>
        </w:rPr>
        <w:t>sterilisation</w:t>
      </w:r>
      <w:proofErr w:type="spellEnd"/>
      <w:r w:rsidR="00480454">
        <w:rPr>
          <w:bCs/>
          <w:iCs/>
        </w:rPr>
        <w:t xml:space="preserve"> and abortion, such violation</w:t>
      </w:r>
      <w:r>
        <w:rPr>
          <w:bCs/>
          <w:iCs/>
        </w:rPr>
        <w:t>s</w:t>
      </w:r>
      <w:r w:rsidR="00480454">
        <w:rPr>
          <w:bCs/>
          <w:iCs/>
        </w:rPr>
        <w:t xml:space="preserve"> may still take place when they are performed without the understanding and consent of the girl or woman</w:t>
      </w:r>
      <w:r>
        <w:rPr>
          <w:bCs/>
          <w:iCs/>
        </w:rPr>
        <w:t xml:space="preserve"> with disabilities</w:t>
      </w:r>
      <w:r w:rsidR="00480454">
        <w:rPr>
          <w:bCs/>
          <w:iCs/>
        </w:rPr>
        <w:t xml:space="preserve">. </w:t>
      </w:r>
      <w:r w:rsidR="00A13583">
        <w:rPr>
          <w:bCs/>
          <w:iCs/>
        </w:rPr>
        <w:t xml:space="preserve">For example, the Belgian Disability Forum had reported </w:t>
      </w:r>
      <w:r w:rsidR="00A13583">
        <w:rPr>
          <w:bCs/>
          <w:iCs/>
        </w:rPr>
        <w:lastRenderedPageBreak/>
        <w:t xml:space="preserve">that occurrences of forced </w:t>
      </w:r>
      <w:proofErr w:type="spellStart"/>
      <w:r w:rsidR="00A13583">
        <w:rPr>
          <w:bCs/>
          <w:iCs/>
        </w:rPr>
        <w:t>sterilisation</w:t>
      </w:r>
      <w:proofErr w:type="spellEnd"/>
      <w:r w:rsidR="00A13583">
        <w:rPr>
          <w:bCs/>
          <w:iCs/>
        </w:rPr>
        <w:t xml:space="preserve"> and contraception may still take place in </w:t>
      </w:r>
      <w:r w:rsidR="00A13583" w:rsidRPr="004972CD">
        <w:rPr>
          <w:b/>
          <w:iCs/>
        </w:rPr>
        <w:t>Belgium</w:t>
      </w:r>
      <w:r w:rsidR="00A13583">
        <w:rPr>
          <w:bCs/>
          <w:iCs/>
        </w:rPr>
        <w:t>.</w:t>
      </w:r>
      <w:r w:rsidR="00A13583">
        <w:rPr>
          <w:rStyle w:val="FootnoteReference"/>
          <w:bCs/>
          <w:iCs/>
        </w:rPr>
        <w:footnoteReference w:id="13"/>
      </w:r>
      <w:r w:rsidR="00A13583">
        <w:rPr>
          <w:bCs/>
          <w:iCs/>
        </w:rPr>
        <w:t xml:space="preserve"> </w:t>
      </w:r>
    </w:p>
    <w:p w14:paraId="5C00797C" w14:textId="64F7E319" w:rsidR="00D5284D" w:rsidRDefault="00AB2160" w:rsidP="00044BF6">
      <w:pPr>
        <w:rPr>
          <w:bCs/>
          <w:iCs/>
        </w:rPr>
      </w:pPr>
      <w:r>
        <w:rPr>
          <w:bCs/>
          <w:iCs/>
        </w:rPr>
        <w:t xml:space="preserve">More information about forced </w:t>
      </w:r>
      <w:proofErr w:type="spellStart"/>
      <w:r>
        <w:rPr>
          <w:bCs/>
          <w:iCs/>
        </w:rPr>
        <w:t>sterilisation</w:t>
      </w:r>
      <w:proofErr w:type="spellEnd"/>
      <w:r>
        <w:rPr>
          <w:bCs/>
          <w:iCs/>
        </w:rPr>
        <w:t xml:space="preserve"> of women with disabilities </w:t>
      </w:r>
      <w:r w:rsidR="00480454">
        <w:rPr>
          <w:bCs/>
          <w:iCs/>
        </w:rPr>
        <w:t xml:space="preserve">is available </w:t>
      </w:r>
      <w:r>
        <w:rPr>
          <w:bCs/>
          <w:iCs/>
        </w:rPr>
        <w:t>in a report of EDF published in 2017.</w:t>
      </w:r>
      <w:r w:rsidR="00480454">
        <w:rPr>
          <w:rStyle w:val="FootnoteReference"/>
          <w:bCs/>
          <w:iCs/>
        </w:rPr>
        <w:footnoteReference w:id="14"/>
      </w:r>
      <w:r>
        <w:rPr>
          <w:bCs/>
          <w:iCs/>
        </w:rPr>
        <w:t xml:space="preserve"> The document highlights example</w:t>
      </w:r>
      <w:r w:rsidR="005C6400">
        <w:rPr>
          <w:bCs/>
          <w:iCs/>
        </w:rPr>
        <w:t>s</w:t>
      </w:r>
      <w:r>
        <w:rPr>
          <w:bCs/>
          <w:iCs/>
        </w:rPr>
        <w:t xml:space="preserve"> of women with disabilities who have been </w:t>
      </w:r>
      <w:proofErr w:type="spellStart"/>
      <w:r>
        <w:rPr>
          <w:bCs/>
          <w:iCs/>
        </w:rPr>
        <w:t>sterilised</w:t>
      </w:r>
      <w:proofErr w:type="spellEnd"/>
      <w:r>
        <w:rPr>
          <w:bCs/>
          <w:iCs/>
        </w:rPr>
        <w:t xml:space="preserve"> without their consent, and sometimes without their knowledge, and calls </w:t>
      </w:r>
      <w:r w:rsidR="00480454">
        <w:rPr>
          <w:bCs/>
          <w:iCs/>
        </w:rPr>
        <w:t>for</w:t>
      </w:r>
      <w:r>
        <w:rPr>
          <w:bCs/>
          <w:iCs/>
        </w:rPr>
        <w:t xml:space="preserve"> urgent reforms in all European countries. </w:t>
      </w:r>
    </w:p>
    <w:p w14:paraId="14D00FA0" w14:textId="54CBC5E3" w:rsidR="002476F8" w:rsidRDefault="002476F8" w:rsidP="00044BF6">
      <w:pPr>
        <w:rPr>
          <w:bCs/>
          <w:iCs/>
        </w:rPr>
      </w:pPr>
      <w:r>
        <w:rPr>
          <w:bCs/>
          <w:iCs/>
        </w:rPr>
        <w:t xml:space="preserve">It is also important to note that in some other cases, women with disabilities have difficulties to access safe abortion, including when becoming pregnant </w:t>
      </w:r>
      <w:proofErr w:type="gramStart"/>
      <w:r>
        <w:rPr>
          <w:bCs/>
          <w:iCs/>
        </w:rPr>
        <w:t>as a consequence of</w:t>
      </w:r>
      <w:proofErr w:type="gramEnd"/>
      <w:r>
        <w:rPr>
          <w:bCs/>
          <w:iCs/>
        </w:rPr>
        <w:t xml:space="preserve"> rape. </w:t>
      </w:r>
    </w:p>
    <w:p w14:paraId="3285A6FB" w14:textId="229A2BBC" w:rsidR="00044BF6" w:rsidRDefault="00D5284D" w:rsidP="00CB297D">
      <w:pPr>
        <w:pStyle w:val="Heading3"/>
      </w:pPr>
      <w:r>
        <w:t xml:space="preserve">Sexual harassment </w:t>
      </w:r>
      <w:r w:rsidR="00F2657A">
        <w:t>and stalking</w:t>
      </w:r>
    </w:p>
    <w:p w14:paraId="00B5E689" w14:textId="5EDA8153" w:rsidR="005C6400" w:rsidRDefault="00F2657A" w:rsidP="00044BF6">
      <w:r>
        <w:t>Women and girls with disabilities are also at higher risk of facing sexual harassment and stalking than women without disabilities. According to data collected by the Fundamental Rights Agency, 61% of women with a health issue or a disability had reported experiencing sexual harassment and 26% experiencing stalking (comparing to 54% and 17% of women without disabilities respectively).</w:t>
      </w:r>
      <w:r>
        <w:rPr>
          <w:rStyle w:val="FootnoteReference"/>
        </w:rPr>
        <w:footnoteReference w:id="15"/>
      </w:r>
      <w:r>
        <w:t xml:space="preserve"> </w:t>
      </w:r>
    </w:p>
    <w:p w14:paraId="7FA03034" w14:textId="0E74AE1B" w:rsidR="00F33365" w:rsidRPr="00F33365" w:rsidRDefault="00432058" w:rsidP="00044BF6">
      <w:r>
        <w:t xml:space="preserve">In a discussion paper published in 2020, </w:t>
      </w:r>
      <w:r w:rsidR="00F33365" w:rsidRPr="00F33365">
        <w:t xml:space="preserve">UN Women </w:t>
      </w:r>
      <w:r w:rsidR="005F4FD4">
        <w:t xml:space="preserve">highlighted the </w:t>
      </w:r>
      <w:r w:rsidR="00F33365">
        <w:t>harassment faced by women with disabilities at work and on campus.</w:t>
      </w:r>
      <w:r>
        <w:rPr>
          <w:rStyle w:val="FootnoteReference"/>
        </w:rPr>
        <w:footnoteReference w:id="16"/>
      </w:r>
      <w:r w:rsidR="00F33365">
        <w:t xml:space="preserve"> </w:t>
      </w:r>
      <w:r>
        <w:t xml:space="preserve">The paper illustrates many occurrences of violence, for example </w:t>
      </w:r>
      <w:r w:rsidRPr="00432058">
        <w:t xml:space="preserve">Blind women </w:t>
      </w:r>
      <w:r>
        <w:t xml:space="preserve">being inappropriately </w:t>
      </w:r>
      <w:r w:rsidRPr="00432058">
        <w:t>touch</w:t>
      </w:r>
      <w:r>
        <w:t>ed</w:t>
      </w:r>
      <w:r w:rsidRPr="00432058">
        <w:t xml:space="preserve"> from people who offer them help</w:t>
      </w:r>
      <w:r>
        <w:t xml:space="preserve"> or wheelchair users being pushed by persons who did not ask the permission</w:t>
      </w:r>
      <w:r w:rsidRPr="00432058">
        <w:t>.</w:t>
      </w:r>
    </w:p>
    <w:p w14:paraId="1A8C77E3" w14:textId="6D7A7349" w:rsidR="00E558AF" w:rsidRPr="00A71423" w:rsidRDefault="00D5284D" w:rsidP="00CB297D">
      <w:pPr>
        <w:pStyle w:val="Heading3"/>
      </w:pPr>
      <w:r w:rsidRPr="00A71423">
        <w:t xml:space="preserve">Violence in institutions </w:t>
      </w:r>
    </w:p>
    <w:p w14:paraId="0DA59C27" w14:textId="4E4D9127" w:rsidR="00D5284D" w:rsidRDefault="00C714B1" w:rsidP="00E558AF">
      <w:r w:rsidRPr="00C714B1">
        <w:t>Women a</w:t>
      </w:r>
      <w:r>
        <w:t xml:space="preserve">nd girls with disabilities living in closed settings such as </w:t>
      </w:r>
      <w:r w:rsidR="00891A31">
        <w:t xml:space="preserve">residential </w:t>
      </w:r>
      <w:r>
        <w:t xml:space="preserve">institutions, psychiatric hospitals and asylum </w:t>
      </w:r>
      <w:proofErr w:type="spellStart"/>
      <w:r>
        <w:t>centres</w:t>
      </w:r>
      <w:proofErr w:type="spellEnd"/>
      <w:r>
        <w:t xml:space="preserve"> are at a</w:t>
      </w:r>
      <w:r w:rsidR="00CB297D">
        <w:t>n</w:t>
      </w:r>
      <w:r>
        <w:t xml:space="preserve"> eve</w:t>
      </w:r>
      <w:r w:rsidR="00891A31">
        <w:t>n</w:t>
      </w:r>
      <w:r>
        <w:t xml:space="preserve"> higher risk of violence. </w:t>
      </w:r>
    </w:p>
    <w:p w14:paraId="390FED66" w14:textId="33133527" w:rsidR="00532007" w:rsidRPr="00C714B1" w:rsidRDefault="00891A31" w:rsidP="00E558AF">
      <w:r>
        <w:t xml:space="preserve">A study published by Inclusion Europe highlights the many forms of violence faced by women and girls with intellectual disabilities in institutions, including physical, </w:t>
      </w:r>
      <w:proofErr w:type="gramStart"/>
      <w:r>
        <w:t>sexual</w:t>
      </w:r>
      <w:proofErr w:type="gramEnd"/>
      <w:r>
        <w:t xml:space="preserve"> and psychological violence, neglect, forced medication and financial abuse.</w:t>
      </w:r>
      <w:r>
        <w:rPr>
          <w:rStyle w:val="FootnoteReference"/>
        </w:rPr>
        <w:footnoteReference w:id="17"/>
      </w:r>
      <w:r>
        <w:t xml:space="preserve"> The perpetrators were often family, friends, friends of friends or complete strangers.</w:t>
      </w:r>
    </w:p>
    <w:p w14:paraId="4EE784A5" w14:textId="44D8757A" w:rsidR="00E558AF" w:rsidRDefault="00E558AF" w:rsidP="00E558AF">
      <w:pPr>
        <w:pStyle w:val="Heading1"/>
      </w:pPr>
      <w:bookmarkStart w:id="13" w:name="_Toc70070137"/>
      <w:r>
        <w:lastRenderedPageBreak/>
        <w:t>Barriers in reporting violence and sanctioning perpetrators</w:t>
      </w:r>
      <w:bookmarkEnd w:id="13"/>
      <w:r>
        <w:t xml:space="preserve"> </w:t>
      </w:r>
    </w:p>
    <w:p w14:paraId="4C6494AB" w14:textId="0FBE4C8C" w:rsidR="00EB24A7" w:rsidRDefault="00EB24A7" w:rsidP="00EB24A7">
      <w:pPr>
        <w:pStyle w:val="Heading3"/>
        <w:rPr>
          <w:lang w:val="en-GB"/>
        </w:rPr>
      </w:pPr>
      <w:r>
        <w:rPr>
          <w:lang w:val="en-GB"/>
        </w:rPr>
        <w:t xml:space="preserve">Barriers in reporting violence </w:t>
      </w:r>
    </w:p>
    <w:p w14:paraId="171DBBEF" w14:textId="5DA66086" w:rsidR="00161D94" w:rsidRDefault="003B0B49" w:rsidP="003B0B49">
      <w:pPr>
        <w:rPr>
          <w:lang w:val="en-GB"/>
        </w:rPr>
      </w:pPr>
      <w:r w:rsidRPr="003B0B49">
        <w:rPr>
          <w:lang w:val="en-GB"/>
        </w:rPr>
        <w:t xml:space="preserve">Women and girls with disabilities face more difficulties to report violence and claim their rights because of </w:t>
      </w:r>
      <w:r w:rsidR="00161D94">
        <w:rPr>
          <w:lang w:val="en-GB"/>
        </w:rPr>
        <w:t>several factors.</w:t>
      </w:r>
    </w:p>
    <w:p w14:paraId="4C83907B" w14:textId="2D4800AD" w:rsidR="00161D94" w:rsidRDefault="00161D94" w:rsidP="00F44D70">
      <w:pPr>
        <w:pStyle w:val="ListParagraph"/>
        <w:numPr>
          <w:ilvl w:val="0"/>
          <w:numId w:val="13"/>
        </w:numPr>
        <w:ind w:left="714" w:hanging="357"/>
        <w:contextualSpacing w:val="0"/>
        <w:rPr>
          <w:lang w:val="en-GB"/>
        </w:rPr>
      </w:pPr>
      <w:r w:rsidRPr="00161D94">
        <w:rPr>
          <w:b/>
          <w:bCs/>
          <w:lang w:val="en-GB"/>
        </w:rPr>
        <w:t>Lack of awareness about their rights</w:t>
      </w:r>
      <w:r>
        <w:rPr>
          <w:lang w:val="en-GB"/>
        </w:rPr>
        <w:t>: women and girls with disabilities, especially those in institutions, may not be aware about their rights and not supported to identi</w:t>
      </w:r>
      <w:r w:rsidR="00EE48F6">
        <w:rPr>
          <w:lang w:val="en-GB"/>
        </w:rPr>
        <w:t>f</w:t>
      </w:r>
      <w:r>
        <w:rPr>
          <w:lang w:val="en-GB"/>
        </w:rPr>
        <w:t xml:space="preserve">y and report violence. </w:t>
      </w:r>
    </w:p>
    <w:p w14:paraId="2C2A6863" w14:textId="7555BACF" w:rsidR="00161D94" w:rsidRPr="00EE48F6" w:rsidRDefault="00161D94" w:rsidP="00F44D70">
      <w:pPr>
        <w:pStyle w:val="ListParagraph"/>
        <w:numPr>
          <w:ilvl w:val="0"/>
          <w:numId w:val="13"/>
        </w:numPr>
        <w:ind w:left="714" w:hanging="357"/>
        <w:contextualSpacing w:val="0"/>
        <w:rPr>
          <w:lang w:val="en-GB"/>
        </w:rPr>
      </w:pPr>
      <w:r w:rsidRPr="00161D94">
        <w:rPr>
          <w:b/>
          <w:iCs/>
          <w:lang w:val="en-GB"/>
        </w:rPr>
        <w:t>Myths</w:t>
      </w:r>
      <w:r w:rsidR="00EE48F6">
        <w:rPr>
          <w:b/>
          <w:iCs/>
          <w:lang w:val="en-GB"/>
        </w:rPr>
        <w:t xml:space="preserve"> and </w:t>
      </w:r>
      <w:r w:rsidRPr="00161D94">
        <w:rPr>
          <w:b/>
          <w:iCs/>
          <w:lang w:val="en-GB"/>
        </w:rPr>
        <w:t>stereotypes</w:t>
      </w:r>
      <w:r w:rsidR="005F4FD4">
        <w:rPr>
          <w:bCs/>
          <w:iCs/>
          <w:lang w:val="en-GB"/>
        </w:rPr>
        <w:t>: many myths and stereotypes on women and girls with disabilities</w:t>
      </w:r>
      <w:r w:rsidRPr="00161D94">
        <w:rPr>
          <w:bCs/>
          <w:iCs/>
          <w:lang w:val="en-GB"/>
        </w:rPr>
        <w:t xml:space="preserve"> prevent </w:t>
      </w:r>
      <w:r w:rsidR="005F4FD4">
        <w:rPr>
          <w:bCs/>
          <w:iCs/>
          <w:lang w:val="en-GB"/>
        </w:rPr>
        <w:t>them</w:t>
      </w:r>
      <w:r w:rsidRPr="00161D94">
        <w:rPr>
          <w:bCs/>
          <w:iCs/>
          <w:lang w:val="en-GB"/>
        </w:rPr>
        <w:t xml:space="preserve"> from being considered credible by the police and the criminal justice system.</w:t>
      </w:r>
      <w:r w:rsidR="00EE48F6">
        <w:rPr>
          <w:bCs/>
          <w:iCs/>
          <w:lang w:val="en-GB"/>
        </w:rPr>
        <w:t xml:space="preserve"> </w:t>
      </w:r>
      <w:r w:rsidR="005F4FD4">
        <w:rPr>
          <w:bCs/>
          <w:iCs/>
          <w:lang w:val="en-GB"/>
        </w:rPr>
        <w:t xml:space="preserve">They include for instance the myth that women with disabilities, especially with intellectual disabilities are asexual or that women with psychosocial disabilities are hypersexual. </w:t>
      </w:r>
    </w:p>
    <w:p w14:paraId="6362E94D" w14:textId="588DF159" w:rsidR="00EE48F6" w:rsidRPr="00161D94" w:rsidRDefault="00EE48F6" w:rsidP="00F44D70">
      <w:pPr>
        <w:pStyle w:val="ListParagraph"/>
        <w:numPr>
          <w:ilvl w:val="0"/>
          <w:numId w:val="13"/>
        </w:numPr>
        <w:ind w:left="714" w:hanging="357"/>
        <w:contextualSpacing w:val="0"/>
        <w:rPr>
          <w:lang w:val="en-GB"/>
        </w:rPr>
      </w:pPr>
      <w:r>
        <w:rPr>
          <w:b/>
          <w:iCs/>
          <w:lang w:val="en-GB"/>
        </w:rPr>
        <w:t>Fear</w:t>
      </w:r>
      <w:r w:rsidRPr="00EE48F6">
        <w:rPr>
          <w:bCs/>
          <w:iCs/>
          <w:lang w:val="en-GB"/>
        </w:rPr>
        <w:t xml:space="preserve">: </w:t>
      </w:r>
      <w:r>
        <w:rPr>
          <w:bCs/>
          <w:iCs/>
          <w:lang w:val="en-GB"/>
        </w:rPr>
        <w:t>linked to myths and stereotypes, women and girls with disabilities may be afraid of stigmatisation and victimisation when reporting violence</w:t>
      </w:r>
      <w:r w:rsidR="0002245A">
        <w:rPr>
          <w:bCs/>
          <w:iCs/>
          <w:lang w:val="en-GB"/>
        </w:rPr>
        <w:t xml:space="preserve">, including of not being </w:t>
      </w:r>
      <w:r w:rsidR="002E4890">
        <w:rPr>
          <w:bCs/>
          <w:iCs/>
          <w:lang w:val="en-GB"/>
        </w:rPr>
        <w:t>believed</w:t>
      </w:r>
      <w:r>
        <w:rPr>
          <w:bCs/>
          <w:iCs/>
          <w:lang w:val="en-GB"/>
        </w:rPr>
        <w:t xml:space="preserve">. </w:t>
      </w:r>
      <w:r w:rsidR="005F4689">
        <w:rPr>
          <w:bCs/>
          <w:iCs/>
          <w:lang w:val="en-GB"/>
        </w:rPr>
        <w:t xml:space="preserve">They may also be afraid to let their inner circle know about the violence. </w:t>
      </w:r>
      <w:r w:rsidR="00071EFB">
        <w:rPr>
          <w:bCs/>
          <w:iCs/>
          <w:lang w:val="en-GB"/>
        </w:rPr>
        <w:t>Power d</w:t>
      </w:r>
      <w:r w:rsidR="00B95719">
        <w:rPr>
          <w:bCs/>
          <w:iCs/>
          <w:lang w:val="en-GB"/>
        </w:rPr>
        <w:t>ominance</w:t>
      </w:r>
      <w:r w:rsidR="00071EFB">
        <w:rPr>
          <w:bCs/>
          <w:iCs/>
          <w:lang w:val="en-GB"/>
        </w:rPr>
        <w:t>,</w:t>
      </w:r>
      <w:r w:rsidR="00B95719">
        <w:rPr>
          <w:bCs/>
          <w:iCs/>
          <w:lang w:val="en-GB"/>
        </w:rPr>
        <w:t xml:space="preserve"> for instance between a woman with disabilities and her legal guardian, her support persons or someone working in an institution, may also create fear of reprisal. </w:t>
      </w:r>
    </w:p>
    <w:p w14:paraId="02F8430D" w14:textId="558DB2A3" w:rsidR="00EE48F6" w:rsidRDefault="00161D94" w:rsidP="00F44D70">
      <w:pPr>
        <w:pStyle w:val="ListParagraph"/>
        <w:numPr>
          <w:ilvl w:val="0"/>
          <w:numId w:val="13"/>
        </w:numPr>
        <w:ind w:left="714" w:hanging="357"/>
        <w:contextualSpacing w:val="0"/>
        <w:rPr>
          <w:lang w:val="en-GB"/>
        </w:rPr>
      </w:pPr>
      <w:r>
        <w:rPr>
          <w:b/>
          <w:iCs/>
          <w:lang w:val="en-GB"/>
        </w:rPr>
        <w:t>Inaccessibility</w:t>
      </w:r>
      <w:r w:rsidRPr="00161D94">
        <w:rPr>
          <w:bCs/>
          <w:iCs/>
          <w:lang w:val="en-GB"/>
        </w:rPr>
        <w:t>:</w:t>
      </w:r>
      <w:r>
        <w:rPr>
          <w:b/>
          <w:iCs/>
          <w:lang w:val="en-GB"/>
        </w:rPr>
        <w:t xml:space="preserve"> </w:t>
      </w:r>
      <w:r w:rsidRPr="00161D94">
        <w:rPr>
          <w:bCs/>
          <w:iCs/>
          <w:lang w:val="en-GB"/>
        </w:rPr>
        <w:t>reporting mechanisms,</w:t>
      </w:r>
      <w:r>
        <w:rPr>
          <w:b/>
          <w:iCs/>
          <w:lang w:val="en-GB"/>
        </w:rPr>
        <w:t xml:space="preserve"> </w:t>
      </w:r>
      <w:r w:rsidR="003B0B49" w:rsidRPr="00161D94">
        <w:rPr>
          <w:lang w:val="en-GB"/>
        </w:rPr>
        <w:t xml:space="preserve">police offices, court building </w:t>
      </w:r>
      <w:r w:rsidR="005736B0">
        <w:rPr>
          <w:lang w:val="en-GB"/>
        </w:rPr>
        <w:t xml:space="preserve">are often not accessible to women and girls with disabilities. For instance, a police station </w:t>
      </w:r>
      <w:r w:rsidR="003B0B49" w:rsidRPr="00161D94">
        <w:rPr>
          <w:lang w:val="en-GB"/>
        </w:rPr>
        <w:t xml:space="preserve">may not be accessible for women using a wheelchair, or emergency number not accessible for </w:t>
      </w:r>
      <w:r w:rsidRPr="00161D94">
        <w:rPr>
          <w:lang w:val="en-GB"/>
        </w:rPr>
        <w:t>D</w:t>
      </w:r>
      <w:r w:rsidR="003B0B49" w:rsidRPr="00161D94">
        <w:rPr>
          <w:lang w:val="en-GB"/>
        </w:rPr>
        <w:t>eaf women</w:t>
      </w:r>
      <w:r w:rsidRPr="00161D94">
        <w:rPr>
          <w:lang w:val="en-GB"/>
        </w:rPr>
        <w:t xml:space="preserve"> </w:t>
      </w:r>
      <w:r w:rsidR="005736B0">
        <w:rPr>
          <w:lang w:val="en-GB"/>
        </w:rPr>
        <w:t>and</w:t>
      </w:r>
      <w:r w:rsidRPr="00161D94">
        <w:rPr>
          <w:lang w:val="en-GB"/>
        </w:rPr>
        <w:t xml:space="preserve"> </w:t>
      </w:r>
      <w:r w:rsidR="004D4FFB">
        <w:rPr>
          <w:lang w:val="en-GB"/>
        </w:rPr>
        <w:t>deafblind</w:t>
      </w:r>
      <w:r w:rsidRPr="00161D94">
        <w:rPr>
          <w:lang w:val="en-GB"/>
        </w:rPr>
        <w:t xml:space="preserve"> women</w:t>
      </w:r>
      <w:r w:rsidR="003B0B49" w:rsidRPr="00161D94">
        <w:rPr>
          <w:lang w:val="en-GB"/>
        </w:rPr>
        <w:t xml:space="preserve">. </w:t>
      </w:r>
    </w:p>
    <w:p w14:paraId="04852D6A" w14:textId="6C5C9ECA" w:rsidR="00F44D70" w:rsidRDefault="00EE48F6" w:rsidP="00EE48F6">
      <w:pPr>
        <w:rPr>
          <w:lang w:val="en-GB"/>
        </w:rPr>
      </w:pPr>
      <w:r>
        <w:rPr>
          <w:lang w:val="en-GB"/>
        </w:rPr>
        <w:t>Women and girls</w:t>
      </w:r>
      <w:r w:rsidRPr="00EE48F6">
        <w:rPr>
          <w:lang w:val="en-GB"/>
        </w:rPr>
        <w:t xml:space="preserve"> with intellectual or psychosocial disabilities, </w:t>
      </w:r>
      <w:proofErr w:type="gramStart"/>
      <w:r w:rsidRPr="00EE48F6">
        <w:rPr>
          <w:lang w:val="en-GB"/>
        </w:rPr>
        <w:t>in particular those</w:t>
      </w:r>
      <w:proofErr w:type="gramEnd"/>
      <w:r w:rsidRPr="00EE48F6">
        <w:rPr>
          <w:lang w:val="en-GB"/>
        </w:rPr>
        <w:t xml:space="preserve"> placed under guardianship and other regime depriving them of their legal capacity</w:t>
      </w:r>
      <w:r w:rsidR="00944620">
        <w:rPr>
          <w:lang w:val="en-GB"/>
        </w:rPr>
        <w:t xml:space="preserve">, and </w:t>
      </w:r>
      <w:r w:rsidR="004D4FFB">
        <w:rPr>
          <w:lang w:val="en-GB"/>
        </w:rPr>
        <w:t>deafblind</w:t>
      </w:r>
      <w:r w:rsidR="00944620">
        <w:rPr>
          <w:lang w:val="en-GB"/>
        </w:rPr>
        <w:t xml:space="preserve"> women</w:t>
      </w:r>
      <w:r>
        <w:rPr>
          <w:lang w:val="en-GB"/>
        </w:rPr>
        <w:t xml:space="preserve"> are particularly at risk of facing difficulties to identify and report violence</w:t>
      </w:r>
      <w:r w:rsidRPr="00EE48F6">
        <w:rPr>
          <w:lang w:val="en-GB"/>
        </w:rPr>
        <w:t>.</w:t>
      </w:r>
    </w:p>
    <w:p w14:paraId="3844969B" w14:textId="4A407B54" w:rsidR="00565062" w:rsidRDefault="00565062" w:rsidP="00141EAA">
      <w:pPr>
        <w:pStyle w:val="Heading3"/>
        <w:rPr>
          <w:lang w:val="en-GB"/>
        </w:rPr>
      </w:pPr>
      <w:r>
        <w:rPr>
          <w:lang w:val="en-GB"/>
        </w:rPr>
        <w:t xml:space="preserve">Barriers in access to justice </w:t>
      </w:r>
    </w:p>
    <w:p w14:paraId="26C82041" w14:textId="07FE186C" w:rsidR="00565062" w:rsidRDefault="00565062" w:rsidP="00EE48F6">
      <w:pPr>
        <w:rPr>
          <w:lang w:val="en-GB"/>
        </w:rPr>
      </w:pPr>
      <w:r>
        <w:rPr>
          <w:lang w:val="en-GB"/>
        </w:rPr>
        <w:t xml:space="preserve">In addition to barriers faced in reporting, women and girls with disabilities face similar access in relation to access to justice. When a case is being taken, it is essential that they are supported from the beginning of the process. </w:t>
      </w:r>
      <w:r w:rsidR="00B643E0">
        <w:rPr>
          <w:lang w:val="en-GB"/>
        </w:rPr>
        <w:t xml:space="preserve">Inaccessibility, </w:t>
      </w:r>
      <w:proofErr w:type="gramStart"/>
      <w:r w:rsidR="00B643E0">
        <w:rPr>
          <w:lang w:val="en-GB"/>
        </w:rPr>
        <w:t>fear</w:t>
      </w:r>
      <w:proofErr w:type="gramEnd"/>
      <w:r w:rsidR="00B643E0">
        <w:rPr>
          <w:lang w:val="en-GB"/>
        </w:rPr>
        <w:t xml:space="preserve"> and costs are deterrent factors for women with disabilities who wish to bring their case to court and obtain legal remedies. </w:t>
      </w:r>
    </w:p>
    <w:p w14:paraId="35604393" w14:textId="076296A2" w:rsidR="004E68FA" w:rsidRDefault="004E68FA" w:rsidP="004E68FA">
      <w:pPr>
        <w:pStyle w:val="Heading3"/>
        <w:rPr>
          <w:lang w:val="en-GB"/>
        </w:rPr>
      </w:pPr>
      <w:r>
        <w:rPr>
          <w:lang w:val="en-GB"/>
        </w:rPr>
        <w:lastRenderedPageBreak/>
        <w:t xml:space="preserve">Risks of </w:t>
      </w:r>
      <w:r w:rsidR="00286C00">
        <w:rPr>
          <w:lang w:val="en-GB"/>
        </w:rPr>
        <w:t xml:space="preserve">coerced </w:t>
      </w:r>
      <w:r>
        <w:rPr>
          <w:lang w:val="en-GB"/>
        </w:rPr>
        <w:t>mediation</w:t>
      </w:r>
    </w:p>
    <w:p w14:paraId="560846DA" w14:textId="70F09183" w:rsidR="00D472D2" w:rsidRDefault="00071EFB" w:rsidP="00EE48F6">
      <w:pPr>
        <w:rPr>
          <w:lang w:val="en-GB"/>
        </w:rPr>
      </w:pPr>
      <w:r>
        <w:rPr>
          <w:lang w:val="en-GB"/>
        </w:rPr>
        <w:t>S</w:t>
      </w:r>
      <w:r w:rsidR="00AF7753">
        <w:rPr>
          <w:lang w:val="en-GB"/>
        </w:rPr>
        <w:t>ome countries</w:t>
      </w:r>
      <w:r w:rsidR="000F5954">
        <w:rPr>
          <w:lang w:val="en-GB"/>
        </w:rPr>
        <w:t xml:space="preserve"> such as</w:t>
      </w:r>
      <w:r w:rsidR="00AF7753">
        <w:rPr>
          <w:lang w:val="en-GB"/>
        </w:rPr>
        <w:t xml:space="preserve"> </w:t>
      </w:r>
      <w:r w:rsidR="000F5954" w:rsidRPr="00077A4B">
        <w:rPr>
          <w:b/>
          <w:bCs/>
        </w:rPr>
        <w:t>Belgium</w:t>
      </w:r>
      <w:r w:rsidR="000F5954">
        <w:t xml:space="preserve"> and the </w:t>
      </w:r>
      <w:r w:rsidR="000F5954" w:rsidRPr="0006631A">
        <w:rPr>
          <w:b/>
          <w:bCs/>
        </w:rPr>
        <w:t>Netherlands</w:t>
      </w:r>
      <w:r w:rsidR="000F5954">
        <w:rPr>
          <w:lang w:val="en-GB"/>
        </w:rPr>
        <w:t xml:space="preserve"> </w:t>
      </w:r>
      <w:r w:rsidR="00286C00">
        <w:rPr>
          <w:lang w:val="en-GB"/>
        </w:rPr>
        <w:t>provide</w:t>
      </w:r>
      <w:r w:rsidR="00AF7753">
        <w:rPr>
          <w:lang w:val="en-GB"/>
        </w:rPr>
        <w:t xml:space="preserve"> alternative</w:t>
      </w:r>
      <w:r w:rsidR="00286C00">
        <w:rPr>
          <w:lang w:val="en-GB"/>
        </w:rPr>
        <w:t xml:space="preserve"> </w:t>
      </w:r>
      <w:r w:rsidR="00077A4B">
        <w:rPr>
          <w:lang w:val="en-GB"/>
        </w:rPr>
        <w:t>dispute</w:t>
      </w:r>
      <w:r w:rsidR="00286C00">
        <w:rPr>
          <w:lang w:val="en-GB"/>
        </w:rPr>
        <w:t xml:space="preserve"> resolutions</w:t>
      </w:r>
      <w:r w:rsidR="00AF7753">
        <w:rPr>
          <w:lang w:val="en-GB"/>
        </w:rPr>
        <w:t xml:space="preserve"> </w:t>
      </w:r>
      <w:r w:rsidR="00286C00">
        <w:rPr>
          <w:lang w:val="en-GB"/>
        </w:rPr>
        <w:t xml:space="preserve">such as </w:t>
      </w:r>
      <w:r w:rsidR="00AF7753">
        <w:rPr>
          <w:lang w:val="en-GB"/>
        </w:rPr>
        <w:t>mediation in cases of gender-based</w:t>
      </w:r>
      <w:r w:rsidR="00286C00">
        <w:rPr>
          <w:lang w:val="en-GB"/>
        </w:rPr>
        <w:t xml:space="preserve"> violence,</w:t>
      </w:r>
      <w:r>
        <w:rPr>
          <w:lang w:val="en-GB"/>
        </w:rPr>
        <w:t xml:space="preserve"> </w:t>
      </w:r>
      <w:r w:rsidR="002E4890">
        <w:rPr>
          <w:lang w:val="en-GB"/>
        </w:rPr>
        <w:t>which may include</w:t>
      </w:r>
      <w:r>
        <w:rPr>
          <w:lang w:val="en-GB"/>
        </w:rPr>
        <w:t xml:space="preserve"> direct confrontation with the perpetrator. T</w:t>
      </w:r>
      <w:r w:rsidR="00286C00">
        <w:rPr>
          <w:lang w:val="en-GB"/>
        </w:rPr>
        <w:t xml:space="preserve">here is a risk that women and girls with disabilities are coerced into accepting </w:t>
      </w:r>
      <w:r w:rsidR="002E4890">
        <w:rPr>
          <w:lang w:val="en-GB"/>
        </w:rPr>
        <w:t>such alternatives</w:t>
      </w:r>
      <w:r>
        <w:rPr>
          <w:lang w:val="en-GB"/>
        </w:rPr>
        <w:t>.</w:t>
      </w:r>
    </w:p>
    <w:p w14:paraId="0566FAA3" w14:textId="2EF7085B" w:rsidR="004E68FA" w:rsidRDefault="00286C00" w:rsidP="00EE48F6">
      <w:pPr>
        <w:rPr>
          <w:lang w:val="en-GB"/>
        </w:rPr>
      </w:pPr>
      <w:r>
        <w:rPr>
          <w:lang w:val="en-GB"/>
        </w:rPr>
        <w:t xml:space="preserve">It is important to </w:t>
      </w:r>
      <w:r w:rsidR="00077A4B">
        <w:rPr>
          <w:lang w:val="en-GB"/>
        </w:rPr>
        <w:t xml:space="preserve">recall that </w:t>
      </w:r>
      <w:r>
        <w:rPr>
          <w:lang w:val="en-GB"/>
        </w:rPr>
        <w:t>violence against women</w:t>
      </w:r>
      <w:r w:rsidR="00077A4B">
        <w:rPr>
          <w:lang w:val="en-GB"/>
        </w:rPr>
        <w:t xml:space="preserve"> and girls</w:t>
      </w:r>
      <w:r>
        <w:rPr>
          <w:lang w:val="en-GB"/>
        </w:rPr>
        <w:t xml:space="preserve"> is often the result of a relationship of dominance and control</w:t>
      </w:r>
      <w:r w:rsidR="002E4890">
        <w:rPr>
          <w:lang w:val="en-GB"/>
        </w:rPr>
        <w:t>. The dominance and control are</w:t>
      </w:r>
      <w:r>
        <w:rPr>
          <w:lang w:val="en-GB"/>
        </w:rPr>
        <w:t xml:space="preserve"> even more important in cases </w:t>
      </w:r>
      <w:r w:rsidR="00D472D2">
        <w:rPr>
          <w:lang w:val="en-GB"/>
        </w:rPr>
        <w:t>where</w:t>
      </w:r>
      <w:r>
        <w:rPr>
          <w:lang w:val="en-GB"/>
        </w:rPr>
        <w:t xml:space="preserve"> the perpetrators of violence are </w:t>
      </w:r>
      <w:r w:rsidR="00077A4B">
        <w:rPr>
          <w:lang w:val="en-GB"/>
        </w:rPr>
        <w:t xml:space="preserve">legal guardians, </w:t>
      </w:r>
      <w:r>
        <w:rPr>
          <w:lang w:val="en-GB"/>
        </w:rPr>
        <w:t>carers, support persons or persons working in institution or other closed settings.</w:t>
      </w:r>
    </w:p>
    <w:p w14:paraId="7E6D2B66" w14:textId="69BB1C2E" w:rsidR="00286C00" w:rsidRPr="00286C00" w:rsidRDefault="00286C00" w:rsidP="00286C00">
      <w:r>
        <w:rPr>
          <w:lang w:val="en-GB"/>
        </w:rPr>
        <w:t xml:space="preserve">The </w:t>
      </w:r>
      <w:r w:rsidRPr="00286C00">
        <w:t>Council of Europe’s Group of Experts on Action against Violence against Women and Domestic Violence</w:t>
      </w:r>
      <w:r>
        <w:t xml:space="preserve"> </w:t>
      </w:r>
      <w:r w:rsidR="00D472D2">
        <w:t xml:space="preserve">(GREVIO) </w:t>
      </w:r>
      <w:r w:rsidR="000F5954">
        <w:t>explained</w:t>
      </w:r>
      <w:r w:rsidR="00D472D2">
        <w:t xml:space="preserve"> in the evaluation of Belgium</w:t>
      </w:r>
      <w:r w:rsidR="000F5954">
        <w:t xml:space="preserve"> that </w:t>
      </w:r>
      <w:r w:rsidR="00077A4B">
        <w:t>alternative dispute resolution</w:t>
      </w:r>
      <w:r w:rsidR="00D472D2">
        <w:t xml:space="preserve"> mechanisms</w:t>
      </w:r>
      <w:r w:rsidR="00077A4B">
        <w:t xml:space="preserve"> should always be prohibited in cases of violence. When voluntary, </w:t>
      </w:r>
      <w:r w:rsidR="0074666F">
        <w:t>such alternatives</w:t>
      </w:r>
      <w:r w:rsidR="00077A4B">
        <w:t xml:space="preserve"> should be excluded when it is </w:t>
      </w:r>
      <w:r w:rsidR="00077A4B" w:rsidRPr="00286C00">
        <w:t>not possible to assess whether the victim has given free and informed consent</w:t>
      </w:r>
      <w:r w:rsidR="00077A4B">
        <w:t>.</w:t>
      </w:r>
      <w:r w:rsidR="00D472D2">
        <w:rPr>
          <w:rStyle w:val="FootnoteReference"/>
        </w:rPr>
        <w:footnoteReference w:id="18"/>
      </w:r>
      <w:r w:rsidR="00077A4B">
        <w:t xml:space="preserve"> </w:t>
      </w:r>
    </w:p>
    <w:p w14:paraId="731DFFB0" w14:textId="3235D1EA" w:rsidR="00E558AF" w:rsidRDefault="004E68FA" w:rsidP="00EB24A7">
      <w:pPr>
        <w:pStyle w:val="Heading3"/>
      </w:pPr>
      <w:r>
        <w:t xml:space="preserve">Lesser penalties based on the disability of the </w:t>
      </w:r>
      <w:proofErr w:type="gramStart"/>
      <w:r>
        <w:t>victim</w:t>
      </w:r>
      <w:proofErr w:type="gramEnd"/>
    </w:p>
    <w:p w14:paraId="6B706369" w14:textId="77777777" w:rsidR="0017210F" w:rsidRDefault="00D55FF4" w:rsidP="004E5BF4">
      <w:r>
        <w:t>In some countries, the criminal law discriminates against victims with disabilities by providing for l</w:t>
      </w:r>
      <w:r w:rsidR="004E5BF4">
        <w:t>esser</w:t>
      </w:r>
      <w:r>
        <w:t xml:space="preserve"> </w:t>
      </w:r>
      <w:r w:rsidR="004E5BF4">
        <w:t>penalties</w:t>
      </w:r>
      <w:r>
        <w:t xml:space="preserve"> to the perpetrator when the victim is a person with disabilit</w:t>
      </w:r>
      <w:r w:rsidR="004E5BF4">
        <w:t>y</w:t>
      </w:r>
      <w:r>
        <w:t xml:space="preserve">. </w:t>
      </w:r>
    </w:p>
    <w:p w14:paraId="2886401B" w14:textId="705189A5" w:rsidR="00D55FF4" w:rsidRPr="00D55FF4" w:rsidRDefault="003F7C85" w:rsidP="004E5BF4">
      <w:r>
        <w:t>For example</w:t>
      </w:r>
      <w:r w:rsidR="004E5BF4">
        <w:t>,</w:t>
      </w:r>
      <w:r>
        <w:t xml:space="preserve"> the</w:t>
      </w:r>
      <w:r w:rsidR="004E5BF4">
        <w:t xml:space="preserve"> </w:t>
      </w:r>
      <w:r w:rsidR="00A71423">
        <w:t xml:space="preserve">GREVIO </w:t>
      </w:r>
      <w:r>
        <w:t xml:space="preserve">called on </w:t>
      </w:r>
      <w:r w:rsidRPr="003F7C85">
        <w:rPr>
          <w:b/>
          <w:bCs/>
        </w:rPr>
        <w:t>Denmark</w:t>
      </w:r>
      <w:r>
        <w:t xml:space="preserve"> to bring criminal sanctions incurred for sexual violence against women with mental health issues to the same level as those against other women incapable of consenting to the act.</w:t>
      </w:r>
      <w:r w:rsidR="004E5BF4">
        <w:rPr>
          <w:rStyle w:val="FootnoteReference"/>
        </w:rPr>
        <w:footnoteReference w:id="19"/>
      </w:r>
      <w:r w:rsidR="004E5BF4">
        <w:t xml:space="preserve"> The Danish legislation was issuing a lesser sentence (maximum of four years imprisonment) for sexual intercourse following the exploitation of a “mental illness/disability” compared to sexual intercourse with an </w:t>
      </w:r>
      <w:r w:rsidR="00E348B7">
        <w:t>“</w:t>
      </w:r>
      <w:r w:rsidR="004E5BF4">
        <w:t>intoxicated woman incapable of consenting to the act</w:t>
      </w:r>
      <w:r w:rsidR="00E348B7">
        <w:t>”</w:t>
      </w:r>
      <w:r w:rsidR="004E5BF4">
        <w:t xml:space="preserve"> (maximum prison term of eight years).</w:t>
      </w:r>
    </w:p>
    <w:p w14:paraId="70D6438A" w14:textId="0EE169A6" w:rsidR="00E558AF" w:rsidRDefault="00E558AF" w:rsidP="00E558AF">
      <w:pPr>
        <w:pStyle w:val="Heading1"/>
      </w:pPr>
      <w:bookmarkStart w:id="14" w:name="_Toc70070138"/>
      <w:r>
        <w:t xml:space="preserve">Barriers in protecting victims with </w:t>
      </w:r>
      <w:proofErr w:type="gramStart"/>
      <w:r>
        <w:t>disabilities</w:t>
      </w:r>
      <w:bookmarkEnd w:id="14"/>
      <w:proofErr w:type="gramEnd"/>
      <w:r>
        <w:t xml:space="preserve"> </w:t>
      </w:r>
    </w:p>
    <w:p w14:paraId="0E47A623" w14:textId="130C0A2E" w:rsidR="00200D62" w:rsidRDefault="003B0B49" w:rsidP="00E558AF">
      <w:r>
        <w:t xml:space="preserve">States often fail to protect the rights of women and girls with disabilities who are victims of violence. </w:t>
      </w:r>
    </w:p>
    <w:p w14:paraId="4FEF39E3" w14:textId="0C0BFAD8" w:rsidR="00200D62" w:rsidRDefault="00200D62" w:rsidP="00200D62">
      <w:pPr>
        <w:pStyle w:val="Heading3"/>
      </w:pPr>
      <w:r>
        <w:t xml:space="preserve">Inaccessibility of victims’ support services </w:t>
      </w:r>
    </w:p>
    <w:p w14:paraId="789ECA89" w14:textId="02DC712B" w:rsidR="00E558AF" w:rsidRDefault="003B0B49" w:rsidP="00E558AF">
      <w:r>
        <w:t>Despite the</w:t>
      </w:r>
      <w:r w:rsidR="00200D62">
        <w:t xml:space="preserve"> obligations of States to provide accessible services for victims under the EU</w:t>
      </w:r>
      <w:r>
        <w:t xml:space="preserve"> Victims’ Rights Strategy, many services are not </w:t>
      </w:r>
      <w:r w:rsidR="00200D62">
        <w:t>available</w:t>
      </w:r>
      <w:r w:rsidR="007D20C6">
        <w:t xml:space="preserve"> to</w:t>
      </w:r>
      <w:r>
        <w:t xml:space="preserve"> </w:t>
      </w:r>
      <w:r>
        <w:lastRenderedPageBreak/>
        <w:t>women and girls with disabilities</w:t>
      </w:r>
      <w:r w:rsidR="00200D62">
        <w:t xml:space="preserve">. This is mostly </w:t>
      </w:r>
      <w:r>
        <w:t xml:space="preserve">due to inaccessibility, from inaccessible shelters to inaccessible information and communication. </w:t>
      </w:r>
      <w:r w:rsidR="00A91943">
        <w:t xml:space="preserve">For example, Deaf and deafblind women are rarely provided with qualified interpreters. </w:t>
      </w:r>
      <w:r>
        <w:t>In some cases</w:t>
      </w:r>
      <w:r w:rsidR="008728DB">
        <w:t>,</w:t>
      </w:r>
      <w:r>
        <w:t xml:space="preserve"> women with intellectual or psychosocial disabilities may even be denied all supports </w:t>
      </w:r>
      <w:proofErr w:type="gramStart"/>
      <w:r>
        <w:t>on the basis of</w:t>
      </w:r>
      <w:proofErr w:type="gramEnd"/>
      <w:r>
        <w:t xml:space="preserve"> their disabilit</w:t>
      </w:r>
      <w:r w:rsidR="008728DB">
        <w:t>y</w:t>
      </w:r>
      <w:r w:rsidR="007D20C6">
        <w:t xml:space="preserve"> (for example in </w:t>
      </w:r>
      <w:r w:rsidR="007D20C6" w:rsidRPr="007D20C6">
        <w:rPr>
          <w:b/>
          <w:bCs/>
        </w:rPr>
        <w:t>Austria</w:t>
      </w:r>
      <w:r w:rsidR="007D20C6">
        <w:t xml:space="preserve"> and </w:t>
      </w:r>
      <w:r w:rsidR="007D20C6" w:rsidRPr="007D20C6">
        <w:rPr>
          <w:b/>
          <w:bCs/>
        </w:rPr>
        <w:t>Spain</w:t>
      </w:r>
      <w:r w:rsidR="007D20C6">
        <w:t>)</w:t>
      </w:r>
      <w:r>
        <w:t>.</w:t>
      </w:r>
      <w:r w:rsidR="0017210F">
        <w:rPr>
          <w:rStyle w:val="FootnoteReference"/>
        </w:rPr>
        <w:footnoteReference w:id="20"/>
      </w:r>
      <w:r>
        <w:t xml:space="preserve"> </w:t>
      </w:r>
    </w:p>
    <w:p w14:paraId="37F67F03" w14:textId="77777777" w:rsidR="003B0B49" w:rsidRDefault="003B0B49" w:rsidP="00200D62">
      <w:pPr>
        <w:pStyle w:val="Heading4"/>
      </w:pPr>
      <w:r>
        <w:t xml:space="preserve">Overview of the Concluding observations adopted by the Committee on the Rights of Persons with Disabilities </w:t>
      </w:r>
    </w:p>
    <w:p w14:paraId="18D08498" w14:textId="62EE5CB0" w:rsidR="003B0B49" w:rsidRDefault="003B0B49" w:rsidP="00E558AF">
      <w:r>
        <w:t>The CRPD Committee expressed concerns about the lack of services for victims of gender-based violence</w:t>
      </w:r>
      <w:r w:rsidR="00E32BC0">
        <w:t xml:space="preserve"> in many EU Member States. </w:t>
      </w:r>
      <w:r>
        <w:t xml:space="preserve">For </w:t>
      </w:r>
      <w:proofErr w:type="gramStart"/>
      <w:r>
        <w:t>example</w:t>
      </w:r>
      <w:proofErr w:type="gramEnd"/>
      <w:r w:rsidR="00E32BC0">
        <w:t xml:space="preserve"> in relation to</w:t>
      </w:r>
      <w:r>
        <w:t xml:space="preserve">: </w:t>
      </w:r>
    </w:p>
    <w:p w14:paraId="3E361A88" w14:textId="55809E7D" w:rsidR="003B0B49" w:rsidRPr="003B0B49" w:rsidRDefault="003B0B49" w:rsidP="00F44D70">
      <w:pPr>
        <w:pStyle w:val="ListParagraph"/>
        <w:numPr>
          <w:ilvl w:val="0"/>
          <w:numId w:val="11"/>
        </w:numPr>
        <w:ind w:left="714" w:hanging="357"/>
        <w:contextualSpacing w:val="0"/>
      </w:pPr>
      <w:r w:rsidRPr="003B0B49">
        <w:rPr>
          <w:b/>
          <w:bCs/>
        </w:rPr>
        <w:t>Bulgaria</w:t>
      </w:r>
      <w:r>
        <w:t xml:space="preserve">: </w:t>
      </w:r>
      <w:proofErr w:type="spellStart"/>
      <w:r w:rsidRPr="003B0B49">
        <w:rPr>
          <w:lang w:val="x-none"/>
        </w:rPr>
        <w:t>lack</w:t>
      </w:r>
      <w:proofErr w:type="spellEnd"/>
      <w:r w:rsidRPr="003B0B49">
        <w:rPr>
          <w:lang w:val="x-none"/>
        </w:rPr>
        <w:t xml:space="preserve"> of </w:t>
      </w:r>
      <w:proofErr w:type="spellStart"/>
      <w:r w:rsidRPr="003B0B49">
        <w:rPr>
          <w:lang w:val="x-none"/>
        </w:rPr>
        <w:t>sufficient</w:t>
      </w:r>
      <w:proofErr w:type="spellEnd"/>
      <w:r w:rsidRPr="003B0B49">
        <w:rPr>
          <w:lang w:val="x-none"/>
        </w:rPr>
        <w:t xml:space="preserve"> </w:t>
      </w:r>
      <w:proofErr w:type="spellStart"/>
      <w:r w:rsidRPr="003B0B49">
        <w:rPr>
          <w:lang w:val="x-none"/>
        </w:rPr>
        <w:t>coverage</w:t>
      </w:r>
      <w:proofErr w:type="spellEnd"/>
      <w:r w:rsidRPr="003B0B49">
        <w:rPr>
          <w:lang w:val="x-none"/>
        </w:rPr>
        <w:t xml:space="preserve"> and accessible </w:t>
      </w:r>
      <w:proofErr w:type="spellStart"/>
      <w:r w:rsidRPr="003B0B49">
        <w:rPr>
          <w:lang w:val="x-none"/>
        </w:rPr>
        <w:t>shelters</w:t>
      </w:r>
      <w:proofErr w:type="spellEnd"/>
      <w:r w:rsidRPr="003B0B49">
        <w:rPr>
          <w:lang w:val="x-none"/>
        </w:rPr>
        <w:t xml:space="preserve"> and services for </w:t>
      </w:r>
      <w:proofErr w:type="spellStart"/>
      <w:r w:rsidRPr="003B0B49">
        <w:rPr>
          <w:lang w:val="x-none"/>
        </w:rPr>
        <w:t>rehabilitation</w:t>
      </w:r>
      <w:proofErr w:type="spellEnd"/>
      <w:r w:rsidRPr="003B0B49">
        <w:rPr>
          <w:lang w:val="x-none"/>
        </w:rPr>
        <w:t xml:space="preserve"> of </w:t>
      </w:r>
      <w:proofErr w:type="spellStart"/>
      <w:r w:rsidRPr="003B0B49">
        <w:rPr>
          <w:lang w:val="x-none"/>
        </w:rPr>
        <w:t>women</w:t>
      </w:r>
      <w:proofErr w:type="spellEnd"/>
      <w:r w:rsidRPr="003B0B49">
        <w:rPr>
          <w:lang w:val="x-none"/>
        </w:rPr>
        <w:t xml:space="preserve"> and girls </w:t>
      </w:r>
      <w:proofErr w:type="spellStart"/>
      <w:r w:rsidRPr="003B0B49">
        <w:rPr>
          <w:lang w:val="x-none"/>
        </w:rPr>
        <w:t>with</w:t>
      </w:r>
      <w:proofErr w:type="spellEnd"/>
      <w:r w:rsidRPr="003B0B49">
        <w:rPr>
          <w:lang w:val="x-none"/>
        </w:rPr>
        <w:t xml:space="preserve"> </w:t>
      </w:r>
      <w:proofErr w:type="spellStart"/>
      <w:r w:rsidRPr="003B0B49">
        <w:rPr>
          <w:lang w:val="x-none"/>
        </w:rPr>
        <w:t>disabilities</w:t>
      </w:r>
      <w:proofErr w:type="spellEnd"/>
      <w:r w:rsidRPr="003B0B49">
        <w:rPr>
          <w:lang w:val="x-none"/>
        </w:rPr>
        <w:t xml:space="preserve"> </w:t>
      </w:r>
      <w:proofErr w:type="spellStart"/>
      <w:r w:rsidRPr="003B0B49">
        <w:rPr>
          <w:lang w:val="x-none"/>
        </w:rPr>
        <w:t>exposed</w:t>
      </w:r>
      <w:proofErr w:type="spellEnd"/>
      <w:r w:rsidRPr="003B0B49">
        <w:rPr>
          <w:lang w:val="x-none"/>
        </w:rPr>
        <w:t xml:space="preserve"> to </w:t>
      </w:r>
      <w:proofErr w:type="spellStart"/>
      <w:r w:rsidRPr="003B0B49">
        <w:rPr>
          <w:lang w:val="x-none"/>
        </w:rPr>
        <w:t>gender-based</w:t>
      </w:r>
      <w:proofErr w:type="spellEnd"/>
      <w:r w:rsidRPr="003B0B49">
        <w:rPr>
          <w:lang w:val="x-none"/>
        </w:rPr>
        <w:t xml:space="preserve"> violence</w:t>
      </w:r>
      <w:r w:rsidR="00E32BC0" w:rsidRPr="00E32BC0">
        <w:t>.</w:t>
      </w:r>
      <w:r w:rsidR="00E32BC0">
        <w:t xml:space="preserve"> </w:t>
      </w:r>
    </w:p>
    <w:p w14:paraId="20E51568" w14:textId="1CFE75B4" w:rsidR="003B0B49" w:rsidRPr="003B0B49" w:rsidRDefault="003B0B49" w:rsidP="00F44D70">
      <w:pPr>
        <w:pStyle w:val="ListParagraph"/>
        <w:numPr>
          <w:ilvl w:val="0"/>
          <w:numId w:val="11"/>
        </w:numPr>
        <w:ind w:left="714" w:hanging="357"/>
        <w:contextualSpacing w:val="0"/>
      </w:pPr>
      <w:r w:rsidRPr="003B0B49">
        <w:rPr>
          <w:b/>
          <w:bCs/>
        </w:rPr>
        <w:t>Denmark</w:t>
      </w:r>
      <w:r w:rsidRPr="003B0B49">
        <w:t xml:space="preserve">: </w:t>
      </w:r>
      <w:r w:rsidRPr="003B0B49">
        <w:rPr>
          <w:lang w:val="en-GB"/>
        </w:rPr>
        <w:t xml:space="preserve">limited number of shelters accessible to victims </w:t>
      </w:r>
      <w:r w:rsidR="007D20C6">
        <w:rPr>
          <w:lang w:val="en-GB"/>
        </w:rPr>
        <w:t xml:space="preserve">of </w:t>
      </w:r>
      <w:r w:rsidR="00E32BC0">
        <w:rPr>
          <w:lang w:val="en-GB"/>
        </w:rPr>
        <w:t>violence</w:t>
      </w:r>
      <w:r w:rsidRPr="003B0B49">
        <w:rPr>
          <w:lang w:val="en-GB"/>
        </w:rPr>
        <w:t>, as well as the lack of training of police and other interlocutors.</w:t>
      </w:r>
    </w:p>
    <w:p w14:paraId="11A03DB4" w14:textId="71674A2F" w:rsidR="003B0B49" w:rsidRPr="003B0B49" w:rsidRDefault="003B0B49" w:rsidP="00F44D70">
      <w:pPr>
        <w:pStyle w:val="ListParagraph"/>
        <w:numPr>
          <w:ilvl w:val="0"/>
          <w:numId w:val="11"/>
        </w:numPr>
        <w:ind w:left="714" w:hanging="357"/>
        <w:contextualSpacing w:val="0"/>
      </w:pPr>
      <w:r w:rsidRPr="003B0B49">
        <w:rPr>
          <w:b/>
          <w:bCs/>
        </w:rPr>
        <w:t>Malta</w:t>
      </w:r>
      <w:r>
        <w:t xml:space="preserve">: </w:t>
      </w:r>
      <w:r w:rsidRPr="003B0B49">
        <w:rPr>
          <w:lang w:val="en-GB"/>
        </w:rPr>
        <w:t>shelters for persons exposed to violence not</w:t>
      </w:r>
      <w:r w:rsidR="00E32BC0">
        <w:rPr>
          <w:lang w:val="en-GB"/>
        </w:rPr>
        <w:t xml:space="preserve"> being</w:t>
      </w:r>
      <w:r w:rsidRPr="003B0B49">
        <w:rPr>
          <w:lang w:val="en-GB"/>
        </w:rPr>
        <w:t xml:space="preserve"> fully accessible, including lack of information in accessible formats and care for persons with disabilities, particularly persons with psychosocial and intellectual disabilities, in the shelters.</w:t>
      </w:r>
    </w:p>
    <w:p w14:paraId="6BA568AC" w14:textId="2295E63C" w:rsidR="003B0B49" w:rsidRPr="003B0B49" w:rsidRDefault="003B0B49" w:rsidP="00F44D70">
      <w:pPr>
        <w:pStyle w:val="ListParagraph"/>
        <w:numPr>
          <w:ilvl w:val="0"/>
          <w:numId w:val="11"/>
        </w:numPr>
        <w:ind w:left="714" w:hanging="357"/>
        <w:contextualSpacing w:val="0"/>
        <w:rPr>
          <w:lang w:val="en-GB"/>
        </w:rPr>
      </w:pPr>
      <w:r w:rsidRPr="003B0B49">
        <w:rPr>
          <w:b/>
          <w:bCs/>
          <w:lang w:val="en-GB"/>
        </w:rPr>
        <w:t>Poland</w:t>
      </w:r>
      <w:r w:rsidRPr="003B0B49">
        <w:rPr>
          <w:lang w:val="en-GB"/>
        </w:rPr>
        <w:t xml:space="preserve">: </w:t>
      </w:r>
      <w:proofErr w:type="spellStart"/>
      <w:r w:rsidRPr="003B0B49">
        <w:rPr>
          <w:lang w:val="x-none"/>
        </w:rPr>
        <w:t>lack</w:t>
      </w:r>
      <w:proofErr w:type="spellEnd"/>
      <w:r w:rsidRPr="003B0B49">
        <w:rPr>
          <w:lang w:val="x-none"/>
        </w:rPr>
        <w:t xml:space="preserve"> of </w:t>
      </w:r>
      <w:proofErr w:type="spellStart"/>
      <w:r w:rsidRPr="003B0B49">
        <w:rPr>
          <w:lang w:val="x-none"/>
        </w:rPr>
        <w:t>specific</w:t>
      </w:r>
      <w:proofErr w:type="spellEnd"/>
      <w:r w:rsidRPr="003B0B49">
        <w:rPr>
          <w:lang w:val="x-none"/>
        </w:rPr>
        <w:t xml:space="preserve"> protection </w:t>
      </w:r>
      <w:proofErr w:type="spellStart"/>
      <w:r w:rsidRPr="003B0B49">
        <w:rPr>
          <w:lang w:val="x-none"/>
        </w:rPr>
        <w:t>measures</w:t>
      </w:r>
      <w:proofErr w:type="spellEnd"/>
      <w:r w:rsidRPr="003B0B49">
        <w:rPr>
          <w:lang w:val="x-none"/>
        </w:rPr>
        <w:t xml:space="preserve">, </w:t>
      </w:r>
      <w:proofErr w:type="spellStart"/>
      <w:r w:rsidRPr="003B0B49">
        <w:rPr>
          <w:lang w:val="x-none"/>
        </w:rPr>
        <w:t>including</w:t>
      </w:r>
      <w:proofErr w:type="spellEnd"/>
      <w:r w:rsidRPr="003B0B49">
        <w:rPr>
          <w:lang w:val="x-none"/>
        </w:rPr>
        <w:t xml:space="preserve"> </w:t>
      </w:r>
      <w:proofErr w:type="spellStart"/>
      <w:r w:rsidRPr="003B0B49">
        <w:rPr>
          <w:lang w:val="x-none"/>
        </w:rPr>
        <w:t>legal</w:t>
      </w:r>
      <w:proofErr w:type="spellEnd"/>
      <w:r w:rsidRPr="003B0B49">
        <w:rPr>
          <w:lang w:val="x-none"/>
        </w:rPr>
        <w:t xml:space="preserve"> and psychosocial assistance for </w:t>
      </w:r>
      <w:proofErr w:type="spellStart"/>
      <w:r w:rsidRPr="003B0B49">
        <w:rPr>
          <w:lang w:val="x-none"/>
        </w:rPr>
        <w:t>women</w:t>
      </w:r>
      <w:proofErr w:type="spellEnd"/>
      <w:r w:rsidRPr="003B0B49">
        <w:rPr>
          <w:lang w:val="x-none"/>
        </w:rPr>
        <w:t xml:space="preserve"> </w:t>
      </w:r>
      <w:proofErr w:type="spellStart"/>
      <w:r w:rsidRPr="003B0B49">
        <w:rPr>
          <w:lang w:val="x-none"/>
        </w:rPr>
        <w:t>with</w:t>
      </w:r>
      <w:proofErr w:type="spellEnd"/>
      <w:r w:rsidRPr="003B0B49">
        <w:rPr>
          <w:lang w:val="x-none"/>
        </w:rPr>
        <w:t xml:space="preserve"> </w:t>
      </w:r>
      <w:proofErr w:type="spellStart"/>
      <w:r w:rsidRPr="003B0B49">
        <w:rPr>
          <w:lang w:val="x-none"/>
        </w:rPr>
        <w:t>disabilities</w:t>
      </w:r>
      <w:proofErr w:type="spellEnd"/>
      <w:r w:rsidRPr="003B0B49">
        <w:rPr>
          <w:lang w:val="x-none"/>
        </w:rPr>
        <w:t xml:space="preserve"> at </w:t>
      </w:r>
      <w:proofErr w:type="spellStart"/>
      <w:r w:rsidRPr="003B0B49">
        <w:rPr>
          <w:lang w:val="x-none"/>
        </w:rPr>
        <w:t>risk</w:t>
      </w:r>
      <w:proofErr w:type="spellEnd"/>
      <w:r w:rsidRPr="003B0B49">
        <w:rPr>
          <w:lang w:val="x-none"/>
        </w:rPr>
        <w:t xml:space="preserve"> of </w:t>
      </w:r>
      <w:proofErr w:type="spellStart"/>
      <w:r w:rsidRPr="003B0B49">
        <w:rPr>
          <w:lang w:val="x-none"/>
        </w:rPr>
        <w:t>domestic</w:t>
      </w:r>
      <w:proofErr w:type="spellEnd"/>
      <w:r w:rsidRPr="003B0B49">
        <w:rPr>
          <w:lang w:val="x-none"/>
        </w:rPr>
        <w:t xml:space="preserve">, </w:t>
      </w:r>
      <w:proofErr w:type="spellStart"/>
      <w:r w:rsidRPr="003B0B49">
        <w:rPr>
          <w:lang w:val="x-none"/>
        </w:rPr>
        <w:t>institutional</w:t>
      </w:r>
      <w:proofErr w:type="spellEnd"/>
      <w:r w:rsidRPr="003B0B49">
        <w:rPr>
          <w:lang w:val="x-none"/>
        </w:rPr>
        <w:t xml:space="preserve"> violence and violence in public </w:t>
      </w:r>
      <w:proofErr w:type="spellStart"/>
      <w:r w:rsidRPr="003B0B49">
        <w:rPr>
          <w:lang w:val="x-none"/>
        </w:rPr>
        <w:t>spaces</w:t>
      </w:r>
      <w:proofErr w:type="spellEnd"/>
      <w:r w:rsidRPr="003B0B49">
        <w:rPr>
          <w:lang w:val="x-none"/>
        </w:rPr>
        <w:t xml:space="preserve"> and at </w:t>
      </w:r>
      <w:proofErr w:type="spellStart"/>
      <w:r w:rsidRPr="003B0B49">
        <w:rPr>
          <w:lang w:val="x-none"/>
        </w:rPr>
        <w:t>work</w:t>
      </w:r>
      <w:proofErr w:type="spellEnd"/>
      <w:r w:rsidRPr="003B0B49">
        <w:rPr>
          <w:lang w:val="x-none"/>
        </w:rPr>
        <w:t>.</w:t>
      </w:r>
    </w:p>
    <w:p w14:paraId="70A1E646" w14:textId="08ECC12B" w:rsidR="00281475" w:rsidRDefault="003B0B49" w:rsidP="00F44D70">
      <w:pPr>
        <w:pStyle w:val="ListParagraph"/>
        <w:numPr>
          <w:ilvl w:val="0"/>
          <w:numId w:val="10"/>
        </w:numPr>
        <w:ind w:left="714" w:hanging="357"/>
        <w:contextualSpacing w:val="0"/>
      </w:pPr>
      <w:r w:rsidRPr="003B0B49">
        <w:rPr>
          <w:b/>
          <w:bCs/>
        </w:rPr>
        <w:t>Spain</w:t>
      </w:r>
      <w:r>
        <w:t xml:space="preserve">: </w:t>
      </w:r>
      <w:r w:rsidR="00E32BC0">
        <w:t>w</w:t>
      </w:r>
      <w:proofErr w:type="spellStart"/>
      <w:r w:rsidR="00281475" w:rsidRPr="003B0B49">
        <w:rPr>
          <w:lang w:val="x-none"/>
        </w:rPr>
        <w:t>omen</w:t>
      </w:r>
      <w:proofErr w:type="spellEnd"/>
      <w:r w:rsidR="00281475" w:rsidRPr="003B0B49">
        <w:rPr>
          <w:lang w:val="x-none"/>
        </w:rPr>
        <w:t xml:space="preserve"> </w:t>
      </w:r>
      <w:proofErr w:type="spellStart"/>
      <w:r w:rsidR="00281475" w:rsidRPr="003B0B49">
        <w:rPr>
          <w:lang w:val="x-none"/>
        </w:rPr>
        <w:t>with</w:t>
      </w:r>
      <w:proofErr w:type="spellEnd"/>
      <w:r w:rsidR="00281475" w:rsidRPr="003B0B49">
        <w:rPr>
          <w:lang w:val="x-none"/>
        </w:rPr>
        <w:t xml:space="preserve"> </w:t>
      </w:r>
      <w:proofErr w:type="spellStart"/>
      <w:r w:rsidR="00281475" w:rsidRPr="003B0B49">
        <w:rPr>
          <w:lang w:val="x-none"/>
        </w:rPr>
        <w:t>disabilities</w:t>
      </w:r>
      <w:proofErr w:type="spellEnd"/>
      <w:r w:rsidR="00281475" w:rsidRPr="003B0B49">
        <w:rPr>
          <w:lang w:val="x-none"/>
        </w:rPr>
        <w:t xml:space="preserve"> </w:t>
      </w:r>
      <w:proofErr w:type="spellStart"/>
      <w:r w:rsidR="00281475" w:rsidRPr="003B0B49">
        <w:rPr>
          <w:lang w:val="x-none"/>
        </w:rPr>
        <w:t>who</w:t>
      </w:r>
      <w:proofErr w:type="spellEnd"/>
      <w:r w:rsidR="00281475" w:rsidRPr="003B0B49">
        <w:rPr>
          <w:lang w:val="x-none"/>
        </w:rPr>
        <w:t xml:space="preserve"> are </w:t>
      </w:r>
      <w:proofErr w:type="spellStart"/>
      <w:r w:rsidR="00281475" w:rsidRPr="003B0B49">
        <w:rPr>
          <w:lang w:val="x-none"/>
        </w:rPr>
        <w:t>victims</w:t>
      </w:r>
      <w:proofErr w:type="spellEnd"/>
      <w:r w:rsidR="00281475" w:rsidRPr="003B0B49">
        <w:rPr>
          <w:lang w:val="x-none"/>
        </w:rPr>
        <w:t xml:space="preserve"> of </w:t>
      </w:r>
      <w:proofErr w:type="spellStart"/>
      <w:r w:rsidR="00281475" w:rsidRPr="003B0B49">
        <w:rPr>
          <w:lang w:val="x-none"/>
        </w:rPr>
        <w:t>gender-based</w:t>
      </w:r>
      <w:proofErr w:type="spellEnd"/>
      <w:r w:rsidR="00281475" w:rsidRPr="003B0B49">
        <w:rPr>
          <w:lang w:val="x-none"/>
        </w:rPr>
        <w:t xml:space="preserve"> violence, </w:t>
      </w:r>
      <w:r w:rsidR="00E32BC0" w:rsidRPr="00E32BC0">
        <w:t>be</w:t>
      </w:r>
      <w:r w:rsidR="00E32BC0">
        <w:t xml:space="preserve">ing </w:t>
      </w:r>
      <w:r w:rsidR="00281475" w:rsidRPr="003B0B49">
        <w:rPr>
          <w:lang w:val="x-none"/>
        </w:rPr>
        <w:t xml:space="preserve">in </w:t>
      </w:r>
      <w:proofErr w:type="spellStart"/>
      <w:r w:rsidR="00281475" w:rsidRPr="003B0B49">
        <w:rPr>
          <w:lang w:val="x-none"/>
        </w:rPr>
        <w:t>some</w:t>
      </w:r>
      <w:proofErr w:type="spellEnd"/>
      <w:r w:rsidR="00281475" w:rsidRPr="003B0B49">
        <w:rPr>
          <w:lang w:val="x-none"/>
        </w:rPr>
        <w:t xml:space="preserve"> cases </w:t>
      </w:r>
      <w:proofErr w:type="spellStart"/>
      <w:r w:rsidR="00281475" w:rsidRPr="003B0B49">
        <w:rPr>
          <w:lang w:val="x-none"/>
        </w:rPr>
        <w:t>excluded</w:t>
      </w:r>
      <w:proofErr w:type="spellEnd"/>
      <w:r w:rsidR="00281475" w:rsidRPr="003B0B49">
        <w:rPr>
          <w:lang w:val="x-none"/>
        </w:rPr>
        <w:t xml:space="preserve"> </w:t>
      </w:r>
      <w:proofErr w:type="spellStart"/>
      <w:r w:rsidR="00281475" w:rsidRPr="003B0B49">
        <w:rPr>
          <w:lang w:val="x-none"/>
        </w:rPr>
        <w:t>from</w:t>
      </w:r>
      <w:proofErr w:type="spellEnd"/>
      <w:r w:rsidR="00281475" w:rsidRPr="003B0B49">
        <w:rPr>
          <w:lang w:val="x-none"/>
        </w:rPr>
        <w:t xml:space="preserve"> support programmes due to the </w:t>
      </w:r>
      <w:proofErr w:type="spellStart"/>
      <w:r w:rsidR="00281475" w:rsidRPr="003B0B49">
        <w:rPr>
          <w:lang w:val="x-none"/>
        </w:rPr>
        <w:t>lack</w:t>
      </w:r>
      <w:proofErr w:type="spellEnd"/>
      <w:r w:rsidR="00281475" w:rsidRPr="003B0B49">
        <w:rPr>
          <w:lang w:val="x-none"/>
        </w:rPr>
        <w:t xml:space="preserve"> of </w:t>
      </w:r>
      <w:proofErr w:type="spellStart"/>
      <w:r w:rsidR="00281475" w:rsidRPr="003B0B49">
        <w:rPr>
          <w:lang w:val="x-none"/>
        </w:rPr>
        <w:t>accessibility</w:t>
      </w:r>
      <w:proofErr w:type="spellEnd"/>
      <w:r w:rsidR="00281475" w:rsidRPr="003B0B49">
        <w:rPr>
          <w:lang w:val="x-none"/>
        </w:rPr>
        <w:t xml:space="preserve"> of </w:t>
      </w:r>
      <w:proofErr w:type="spellStart"/>
      <w:r w:rsidR="00281475" w:rsidRPr="003B0B49">
        <w:rPr>
          <w:lang w:val="x-none"/>
        </w:rPr>
        <w:t>shelters</w:t>
      </w:r>
      <w:proofErr w:type="spellEnd"/>
      <w:r w:rsidR="00281475" w:rsidRPr="003B0B49">
        <w:rPr>
          <w:lang w:val="x-none"/>
        </w:rPr>
        <w:t xml:space="preserve"> and </w:t>
      </w:r>
      <w:proofErr w:type="spellStart"/>
      <w:r w:rsidR="00281475" w:rsidRPr="003B0B49">
        <w:rPr>
          <w:lang w:val="x-none"/>
        </w:rPr>
        <w:t>that</w:t>
      </w:r>
      <w:proofErr w:type="spellEnd"/>
      <w:r w:rsidR="00281475" w:rsidRPr="003B0B49">
        <w:rPr>
          <w:lang w:val="x-none"/>
        </w:rPr>
        <w:t xml:space="preserve"> a </w:t>
      </w:r>
      <w:proofErr w:type="spellStart"/>
      <w:r w:rsidR="00281475" w:rsidRPr="003B0B49">
        <w:rPr>
          <w:lang w:val="x-none"/>
        </w:rPr>
        <w:t>diagnosis</w:t>
      </w:r>
      <w:proofErr w:type="spellEnd"/>
      <w:r w:rsidR="00281475" w:rsidRPr="003B0B49">
        <w:rPr>
          <w:lang w:val="x-none"/>
        </w:rPr>
        <w:t xml:space="preserve"> of </w:t>
      </w:r>
      <w:r>
        <w:t>‘</w:t>
      </w:r>
      <w:r w:rsidR="00281475" w:rsidRPr="003B0B49">
        <w:rPr>
          <w:lang w:val="x-none"/>
        </w:rPr>
        <w:t xml:space="preserve">mental </w:t>
      </w:r>
      <w:proofErr w:type="spellStart"/>
      <w:r w:rsidR="00281475" w:rsidRPr="003B0B49">
        <w:rPr>
          <w:lang w:val="x-none"/>
        </w:rPr>
        <w:t>impairment</w:t>
      </w:r>
      <w:proofErr w:type="spellEnd"/>
      <w:r w:rsidRPr="003B0B49">
        <w:t>’</w:t>
      </w:r>
      <w:r w:rsidR="00281475" w:rsidRPr="003B0B49">
        <w:rPr>
          <w:lang w:val="x-none"/>
        </w:rPr>
        <w:t xml:space="preserve"> </w:t>
      </w:r>
      <w:proofErr w:type="spellStart"/>
      <w:r w:rsidR="00281475" w:rsidRPr="003B0B49">
        <w:rPr>
          <w:lang w:val="x-none"/>
        </w:rPr>
        <w:t>may</w:t>
      </w:r>
      <w:proofErr w:type="spellEnd"/>
      <w:r w:rsidR="00281475" w:rsidRPr="003B0B49">
        <w:rPr>
          <w:lang w:val="x-none"/>
        </w:rPr>
        <w:t xml:space="preserve"> </w:t>
      </w:r>
      <w:proofErr w:type="spellStart"/>
      <w:r w:rsidR="00281475" w:rsidRPr="003B0B49">
        <w:rPr>
          <w:lang w:val="x-none"/>
        </w:rPr>
        <w:t>be</w:t>
      </w:r>
      <w:proofErr w:type="spellEnd"/>
      <w:r w:rsidR="00281475" w:rsidRPr="003B0B49">
        <w:rPr>
          <w:lang w:val="x-none"/>
        </w:rPr>
        <w:t xml:space="preserve"> </w:t>
      </w:r>
      <w:proofErr w:type="spellStart"/>
      <w:r w:rsidR="00281475" w:rsidRPr="003B0B49">
        <w:rPr>
          <w:lang w:val="x-none"/>
        </w:rPr>
        <w:t>considered</w:t>
      </w:r>
      <w:proofErr w:type="spellEnd"/>
      <w:r w:rsidR="00281475" w:rsidRPr="003B0B49">
        <w:rPr>
          <w:lang w:val="x-none"/>
        </w:rPr>
        <w:t xml:space="preserve"> as a </w:t>
      </w:r>
      <w:proofErr w:type="spellStart"/>
      <w:proofErr w:type="gramStart"/>
      <w:r w:rsidR="00281475" w:rsidRPr="003B0B49">
        <w:rPr>
          <w:lang w:val="x-none"/>
        </w:rPr>
        <w:t>criteria</w:t>
      </w:r>
      <w:proofErr w:type="spellEnd"/>
      <w:proofErr w:type="gramEnd"/>
      <w:r w:rsidR="00281475" w:rsidRPr="003B0B49">
        <w:rPr>
          <w:lang w:val="x-none"/>
        </w:rPr>
        <w:t xml:space="preserve"> for </w:t>
      </w:r>
      <w:proofErr w:type="spellStart"/>
      <w:r w:rsidR="00281475" w:rsidRPr="003B0B49">
        <w:rPr>
          <w:lang w:val="x-none"/>
        </w:rPr>
        <w:t>denial</w:t>
      </w:r>
      <w:proofErr w:type="spellEnd"/>
      <w:r w:rsidR="00281475" w:rsidRPr="003B0B49">
        <w:rPr>
          <w:lang w:val="x-none"/>
        </w:rPr>
        <w:t xml:space="preserve"> of support service</w:t>
      </w:r>
      <w:r w:rsidR="00E32BC0" w:rsidRPr="00E32BC0">
        <w:t>s</w:t>
      </w:r>
    </w:p>
    <w:p w14:paraId="213C9D23" w14:textId="04C30F82" w:rsidR="004362A5" w:rsidRDefault="00A71423" w:rsidP="004362A5">
      <w:pPr>
        <w:pStyle w:val="Heading3"/>
      </w:pPr>
      <w:r>
        <w:t>Limited</w:t>
      </w:r>
      <w:r w:rsidR="00DF2D5D">
        <w:t xml:space="preserve"> </w:t>
      </w:r>
      <w:r>
        <w:t xml:space="preserve">access to protection </w:t>
      </w:r>
      <w:r w:rsidR="00FE5F1E">
        <w:t>measures</w:t>
      </w:r>
    </w:p>
    <w:p w14:paraId="215ACD01" w14:textId="31AC39F8" w:rsidR="0006631A" w:rsidRDefault="00A71423" w:rsidP="004362A5">
      <w:r>
        <w:t>Women and girls with disabilities may face difficulties to obtain protection measures</w:t>
      </w:r>
      <w:r w:rsidR="00FE5F1E">
        <w:t xml:space="preserve">, </w:t>
      </w:r>
      <w:r>
        <w:t xml:space="preserve">such as </w:t>
      </w:r>
      <w:r w:rsidR="00FE5F1E">
        <w:t>restraining</w:t>
      </w:r>
      <w:r>
        <w:t xml:space="preserve"> order</w:t>
      </w:r>
      <w:r w:rsidR="00FE5F1E">
        <w:t>s</w:t>
      </w:r>
      <w:r>
        <w:t xml:space="preserve"> to prohibit the perpetrator to see them or get close to them. </w:t>
      </w:r>
      <w:r w:rsidR="007D20C6">
        <w:t>T</w:t>
      </w:r>
      <w:r>
        <w:t xml:space="preserve">he process to request a protection order may not be accessible to victims with disabilities and/or they may not be aware of </w:t>
      </w:r>
      <w:r w:rsidR="007D20C6">
        <w:t>the existence of protection orders</w:t>
      </w:r>
      <w:r>
        <w:t xml:space="preserve">. It is also particularly difficult </w:t>
      </w:r>
      <w:r>
        <w:lastRenderedPageBreak/>
        <w:t>when the author of violence is a family member,</w:t>
      </w:r>
      <w:r w:rsidR="007D20C6">
        <w:t xml:space="preserve"> legal guardian,</w:t>
      </w:r>
      <w:r>
        <w:t xml:space="preserve"> a </w:t>
      </w:r>
      <w:proofErr w:type="spellStart"/>
      <w:proofErr w:type="gramStart"/>
      <w:r>
        <w:t>carer</w:t>
      </w:r>
      <w:proofErr w:type="spellEnd"/>
      <w:proofErr w:type="gramEnd"/>
      <w:r>
        <w:t xml:space="preserve"> or someone working in an institution, hospital or other closed setting. </w:t>
      </w:r>
    </w:p>
    <w:p w14:paraId="2245F89A" w14:textId="75BF09CF" w:rsidR="00A71423" w:rsidRDefault="007D20C6" w:rsidP="004362A5">
      <w:r>
        <w:t>I</w:t>
      </w:r>
      <w:r w:rsidR="00A71423">
        <w:t xml:space="preserve">n some countries the cost of application for a protection order may also be a deterrent for the victims, </w:t>
      </w:r>
      <w:r>
        <w:t>especially</w:t>
      </w:r>
      <w:r w:rsidR="00A71423">
        <w:t xml:space="preserve"> women and girls with disabilities </w:t>
      </w:r>
      <w:r>
        <w:t xml:space="preserve">who </w:t>
      </w:r>
      <w:r w:rsidR="00A71423">
        <w:t>are experiencing poverty at a higher rate than women and girls with</w:t>
      </w:r>
      <w:r w:rsidR="00DA7B99">
        <w:t>out</w:t>
      </w:r>
      <w:r w:rsidR="00A71423">
        <w:t xml:space="preserve"> disabilities.</w:t>
      </w:r>
      <w:r w:rsidR="00FE5F1E">
        <w:rPr>
          <w:rStyle w:val="FootnoteReference"/>
        </w:rPr>
        <w:footnoteReference w:id="21"/>
      </w:r>
      <w:r w:rsidR="0006631A">
        <w:t xml:space="preserve"> </w:t>
      </w:r>
      <w:r w:rsidR="00A71423">
        <w:t>For example,</w:t>
      </w:r>
      <w:r w:rsidR="004E68FA">
        <w:t xml:space="preserve"> women</w:t>
      </w:r>
      <w:r w:rsidR="00A71423">
        <w:t xml:space="preserve"> </w:t>
      </w:r>
      <w:proofErr w:type="spellStart"/>
      <w:r w:rsidR="004E68FA">
        <w:t>organisations</w:t>
      </w:r>
      <w:proofErr w:type="spellEnd"/>
      <w:r w:rsidR="00A71423">
        <w:t xml:space="preserve"> raised concerns about the cost of </w:t>
      </w:r>
      <w:r w:rsidR="00FE5F1E">
        <w:t>restraining order</w:t>
      </w:r>
      <w:r w:rsidR="00A71423">
        <w:t xml:space="preserve"> in </w:t>
      </w:r>
      <w:r w:rsidR="00FE5F1E" w:rsidRPr="004E68FA">
        <w:rPr>
          <w:b/>
          <w:bCs/>
        </w:rPr>
        <w:t>Finland</w:t>
      </w:r>
      <w:r w:rsidR="004E68FA">
        <w:t xml:space="preserve"> which </w:t>
      </w:r>
      <w:r w:rsidR="004E68FA" w:rsidRPr="004E68FA">
        <w:t xml:space="preserve">place </w:t>
      </w:r>
      <w:r w:rsidR="004E68FA">
        <w:t xml:space="preserve">an </w:t>
      </w:r>
      <w:r w:rsidR="004E68FA" w:rsidRPr="004E68FA">
        <w:t>undue financial burden on the victim</w:t>
      </w:r>
      <w:r w:rsidR="00FE5F1E">
        <w:t>.</w:t>
      </w:r>
      <w:r w:rsidR="00FE5F1E">
        <w:rPr>
          <w:rStyle w:val="FootnoteReference"/>
        </w:rPr>
        <w:footnoteReference w:id="22"/>
      </w:r>
      <w:r w:rsidR="00FE5F1E">
        <w:t xml:space="preserve"> </w:t>
      </w:r>
    </w:p>
    <w:p w14:paraId="039A3A60" w14:textId="075948B9" w:rsidR="0006631A" w:rsidRDefault="007D20C6" w:rsidP="004362A5">
      <w:r>
        <w:t>I</w:t>
      </w:r>
      <w:r w:rsidR="0006631A">
        <w:t xml:space="preserve">n cases of breaches of protection orders, penalties against the perpetrator are not always automatic. For instance, in </w:t>
      </w:r>
      <w:r w:rsidR="0006631A" w:rsidRPr="0006631A">
        <w:rPr>
          <w:b/>
          <w:bCs/>
        </w:rPr>
        <w:t>Denmark</w:t>
      </w:r>
      <w:r w:rsidR="0006631A">
        <w:t xml:space="preserve"> the violation of the restraining order will only been sanctioned as the request of the victims (</w:t>
      </w:r>
      <w:r w:rsidR="0006631A" w:rsidRPr="0006631A">
        <w:t>unless it is in the public interest to prosecute</w:t>
      </w:r>
      <w:r w:rsidR="0006631A">
        <w:t xml:space="preserve">) which leads to a high number of restraining orders </w:t>
      </w:r>
      <w:r>
        <w:t>being</w:t>
      </w:r>
      <w:r w:rsidR="0006631A">
        <w:t xml:space="preserve"> violated.</w:t>
      </w:r>
      <w:r w:rsidR="0006631A">
        <w:rPr>
          <w:rStyle w:val="FootnoteReference"/>
        </w:rPr>
        <w:footnoteReference w:id="23"/>
      </w:r>
      <w:r w:rsidR="0006631A">
        <w:t xml:space="preserve"> </w:t>
      </w:r>
    </w:p>
    <w:p w14:paraId="0747A8C4" w14:textId="15D9FFB3" w:rsidR="00565062" w:rsidRDefault="00565062" w:rsidP="00565062">
      <w:pPr>
        <w:pStyle w:val="Heading3"/>
      </w:pPr>
      <w:r>
        <w:t xml:space="preserve">Limited support for independent living </w:t>
      </w:r>
    </w:p>
    <w:p w14:paraId="6C62F941" w14:textId="37DB7BA4" w:rsidR="00565062" w:rsidRPr="00565062" w:rsidRDefault="00565062" w:rsidP="00565062">
      <w:r>
        <w:t xml:space="preserve">Because of limited support for independent and community living, </w:t>
      </w:r>
      <w:proofErr w:type="gramStart"/>
      <w:r>
        <w:t>women</w:t>
      </w:r>
      <w:proofErr w:type="gramEnd"/>
      <w:r>
        <w:t xml:space="preserve"> and girls with disabilities, are often forced to remain in institutions where they are abused, or to continue to live with their abusers whether they are a parent, a </w:t>
      </w:r>
      <w:r w:rsidR="00A91943">
        <w:t>support person</w:t>
      </w:r>
      <w:r>
        <w:t xml:space="preserve"> or a partner. </w:t>
      </w:r>
    </w:p>
    <w:p w14:paraId="30BD33A1" w14:textId="12D82DD0" w:rsidR="00532007" w:rsidRDefault="00532007" w:rsidP="00141EAA">
      <w:pPr>
        <w:pStyle w:val="Heading1"/>
      </w:pPr>
      <w:r>
        <w:t>Violence faced by</w:t>
      </w:r>
      <w:r w:rsidR="00D94B0C">
        <w:t xml:space="preserve"> mothers and other</w:t>
      </w:r>
      <w:r>
        <w:t xml:space="preserve"> women caring for </w:t>
      </w:r>
      <w:r w:rsidR="005D6392">
        <w:t>relatives</w:t>
      </w:r>
      <w:r w:rsidR="00167341">
        <w:t xml:space="preserve"> </w:t>
      </w:r>
      <w:r>
        <w:t xml:space="preserve">with </w:t>
      </w:r>
      <w:proofErr w:type="gramStart"/>
      <w:r>
        <w:t>disabilities</w:t>
      </w:r>
      <w:proofErr w:type="gramEnd"/>
    </w:p>
    <w:p w14:paraId="02B83729" w14:textId="7CB73B44" w:rsidR="00C75C8F" w:rsidRDefault="00D94B0C" w:rsidP="004362A5">
      <w:pPr>
        <w:rPr>
          <w:lang w:val="en-GB"/>
        </w:rPr>
      </w:pPr>
      <w:r w:rsidRPr="00185A3C">
        <w:rPr>
          <w:lang w:val="en-GB"/>
        </w:rPr>
        <w:t xml:space="preserve">Mothers and women </w:t>
      </w:r>
      <w:r w:rsidR="00F62D0C">
        <w:rPr>
          <w:lang w:val="en-GB"/>
        </w:rPr>
        <w:t>caring for</w:t>
      </w:r>
      <w:r w:rsidRPr="00185A3C">
        <w:rPr>
          <w:lang w:val="en-GB"/>
        </w:rPr>
        <w:t xml:space="preserve"> relatives with disabilities </w:t>
      </w:r>
      <w:r w:rsidR="00167341" w:rsidRPr="00C75C8F">
        <w:rPr>
          <w:lang w:val="en-GB"/>
        </w:rPr>
        <w:t>are</w:t>
      </w:r>
      <w:r w:rsidRPr="004930B0">
        <w:rPr>
          <w:lang w:val="en-GB"/>
        </w:rPr>
        <w:t xml:space="preserve"> another disadvantaged group </w:t>
      </w:r>
      <w:r w:rsidR="00F62D0C">
        <w:rPr>
          <w:lang w:val="en-GB"/>
        </w:rPr>
        <w:t>at risk</w:t>
      </w:r>
      <w:r w:rsidRPr="004930B0">
        <w:rPr>
          <w:lang w:val="en-GB"/>
        </w:rPr>
        <w:t xml:space="preserve"> of gender-based violence and violence against women. </w:t>
      </w:r>
    </w:p>
    <w:p w14:paraId="78BC8228" w14:textId="25F9FEFF" w:rsidR="00532007" w:rsidRPr="00141EAA" w:rsidRDefault="00D94B0C" w:rsidP="004362A5">
      <w:pPr>
        <w:rPr>
          <w:lang w:val="es-ES"/>
        </w:rPr>
      </w:pPr>
      <w:r w:rsidRPr="00C75C8F">
        <w:rPr>
          <w:lang w:val="en-GB"/>
        </w:rPr>
        <w:t xml:space="preserve">In </w:t>
      </w:r>
      <w:r w:rsidR="00A91943" w:rsidRPr="00141EAA">
        <w:rPr>
          <w:lang w:val="en-GB"/>
        </w:rPr>
        <w:t>some cases</w:t>
      </w:r>
      <w:r w:rsidRPr="00185A3C">
        <w:rPr>
          <w:lang w:val="en-GB"/>
        </w:rPr>
        <w:t xml:space="preserve">, </w:t>
      </w:r>
      <w:r w:rsidRPr="00C75C8F">
        <w:rPr>
          <w:lang w:val="en-GB"/>
        </w:rPr>
        <w:t xml:space="preserve">the physical violence they </w:t>
      </w:r>
      <w:r w:rsidR="00A91943" w:rsidRPr="00141EAA">
        <w:rPr>
          <w:lang w:val="en-GB"/>
        </w:rPr>
        <w:t xml:space="preserve">may </w:t>
      </w:r>
      <w:r w:rsidRPr="00185A3C">
        <w:rPr>
          <w:lang w:val="en-GB"/>
        </w:rPr>
        <w:t xml:space="preserve">suffer while pregnant </w:t>
      </w:r>
      <w:r w:rsidR="00A91943" w:rsidRPr="00141EAA">
        <w:rPr>
          <w:lang w:val="en-GB"/>
        </w:rPr>
        <w:t>is in some case</w:t>
      </w:r>
      <w:r w:rsidRPr="00185A3C">
        <w:rPr>
          <w:lang w:val="en-GB"/>
        </w:rPr>
        <w:t xml:space="preserve"> the cause of the disability of their </w:t>
      </w:r>
      <w:r w:rsidR="00A91943" w:rsidRPr="00141EAA">
        <w:rPr>
          <w:lang w:val="en-GB"/>
        </w:rPr>
        <w:t>children</w:t>
      </w:r>
      <w:r w:rsidRPr="00185A3C">
        <w:rPr>
          <w:lang w:val="en-GB"/>
        </w:rPr>
        <w:t>. In other cases, caring for relatives w</w:t>
      </w:r>
      <w:r w:rsidRPr="00C75C8F">
        <w:rPr>
          <w:lang w:val="en-GB"/>
        </w:rPr>
        <w:t>ith disabilities (their children or older people with disabilities such as their parents) is a factor that triggers male violence against them by their partners or even by the people they were looking after.</w:t>
      </w:r>
      <w:r w:rsidR="001B4796" w:rsidRPr="00CD6585">
        <w:rPr>
          <w:lang w:val="en-GB"/>
        </w:rPr>
        <w:t xml:space="preserve"> At work, they may also face</w:t>
      </w:r>
      <w:r w:rsidR="001B4796" w:rsidRPr="00AF11B7">
        <w:rPr>
          <w:lang w:val="en-GB"/>
        </w:rPr>
        <w:t xml:space="preserve"> harassment and discrimination by associatio</w:t>
      </w:r>
      <w:r w:rsidR="00185A3C" w:rsidRPr="00074BC0">
        <w:rPr>
          <w:lang w:val="en-GB"/>
        </w:rPr>
        <w:t>n.</w:t>
      </w:r>
      <w:r w:rsidR="00185A3C">
        <w:rPr>
          <w:lang w:val="en-GB"/>
        </w:rPr>
        <w:t xml:space="preserve"> </w:t>
      </w:r>
    </w:p>
    <w:p w14:paraId="535BE446" w14:textId="4F1591D3" w:rsidR="007E19D7" w:rsidRDefault="00E558AF" w:rsidP="007E19D7">
      <w:pPr>
        <w:pStyle w:val="Heading1"/>
      </w:pPr>
      <w:bookmarkStart w:id="15" w:name="_Toc70070139"/>
      <w:r>
        <w:lastRenderedPageBreak/>
        <w:t>Conclusions and recommendations</w:t>
      </w:r>
      <w:bookmarkEnd w:id="15"/>
    </w:p>
    <w:p w14:paraId="09883395" w14:textId="4FF40D64" w:rsidR="007E19D7" w:rsidRDefault="007E19D7" w:rsidP="007E19D7">
      <w:r>
        <w:t xml:space="preserve">Women and girls with disabilities living in the EU continue to face a wide range of violence, including male violence against women, in their daily life. Not only they face violence at a higher rate than women without disabilities, </w:t>
      </w:r>
      <w:proofErr w:type="gramStart"/>
      <w:r>
        <w:t>they</w:t>
      </w:r>
      <w:proofErr w:type="gramEnd"/>
      <w:r>
        <w:t xml:space="preserve"> also face additional barriers in reporting, accessing justice, and access</w:t>
      </w:r>
      <w:r w:rsidR="00074559">
        <w:t>ing</w:t>
      </w:r>
      <w:r>
        <w:t xml:space="preserve"> victims’ rights support measures and protection orders. </w:t>
      </w:r>
      <w:r w:rsidR="00A91943">
        <w:t xml:space="preserve">Mothers and women caring for relative with disabilities also face risks of violence </w:t>
      </w:r>
      <w:r w:rsidR="00074BC0">
        <w:t xml:space="preserve">including </w:t>
      </w:r>
      <w:r w:rsidR="00A91943">
        <w:t xml:space="preserve">due to discrimination by association. </w:t>
      </w:r>
    </w:p>
    <w:p w14:paraId="5A60838E" w14:textId="002AAFE7" w:rsidR="004F260F" w:rsidRDefault="004F260F" w:rsidP="007E19D7">
      <w:bookmarkStart w:id="16" w:name="_Hlk70075754"/>
      <w:r>
        <w:t>The European Disability Forum calls on the EU to urgently adopt measures to end violence against women and girls, including violence against women</w:t>
      </w:r>
      <w:r w:rsidR="00074559">
        <w:t xml:space="preserve"> and girls</w:t>
      </w:r>
      <w:r>
        <w:t xml:space="preserve"> with disabilities</w:t>
      </w:r>
      <w:r w:rsidR="00074559">
        <w:t xml:space="preserve"> and mothers and women caring for relatives with disabilities,</w:t>
      </w:r>
      <w:r>
        <w:t xml:space="preserve"> and protect their rights as victims. </w:t>
      </w:r>
    </w:p>
    <w:p w14:paraId="55AEA35F" w14:textId="274D4D6D" w:rsidR="004F260F" w:rsidRPr="007E19D7" w:rsidRDefault="004F260F" w:rsidP="007E19D7">
      <w:r>
        <w:t xml:space="preserve">In particularly we call on the EU to: </w:t>
      </w:r>
    </w:p>
    <w:p w14:paraId="476831E4" w14:textId="2B8F3CF8" w:rsidR="00C56989" w:rsidRPr="00643E4C" w:rsidRDefault="004F260F" w:rsidP="00C56989">
      <w:pPr>
        <w:numPr>
          <w:ilvl w:val="0"/>
          <w:numId w:val="9"/>
        </w:numPr>
        <w:rPr>
          <w:lang w:val="en-GB"/>
        </w:rPr>
      </w:pPr>
      <w:r>
        <w:rPr>
          <w:lang w:val="en-GB"/>
        </w:rPr>
        <w:t xml:space="preserve">Swiftly </w:t>
      </w:r>
      <w:r w:rsidRPr="00046C71">
        <w:rPr>
          <w:b/>
          <w:bCs/>
          <w:lang w:val="en-GB"/>
        </w:rPr>
        <w:t>ratify</w:t>
      </w:r>
      <w:r w:rsidR="00615D31" w:rsidRPr="00046C71">
        <w:rPr>
          <w:b/>
          <w:bCs/>
          <w:lang w:val="en-GB"/>
        </w:rPr>
        <w:t xml:space="preserve"> and implement the Council of Europe Convention on preventing and combating violence against women and domestic violence</w:t>
      </w:r>
      <w:r w:rsidR="00615D31" w:rsidRPr="00615D31">
        <w:rPr>
          <w:bCs/>
          <w:lang w:val="en-GB"/>
        </w:rPr>
        <w:t xml:space="preserve"> (Istanbul Convention)</w:t>
      </w:r>
    </w:p>
    <w:p w14:paraId="67B3231F" w14:textId="39D02AEF" w:rsidR="00643E4C" w:rsidRPr="00046C71" w:rsidRDefault="004F260F" w:rsidP="00643E4C">
      <w:pPr>
        <w:numPr>
          <w:ilvl w:val="0"/>
          <w:numId w:val="9"/>
        </w:numPr>
        <w:rPr>
          <w:b/>
          <w:lang w:val="en-GB"/>
        </w:rPr>
      </w:pPr>
      <w:r w:rsidRPr="001D082F">
        <w:rPr>
          <w:bCs/>
          <w:lang w:val="en-GB"/>
        </w:rPr>
        <w:t>Add gender-based violence</w:t>
      </w:r>
      <w:r w:rsidR="00643E4C" w:rsidRPr="001D082F">
        <w:rPr>
          <w:bCs/>
          <w:lang w:val="en-GB"/>
        </w:rPr>
        <w:t xml:space="preserve"> to the</w:t>
      </w:r>
      <w:r w:rsidR="00643E4C" w:rsidRPr="00046C71">
        <w:rPr>
          <w:b/>
          <w:lang w:val="en-GB"/>
        </w:rPr>
        <w:t xml:space="preserve"> </w:t>
      </w:r>
      <w:r w:rsidR="00643E4C" w:rsidRPr="00FF6A44">
        <w:rPr>
          <w:bCs/>
          <w:lang w:val="en-GB"/>
        </w:rPr>
        <w:t>list of</w:t>
      </w:r>
      <w:r w:rsidR="00643E4C" w:rsidRPr="00046C71">
        <w:rPr>
          <w:b/>
          <w:lang w:val="en-GB"/>
        </w:rPr>
        <w:t xml:space="preserve"> </w:t>
      </w:r>
      <w:proofErr w:type="gramStart"/>
      <w:r w:rsidR="00643E4C" w:rsidRPr="00046C71">
        <w:rPr>
          <w:b/>
          <w:lang w:val="en-GB"/>
        </w:rPr>
        <w:t>EU</w:t>
      </w:r>
      <w:proofErr w:type="gramEnd"/>
      <w:r w:rsidR="00643E4C" w:rsidRPr="00046C71">
        <w:rPr>
          <w:b/>
          <w:lang w:val="en-GB"/>
        </w:rPr>
        <w:t xml:space="preserve"> crimes </w:t>
      </w:r>
    </w:p>
    <w:p w14:paraId="4BD3CC78" w14:textId="09E9597F" w:rsidR="00C56989" w:rsidRPr="00C56989" w:rsidRDefault="00C56989" w:rsidP="00C56989">
      <w:pPr>
        <w:numPr>
          <w:ilvl w:val="0"/>
          <w:numId w:val="9"/>
        </w:numPr>
        <w:rPr>
          <w:lang w:val="en-GB"/>
        </w:rPr>
      </w:pPr>
      <w:r>
        <w:t>A</w:t>
      </w:r>
      <w:r w:rsidRPr="00C56989">
        <w:t>dopt</w:t>
      </w:r>
      <w:r w:rsidR="004515C5">
        <w:t xml:space="preserve"> </w:t>
      </w:r>
      <w:r w:rsidRPr="00C56989">
        <w:t>a</w:t>
      </w:r>
      <w:r w:rsidR="004930B0">
        <w:t>n</w:t>
      </w:r>
      <w:r w:rsidRPr="00C56989">
        <w:t xml:space="preserve"> </w:t>
      </w:r>
      <w:r w:rsidR="00046C71" w:rsidRPr="00046C71">
        <w:rPr>
          <w:b/>
          <w:bCs/>
        </w:rPr>
        <w:t>EU</w:t>
      </w:r>
      <w:r w:rsidR="00046C71">
        <w:t xml:space="preserve"> </w:t>
      </w:r>
      <w:r w:rsidR="00046C71" w:rsidRPr="00046C71">
        <w:rPr>
          <w:b/>
          <w:bCs/>
        </w:rPr>
        <w:t>D</w:t>
      </w:r>
      <w:r w:rsidRPr="00046C71">
        <w:rPr>
          <w:b/>
          <w:bCs/>
        </w:rPr>
        <w:t xml:space="preserve">irective </w:t>
      </w:r>
      <w:proofErr w:type="spellStart"/>
      <w:r w:rsidRPr="00046C71">
        <w:rPr>
          <w:b/>
          <w:bCs/>
        </w:rPr>
        <w:t>criminalising</w:t>
      </w:r>
      <w:proofErr w:type="spellEnd"/>
      <w:r w:rsidRPr="00046C71">
        <w:rPr>
          <w:b/>
          <w:bCs/>
        </w:rPr>
        <w:t xml:space="preserve"> all forms of male violence against women and girls</w:t>
      </w:r>
      <w:r w:rsidRPr="00C56989">
        <w:t xml:space="preserve"> (including forced </w:t>
      </w:r>
      <w:proofErr w:type="spellStart"/>
      <w:r w:rsidRPr="00C56989">
        <w:t>sterilisation</w:t>
      </w:r>
      <w:proofErr w:type="spellEnd"/>
      <w:proofErr w:type="gramStart"/>
      <w:r w:rsidRPr="00C56989">
        <w:t>),</w:t>
      </w:r>
      <w:r w:rsidR="00F47011">
        <w:t xml:space="preserve"> </w:t>
      </w:r>
      <w:r w:rsidRPr="00C56989">
        <w:t>and</w:t>
      </w:r>
      <w:proofErr w:type="gramEnd"/>
      <w:r w:rsidRPr="00C56989">
        <w:t xml:space="preserve"> provid</w:t>
      </w:r>
      <w:r w:rsidR="00046C71">
        <w:t>ing</w:t>
      </w:r>
      <w:r w:rsidRPr="00C56989">
        <w:t xml:space="preserve"> assistance and support to all women and girls victims.</w:t>
      </w:r>
    </w:p>
    <w:p w14:paraId="04C6AC8D" w14:textId="54C498AD" w:rsidR="00C56989" w:rsidRPr="00C56989" w:rsidRDefault="00C56989" w:rsidP="00C56989">
      <w:pPr>
        <w:numPr>
          <w:ilvl w:val="0"/>
          <w:numId w:val="9"/>
        </w:numPr>
        <w:rPr>
          <w:lang w:val="en-GB"/>
        </w:rPr>
      </w:pPr>
      <w:r>
        <w:rPr>
          <w:lang w:val="en-GB"/>
        </w:rPr>
        <w:t>S</w:t>
      </w:r>
      <w:r w:rsidRPr="00C56989">
        <w:rPr>
          <w:lang w:val="en-GB"/>
        </w:rPr>
        <w:t xml:space="preserve">et up a </w:t>
      </w:r>
      <w:r w:rsidRPr="00046C71">
        <w:rPr>
          <w:b/>
          <w:bCs/>
          <w:lang w:val="en-GB"/>
        </w:rPr>
        <w:t>coordinating body to end violence against women and girls</w:t>
      </w:r>
      <w:r w:rsidRPr="00C56989">
        <w:rPr>
          <w:lang w:val="en-GB"/>
        </w:rPr>
        <w:t>, under the umbrella of the European Commission’s work on equality between women and men</w:t>
      </w:r>
      <w:r w:rsidR="00234DE1" w:rsidRPr="00141EAA">
        <w:rPr>
          <w:rFonts w:eastAsia="Times New Roman"/>
          <w:lang w:val="en-GB"/>
        </w:rPr>
        <w:t xml:space="preserve"> </w:t>
      </w:r>
      <w:r w:rsidR="00234DE1" w:rsidRPr="00141EAA">
        <w:rPr>
          <w:lang w:val="en-GB"/>
        </w:rPr>
        <w:t>and ensure it contains a department specifically related to violence against women and girls with disabilities</w:t>
      </w:r>
      <w:r w:rsidRPr="00141EAA">
        <w:rPr>
          <w:lang w:val="en-GB"/>
        </w:rPr>
        <w:t>.</w:t>
      </w:r>
    </w:p>
    <w:p w14:paraId="63452234" w14:textId="4EB26082" w:rsidR="00615D31" w:rsidRPr="00615D31" w:rsidRDefault="00615D31" w:rsidP="00615D31">
      <w:pPr>
        <w:numPr>
          <w:ilvl w:val="0"/>
          <w:numId w:val="8"/>
        </w:numPr>
        <w:rPr>
          <w:bCs/>
          <w:lang w:val="en-GB"/>
        </w:rPr>
      </w:pPr>
      <w:r w:rsidRPr="00615D31">
        <w:rPr>
          <w:bCs/>
          <w:lang w:val="en-GB"/>
        </w:rPr>
        <w:t xml:space="preserve">Ensuring that gender-based violence is addressed within relevant EU policies and strategies (education, humanitarian aid, digital agenda, etc.). All actions should be part of a comprehensive </w:t>
      </w:r>
      <w:r w:rsidRPr="00046C71">
        <w:rPr>
          <w:b/>
          <w:lang w:val="en-GB"/>
        </w:rPr>
        <w:t>EU Strategy to end violence against women and girls</w:t>
      </w:r>
      <w:r w:rsidRPr="00615D31">
        <w:rPr>
          <w:bCs/>
          <w:lang w:val="en-GB"/>
        </w:rPr>
        <w:t xml:space="preserve">, including prevention, awareness-raising, and </w:t>
      </w:r>
      <w:r w:rsidR="00046C71">
        <w:rPr>
          <w:bCs/>
          <w:lang w:val="en-GB"/>
        </w:rPr>
        <w:t xml:space="preserve">part of the </w:t>
      </w:r>
      <w:r w:rsidRPr="00046C71">
        <w:rPr>
          <w:b/>
          <w:lang w:val="en-GB"/>
        </w:rPr>
        <w:t>implementation of EU Victims’ Rights Directive</w:t>
      </w:r>
      <w:r w:rsidR="00046C71" w:rsidRPr="00046C71">
        <w:rPr>
          <w:b/>
          <w:lang w:val="en-GB"/>
        </w:rPr>
        <w:t xml:space="preserve"> and Strategy, Disability Rights Strategy and Gender Equality Strategy</w:t>
      </w:r>
      <w:r w:rsidRPr="00615D31">
        <w:rPr>
          <w:bCs/>
          <w:lang w:val="en-GB"/>
        </w:rPr>
        <w:t xml:space="preserve">. </w:t>
      </w:r>
    </w:p>
    <w:p w14:paraId="6E3E09E4" w14:textId="7EA1B4E8" w:rsidR="00615D31" w:rsidRPr="00615D31" w:rsidRDefault="00615D31" w:rsidP="00615D31">
      <w:pPr>
        <w:numPr>
          <w:ilvl w:val="0"/>
          <w:numId w:val="8"/>
        </w:numPr>
        <w:rPr>
          <w:bCs/>
          <w:lang w:val="en-GB"/>
        </w:rPr>
      </w:pPr>
      <w:r w:rsidRPr="00FF6A44">
        <w:rPr>
          <w:b/>
          <w:lang w:val="en-GB"/>
        </w:rPr>
        <w:t>Collect data and conducting research</w:t>
      </w:r>
      <w:r w:rsidRPr="00615D31">
        <w:rPr>
          <w:bCs/>
          <w:lang w:val="en-GB"/>
        </w:rPr>
        <w:t xml:space="preserve"> on the root causes, prevalence, </w:t>
      </w:r>
      <w:proofErr w:type="gramStart"/>
      <w:r w:rsidRPr="00615D31">
        <w:rPr>
          <w:bCs/>
          <w:lang w:val="en-GB"/>
        </w:rPr>
        <w:t>consequences</w:t>
      </w:r>
      <w:proofErr w:type="gramEnd"/>
      <w:r w:rsidRPr="00615D31">
        <w:rPr>
          <w:bCs/>
          <w:lang w:val="en-GB"/>
        </w:rPr>
        <w:t xml:space="preserve"> and costs of gender based and domestic violence. Data and research should be disaggregated to inform on the specific situation of marginalised groups, including women and girls with disabilities</w:t>
      </w:r>
      <w:bookmarkStart w:id="17" w:name="_Hlk71036240"/>
      <w:r w:rsidR="00680EAF">
        <w:rPr>
          <w:bCs/>
          <w:lang w:val="en-GB"/>
        </w:rPr>
        <w:t xml:space="preserve"> and mother and women caring for </w:t>
      </w:r>
      <w:r w:rsidR="005D6392">
        <w:rPr>
          <w:bCs/>
          <w:lang w:val="en-GB"/>
        </w:rPr>
        <w:t>relative</w:t>
      </w:r>
      <w:r w:rsidR="00680EAF">
        <w:rPr>
          <w:bCs/>
          <w:lang w:val="en-GB"/>
        </w:rPr>
        <w:t>s with disabilities</w:t>
      </w:r>
      <w:r w:rsidR="00690EE5">
        <w:rPr>
          <w:bCs/>
          <w:lang w:val="en-GB"/>
        </w:rPr>
        <w:t xml:space="preserve">, in various settings such as in institutions, schools </w:t>
      </w:r>
      <w:r w:rsidR="00690EE5">
        <w:rPr>
          <w:bCs/>
          <w:lang w:val="en-GB"/>
        </w:rPr>
        <w:lastRenderedPageBreak/>
        <w:t>and workplace</w:t>
      </w:r>
      <w:r w:rsidR="00680EAF">
        <w:rPr>
          <w:bCs/>
          <w:lang w:val="en-GB"/>
        </w:rPr>
        <w:t>, and in relation to trafficking</w:t>
      </w:r>
      <w:bookmarkEnd w:id="17"/>
      <w:r w:rsidRPr="00615D31">
        <w:rPr>
          <w:bCs/>
          <w:lang w:val="en-GB"/>
        </w:rPr>
        <w:t>. Experts with specific expertise on disability and the link between disability, gender and violence should participate to data collection and research.</w:t>
      </w:r>
    </w:p>
    <w:p w14:paraId="5D0E6A56" w14:textId="1302E93A" w:rsidR="00615D31" w:rsidRDefault="00FF6A44" w:rsidP="00615D31">
      <w:pPr>
        <w:numPr>
          <w:ilvl w:val="0"/>
          <w:numId w:val="8"/>
        </w:numPr>
        <w:rPr>
          <w:bCs/>
          <w:lang w:val="en-GB"/>
        </w:rPr>
      </w:pPr>
      <w:r w:rsidRPr="00FF6A44">
        <w:rPr>
          <w:b/>
          <w:lang w:val="en-GB"/>
        </w:rPr>
        <w:t>Finance and promote t</w:t>
      </w:r>
      <w:r w:rsidR="00615D31" w:rsidRPr="00FF6A44">
        <w:rPr>
          <w:b/>
          <w:lang w:val="en-GB"/>
        </w:rPr>
        <w:t>raining and capacity building of professionals</w:t>
      </w:r>
      <w:r>
        <w:rPr>
          <w:b/>
          <w:lang w:val="en-GB"/>
        </w:rPr>
        <w:t xml:space="preserve"> in EU Member States</w:t>
      </w:r>
      <w:r w:rsidR="00615D31" w:rsidRPr="00615D31">
        <w:rPr>
          <w:bCs/>
          <w:lang w:val="en-GB"/>
        </w:rPr>
        <w:t xml:space="preserve">, such as support service providers, </w:t>
      </w:r>
      <w:proofErr w:type="gramStart"/>
      <w:r w:rsidR="00615D31" w:rsidRPr="00615D31">
        <w:rPr>
          <w:bCs/>
          <w:lang w:val="en-GB"/>
        </w:rPr>
        <w:t>healthcare</w:t>
      </w:r>
      <w:proofErr w:type="gramEnd"/>
      <w:r w:rsidR="00615D31" w:rsidRPr="00615D31">
        <w:rPr>
          <w:bCs/>
          <w:lang w:val="en-GB"/>
        </w:rPr>
        <w:t xml:space="preserve"> and criminal justice professionals</w:t>
      </w:r>
      <w:r w:rsidR="00234DE1">
        <w:rPr>
          <w:bCs/>
          <w:lang w:val="en-GB"/>
        </w:rPr>
        <w:t xml:space="preserve"> </w:t>
      </w:r>
      <w:r w:rsidR="00234DE1" w:rsidRPr="00234DE1">
        <w:rPr>
          <w:bCs/>
          <w:lang w:val="en-GB"/>
        </w:rPr>
        <w:t>(including providers of services for victims’, doctors, midwives, police officers, judges)</w:t>
      </w:r>
      <w:r w:rsidR="00615D31" w:rsidRPr="00615D31">
        <w:rPr>
          <w:bCs/>
          <w:lang w:val="en-GB"/>
        </w:rPr>
        <w:t xml:space="preserve">. All professionals should be trained on violence against women and girls, </w:t>
      </w:r>
      <w:proofErr w:type="gramStart"/>
      <w:r w:rsidR="00615D31" w:rsidRPr="00615D31">
        <w:rPr>
          <w:bCs/>
          <w:lang w:val="en-GB"/>
        </w:rPr>
        <w:t>in particular those</w:t>
      </w:r>
      <w:proofErr w:type="gramEnd"/>
      <w:r w:rsidR="00615D31" w:rsidRPr="00615D31">
        <w:rPr>
          <w:bCs/>
          <w:lang w:val="en-GB"/>
        </w:rPr>
        <w:t xml:space="preserve"> working with marginalised groups of women such as women and girls with disabilities, including those living in institutions.</w:t>
      </w:r>
    </w:p>
    <w:p w14:paraId="71BA1635" w14:textId="3F6B1215" w:rsidR="00234DE1" w:rsidRPr="00615D31" w:rsidRDefault="00234DE1" w:rsidP="00615D31">
      <w:pPr>
        <w:numPr>
          <w:ilvl w:val="0"/>
          <w:numId w:val="8"/>
        </w:numPr>
        <w:rPr>
          <w:bCs/>
          <w:lang w:val="en-GB"/>
        </w:rPr>
      </w:pPr>
      <w:r>
        <w:rPr>
          <w:b/>
          <w:lang w:val="en-GB"/>
        </w:rPr>
        <w:t xml:space="preserve">Finance and promote emotional and sexuality education in EU Member States, including through project funding. </w:t>
      </w:r>
      <w:r>
        <w:rPr>
          <w:bCs/>
          <w:lang w:val="en-GB"/>
        </w:rPr>
        <w:t xml:space="preserve">This should be offered to young people with disabilities living in and outside </w:t>
      </w:r>
      <w:proofErr w:type="gramStart"/>
      <w:r>
        <w:rPr>
          <w:bCs/>
          <w:lang w:val="en-GB"/>
        </w:rPr>
        <w:t>institutions, and</w:t>
      </w:r>
      <w:proofErr w:type="gramEnd"/>
      <w:r>
        <w:rPr>
          <w:bCs/>
          <w:lang w:val="en-GB"/>
        </w:rPr>
        <w:t xml:space="preserve"> include information on respect to others and capacity of saying no</w:t>
      </w:r>
      <w:r w:rsidR="00A91943">
        <w:rPr>
          <w:bCs/>
          <w:lang w:val="en-GB"/>
        </w:rPr>
        <w:t>, involving organisations of women with disabilities and women’s groups</w:t>
      </w:r>
      <w:r>
        <w:rPr>
          <w:bCs/>
          <w:lang w:val="en-GB"/>
        </w:rPr>
        <w:t>.</w:t>
      </w:r>
    </w:p>
    <w:bookmarkEnd w:id="16"/>
    <w:p w14:paraId="472EFC01" w14:textId="77777777" w:rsidR="00E558AF" w:rsidRPr="00615D31" w:rsidRDefault="00E558AF" w:rsidP="00E558AF">
      <w:pPr>
        <w:rPr>
          <w:lang w:val="en-GB"/>
        </w:rPr>
      </w:pPr>
    </w:p>
    <w:p w14:paraId="63B7F075" w14:textId="61C3BB80" w:rsidR="00A9576D" w:rsidRPr="00187E62" w:rsidRDefault="00A9576D" w:rsidP="00A9576D">
      <w:pPr>
        <w:pStyle w:val="Heading1"/>
        <w:pageBreakBefore/>
      </w:pPr>
      <w:bookmarkStart w:id="18" w:name="_Toc70070140"/>
      <w:r w:rsidRPr="00187E62">
        <w:lastRenderedPageBreak/>
        <w:t>Document credits</w:t>
      </w:r>
      <w:bookmarkEnd w:id="18"/>
    </w:p>
    <w:p w14:paraId="2B95C88F" w14:textId="209588D2" w:rsidR="00A9576D" w:rsidRDefault="00A9576D" w:rsidP="006D0B23">
      <w:pPr>
        <w:widowControl w:val="0"/>
        <w:spacing w:before="480"/>
      </w:pPr>
      <w:r>
        <w:t>This document was prepared by</w:t>
      </w:r>
      <w:r w:rsidR="00BA2513">
        <w:t xml:space="preserve"> Marine Uldry, EDF Human Rights Officer.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570B2D" w:rsidP="006D0B23">
      <w:pPr>
        <w:widowControl w:val="0"/>
        <w:spacing w:before="480"/>
      </w:pPr>
      <w:hyperlink r:id="rId18" w:history="1">
        <w:r w:rsidR="00A9576D" w:rsidRPr="009277BC">
          <w:rPr>
            <w:rStyle w:val="Hyperlink"/>
          </w:rPr>
          <w:t>www.edf-feph.org</w:t>
        </w:r>
      </w:hyperlink>
    </w:p>
    <w:p w14:paraId="7B572B14" w14:textId="5A1C910E" w:rsidR="009277BC" w:rsidRPr="009277BC" w:rsidRDefault="00570B2D" w:rsidP="006D0B23">
      <w:pPr>
        <w:widowControl w:val="0"/>
        <w:spacing w:before="480"/>
      </w:pPr>
      <w:hyperlink r:id="rId19" w:history="1">
        <w:r w:rsidR="009277BC" w:rsidRPr="008C480E">
          <w:rPr>
            <w:rStyle w:val="Hyperlink"/>
          </w:rPr>
          <w:t>info@edf-feph.org</w:t>
        </w:r>
      </w:hyperlink>
    </w:p>
    <w:p w14:paraId="23807C83" w14:textId="357BF028"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6EB90D50" w14:textId="77777777" w:rsidR="00E51C70" w:rsidRDefault="00E51C70" w:rsidP="009277BC">
      <w:pPr>
        <w:widowControl w:val="0"/>
        <w:spacing w:before="1680" w:after="120"/>
      </w:pP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9D05" w14:textId="77777777" w:rsidR="00BD1B66" w:rsidRDefault="00BD1B66" w:rsidP="00E47FF5">
      <w:pPr>
        <w:spacing w:after="0" w:line="240" w:lineRule="auto"/>
      </w:pPr>
      <w:r>
        <w:separator/>
      </w:r>
    </w:p>
  </w:endnote>
  <w:endnote w:type="continuationSeparator" w:id="0">
    <w:p w14:paraId="3BDC0233" w14:textId="77777777" w:rsidR="00BD1B66" w:rsidRDefault="00BD1B66"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C86" w14:textId="77777777" w:rsidR="002E1C31" w:rsidRDefault="002E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76D" w14:textId="77777777" w:rsidR="002E1C31" w:rsidRDefault="002E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C320" w14:textId="77777777" w:rsidR="00BD1B66" w:rsidRDefault="00BD1B66" w:rsidP="00E47FF5">
      <w:pPr>
        <w:spacing w:after="0" w:line="240" w:lineRule="auto"/>
      </w:pPr>
      <w:r>
        <w:separator/>
      </w:r>
    </w:p>
  </w:footnote>
  <w:footnote w:type="continuationSeparator" w:id="0">
    <w:p w14:paraId="246F8A71" w14:textId="77777777" w:rsidR="00BD1B66" w:rsidRDefault="00BD1B66" w:rsidP="00E47FF5">
      <w:pPr>
        <w:spacing w:after="0" w:line="240" w:lineRule="auto"/>
      </w:pPr>
      <w:r>
        <w:continuationSeparator/>
      </w:r>
    </w:p>
  </w:footnote>
  <w:footnote w:id="1">
    <w:p w14:paraId="7491E692" w14:textId="77777777" w:rsidR="00F81B52" w:rsidRPr="00DD4128" w:rsidRDefault="00F81B52" w:rsidP="00F81B52">
      <w:pPr>
        <w:pStyle w:val="FootnoteText"/>
        <w:rPr>
          <w:bCs/>
          <w:iCs/>
          <w:lang w:val="en-US"/>
        </w:rPr>
      </w:pPr>
      <w:r>
        <w:rPr>
          <w:rStyle w:val="FootnoteReference"/>
        </w:rPr>
        <w:footnoteRef/>
      </w:r>
      <w:r w:rsidRPr="00DD4128">
        <w:rPr>
          <w:lang w:val="en-US"/>
        </w:rPr>
        <w:t xml:space="preserve"> </w:t>
      </w:r>
      <w:r w:rsidRPr="00DD4128">
        <w:rPr>
          <w:bCs/>
          <w:iCs/>
          <w:lang w:val="en-US"/>
        </w:rPr>
        <w:t xml:space="preserve">This article and all of the CRPD also has to be implemented in light of the CRPD Committee’s </w:t>
      </w:r>
      <w:hyperlink r:id="rId1" w:history="1">
        <w:r w:rsidRPr="00DD4128">
          <w:rPr>
            <w:rStyle w:val="Hyperlink"/>
            <w:lang w:val="en-US"/>
          </w:rPr>
          <w:t>General Comment No. 3 on women and girls with disabilities</w:t>
        </w:r>
      </w:hyperlink>
      <w:r w:rsidRPr="00DD4128">
        <w:rPr>
          <w:bCs/>
          <w:iCs/>
          <w:lang w:val="en-US"/>
        </w:rPr>
        <w:t xml:space="preserve">. </w:t>
      </w:r>
    </w:p>
  </w:footnote>
  <w:footnote w:id="2">
    <w:p w14:paraId="13A4A5E0" w14:textId="46F28C10" w:rsidR="002618DF" w:rsidRPr="002618DF" w:rsidRDefault="002618DF">
      <w:pPr>
        <w:pStyle w:val="FootnoteText"/>
        <w:rPr>
          <w:lang w:val="en-US"/>
        </w:rPr>
      </w:pPr>
      <w:r>
        <w:rPr>
          <w:rStyle w:val="FootnoteReference"/>
        </w:rPr>
        <w:footnoteRef/>
      </w:r>
      <w:r>
        <w:rPr>
          <w:lang w:val="en-US"/>
        </w:rPr>
        <w:t xml:space="preserve"> OHCHR,</w:t>
      </w:r>
      <w:r w:rsidRPr="002618DF">
        <w:rPr>
          <w:lang w:val="en-US"/>
        </w:rPr>
        <w:t xml:space="preserve"> </w:t>
      </w:r>
      <w:r w:rsidR="00570B2D">
        <w:fldChar w:fldCharType="begin"/>
      </w:r>
      <w:r w:rsidR="00570B2D" w:rsidRPr="008222D8">
        <w:rPr>
          <w:lang w:val="en-US"/>
        </w:rPr>
        <w:instrText xml:space="preserve"> HYPERLINK "https://www.ohchr.org/Documents/Issues/Disability/COVID-19_and_The_Rights_of_Persons_with_Disabilities.pdf" </w:instrText>
      </w:r>
      <w:r w:rsidR="00570B2D">
        <w:fldChar w:fldCharType="separate"/>
      </w:r>
      <w:r w:rsidRPr="002618DF">
        <w:rPr>
          <w:rStyle w:val="Hyperlink"/>
          <w:lang w:val="en-US"/>
        </w:rPr>
        <w:t>COVID-19 and the rights of persons with disabilities: Guidance</w:t>
      </w:r>
      <w:r w:rsidR="00570B2D">
        <w:rPr>
          <w:rStyle w:val="Hyperlink"/>
          <w:lang w:val="en-US"/>
        </w:rPr>
        <w:fldChar w:fldCharType="end"/>
      </w:r>
      <w:r>
        <w:rPr>
          <w:lang w:val="en-US"/>
        </w:rPr>
        <w:t xml:space="preserve"> (2020). </w:t>
      </w:r>
    </w:p>
  </w:footnote>
  <w:footnote w:id="3">
    <w:p w14:paraId="1801718B" w14:textId="7DF87369" w:rsidR="0056104A" w:rsidRPr="00141EAA" w:rsidRDefault="0056104A" w:rsidP="0056104A">
      <w:pPr>
        <w:pStyle w:val="FootnoteText"/>
        <w:rPr>
          <w:lang w:val="en-US"/>
        </w:rPr>
      </w:pPr>
      <w:r>
        <w:rPr>
          <w:rStyle w:val="FootnoteReference"/>
        </w:rPr>
        <w:footnoteRef/>
      </w:r>
      <w:r w:rsidRPr="00141EAA">
        <w:rPr>
          <w:lang w:val="en-US"/>
        </w:rPr>
        <w:t xml:space="preserve"> </w:t>
      </w:r>
      <w:r>
        <w:rPr>
          <w:lang w:val="en-US"/>
        </w:rPr>
        <w:t xml:space="preserve">See European Parliament, </w:t>
      </w:r>
      <w:r w:rsidR="00570B2D">
        <w:fldChar w:fldCharType="begin"/>
      </w:r>
      <w:r w:rsidR="00570B2D" w:rsidRPr="008222D8">
        <w:rPr>
          <w:lang w:val="en-US"/>
        </w:rPr>
        <w:instrText xml:space="preserve"> HYPER</w:instrText>
      </w:r>
      <w:r w:rsidR="00570B2D" w:rsidRPr="008222D8">
        <w:rPr>
          <w:lang w:val="en-US"/>
        </w:rPr>
        <w:instrText xml:space="preserve">LINK "https://www.europarl.europa.eu/RegData/etudes/STUD/2021/662621/EPRS_STU(2021)662621_EN.pdf" </w:instrText>
      </w:r>
      <w:r w:rsidR="00570B2D">
        <w:fldChar w:fldCharType="separate"/>
      </w:r>
      <w:r w:rsidRPr="0056104A">
        <w:rPr>
          <w:rStyle w:val="Hyperlink"/>
          <w:lang w:val="en-US"/>
        </w:rPr>
        <w:t>Study on Combating gender-based violence:</w:t>
      </w:r>
      <w:r w:rsidRPr="00141EAA">
        <w:rPr>
          <w:rStyle w:val="Hyperlink"/>
          <w:lang w:val="en-US"/>
        </w:rPr>
        <w:t xml:space="preserve"> </w:t>
      </w:r>
      <w:r w:rsidRPr="0056104A">
        <w:rPr>
          <w:rStyle w:val="Hyperlink"/>
          <w:lang w:val="en-US"/>
        </w:rPr>
        <w:t>Cyber violence</w:t>
      </w:r>
      <w:r w:rsidR="00570B2D">
        <w:rPr>
          <w:rStyle w:val="Hyperlink"/>
          <w:lang w:val="en-US"/>
        </w:rPr>
        <w:fldChar w:fldCharType="end"/>
      </w:r>
      <w:r>
        <w:rPr>
          <w:lang w:val="en-US"/>
        </w:rPr>
        <w:t xml:space="preserve">. </w:t>
      </w:r>
    </w:p>
  </w:footnote>
  <w:footnote w:id="4">
    <w:p w14:paraId="2918F2B8" w14:textId="062F4DC2" w:rsidR="003C58ED" w:rsidRPr="003C58ED" w:rsidRDefault="003C58ED">
      <w:pPr>
        <w:pStyle w:val="FootnoteText"/>
        <w:rPr>
          <w:lang w:val="en-US"/>
        </w:rPr>
      </w:pPr>
      <w:r>
        <w:rPr>
          <w:rStyle w:val="FootnoteReference"/>
        </w:rPr>
        <w:footnoteRef/>
      </w:r>
      <w:r w:rsidRPr="003C58ED">
        <w:rPr>
          <w:lang w:val="en-US"/>
        </w:rPr>
        <w:t xml:space="preserve"> European Parliament resolution of 29 November 2018 on the situation of women with disabilities (</w:t>
      </w:r>
      <w:r w:rsidR="00570B2D">
        <w:fldChar w:fldCharType="begin"/>
      </w:r>
      <w:r w:rsidR="00570B2D" w:rsidRPr="008222D8">
        <w:rPr>
          <w:lang w:val="en-US"/>
        </w:rPr>
        <w:instrText xml:space="preserve"> HYPERLINK "https://oeil.secure.europarl.europa.eu/oeil/popups/ficheprocedure.do?lang=en&amp;reference=2018/2685(RSP)" </w:instrText>
      </w:r>
      <w:r w:rsidR="00570B2D">
        <w:fldChar w:fldCharType="separate"/>
      </w:r>
      <w:r w:rsidRPr="003C58ED">
        <w:rPr>
          <w:rStyle w:val="Hyperlink"/>
          <w:lang w:val="en-US"/>
        </w:rPr>
        <w:t>2018/2685(RSP)</w:t>
      </w:r>
      <w:r w:rsidR="00570B2D">
        <w:rPr>
          <w:rStyle w:val="Hyperlink"/>
          <w:lang w:val="en-US"/>
        </w:rPr>
        <w:fldChar w:fldCharType="end"/>
      </w:r>
      <w:r w:rsidRPr="003C58ED">
        <w:rPr>
          <w:lang w:val="en-US"/>
        </w:rPr>
        <w:t>).</w:t>
      </w:r>
      <w:r>
        <w:rPr>
          <w:b/>
          <w:bCs/>
          <w:lang w:val="en-US"/>
        </w:rPr>
        <w:t xml:space="preserve"> </w:t>
      </w:r>
    </w:p>
  </w:footnote>
  <w:footnote w:id="5">
    <w:p w14:paraId="2CF70F06" w14:textId="42A344ED" w:rsidR="006C0E2C" w:rsidRPr="006C0E2C" w:rsidRDefault="006C0E2C">
      <w:pPr>
        <w:pStyle w:val="FootnoteText"/>
        <w:rPr>
          <w:lang w:val="en-US"/>
        </w:rPr>
      </w:pPr>
      <w:r>
        <w:rPr>
          <w:rStyle w:val="FootnoteReference"/>
        </w:rPr>
        <w:footnoteRef/>
      </w:r>
      <w:r w:rsidRPr="006C0E2C">
        <w:rPr>
          <w:lang w:val="en-US"/>
        </w:rPr>
        <w:t xml:space="preserve"> </w:t>
      </w:r>
      <w:r>
        <w:rPr>
          <w:lang w:val="en-US"/>
        </w:rPr>
        <w:t>FRA</w:t>
      </w:r>
      <w:r w:rsidR="00F2657A">
        <w:rPr>
          <w:lang w:val="en-US"/>
        </w:rPr>
        <w:t>,</w:t>
      </w:r>
      <w:r>
        <w:rPr>
          <w:lang w:val="en-US"/>
        </w:rPr>
        <w:t xml:space="preserve"> </w:t>
      </w:r>
      <w:r w:rsidR="00570B2D">
        <w:fldChar w:fldCharType="begin"/>
      </w:r>
      <w:r w:rsidR="00570B2D" w:rsidRPr="008222D8">
        <w:rPr>
          <w:lang w:val="en-US"/>
        </w:rPr>
        <w:instrText xml:space="preserve"> HYPERLINK "ht</w:instrText>
      </w:r>
      <w:r w:rsidR="00570B2D" w:rsidRPr="008222D8">
        <w:rPr>
          <w:lang w:val="en-US"/>
        </w:rPr>
        <w:instrText xml:space="preserve">tps://fra.europa.eu/sites/default/files/fra_uploads/fra-2014-vaw-survey-main-results-apr14_en.pdf" </w:instrText>
      </w:r>
      <w:r w:rsidR="00570B2D">
        <w:fldChar w:fldCharType="separate"/>
      </w:r>
      <w:r w:rsidRPr="00F2657A">
        <w:rPr>
          <w:rStyle w:val="Hyperlink"/>
          <w:lang w:val="en-US"/>
        </w:rPr>
        <w:t xml:space="preserve">Survey </w:t>
      </w:r>
      <w:r w:rsidR="00F2657A" w:rsidRPr="00F2657A">
        <w:rPr>
          <w:rStyle w:val="Hyperlink"/>
          <w:lang w:val="en-US"/>
        </w:rPr>
        <w:t>on violence against women</w:t>
      </w:r>
      <w:r w:rsidR="00570B2D">
        <w:rPr>
          <w:rStyle w:val="Hyperlink"/>
          <w:lang w:val="en-US"/>
        </w:rPr>
        <w:fldChar w:fldCharType="end"/>
      </w:r>
      <w:r w:rsidR="00F2657A">
        <w:rPr>
          <w:lang w:val="en-US"/>
        </w:rPr>
        <w:t xml:space="preserve"> (2014)</w:t>
      </w:r>
      <w:r>
        <w:rPr>
          <w:lang w:val="en-US"/>
        </w:rPr>
        <w:t xml:space="preserve">, page 186. </w:t>
      </w:r>
    </w:p>
  </w:footnote>
  <w:footnote w:id="6">
    <w:p w14:paraId="4BA94C0C" w14:textId="768286DD" w:rsidR="00F2657A" w:rsidRPr="00F2657A" w:rsidRDefault="00F2657A">
      <w:pPr>
        <w:pStyle w:val="FootnoteText"/>
        <w:rPr>
          <w:lang w:val="en-US"/>
        </w:rPr>
      </w:pPr>
      <w:r>
        <w:rPr>
          <w:rStyle w:val="FootnoteReference"/>
        </w:rPr>
        <w:footnoteRef/>
      </w:r>
      <w:r w:rsidRPr="00F2657A">
        <w:rPr>
          <w:lang w:val="en-US"/>
        </w:rPr>
        <w:t xml:space="preserve"> I</w:t>
      </w:r>
      <w:r>
        <w:rPr>
          <w:lang w:val="en-US"/>
        </w:rPr>
        <w:t xml:space="preserve">bid, page 187. </w:t>
      </w:r>
    </w:p>
  </w:footnote>
  <w:footnote w:id="7">
    <w:p w14:paraId="0972B57D" w14:textId="796181FA" w:rsidR="00CD6585" w:rsidRPr="00141EAA" w:rsidRDefault="00CD6585">
      <w:pPr>
        <w:pStyle w:val="FootnoteText"/>
        <w:rPr>
          <w:lang w:val="en-US"/>
        </w:rPr>
      </w:pPr>
      <w:r>
        <w:rPr>
          <w:rStyle w:val="FootnoteReference"/>
        </w:rPr>
        <w:footnoteRef/>
      </w:r>
      <w:r w:rsidRPr="00141EAA">
        <w:rPr>
          <w:lang w:val="en-US"/>
        </w:rPr>
        <w:t xml:space="preserve"> </w:t>
      </w:r>
      <w:r>
        <w:rPr>
          <w:lang w:val="en-US"/>
        </w:rPr>
        <w:t xml:space="preserve">FRA, </w:t>
      </w:r>
      <w:r w:rsidR="00570B2D">
        <w:fldChar w:fldCharType="begin"/>
      </w:r>
      <w:r w:rsidR="00570B2D" w:rsidRPr="008222D8">
        <w:rPr>
          <w:lang w:val="en-US"/>
        </w:rPr>
        <w:instrText xml:space="preserve"> HYPERLINK "https://fra.europa.eu/en/publication/2015/children-disabilities-violence" </w:instrText>
      </w:r>
      <w:r w:rsidR="00570B2D">
        <w:fldChar w:fldCharType="separate"/>
      </w:r>
      <w:r w:rsidRPr="00CD6585">
        <w:rPr>
          <w:rStyle w:val="Hyperlink"/>
          <w:lang w:val="en-US"/>
        </w:rPr>
        <w:t>Violence against children with disabilities: legislation, policies and programmes in the EU</w:t>
      </w:r>
      <w:r w:rsidR="00570B2D">
        <w:rPr>
          <w:rStyle w:val="Hyperlink"/>
          <w:lang w:val="en-US"/>
        </w:rPr>
        <w:fldChar w:fldCharType="end"/>
      </w:r>
      <w:r>
        <w:rPr>
          <w:lang w:val="en-US"/>
        </w:rPr>
        <w:t xml:space="preserve"> (2015), page 83. </w:t>
      </w:r>
    </w:p>
  </w:footnote>
  <w:footnote w:id="8">
    <w:p w14:paraId="3980871C" w14:textId="5EFBC3F4" w:rsidR="00CD6585" w:rsidRPr="00141EAA" w:rsidRDefault="00CD6585">
      <w:pPr>
        <w:pStyle w:val="FootnoteText"/>
        <w:rPr>
          <w:lang w:val="en-US"/>
        </w:rPr>
      </w:pPr>
      <w:r>
        <w:rPr>
          <w:rStyle w:val="FootnoteReference"/>
        </w:rPr>
        <w:footnoteRef/>
      </w:r>
      <w:r w:rsidRPr="00141EAA">
        <w:rPr>
          <w:lang w:val="en-US"/>
        </w:rPr>
        <w:t xml:space="preserve"> </w:t>
      </w:r>
      <w:r w:rsidR="00AF11B7" w:rsidRPr="00AF11B7">
        <w:rPr>
          <w:lang w:val="en-US"/>
        </w:rPr>
        <w:t>2 Ludwig Boltzmann Institute of Human Rights (2014), p. 27.</w:t>
      </w:r>
    </w:p>
  </w:footnote>
  <w:footnote w:id="9">
    <w:p w14:paraId="2B737AC1" w14:textId="4E15E782" w:rsidR="00AF11B7" w:rsidRPr="00141EAA" w:rsidRDefault="00AF11B7">
      <w:pPr>
        <w:pStyle w:val="FootnoteText"/>
        <w:rPr>
          <w:lang w:val="en-US"/>
        </w:rPr>
      </w:pPr>
      <w:r>
        <w:rPr>
          <w:rStyle w:val="FootnoteReference"/>
        </w:rPr>
        <w:footnoteRef/>
      </w:r>
      <w:r w:rsidRPr="00141EAA">
        <w:rPr>
          <w:lang w:val="en-US"/>
        </w:rPr>
        <w:t xml:space="preserve"> </w:t>
      </w:r>
      <w:r w:rsidRPr="00AF11B7">
        <w:rPr>
          <w:lang w:val="en-US"/>
        </w:rPr>
        <w:t xml:space="preserve">FRA, </w:t>
      </w:r>
      <w:r w:rsidR="00570B2D">
        <w:fldChar w:fldCharType="begin"/>
      </w:r>
      <w:r w:rsidR="00570B2D" w:rsidRPr="008222D8">
        <w:rPr>
          <w:lang w:val="en-US"/>
        </w:rPr>
        <w:instrText xml:space="preserve"> HYPERLINK "https://fra.europa.eu/en/publication/2015/children-disabilities-violence" </w:instrText>
      </w:r>
      <w:r w:rsidR="00570B2D">
        <w:fldChar w:fldCharType="separate"/>
      </w:r>
      <w:r w:rsidRPr="00AF11B7">
        <w:rPr>
          <w:rStyle w:val="Hyperlink"/>
          <w:lang w:val="en-US"/>
        </w:rPr>
        <w:t>Violence against children with disabilities: legislation, policies and programmes in the EU</w:t>
      </w:r>
      <w:r w:rsidR="00570B2D">
        <w:rPr>
          <w:rStyle w:val="Hyperlink"/>
          <w:lang w:val="en-US"/>
        </w:rPr>
        <w:fldChar w:fldCharType="end"/>
      </w:r>
      <w:r w:rsidRPr="00AF11B7">
        <w:rPr>
          <w:lang w:val="en-US"/>
        </w:rPr>
        <w:t xml:space="preserve"> (2015), page 83.</w:t>
      </w:r>
    </w:p>
  </w:footnote>
  <w:footnote w:id="10">
    <w:p w14:paraId="7E012A84" w14:textId="77777777" w:rsidR="00AB2160" w:rsidRPr="00044BF6" w:rsidRDefault="00AB2160" w:rsidP="00AB2160">
      <w:pPr>
        <w:pStyle w:val="FootnoteText"/>
        <w:rPr>
          <w:lang w:val="en-US"/>
        </w:rPr>
      </w:pPr>
      <w:r>
        <w:rPr>
          <w:rStyle w:val="FootnoteReference"/>
        </w:rPr>
        <w:footnoteRef/>
      </w:r>
      <w:r w:rsidRPr="00044BF6">
        <w:rPr>
          <w:lang w:val="en-US"/>
        </w:rPr>
        <w:t xml:space="preserve"> </w:t>
      </w:r>
      <w:r>
        <w:rPr>
          <w:bCs/>
          <w:iCs/>
          <w:lang w:val="en-US"/>
        </w:rPr>
        <w:t>Se</w:t>
      </w:r>
      <w:r w:rsidRPr="00044BF6">
        <w:rPr>
          <w:bCs/>
          <w:iCs/>
          <w:lang w:val="en-US"/>
        </w:rPr>
        <w:t>e European Parliament resolution 2018/2685(RSP)</w:t>
      </w:r>
    </w:p>
  </w:footnote>
  <w:footnote w:id="11">
    <w:p w14:paraId="2AF2EAEB" w14:textId="7F35B7EB" w:rsidR="005C6400" w:rsidRPr="005C6400" w:rsidRDefault="005C6400">
      <w:pPr>
        <w:pStyle w:val="FootnoteText"/>
        <w:rPr>
          <w:lang w:val="en-US"/>
        </w:rPr>
      </w:pPr>
      <w:r>
        <w:rPr>
          <w:rStyle w:val="FootnoteReference"/>
        </w:rPr>
        <w:footnoteRef/>
      </w:r>
      <w:r w:rsidRPr="005C6400">
        <w:rPr>
          <w:lang w:val="en-US"/>
        </w:rPr>
        <w:t xml:space="preserve"> </w:t>
      </w:r>
      <w:r>
        <w:rPr>
          <w:bCs/>
          <w:iCs/>
          <w:lang w:val="en-US"/>
        </w:rPr>
        <w:t>A</w:t>
      </w:r>
      <w:r w:rsidRPr="005C6400">
        <w:rPr>
          <w:bCs/>
          <w:iCs/>
          <w:lang w:val="en-US"/>
        </w:rPr>
        <w:t>t the time of their review by the Committee</w:t>
      </w:r>
      <w:r>
        <w:rPr>
          <w:bCs/>
          <w:iCs/>
          <w:lang w:val="en-US"/>
        </w:rPr>
        <w:t xml:space="preserve">. All concluding observations are available at: </w:t>
      </w:r>
      <w:r w:rsidR="00570B2D">
        <w:fldChar w:fldCharType="begin"/>
      </w:r>
      <w:r w:rsidR="00570B2D" w:rsidRPr="008222D8">
        <w:rPr>
          <w:lang w:val="en-US"/>
        </w:rPr>
        <w:instrText xml:space="preserve"> HYPERLINK "https://tbinternet.ohchr.org/_layouts/15/treatybodyexternal/TBSearch.aspx?Lang=en&amp;TreatyID=4&amp;DocTypeID=5" </w:instrText>
      </w:r>
      <w:r w:rsidR="00570B2D">
        <w:fldChar w:fldCharType="separate"/>
      </w:r>
      <w:r w:rsidR="001A33A7" w:rsidRPr="00202B07">
        <w:rPr>
          <w:rStyle w:val="Hyperlink"/>
          <w:bCs/>
          <w:iCs/>
          <w:lang w:val="en-US"/>
        </w:rPr>
        <w:t>https://tbinternet.ohchr.org/_layouts/15/treatybodyexternal/TBSearch.aspx?Lang=en&amp;TreatyID=4&amp;DocTypeID=5</w:t>
      </w:r>
      <w:r w:rsidR="00570B2D">
        <w:rPr>
          <w:rStyle w:val="Hyperlink"/>
          <w:bCs/>
          <w:iCs/>
          <w:lang w:val="en-US"/>
        </w:rPr>
        <w:fldChar w:fldCharType="end"/>
      </w:r>
      <w:r w:rsidR="001A33A7">
        <w:rPr>
          <w:bCs/>
          <w:iCs/>
          <w:lang w:val="en-US"/>
        </w:rPr>
        <w:t xml:space="preserve"> </w:t>
      </w:r>
    </w:p>
  </w:footnote>
  <w:footnote w:id="12">
    <w:p w14:paraId="68E29E5A" w14:textId="07B12FC3" w:rsidR="00480454" w:rsidRPr="00A13583" w:rsidRDefault="00480454">
      <w:pPr>
        <w:pStyle w:val="FootnoteText"/>
      </w:pPr>
      <w:r>
        <w:rPr>
          <w:rStyle w:val="FootnoteReference"/>
        </w:rPr>
        <w:footnoteRef/>
      </w:r>
      <w:r w:rsidRPr="00A13583">
        <w:t xml:space="preserve"> </w:t>
      </w:r>
      <w:r w:rsidR="00A13583" w:rsidRPr="00A13583">
        <w:t>CERMI,</w:t>
      </w:r>
      <w:r w:rsidRPr="00A13583">
        <w:t xml:space="preserve"> </w:t>
      </w:r>
      <w:hyperlink r:id="rId2" w:history="1">
        <w:r w:rsidR="00A13583" w:rsidRPr="00A13583">
          <w:rPr>
            <w:rStyle w:val="Hyperlink"/>
          </w:rPr>
          <w:t xml:space="preserve">España </w:t>
        </w:r>
        <w:r w:rsidR="00A13583" w:rsidRPr="00A13583">
          <w:rPr>
            <w:rStyle w:val="Hyperlink"/>
          </w:rPr>
          <w:t>ilegaliza las esterilizaciones forzadas de personas con discapacidad en la víspera de su día internacional</w:t>
        </w:r>
      </w:hyperlink>
      <w:r w:rsidR="00A13583">
        <w:t xml:space="preserve"> (3 December 2020) </w:t>
      </w:r>
    </w:p>
  </w:footnote>
  <w:footnote w:id="13">
    <w:p w14:paraId="541D096B" w14:textId="574290A4" w:rsidR="00A13583" w:rsidRPr="00A13583" w:rsidRDefault="00A13583">
      <w:pPr>
        <w:pStyle w:val="FootnoteText"/>
      </w:pPr>
      <w:r>
        <w:rPr>
          <w:rStyle w:val="FootnoteReference"/>
        </w:rPr>
        <w:footnoteRef/>
      </w:r>
      <w:r w:rsidRPr="00A13583">
        <w:t xml:space="preserve"> </w:t>
      </w:r>
      <w:hyperlink r:id="rId3" w:history="1">
        <w:r w:rsidRPr="00A13583">
          <w:rPr>
            <w:rStyle w:val="Hyperlink"/>
          </w:rPr>
          <w:t xml:space="preserve">Contribution écrite remise au GREVIO par le </w:t>
        </w:r>
        <w:r w:rsidRPr="00A13583">
          <w:rPr>
            <w:rStyle w:val="Hyperlink"/>
          </w:rPr>
          <w:t>Belgian Disability Forum (BDF) asbl dans le cadre du processus d’évaluation des mesures prises par la Belgique pour mettre en œuvre la Convention d’Istanbul</w:t>
        </w:r>
      </w:hyperlink>
    </w:p>
  </w:footnote>
  <w:footnote w:id="14">
    <w:p w14:paraId="7747F422" w14:textId="4A271A11" w:rsidR="00480454" w:rsidRPr="00480454" w:rsidRDefault="00480454" w:rsidP="00480454">
      <w:pPr>
        <w:pStyle w:val="FootnoteText"/>
        <w:rPr>
          <w:lang w:val="en-US"/>
        </w:rPr>
      </w:pPr>
      <w:r>
        <w:rPr>
          <w:rStyle w:val="FootnoteReference"/>
        </w:rPr>
        <w:footnoteRef/>
      </w:r>
      <w:r w:rsidRPr="00480454">
        <w:rPr>
          <w:lang w:val="en-US"/>
        </w:rPr>
        <w:t xml:space="preserve"> </w:t>
      </w:r>
      <w:r>
        <w:rPr>
          <w:lang w:val="en-US"/>
        </w:rPr>
        <w:t xml:space="preserve">EDF and CERMI Mujeres Fundacion, </w:t>
      </w:r>
      <w:r w:rsidR="00570B2D">
        <w:fldChar w:fldCharType="begin"/>
      </w:r>
      <w:r w:rsidR="00570B2D" w:rsidRPr="008222D8">
        <w:rPr>
          <w:lang w:val="en-US"/>
        </w:rPr>
        <w:instrText xml:space="preserve"> HYPERLINK "https://www.edf-feph.org/content/uploads/2020/12/edf_forced-sterilisation_8-accessible_6.pdf" </w:instrText>
      </w:r>
      <w:r w:rsidR="00570B2D">
        <w:fldChar w:fldCharType="separate"/>
      </w:r>
      <w:r w:rsidRPr="00480454">
        <w:rPr>
          <w:rStyle w:val="Hyperlink"/>
          <w:lang w:val="en-US"/>
        </w:rPr>
        <w:t>Ending forced sterilisation of women and girls with disabilities</w:t>
      </w:r>
      <w:r w:rsidR="00570B2D">
        <w:rPr>
          <w:rStyle w:val="Hyperlink"/>
          <w:lang w:val="en-US"/>
        </w:rPr>
        <w:fldChar w:fldCharType="end"/>
      </w:r>
      <w:r>
        <w:rPr>
          <w:lang w:val="en-US"/>
        </w:rPr>
        <w:t xml:space="preserve"> (2017) </w:t>
      </w:r>
    </w:p>
  </w:footnote>
  <w:footnote w:id="15">
    <w:p w14:paraId="216DD291" w14:textId="3E41B1B2" w:rsidR="00F2657A" w:rsidRPr="00F2657A" w:rsidRDefault="00F2657A">
      <w:pPr>
        <w:pStyle w:val="FootnoteText"/>
        <w:rPr>
          <w:lang w:val="en-US"/>
        </w:rPr>
      </w:pPr>
      <w:r>
        <w:rPr>
          <w:rStyle w:val="FootnoteReference"/>
        </w:rPr>
        <w:footnoteRef/>
      </w:r>
      <w:r w:rsidRPr="00F2657A">
        <w:rPr>
          <w:lang w:val="en-US"/>
        </w:rPr>
        <w:t xml:space="preserve"> </w:t>
      </w:r>
      <w:r>
        <w:rPr>
          <w:lang w:val="en-US"/>
        </w:rPr>
        <w:t xml:space="preserve">FRA, </w:t>
      </w:r>
      <w:r w:rsidR="00570B2D">
        <w:fldChar w:fldCharType="begin"/>
      </w:r>
      <w:r w:rsidR="00570B2D" w:rsidRPr="008222D8">
        <w:rPr>
          <w:lang w:val="en-US"/>
        </w:rPr>
        <w:instrText xml:space="preserve"> HYPERLINK "https://fra.europa.eu/sites/default/files/fra_uploads/fra-2014-vaw-survey-main-results-apr14_en.pdf" </w:instrText>
      </w:r>
      <w:r w:rsidR="00570B2D">
        <w:fldChar w:fldCharType="separate"/>
      </w:r>
      <w:r w:rsidRPr="00F2657A">
        <w:rPr>
          <w:rStyle w:val="Hyperlink"/>
          <w:lang w:val="en-US"/>
        </w:rPr>
        <w:t>Survey on violence against women</w:t>
      </w:r>
      <w:r w:rsidR="00570B2D">
        <w:rPr>
          <w:rStyle w:val="Hyperlink"/>
          <w:lang w:val="en-US"/>
        </w:rPr>
        <w:fldChar w:fldCharType="end"/>
      </w:r>
      <w:r>
        <w:rPr>
          <w:lang w:val="en-US"/>
        </w:rPr>
        <w:t xml:space="preserve"> (2014), page 187. </w:t>
      </w:r>
    </w:p>
  </w:footnote>
  <w:footnote w:id="16">
    <w:p w14:paraId="00EA24AF" w14:textId="13D86496" w:rsidR="00432058" w:rsidRPr="00432058" w:rsidRDefault="00432058" w:rsidP="00432058">
      <w:pPr>
        <w:pStyle w:val="FootnoteText"/>
        <w:rPr>
          <w:lang w:val="en-US"/>
        </w:rPr>
      </w:pPr>
      <w:r>
        <w:rPr>
          <w:rStyle w:val="FootnoteReference"/>
        </w:rPr>
        <w:footnoteRef/>
      </w:r>
      <w:r w:rsidRPr="00432058">
        <w:rPr>
          <w:lang w:val="en-US"/>
        </w:rPr>
        <w:t xml:space="preserve"> </w:t>
      </w:r>
      <w:r>
        <w:rPr>
          <w:lang w:val="en-US"/>
        </w:rPr>
        <w:t xml:space="preserve">UN Women, </w:t>
      </w:r>
      <w:r w:rsidR="00570B2D">
        <w:fldChar w:fldCharType="begin"/>
      </w:r>
      <w:r w:rsidR="00570B2D" w:rsidRPr="008222D8">
        <w:rPr>
          <w:lang w:val="en-US"/>
        </w:rPr>
        <w:instrText xml:space="preserve"> HYPERLINK "https://www.unwomen.org/-/media/headquarters/attachments/section</w:instrText>
      </w:r>
      <w:r w:rsidR="00570B2D" w:rsidRPr="008222D8">
        <w:rPr>
          <w:lang w:val="en-US"/>
        </w:rPr>
        <w:instrText xml:space="preserve">s/library/publications/2020/discussion-paper-sexual-harassment-against-women-with-disabilities-en.pdf?la=en&amp;vs=1256" </w:instrText>
      </w:r>
      <w:r w:rsidR="00570B2D">
        <w:fldChar w:fldCharType="separate"/>
      </w:r>
      <w:r w:rsidRPr="00432058">
        <w:rPr>
          <w:rStyle w:val="Hyperlink"/>
          <w:lang w:val="en-US"/>
        </w:rPr>
        <w:t>Sexual harassment against women with disabilities in the world of work and on campus</w:t>
      </w:r>
      <w:r w:rsidR="00570B2D">
        <w:rPr>
          <w:rStyle w:val="Hyperlink"/>
          <w:lang w:val="en-US"/>
        </w:rPr>
        <w:fldChar w:fldCharType="end"/>
      </w:r>
      <w:r w:rsidRPr="00432058">
        <w:rPr>
          <w:lang w:val="en-US"/>
        </w:rPr>
        <w:t xml:space="preserve"> </w:t>
      </w:r>
      <w:r>
        <w:rPr>
          <w:lang w:val="en-US"/>
        </w:rPr>
        <w:t xml:space="preserve">(2020). </w:t>
      </w:r>
    </w:p>
  </w:footnote>
  <w:footnote w:id="17">
    <w:p w14:paraId="741E07E4" w14:textId="05150B0C" w:rsidR="00891A31" w:rsidRPr="00891A31" w:rsidRDefault="00891A31">
      <w:pPr>
        <w:pStyle w:val="FootnoteText"/>
        <w:rPr>
          <w:lang w:val="en-US"/>
        </w:rPr>
      </w:pPr>
      <w:r>
        <w:rPr>
          <w:rStyle w:val="FootnoteReference"/>
        </w:rPr>
        <w:footnoteRef/>
      </w:r>
      <w:r w:rsidRPr="00891A31">
        <w:rPr>
          <w:lang w:val="en-US"/>
        </w:rPr>
        <w:t xml:space="preserve"> </w:t>
      </w:r>
      <w:r>
        <w:rPr>
          <w:lang w:val="en-US"/>
        </w:rPr>
        <w:t xml:space="preserve">Inclusion Europe, </w:t>
      </w:r>
      <w:r w:rsidR="00570B2D">
        <w:fldChar w:fldCharType="begin"/>
      </w:r>
      <w:r w:rsidR="00570B2D" w:rsidRPr="008222D8">
        <w:rPr>
          <w:lang w:val="en-US"/>
        </w:rPr>
        <w:instrText xml:space="preserve"> HYPERLINK "https://www.inclusion-europe.eu/wp-content/uploads/2019/02/LAV-Publication_web.pdf" </w:instrText>
      </w:r>
      <w:r w:rsidR="00570B2D">
        <w:fldChar w:fldCharType="separate"/>
      </w:r>
      <w:r w:rsidRPr="00891A31">
        <w:rPr>
          <w:rStyle w:val="Hyperlink"/>
          <w:lang w:val="en-US"/>
        </w:rPr>
        <w:t>Life after violence</w:t>
      </w:r>
      <w:r w:rsidR="00570B2D">
        <w:rPr>
          <w:rStyle w:val="Hyperlink"/>
          <w:lang w:val="en-US"/>
        </w:rPr>
        <w:fldChar w:fldCharType="end"/>
      </w:r>
      <w:r>
        <w:rPr>
          <w:lang w:val="en-US"/>
        </w:rPr>
        <w:t xml:space="preserve"> (2018). </w:t>
      </w:r>
    </w:p>
  </w:footnote>
  <w:footnote w:id="18">
    <w:p w14:paraId="375BC223" w14:textId="77777777" w:rsidR="00D472D2" w:rsidRPr="00286C00" w:rsidRDefault="00D472D2" w:rsidP="00D472D2">
      <w:pPr>
        <w:pStyle w:val="FootnoteText"/>
        <w:rPr>
          <w:lang w:val="en-US"/>
        </w:rPr>
      </w:pPr>
      <w:r>
        <w:rPr>
          <w:rStyle w:val="FootnoteReference"/>
        </w:rPr>
        <w:footnoteRef/>
      </w:r>
      <w:r w:rsidRPr="00286C00">
        <w:rPr>
          <w:lang w:val="en-US"/>
        </w:rPr>
        <w:t xml:space="preserve"> </w:t>
      </w:r>
      <w:r>
        <w:rPr>
          <w:lang w:val="en-US"/>
        </w:rPr>
        <w:t xml:space="preserve">GREVIO, </w:t>
      </w:r>
      <w:r w:rsidR="00570B2D">
        <w:fldChar w:fldCharType="begin"/>
      </w:r>
      <w:r w:rsidR="00570B2D" w:rsidRPr="008222D8">
        <w:rPr>
          <w:lang w:val="en-US"/>
        </w:rPr>
        <w:instrText xml:space="preserve"> HYPERLINK "https://rm.coe.int/grevio-report-on-belgium/16809f9a2c" </w:instrText>
      </w:r>
      <w:r w:rsidR="00570B2D">
        <w:fldChar w:fldCharType="separate"/>
      </w:r>
      <w:r w:rsidRPr="00286C00">
        <w:rPr>
          <w:rStyle w:val="Hyperlink"/>
          <w:lang w:val="en-US"/>
        </w:rPr>
        <w:t>Baseline Evaluation Report on Belgium</w:t>
      </w:r>
      <w:r w:rsidR="00570B2D">
        <w:rPr>
          <w:rStyle w:val="Hyperlink"/>
          <w:lang w:val="en-US"/>
        </w:rPr>
        <w:fldChar w:fldCharType="end"/>
      </w:r>
      <w:r>
        <w:rPr>
          <w:lang w:val="en-US"/>
        </w:rPr>
        <w:t xml:space="preserve"> (2019), para. 92. </w:t>
      </w:r>
    </w:p>
  </w:footnote>
  <w:footnote w:id="19">
    <w:p w14:paraId="737FBED8" w14:textId="3A4D70BB" w:rsidR="004E5BF4" w:rsidRPr="004E5BF4" w:rsidRDefault="004E5BF4" w:rsidP="004E5BF4">
      <w:pPr>
        <w:pStyle w:val="FootnoteText"/>
        <w:rPr>
          <w:lang w:val="en-US"/>
        </w:rPr>
      </w:pPr>
      <w:r>
        <w:rPr>
          <w:rStyle w:val="FootnoteReference"/>
        </w:rPr>
        <w:footnoteRef/>
      </w:r>
      <w:r w:rsidRPr="004E5BF4">
        <w:rPr>
          <w:lang w:val="en-US"/>
        </w:rPr>
        <w:t xml:space="preserve"> GREVIO</w:t>
      </w:r>
      <w:r>
        <w:rPr>
          <w:lang w:val="en-US"/>
        </w:rPr>
        <w:t xml:space="preserve">, </w:t>
      </w:r>
      <w:r w:rsidR="00570B2D">
        <w:fldChar w:fldCharType="begin"/>
      </w:r>
      <w:r w:rsidR="00570B2D" w:rsidRPr="008222D8">
        <w:rPr>
          <w:lang w:val="en-US"/>
        </w:rPr>
        <w:instrText xml:space="preserve"> HYPERLINK "https://rm.coe.int/grevio-first-baseline-report-on-denmark/16807688ae" </w:instrText>
      </w:r>
      <w:r w:rsidR="00570B2D">
        <w:fldChar w:fldCharType="separate"/>
      </w:r>
      <w:r w:rsidRPr="004E5BF4">
        <w:rPr>
          <w:rStyle w:val="Hyperlink"/>
          <w:lang w:val="en-US"/>
        </w:rPr>
        <w:t>Baseline Evaluation Report on Denmark</w:t>
      </w:r>
      <w:r w:rsidR="00570B2D">
        <w:rPr>
          <w:rStyle w:val="Hyperlink"/>
          <w:lang w:val="en-US"/>
        </w:rPr>
        <w:fldChar w:fldCharType="end"/>
      </w:r>
      <w:r>
        <w:rPr>
          <w:lang w:val="en-US"/>
        </w:rPr>
        <w:t xml:space="preserve"> (2017). </w:t>
      </w:r>
    </w:p>
  </w:footnote>
  <w:footnote w:id="20">
    <w:p w14:paraId="67D31C82" w14:textId="2DD601CA" w:rsidR="0017210F" w:rsidRPr="0017210F" w:rsidRDefault="0017210F">
      <w:pPr>
        <w:pStyle w:val="FootnoteText"/>
        <w:rPr>
          <w:lang w:val="en-US"/>
        </w:rPr>
      </w:pPr>
      <w:r>
        <w:rPr>
          <w:rStyle w:val="FootnoteReference"/>
        </w:rPr>
        <w:footnoteRef/>
      </w:r>
      <w:r w:rsidRPr="0017210F">
        <w:rPr>
          <w:lang w:val="en-US"/>
        </w:rPr>
        <w:t xml:space="preserve"> </w:t>
      </w:r>
      <w:r>
        <w:rPr>
          <w:lang w:val="en-US"/>
        </w:rPr>
        <w:t xml:space="preserve">For example, </w:t>
      </w:r>
      <w:r w:rsidR="00570B2D">
        <w:fldChar w:fldCharType="begin"/>
      </w:r>
      <w:r w:rsidR="00570B2D" w:rsidRPr="008222D8">
        <w:rPr>
          <w:lang w:val="en-US"/>
        </w:rPr>
        <w:instrText xml:space="preserve"> HYPERLINK "https://rm.coe.int/grevio-report-austria-1st-evaluation/1680759619" </w:instrText>
      </w:r>
      <w:r w:rsidR="00570B2D">
        <w:fldChar w:fldCharType="separate"/>
      </w:r>
      <w:r w:rsidRPr="0017210F">
        <w:rPr>
          <w:rStyle w:val="Hyperlink"/>
          <w:lang w:val="en-US"/>
        </w:rPr>
        <w:t>GREVIO report on Austria</w:t>
      </w:r>
      <w:r w:rsidR="00570B2D">
        <w:rPr>
          <w:rStyle w:val="Hyperlink"/>
          <w:lang w:val="en-US"/>
        </w:rPr>
        <w:fldChar w:fldCharType="end"/>
      </w:r>
      <w:r>
        <w:rPr>
          <w:lang w:val="en-US"/>
        </w:rPr>
        <w:t xml:space="preserve"> raised concerns about women with psychosocial disabilities being denied access to shelters. Similar concerns were raised by the CRPD Committee in relation to Spain. </w:t>
      </w:r>
    </w:p>
  </w:footnote>
  <w:footnote w:id="21">
    <w:p w14:paraId="7376047C" w14:textId="6CFE0BFC" w:rsidR="00FE5F1E" w:rsidRPr="004E68FA" w:rsidRDefault="00FE5F1E">
      <w:pPr>
        <w:pStyle w:val="FootnoteText"/>
        <w:rPr>
          <w:lang w:val="en-US"/>
        </w:rPr>
      </w:pPr>
      <w:r>
        <w:rPr>
          <w:rStyle w:val="FootnoteReference"/>
        </w:rPr>
        <w:footnoteRef/>
      </w:r>
      <w:r w:rsidRPr="004E68FA">
        <w:rPr>
          <w:lang w:val="en-US"/>
        </w:rPr>
        <w:t xml:space="preserve"> </w:t>
      </w:r>
      <w:r w:rsidR="004E68FA" w:rsidRPr="004E68FA">
        <w:rPr>
          <w:lang w:val="en-US"/>
        </w:rPr>
        <w:t>22% of women with disabilities are at risk of poverty, comparing to 15.9% of women without disabilities</w:t>
      </w:r>
      <w:r w:rsidR="004E68FA">
        <w:rPr>
          <w:lang w:val="en-US"/>
        </w:rPr>
        <w:t xml:space="preserve"> (Gender Equality Index 2020). </w:t>
      </w:r>
    </w:p>
  </w:footnote>
  <w:footnote w:id="22">
    <w:p w14:paraId="0C1F39C1" w14:textId="61DFE6FB" w:rsidR="00FE5F1E" w:rsidRPr="00FE5F1E" w:rsidRDefault="00FE5F1E">
      <w:pPr>
        <w:pStyle w:val="FootnoteText"/>
        <w:rPr>
          <w:lang w:val="en-US"/>
        </w:rPr>
      </w:pPr>
      <w:r>
        <w:rPr>
          <w:rStyle w:val="FootnoteReference"/>
        </w:rPr>
        <w:footnoteRef/>
      </w:r>
      <w:r w:rsidRPr="00FE5F1E">
        <w:rPr>
          <w:lang w:val="en-US"/>
        </w:rPr>
        <w:t xml:space="preserve"> </w:t>
      </w:r>
      <w:r w:rsidR="00570B2D">
        <w:fldChar w:fldCharType="begin"/>
      </w:r>
      <w:r w:rsidR="00570B2D" w:rsidRPr="008222D8">
        <w:rPr>
          <w:lang w:val="en-US"/>
        </w:rPr>
        <w:instrText xml:space="preserve"> HYPERLINK "https://rm.coe.int/finland-ngo-parallel-report-of-the-istanbul-convention-for-grevio/16</w:instrText>
      </w:r>
      <w:r w:rsidR="00570B2D" w:rsidRPr="008222D8">
        <w:rPr>
          <w:lang w:val="en-US"/>
        </w:rPr>
        <w:instrText xml:space="preserve">808add7e" </w:instrText>
      </w:r>
      <w:r w:rsidR="00570B2D">
        <w:fldChar w:fldCharType="separate"/>
      </w:r>
      <w:r w:rsidR="004E68FA" w:rsidRPr="004E68FA">
        <w:rPr>
          <w:rStyle w:val="Hyperlink"/>
          <w:lang w:val="en-US"/>
        </w:rPr>
        <w:t>NGO Parallel Report on the implementation of the Istanbul Convention in Finland</w:t>
      </w:r>
      <w:r w:rsidR="00570B2D">
        <w:rPr>
          <w:rStyle w:val="Hyperlink"/>
          <w:lang w:val="en-US"/>
        </w:rPr>
        <w:fldChar w:fldCharType="end"/>
      </w:r>
      <w:r w:rsidR="004E68FA">
        <w:rPr>
          <w:lang w:val="en-US"/>
        </w:rPr>
        <w:t xml:space="preserve"> (2018), page 21. </w:t>
      </w:r>
    </w:p>
  </w:footnote>
  <w:footnote w:id="23">
    <w:p w14:paraId="07DAB7AD" w14:textId="0AA3196F" w:rsidR="0006631A" w:rsidRPr="0006631A" w:rsidRDefault="0006631A">
      <w:pPr>
        <w:pStyle w:val="FootnoteText"/>
        <w:rPr>
          <w:lang w:val="en-US"/>
        </w:rPr>
      </w:pPr>
      <w:r>
        <w:rPr>
          <w:rStyle w:val="FootnoteReference"/>
        </w:rPr>
        <w:footnoteRef/>
      </w:r>
      <w:r w:rsidRPr="0006631A">
        <w:rPr>
          <w:lang w:val="en-US"/>
        </w:rPr>
        <w:t xml:space="preserve"> GREVIO, </w:t>
      </w:r>
      <w:r w:rsidR="00570B2D">
        <w:fldChar w:fldCharType="begin"/>
      </w:r>
      <w:r w:rsidR="00570B2D" w:rsidRPr="008222D8">
        <w:rPr>
          <w:lang w:val="en-US"/>
        </w:rPr>
        <w:instrText xml:space="preserve"> HYPERLINK "https://rm.coe.int/grevio-first-baseline-report-on-denmark/16807688ae" </w:instrText>
      </w:r>
      <w:r w:rsidR="00570B2D">
        <w:fldChar w:fldCharType="separate"/>
      </w:r>
      <w:r w:rsidRPr="0006631A">
        <w:rPr>
          <w:rStyle w:val="Hyperlink"/>
          <w:lang w:val="en-US"/>
        </w:rPr>
        <w:t>Baseline Evaluation Report on Denmark</w:t>
      </w:r>
      <w:r w:rsidR="00570B2D">
        <w:rPr>
          <w:rStyle w:val="Hyperlink"/>
          <w:lang w:val="en-US"/>
        </w:rPr>
        <w:fldChar w:fldCharType="end"/>
      </w:r>
      <w:r w:rsidRPr="0006631A">
        <w:rPr>
          <w:lang w:val="en-US"/>
        </w:rPr>
        <w:t xml:space="preserve"> (2017)</w:t>
      </w:r>
      <w:r>
        <w:rPr>
          <w:lang w:val="en-US"/>
        </w:rPr>
        <w:t xml:space="preserve">, paras. 167 and 169.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726E" w14:textId="1C1C2B04" w:rsidR="002E1C31" w:rsidRDefault="002E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107" w14:textId="7FAB0507" w:rsidR="002E1C31" w:rsidRDefault="002E1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6D0" w14:textId="55258996" w:rsidR="002E1C31" w:rsidRDefault="002E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21"/>
    <w:multiLevelType w:val="hybridMultilevel"/>
    <w:tmpl w:val="D164A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52057"/>
    <w:multiLevelType w:val="hybridMultilevel"/>
    <w:tmpl w:val="B04CDB0C"/>
    <w:lvl w:ilvl="0" w:tplc="528C27F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8262B6"/>
    <w:multiLevelType w:val="hybridMultilevel"/>
    <w:tmpl w:val="2E282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422B0E"/>
    <w:multiLevelType w:val="hybridMultilevel"/>
    <w:tmpl w:val="E756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27BD6"/>
    <w:multiLevelType w:val="hybridMultilevel"/>
    <w:tmpl w:val="1332B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381727"/>
    <w:multiLevelType w:val="hybridMultilevel"/>
    <w:tmpl w:val="DED8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1359A8"/>
    <w:multiLevelType w:val="hybridMultilevel"/>
    <w:tmpl w:val="48E4D774"/>
    <w:lvl w:ilvl="0" w:tplc="B4DA9B6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2B543D"/>
    <w:multiLevelType w:val="hybridMultilevel"/>
    <w:tmpl w:val="F530F618"/>
    <w:lvl w:ilvl="0" w:tplc="080C0001">
      <w:start w:val="1"/>
      <w:numFmt w:val="bullet"/>
      <w:lvlText w:val=""/>
      <w:lvlJc w:val="left"/>
      <w:pPr>
        <w:ind w:left="810" w:hanging="360"/>
      </w:pPr>
      <w:rPr>
        <w:rFonts w:ascii="Symbol" w:hAnsi="Symbol" w:hint="default"/>
      </w:rPr>
    </w:lvl>
    <w:lvl w:ilvl="1" w:tplc="080C0003" w:tentative="1">
      <w:start w:val="1"/>
      <w:numFmt w:val="bullet"/>
      <w:lvlText w:val="o"/>
      <w:lvlJc w:val="left"/>
      <w:pPr>
        <w:ind w:left="1530" w:hanging="360"/>
      </w:pPr>
      <w:rPr>
        <w:rFonts w:ascii="Courier New" w:hAnsi="Courier New" w:cs="Courier New" w:hint="default"/>
      </w:rPr>
    </w:lvl>
    <w:lvl w:ilvl="2" w:tplc="080C0005" w:tentative="1">
      <w:start w:val="1"/>
      <w:numFmt w:val="bullet"/>
      <w:lvlText w:val=""/>
      <w:lvlJc w:val="left"/>
      <w:pPr>
        <w:ind w:left="2250" w:hanging="360"/>
      </w:pPr>
      <w:rPr>
        <w:rFonts w:ascii="Wingdings" w:hAnsi="Wingdings" w:hint="default"/>
      </w:rPr>
    </w:lvl>
    <w:lvl w:ilvl="3" w:tplc="080C0001" w:tentative="1">
      <w:start w:val="1"/>
      <w:numFmt w:val="bullet"/>
      <w:lvlText w:val=""/>
      <w:lvlJc w:val="left"/>
      <w:pPr>
        <w:ind w:left="2970" w:hanging="360"/>
      </w:pPr>
      <w:rPr>
        <w:rFonts w:ascii="Symbol" w:hAnsi="Symbol" w:hint="default"/>
      </w:rPr>
    </w:lvl>
    <w:lvl w:ilvl="4" w:tplc="080C0003" w:tentative="1">
      <w:start w:val="1"/>
      <w:numFmt w:val="bullet"/>
      <w:lvlText w:val="o"/>
      <w:lvlJc w:val="left"/>
      <w:pPr>
        <w:ind w:left="3690" w:hanging="360"/>
      </w:pPr>
      <w:rPr>
        <w:rFonts w:ascii="Courier New" w:hAnsi="Courier New" w:cs="Courier New" w:hint="default"/>
      </w:rPr>
    </w:lvl>
    <w:lvl w:ilvl="5" w:tplc="080C0005" w:tentative="1">
      <w:start w:val="1"/>
      <w:numFmt w:val="bullet"/>
      <w:lvlText w:val=""/>
      <w:lvlJc w:val="left"/>
      <w:pPr>
        <w:ind w:left="4410" w:hanging="360"/>
      </w:pPr>
      <w:rPr>
        <w:rFonts w:ascii="Wingdings" w:hAnsi="Wingdings" w:hint="default"/>
      </w:rPr>
    </w:lvl>
    <w:lvl w:ilvl="6" w:tplc="080C0001" w:tentative="1">
      <w:start w:val="1"/>
      <w:numFmt w:val="bullet"/>
      <w:lvlText w:val=""/>
      <w:lvlJc w:val="left"/>
      <w:pPr>
        <w:ind w:left="5130" w:hanging="360"/>
      </w:pPr>
      <w:rPr>
        <w:rFonts w:ascii="Symbol" w:hAnsi="Symbol" w:hint="default"/>
      </w:rPr>
    </w:lvl>
    <w:lvl w:ilvl="7" w:tplc="080C0003" w:tentative="1">
      <w:start w:val="1"/>
      <w:numFmt w:val="bullet"/>
      <w:lvlText w:val="o"/>
      <w:lvlJc w:val="left"/>
      <w:pPr>
        <w:ind w:left="5850" w:hanging="360"/>
      </w:pPr>
      <w:rPr>
        <w:rFonts w:ascii="Courier New" w:hAnsi="Courier New" w:cs="Courier New" w:hint="default"/>
      </w:rPr>
    </w:lvl>
    <w:lvl w:ilvl="8" w:tplc="080C0005" w:tentative="1">
      <w:start w:val="1"/>
      <w:numFmt w:val="bullet"/>
      <w:lvlText w:val=""/>
      <w:lvlJc w:val="left"/>
      <w:pPr>
        <w:ind w:left="6570" w:hanging="360"/>
      </w:pPr>
      <w:rPr>
        <w:rFonts w:ascii="Wingdings" w:hAnsi="Wingdings" w:hint="default"/>
      </w:rPr>
    </w:lvl>
  </w:abstractNum>
  <w:abstractNum w:abstractNumId="9" w15:restartNumberingAfterBreak="0">
    <w:nsid w:val="4EF97C23"/>
    <w:multiLevelType w:val="hybridMultilevel"/>
    <w:tmpl w:val="5C76A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2EC5D38"/>
    <w:multiLevelType w:val="hybridMultilevel"/>
    <w:tmpl w:val="F28EF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6286603"/>
    <w:multiLevelType w:val="hybridMultilevel"/>
    <w:tmpl w:val="8E828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E539AD"/>
    <w:multiLevelType w:val="hybridMultilevel"/>
    <w:tmpl w:val="109A5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0"/>
  </w:num>
  <w:num w:numId="6">
    <w:abstractNumId w:val="7"/>
  </w:num>
  <w:num w:numId="7">
    <w:abstractNumId w:val="5"/>
  </w:num>
  <w:num w:numId="8">
    <w:abstractNumId w:val="2"/>
  </w:num>
  <w:num w:numId="9">
    <w:abstractNumId w:val="9"/>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245A"/>
    <w:rsid w:val="00043884"/>
    <w:rsid w:val="00044BF6"/>
    <w:rsid w:val="00046C71"/>
    <w:rsid w:val="00054D5A"/>
    <w:rsid w:val="0006631A"/>
    <w:rsid w:val="00071EFB"/>
    <w:rsid w:val="00074559"/>
    <w:rsid w:val="00074BC0"/>
    <w:rsid w:val="00077A4B"/>
    <w:rsid w:val="0008516E"/>
    <w:rsid w:val="000D01BC"/>
    <w:rsid w:val="000D37E5"/>
    <w:rsid w:val="000F5954"/>
    <w:rsid w:val="00141EAA"/>
    <w:rsid w:val="00161D94"/>
    <w:rsid w:val="00167341"/>
    <w:rsid w:val="0017210F"/>
    <w:rsid w:val="00185A3C"/>
    <w:rsid w:val="00187E62"/>
    <w:rsid w:val="001A33A7"/>
    <w:rsid w:val="001B4796"/>
    <w:rsid w:val="001C483A"/>
    <w:rsid w:val="001D082F"/>
    <w:rsid w:val="001E0F08"/>
    <w:rsid w:val="00200D62"/>
    <w:rsid w:val="00234DE1"/>
    <w:rsid w:val="002476F8"/>
    <w:rsid w:val="002618DF"/>
    <w:rsid w:val="0027113B"/>
    <w:rsid w:val="00281475"/>
    <w:rsid w:val="00282B80"/>
    <w:rsid w:val="00286C00"/>
    <w:rsid w:val="002B3494"/>
    <w:rsid w:val="002E1C31"/>
    <w:rsid w:val="002E4890"/>
    <w:rsid w:val="002E5B3B"/>
    <w:rsid w:val="00355289"/>
    <w:rsid w:val="00360A10"/>
    <w:rsid w:val="0037728B"/>
    <w:rsid w:val="003B0B49"/>
    <w:rsid w:val="003B7E0E"/>
    <w:rsid w:val="003C58ED"/>
    <w:rsid w:val="003C78D1"/>
    <w:rsid w:val="003D1BF3"/>
    <w:rsid w:val="003F7C85"/>
    <w:rsid w:val="0040111C"/>
    <w:rsid w:val="004136FE"/>
    <w:rsid w:val="00432058"/>
    <w:rsid w:val="004362A5"/>
    <w:rsid w:val="004440F5"/>
    <w:rsid w:val="004515C5"/>
    <w:rsid w:val="00480454"/>
    <w:rsid w:val="004911A3"/>
    <w:rsid w:val="004930B0"/>
    <w:rsid w:val="004972CD"/>
    <w:rsid w:val="004D4FFB"/>
    <w:rsid w:val="004E5BF4"/>
    <w:rsid w:val="004E68FA"/>
    <w:rsid w:val="004F260F"/>
    <w:rsid w:val="004F50ED"/>
    <w:rsid w:val="00521C5D"/>
    <w:rsid w:val="00532007"/>
    <w:rsid w:val="00541EBA"/>
    <w:rsid w:val="0056104A"/>
    <w:rsid w:val="00565062"/>
    <w:rsid w:val="00570B2D"/>
    <w:rsid w:val="005736B0"/>
    <w:rsid w:val="00573E19"/>
    <w:rsid w:val="005A0573"/>
    <w:rsid w:val="005B01F0"/>
    <w:rsid w:val="005C4FB5"/>
    <w:rsid w:val="005C6400"/>
    <w:rsid w:val="005D414D"/>
    <w:rsid w:val="005D6392"/>
    <w:rsid w:val="005F4689"/>
    <w:rsid w:val="005F4FD4"/>
    <w:rsid w:val="00606390"/>
    <w:rsid w:val="00615D31"/>
    <w:rsid w:val="00643E4C"/>
    <w:rsid w:val="00645623"/>
    <w:rsid w:val="00646135"/>
    <w:rsid w:val="00680EAF"/>
    <w:rsid w:val="00690EE5"/>
    <w:rsid w:val="006A6BD9"/>
    <w:rsid w:val="006B2132"/>
    <w:rsid w:val="006C0E2C"/>
    <w:rsid w:val="006C1A26"/>
    <w:rsid w:val="006D0B23"/>
    <w:rsid w:val="006E7279"/>
    <w:rsid w:val="00710AEC"/>
    <w:rsid w:val="007175FB"/>
    <w:rsid w:val="0074666F"/>
    <w:rsid w:val="007C43EF"/>
    <w:rsid w:val="007C64AD"/>
    <w:rsid w:val="007C7CD3"/>
    <w:rsid w:val="007D20C6"/>
    <w:rsid w:val="007E19D7"/>
    <w:rsid w:val="008054A7"/>
    <w:rsid w:val="008065A5"/>
    <w:rsid w:val="008222D8"/>
    <w:rsid w:val="008302DB"/>
    <w:rsid w:val="008728DB"/>
    <w:rsid w:val="00891A31"/>
    <w:rsid w:val="008B6E99"/>
    <w:rsid w:val="008F5129"/>
    <w:rsid w:val="009277BC"/>
    <w:rsid w:val="00933D86"/>
    <w:rsid w:val="00944620"/>
    <w:rsid w:val="00952780"/>
    <w:rsid w:val="0097039E"/>
    <w:rsid w:val="009C5D57"/>
    <w:rsid w:val="009C60EE"/>
    <w:rsid w:val="00A13583"/>
    <w:rsid w:val="00A45A7A"/>
    <w:rsid w:val="00A650DA"/>
    <w:rsid w:val="00A71423"/>
    <w:rsid w:val="00A91943"/>
    <w:rsid w:val="00A9576D"/>
    <w:rsid w:val="00AA5D8C"/>
    <w:rsid w:val="00AB2160"/>
    <w:rsid w:val="00AD55B8"/>
    <w:rsid w:val="00AF11B7"/>
    <w:rsid w:val="00AF7753"/>
    <w:rsid w:val="00B30927"/>
    <w:rsid w:val="00B312ED"/>
    <w:rsid w:val="00B35CFC"/>
    <w:rsid w:val="00B515CD"/>
    <w:rsid w:val="00B63EC6"/>
    <w:rsid w:val="00B643E0"/>
    <w:rsid w:val="00B9398C"/>
    <w:rsid w:val="00B95719"/>
    <w:rsid w:val="00BA2513"/>
    <w:rsid w:val="00BC6032"/>
    <w:rsid w:val="00BD1B66"/>
    <w:rsid w:val="00BF56E1"/>
    <w:rsid w:val="00C1199E"/>
    <w:rsid w:val="00C354C9"/>
    <w:rsid w:val="00C56989"/>
    <w:rsid w:val="00C714B1"/>
    <w:rsid w:val="00C75C8F"/>
    <w:rsid w:val="00CB297D"/>
    <w:rsid w:val="00CD5C83"/>
    <w:rsid w:val="00CD6585"/>
    <w:rsid w:val="00D11DAB"/>
    <w:rsid w:val="00D15E14"/>
    <w:rsid w:val="00D472D2"/>
    <w:rsid w:val="00D5284D"/>
    <w:rsid w:val="00D55FF4"/>
    <w:rsid w:val="00D661BE"/>
    <w:rsid w:val="00D71C17"/>
    <w:rsid w:val="00D94B0C"/>
    <w:rsid w:val="00DA7B99"/>
    <w:rsid w:val="00DD4128"/>
    <w:rsid w:val="00DF2D5D"/>
    <w:rsid w:val="00DF7F4A"/>
    <w:rsid w:val="00E134CE"/>
    <w:rsid w:val="00E24778"/>
    <w:rsid w:val="00E32BC0"/>
    <w:rsid w:val="00E341CA"/>
    <w:rsid w:val="00E348B7"/>
    <w:rsid w:val="00E41423"/>
    <w:rsid w:val="00E47FF5"/>
    <w:rsid w:val="00E51C70"/>
    <w:rsid w:val="00E558AF"/>
    <w:rsid w:val="00E62CBF"/>
    <w:rsid w:val="00E7343A"/>
    <w:rsid w:val="00EA0706"/>
    <w:rsid w:val="00EB24A7"/>
    <w:rsid w:val="00EC688E"/>
    <w:rsid w:val="00ED6C8B"/>
    <w:rsid w:val="00EE48F6"/>
    <w:rsid w:val="00F2657A"/>
    <w:rsid w:val="00F33365"/>
    <w:rsid w:val="00F34A74"/>
    <w:rsid w:val="00F44D70"/>
    <w:rsid w:val="00F47011"/>
    <w:rsid w:val="00F5051D"/>
    <w:rsid w:val="00F62D0C"/>
    <w:rsid w:val="00F81B52"/>
    <w:rsid w:val="00F96AE1"/>
    <w:rsid w:val="00FA3363"/>
    <w:rsid w:val="00FE0CF1"/>
    <w:rsid w:val="00FE355A"/>
    <w:rsid w:val="00FE5F1E"/>
    <w:rsid w:val="00FF6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44BF6"/>
    <w:pPr>
      <w:spacing w:after="0" w:line="240" w:lineRule="auto"/>
    </w:pPr>
    <w:rPr>
      <w:rFonts w:asciiTheme="minorHAnsi" w:hAnsiTheme="minorHAnsi"/>
      <w:sz w:val="20"/>
      <w:szCs w:val="20"/>
      <w:lang w:val="fr-BE"/>
    </w:rPr>
  </w:style>
  <w:style w:type="character" w:customStyle="1" w:styleId="FootnoteTextChar">
    <w:name w:val="Footnote Text Char"/>
    <w:basedOn w:val="DefaultParagraphFont"/>
    <w:link w:val="FootnoteText"/>
    <w:uiPriority w:val="99"/>
    <w:semiHidden/>
    <w:rsid w:val="00044BF6"/>
    <w:rPr>
      <w:sz w:val="20"/>
      <w:szCs w:val="20"/>
      <w:lang w:val="fr-BE"/>
    </w:rPr>
  </w:style>
  <w:style w:type="character" w:styleId="FootnoteReference">
    <w:name w:val="footnote reference"/>
    <w:basedOn w:val="DefaultParagraphFont"/>
    <w:uiPriority w:val="99"/>
    <w:semiHidden/>
    <w:unhideWhenUsed/>
    <w:rsid w:val="00044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df-feph.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binternet.ohchr.org/_layouts/treatybodyexternal/Download.aspx?symbolno=CRPD%2FC%2FEU%2FCO%2F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edf-feph.org" TargetMode="External"/><Relationship Id="rId23"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hyperlink" Target="mailto:info@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grevio-reponse-bdf-20191210/16809939ba" TargetMode="External"/><Relationship Id="rId2" Type="http://schemas.openxmlformats.org/officeDocument/2006/relationships/hyperlink" Target="https://www.cermi.es/es/actualidad/noticias/espa%C3%B1a-ilegaliza-las-esterilizaciones-forzadas-de-personas-con-discapacidad-en" TargetMode="External"/><Relationship Id="rId1" Type="http://schemas.openxmlformats.org/officeDocument/2006/relationships/hyperlink" Target="https://tbinternet.ohchr.org/_layouts/15/treatybodyexternal/Download.aspx?symbolno=CRPD/C/GC/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73A2-55A1-4A95-B428-16F7481A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4588</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11</cp:revision>
  <cp:lastPrinted>2021-05-07T08:32:00Z</cp:lastPrinted>
  <dcterms:created xsi:type="dcterms:W3CDTF">2021-05-07T08:20:00Z</dcterms:created>
  <dcterms:modified xsi:type="dcterms:W3CDTF">2021-05-07T08:41:00Z</dcterms:modified>
</cp:coreProperties>
</file>