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66787022"/>
    <w:bookmarkStart w:id="1" w:name="_Toc66895628"/>
    <w:bookmarkStart w:id="2" w:name="_Toc74042887"/>
    <w:p w14:paraId="190F546B" w14:textId="44109376" w:rsidR="008054A7" w:rsidRPr="003D6528" w:rsidRDefault="008054A7" w:rsidP="00D27087">
      <w:pPr>
        <w:pStyle w:val="Heading1"/>
        <w:rPr>
          <w:lang w:val="en-GB"/>
        </w:rPr>
      </w:pPr>
      <w:r w:rsidRPr="003D6528">
        <w:rPr>
          <w:noProof/>
          <w:lang w:val="en-GB"/>
        </w:rPr>
        <mc:AlternateContent>
          <mc:Choice Requires="wps">
            <w:drawing>
              <wp:anchor distT="0" distB="0" distL="114300" distR="114300" simplePos="0" relativeHeight="251659775" behindDoc="1" locked="0" layoutInCell="1" allowOverlap="1" wp14:anchorId="445129B1" wp14:editId="04C0B59C">
                <wp:simplePos x="0" y="0"/>
                <wp:positionH relativeFrom="margin">
                  <wp:align>center</wp:align>
                </wp:positionH>
                <wp:positionV relativeFrom="paragraph">
                  <wp:posOffset>-596900</wp:posOffset>
                </wp:positionV>
                <wp:extent cx="6716111" cy="10033000"/>
                <wp:effectExtent l="38100" t="38100" r="46990" b="444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6111" cy="10033000"/>
                        </a:xfrm>
                        <a:prstGeom prst="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3A1D98" id="Rectangle 6" o:spid="_x0000_s1026" style="position:absolute;margin-left:0;margin-top:-47pt;width:528.85pt;height:790pt;z-index:-251656705;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" filled="f" strokecolor="white [3212]" strokeweight="6pt">
                <w10:wrap anchorx="margin"/>
              </v:rect>
            </w:pict>
          </mc:Fallback>
        </mc:AlternateContent>
      </w:r>
      <w:r w:rsidRPr="003D6528">
        <w:rPr>
          <w:noProof/>
          <w:lang w:val="en-GB"/>
        </w:rPr>
        <mc:AlternateContent>
          <mc:Choice Requires="wps">
            <w:drawing>
              <wp:anchor distT="0" distB="0" distL="114300" distR="114300" simplePos="0" relativeHeight="251659264" behindDoc="1" locked="0" layoutInCell="1" allowOverlap="1" wp14:anchorId="0C463329" wp14:editId="4C27592F">
                <wp:simplePos x="0" y="0"/>
                <wp:positionH relativeFrom="page">
                  <wp:align>left</wp:align>
                </wp:positionH>
                <wp:positionV relativeFrom="paragraph">
                  <wp:posOffset>-916305</wp:posOffset>
                </wp:positionV>
                <wp:extent cx="7538085" cy="11057255"/>
                <wp:effectExtent l="0" t="0" r="24765" b="1079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8085" cy="11057255"/>
                        </a:xfrm>
                        <a:prstGeom prst="rect">
                          <a:avLst/>
                        </a:prstGeom>
                        <a:solidFill>
                          <a:srgbClr val="2E73A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35F0A8" id="Rectangle 1" o:spid="_x0000_s1026" style="position:absolute;margin-left:0;margin-top:-72.15pt;width:593.55pt;height:870.65pt;z-index:-25165721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" fillcolor="#2e73ac" strokecolor="#1f3763 [1604]" strokeweight="1pt">
                <w10:wrap anchorx="page"/>
              </v:rect>
            </w:pict>
          </mc:Fallback>
        </mc:AlternateContent>
      </w:r>
      <w:r w:rsidRPr="003D6528">
        <w:rPr>
          <w:noProof/>
          <w:lang w:val="en-GB"/>
        </w:rPr>
        <w:drawing>
          <wp:inline distT="0" distB="0" distL="0" distR="0" wp14:anchorId="3382C997" wp14:editId="3B7C6805">
            <wp:extent cx="1609344" cy="1783080"/>
            <wp:effectExtent l="0" t="0" r="0" b="7620"/>
            <wp:docPr id="2" name="Picture 2"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344" cy="1783080"/>
                    </a:xfrm>
                    <a:prstGeom prst="rect">
                      <a:avLst/>
                    </a:prstGeom>
                    <a:noFill/>
                    <a:ln>
                      <a:noFill/>
                    </a:ln>
                  </pic:spPr>
                </pic:pic>
              </a:graphicData>
            </a:graphic>
          </wp:inline>
        </w:drawing>
      </w:r>
      <w:bookmarkEnd w:id="0"/>
      <w:bookmarkEnd w:id="1"/>
      <w:bookmarkEnd w:id="2"/>
    </w:p>
    <w:p w14:paraId="2FEBFBB6" w14:textId="554A8395" w:rsidR="00D11DAB" w:rsidRPr="003D6528" w:rsidRDefault="00A91021" w:rsidP="00D11DAB">
      <w:pPr>
        <w:pStyle w:val="Title"/>
        <w:spacing w:before="360"/>
        <w:rPr>
          <w:lang w:val="en-GB"/>
        </w:rPr>
      </w:pPr>
      <w:r>
        <w:rPr>
          <w:lang w:val="en-GB"/>
        </w:rPr>
        <w:t xml:space="preserve">Standardisation for the </w:t>
      </w:r>
      <w:r w:rsidR="003D6528" w:rsidRPr="003D6528">
        <w:rPr>
          <w:lang w:val="en-GB"/>
        </w:rPr>
        <w:t>European Accessibility Act (EAA)</w:t>
      </w:r>
    </w:p>
    <w:p w14:paraId="2BCF485D" w14:textId="3965E3DC" w:rsidR="008054A7" w:rsidRPr="003D6528" w:rsidRDefault="00E47FF5" w:rsidP="00355289">
      <w:pPr>
        <w:pStyle w:val="Subtitle"/>
        <w:spacing w:before="480"/>
        <w:rPr>
          <w:lang w:val="en-GB"/>
        </w:rPr>
      </w:pPr>
      <w:r w:rsidRPr="003D6528">
        <w:rPr>
          <w:lang w:val="en-GB"/>
        </w:rPr>
        <w:t xml:space="preserve">European Disability </w:t>
      </w:r>
      <w:r w:rsidR="00606390" w:rsidRPr="003D6528">
        <w:rPr>
          <w:lang w:val="en-GB"/>
        </w:rPr>
        <w:t xml:space="preserve">Forum </w:t>
      </w:r>
    </w:p>
    <w:p w14:paraId="1C5853C0" w14:textId="6933635F" w:rsidR="00D11DAB" w:rsidRPr="003D6528" w:rsidRDefault="00D11DAB" w:rsidP="00D11DAB">
      <w:pPr>
        <w:pStyle w:val="Subtitle"/>
        <w:spacing w:after="360"/>
        <w:rPr>
          <w:lang w:val="en-GB"/>
        </w:rPr>
      </w:pPr>
      <w:r w:rsidRPr="003D6528">
        <w:rPr>
          <w:noProof/>
          <w:lang w:val="en-GB"/>
          <w14:textOutline w14:w="0" w14:cap="rnd" w14:cmpd="sng" w14:algn="ctr">
            <w14:noFill/>
            <w14:prstDash w14:val="solid"/>
            <w14:bevel/>
          </w14:textOutline>
        </w:rPr>
        <mc:AlternateContent>
          <mc:Choice Requires="wps">
            <w:drawing>
              <wp:anchor distT="0" distB="0" distL="114300" distR="114300" simplePos="0" relativeHeight="251660288" behindDoc="1" locked="0" layoutInCell="1" allowOverlap="1" wp14:anchorId="31CD50D3" wp14:editId="02D97A85">
                <wp:simplePos x="0" y="0"/>
                <wp:positionH relativeFrom="page">
                  <wp:align>right</wp:align>
                </wp:positionH>
                <wp:positionV relativeFrom="paragraph">
                  <wp:posOffset>462412</wp:posOffset>
                </wp:positionV>
                <wp:extent cx="7549116" cy="595423"/>
                <wp:effectExtent l="0" t="0" r="13970" b="1460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9116" cy="595423"/>
                        </a:xfrm>
                        <a:prstGeom prst="rect">
                          <a:avLst/>
                        </a:prstGeom>
                        <a:solidFill>
                          <a:srgbClr val="A2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50E90" id="Rectangle 3" o:spid="_x0000_s1026" style="position:absolute;margin-left:543.2pt;margin-top:36.4pt;width:594.4pt;height:46.9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" fillcolor="#a20000" strokecolor="#1f3763 [1604]" strokeweight="1pt">
                <w10:wrap anchorx="page"/>
              </v:rect>
            </w:pict>
          </mc:Fallback>
        </mc:AlternateContent>
      </w:r>
      <w:r w:rsidRPr="003D6528">
        <w:rPr>
          <w:lang w:val="en-GB"/>
        </w:rPr>
        <w:t xml:space="preserve">| </w:t>
      </w:r>
      <w:r w:rsidR="008B6894" w:rsidRPr="003D6528">
        <w:rPr>
          <w:lang w:val="en-GB"/>
        </w:rPr>
        <w:t>June</w:t>
      </w:r>
      <w:r w:rsidRPr="003D6528">
        <w:rPr>
          <w:lang w:val="en-GB"/>
        </w:rPr>
        <w:t xml:space="preserve"> </w:t>
      </w:r>
      <w:r w:rsidR="00606390" w:rsidRPr="003D6528">
        <w:rPr>
          <w:lang w:val="en-GB"/>
        </w:rPr>
        <w:t>2021</w:t>
      </w:r>
    </w:p>
    <w:p w14:paraId="75770BC9" w14:textId="780F7069" w:rsidR="00E62CBF" w:rsidRPr="003D6528" w:rsidRDefault="008B6894" w:rsidP="00D11DAB">
      <w:pPr>
        <w:spacing w:before="360" w:after="840"/>
        <w:rPr>
          <w:b/>
          <w:bCs/>
          <w:color w:val="FFFFFF" w:themeColor="background1"/>
          <w:sz w:val="28"/>
          <w:szCs w:val="28"/>
          <w:lang w:val="en-GB"/>
        </w:rPr>
      </w:pPr>
      <w:r w:rsidRPr="003D6528">
        <w:rPr>
          <w:b/>
          <w:bCs/>
          <w:color w:val="FFFFFF" w:themeColor="background1"/>
          <w:sz w:val="28"/>
          <w:szCs w:val="28"/>
          <w:lang w:val="en-GB"/>
        </w:rPr>
        <w:t xml:space="preserve">Recommendations </w:t>
      </w:r>
      <w:r w:rsidR="003D6528" w:rsidRPr="003D6528">
        <w:rPr>
          <w:b/>
          <w:bCs/>
          <w:color w:val="FFFFFF" w:themeColor="background1"/>
          <w:sz w:val="28"/>
          <w:szCs w:val="28"/>
          <w:lang w:val="en-GB"/>
        </w:rPr>
        <w:t>for EAA Standardisation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U Disclaimer"/>
        <w:tblDescription w:val="Flag of the EU. This publication has received financial support from the European Union. The information contained in this publication does not necessarily reflect the official position of the European Commission."/>
      </w:tblPr>
      <w:tblGrid>
        <w:gridCol w:w="2245"/>
        <w:gridCol w:w="6771"/>
      </w:tblGrid>
      <w:tr w:rsidR="001E0F08" w:rsidRPr="003D6528" w14:paraId="18E8BE2C" w14:textId="77777777" w:rsidTr="001E0F08">
        <w:tc>
          <w:tcPr>
            <w:tcW w:w="2245" w:type="dxa"/>
          </w:tcPr>
          <w:p w14:paraId="5DFDD4D9" w14:textId="0F47CB15" w:rsidR="001E0F08" w:rsidRPr="003D6528" w:rsidRDefault="001E0F08" w:rsidP="001E0F08">
            <w:pPr>
              <w:rPr>
                <w:color w:val="FFFFFF" w:themeColor="background1"/>
                <w:lang w:val="en-GB" w:eastAsia="zh-CN" w:bidi="hi-IN"/>
              </w:rPr>
            </w:pPr>
            <w:r w:rsidRPr="003D6528">
              <w:rPr>
                <w:noProof/>
                <w:lang w:val="en-GB"/>
              </w:rPr>
              <w:drawing>
                <wp:inline distT="0" distB="0" distL="0" distR="0" wp14:anchorId="5046A1D8" wp14:editId="40BBC4AB">
                  <wp:extent cx="1201890" cy="812800"/>
                  <wp:effectExtent l="0" t="0" r="0" b="6350"/>
                  <wp:docPr id="16" name="Picture 16"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tc>
        <w:tc>
          <w:tcPr>
            <w:tcW w:w="6771" w:type="dxa"/>
          </w:tcPr>
          <w:p w14:paraId="6DDB80CA" w14:textId="560BA2E7" w:rsidR="001E0F08" w:rsidRPr="003D6528" w:rsidRDefault="001E0F08" w:rsidP="001E0F08">
            <w:pPr>
              <w:rPr>
                <w:color w:val="FFFFFF" w:themeColor="background1"/>
                <w:lang w:val="en-GB" w:eastAsia="zh-CN" w:bidi="hi-IN"/>
              </w:rPr>
            </w:pPr>
            <w:r w:rsidRPr="003D6528">
              <w:rPr>
                <w:color w:val="FFFFFF" w:themeColor="background1"/>
                <w:lang w:val="en-GB" w:eastAsia="zh-CN" w:bidi="hi-IN"/>
              </w:rPr>
              <w:t>This publication has received financial support from the European Union. The information contained in this publication does not necessarily reflect the official position of the European Commission.</w:t>
            </w:r>
          </w:p>
        </w:tc>
      </w:tr>
    </w:tbl>
    <w:p w14:paraId="79A4A1C9" w14:textId="08FC674B" w:rsidR="00A9576D" w:rsidRPr="003D6528" w:rsidRDefault="00A9576D" w:rsidP="008054A7">
      <w:pPr>
        <w:pStyle w:val="Heading1"/>
        <w:pageBreakBefore/>
        <w:rPr>
          <w:lang w:val="en-GB"/>
        </w:rPr>
      </w:pPr>
      <w:bookmarkStart w:id="3" w:name="_Toc74042888"/>
      <w:r w:rsidRPr="003D6528">
        <w:rPr>
          <w:lang w:val="en-GB"/>
        </w:rPr>
        <w:lastRenderedPageBreak/>
        <w:t>Table of Contents</w:t>
      </w:r>
      <w:bookmarkEnd w:id="3"/>
    </w:p>
    <w:p w14:paraId="090CC096" w14:textId="23973DF9" w:rsidR="001B43B7" w:rsidRDefault="00A9576D">
      <w:pPr>
        <w:pStyle w:val="TOC1"/>
        <w:tabs>
          <w:tab w:val="right" w:leader="dot" w:pos="9016"/>
        </w:tabs>
        <w:rPr>
          <w:rFonts w:asciiTheme="minorHAnsi" w:eastAsiaTheme="minorEastAsia" w:hAnsiTheme="minorHAnsi"/>
          <w:noProof/>
          <w:sz w:val="22"/>
          <w:lang w:val="en-GB" w:eastAsia="en-GB"/>
        </w:rPr>
      </w:pPr>
      <w:r w:rsidRPr="003D6528">
        <w:rPr>
          <w:lang w:val="en-GB"/>
        </w:rPr>
        <w:fldChar w:fldCharType="begin"/>
      </w:r>
      <w:r w:rsidRPr="003D6528">
        <w:rPr>
          <w:lang w:val="en-GB"/>
        </w:rPr>
        <w:instrText xml:space="preserve"> TOC \o "1-2" \h \z \u </w:instrText>
      </w:r>
      <w:r w:rsidRPr="003D6528">
        <w:rPr>
          <w:lang w:val="en-GB"/>
        </w:rPr>
        <w:fldChar w:fldCharType="separate"/>
      </w:r>
      <w:hyperlink w:anchor="_Toc74042887" w:history="1">
        <w:r w:rsidR="001B43B7">
          <w:rPr>
            <w:noProof/>
            <w:webHidden/>
          </w:rPr>
          <w:tab/>
        </w:r>
        <w:r w:rsidR="001B43B7">
          <w:rPr>
            <w:noProof/>
            <w:webHidden/>
          </w:rPr>
          <w:fldChar w:fldCharType="begin"/>
        </w:r>
        <w:r w:rsidR="001B43B7">
          <w:rPr>
            <w:noProof/>
            <w:webHidden/>
          </w:rPr>
          <w:instrText xml:space="preserve"> PAGEREF _Toc74042887 \h </w:instrText>
        </w:r>
        <w:r w:rsidR="001B43B7">
          <w:rPr>
            <w:noProof/>
            <w:webHidden/>
          </w:rPr>
        </w:r>
        <w:r w:rsidR="001B43B7">
          <w:rPr>
            <w:noProof/>
            <w:webHidden/>
          </w:rPr>
          <w:fldChar w:fldCharType="separate"/>
        </w:r>
        <w:r w:rsidR="001B43B7">
          <w:rPr>
            <w:noProof/>
            <w:webHidden/>
          </w:rPr>
          <w:t>1</w:t>
        </w:r>
        <w:r w:rsidR="001B43B7">
          <w:rPr>
            <w:noProof/>
            <w:webHidden/>
          </w:rPr>
          <w:fldChar w:fldCharType="end"/>
        </w:r>
      </w:hyperlink>
    </w:p>
    <w:p w14:paraId="4944F16A" w14:textId="74ABC471" w:rsidR="001B43B7" w:rsidRDefault="00972F71">
      <w:pPr>
        <w:pStyle w:val="TOC1"/>
        <w:tabs>
          <w:tab w:val="right" w:leader="dot" w:pos="9016"/>
        </w:tabs>
        <w:rPr>
          <w:rFonts w:asciiTheme="minorHAnsi" w:eastAsiaTheme="minorEastAsia" w:hAnsiTheme="minorHAnsi"/>
          <w:noProof/>
          <w:sz w:val="22"/>
          <w:lang w:val="en-GB" w:eastAsia="en-GB"/>
        </w:rPr>
      </w:pPr>
      <w:hyperlink w:anchor="_Toc74042888" w:history="1">
        <w:r w:rsidR="001B43B7" w:rsidRPr="007863A2">
          <w:rPr>
            <w:rStyle w:val="Hyperlink"/>
            <w:noProof/>
            <w:lang w:val="en-GB"/>
          </w:rPr>
          <w:t>Table of Contents</w:t>
        </w:r>
        <w:r w:rsidR="001B43B7">
          <w:rPr>
            <w:noProof/>
            <w:webHidden/>
          </w:rPr>
          <w:tab/>
        </w:r>
        <w:r w:rsidR="001B43B7">
          <w:rPr>
            <w:noProof/>
            <w:webHidden/>
          </w:rPr>
          <w:fldChar w:fldCharType="begin"/>
        </w:r>
        <w:r w:rsidR="001B43B7">
          <w:rPr>
            <w:noProof/>
            <w:webHidden/>
          </w:rPr>
          <w:instrText xml:space="preserve"> PAGEREF _Toc74042888 \h </w:instrText>
        </w:r>
        <w:r w:rsidR="001B43B7">
          <w:rPr>
            <w:noProof/>
            <w:webHidden/>
          </w:rPr>
        </w:r>
        <w:r w:rsidR="001B43B7">
          <w:rPr>
            <w:noProof/>
            <w:webHidden/>
          </w:rPr>
          <w:fldChar w:fldCharType="separate"/>
        </w:r>
        <w:r w:rsidR="001B43B7">
          <w:rPr>
            <w:noProof/>
            <w:webHidden/>
          </w:rPr>
          <w:t>2</w:t>
        </w:r>
        <w:r w:rsidR="001B43B7">
          <w:rPr>
            <w:noProof/>
            <w:webHidden/>
          </w:rPr>
          <w:fldChar w:fldCharType="end"/>
        </w:r>
      </w:hyperlink>
    </w:p>
    <w:p w14:paraId="74EE4ED0" w14:textId="3EF2ABA5" w:rsidR="001B43B7" w:rsidRDefault="00972F71">
      <w:pPr>
        <w:pStyle w:val="TOC1"/>
        <w:tabs>
          <w:tab w:val="right" w:leader="dot" w:pos="9016"/>
        </w:tabs>
        <w:rPr>
          <w:rFonts w:asciiTheme="minorHAnsi" w:eastAsiaTheme="minorEastAsia" w:hAnsiTheme="minorHAnsi"/>
          <w:noProof/>
          <w:sz w:val="22"/>
          <w:lang w:val="en-GB" w:eastAsia="en-GB"/>
        </w:rPr>
      </w:pPr>
      <w:hyperlink w:anchor="_Toc74042889" w:history="1">
        <w:r w:rsidR="001B43B7" w:rsidRPr="007863A2">
          <w:rPr>
            <w:rStyle w:val="Hyperlink"/>
            <w:noProof/>
            <w:lang w:val="en-GB"/>
          </w:rPr>
          <w:t>Introduction</w:t>
        </w:r>
        <w:r w:rsidR="001B43B7">
          <w:rPr>
            <w:noProof/>
            <w:webHidden/>
          </w:rPr>
          <w:tab/>
        </w:r>
        <w:r w:rsidR="001B43B7">
          <w:rPr>
            <w:noProof/>
            <w:webHidden/>
          </w:rPr>
          <w:fldChar w:fldCharType="begin"/>
        </w:r>
        <w:r w:rsidR="001B43B7">
          <w:rPr>
            <w:noProof/>
            <w:webHidden/>
          </w:rPr>
          <w:instrText xml:space="preserve"> PAGEREF _Toc74042889 \h </w:instrText>
        </w:r>
        <w:r w:rsidR="001B43B7">
          <w:rPr>
            <w:noProof/>
            <w:webHidden/>
          </w:rPr>
        </w:r>
        <w:r w:rsidR="001B43B7">
          <w:rPr>
            <w:noProof/>
            <w:webHidden/>
          </w:rPr>
          <w:fldChar w:fldCharType="separate"/>
        </w:r>
        <w:r w:rsidR="001B43B7">
          <w:rPr>
            <w:noProof/>
            <w:webHidden/>
          </w:rPr>
          <w:t>2</w:t>
        </w:r>
        <w:r w:rsidR="001B43B7">
          <w:rPr>
            <w:noProof/>
            <w:webHidden/>
          </w:rPr>
          <w:fldChar w:fldCharType="end"/>
        </w:r>
      </w:hyperlink>
    </w:p>
    <w:p w14:paraId="7552838F" w14:textId="38DB0D32" w:rsidR="001B43B7" w:rsidRDefault="00972F71">
      <w:pPr>
        <w:pStyle w:val="TOC1"/>
        <w:tabs>
          <w:tab w:val="right" w:leader="dot" w:pos="9016"/>
        </w:tabs>
        <w:rPr>
          <w:rFonts w:asciiTheme="minorHAnsi" w:eastAsiaTheme="minorEastAsia" w:hAnsiTheme="minorHAnsi"/>
          <w:noProof/>
          <w:sz w:val="22"/>
          <w:lang w:val="en-GB" w:eastAsia="en-GB"/>
        </w:rPr>
      </w:pPr>
      <w:hyperlink w:anchor="_Toc74042890" w:history="1">
        <w:r w:rsidR="001B43B7" w:rsidRPr="007863A2">
          <w:rPr>
            <w:rStyle w:val="Hyperlink"/>
            <w:noProof/>
            <w:lang w:val="en-GB"/>
          </w:rPr>
          <w:t>EDF Recommendations for the European Accessibility Act Standardisation Request</w:t>
        </w:r>
        <w:r w:rsidR="001B43B7">
          <w:rPr>
            <w:noProof/>
            <w:webHidden/>
          </w:rPr>
          <w:tab/>
        </w:r>
        <w:r w:rsidR="001B43B7">
          <w:rPr>
            <w:noProof/>
            <w:webHidden/>
          </w:rPr>
          <w:fldChar w:fldCharType="begin"/>
        </w:r>
        <w:r w:rsidR="001B43B7">
          <w:rPr>
            <w:noProof/>
            <w:webHidden/>
          </w:rPr>
          <w:instrText xml:space="preserve"> PAGEREF _Toc74042890 \h </w:instrText>
        </w:r>
        <w:r w:rsidR="001B43B7">
          <w:rPr>
            <w:noProof/>
            <w:webHidden/>
          </w:rPr>
        </w:r>
        <w:r w:rsidR="001B43B7">
          <w:rPr>
            <w:noProof/>
            <w:webHidden/>
          </w:rPr>
          <w:fldChar w:fldCharType="separate"/>
        </w:r>
        <w:r w:rsidR="001B43B7">
          <w:rPr>
            <w:noProof/>
            <w:webHidden/>
          </w:rPr>
          <w:t>3</w:t>
        </w:r>
        <w:r w:rsidR="001B43B7">
          <w:rPr>
            <w:noProof/>
            <w:webHidden/>
          </w:rPr>
          <w:fldChar w:fldCharType="end"/>
        </w:r>
      </w:hyperlink>
    </w:p>
    <w:p w14:paraId="798E0AD8" w14:textId="6872DD0E" w:rsidR="001B43B7" w:rsidRDefault="00972F71">
      <w:pPr>
        <w:pStyle w:val="TOC1"/>
        <w:tabs>
          <w:tab w:val="right" w:leader="dot" w:pos="9016"/>
        </w:tabs>
        <w:rPr>
          <w:rFonts w:asciiTheme="minorHAnsi" w:eastAsiaTheme="minorEastAsia" w:hAnsiTheme="minorHAnsi"/>
          <w:noProof/>
          <w:sz w:val="22"/>
          <w:lang w:val="en-GB" w:eastAsia="en-GB"/>
        </w:rPr>
      </w:pPr>
      <w:hyperlink w:anchor="_Toc74042891" w:history="1">
        <w:r w:rsidR="001B43B7" w:rsidRPr="007863A2">
          <w:rPr>
            <w:rStyle w:val="Hyperlink"/>
            <w:noProof/>
            <w:lang w:val="en-GB"/>
          </w:rPr>
          <w:t>Related Documents</w:t>
        </w:r>
        <w:r w:rsidR="001B43B7">
          <w:rPr>
            <w:noProof/>
            <w:webHidden/>
          </w:rPr>
          <w:tab/>
        </w:r>
        <w:r w:rsidR="001B43B7">
          <w:rPr>
            <w:noProof/>
            <w:webHidden/>
          </w:rPr>
          <w:fldChar w:fldCharType="begin"/>
        </w:r>
        <w:r w:rsidR="001B43B7">
          <w:rPr>
            <w:noProof/>
            <w:webHidden/>
          </w:rPr>
          <w:instrText xml:space="preserve"> PAGEREF _Toc74042891 \h </w:instrText>
        </w:r>
        <w:r w:rsidR="001B43B7">
          <w:rPr>
            <w:noProof/>
            <w:webHidden/>
          </w:rPr>
        </w:r>
        <w:r w:rsidR="001B43B7">
          <w:rPr>
            <w:noProof/>
            <w:webHidden/>
          </w:rPr>
          <w:fldChar w:fldCharType="separate"/>
        </w:r>
        <w:r w:rsidR="001B43B7">
          <w:rPr>
            <w:noProof/>
            <w:webHidden/>
          </w:rPr>
          <w:t>4</w:t>
        </w:r>
        <w:r w:rsidR="001B43B7">
          <w:rPr>
            <w:noProof/>
            <w:webHidden/>
          </w:rPr>
          <w:fldChar w:fldCharType="end"/>
        </w:r>
      </w:hyperlink>
    </w:p>
    <w:p w14:paraId="5942F116" w14:textId="7B987A42" w:rsidR="001B43B7" w:rsidRDefault="00972F71">
      <w:pPr>
        <w:pStyle w:val="TOC1"/>
        <w:tabs>
          <w:tab w:val="right" w:leader="dot" w:pos="9016"/>
        </w:tabs>
        <w:rPr>
          <w:rFonts w:asciiTheme="minorHAnsi" w:eastAsiaTheme="minorEastAsia" w:hAnsiTheme="minorHAnsi"/>
          <w:noProof/>
          <w:sz w:val="22"/>
          <w:lang w:val="en-GB" w:eastAsia="en-GB"/>
        </w:rPr>
      </w:pPr>
      <w:hyperlink w:anchor="_Toc74042892" w:history="1">
        <w:r w:rsidR="001B43B7" w:rsidRPr="007863A2">
          <w:rPr>
            <w:rStyle w:val="Hyperlink"/>
            <w:noProof/>
            <w:lang w:val="en-GB"/>
          </w:rPr>
          <w:t>Document credits</w:t>
        </w:r>
        <w:r w:rsidR="001B43B7">
          <w:rPr>
            <w:noProof/>
            <w:webHidden/>
          </w:rPr>
          <w:tab/>
        </w:r>
        <w:r w:rsidR="001B43B7">
          <w:rPr>
            <w:noProof/>
            <w:webHidden/>
          </w:rPr>
          <w:fldChar w:fldCharType="begin"/>
        </w:r>
        <w:r w:rsidR="001B43B7">
          <w:rPr>
            <w:noProof/>
            <w:webHidden/>
          </w:rPr>
          <w:instrText xml:space="preserve"> PAGEREF _Toc74042892 \h </w:instrText>
        </w:r>
        <w:r w:rsidR="001B43B7">
          <w:rPr>
            <w:noProof/>
            <w:webHidden/>
          </w:rPr>
        </w:r>
        <w:r w:rsidR="001B43B7">
          <w:rPr>
            <w:noProof/>
            <w:webHidden/>
          </w:rPr>
          <w:fldChar w:fldCharType="separate"/>
        </w:r>
        <w:r w:rsidR="001B43B7">
          <w:rPr>
            <w:noProof/>
            <w:webHidden/>
          </w:rPr>
          <w:t>5</w:t>
        </w:r>
        <w:r w:rsidR="001B43B7">
          <w:rPr>
            <w:noProof/>
            <w:webHidden/>
          </w:rPr>
          <w:fldChar w:fldCharType="end"/>
        </w:r>
      </w:hyperlink>
    </w:p>
    <w:p w14:paraId="588D3280" w14:textId="7827B321" w:rsidR="001E0F08" w:rsidRPr="003D6528" w:rsidRDefault="00A9576D" w:rsidP="00282B80">
      <w:pPr>
        <w:pStyle w:val="Heading1"/>
        <w:rPr>
          <w:lang w:val="en-GB"/>
        </w:rPr>
      </w:pPr>
      <w:r w:rsidRPr="003D6528">
        <w:rPr>
          <w:lang w:val="en-GB"/>
        </w:rPr>
        <w:fldChar w:fldCharType="end"/>
      </w:r>
      <w:bookmarkStart w:id="4" w:name="_Toc74042889"/>
      <w:r w:rsidR="001E0F08" w:rsidRPr="003D6528">
        <w:rPr>
          <w:lang w:val="en-GB"/>
        </w:rPr>
        <w:t>Introduction</w:t>
      </w:r>
      <w:bookmarkEnd w:id="4"/>
    </w:p>
    <w:p w14:paraId="70F30724" w14:textId="3C116A6C" w:rsidR="00282B80" w:rsidRPr="003D6528" w:rsidRDefault="00282B80" w:rsidP="00282B80">
      <w:pPr>
        <w:pStyle w:val="Heading3"/>
        <w:rPr>
          <w:lang w:val="en-GB"/>
        </w:rPr>
      </w:pPr>
      <w:r w:rsidRPr="003D6528">
        <w:rPr>
          <w:lang w:val="en-GB"/>
        </w:rPr>
        <w:t>The European Disability Forum</w:t>
      </w:r>
    </w:p>
    <w:p w14:paraId="06C637A5" w14:textId="337D1381" w:rsidR="001E0F08" w:rsidRPr="003D6528" w:rsidRDefault="00282B80" w:rsidP="00282B80">
      <w:pPr>
        <w:rPr>
          <w:lang w:val="en-GB"/>
        </w:rPr>
      </w:pPr>
      <w:r w:rsidRPr="003D6528">
        <w:rPr>
          <w:lang w:val="en-GB"/>
        </w:rPr>
        <w:t>The European Disability Forum is an independent NGO that represents the interests of 100 million Europeans with disabilities. EDF is a unique platform which brings together representative organisation of persons with disabilities from across Europe. EDF is run by persons with disabilities and their families. We are a strong, united voice of persons with disabilities in Europe.</w:t>
      </w:r>
    </w:p>
    <w:p w14:paraId="2CFD1649" w14:textId="4F4C5562" w:rsidR="00282B80" w:rsidRPr="003D6528" w:rsidRDefault="004B02F2" w:rsidP="00A9576D">
      <w:pPr>
        <w:pStyle w:val="Heading1"/>
        <w:pageBreakBefore/>
        <w:rPr>
          <w:lang w:val="en-GB"/>
        </w:rPr>
      </w:pPr>
      <w:bookmarkStart w:id="5" w:name="_Toc74042890"/>
      <w:r w:rsidRPr="003D6528">
        <w:rPr>
          <w:lang w:val="en-GB"/>
        </w:rPr>
        <w:lastRenderedPageBreak/>
        <w:t xml:space="preserve">EDF </w:t>
      </w:r>
      <w:r w:rsidR="009B6E4F" w:rsidRPr="003D6528">
        <w:rPr>
          <w:lang w:val="en-GB"/>
        </w:rPr>
        <w:t>R</w:t>
      </w:r>
      <w:r w:rsidRPr="003D6528">
        <w:rPr>
          <w:lang w:val="en-GB"/>
        </w:rPr>
        <w:t xml:space="preserve">ecommendations for </w:t>
      </w:r>
      <w:r w:rsidR="003D6528" w:rsidRPr="003D6528">
        <w:rPr>
          <w:lang w:val="en-GB"/>
        </w:rPr>
        <w:t>the European Accessibility Act Standardisation Request</w:t>
      </w:r>
      <w:bookmarkEnd w:id="5"/>
    </w:p>
    <w:p w14:paraId="41C30347" w14:textId="5C08D0EF" w:rsidR="00875E7D" w:rsidRPr="003D6528" w:rsidRDefault="003D6528" w:rsidP="003D6528">
      <w:pPr>
        <w:rPr>
          <w:bCs/>
          <w:lang w:val="en-GB"/>
        </w:rPr>
      </w:pPr>
      <w:r>
        <w:rPr>
          <w:bCs/>
          <w:lang w:val="en-GB"/>
        </w:rPr>
        <w:t xml:space="preserve">In this </w:t>
      </w:r>
      <w:r w:rsidR="00E73B58" w:rsidRPr="003D6528">
        <w:rPr>
          <w:bCs/>
          <w:lang w:val="en-GB"/>
        </w:rPr>
        <w:t xml:space="preserve">document </w:t>
      </w:r>
      <w:r>
        <w:rPr>
          <w:bCs/>
          <w:lang w:val="en-GB"/>
        </w:rPr>
        <w:t xml:space="preserve">we </w:t>
      </w:r>
      <w:r w:rsidR="0036712B">
        <w:rPr>
          <w:bCs/>
          <w:lang w:val="en-GB"/>
        </w:rPr>
        <w:t xml:space="preserve">summarise our main </w:t>
      </w:r>
      <w:r w:rsidR="00C549A8" w:rsidRPr="003D6528">
        <w:rPr>
          <w:bCs/>
          <w:lang w:val="en-GB"/>
        </w:rPr>
        <w:t>recommendations</w:t>
      </w:r>
      <w:r w:rsidRPr="003D6528">
        <w:rPr>
          <w:bCs/>
          <w:lang w:val="en-GB"/>
        </w:rPr>
        <w:t xml:space="preserve"> on the European Commission’s standardisation request for the European Accessibility Act (EAA</w:t>
      </w:r>
      <w:r w:rsidR="0036712B">
        <w:rPr>
          <w:rStyle w:val="FootnoteReference"/>
          <w:bCs/>
          <w:lang w:val="en-GB"/>
        </w:rPr>
        <w:footnoteReference w:id="1"/>
      </w:r>
      <w:r w:rsidRPr="003D6528">
        <w:rPr>
          <w:bCs/>
          <w:lang w:val="en-GB"/>
        </w:rPr>
        <w:t>):</w:t>
      </w:r>
    </w:p>
    <w:p w14:paraId="2733E04F" w14:textId="7A36118E" w:rsidR="003D6528" w:rsidRPr="003D6528" w:rsidRDefault="003D6528" w:rsidP="003D6528">
      <w:pPr>
        <w:pStyle w:val="ListParagraph"/>
        <w:numPr>
          <w:ilvl w:val="0"/>
          <w:numId w:val="8"/>
        </w:numPr>
        <w:spacing w:after="0" w:line="240" w:lineRule="auto"/>
        <w:contextualSpacing w:val="0"/>
        <w:rPr>
          <w:rFonts w:ascii="Calibri" w:eastAsia="Times New Roman" w:hAnsi="Calibri"/>
          <w:sz w:val="22"/>
          <w:lang w:val="en-GB"/>
        </w:rPr>
      </w:pPr>
      <w:r w:rsidRPr="003D6528">
        <w:rPr>
          <w:rFonts w:eastAsia="Times New Roman"/>
          <w:lang w:val="en-GB"/>
        </w:rPr>
        <w:t>In relation to the EAA revision of several European standards are needed, as well as new ones to be mandated, for example:</w:t>
      </w:r>
    </w:p>
    <w:p w14:paraId="0C310E72" w14:textId="6E01689F" w:rsidR="003D6528" w:rsidRPr="003D6528" w:rsidRDefault="003D6528" w:rsidP="003D6528">
      <w:pPr>
        <w:pStyle w:val="ListParagraph"/>
        <w:numPr>
          <w:ilvl w:val="1"/>
          <w:numId w:val="8"/>
        </w:numPr>
        <w:spacing w:after="0" w:line="240" w:lineRule="auto"/>
        <w:contextualSpacing w:val="0"/>
        <w:rPr>
          <w:rFonts w:eastAsia="Times New Roman"/>
          <w:lang w:val="en-GB"/>
        </w:rPr>
      </w:pPr>
      <w:r w:rsidRPr="003D6528">
        <w:rPr>
          <w:rFonts w:eastAsia="Times New Roman"/>
          <w:lang w:val="en-GB"/>
        </w:rPr>
        <w:t>Revision of harmonised standard EN 301 549</w:t>
      </w:r>
      <w:r>
        <w:rPr>
          <w:rFonts w:eastAsia="Times New Roman"/>
          <w:lang w:val="en-GB"/>
        </w:rPr>
        <w:t xml:space="preserve"> on </w:t>
      </w:r>
      <w:r w:rsidRPr="003D6528">
        <w:rPr>
          <w:rFonts w:eastAsia="Times New Roman"/>
          <w:lang w:val="en-GB"/>
        </w:rPr>
        <w:t>Accessibility requirements for ICT products and services</w:t>
      </w:r>
    </w:p>
    <w:p w14:paraId="5103D36D" w14:textId="6EDAD40C" w:rsidR="003D6528" w:rsidRPr="003D6528" w:rsidRDefault="003D6528" w:rsidP="003D6528">
      <w:pPr>
        <w:pStyle w:val="ListParagraph"/>
        <w:numPr>
          <w:ilvl w:val="1"/>
          <w:numId w:val="8"/>
        </w:numPr>
        <w:spacing w:after="0" w:line="240" w:lineRule="auto"/>
        <w:contextualSpacing w:val="0"/>
        <w:rPr>
          <w:rFonts w:eastAsia="Times New Roman"/>
          <w:lang w:val="en-GB"/>
        </w:rPr>
      </w:pPr>
      <w:r w:rsidRPr="003D6528">
        <w:rPr>
          <w:rFonts w:eastAsia="Times New Roman"/>
          <w:lang w:val="en-GB"/>
        </w:rPr>
        <w:t>Revision of the EN 17210</w:t>
      </w:r>
      <w:r>
        <w:rPr>
          <w:rFonts w:eastAsia="Times New Roman"/>
          <w:lang w:val="en-GB"/>
        </w:rPr>
        <w:t xml:space="preserve"> on accessibility and usability of the built environment </w:t>
      </w:r>
    </w:p>
    <w:p w14:paraId="1AD2D64A" w14:textId="2AC10864" w:rsidR="003D6528" w:rsidRPr="003D6528" w:rsidRDefault="003D6528" w:rsidP="003D6528">
      <w:pPr>
        <w:pStyle w:val="ListParagraph"/>
        <w:numPr>
          <w:ilvl w:val="1"/>
          <w:numId w:val="8"/>
        </w:numPr>
        <w:spacing w:after="0" w:line="240" w:lineRule="auto"/>
        <w:contextualSpacing w:val="0"/>
        <w:rPr>
          <w:rFonts w:eastAsia="Times New Roman"/>
          <w:lang w:val="en-GB"/>
        </w:rPr>
      </w:pPr>
      <w:r w:rsidRPr="003D6528">
        <w:rPr>
          <w:rFonts w:eastAsia="Times New Roman"/>
          <w:lang w:val="en-GB"/>
        </w:rPr>
        <w:t>Revision or potential use of clauses of EN 17161</w:t>
      </w:r>
      <w:r w:rsidR="006E7D7B">
        <w:rPr>
          <w:rFonts w:eastAsia="Times New Roman"/>
          <w:lang w:val="en-GB"/>
        </w:rPr>
        <w:t xml:space="preserve"> on </w:t>
      </w:r>
      <w:r w:rsidR="006E7D7B" w:rsidRPr="006E7D7B">
        <w:rPr>
          <w:rFonts w:eastAsia="Times New Roman"/>
          <w:lang w:val="en-GB"/>
        </w:rPr>
        <w:t xml:space="preserve">‘Design for All - Accessibility following a Design for All approach in products, goods and services - Extending the range of </w:t>
      </w:r>
      <w:proofErr w:type="gramStart"/>
      <w:r w:rsidR="006E7D7B" w:rsidRPr="006E7D7B">
        <w:rPr>
          <w:rFonts w:eastAsia="Times New Roman"/>
          <w:lang w:val="en-GB"/>
        </w:rPr>
        <w:t>users’</w:t>
      </w:r>
      <w:proofErr w:type="gramEnd"/>
    </w:p>
    <w:p w14:paraId="4F0853CA" w14:textId="5E1AFAB0" w:rsidR="006E7D7B" w:rsidRDefault="003D6528" w:rsidP="003D6528">
      <w:pPr>
        <w:pStyle w:val="ListParagraph"/>
        <w:numPr>
          <w:ilvl w:val="1"/>
          <w:numId w:val="8"/>
        </w:numPr>
        <w:spacing w:after="0" w:line="240" w:lineRule="auto"/>
        <w:contextualSpacing w:val="0"/>
        <w:rPr>
          <w:rFonts w:eastAsia="Times New Roman"/>
          <w:lang w:val="en-GB"/>
        </w:rPr>
      </w:pPr>
      <w:r w:rsidRPr="003D6528">
        <w:rPr>
          <w:rFonts w:eastAsia="Times New Roman"/>
          <w:lang w:val="en-GB"/>
        </w:rPr>
        <w:t xml:space="preserve">Other potential standards not covered by these – for example, </w:t>
      </w:r>
      <w:r w:rsidR="006E7D7B" w:rsidRPr="003D6528">
        <w:rPr>
          <w:rFonts w:eastAsia="Times New Roman"/>
          <w:lang w:val="en-GB"/>
        </w:rPr>
        <w:t>non-digital</w:t>
      </w:r>
      <w:r w:rsidRPr="003D6528">
        <w:rPr>
          <w:rFonts w:eastAsia="Times New Roman"/>
          <w:lang w:val="en-GB"/>
        </w:rPr>
        <w:t xml:space="preserve"> information</w:t>
      </w:r>
      <w:r w:rsidR="006E7D7B">
        <w:rPr>
          <w:rFonts w:eastAsia="Times New Roman"/>
          <w:lang w:val="en-GB"/>
        </w:rPr>
        <w:t>,</w:t>
      </w:r>
      <w:r w:rsidR="00C21B57">
        <w:rPr>
          <w:rFonts w:eastAsia="Times New Roman"/>
          <w:lang w:val="en-GB"/>
        </w:rPr>
        <w:t xml:space="preserve"> easy-to-read,</w:t>
      </w:r>
      <w:r w:rsidR="006E7D7B">
        <w:rPr>
          <w:rFonts w:eastAsia="Times New Roman"/>
          <w:lang w:val="en-GB"/>
        </w:rPr>
        <w:t xml:space="preserve"> interoperability between mainstream and assistive technologies, </w:t>
      </w:r>
      <w:r w:rsidR="006E7D7B" w:rsidRPr="006E7D7B">
        <w:rPr>
          <w:rFonts w:eastAsia="Times New Roman"/>
          <w:lang w:val="en-GB"/>
        </w:rPr>
        <w:t>transport</w:t>
      </w:r>
      <w:r w:rsidR="00CD232B">
        <w:rPr>
          <w:rFonts w:eastAsia="Times New Roman"/>
          <w:lang w:val="en-GB"/>
        </w:rPr>
        <w:t xml:space="preserve"> interoperability</w:t>
      </w:r>
      <w:r w:rsidR="006E7D7B" w:rsidRPr="006E7D7B">
        <w:rPr>
          <w:rFonts w:eastAsia="Times New Roman"/>
          <w:lang w:val="en-GB"/>
        </w:rPr>
        <w:t>,</w:t>
      </w:r>
      <w:r w:rsidR="006E7D7B">
        <w:rPr>
          <w:rFonts w:eastAsia="Times New Roman"/>
          <w:lang w:val="en-GB"/>
        </w:rPr>
        <w:t xml:space="preserve"> communication</w:t>
      </w:r>
      <w:r w:rsidR="00CD232B">
        <w:rPr>
          <w:rFonts w:eastAsia="Times New Roman"/>
          <w:lang w:val="en-GB"/>
        </w:rPr>
        <w:t>s</w:t>
      </w:r>
      <w:r w:rsidR="006E7D7B">
        <w:rPr>
          <w:rFonts w:eastAsia="Times New Roman"/>
          <w:lang w:val="en-GB"/>
        </w:rPr>
        <w:t xml:space="preserve"> to</w:t>
      </w:r>
      <w:r w:rsidR="006E7D7B" w:rsidRPr="006E7D7B">
        <w:rPr>
          <w:rFonts w:eastAsia="Times New Roman"/>
          <w:lang w:val="en-GB"/>
        </w:rPr>
        <w:t xml:space="preserve"> </w:t>
      </w:r>
      <w:r w:rsidR="006E7D7B">
        <w:rPr>
          <w:rFonts w:eastAsia="Times New Roman"/>
          <w:lang w:val="en-GB"/>
        </w:rPr>
        <w:t>the single European emergency number ‘1</w:t>
      </w:r>
      <w:r w:rsidR="006E7D7B" w:rsidRPr="006E7D7B">
        <w:rPr>
          <w:rFonts w:eastAsia="Times New Roman"/>
          <w:lang w:val="en-GB"/>
        </w:rPr>
        <w:t>12</w:t>
      </w:r>
      <w:r w:rsidR="006E7D7B">
        <w:rPr>
          <w:rFonts w:eastAsia="Times New Roman"/>
          <w:lang w:val="en-GB"/>
        </w:rPr>
        <w:t>’</w:t>
      </w:r>
      <w:r w:rsidR="00CD232B">
        <w:rPr>
          <w:rFonts w:eastAsia="Times New Roman"/>
          <w:lang w:val="en-GB"/>
        </w:rPr>
        <w:t>, access services for audiovisual media, among others</w:t>
      </w:r>
      <w:r w:rsidR="006E7D7B">
        <w:rPr>
          <w:rFonts w:eastAsia="Times New Roman"/>
          <w:lang w:val="en-GB"/>
        </w:rPr>
        <w:t>.</w:t>
      </w:r>
    </w:p>
    <w:p w14:paraId="4C9FE4B1" w14:textId="51405E15" w:rsidR="00C21B57" w:rsidRDefault="00C21B57" w:rsidP="00C21B57">
      <w:pPr>
        <w:pStyle w:val="ListParagraph"/>
        <w:numPr>
          <w:ilvl w:val="0"/>
          <w:numId w:val="8"/>
        </w:numPr>
        <w:spacing w:after="0" w:line="240" w:lineRule="auto"/>
        <w:contextualSpacing w:val="0"/>
        <w:rPr>
          <w:rFonts w:eastAsia="Times New Roman"/>
          <w:lang w:val="en-GB"/>
        </w:rPr>
      </w:pPr>
      <w:r>
        <w:rPr>
          <w:rFonts w:eastAsia="Times New Roman"/>
          <w:lang w:val="en-GB"/>
        </w:rPr>
        <w:t xml:space="preserve">For more inclusive, </w:t>
      </w:r>
      <w:proofErr w:type="gramStart"/>
      <w:r>
        <w:rPr>
          <w:rFonts w:eastAsia="Times New Roman"/>
          <w:lang w:val="en-GB"/>
        </w:rPr>
        <w:t>accessible</w:t>
      </w:r>
      <w:proofErr w:type="gramEnd"/>
      <w:r>
        <w:rPr>
          <w:rFonts w:eastAsia="Times New Roman"/>
          <w:lang w:val="en-GB"/>
        </w:rPr>
        <w:t xml:space="preserve"> and effective standardisation we note that:</w:t>
      </w:r>
    </w:p>
    <w:p w14:paraId="0928E2AF" w14:textId="77777777" w:rsidR="00C21B57" w:rsidRDefault="00C21B57" w:rsidP="00C21B57">
      <w:pPr>
        <w:pStyle w:val="ListParagraph"/>
        <w:numPr>
          <w:ilvl w:val="1"/>
          <w:numId w:val="8"/>
        </w:numPr>
        <w:spacing w:after="0" w:line="240" w:lineRule="auto"/>
        <w:contextualSpacing w:val="0"/>
        <w:rPr>
          <w:rFonts w:eastAsia="Times New Roman"/>
          <w:lang w:val="en-GB"/>
        </w:rPr>
      </w:pPr>
      <w:r>
        <w:rPr>
          <w:rFonts w:eastAsia="Times New Roman"/>
          <w:lang w:val="en-GB"/>
        </w:rPr>
        <w:t>In addition to i</w:t>
      </w:r>
      <w:r w:rsidRPr="00C21B57">
        <w:rPr>
          <w:rFonts w:eastAsia="Times New Roman"/>
          <w:lang w:val="en-GB"/>
        </w:rPr>
        <w:t>ncluding representatives from European user organisations, the EC’s request should encourage an EN 17161 approach to systematic user participation in the relevant processes - both when it comes to the EU and national-level standardisation committees’ work and fulfilling the standard’s requirements.</w:t>
      </w:r>
    </w:p>
    <w:p w14:paraId="47C71606" w14:textId="5931756E" w:rsidR="00C21B57" w:rsidRDefault="00C21B57" w:rsidP="00C21B57">
      <w:pPr>
        <w:pStyle w:val="ListParagraph"/>
        <w:numPr>
          <w:ilvl w:val="1"/>
          <w:numId w:val="8"/>
        </w:numPr>
        <w:spacing w:after="0" w:line="240" w:lineRule="auto"/>
        <w:contextualSpacing w:val="0"/>
        <w:rPr>
          <w:rFonts w:eastAsia="Times New Roman"/>
          <w:lang w:val="en-GB"/>
        </w:rPr>
      </w:pPr>
      <w:r w:rsidRPr="00C21B57">
        <w:rPr>
          <w:rFonts w:eastAsia="Times New Roman"/>
          <w:lang w:val="en-GB"/>
        </w:rPr>
        <w:t>National standardisation bodies should ensure that user organisations, including organisations of persons with disabilities</w:t>
      </w:r>
      <w:r>
        <w:rPr>
          <w:rFonts w:eastAsia="Times New Roman"/>
          <w:lang w:val="en-GB"/>
        </w:rPr>
        <w:t xml:space="preserve"> (DPOs)</w:t>
      </w:r>
      <w:r w:rsidRPr="00C21B57">
        <w:rPr>
          <w:rFonts w:eastAsia="Times New Roman"/>
          <w:lang w:val="en-GB"/>
        </w:rPr>
        <w:t>, have equal level of engagement and weight in decision-making as other stakeholders, not least by removing cost and accessibility barriers to this involvement and ensuring voting rights in committees.</w:t>
      </w:r>
    </w:p>
    <w:p w14:paraId="64624F06" w14:textId="37E13797" w:rsidR="00C21B57" w:rsidRDefault="00C21B57" w:rsidP="00C21B57">
      <w:pPr>
        <w:pStyle w:val="ListParagraph"/>
        <w:numPr>
          <w:ilvl w:val="1"/>
          <w:numId w:val="8"/>
        </w:numPr>
        <w:spacing w:after="0" w:line="240" w:lineRule="auto"/>
        <w:contextualSpacing w:val="0"/>
        <w:rPr>
          <w:rFonts w:eastAsia="Times New Roman"/>
          <w:lang w:val="en-GB"/>
        </w:rPr>
      </w:pPr>
      <w:r w:rsidRPr="00C21B57">
        <w:rPr>
          <w:rFonts w:eastAsia="Times New Roman"/>
          <w:lang w:val="en-GB"/>
        </w:rPr>
        <w:t xml:space="preserve">Cost barriers for consumer organisations, including DPOs are especially high. Many standards which consumers contribute to need to be purchased once they are </w:t>
      </w:r>
      <w:proofErr w:type="gramStart"/>
      <w:r w:rsidRPr="00C21B57">
        <w:rPr>
          <w:rFonts w:eastAsia="Times New Roman"/>
          <w:lang w:val="en-GB"/>
        </w:rPr>
        <w:t>published, and</w:t>
      </w:r>
      <w:proofErr w:type="gramEnd"/>
      <w:r w:rsidRPr="00C21B57">
        <w:rPr>
          <w:rFonts w:eastAsia="Times New Roman"/>
          <w:lang w:val="en-GB"/>
        </w:rPr>
        <w:t xml:space="preserve"> can cost a few hundred Euros. For example, recently published EN17210 costs €187.00 (</w:t>
      </w:r>
      <w:proofErr w:type="spellStart"/>
      <w:r w:rsidRPr="00C21B57">
        <w:rPr>
          <w:rFonts w:eastAsia="Times New Roman"/>
          <w:lang w:val="en-GB"/>
        </w:rPr>
        <w:t>exl</w:t>
      </w:r>
      <w:proofErr w:type="spellEnd"/>
      <w:r w:rsidRPr="00C21B57">
        <w:rPr>
          <w:rFonts w:eastAsia="Times New Roman"/>
          <w:lang w:val="en-GB"/>
        </w:rPr>
        <w:t xml:space="preserve">. VAT) in Belgium (NBN EN 17210). It is therefore not possible for an individual consumer to check if a product or service they use is in conformity with a relevant standard or not. Non-profit organisations cannot </w:t>
      </w:r>
      <w:r w:rsidRPr="00C21B57">
        <w:rPr>
          <w:rFonts w:eastAsia="Times New Roman"/>
          <w:lang w:val="en-GB"/>
        </w:rPr>
        <w:lastRenderedPageBreak/>
        <w:t xml:space="preserve">assess the quality of a standard either without having access to the full, final text. The EC should address this barrier and ensure that consumer organisations, including DPOs, have free access to relevant EAA </w:t>
      </w:r>
      <w:r w:rsidR="00972F71">
        <w:rPr>
          <w:rFonts w:eastAsia="Times New Roman"/>
          <w:lang w:val="en-GB"/>
        </w:rPr>
        <w:t xml:space="preserve">harmonised </w:t>
      </w:r>
      <w:r w:rsidRPr="00C21B57">
        <w:rPr>
          <w:rFonts w:eastAsia="Times New Roman"/>
          <w:lang w:val="en-GB"/>
        </w:rPr>
        <w:t>standards once they are published.</w:t>
      </w:r>
    </w:p>
    <w:p w14:paraId="2EE54606" w14:textId="222FD9F8" w:rsidR="003D6528" w:rsidRDefault="006E7D7B" w:rsidP="00C21B57">
      <w:pPr>
        <w:pStyle w:val="ListParagraph"/>
        <w:numPr>
          <w:ilvl w:val="1"/>
          <w:numId w:val="8"/>
        </w:numPr>
        <w:spacing w:after="0" w:line="240" w:lineRule="auto"/>
        <w:contextualSpacing w:val="0"/>
        <w:rPr>
          <w:rFonts w:eastAsia="Times New Roman"/>
          <w:lang w:val="en-GB"/>
        </w:rPr>
      </w:pPr>
      <w:r w:rsidRPr="00C21B57">
        <w:rPr>
          <w:rFonts w:eastAsia="Times New Roman"/>
          <w:lang w:val="en-GB"/>
        </w:rPr>
        <w:t>The EC to request to the Technical Committee(s) responsible for drafting the standard(s) should have clear and agreed Terms of References which reflect the points above. The Terms of Reference should be agreed when there are different ESOs jointly working on a standard (</w:t>
      </w:r>
      <w:proofErr w:type="gramStart"/>
      <w:r w:rsidRPr="00C21B57">
        <w:rPr>
          <w:rFonts w:eastAsia="Times New Roman"/>
          <w:lang w:val="en-GB"/>
        </w:rPr>
        <w:t>e.g.</w:t>
      </w:r>
      <w:proofErr w:type="gramEnd"/>
      <w:r w:rsidRPr="00C21B57">
        <w:rPr>
          <w:rFonts w:eastAsia="Times New Roman"/>
          <w:lang w:val="en-GB"/>
        </w:rPr>
        <w:t xml:space="preserve"> ETSI and CEN/CENELEC).</w:t>
      </w:r>
    </w:p>
    <w:p w14:paraId="20C9D676" w14:textId="01A51B28" w:rsidR="00CD232B" w:rsidRPr="00CD232B" w:rsidRDefault="00CD232B" w:rsidP="00CD232B">
      <w:pPr>
        <w:pStyle w:val="ListParagraph"/>
        <w:numPr>
          <w:ilvl w:val="0"/>
          <w:numId w:val="8"/>
        </w:numPr>
        <w:spacing w:after="0" w:line="240" w:lineRule="auto"/>
        <w:contextualSpacing w:val="0"/>
        <w:rPr>
          <w:rFonts w:eastAsia="Times New Roman"/>
          <w:lang w:val="en-GB"/>
        </w:rPr>
      </w:pPr>
      <w:r>
        <w:rPr>
          <w:rFonts w:eastAsia="Times New Roman"/>
          <w:lang w:val="en-GB"/>
        </w:rPr>
        <w:t>Finally, we note</w:t>
      </w:r>
      <w:r w:rsidR="00972F71">
        <w:rPr>
          <w:rFonts w:eastAsia="Times New Roman"/>
          <w:lang w:val="en-GB"/>
        </w:rPr>
        <w:t xml:space="preserve"> and welcome</w:t>
      </w:r>
      <w:r>
        <w:rPr>
          <w:rFonts w:eastAsia="Times New Roman"/>
          <w:lang w:val="en-GB"/>
        </w:rPr>
        <w:t xml:space="preserve"> the possibility given by the EAA to the </w:t>
      </w:r>
      <w:r w:rsidRPr="006E7D7B">
        <w:rPr>
          <w:rFonts w:eastAsia="Times New Roman"/>
          <w:lang w:val="en-GB"/>
        </w:rPr>
        <w:t>EC to prepare Technical Specifications in cases related to interoperability matters,</w:t>
      </w:r>
      <w:r w:rsidR="00972F71">
        <w:rPr>
          <w:rFonts w:eastAsia="Times New Roman"/>
          <w:lang w:val="en-GB"/>
        </w:rPr>
        <w:t xml:space="preserve"> or</w:t>
      </w:r>
      <w:r w:rsidRPr="006E7D7B">
        <w:rPr>
          <w:rFonts w:eastAsia="Times New Roman"/>
          <w:lang w:val="en-GB"/>
        </w:rPr>
        <w:t xml:space="preserve"> </w:t>
      </w:r>
      <w:r>
        <w:rPr>
          <w:rFonts w:eastAsia="Times New Roman"/>
          <w:lang w:val="en-GB"/>
        </w:rPr>
        <w:t xml:space="preserve">under certain conditions. </w:t>
      </w:r>
    </w:p>
    <w:p w14:paraId="38D59293" w14:textId="2A80A0FA" w:rsidR="00997569" w:rsidRPr="003D6528" w:rsidRDefault="007F458D" w:rsidP="00997569">
      <w:pPr>
        <w:pStyle w:val="Heading1"/>
        <w:rPr>
          <w:lang w:val="en-GB"/>
        </w:rPr>
      </w:pPr>
      <w:bookmarkStart w:id="6" w:name="_Toc64889282"/>
      <w:bookmarkStart w:id="7" w:name="_Toc74042891"/>
      <w:r w:rsidRPr="003D6528">
        <w:rPr>
          <w:lang w:val="en-GB"/>
        </w:rPr>
        <w:t>Related Documents</w:t>
      </w:r>
      <w:bookmarkEnd w:id="6"/>
      <w:bookmarkEnd w:id="7"/>
    </w:p>
    <w:p w14:paraId="566BA828" w14:textId="77777777" w:rsidR="00997569" w:rsidRPr="003D6528" w:rsidRDefault="00972F71" w:rsidP="00997569">
      <w:pPr>
        <w:numPr>
          <w:ilvl w:val="0"/>
          <w:numId w:val="4"/>
        </w:numPr>
        <w:rPr>
          <w:lang w:val="en-GB"/>
        </w:rPr>
      </w:pPr>
      <w:hyperlink r:id="rId10" w:history="1">
        <w:r w:rsidR="00997569" w:rsidRPr="003D6528">
          <w:rPr>
            <w:rStyle w:val="Hyperlink"/>
            <w:lang w:val="en-GB"/>
          </w:rPr>
          <w:t>UN Convention on the Rights of Persons with Disabilities (UN CRPD)</w:t>
        </w:r>
      </w:hyperlink>
    </w:p>
    <w:p w14:paraId="310D2816" w14:textId="4BD2E73F" w:rsidR="005E0C12" w:rsidRPr="008F6513" w:rsidRDefault="00972F71" w:rsidP="005E0C12">
      <w:pPr>
        <w:numPr>
          <w:ilvl w:val="0"/>
          <w:numId w:val="4"/>
        </w:numPr>
        <w:rPr>
          <w:rStyle w:val="Hyperlink"/>
          <w:color w:val="auto"/>
          <w:u w:val="none"/>
          <w:lang w:val="en-GB"/>
        </w:rPr>
      </w:pPr>
      <w:hyperlink r:id="rId11" w:history="1">
        <w:r w:rsidR="00997569" w:rsidRPr="003D6528">
          <w:rPr>
            <w:rStyle w:val="Hyperlink"/>
            <w:lang w:val="en-GB"/>
          </w:rPr>
          <w:t>European Accessibility Act (Directive (EU) 2019/882 of the European Parliament and of the Council of 17 April 2019 on the accessibility requirements for products and services (Text with EEA relevance))</w:t>
        </w:r>
      </w:hyperlink>
    </w:p>
    <w:p w14:paraId="74FE4682" w14:textId="0AAC119A" w:rsidR="008F6513" w:rsidRPr="003D6528" w:rsidRDefault="00972F71" w:rsidP="005E0C12">
      <w:pPr>
        <w:numPr>
          <w:ilvl w:val="0"/>
          <w:numId w:val="4"/>
        </w:numPr>
        <w:rPr>
          <w:rStyle w:val="Hyperlink"/>
          <w:color w:val="auto"/>
          <w:u w:val="none"/>
          <w:lang w:val="en-GB"/>
        </w:rPr>
      </w:pPr>
      <w:hyperlink r:id="rId12" w:history="1">
        <w:r w:rsidR="008F6513" w:rsidRPr="008F6513">
          <w:rPr>
            <w:rStyle w:val="Hyperlink"/>
            <w:lang w:val="en-GB"/>
          </w:rPr>
          <w:t>EDF European Accessibility Act Toolkit for transposition</w:t>
        </w:r>
      </w:hyperlink>
    </w:p>
    <w:p w14:paraId="758F843E" w14:textId="233F953B" w:rsidR="00FB1C18" w:rsidRPr="003D6528" w:rsidRDefault="00972F71" w:rsidP="00997569">
      <w:pPr>
        <w:numPr>
          <w:ilvl w:val="0"/>
          <w:numId w:val="4"/>
        </w:numPr>
        <w:rPr>
          <w:lang w:val="en-GB"/>
        </w:rPr>
      </w:pPr>
      <w:hyperlink r:id="rId13" w:history="1">
        <w:r w:rsidR="00FB1C18" w:rsidRPr="003D6528">
          <w:rPr>
            <w:rStyle w:val="Hyperlink"/>
            <w:lang w:val="en-GB"/>
          </w:rPr>
          <w:t>Union of Equality: Strategy for the Rights of Persons with Disabilities 2021-2030</w:t>
        </w:r>
      </w:hyperlink>
    </w:p>
    <w:p w14:paraId="41387DF1" w14:textId="284A2A1E" w:rsidR="005674B2" w:rsidRPr="003D6528" w:rsidRDefault="00972F71" w:rsidP="00997569">
      <w:pPr>
        <w:numPr>
          <w:ilvl w:val="0"/>
          <w:numId w:val="4"/>
        </w:numPr>
        <w:ind w:hanging="436"/>
        <w:rPr>
          <w:lang w:val="en-GB"/>
        </w:rPr>
      </w:pPr>
      <w:hyperlink r:id="rId14" w:history="1">
        <w:r w:rsidR="00997569" w:rsidRPr="003D6528">
          <w:rPr>
            <w:rStyle w:val="Hyperlink"/>
            <w:lang w:val="en-GB"/>
          </w:rPr>
          <w:t>Council of Europe’s Common European Framework of Reference for Languages</w:t>
        </w:r>
      </w:hyperlink>
    </w:p>
    <w:p w14:paraId="63B7F075" w14:textId="4814EFFD" w:rsidR="00A9576D" w:rsidRPr="003D6528" w:rsidRDefault="00A9576D" w:rsidP="00A9576D">
      <w:pPr>
        <w:pStyle w:val="Heading1"/>
        <w:pageBreakBefore/>
        <w:rPr>
          <w:lang w:val="en-GB"/>
        </w:rPr>
      </w:pPr>
      <w:bookmarkStart w:id="8" w:name="_Toc74042892"/>
      <w:r w:rsidRPr="003D6528">
        <w:rPr>
          <w:lang w:val="en-GB"/>
        </w:rPr>
        <w:lastRenderedPageBreak/>
        <w:t>Document credits</w:t>
      </w:r>
      <w:bookmarkEnd w:id="8"/>
    </w:p>
    <w:p w14:paraId="2B95C88F" w14:textId="1928B4CB" w:rsidR="00A9576D" w:rsidRDefault="00A9576D" w:rsidP="006D0B23">
      <w:pPr>
        <w:widowControl w:val="0"/>
        <w:spacing w:before="480"/>
        <w:rPr>
          <w:lang w:val="en-GB"/>
        </w:rPr>
      </w:pPr>
      <w:r w:rsidRPr="003D6528">
        <w:rPr>
          <w:lang w:val="en-GB"/>
        </w:rPr>
        <w:t>This document was prepared by</w:t>
      </w:r>
      <w:r w:rsidR="00001E3B" w:rsidRPr="003D6528">
        <w:rPr>
          <w:lang w:val="en-GB"/>
        </w:rPr>
        <w:t xml:space="preserve"> Mher Hakobyan, EDF Accessibility Officer </w:t>
      </w:r>
    </w:p>
    <w:p w14:paraId="49ACA04B" w14:textId="3B653D84" w:rsidR="00D914EF" w:rsidRPr="003D6528" w:rsidRDefault="00D914EF" w:rsidP="006D0B23">
      <w:pPr>
        <w:widowControl w:val="0"/>
        <w:spacing w:before="480"/>
        <w:rPr>
          <w:lang w:val="en-GB"/>
        </w:rPr>
      </w:pPr>
      <w:r>
        <w:rPr>
          <w:lang w:val="en-GB"/>
        </w:rPr>
        <w:t xml:space="preserve">Supported by Alejandro Moledo, EDF Head of Policy </w:t>
      </w:r>
    </w:p>
    <w:p w14:paraId="177D1331" w14:textId="30D02CFC" w:rsidR="009277BC" w:rsidRPr="003D6528" w:rsidRDefault="009277BC" w:rsidP="009277BC">
      <w:pPr>
        <w:widowControl w:val="0"/>
        <w:spacing w:before="480"/>
        <w:rPr>
          <w:lang w:val="en-GB"/>
        </w:rPr>
      </w:pPr>
      <w:r w:rsidRPr="003D6528">
        <w:rPr>
          <w:noProof/>
          <w:lang w:val="en-GB"/>
        </w:rPr>
        <w:drawing>
          <wp:inline distT="0" distB="0" distL="0" distR="0" wp14:anchorId="3D5A81C9" wp14:editId="1E058535">
            <wp:extent cx="998043" cy="1105786"/>
            <wp:effectExtent l="0" t="0" r="0" b="0"/>
            <wp:docPr id="8" name="Picture 8"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6200" cy="1114823"/>
                    </a:xfrm>
                    <a:prstGeom prst="rect">
                      <a:avLst/>
                    </a:prstGeom>
                    <a:noFill/>
                    <a:ln>
                      <a:noFill/>
                    </a:ln>
                  </pic:spPr>
                </pic:pic>
              </a:graphicData>
            </a:graphic>
          </wp:inline>
        </w:drawing>
      </w:r>
    </w:p>
    <w:p w14:paraId="491BC022" w14:textId="2A5E2149" w:rsidR="00A9576D" w:rsidRPr="003D6528" w:rsidRDefault="00A9576D" w:rsidP="006D0B23">
      <w:pPr>
        <w:widowControl w:val="0"/>
        <w:spacing w:before="480"/>
        <w:rPr>
          <w:lang w:val="en-GB"/>
        </w:rPr>
      </w:pPr>
      <w:r w:rsidRPr="003D6528">
        <w:rPr>
          <w:lang w:val="en-GB"/>
        </w:rPr>
        <w:t>The European Disability Forum</w:t>
      </w:r>
      <w:r w:rsidR="009277BC" w:rsidRPr="003D6528">
        <w:rPr>
          <w:lang w:val="en-GB"/>
        </w:rPr>
        <w:br/>
        <w:t xml:space="preserve">Mundo </w:t>
      </w:r>
      <w:proofErr w:type="spellStart"/>
      <w:r w:rsidR="009277BC" w:rsidRPr="003D6528">
        <w:rPr>
          <w:lang w:val="en-GB"/>
        </w:rPr>
        <w:t>Madou</w:t>
      </w:r>
      <w:proofErr w:type="spellEnd"/>
      <w:r w:rsidR="009277BC" w:rsidRPr="003D6528">
        <w:rPr>
          <w:lang w:val="en-GB"/>
        </w:rPr>
        <w:br/>
      </w:r>
      <w:r w:rsidRPr="003D6528">
        <w:rPr>
          <w:lang w:val="en-GB"/>
        </w:rPr>
        <w:t>Avenue des Arts 7-8</w:t>
      </w:r>
      <w:r w:rsidR="009277BC" w:rsidRPr="003D6528">
        <w:rPr>
          <w:lang w:val="en-GB"/>
        </w:rPr>
        <w:br/>
        <w:t>1210 Brussels, Belgium.</w:t>
      </w:r>
    </w:p>
    <w:p w14:paraId="63FAD6C0" w14:textId="334864FE" w:rsidR="00A9576D" w:rsidRPr="003D6528" w:rsidRDefault="00972F71" w:rsidP="006D0B23">
      <w:pPr>
        <w:widowControl w:val="0"/>
        <w:spacing w:before="480"/>
        <w:rPr>
          <w:lang w:val="en-GB"/>
        </w:rPr>
      </w:pPr>
      <w:hyperlink r:id="rId15" w:history="1">
        <w:r w:rsidR="00A9576D" w:rsidRPr="003D6528">
          <w:rPr>
            <w:rStyle w:val="Hyperlink"/>
            <w:lang w:val="en-GB"/>
          </w:rPr>
          <w:t>www.edf-feph.org</w:t>
        </w:r>
      </w:hyperlink>
    </w:p>
    <w:p w14:paraId="7B572B14" w14:textId="5A1C910E" w:rsidR="009277BC" w:rsidRPr="003D6528" w:rsidRDefault="00972F71" w:rsidP="006D0B23">
      <w:pPr>
        <w:widowControl w:val="0"/>
        <w:spacing w:before="480"/>
        <w:rPr>
          <w:lang w:val="en-GB"/>
        </w:rPr>
      </w:pPr>
      <w:hyperlink r:id="rId16" w:history="1">
        <w:r w:rsidR="009277BC" w:rsidRPr="003D6528">
          <w:rPr>
            <w:rStyle w:val="Hyperlink"/>
            <w:lang w:val="en-GB"/>
          </w:rPr>
          <w:t>info@edf-feph.org</w:t>
        </w:r>
      </w:hyperlink>
    </w:p>
    <w:p w14:paraId="23807C83" w14:textId="06A6BD57" w:rsidR="009277BC" w:rsidRPr="003D6528" w:rsidRDefault="009277BC" w:rsidP="009277BC">
      <w:pPr>
        <w:widowControl w:val="0"/>
        <w:spacing w:before="1680" w:after="120"/>
        <w:rPr>
          <w:lang w:val="en-GB"/>
        </w:rPr>
      </w:pPr>
      <w:r w:rsidRPr="003D6528">
        <w:rPr>
          <w:lang w:val="en-GB"/>
        </w:rPr>
        <w:t>This publication has received financial support from the European Union. The information contained in this publication does not necessarily reflect the official position of the European Commission.</w:t>
      </w:r>
    </w:p>
    <w:p w14:paraId="45BA7225" w14:textId="1CB9D07B" w:rsidR="009277BC" w:rsidRPr="003D6528" w:rsidRDefault="009277BC" w:rsidP="009277BC">
      <w:pPr>
        <w:widowControl w:val="0"/>
        <w:spacing w:before="120"/>
        <w:jc w:val="center"/>
        <w:rPr>
          <w:lang w:val="en-GB"/>
        </w:rPr>
      </w:pPr>
      <w:r w:rsidRPr="003D6528">
        <w:rPr>
          <w:noProof/>
          <w:lang w:val="en-GB"/>
        </w:rPr>
        <w:drawing>
          <wp:inline distT="0" distB="0" distL="0" distR="0" wp14:anchorId="1F7FCCC3" wp14:editId="04DF12A9">
            <wp:extent cx="1201890" cy="812800"/>
            <wp:effectExtent l="0" t="0" r="0" b="6350"/>
            <wp:docPr id="19" name="Picture 19"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sectPr w:rsidR="009277BC" w:rsidRPr="003D6528" w:rsidSect="006D0B23">
      <w:footerReference w:type="default" r:id="rId17"/>
      <w:pgSz w:w="11906" w:h="16838" w:code="9"/>
      <w:pgMar w:top="1440" w:right="1440" w:bottom="1440" w:left="1440" w:header="720" w:footer="720" w:gutter="0"/>
      <w:pgBorders w:display="notFirstPage"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35456" w14:textId="77777777" w:rsidR="00BA4DFD" w:rsidRDefault="00BA4DFD" w:rsidP="00E47FF5">
      <w:pPr>
        <w:spacing w:after="0" w:line="240" w:lineRule="auto"/>
      </w:pPr>
      <w:r>
        <w:separator/>
      </w:r>
    </w:p>
  </w:endnote>
  <w:endnote w:type="continuationSeparator" w:id="0">
    <w:p w14:paraId="123F3619" w14:textId="77777777" w:rsidR="00BA4DFD" w:rsidRDefault="00BA4DFD" w:rsidP="00E4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530601"/>
      <w:docPartObj>
        <w:docPartGallery w:val="Page Numbers (Bottom of Page)"/>
        <w:docPartUnique/>
      </w:docPartObj>
    </w:sdtPr>
    <w:sdtEndPr/>
    <w:sdtContent>
      <w:p w14:paraId="63306FAB" w14:textId="270C9223" w:rsidR="00BA4DFD" w:rsidRDefault="00BA4DFD">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CAF3317" w14:textId="77777777" w:rsidR="00BA4DFD" w:rsidRDefault="00BA4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2F7CF" w14:textId="77777777" w:rsidR="00BA4DFD" w:rsidRDefault="00BA4DFD" w:rsidP="00E47FF5">
      <w:pPr>
        <w:spacing w:after="0" w:line="240" w:lineRule="auto"/>
      </w:pPr>
      <w:r>
        <w:separator/>
      </w:r>
    </w:p>
  </w:footnote>
  <w:footnote w:type="continuationSeparator" w:id="0">
    <w:p w14:paraId="3B0C8084" w14:textId="77777777" w:rsidR="00BA4DFD" w:rsidRDefault="00BA4DFD" w:rsidP="00E47FF5">
      <w:pPr>
        <w:spacing w:after="0" w:line="240" w:lineRule="auto"/>
      </w:pPr>
      <w:r>
        <w:continuationSeparator/>
      </w:r>
    </w:p>
  </w:footnote>
  <w:footnote w:id="1">
    <w:p w14:paraId="7864A783" w14:textId="3FACB151" w:rsidR="0036712B" w:rsidRPr="0036712B" w:rsidRDefault="0036712B">
      <w:pPr>
        <w:pStyle w:val="FootnoteText"/>
        <w:rPr>
          <w:lang w:val="en-GB"/>
        </w:rPr>
      </w:pPr>
      <w:r>
        <w:rPr>
          <w:rStyle w:val="FootnoteReference"/>
        </w:rPr>
        <w:footnoteRef/>
      </w:r>
      <w:r>
        <w:t xml:space="preserve"> </w:t>
      </w:r>
      <w:r w:rsidRPr="0036712B">
        <w:t>We have provided</w:t>
      </w:r>
      <w:r>
        <w:t xml:space="preserve"> similar</w:t>
      </w:r>
      <w:r w:rsidRPr="0036712B">
        <w:t xml:space="preserve"> input to the feedback provided by SAGA (CEN/BT/WG 213, Strategic Advisory Group on Accessibility).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24A5"/>
    <w:multiLevelType w:val="hybridMultilevel"/>
    <w:tmpl w:val="236E9882"/>
    <w:lvl w:ilvl="0" w:tplc="55CCD882">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B5B4A"/>
    <w:multiLevelType w:val="hybridMultilevel"/>
    <w:tmpl w:val="01BE1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06943"/>
    <w:multiLevelType w:val="hybridMultilevel"/>
    <w:tmpl w:val="00A0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BB48E7"/>
    <w:multiLevelType w:val="hybridMultilevel"/>
    <w:tmpl w:val="1F1CB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3D61A1"/>
    <w:multiLevelType w:val="hybridMultilevel"/>
    <w:tmpl w:val="53C2C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6D4A77"/>
    <w:multiLevelType w:val="hybridMultilevel"/>
    <w:tmpl w:val="540254DE"/>
    <w:lvl w:ilvl="0" w:tplc="9382856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BCB7EB4"/>
    <w:multiLevelType w:val="hybridMultilevel"/>
    <w:tmpl w:val="87D21E00"/>
    <w:lvl w:ilvl="0" w:tplc="55CCD882">
      <w:start w:val="1"/>
      <w:numFmt w:val="decimal"/>
      <w:lvlText w:val="%1."/>
      <w:lvlJc w:val="left"/>
      <w:pPr>
        <w:ind w:left="1070" w:hanging="7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8768F2"/>
    <w:multiLevelType w:val="hybridMultilevel"/>
    <w:tmpl w:val="7A36E4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0A9500A"/>
    <w:multiLevelType w:val="hybridMultilevel"/>
    <w:tmpl w:val="A2CE4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4"/>
  </w:num>
  <w:num w:numId="6">
    <w:abstractNumId w:val="1"/>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F5"/>
    <w:rsid w:val="00001E3B"/>
    <w:rsid w:val="00054D5A"/>
    <w:rsid w:val="00066579"/>
    <w:rsid w:val="00084DB0"/>
    <w:rsid w:val="000966A4"/>
    <w:rsid w:val="000B1D46"/>
    <w:rsid w:val="000D1F77"/>
    <w:rsid w:val="000D2D0B"/>
    <w:rsid w:val="000D37E5"/>
    <w:rsid w:val="00110CE7"/>
    <w:rsid w:val="001763F2"/>
    <w:rsid w:val="00187E62"/>
    <w:rsid w:val="001B43B7"/>
    <w:rsid w:val="001D526C"/>
    <w:rsid w:val="001E0F08"/>
    <w:rsid w:val="002133A6"/>
    <w:rsid w:val="00240F42"/>
    <w:rsid w:val="00252657"/>
    <w:rsid w:val="00282B80"/>
    <w:rsid w:val="00312FCE"/>
    <w:rsid w:val="003235F3"/>
    <w:rsid w:val="00341499"/>
    <w:rsid w:val="00355289"/>
    <w:rsid w:val="0036712B"/>
    <w:rsid w:val="00396075"/>
    <w:rsid w:val="003B516A"/>
    <w:rsid w:val="003C78D1"/>
    <w:rsid w:val="003D1BF3"/>
    <w:rsid w:val="003D3BE2"/>
    <w:rsid w:val="003D6528"/>
    <w:rsid w:val="003E719D"/>
    <w:rsid w:val="003E7741"/>
    <w:rsid w:val="004028CF"/>
    <w:rsid w:val="00405C67"/>
    <w:rsid w:val="004136FE"/>
    <w:rsid w:val="004305C7"/>
    <w:rsid w:val="00434200"/>
    <w:rsid w:val="004B02F2"/>
    <w:rsid w:val="00501D36"/>
    <w:rsid w:val="005275FE"/>
    <w:rsid w:val="00535F43"/>
    <w:rsid w:val="00541EBA"/>
    <w:rsid w:val="005541BA"/>
    <w:rsid w:val="00564B6C"/>
    <w:rsid w:val="005674B2"/>
    <w:rsid w:val="00573E19"/>
    <w:rsid w:val="005B01F0"/>
    <w:rsid w:val="005D414D"/>
    <w:rsid w:val="005E0C12"/>
    <w:rsid w:val="005F0D17"/>
    <w:rsid w:val="00606390"/>
    <w:rsid w:val="00607DF3"/>
    <w:rsid w:val="006658F7"/>
    <w:rsid w:val="006A6BD9"/>
    <w:rsid w:val="006B321E"/>
    <w:rsid w:val="006C1A26"/>
    <w:rsid w:val="006C6E10"/>
    <w:rsid w:val="006D0B23"/>
    <w:rsid w:val="006E7D7B"/>
    <w:rsid w:val="007016E4"/>
    <w:rsid w:val="0074605F"/>
    <w:rsid w:val="00765FAD"/>
    <w:rsid w:val="0077661F"/>
    <w:rsid w:val="0078482E"/>
    <w:rsid w:val="007A5B98"/>
    <w:rsid w:val="007B0427"/>
    <w:rsid w:val="007B4974"/>
    <w:rsid w:val="007C7CD3"/>
    <w:rsid w:val="007F458D"/>
    <w:rsid w:val="007F7C9C"/>
    <w:rsid w:val="008054A7"/>
    <w:rsid w:val="008065A5"/>
    <w:rsid w:val="008166D8"/>
    <w:rsid w:val="00846998"/>
    <w:rsid w:val="008536AB"/>
    <w:rsid w:val="00875E7D"/>
    <w:rsid w:val="008958EB"/>
    <w:rsid w:val="008B6894"/>
    <w:rsid w:val="008E31C7"/>
    <w:rsid w:val="008F6513"/>
    <w:rsid w:val="00900C8D"/>
    <w:rsid w:val="00904969"/>
    <w:rsid w:val="009167C0"/>
    <w:rsid w:val="009277BC"/>
    <w:rsid w:val="00940AA2"/>
    <w:rsid w:val="009478AE"/>
    <w:rsid w:val="00966490"/>
    <w:rsid w:val="00970248"/>
    <w:rsid w:val="00972F1F"/>
    <w:rsid w:val="00972F71"/>
    <w:rsid w:val="00997569"/>
    <w:rsid w:val="00997D54"/>
    <w:rsid w:val="009A4862"/>
    <w:rsid w:val="009B6E4F"/>
    <w:rsid w:val="009C5A86"/>
    <w:rsid w:val="009C7E98"/>
    <w:rsid w:val="009D4A63"/>
    <w:rsid w:val="009D4D9C"/>
    <w:rsid w:val="00A3758B"/>
    <w:rsid w:val="00A91021"/>
    <w:rsid w:val="00A9576D"/>
    <w:rsid w:val="00AB6398"/>
    <w:rsid w:val="00AB7F28"/>
    <w:rsid w:val="00AD55B8"/>
    <w:rsid w:val="00AE0D55"/>
    <w:rsid w:val="00AF276B"/>
    <w:rsid w:val="00AF74AC"/>
    <w:rsid w:val="00B17F35"/>
    <w:rsid w:val="00B25297"/>
    <w:rsid w:val="00B30927"/>
    <w:rsid w:val="00B336DE"/>
    <w:rsid w:val="00B515CD"/>
    <w:rsid w:val="00BA4DFD"/>
    <w:rsid w:val="00BB66D3"/>
    <w:rsid w:val="00BC1787"/>
    <w:rsid w:val="00BD463A"/>
    <w:rsid w:val="00BE53F0"/>
    <w:rsid w:val="00C03673"/>
    <w:rsid w:val="00C21B57"/>
    <w:rsid w:val="00C549A8"/>
    <w:rsid w:val="00C638AC"/>
    <w:rsid w:val="00CA4FC8"/>
    <w:rsid w:val="00CB7138"/>
    <w:rsid w:val="00CD232B"/>
    <w:rsid w:val="00CD5C83"/>
    <w:rsid w:val="00D0060C"/>
    <w:rsid w:val="00D028AD"/>
    <w:rsid w:val="00D11DAB"/>
    <w:rsid w:val="00D137BA"/>
    <w:rsid w:val="00D21195"/>
    <w:rsid w:val="00D27087"/>
    <w:rsid w:val="00D305EE"/>
    <w:rsid w:val="00D42284"/>
    <w:rsid w:val="00D43C81"/>
    <w:rsid w:val="00D737E8"/>
    <w:rsid w:val="00D914EF"/>
    <w:rsid w:val="00DA251E"/>
    <w:rsid w:val="00DE2DD3"/>
    <w:rsid w:val="00E06419"/>
    <w:rsid w:val="00E23446"/>
    <w:rsid w:val="00E24EBD"/>
    <w:rsid w:val="00E30A18"/>
    <w:rsid w:val="00E37462"/>
    <w:rsid w:val="00E37CEF"/>
    <w:rsid w:val="00E41423"/>
    <w:rsid w:val="00E47FF5"/>
    <w:rsid w:val="00E5752E"/>
    <w:rsid w:val="00E62CBF"/>
    <w:rsid w:val="00E70BC9"/>
    <w:rsid w:val="00E73B58"/>
    <w:rsid w:val="00E779D9"/>
    <w:rsid w:val="00E843FC"/>
    <w:rsid w:val="00EA0706"/>
    <w:rsid w:val="00EB727B"/>
    <w:rsid w:val="00EC688E"/>
    <w:rsid w:val="00ED3393"/>
    <w:rsid w:val="00EE7833"/>
    <w:rsid w:val="00F213EA"/>
    <w:rsid w:val="00F22394"/>
    <w:rsid w:val="00F34A74"/>
    <w:rsid w:val="00F5051D"/>
    <w:rsid w:val="00F641AC"/>
    <w:rsid w:val="00F85AF5"/>
    <w:rsid w:val="00FB155E"/>
    <w:rsid w:val="00FB1C18"/>
    <w:rsid w:val="00FE10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0B196B5"/>
  <w15:chartTrackingRefBased/>
  <w15:docId w15:val="{CB0E9257-9E25-4855-A40A-A86F4080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390"/>
    <w:rPr>
      <w:rFonts w:ascii="Verdana" w:hAnsi="Verdana"/>
      <w:sz w:val="24"/>
    </w:rPr>
  </w:style>
  <w:style w:type="paragraph" w:styleId="Heading1">
    <w:name w:val="heading 1"/>
    <w:basedOn w:val="Normal"/>
    <w:next w:val="Normal"/>
    <w:link w:val="Heading1Char"/>
    <w:uiPriority w:val="9"/>
    <w:qFormat/>
    <w:rsid w:val="006D0B23"/>
    <w:pPr>
      <w:keepNext/>
      <w:keepLines/>
      <w:pBdr>
        <w:top w:val="single" w:sz="4" w:space="3" w:color="2E73AC"/>
        <w:left w:val="single" w:sz="4" w:space="31" w:color="2E73AC"/>
        <w:bottom w:val="single" w:sz="4" w:space="3" w:color="2E73AC"/>
        <w:right w:val="single" w:sz="4" w:space="31" w:color="2E73AC"/>
      </w:pBdr>
      <w:shd w:val="clear" w:color="auto" w:fill="2E73AC"/>
      <w:spacing w:before="360" w:after="240"/>
      <w:outlineLvl w:val="0"/>
    </w:pPr>
    <w:rPr>
      <w:rFonts w:ascii="Arial" w:eastAsiaTheme="majorEastAsia" w:hAnsi="Arial" w:cstheme="majorBidi"/>
      <w:b/>
      <w:color w:val="FFFFFF" w:themeColor="background1"/>
      <w:sz w:val="32"/>
      <w:szCs w:val="32"/>
    </w:rPr>
  </w:style>
  <w:style w:type="paragraph" w:styleId="Heading2">
    <w:name w:val="heading 2"/>
    <w:basedOn w:val="Normal"/>
    <w:next w:val="Normal"/>
    <w:link w:val="Heading2Char"/>
    <w:uiPriority w:val="9"/>
    <w:unhideWhenUsed/>
    <w:qFormat/>
    <w:rsid w:val="00187E62"/>
    <w:pPr>
      <w:keepNext/>
      <w:keepLines/>
      <w:pBdr>
        <w:top w:val="single" w:sz="4" w:space="1" w:color="A20000"/>
        <w:left w:val="single" w:sz="4" w:space="31" w:color="A20000"/>
        <w:bottom w:val="single" w:sz="4" w:space="1" w:color="A20000"/>
        <w:right w:val="single" w:sz="4" w:space="31" w:color="A20000"/>
      </w:pBdr>
      <w:shd w:val="clear" w:color="auto" w:fill="C00000"/>
      <w:spacing w:before="360" w:after="120"/>
      <w:outlineLvl w:val="1"/>
    </w:pPr>
    <w:rPr>
      <w:rFonts w:ascii="Arial" w:eastAsiaTheme="majorEastAsia" w:hAnsi="Arial" w:cstheme="majorBidi"/>
      <w:b/>
      <w:color w:val="FFFFFF" w:themeColor="background1"/>
      <w:sz w:val="28"/>
      <w:szCs w:val="26"/>
    </w:rPr>
  </w:style>
  <w:style w:type="paragraph" w:styleId="Heading3">
    <w:name w:val="heading 3"/>
    <w:basedOn w:val="Normal"/>
    <w:next w:val="Normal"/>
    <w:link w:val="Heading3Char"/>
    <w:uiPriority w:val="9"/>
    <w:unhideWhenUsed/>
    <w:qFormat/>
    <w:rsid w:val="00187E62"/>
    <w:pPr>
      <w:keepNext/>
      <w:keepLines/>
      <w:spacing w:before="120" w:after="120"/>
      <w:outlineLvl w:val="2"/>
    </w:pPr>
    <w:rPr>
      <w:rFonts w:ascii="Arial" w:eastAsiaTheme="majorEastAsia" w:hAnsi="Arial" w:cstheme="majorBidi"/>
      <w:b/>
      <w:color w:val="A20000"/>
      <w:sz w:val="28"/>
      <w:szCs w:val="24"/>
    </w:rPr>
  </w:style>
  <w:style w:type="paragraph" w:styleId="Heading4">
    <w:name w:val="heading 4"/>
    <w:basedOn w:val="Normal"/>
    <w:next w:val="Normal"/>
    <w:link w:val="Heading4Char"/>
    <w:uiPriority w:val="9"/>
    <w:unhideWhenUsed/>
    <w:qFormat/>
    <w:rsid w:val="00187E62"/>
    <w:pPr>
      <w:keepNext/>
      <w:keepLines/>
      <w:spacing w:before="120" w:after="240"/>
      <w:outlineLvl w:val="3"/>
    </w:pPr>
    <w:rPr>
      <w:rFonts w:ascii="Arial" w:eastAsiaTheme="majorEastAsia" w:hAnsi="Arial" w:cstheme="majorBidi"/>
      <w:b/>
      <w:iCs/>
      <w:color w:val="2E73A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7FF5"/>
    <w:pPr>
      <w:spacing w:after="0" w:line="240" w:lineRule="auto"/>
    </w:pPr>
    <w:rPr>
      <w:rFonts w:eastAsiaTheme="minorEastAsia"/>
    </w:rPr>
  </w:style>
  <w:style w:type="character" w:customStyle="1" w:styleId="NoSpacingChar">
    <w:name w:val="No Spacing Char"/>
    <w:basedOn w:val="DefaultParagraphFont"/>
    <w:link w:val="NoSpacing"/>
    <w:uiPriority w:val="1"/>
    <w:rsid w:val="00E47FF5"/>
    <w:rPr>
      <w:rFonts w:eastAsiaTheme="minorEastAsia"/>
    </w:rPr>
  </w:style>
  <w:style w:type="paragraph" w:styleId="Header">
    <w:name w:val="header"/>
    <w:basedOn w:val="Normal"/>
    <w:link w:val="HeaderChar"/>
    <w:uiPriority w:val="99"/>
    <w:unhideWhenUsed/>
    <w:rsid w:val="00E4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FF5"/>
    <w:rPr>
      <w:sz w:val="24"/>
    </w:rPr>
  </w:style>
  <w:style w:type="paragraph" w:styleId="Footer">
    <w:name w:val="footer"/>
    <w:basedOn w:val="Normal"/>
    <w:link w:val="FooterChar"/>
    <w:uiPriority w:val="99"/>
    <w:unhideWhenUsed/>
    <w:rsid w:val="00E4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FF5"/>
    <w:rPr>
      <w:sz w:val="24"/>
    </w:rPr>
  </w:style>
  <w:style w:type="paragraph" w:styleId="Title">
    <w:name w:val="Title"/>
    <w:basedOn w:val="Normal"/>
    <w:next w:val="Normal"/>
    <w:link w:val="TitleChar"/>
    <w:uiPriority w:val="10"/>
    <w:qFormat/>
    <w:rsid w:val="008054A7"/>
    <w:pPr>
      <w:spacing w:before="840" w:after="0" w:line="240" w:lineRule="auto"/>
      <w:contextualSpacing/>
    </w:pPr>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character" w:customStyle="1" w:styleId="TitleChar">
    <w:name w:val="Title Char"/>
    <w:basedOn w:val="DefaultParagraphFont"/>
    <w:link w:val="Title"/>
    <w:uiPriority w:val="10"/>
    <w:rsid w:val="008054A7"/>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paragraph" w:styleId="Subtitle">
    <w:name w:val="Subtitle"/>
    <w:basedOn w:val="Normal"/>
    <w:next w:val="Normal"/>
    <w:link w:val="SubtitleChar"/>
    <w:uiPriority w:val="11"/>
    <w:qFormat/>
    <w:rsid w:val="004136FE"/>
    <w:pPr>
      <w:numPr>
        <w:ilvl w:val="1"/>
      </w:numPr>
      <w:spacing w:before="120" w:after="120"/>
    </w:pPr>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SubtitleChar">
    <w:name w:val="Subtitle Char"/>
    <w:basedOn w:val="DefaultParagraphFont"/>
    <w:link w:val="Subtitle"/>
    <w:uiPriority w:val="11"/>
    <w:rsid w:val="004136FE"/>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Heading1Char">
    <w:name w:val="Heading 1 Char"/>
    <w:basedOn w:val="DefaultParagraphFont"/>
    <w:link w:val="Heading1"/>
    <w:uiPriority w:val="9"/>
    <w:rsid w:val="006D0B23"/>
    <w:rPr>
      <w:rFonts w:ascii="Arial" w:eastAsiaTheme="majorEastAsia" w:hAnsi="Arial" w:cstheme="majorBidi"/>
      <w:b/>
      <w:color w:val="FFFFFF" w:themeColor="background1"/>
      <w:sz w:val="32"/>
      <w:szCs w:val="32"/>
      <w:shd w:val="clear" w:color="auto" w:fill="2E73AC"/>
    </w:rPr>
  </w:style>
  <w:style w:type="paragraph" w:styleId="TOCHeading">
    <w:name w:val="TOC Heading"/>
    <w:basedOn w:val="Heading1"/>
    <w:next w:val="Normal"/>
    <w:uiPriority w:val="39"/>
    <w:unhideWhenUsed/>
    <w:qFormat/>
    <w:rsid w:val="006D0B23"/>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6D0B23"/>
    <w:pPr>
      <w:spacing w:after="100"/>
    </w:pPr>
  </w:style>
  <w:style w:type="character" w:styleId="Hyperlink">
    <w:name w:val="Hyperlink"/>
    <w:basedOn w:val="DefaultParagraphFont"/>
    <w:uiPriority w:val="99"/>
    <w:unhideWhenUsed/>
    <w:rsid w:val="006D0B23"/>
    <w:rPr>
      <w:color w:val="0563C1" w:themeColor="hyperlink"/>
      <w:u w:val="single"/>
    </w:rPr>
  </w:style>
  <w:style w:type="character" w:styleId="UnresolvedMention">
    <w:name w:val="Unresolved Mention"/>
    <w:basedOn w:val="DefaultParagraphFont"/>
    <w:uiPriority w:val="99"/>
    <w:semiHidden/>
    <w:unhideWhenUsed/>
    <w:rsid w:val="00A9576D"/>
    <w:rPr>
      <w:color w:val="605E5C"/>
      <w:shd w:val="clear" w:color="auto" w:fill="E1DFDD"/>
    </w:rPr>
  </w:style>
  <w:style w:type="table" w:styleId="TableGrid">
    <w:name w:val="Table Grid"/>
    <w:basedOn w:val="TableNormal"/>
    <w:uiPriority w:val="59"/>
    <w:rsid w:val="00A9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7BC"/>
    <w:pPr>
      <w:ind w:left="720"/>
      <w:contextualSpacing/>
    </w:pPr>
  </w:style>
  <w:style w:type="character" w:customStyle="1" w:styleId="Heading2Char">
    <w:name w:val="Heading 2 Char"/>
    <w:basedOn w:val="DefaultParagraphFont"/>
    <w:link w:val="Heading2"/>
    <w:uiPriority w:val="9"/>
    <w:rsid w:val="00187E62"/>
    <w:rPr>
      <w:rFonts w:ascii="Arial" w:eastAsiaTheme="majorEastAsia" w:hAnsi="Arial" w:cstheme="majorBidi"/>
      <w:b/>
      <w:color w:val="FFFFFF" w:themeColor="background1"/>
      <w:sz w:val="28"/>
      <w:szCs w:val="26"/>
      <w:shd w:val="clear" w:color="auto" w:fill="C00000"/>
    </w:rPr>
  </w:style>
  <w:style w:type="character" w:customStyle="1" w:styleId="Heading3Char">
    <w:name w:val="Heading 3 Char"/>
    <w:basedOn w:val="DefaultParagraphFont"/>
    <w:link w:val="Heading3"/>
    <w:uiPriority w:val="9"/>
    <w:rsid w:val="00187E62"/>
    <w:rPr>
      <w:rFonts w:ascii="Arial" w:eastAsiaTheme="majorEastAsia" w:hAnsi="Arial" w:cstheme="majorBidi"/>
      <w:b/>
      <w:color w:val="A20000"/>
      <w:sz w:val="28"/>
      <w:szCs w:val="24"/>
    </w:rPr>
  </w:style>
  <w:style w:type="paragraph" w:styleId="TOC2">
    <w:name w:val="toc 2"/>
    <w:basedOn w:val="Normal"/>
    <w:next w:val="Normal"/>
    <w:autoRedefine/>
    <w:uiPriority w:val="39"/>
    <w:unhideWhenUsed/>
    <w:rsid w:val="00282B80"/>
    <w:pPr>
      <w:spacing w:after="100"/>
      <w:ind w:left="240"/>
    </w:pPr>
  </w:style>
  <w:style w:type="character" w:customStyle="1" w:styleId="Heading4Char">
    <w:name w:val="Heading 4 Char"/>
    <w:basedOn w:val="DefaultParagraphFont"/>
    <w:link w:val="Heading4"/>
    <w:uiPriority w:val="9"/>
    <w:rsid w:val="00187E62"/>
    <w:rPr>
      <w:rFonts w:ascii="Arial" w:eastAsiaTheme="majorEastAsia" w:hAnsi="Arial" w:cstheme="majorBidi"/>
      <w:b/>
      <w:iCs/>
      <w:color w:val="2E73AC"/>
      <w:sz w:val="28"/>
    </w:rPr>
  </w:style>
  <w:style w:type="paragraph" w:styleId="BalloonText">
    <w:name w:val="Balloon Text"/>
    <w:basedOn w:val="Normal"/>
    <w:link w:val="BalloonTextChar"/>
    <w:uiPriority w:val="99"/>
    <w:semiHidden/>
    <w:unhideWhenUsed/>
    <w:rsid w:val="00CD5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C83"/>
    <w:rPr>
      <w:rFonts w:ascii="Segoe UI" w:hAnsi="Segoe UI" w:cs="Segoe UI"/>
      <w:sz w:val="18"/>
      <w:szCs w:val="18"/>
    </w:rPr>
  </w:style>
  <w:style w:type="paragraph" w:styleId="FootnoteText">
    <w:name w:val="footnote text"/>
    <w:basedOn w:val="Normal"/>
    <w:link w:val="FootnoteTextChar"/>
    <w:uiPriority w:val="99"/>
    <w:semiHidden/>
    <w:unhideWhenUsed/>
    <w:rsid w:val="00F641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41AC"/>
    <w:rPr>
      <w:rFonts w:ascii="Verdana" w:hAnsi="Verdana"/>
      <w:sz w:val="20"/>
      <w:szCs w:val="20"/>
    </w:rPr>
  </w:style>
  <w:style w:type="character" w:styleId="FootnoteReference">
    <w:name w:val="footnote reference"/>
    <w:basedOn w:val="DefaultParagraphFont"/>
    <w:uiPriority w:val="99"/>
    <w:semiHidden/>
    <w:unhideWhenUsed/>
    <w:rsid w:val="00F641AC"/>
    <w:rPr>
      <w:vertAlign w:val="superscript"/>
    </w:rPr>
  </w:style>
  <w:style w:type="character" w:styleId="CommentReference">
    <w:name w:val="annotation reference"/>
    <w:basedOn w:val="DefaultParagraphFont"/>
    <w:uiPriority w:val="99"/>
    <w:semiHidden/>
    <w:unhideWhenUsed/>
    <w:rsid w:val="00AE0D55"/>
    <w:rPr>
      <w:sz w:val="16"/>
      <w:szCs w:val="16"/>
    </w:rPr>
  </w:style>
  <w:style w:type="paragraph" w:styleId="CommentText">
    <w:name w:val="annotation text"/>
    <w:basedOn w:val="Normal"/>
    <w:link w:val="CommentTextChar"/>
    <w:uiPriority w:val="99"/>
    <w:unhideWhenUsed/>
    <w:rsid w:val="00AE0D55"/>
    <w:pPr>
      <w:spacing w:line="240" w:lineRule="auto"/>
    </w:pPr>
    <w:rPr>
      <w:sz w:val="20"/>
      <w:szCs w:val="20"/>
    </w:rPr>
  </w:style>
  <w:style w:type="character" w:customStyle="1" w:styleId="CommentTextChar">
    <w:name w:val="Comment Text Char"/>
    <w:basedOn w:val="DefaultParagraphFont"/>
    <w:link w:val="CommentText"/>
    <w:uiPriority w:val="99"/>
    <w:rsid w:val="00AE0D55"/>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AE0D55"/>
    <w:rPr>
      <w:b/>
      <w:bCs/>
    </w:rPr>
  </w:style>
  <w:style w:type="character" w:customStyle="1" w:styleId="CommentSubjectChar">
    <w:name w:val="Comment Subject Char"/>
    <w:basedOn w:val="CommentTextChar"/>
    <w:link w:val="CommentSubject"/>
    <w:uiPriority w:val="99"/>
    <w:semiHidden/>
    <w:rsid w:val="00AE0D55"/>
    <w:rPr>
      <w:rFonts w:ascii="Verdana" w:hAnsi="Verdana"/>
      <w:b/>
      <w:bCs/>
      <w:sz w:val="20"/>
      <w:szCs w:val="20"/>
    </w:rPr>
  </w:style>
  <w:style w:type="paragraph" w:customStyle="1" w:styleId="Default">
    <w:name w:val="Default"/>
    <w:rsid w:val="00AB6398"/>
    <w:pPr>
      <w:autoSpaceDE w:val="0"/>
      <w:autoSpaceDN w:val="0"/>
      <w:adjustRightInd w:val="0"/>
      <w:spacing w:after="0" w:line="240" w:lineRule="auto"/>
    </w:pPr>
    <w:rPr>
      <w:rFonts w:ascii="Verdana" w:hAnsi="Verdana" w:cs="Verdana"/>
      <w:color w:val="000000"/>
      <w:sz w:val="24"/>
      <w:szCs w:val="24"/>
      <w:lang w:val="en-GB"/>
    </w:rPr>
  </w:style>
  <w:style w:type="paragraph" w:customStyle="1" w:styleId="Normal1">
    <w:name w:val="Normal1"/>
    <w:basedOn w:val="Normal"/>
    <w:rsid w:val="003E7741"/>
    <w:pPr>
      <w:spacing w:before="100" w:beforeAutospacing="1" w:after="100" w:afterAutospacing="1" w:line="240" w:lineRule="auto"/>
    </w:pPr>
    <w:rPr>
      <w:rFonts w:ascii="Times New Roman" w:eastAsia="Times New Roman" w:hAnsi="Times New Roman"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2488">
      <w:bodyDiv w:val="1"/>
      <w:marLeft w:val="0"/>
      <w:marRight w:val="0"/>
      <w:marTop w:val="0"/>
      <w:marBottom w:val="0"/>
      <w:divBdr>
        <w:top w:val="none" w:sz="0" w:space="0" w:color="auto"/>
        <w:left w:val="none" w:sz="0" w:space="0" w:color="auto"/>
        <w:bottom w:val="none" w:sz="0" w:space="0" w:color="auto"/>
        <w:right w:val="none" w:sz="0" w:space="0" w:color="auto"/>
      </w:divBdr>
    </w:div>
    <w:div w:id="201593945">
      <w:bodyDiv w:val="1"/>
      <w:marLeft w:val="0"/>
      <w:marRight w:val="0"/>
      <w:marTop w:val="0"/>
      <w:marBottom w:val="0"/>
      <w:divBdr>
        <w:top w:val="none" w:sz="0" w:space="0" w:color="auto"/>
        <w:left w:val="none" w:sz="0" w:space="0" w:color="auto"/>
        <w:bottom w:val="none" w:sz="0" w:space="0" w:color="auto"/>
        <w:right w:val="none" w:sz="0" w:space="0" w:color="auto"/>
      </w:divBdr>
    </w:div>
    <w:div w:id="342559343">
      <w:bodyDiv w:val="1"/>
      <w:marLeft w:val="0"/>
      <w:marRight w:val="0"/>
      <w:marTop w:val="0"/>
      <w:marBottom w:val="0"/>
      <w:divBdr>
        <w:top w:val="none" w:sz="0" w:space="0" w:color="auto"/>
        <w:left w:val="none" w:sz="0" w:space="0" w:color="auto"/>
        <w:bottom w:val="none" w:sz="0" w:space="0" w:color="auto"/>
        <w:right w:val="none" w:sz="0" w:space="0" w:color="auto"/>
      </w:divBdr>
    </w:div>
    <w:div w:id="461389310">
      <w:bodyDiv w:val="1"/>
      <w:marLeft w:val="0"/>
      <w:marRight w:val="0"/>
      <w:marTop w:val="0"/>
      <w:marBottom w:val="0"/>
      <w:divBdr>
        <w:top w:val="none" w:sz="0" w:space="0" w:color="auto"/>
        <w:left w:val="none" w:sz="0" w:space="0" w:color="auto"/>
        <w:bottom w:val="none" w:sz="0" w:space="0" w:color="auto"/>
        <w:right w:val="none" w:sz="0" w:space="0" w:color="auto"/>
      </w:divBdr>
    </w:div>
    <w:div w:id="473372934">
      <w:bodyDiv w:val="1"/>
      <w:marLeft w:val="0"/>
      <w:marRight w:val="0"/>
      <w:marTop w:val="0"/>
      <w:marBottom w:val="0"/>
      <w:divBdr>
        <w:top w:val="none" w:sz="0" w:space="0" w:color="auto"/>
        <w:left w:val="none" w:sz="0" w:space="0" w:color="auto"/>
        <w:bottom w:val="none" w:sz="0" w:space="0" w:color="auto"/>
        <w:right w:val="none" w:sz="0" w:space="0" w:color="auto"/>
      </w:divBdr>
    </w:div>
    <w:div w:id="493961295">
      <w:bodyDiv w:val="1"/>
      <w:marLeft w:val="0"/>
      <w:marRight w:val="0"/>
      <w:marTop w:val="0"/>
      <w:marBottom w:val="0"/>
      <w:divBdr>
        <w:top w:val="none" w:sz="0" w:space="0" w:color="auto"/>
        <w:left w:val="none" w:sz="0" w:space="0" w:color="auto"/>
        <w:bottom w:val="none" w:sz="0" w:space="0" w:color="auto"/>
        <w:right w:val="none" w:sz="0" w:space="0" w:color="auto"/>
      </w:divBdr>
    </w:div>
    <w:div w:id="578448218">
      <w:bodyDiv w:val="1"/>
      <w:marLeft w:val="0"/>
      <w:marRight w:val="0"/>
      <w:marTop w:val="0"/>
      <w:marBottom w:val="0"/>
      <w:divBdr>
        <w:top w:val="none" w:sz="0" w:space="0" w:color="auto"/>
        <w:left w:val="none" w:sz="0" w:space="0" w:color="auto"/>
        <w:bottom w:val="none" w:sz="0" w:space="0" w:color="auto"/>
        <w:right w:val="none" w:sz="0" w:space="0" w:color="auto"/>
      </w:divBdr>
    </w:div>
    <w:div w:id="632519390">
      <w:bodyDiv w:val="1"/>
      <w:marLeft w:val="0"/>
      <w:marRight w:val="0"/>
      <w:marTop w:val="0"/>
      <w:marBottom w:val="0"/>
      <w:divBdr>
        <w:top w:val="none" w:sz="0" w:space="0" w:color="auto"/>
        <w:left w:val="none" w:sz="0" w:space="0" w:color="auto"/>
        <w:bottom w:val="none" w:sz="0" w:space="0" w:color="auto"/>
        <w:right w:val="none" w:sz="0" w:space="0" w:color="auto"/>
      </w:divBdr>
    </w:div>
    <w:div w:id="662124394">
      <w:bodyDiv w:val="1"/>
      <w:marLeft w:val="0"/>
      <w:marRight w:val="0"/>
      <w:marTop w:val="0"/>
      <w:marBottom w:val="0"/>
      <w:divBdr>
        <w:top w:val="none" w:sz="0" w:space="0" w:color="auto"/>
        <w:left w:val="none" w:sz="0" w:space="0" w:color="auto"/>
        <w:bottom w:val="none" w:sz="0" w:space="0" w:color="auto"/>
        <w:right w:val="none" w:sz="0" w:space="0" w:color="auto"/>
      </w:divBdr>
    </w:div>
    <w:div w:id="672032018">
      <w:bodyDiv w:val="1"/>
      <w:marLeft w:val="0"/>
      <w:marRight w:val="0"/>
      <w:marTop w:val="0"/>
      <w:marBottom w:val="0"/>
      <w:divBdr>
        <w:top w:val="none" w:sz="0" w:space="0" w:color="auto"/>
        <w:left w:val="none" w:sz="0" w:space="0" w:color="auto"/>
        <w:bottom w:val="none" w:sz="0" w:space="0" w:color="auto"/>
        <w:right w:val="none" w:sz="0" w:space="0" w:color="auto"/>
      </w:divBdr>
    </w:div>
    <w:div w:id="727606979">
      <w:bodyDiv w:val="1"/>
      <w:marLeft w:val="0"/>
      <w:marRight w:val="0"/>
      <w:marTop w:val="0"/>
      <w:marBottom w:val="0"/>
      <w:divBdr>
        <w:top w:val="none" w:sz="0" w:space="0" w:color="auto"/>
        <w:left w:val="none" w:sz="0" w:space="0" w:color="auto"/>
        <w:bottom w:val="none" w:sz="0" w:space="0" w:color="auto"/>
        <w:right w:val="none" w:sz="0" w:space="0" w:color="auto"/>
      </w:divBdr>
    </w:div>
    <w:div w:id="820779796">
      <w:bodyDiv w:val="1"/>
      <w:marLeft w:val="0"/>
      <w:marRight w:val="0"/>
      <w:marTop w:val="0"/>
      <w:marBottom w:val="0"/>
      <w:divBdr>
        <w:top w:val="none" w:sz="0" w:space="0" w:color="auto"/>
        <w:left w:val="none" w:sz="0" w:space="0" w:color="auto"/>
        <w:bottom w:val="none" w:sz="0" w:space="0" w:color="auto"/>
        <w:right w:val="none" w:sz="0" w:space="0" w:color="auto"/>
      </w:divBdr>
    </w:div>
    <w:div w:id="842166499">
      <w:bodyDiv w:val="1"/>
      <w:marLeft w:val="0"/>
      <w:marRight w:val="0"/>
      <w:marTop w:val="0"/>
      <w:marBottom w:val="0"/>
      <w:divBdr>
        <w:top w:val="none" w:sz="0" w:space="0" w:color="auto"/>
        <w:left w:val="none" w:sz="0" w:space="0" w:color="auto"/>
        <w:bottom w:val="none" w:sz="0" w:space="0" w:color="auto"/>
        <w:right w:val="none" w:sz="0" w:space="0" w:color="auto"/>
      </w:divBdr>
    </w:div>
    <w:div w:id="879362698">
      <w:bodyDiv w:val="1"/>
      <w:marLeft w:val="0"/>
      <w:marRight w:val="0"/>
      <w:marTop w:val="0"/>
      <w:marBottom w:val="0"/>
      <w:divBdr>
        <w:top w:val="none" w:sz="0" w:space="0" w:color="auto"/>
        <w:left w:val="none" w:sz="0" w:space="0" w:color="auto"/>
        <w:bottom w:val="none" w:sz="0" w:space="0" w:color="auto"/>
        <w:right w:val="none" w:sz="0" w:space="0" w:color="auto"/>
      </w:divBdr>
    </w:div>
    <w:div w:id="1038824357">
      <w:bodyDiv w:val="1"/>
      <w:marLeft w:val="0"/>
      <w:marRight w:val="0"/>
      <w:marTop w:val="0"/>
      <w:marBottom w:val="0"/>
      <w:divBdr>
        <w:top w:val="none" w:sz="0" w:space="0" w:color="auto"/>
        <w:left w:val="none" w:sz="0" w:space="0" w:color="auto"/>
        <w:bottom w:val="none" w:sz="0" w:space="0" w:color="auto"/>
        <w:right w:val="none" w:sz="0" w:space="0" w:color="auto"/>
      </w:divBdr>
    </w:div>
    <w:div w:id="1039816604">
      <w:bodyDiv w:val="1"/>
      <w:marLeft w:val="0"/>
      <w:marRight w:val="0"/>
      <w:marTop w:val="0"/>
      <w:marBottom w:val="0"/>
      <w:divBdr>
        <w:top w:val="none" w:sz="0" w:space="0" w:color="auto"/>
        <w:left w:val="none" w:sz="0" w:space="0" w:color="auto"/>
        <w:bottom w:val="none" w:sz="0" w:space="0" w:color="auto"/>
        <w:right w:val="none" w:sz="0" w:space="0" w:color="auto"/>
      </w:divBdr>
    </w:div>
    <w:div w:id="1040739302">
      <w:bodyDiv w:val="1"/>
      <w:marLeft w:val="0"/>
      <w:marRight w:val="0"/>
      <w:marTop w:val="0"/>
      <w:marBottom w:val="0"/>
      <w:divBdr>
        <w:top w:val="none" w:sz="0" w:space="0" w:color="auto"/>
        <w:left w:val="none" w:sz="0" w:space="0" w:color="auto"/>
        <w:bottom w:val="none" w:sz="0" w:space="0" w:color="auto"/>
        <w:right w:val="none" w:sz="0" w:space="0" w:color="auto"/>
      </w:divBdr>
    </w:div>
    <w:div w:id="1229654253">
      <w:bodyDiv w:val="1"/>
      <w:marLeft w:val="0"/>
      <w:marRight w:val="0"/>
      <w:marTop w:val="0"/>
      <w:marBottom w:val="0"/>
      <w:divBdr>
        <w:top w:val="none" w:sz="0" w:space="0" w:color="auto"/>
        <w:left w:val="none" w:sz="0" w:space="0" w:color="auto"/>
        <w:bottom w:val="none" w:sz="0" w:space="0" w:color="auto"/>
        <w:right w:val="none" w:sz="0" w:space="0" w:color="auto"/>
      </w:divBdr>
    </w:div>
    <w:div w:id="1319306886">
      <w:bodyDiv w:val="1"/>
      <w:marLeft w:val="0"/>
      <w:marRight w:val="0"/>
      <w:marTop w:val="0"/>
      <w:marBottom w:val="0"/>
      <w:divBdr>
        <w:top w:val="none" w:sz="0" w:space="0" w:color="auto"/>
        <w:left w:val="none" w:sz="0" w:space="0" w:color="auto"/>
        <w:bottom w:val="none" w:sz="0" w:space="0" w:color="auto"/>
        <w:right w:val="none" w:sz="0" w:space="0" w:color="auto"/>
      </w:divBdr>
    </w:div>
    <w:div w:id="1353609909">
      <w:bodyDiv w:val="1"/>
      <w:marLeft w:val="0"/>
      <w:marRight w:val="0"/>
      <w:marTop w:val="0"/>
      <w:marBottom w:val="0"/>
      <w:divBdr>
        <w:top w:val="none" w:sz="0" w:space="0" w:color="auto"/>
        <w:left w:val="none" w:sz="0" w:space="0" w:color="auto"/>
        <w:bottom w:val="none" w:sz="0" w:space="0" w:color="auto"/>
        <w:right w:val="none" w:sz="0" w:space="0" w:color="auto"/>
      </w:divBdr>
    </w:div>
    <w:div w:id="1567910190">
      <w:bodyDiv w:val="1"/>
      <w:marLeft w:val="0"/>
      <w:marRight w:val="0"/>
      <w:marTop w:val="0"/>
      <w:marBottom w:val="0"/>
      <w:divBdr>
        <w:top w:val="none" w:sz="0" w:space="0" w:color="auto"/>
        <w:left w:val="none" w:sz="0" w:space="0" w:color="auto"/>
        <w:bottom w:val="none" w:sz="0" w:space="0" w:color="auto"/>
        <w:right w:val="none" w:sz="0" w:space="0" w:color="auto"/>
      </w:divBdr>
    </w:div>
    <w:div w:id="1725254227">
      <w:bodyDiv w:val="1"/>
      <w:marLeft w:val="0"/>
      <w:marRight w:val="0"/>
      <w:marTop w:val="0"/>
      <w:marBottom w:val="0"/>
      <w:divBdr>
        <w:top w:val="none" w:sz="0" w:space="0" w:color="auto"/>
        <w:left w:val="none" w:sz="0" w:space="0" w:color="auto"/>
        <w:bottom w:val="none" w:sz="0" w:space="0" w:color="auto"/>
        <w:right w:val="none" w:sz="0" w:space="0" w:color="auto"/>
      </w:divBdr>
    </w:div>
    <w:div w:id="1818454440">
      <w:bodyDiv w:val="1"/>
      <w:marLeft w:val="0"/>
      <w:marRight w:val="0"/>
      <w:marTop w:val="0"/>
      <w:marBottom w:val="0"/>
      <w:divBdr>
        <w:top w:val="none" w:sz="0" w:space="0" w:color="auto"/>
        <w:left w:val="none" w:sz="0" w:space="0" w:color="auto"/>
        <w:bottom w:val="none" w:sz="0" w:space="0" w:color="auto"/>
        <w:right w:val="none" w:sz="0" w:space="0" w:color="auto"/>
      </w:divBdr>
    </w:div>
    <w:div w:id="1916546548">
      <w:bodyDiv w:val="1"/>
      <w:marLeft w:val="0"/>
      <w:marRight w:val="0"/>
      <w:marTop w:val="0"/>
      <w:marBottom w:val="0"/>
      <w:divBdr>
        <w:top w:val="none" w:sz="0" w:space="0" w:color="auto"/>
        <w:left w:val="none" w:sz="0" w:space="0" w:color="auto"/>
        <w:bottom w:val="none" w:sz="0" w:space="0" w:color="auto"/>
        <w:right w:val="none" w:sz="0" w:space="0" w:color="auto"/>
      </w:divBdr>
    </w:div>
    <w:div w:id="213007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lex.europa.eu/legal-content/EN/TXT/?uri=COM%3A2021%3A101%3AFIN&amp;qid=161487209796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f-feph.org/publications/eaa-toolk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edf-feph.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TXT/?uri=CELEX%3A32019L0882" TargetMode="External"/><Relationship Id="rId5" Type="http://schemas.openxmlformats.org/officeDocument/2006/relationships/webSettings" Target="webSettings.xml"/><Relationship Id="rId15" Type="http://schemas.openxmlformats.org/officeDocument/2006/relationships/hyperlink" Target="http://www.edf-feph.org" TargetMode="External"/><Relationship Id="rId10" Type="http://schemas.openxmlformats.org/officeDocument/2006/relationships/hyperlink" Target="https://www.un.org/development/desa/disabilities/convention-on-the-rights-of-persons-with-disabilities/convention-on-the-rights-of-persons-with-disabilities-2.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oe.int/en/web/common-european-framework-reference-languages/level-descrip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E69DD-CE1D-4F12-AE73-53CF37782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5</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Mabita</dc:creator>
  <cp:keywords/>
  <dc:description/>
  <cp:lastModifiedBy>alejandro .moledo</cp:lastModifiedBy>
  <cp:revision>107</cp:revision>
  <cp:lastPrinted>2021-03-17T17:30:00Z</cp:lastPrinted>
  <dcterms:created xsi:type="dcterms:W3CDTF">2021-02-22T09:45:00Z</dcterms:created>
  <dcterms:modified xsi:type="dcterms:W3CDTF">2021-06-08T09:54:00Z</dcterms:modified>
</cp:coreProperties>
</file>