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E09C4" w14:textId="5E33682B" w:rsidR="00F441A7" w:rsidRPr="00F441A7" w:rsidRDefault="00F441A7" w:rsidP="006A19FC">
      <w:pPr>
        <w:rPr>
          <w:b/>
          <w:bCs/>
          <w:sz w:val="32"/>
          <w:szCs w:val="32"/>
          <w:lang w:val="en-US"/>
        </w:rPr>
      </w:pPr>
      <w:r w:rsidRPr="00F441A7">
        <w:rPr>
          <w:b/>
          <w:bCs/>
          <w:sz w:val="32"/>
          <w:szCs w:val="32"/>
          <w:lang w:val="en-US"/>
        </w:rPr>
        <w:t>Third Party Intervention in relation to</w:t>
      </w:r>
      <w:r w:rsidR="006A19FC">
        <w:rPr>
          <w:b/>
          <w:bCs/>
          <w:sz w:val="32"/>
          <w:szCs w:val="32"/>
          <w:lang w:val="en-US"/>
        </w:rPr>
        <w:t xml:space="preserve"> the </w:t>
      </w:r>
      <w:r w:rsidRPr="00F441A7">
        <w:rPr>
          <w:b/>
          <w:bCs/>
          <w:sz w:val="32"/>
          <w:szCs w:val="32"/>
          <w:lang w:val="en-US"/>
        </w:rPr>
        <w:t>European Court of Human Rights</w:t>
      </w:r>
      <w:r w:rsidR="006A19FC">
        <w:rPr>
          <w:b/>
          <w:bCs/>
          <w:sz w:val="32"/>
          <w:szCs w:val="32"/>
          <w:lang w:val="en-US"/>
        </w:rPr>
        <w:t xml:space="preserve">’ </w:t>
      </w:r>
      <w:r w:rsidRPr="00F441A7">
        <w:rPr>
          <w:b/>
          <w:bCs/>
          <w:sz w:val="32"/>
          <w:szCs w:val="32"/>
          <w:lang w:val="en-US"/>
        </w:rPr>
        <w:t>Advisory Opinion on Oviedo Convention</w:t>
      </w:r>
    </w:p>
    <w:p w14:paraId="72340890" w14:textId="01F798E8" w:rsidR="00F441A7" w:rsidRPr="00700E5F" w:rsidRDefault="00700E5F" w:rsidP="00F441A7">
      <w:pPr>
        <w:rPr>
          <w:lang w:val="en-US"/>
        </w:rPr>
      </w:pPr>
      <w:r w:rsidRPr="00700E5F">
        <w:rPr>
          <w:lang w:val="en-US"/>
        </w:rPr>
        <w:t xml:space="preserve">November 2020. </w:t>
      </w:r>
    </w:p>
    <w:p w14:paraId="1529D3F7" w14:textId="743CE51C" w:rsidR="00F441A7" w:rsidRPr="00700E5F" w:rsidRDefault="00F441A7" w:rsidP="00F441A7">
      <w:pPr>
        <w:rPr>
          <w:rFonts w:cs="Arial"/>
          <w:lang w:val="en-US"/>
        </w:rPr>
      </w:pPr>
      <w:r w:rsidRPr="00700E5F">
        <w:rPr>
          <w:lang w:val="en-US"/>
        </w:rPr>
        <w:t xml:space="preserve">Written comments jointly submitted by: </w:t>
      </w:r>
      <w:r w:rsidRPr="00700E5F">
        <w:rPr>
          <w:rFonts w:cs="Arial"/>
          <w:lang w:val="en-US"/>
        </w:rPr>
        <w:t>Autism Europe, European Disability Forum, Inclusion Europe, International Disability Alliance and Mental Health Europe</w:t>
      </w:r>
    </w:p>
    <w:p w14:paraId="2079C52E" w14:textId="31DD8A3B" w:rsidR="00F441A7" w:rsidRPr="006A19FC" w:rsidRDefault="00F441A7" w:rsidP="00F441A7">
      <w:pPr>
        <w:rPr>
          <w:rFonts w:cs="Arial"/>
          <w:sz w:val="24"/>
          <w:szCs w:val="24"/>
          <w:lang w:val="en-US"/>
        </w:rPr>
      </w:pPr>
    </w:p>
    <w:p w14:paraId="271E28D7" w14:textId="75301AF3" w:rsidR="004C1ECC" w:rsidRPr="000E37A0" w:rsidRDefault="004C1ECC" w:rsidP="006A19FC">
      <w:pPr>
        <w:pStyle w:val="Heading1"/>
        <w:rPr>
          <w:lang w:val="en-US"/>
        </w:rPr>
      </w:pPr>
      <w:bookmarkStart w:id="0" w:name="_Toc55391164"/>
      <w:r w:rsidRPr="006A19FC">
        <w:t>Introductio</w:t>
      </w:r>
      <w:r w:rsidR="00C375F0" w:rsidRPr="006A19FC">
        <w:t>n</w:t>
      </w:r>
      <w:bookmarkEnd w:id="0"/>
      <w:r w:rsidR="00C375F0" w:rsidRPr="000E37A0">
        <w:rPr>
          <w:lang w:val="en-US"/>
        </w:rPr>
        <w:t xml:space="preserve"> </w:t>
      </w:r>
    </w:p>
    <w:p w14:paraId="740ECE13" w14:textId="1B243F7A" w:rsidR="00E001D1" w:rsidRDefault="00E001D1">
      <w:pPr>
        <w:jc w:val="both"/>
        <w:rPr>
          <w:lang w:val="en-US"/>
        </w:rPr>
      </w:pPr>
      <w:r w:rsidRPr="00E001D1">
        <w:rPr>
          <w:lang w:val="en-US"/>
        </w:rPr>
        <w:t>These written comments are s</w:t>
      </w:r>
      <w:r>
        <w:rPr>
          <w:lang w:val="en-US"/>
        </w:rPr>
        <w:t>ubmitted by Autism</w:t>
      </w:r>
      <w:r w:rsidR="00197DFA">
        <w:rPr>
          <w:lang w:val="en-US"/>
        </w:rPr>
        <w:t>-</w:t>
      </w:r>
      <w:r>
        <w:rPr>
          <w:lang w:val="en-US"/>
        </w:rPr>
        <w:t>Europe, the European Disability Forum, Inclusion Europe, the International Disability Alliance and Mental Health Europe, pursuant to leave granted by the President of the Gran</w:t>
      </w:r>
      <w:r w:rsidR="00691D07">
        <w:rPr>
          <w:lang w:val="en-US"/>
        </w:rPr>
        <w:t>d</w:t>
      </w:r>
      <w:r>
        <w:rPr>
          <w:lang w:val="en-US"/>
        </w:rPr>
        <w:t xml:space="preserve"> Chamber on 22 October 2020 in the proceedings under the Oviedo Convention. </w:t>
      </w:r>
    </w:p>
    <w:p w14:paraId="3BE4A0F9" w14:textId="58A3F439" w:rsidR="00D3711B" w:rsidRDefault="00D3711B">
      <w:pPr>
        <w:jc w:val="both"/>
        <w:rPr>
          <w:lang w:val="en-US"/>
        </w:rPr>
      </w:pPr>
      <w:r>
        <w:rPr>
          <w:lang w:val="en-US"/>
        </w:rPr>
        <w:t xml:space="preserve">The present proceeding concerns the legal interpretation of Article 7 of the </w:t>
      </w:r>
      <w:r w:rsidR="00691D07" w:rsidRPr="00AF0016">
        <w:rPr>
          <w:lang w:val="en-GB"/>
        </w:rPr>
        <w:t>Convention for the Protection of Human Rights and Dignity of the Human Being with regard to the Appl</w:t>
      </w:r>
      <w:r w:rsidR="00691D07">
        <w:rPr>
          <w:lang w:val="en-GB"/>
        </w:rPr>
        <w:t>ication of Biology and Medicine</w:t>
      </w:r>
      <w:r w:rsidR="00691D07" w:rsidRPr="00AF0016">
        <w:rPr>
          <w:lang w:val="en-GB"/>
        </w:rPr>
        <w:t> (hereinafter “</w:t>
      </w:r>
      <w:r w:rsidR="00691D07" w:rsidRPr="00106C65">
        <w:rPr>
          <w:bCs/>
          <w:lang w:val="en-GB"/>
        </w:rPr>
        <w:t>Convention on Human Rights and Biomedicine” or “Oviedo Convention”)</w:t>
      </w:r>
      <w:r w:rsidR="00691D07">
        <w:rPr>
          <w:bCs/>
          <w:lang w:val="en-GB"/>
        </w:rPr>
        <w:t xml:space="preserve"> </w:t>
      </w:r>
      <w:r>
        <w:rPr>
          <w:lang w:val="en-US"/>
        </w:rPr>
        <w:t xml:space="preserve">with a view </w:t>
      </w:r>
      <w:r w:rsidR="00D65CA4">
        <w:rPr>
          <w:lang w:val="en-US"/>
        </w:rPr>
        <w:t>of</w:t>
      </w:r>
      <w:r>
        <w:rPr>
          <w:lang w:val="en-US"/>
        </w:rPr>
        <w:t xml:space="preserve"> providing guidance for the current and future work of the Committee on Bioethics of the Council of Europe. The questions addressed to the European Court concern (1) the interpretation of the “protective conditions” Member States</w:t>
      </w:r>
      <w:r w:rsidR="00D65CA4">
        <w:rPr>
          <w:lang w:val="en-US"/>
        </w:rPr>
        <w:t xml:space="preserve"> need</w:t>
      </w:r>
      <w:r>
        <w:rPr>
          <w:lang w:val="en-US"/>
        </w:rPr>
        <w:t xml:space="preserve"> </w:t>
      </w:r>
      <w:r w:rsidRPr="00D3711B">
        <w:rPr>
          <w:lang w:val="en-US"/>
        </w:rPr>
        <w:t>to regulate to meet minimum</w:t>
      </w:r>
      <w:r>
        <w:rPr>
          <w:lang w:val="en-US"/>
        </w:rPr>
        <w:t xml:space="preserve"> </w:t>
      </w:r>
      <w:r w:rsidRPr="00D3711B">
        <w:rPr>
          <w:lang w:val="en-US"/>
        </w:rPr>
        <w:t>requirements of protection</w:t>
      </w:r>
      <w:r>
        <w:rPr>
          <w:lang w:val="en-US"/>
        </w:rPr>
        <w:t xml:space="preserve"> under Article 7 of the Oviedo Convention, and (2) whether the same protective conditions apply “in case of involuntary treatment of a mental disorder </w:t>
      </w:r>
      <w:r w:rsidRPr="00D3711B">
        <w:rPr>
          <w:lang w:val="en-US"/>
        </w:rPr>
        <w:t>to be given without the consent of the person concerned</w:t>
      </w:r>
      <w:r>
        <w:rPr>
          <w:lang w:val="en-US"/>
        </w:rPr>
        <w:t xml:space="preserve"> </w:t>
      </w:r>
      <w:r w:rsidRPr="00D3711B">
        <w:rPr>
          <w:lang w:val="en-US"/>
        </w:rPr>
        <w:t>and with the aim of protecting others from serious harm</w:t>
      </w:r>
      <w:r w:rsidR="00D65CA4">
        <w:rPr>
          <w:lang w:val="en-US"/>
        </w:rPr>
        <w:t xml:space="preserve">” falling </w:t>
      </w:r>
      <w:r w:rsidRPr="00D3711B">
        <w:rPr>
          <w:lang w:val="en-US"/>
        </w:rPr>
        <w:t xml:space="preserve"> within the remits of Article 26(1) of the Oviedo Convention</w:t>
      </w:r>
      <w:r w:rsidR="000E37A0">
        <w:rPr>
          <w:lang w:val="en-US"/>
        </w:rPr>
        <w:t xml:space="preserve">. </w:t>
      </w:r>
    </w:p>
    <w:p w14:paraId="05411DCC" w14:textId="78D58F93" w:rsidR="000E37A0" w:rsidRDefault="000E37A0">
      <w:pPr>
        <w:jc w:val="both"/>
        <w:rPr>
          <w:lang w:val="en-GB"/>
        </w:rPr>
      </w:pPr>
      <w:r>
        <w:rPr>
          <w:lang w:val="en-US"/>
        </w:rPr>
        <w:t xml:space="preserve">The proceeding provides </w:t>
      </w:r>
      <w:r w:rsidRPr="00305018">
        <w:rPr>
          <w:lang w:val="en-GB"/>
        </w:rPr>
        <w:t xml:space="preserve">the European Court of Human Rights (hereinafter the ‘Court’) with </w:t>
      </w:r>
      <w:r w:rsidR="00D65CA4">
        <w:rPr>
          <w:lang w:val="en-GB"/>
        </w:rPr>
        <w:t>the</w:t>
      </w:r>
      <w:r w:rsidRPr="00305018">
        <w:rPr>
          <w:lang w:val="en-GB"/>
        </w:rPr>
        <w:t xml:space="preserve"> opportunity to examine</w:t>
      </w:r>
      <w:r>
        <w:rPr>
          <w:lang w:val="en-GB"/>
        </w:rPr>
        <w:t xml:space="preserve"> States’ obligations to guarantee the rights of inherent dignity, non-discrimination and liberty and security of persons with mental health </w:t>
      </w:r>
      <w:r w:rsidR="00592FE0">
        <w:rPr>
          <w:lang w:val="en-GB"/>
        </w:rPr>
        <w:t>problems</w:t>
      </w:r>
      <w:r w:rsidR="00C56921">
        <w:rPr>
          <w:lang w:val="en-GB"/>
        </w:rPr>
        <w:t xml:space="preserve">. While complex, the questions allow the Court to embrace a paradigm shift in the protection of the rights of persons with mental health </w:t>
      </w:r>
      <w:r w:rsidR="00197DFA">
        <w:rPr>
          <w:lang w:val="en-GB"/>
        </w:rPr>
        <w:t xml:space="preserve">problems </w:t>
      </w:r>
      <w:r w:rsidR="00C56921">
        <w:rPr>
          <w:lang w:val="en-GB"/>
        </w:rPr>
        <w:t>and</w:t>
      </w:r>
      <w:r w:rsidR="00960F81">
        <w:rPr>
          <w:lang w:val="en-GB"/>
        </w:rPr>
        <w:t>/or</w:t>
      </w:r>
      <w:r w:rsidR="00C56921">
        <w:rPr>
          <w:lang w:val="en-GB"/>
        </w:rPr>
        <w:t xml:space="preserve"> psychosocial disabilities</w:t>
      </w:r>
      <w:r w:rsidR="00960F81">
        <w:rPr>
          <w:lang w:val="en-GB"/>
        </w:rPr>
        <w:t>, intellectual disabilities or autism</w:t>
      </w:r>
      <w:r w:rsidR="00C56921">
        <w:rPr>
          <w:lang w:val="en-GB"/>
        </w:rPr>
        <w:t xml:space="preserve"> in light of the most recent international human rights standards and developments at international and European levels. </w:t>
      </w:r>
    </w:p>
    <w:p w14:paraId="6687C012" w14:textId="6195C72E" w:rsidR="00C56921" w:rsidRDefault="00C56921">
      <w:pPr>
        <w:jc w:val="both"/>
        <w:rPr>
          <w:lang w:val="en-GB"/>
        </w:rPr>
      </w:pPr>
      <w:r>
        <w:rPr>
          <w:lang w:val="en-GB"/>
        </w:rPr>
        <w:t xml:space="preserve">This submission set forth the latest international human rights standards with respect to the rights of persons with mental health </w:t>
      </w:r>
      <w:r w:rsidR="00592FE0">
        <w:rPr>
          <w:lang w:val="en-GB"/>
        </w:rPr>
        <w:t xml:space="preserve">problems </w:t>
      </w:r>
      <w:r>
        <w:rPr>
          <w:lang w:val="en-GB"/>
        </w:rPr>
        <w:t xml:space="preserve">to non-discrimination and liberty and security, particularly </w:t>
      </w:r>
      <w:r w:rsidR="00C92F32">
        <w:rPr>
          <w:lang w:val="en-GB"/>
        </w:rPr>
        <w:t>regarding decisions of</w:t>
      </w:r>
      <w:r>
        <w:rPr>
          <w:lang w:val="en-GB"/>
        </w:rPr>
        <w:t xml:space="preserve"> involuntary </w:t>
      </w:r>
      <w:r w:rsidR="00C92F32">
        <w:rPr>
          <w:lang w:val="en-GB"/>
        </w:rPr>
        <w:t xml:space="preserve">placement </w:t>
      </w:r>
      <w:r>
        <w:rPr>
          <w:lang w:val="en-GB"/>
        </w:rPr>
        <w:t>and</w:t>
      </w:r>
      <w:r w:rsidR="00C92F32">
        <w:rPr>
          <w:lang w:val="en-GB"/>
        </w:rPr>
        <w:t xml:space="preserve"> involuntary</w:t>
      </w:r>
      <w:r w:rsidR="00B466D0">
        <w:rPr>
          <w:lang w:val="en-GB"/>
        </w:rPr>
        <w:t xml:space="preserve"> </w:t>
      </w:r>
      <w:r w:rsidR="00C92F32">
        <w:rPr>
          <w:lang w:val="en-GB"/>
        </w:rPr>
        <w:t>treatment</w:t>
      </w:r>
      <w:r>
        <w:rPr>
          <w:lang w:val="en-GB"/>
        </w:rPr>
        <w:t xml:space="preserve"> on the basis of a perceived or actual mental health </w:t>
      </w:r>
      <w:r w:rsidR="00197DFA">
        <w:rPr>
          <w:lang w:val="en-GB"/>
        </w:rPr>
        <w:t>problems</w:t>
      </w:r>
      <w:r>
        <w:rPr>
          <w:lang w:val="en-GB"/>
        </w:rPr>
        <w:t>.</w:t>
      </w:r>
      <w:r w:rsidR="00CB2160">
        <w:rPr>
          <w:lang w:val="en-GB"/>
        </w:rPr>
        <w:t xml:space="preserve"> It is also based on documents adopted by United Nations bodies and experts, and organs of the Council of Europe.</w:t>
      </w:r>
      <w:r>
        <w:rPr>
          <w:lang w:val="en-GB"/>
        </w:rPr>
        <w:t xml:space="preserve"> </w:t>
      </w:r>
      <w:r w:rsidR="00CC088D">
        <w:rPr>
          <w:lang w:val="en-GB"/>
        </w:rPr>
        <w:t>The submission</w:t>
      </w:r>
      <w:r w:rsidR="00D53CD4">
        <w:rPr>
          <w:lang w:val="en-GB"/>
        </w:rPr>
        <w:t xml:space="preserve"> also provide</w:t>
      </w:r>
      <w:r w:rsidR="005521FE">
        <w:rPr>
          <w:lang w:val="en-GB"/>
        </w:rPr>
        <w:t>s</w:t>
      </w:r>
      <w:r w:rsidR="00D53CD4">
        <w:rPr>
          <w:lang w:val="en-GB"/>
        </w:rPr>
        <w:t xml:space="preserve"> information on</w:t>
      </w:r>
      <w:r w:rsidR="00CB2160">
        <w:rPr>
          <w:lang w:val="en-GB"/>
        </w:rPr>
        <w:t xml:space="preserve"> European</w:t>
      </w:r>
      <w:r w:rsidR="00D53CD4">
        <w:rPr>
          <w:lang w:val="en-GB"/>
        </w:rPr>
        <w:t xml:space="preserve"> policies and practices pertaining to </w:t>
      </w:r>
      <w:r w:rsidR="001B6F1C" w:rsidRPr="001360CF">
        <w:rPr>
          <w:lang w:val="en-GB"/>
        </w:rPr>
        <w:t>ending</w:t>
      </w:r>
      <w:r w:rsidR="00DD493D" w:rsidRPr="001360CF">
        <w:rPr>
          <w:lang w:val="en-GB"/>
        </w:rPr>
        <w:t xml:space="preserve"> coercion in mental health care, including</w:t>
      </w:r>
      <w:r w:rsidR="001B6F1C" w:rsidRPr="001360CF">
        <w:rPr>
          <w:lang w:val="en-GB"/>
        </w:rPr>
        <w:t xml:space="preserve"> in</w:t>
      </w:r>
      <w:r w:rsidR="00D53CD4" w:rsidRPr="001360CF">
        <w:rPr>
          <w:lang w:val="en-GB"/>
        </w:rPr>
        <w:t>voluntary placement and treatment</w:t>
      </w:r>
      <w:r w:rsidR="00D53CD4" w:rsidRPr="00A0113E">
        <w:rPr>
          <w:lang w:val="en-GB"/>
        </w:rPr>
        <w:t>.</w:t>
      </w:r>
      <w:r w:rsidR="00D53CD4">
        <w:rPr>
          <w:lang w:val="en-GB"/>
        </w:rPr>
        <w:t xml:space="preserve"> </w:t>
      </w:r>
    </w:p>
    <w:p w14:paraId="5606F7AB" w14:textId="7D31EDDC" w:rsidR="002B1431" w:rsidRDefault="0019126D">
      <w:pPr>
        <w:pStyle w:val="Heading1"/>
        <w:jc w:val="both"/>
        <w:rPr>
          <w:lang w:val="en-US"/>
        </w:rPr>
      </w:pPr>
      <w:bookmarkStart w:id="1" w:name="_Toc55391165"/>
      <w:r>
        <w:rPr>
          <w:lang w:val="en-US"/>
        </w:rPr>
        <w:t xml:space="preserve">Interpretation in light </w:t>
      </w:r>
      <w:r w:rsidR="00C73903">
        <w:rPr>
          <w:lang w:val="en-US"/>
        </w:rPr>
        <w:t>of</w:t>
      </w:r>
      <w:r>
        <w:rPr>
          <w:lang w:val="en-US"/>
        </w:rPr>
        <w:t xml:space="preserve"> international human rights law and European instruments</w:t>
      </w:r>
      <w:bookmarkEnd w:id="1"/>
      <w:r>
        <w:rPr>
          <w:lang w:val="en-US"/>
        </w:rPr>
        <w:t xml:space="preserve"> </w:t>
      </w:r>
    </w:p>
    <w:p w14:paraId="3CB84912" w14:textId="347B04D5" w:rsidR="00567827" w:rsidRDefault="00567827" w:rsidP="00B94A09">
      <w:pPr>
        <w:jc w:val="both"/>
        <w:rPr>
          <w:lang w:val="en-US"/>
        </w:rPr>
      </w:pPr>
      <w:r>
        <w:rPr>
          <w:lang w:val="en-US"/>
        </w:rPr>
        <w:t xml:space="preserve">In its decisions and judgments, the Court must pay due consideration to international human rights law, European instruments, and national consensus among </w:t>
      </w:r>
      <w:r w:rsidR="0003287F">
        <w:rPr>
          <w:lang w:val="en-US"/>
        </w:rPr>
        <w:t>States p</w:t>
      </w:r>
      <w:r>
        <w:rPr>
          <w:lang w:val="en-US"/>
        </w:rPr>
        <w:t xml:space="preserve">arties to the European Convention on Human Rights. </w:t>
      </w:r>
      <w:r w:rsidR="001B140C">
        <w:rPr>
          <w:lang w:val="en-US"/>
        </w:rPr>
        <w:t>This is based on the 1969 Vienn</w:t>
      </w:r>
      <w:r w:rsidR="00810F48">
        <w:rPr>
          <w:lang w:val="en-US"/>
        </w:rPr>
        <w:t>a</w:t>
      </w:r>
      <w:r w:rsidR="001B140C">
        <w:rPr>
          <w:lang w:val="en-US"/>
        </w:rPr>
        <w:t xml:space="preserve"> Convention on the Law of Treaties (VCLT) and the jurisprudence of the Court. </w:t>
      </w:r>
    </w:p>
    <w:p w14:paraId="1B53E987" w14:textId="6F244683" w:rsidR="0019126D" w:rsidRDefault="0019126D" w:rsidP="00B94A09">
      <w:pPr>
        <w:jc w:val="both"/>
        <w:rPr>
          <w:lang w:val="en-US"/>
        </w:rPr>
      </w:pPr>
      <w:r w:rsidRPr="0019126D">
        <w:rPr>
          <w:lang w:val="en-US"/>
        </w:rPr>
        <w:t xml:space="preserve">In </w:t>
      </w:r>
      <w:r w:rsidRPr="0019126D">
        <w:rPr>
          <w:b/>
          <w:bCs/>
          <w:i/>
          <w:iCs/>
          <w:lang w:val="en-US"/>
        </w:rPr>
        <w:t xml:space="preserve">Demir and </w:t>
      </w:r>
      <w:proofErr w:type="spellStart"/>
      <w:r w:rsidRPr="0019126D">
        <w:rPr>
          <w:b/>
          <w:bCs/>
          <w:i/>
          <w:iCs/>
          <w:lang w:val="en-US"/>
        </w:rPr>
        <w:t>Baykara</w:t>
      </w:r>
      <w:proofErr w:type="spellEnd"/>
      <w:r>
        <w:rPr>
          <w:lang w:val="en-US"/>
        </w:rPr>
        <w:t xml:space="preserve">, </w:t>
      </w:r>
      <w:r w:rsidRPr="0019126D">
        <w:rPr>
          <w:lang w:val="en-US"/>
        </w:rPr>
        <w:t xml:space="preserve">the Court stated that it is </w:t>
      </w:r>
      <w:r>
        <w:rPr>
          <w:lang w:val="en-US"/>
        </w:rPr>
        <w:t>“</w:t>
      </w:r>
      <w:r w:rsidRPr="0019126D">
        <w:rPr>
          <w:i/>
          <w:iCs/>
          <w:lang w:val="en-US"/>
        </w:rPr>
        <w:t xml:space="preserve">guided mainly by the rules of interpretation provided for in articles 31 to 33 of the </w:t>
      </w:r>
      <w:bookmarkStart w:id="2" w:name="_Hlk54866739"/>
      <w:r w:rsidRPr="0019126D">
        <w:rPr>
          <w:b/>
          <w:bCs/>
          <w:i/>
          <w:iCs/>
          <w:lang w:val="en-US"/>
        </w:rPr>
        <w:t>Vienna Convention on the Law of Treaties</w:t>
      </w:r>
      <w:r>
        <w:rPr>
          <w:lang w:val="en-US"/>
        </w:rPr>
        <w:t>”</w:t>
      </w:r>
      <w:r w:rsidRPr="0019126D">
        <w:rPr>
          <w:lang w:val="en-US"/>
        </w:rPr>
        <w:t>.</w:t>
      </w:r>
      <w:r w:rsidR="0042294E">
        <w:rPr>
          <w:rStyle w:val="FootnoteReference"/>
          <w:rFonts w:cs="Arial"/>
          <w:color w:val="000000"/>
          <w:lang w:val="en-US"/>
        </w:rPr>
        <w:footnoteReference w:id="1"/>
      </w:r>
      <w:r>
        <w:rPr>
          <w:lang w:val="en-US"/>
        </w:rPr>
        <w:t xml:space="preserve"> </w:t>
      </w:r>
      <w:bookmarkEnd w:id="2"/>
      <w:r>
        <w:rPr>
          <w:lang w:val="en-US"/>
        </w:rPr>
        <w:t xml:space="preserve">Article 31(3)(c) of the VCLT </w:t>
      </w:r>
      <w:r w:rsidRPr="0019126D">
        <w:rPr>
          <w:lang w:val="en-US"/>
        </w:rPr>
        <w:t>requires that other rules of international law are taken into account when interpreting a treaty.</w:t>
      </w:r>
      <w:r>
        <w:rPr>
          <w:lang w:val="en-US"/>
        </w:rPr>
        <w:t xml:space="preserve"> </w:t>
      </w:r>
      <w:r>
        <w:rPr>
          <w:lang w:val="en-US"/>
        </w:rPr>
        <w:lastRenderedPageBreak/>
        <w:t>Further, the</w:t>
      </w:r>
      <w:r w:rsidRPr="00C375F0">
        <w:rPr>
          <w:lang w:val="en-US"/>
        </w:rPr>
        <w:t xml:space="preserve"> </w:t>
      </w:r>
      <w:proofErr w:type="spellStart"/>
      <w:r w:rsidRPr="00C375F0">
        <w:rPr>
          <w:b/>
          <w:bCs/>
          <w:i/>
          <w:iCs/>
          <w:lang w:val="en-US"/>
        </w:rPr>
        <w:t>Opuz</w:t>
      </w:r>
      <w:proofErr w:type="spellEnd"/>
      <w:r w:rsidRPr="00C375F0">
        <w:rPr>
          <w:b/>
          <w:bCs/>
          <w:i/>
          <w:iCs/>
          <w:lang w:val="en-US"/>
        </w:rPr>
        <w:t xml:space="preserve"> v Turkey</w:t>
      </w:r>
      <w:r w:rsidRPr="00C375F0">
        <w:rPr>
          <w:lang w:val="en-US"/>
        </w:rPr>
        <w:t xml:space="preserve"> </w:t>
      </w:r>
      <w:r>
        <w:rPr>
          <w:lang w:val="en-US"/>
        </w:rPr>
        <w:t xml:space="preserve">case established </w:t>
      </w:r>
      <w:r w:rsidRPr="00C375F0">
        <w:rPr>
          <w:lang w:val="en-US"/>
        </w:rPr>
        <w:t xml:space="preserve">that in interpreting the provisions of the Convention </w:t>
      </w:r>
      <w:r>
        <w:rPr>
          <w:lang w:val="en-US"/>
        </w:rPr>
        <w:t xml:space="preserve">of the European Convention of Human Rights </w:t>
      </w:r>
      <w:r w:rsidRPr="00C375F0">
        <w:rPr>
          <w:lang w:val="en-US"/>
        </w:rPr>
        <w:t>and the scope of the States’ obligations in specific cases, the Court will look “</w:t>
      </w:r>
      <w:r w:rsidRPr="00C375F0">
        <w:rPr>
          <w:i/>
          <w:iCs/>
          <w:lang w:val="en-US"/>
        </w:rPr>
        <w:t xml:space="preserve">for any consensus and common values emerging from the practices of European States and </w:t>
      </w:r>
      <w:proofErr w:type="spellStart"/>
      <w:r w:rsidRPr="00C375F0">
        <w:rPr>
          <w:i/>
          <w:iCs/>
          <w:lang w:val="en-US"/>
        </w:rPr>
        <w:t>specialised</w:t>
      </w:r>
      <w:proofErr w:type="spellEnd"/>
      <w:r w:rsidRPr="00C375F0">
        <w:rPr>
          <w:i/>
          <w:iCs/>
          <w:lang w:val="en-US"/>
        </w:rPr>
        <w:t xml:space="preserve"> international instruments... as well as giving heed to the evolution of norms and principles in international law.</w:t>
      </w:r>
      <w:r w:rsidRPr="00C375F0">
        <w:rPr>
          <w:lang w:val="en-US"/>
        </w:rPr>
        <w:t>”</w:t>
      </w:r>
      <w:r>
        <w:rPr>
          <w:rStyle w:val="FootnoteReference"/>
          <w:rFonts w:cs="Arial"/>
          <w:color w:val="000000"/>
          <w:lang w:val="en-US"/>
        </w:rPr>
        <w:footnoteReference w:id="2"/>
      </w:r>
      <w:r w:rsidRPr="00C375F0">
        <w:rPr>
          <w:lang w:val="en-US"/>
        </w:rPr>
        <w:t xml:space="preserve"> </w:t>
      </w:r>
      <w:r>
        <w:rPr>
          <w:lang w:val="en-US"/>
        </w:rPr>
        <w:t xml:space="preserve">This rule was confirmed in the </w:t>
      </w:r>
      <w:proofErr w:type="spellStart"/>
      <w:r w:rsidRPr="0019126D">
        <w:rPr>
          <w:b/>
          <w:bCs/>
          <w:i/>
          <w:iCs/>
          <w:lang w:val="en-US"/>
        </w:rPr>
        <w:t>Tanase</w:t>
      </w:r>
      <w:proofErr w:type="spellEnd"/>
      <w:r>
        <w:rPr>
          <w:lang w:val="en-US"/>
        </w:rPr>
        <w:t xml:space="preserve"> case, where the</w:t>
      </w:r>
      <w:r w:rsidR="0042294E">
        <w:rPr>
          <w:lang w:val="en-US"/>
        </w:rPr>
        <w:t xml:space="preserve"> Grand Chamber of the</w:t>
      </w:r>
      <w:r>
        <w:rPr>
          <w:lang w:val="en-US"/>
        </w:rPr>
        <w:t xml:space="preserve"> Court said that </w:t>
      </w:r>
      <w:r w:rsidR="0003287F">
        <w:rPr>
          <w:lang w:val="en-US"/>
        </w:rPr>
        <w:t>the Court</w:t>
      </w:r>
      <w:r>
        <w:rPr>
          <w:lang w:val="en-US"/>
        </w:rPr>
        <w:t xml:space="preserve"> “</w:t>
      </w:r>
      <w:r w:rsidRPr="00D46F35">
        <w:rPr>
          <w:i/>
          <w:iCs/>
          <w:lang w:val="en-US"/>
        </w:rPr>
        <w:t xml:space="preserve">must </w:t>
      </w:r>
      <w:bookmarkStart w:id="3" w:name="_Hlk54866780"/>
      <w:r w:rsidRPr="00D46F35">
        <w:rPr>
          <w:i/>
          <w:iCs/>
          <w:lang w:val="en-US"/>
        </w:rPr>
        <w:t>take into account relevant international instruments and reports, and in particular those of other Council of Europe organs</w:t>
      </w:r>
      <w:r w:rsidRPr="0019126D">
        <w:rPr>
          <w:lang w:val="en-US"/>
        </w:rPr>
        <w:t>.</w:t>
      </w:r>
      <w:bookmarkEnd w:id="3"/>
      <w:r>
        <w:rPr>
          <w:lang w:val="en-US"/>
        </w:rPr>
        <w:t>”</w:t>
      </w:r>
      <w:r w:rsidR="0042294E">
        <w:rPr>
          <w:rStyle w:val="FootnoteReference"/>
          <w:rFonts w:cs="Arial"/>
          <w:color w:val="000000"/>
          <w:lang w:val="en-US"/>
        </w:rPr>
        <w:footnoteReference w:id="3"/>
      </w:r>
      <w:r>
        <w:rPr>
          <w:lang w:val="en-US"/>
        </w:rPr>
        <w:t xml:space="preserve"> </w:t>
      </w:r>
    </w:p>
    <w:p w14:paraId="0AFD63A6" w14:textId="4A071636" w:rsidR="00691D07" w:rsidRDefault="0019126D" w:rsidP="00B94A09">
      <w:pPr>
        <w:jc w:val="both"/>
        <w:rPr>
          <w:lang w:val="en-US"/>
        </w:rPr>
      </w:pPr>
      <w:r w:rsidRPr="00C375F0">
        <w:rPr>
          <w:lang w:val="en-US"/>
        </w:rPr>
        <w:t xml:space="preserve">In considering issues relating to </w:t>
      </w:r>
      <w:r w:rsidR="008C2C22">
        <w:rPr>
          <w:lang w:val="en-US"/>
        </w:rPr>
        <w:t xml:space="preserve">involuntary placement and treatment of people with mental health </w:t>
      </w:r>
      <w:r w:rsidR="00197DFA">
        <w:rPr>
          <w:lang w:val="en-US"/>
        </w:rPr>
        <w:t>problems</w:t>
      </w:r>
      <w:r w:rsidRPr="00C375F0">
        <w:rPr>
          <w:lang w:val="en-US"/>
        </w:rPr>
        <w:t xml:space="preserve">, the Court is encouraged to have regard to the most recent international standards on the human rights of persons with disabilities, in particular the provisions of the </w:t>
      </w:r>
      <w:r w:rsidRPr="00C375F0">
        <w:rPr>
          <w:b/>
          <w:bCs/>
          <w:lang w:val="en-US"/>
        </w:rPr>
        <w:t>United Nations Convention on the Rights of Persons with Disabilities</w:t>
      </w:r>
      <w:r w:rsidRPr="00C375F0">
        <w:rPr>
          <w:lang w:val="en-US"/>
        </w:rPr>
        <w:t xml:space="preserve"> </w:t>
      </w:r>
      <w:r w:rsidR="0003287F">
        <w:rPr>
          <w:lang w:val="en-US"/>
        </w:rPr>
        <w:t xml:space="preserve">(CRPD) </w:t>
      </w:r>
      <w:r w:rsidRPr="00C375F0">
        <w:rPr>
          <w:lang w:val="en-US"/>
        </w:rPr>
        <w:t>and its guiding principles</w:t>
      </w:r>
      <w:r w:rsidR="0003287F">
        <w:rPr>
          <w:lang w:val="en-US"/>
        </w:rPr>
        <w:t xml:space="preserve">, including </w:t>
      </w:r>
      <w:r w:rsidRPr="00C375F0">
        <w:rPr>
          <w:lang w:val="en-US"/>
        </w:rPr>
        <w:t>respect for inherent dignity, non-discrimination</w:t>
      </w:r>
      <w:r w:rsidR="00541D13">
        <w:rPr>
          <w:lang w:val="en-US"/>
        </w:rPr>
        <w:t xml:space="preserve"> and</w:t>
      </w:r>
      <w:r w:rsidRPr="00C375F0">
        <w:rPr>
          <w:lang w:val="en-US"/>
        </w:rPr>
        <w:t xml:space="preserve"> the</w:t>
      </w:r>
      <w:r>
        <w:rPr>
          <w:lang w:val="en-US"/>
        </w:rPr>
        <w:t xml:space="preserve"> right to</w:t>
      </w:r>
      <w:r w:rsidRPr="00C375F0">
        <w:rPr>
          <w:lang w:val="en-US"/>
        </w:rPr>
        <w:t xml:space="preserve"> liberty and security.</w:t>
      </w:r>
      <w:r>
        <w:rPr>
          <w:rStyle w:val="FootnoteReference"/>
          <w:rFonts w:cs="Arial"/>
          <w:color w:val="000000"/>
          <w:lang w:val="en-US"/>
        </w:rPr>
        <w:footnoteReference w:id="4"/>
      </w:r>
      <w:r w:rsidR="00105095">
        <w:rPr>
          <w:lang w:val="en-US"/>
        </w:rPr>
        <w:t xml:space="preserve"> </w:t>
      </w:r>
    </w:p>
    <w:p w14:paraId="2285D19B" w14:textId="6F96E5DE" w:rsidR="0019126D" w:rsidRPr="00C375F0" w:rsidRDefault="0019126D" w:rsidP="00B94A09">
      <w:pPr>
        <w:jc w:val="both"/>
        <w:rPr>
          <w:lang w:val="en-US"/>
        </w:rPr>
      </w:pPr>
      <w:r w:rsidRPr="00C375F0">
        <w:rPr>
          <w:lang w:val="en-US"/>
        </w:rPr>
        <w:t>To date, the CRPD counts 1</w:t>
      </w:r>
      <w:r>
        <w:rPr>
          <w:lang w:val="en-US"/>
        </w:rPr>
        <w:t>82</w:t>
      </w:r>
      <w:r w:rsidRPr="00C375F0">
        <w:rPr>
          <w:lang w:val="en-US"/>
        </w:rPr>
        <w:t xml:space="preserve"> ratifications/accessions. Within the Council of Europe, 46 of the 47 members are States parties to the CRPD.</w:t>
      </w:r>
      <w:r>
        <w:rPr>
          <w:rStyle w:val="FootnoteReference"/>
          <w:rFonts w:cs="Arial"/>
          <w:color w:val="000000"/>
          <w:lang w:val="en-US"/>
        </w:rPr>
        <w:footnoteReference w:id="5"/>
      </w:r>
      <w:r w:rsidRPr="00C375F0">
        <w:rPr>
          <w:lang w:val="en-US"/>
        </w:rPr>
        <w:t xml:space="preserve"> The European Union and all its member states have ratified or acceded to the CRPD.</w:t>
      </w:r>
    </w:p>
    <w:p w14:paraId="18CDD86F" w14:textId="42AB638B" w:rsidR="0019126D" w:rsidRPr="0019126D" w:rsidRDefault="00D46F35" w:rsidP="00B94A09">
      <w:pPr>
        <w:jc w:val="both"/>
        <w:rPr>
          <w:lang w:val="en-US"/>
        </w:rPr>
      </w:pPr>
      <w:r>
        <w:rPr>
          <w:lang w:val="en-US"/>
        </w:rPr>
        <w:t>The Court is also encouraged to have regard to other relevant international human rights treaties, resolutions and reports, in particular from the United Nations bodies and special mandate holders</w:t>
      </w:r>
      <w:r w:rsidR="008C291B">
        <w:rPr>
          <w:lang w:val="en-US"/>
        </w:rPr>
        <w:t xml:space="preserve"> (including the UN Special Rapporteur on</w:t>
      </w:r>
      <w:r w:rsidR="008C291B" w:rsidRPr="008C291B">
        <w:rPr>
          <w:lang w:val="en-US"/>
        </w:rPr>
        <w:t xml:space="preserve"> the right of everyone to the enjoyment of the highest attainable standard of physical and mental health</w:t>
      </w:r>
      <w:r w:rsidR="008C291B">
        <w:rPr>
          <w:lang w:val="en-US"/>
        </w:rPr>
        <w:t xml:space="preserve">), </w:t>
      </w:r>
      <w:r>
        <w:rPr>
          <w:lang w:val="en-US"/>
        </w:rPr>
        <w:t>and to European instruments, reports and decisions of other organs of the Council of Europe</w:t>
      </w:r>
      <w:r w:rsidR="008C291B">
        <w:rPr>
          <w:lang w:val="en-US"/>
        </w:rPr>
        <w:t xml:space="preserve">, including </w:t>
      </w:r>
      <w:r w:rsidR="00BF1695">
        <w:rPr>
          <w:lang w:val="en-US"/>
        </w:rPr>
        <w:t>the Council of Europe’s</w:t>
      </w:r>
      <w:r w:rsidR="008C291B">
        <w:rPr>
          <w:lang w:val="en-US"/>
        </w:rPr>
        <w:t xml:space="preserve"> Commissioner for Human Rights and Parliamentary Assembly</w:t>
      </w:r>
      <w:r>
        <w:rPr>
          <w:lang w:val="en-US"/>
        </w:rPr>
        <w:t xml:space="preserve">. </w:t>
      </w:r>
    </w:p>
    <w:p w14:paraId="5EE50C4E" w14:textId="51C06B99" w:rsidR="00C375F0" w:rsidRPr="00C375F0" w:rsidRDefault="004C1ECC">
      <w:pPr>
        <w:pStyle w:val="Heading1"/>
        <w:jc w:val="both"/>
        <w:rPr>
          <w:lang w:val="en-US"/>
        </w:rPr>
      </w:pPr>
      <w:bookmarkStart w:id="4" w:name="_Toc55391166"/>
      <w:r w:rsidRPr="00C375F0">
        <w:rPr>
          <w:lang w:val="en-US"/>
        </w:rPr>
        <w:t xml:space="preserve">International standards </w:t>
      </w:r>
      <w:r w:rsidR="005332DA">
        <w:rPr>
          <w:lang w:val="en-US"/>
        </w:rPr>
        <w:t>prohibiting involuntary placement and treatment</w:t>
      </w:r>
      <w:bookmarkEnd w:id="4"/>
    </w:p>
    <w:p w14:paraId="45359A8A" w14:textId="52BEF1BA" w:rsidR="004C1ECC" w:rsidRDefault="005332DA">
      <w:pPr>
        <w:pStyle w:val="Heading2"/>
        <w:jc w:val="both"/>
        <w:rPr>
          <w:lang w:val="en-US"/>
        </w:rPr>
      </w:pPr>
      <w:bookmarkStart w:id="5" w:name="_Toc55391167"/>
      <w:r>
        <w:rPr>
          <w:lang w:val="en-US"/>
        </w:rPr>
        <w:t>UN</w:t>
      </w:r>
      <w:r w:rsidR="002E3F90">
        <w:rPr>
          <w:lang w:val="en-US"/>
        </w:rPr>
        <w:t xml:space="preserve"> </w:t>
      </w:r>
      <w:r w:rsidR="00C375F0">
        <w:rPr>
          <w:lang w:val="en-US"/>
        </w:rPr>
        <w:t>Convention on the Rights of Persons with Disabilities</w:t>
      </w:r>
      <w:bookmarkEnd w:id="5"/>
    </w:p>
    <w:p w14:paraId="7C1BF89C" w14:textId="0CA2E038" w:rsidR="002E3F90" w:rsidRDefault="002E3F90">
      <w:pPr>
        <w:jc w:val="both"/>
        <w:rPr>
          <w:lang w:val="en-GB"/>
        </w:rPr>
      </w:pPr>
      <w:r w:rsidRPr="00305018">
        <w:rPr>
          <w:lang w:val="en-GB"/>
        </w:rPr>
        <w:t>The CRPD represents a significant paradigm shift in the discourse on the rights of persons with disabilities</w:t>
      </w:r>
      <w:r>
        <w:rPr>
          <w:lang w:val="en-GB"/>
        </w:rPr>
        <w:t xml:space="preserve">, including persons with mental health </w:t>
      </w:r>
      <w:r w:rsidR="00197DFA">
        <w:rPr>
          <w:lang w:val="en-GB"/>
        </w:rPr>
        <w:t>problems</w:t>
      </w:r>
      <w:r>
        <w:rPr>
          <w:lang w:val="en-GB"/>
        </w:rPr>
        <w:t xml:space="preserve">. The CRPD </w:t>
      </w:r>
      <w:r w:rsidRPr="00305018">
        <w:rPr>
          <w:lang w:val="en-GB"/>
        </w:rPr>
        <w:t>mov</w:t>
      </w:r>
      <w:r>
        <w:rPr>
          <w:lang w:val="en-GB"/>
        </w:rPr>
        <w:t>ed</w:t>
      </w:r>
      <w:r w:rsidRPr="00305018">
        <w:rPr>
          <w:lang w:val="en-GB"/>
        </w:rPr>
        <w:t xml:space="preserve"> from a medical and charity based approach to disability, in which persons with disabilities were considered as objects of treatment or charity, to a social model and human rights approach which recognises persons with disabilities as subjects of their own rights and focuses on the attitudinal and environmental barriers that hinder their full and effective participation in society on an equal basis with others.</w:t>
      </w:r>
      <w:r w:rsidRPr="00305018">
        <w:rPr>
          <w:rStyle w:val="FootnoteReference"/>
          <w:rFonts w:cs="Arial"/>
          <w:lang w:val="en-GB"/>
        </w:rPr>
        <w:footnoteReference w:id="6"/>
      </w:r>
      <w:r w:rsidRPr="00305018">
        <w:rPr>
          <w:lang w:val="en-GB"/>
        </w:rPr>
        <w:t xml:space="preserve"> Importantly, the CRPD acknowledges that concerted steps and specific measures are necessary to accelerate or achieve </w:t>
      </w:r>
      <w:r w:rsidRPr="00305018">
        <w:rPr>
          <w:i/>
          <w:iCs/>
          <w:lang w:val="en-GB"/>
        </w:rPr>
        <w:t xml:space="preserve">de facto </w:t>
      </w:r>
      <w:r w:rsidRPr="00305018">
        <w:rPr>
          <w:lang w:val="en-GB"/>
        </w:rPr>
        <w:t>equality of persons with disabilities in society</w:t>
      </w:r>
      <w:r w:rsidR="00444D4A">
        <w:rPr>
          <w:lang w:val="en-GB"/>
        </w:rPr>
        <w:t>,</w:t>
      </w:r>
      <w:r w:rsidR="005143BC" w:rsidRPr="00305018">
        <w:rPr>
          <w:rStyle w:val="FootnoteReference"/>
          <w:rFonts w:cs="Arial"/>
          <w:lang w:val="en-GB"/>
        </w:rPr>
        <w:footnoteReference w:id="7"/>
      </w:r>
      <w:r w:rsidR="005143BC">
        <w:rPr>
          <w:lang w:val="en-GB"/>
        </w:rPr>
        <w:t xml:space="preserve"> </w:t>
      </w:r>
      <w:r w:rsidR="00444D4A">
        <w:rPr>
          <w:lang w:val="en-GB"/>
        </w:rPr>
        <w:t>including persons with psychosocial disabilities</w:t>
      </w:r>
      <w:r w:rsidR="00E35E67">
        <w:rPr>
          <w:lang w:val="en-GB"/>
        </w:rPr>
        <w:t>,</w:t>
      </w:r>
      <w:r w:rsidR="006318F9">
        <w:rPr>
          <w:rStyle w:val="FootnoteReference"/>
          <w:rFonts w:cs="Arial"/>
          <w:lang w:val="en-GB"/>
        </w:rPr>
        <w:footnoteReference w:id="8"/>
      </w:r>
      <w:r w:rsidR="00E35E67">
        <w:rPr>
          <w:lang w:val="en-GB"/>
        </w:rPr>
        <w:t xml:space="preserve"> persons with intellectual disabilities, </w:t>
      </w:r>
      <w:r w:rsidR="005143BC">
        <w:rPr>
          <w:lang w:val="en-GB"/>
        </w:rPr>
        <w:t>a</w:t>
      </w:r>
      <w:r w:rsidR="00E35E67">
        <w:rPr>
          <w:lang w:val="en-GB"/>
        </w:rPr>
        <w:t xml:space="preserve">utistic people, </w:t>
      </w:r>
      <w:r w:rsidR="00444D4A">
        <w:rPr>
          <w:lang w:val="en-GB"/>
        </w:rPr>
        <w:t>and/or</w:t>
      </w:r>
      <w:r w:rsidR="00E35E67">
        <w:rPr>
          <w:lang w:val="en-GB"/>
        </w:rPr>
        <w:t xml:space="preserve"> persons</w:t>
      </w:r>
      <w:r w:rsidR="00444D4A">
        <w:rPr>
          <w:lang w:val="en-GB"/>
        </w:rPr>
        <w:t xml:space="preserve"> mental health </w:t>
      </w:r>
      <w:r w:rsidR="00197DFA">
        <w:rPr>
          <w:lang w:val="en-GB"/>
        </w:rPr>
        <w:t>problems</w:t>
      </w:r>
      <w:r w:rsidRPr="00305018">
        <w:rPr>
          <w:lang w:val="en-GB"/>
        </w:rPr>
        <w:t>.</w:t>
      </w:r>
      <w:r w:rsidR="00086C29">
        <w:rPr>
          <w:lang w:val="en-GB"/>
        </w:rPr>
        <w:t xml:space="preserve"> </w:t>
      </w:r>
    </w:p>
    <w:p w14:paraId="315E54D7" w14:textId="58F499DB" w:rsidR="00B90A55" w:rsidRDefault="00541D13">
      <w:pPr>
        <w:jc w:val="both"/>
        <w:rPr>
          <w:lang w:val="en-US"/>
        </w:rPr>
      </w:pPr>
      <w:r w:rsidRPr="003618DD">
        <w:rPr>
          <w:b/>
          <w:bCs/>
          <w:lang w:val="en-GB"/>
        </w:rPr>
        <w:t>Article 14</w:t>
      </w:r>
      <w:r w:rsidR="00B90A55" w:rsidRPr="003618DD">
        <w:rPr>
          <w:b/>
          <w:bCs/>
          <w:lang w:val="en-GB"/>
        </w:rPr>
        <w:t>(1)</w:t>
      </w:r>
      <w:r>
        <w:rPr>
          <w:lang w:val="en-GB"/>
        </w:rPr>
        <w:t xml:space="preserve"> of the CRPD</w:t>
      </w:r>
      <w:r w:rsidR="00EA1F88">
        <w:rPr>
          <w:lang w:val="en-GB"/>
        </w:rPr>
        <w:t xml:space="preserve"> establishes an obligation </w:t>
      </w:r>
      <w:r w:rsidR="00F00F8B">
        <w:rPr>
          <w:lang w:val="en-GB"/>
        </w:rPr>
        <w:t>for</w:t>
      </w:r>
      <w:r w:rsidR="00EA1F88">
        <w:rPr>
          <w:lang w:val="en-GB"/>
        </w:rPr>
        <w:t xml:space="preserve"> States </w:t>
      </w:r>
      <w:r w:rsidR="00F00F8B">
        <w:rPr>
          <w:lang w:val="en-GB"/>
        </w:rPr>
        <w:t>p</w:t>
      </w:r>
      <w:r w:rsidR="00EA1F88">
        <w:rPr>
          <w:lang w:val="en-GB"/>
        </w:rPr>
        <w:t>arties to</w:t>
      </w:r>
      <w:r w:rsidR="00B90A55">
        <w:rPr>
          <w:lang w:val="en-GB"/>
        </w:rPr>
        <w:t xml:space="preserve"> ensure that persons with disabilities “</w:t>
      </w:r>
      <w:r w:rsidR="00B90A55" w:rsidRPr="00B90A55">
        <w:rPr>
          <w:i/>
          <w:iCs/>
          <w:lang w:val="en-GB"/>
        </w:rPr>
        <w:t>(a) enjoy the right to liberty and security of persons;</w:t>
      </w:r>
      <w:r w:rsidR="00F00F8B">
        <w:rPr>
          <w:lang w:val="en-GB"/>
        </w:rPr>
        <w:t>” and</w:t>
      </w:r>
      <w:r w:rsidR="00B90A55" w:rsidRPr="00B90A55">
        <w:rPr>
          <w:i/>
          <w:iCs/>
          <w:lang w:val="en-GB"/>
        </w:rPr>
        <w:t xml:space="preserve"> </w:t>
      </w:r>
      <w:r w:rsidR="00F00F8B">
        <w:rPr>
          <w:i/>
          <w:iCs/>
          <w:lang w:val="en-GB"/>
        </w:rPr>
        <w:t>“</w:t>
      </w:r>
      <w:r w:rsidR="00B90A55" w:rsidRPr="00B90A55">
        <w:rPr>
          <w:i/>
          <w:iCs/>
          <w:lang w:val="en-GB"/>
        </w:rPr>
        <w:t xml:space="preserve">(b) are not </w:t>
      </w:r>
      <w:r w:rsidR="00B90A55" w:rsidRPr="00B90A55">
        <w:rPr>
          <w:i/>
          <w:iCs/>
          <w:lang w:val="en-US"/>
        </w:rPr>
        <w:t>deprived of their liberty unlawfully or arbitrarily, and that any deprivation of liberty is in conformity with the law, and that the existence of a disability shall in no case justify a deprivation of liberty.</w:t>
      </w:r>
      <w:r w:rsidR="00B90A55">
        <w:rPr>
          <w:lang w:val="en-US"/>
        </w:rPr>
        <w:t>” Article 14 CRPD is closely link</w:t>
      </w:r>
      <w:r w:rsidR="004D6139">
        <w:rPr>
          <w:lang w:val="en-US"/>
        </w:rPr>
        <w:t>ed</w:t>
      </w:r>
      <w:r w:rsidR="00B90A55">
        <w:rPr>
          <w:lang w:val="en-US"/>
        </w:rPr>
        <w:t xml:space="preserve"> to the right</w:t>
      </w:r>
      <w:r w:rsidR="00F00F8B">
        <w:rPr>
          <w:lang w:val="en-US"/>
        </w:rPr>
        <w:t>s</w:t>
      </w:r>
      <w:r w:rsidR="00B90A55">
        <w:rPr>
          <w:lang w:val="en-US"/>
        </w:rPr>
        <w:t xml:space="preserve"> of equality and non-discrimination (</w:t>
      </w:r>
      <w:r w:rsidR="00B90A55" w:rsidRPr="003618DD">
        <w:rPr>
          <w:b/>
          <w:bCs/>
          <w:lang w:val="en-US"/>
        </w:rPr>
        <w:t>article 5 CRPD</w:t>
      </w:r>
      <w:r w:rsidR="00B90A55">
        <w:rPr>
          <w:lang w:val="en-US"/>
        </w:rPr>
        <w:t xml:space="preserve">), equality before the law and </w:t>
      </w:r>
      <w:r w:rsidR="00B90A55">
        <w:rPr>
          <w:lang w:val="en-US"/>
        </w:rPr>
        <w:lastRenderedPageBreak/>
        <w:t>legal capacity (</w:t>
      </w:r>
      <w:r w:rsidR="00B90A55" w:rsidRPr="003618DD">
        <w:rPr>
          <w:b/>
          <w:bCs/>
          <w:lang w:val="en-US"/>
        </w:rPr>
        <w:t>article 12 CRPD</w:t>
      </w:r>
      <w:r w:rsidR="00B90A55">
        <w:rPr>
          <w:lang w:val="en-US"/>
        </w:rPr>
        <w:t>)</w:t>
      </w:r>
      <w:r w:rsidR="00EF54E3">
        <w:rPr>
          <w:lang w:val="en-US"/>
        </w:rPr>
        <w:t xml:space="preserve">, </w:t>
      </w:r>
      <w:r w:rsidR="00F00F8B">
        <w:rPr>
          <w:lang w:val="en-US"/>
        </w:rPr>
        <w:t>f</w:t>
      </w:r>
      <w:r w:rsidR="00EF54E3" w:rsidRPr="00EF54E3">
        <w:rPr>
          <w:lang w:val="en-US"/>
        </w:rPr>
        <w:t>reedom from torture or cruel, inhuman or degrading treatment or punishment</w:t>
      </w:r>
      <w:r w:rsidR="00EF54E3">
        <w:rPr>
          <w:lang w:val="en-US"/>
        </w:rPr>
        <w:t xml:space="preserve"> (</w:t>
      </w:r>
      <w:r w:rsidR="00EF54E3" w:rsidRPr="00EF54E3">
        <w:rPr>
          <w:b/>
          <w:bCs/>
          <w:lang w:val="en-US"/>
        </w:rPr>
        <w:t>article 15 CRPD</w:t>
      </w:r>
      <w:r w:rsidR="00EF54E3">
        <w:rPr>
          <w:lang w:val="en-US"/>
        </w:rPr>
        <w:t xml:space="preserve">) </w:t>
      </w:r>
      <w:r w:rsidR="00B90A55">
        <w:rPr>
          <w:lang w:val="en-US"/>
        </w:rPr>
        <w:t>and living in the community (</w:t>
      </w:r>
      <w:r w:rsidR="00B90A55" w:rsidRPr="003618DD">
        <w:rPr>
          <w:b/>
          <w:bCs/>
          <w:lang w:val="en-US"/>
        </w:rPr>
        <w:t>article 19 CRPD</w:t>
      </w:r>
      <w:r w:rsidR="00B90A55">
        <w:rPr>
          <w:lang w:val="en-US"/>
        </w:rPr>
        <w:t xml:space="preserve">). </w:t>
      </w:r>
    </w:p>
    <w:p w14:paraId="248BBE66" w14:textId="1D38C7F4" w:rsidR="00EF54E3" w:rsidRDefault="00B90A55">
      <w:pPr>
        <w:jc w:val="both"/>
        <w:rPr>
          <w:lang w:val="en-US"/>
        </w:rPr>
      </w:pPr>
      <w:r>
        <w:rPr>
          <w:lang w:val="en-US"/>
        </w:rPr>
        <w:t xml:space="preserve">The United Nations Committee on the Rights of Persons with Disabilities (the Committee) has clarified the </w:t>
      </w:r>
      <w:r w:rsidRPr="00B90A55">
        <w:rPr>
          <w:b/>
          <w:bCs/>
          <w:lang w:val="en-US"/>
        </w:rPr>
        <w:t>absolute prohibition of involuntary placement and treatment</w:t>
      </w:r>
      <w:r>
        <w:rPr>
          <w:lang w:val="en-US"/>
        </w:rPr>
        <w:t xml:space="preserve"> of persons with disabilities under the Convention in its </w:t>
      </w:r>
      <w:r w:rsidRPr="002F31E2">
        <w:rPr>
          <w:lang w:val="en-US"/>
        </w:rPr>
        <w:t>Guidelines on the right to liberty and security of persons with disabilities</w:t>
      </w:r>
      <w:r>
        <w:rPr>
          <w:rStyle w:val="FootnoteReference"/>
          <w:rFonts w:cs="Arial"/>
          <w:lang w:val="en-US"/>
        </w:rPr>
        <w:footnoteReference w:id="9"/>
      </w:r>
      <w:r>
        <w:rPr>
          <w:lang w:val="en-US"/>
        </w:rPr>
        <w:t xml:space="preserve"> and recommendations to States parties. The Committee </w:t>
      </w:r>
      <w:proofErr w:type="spellStart"/>
      <w:r>
        <w:rPr>
          <w:lang w:val="en-US"/>
        </w:rPr>
        <w:t>emphasised</w:t>
      </w:r>
      <w:proofErr w:type="spellEnd"/>
      <w:r>
        <w:rPr>
          <w:lang w:val="en-US"/>
        </w:rPr>
        <w:t xml:space="preserve"> that the Convention establish</w:t>
      </w:r>
      <w:r w:rsidR="003618DD">
        <w:rPr>
          <w:lang w:val="en-US"/>
        </w:rPr>
        <w:t>es</w:t>
      </w:r>
      <w:r>
        <w:rPr>
          <w:lang w:val="en-US"/>
        </w:rPr>
        <w:t xml:space="preserve"> an </w:t>
      </w:r>
      <w:r w:rsidRPr="00B90A55">
        <w:rPr>
          <w:lang w:val="en-US"/>
        </w:rPr>
        <w:t>absolute prohibition of detention on the basis of actual or perceived impairment</w:t>
      </w:r>
      <w:r>
        <w:rPr>
          <w:lang w:val="en-US"/>
        </w:rPr>
        <w:t>, including commitment in mental health institutions.</w:t>
      </w:r>
      <w:r w:rsidR="003618DD">
        <w:rPr>
          <w:rStyle w:val="FootnoteReference"/>
          <w:rFonts w:cs="Arial"/>
          <w:lang w:val="en-US"/>
        </w:rPr>
        <w:footnoteReference w:id="10"/>
      </w:r>
      <w:r>
        <w:rPr>
          <w:lang w:val="en-US"/>
        </w:rPr>
        <w:t xml:space="preserve"> </w:t>
      </w:r>
      <w:r w:rsidR="00F00F8B">
        <w:rPr>
          <w:lang w:val="en-US"/>
        </w:rPr>
        <w:t>The Convention</w:t>
      </w:r>
      <w:r>
        <w:rPr>
          <w:lang w:val="en-US"/>
        </w:rPr>
        <w:t xml:space="preserve"> require</w:t>
      </w:r>
      <w:r w:rsidR="003618DD">
        <w:rPr>
          <w:lang w:val="en-US"/>
        </w:rPr>
        <w:t>s</w:t>
      </w:r>
      <w:r>
        <w:rPr>
          <w:lang w:val="en-US"/>
        </w:rPr>
        <w:t xml:space="preserve"> States parties to “</w:t>
      </w:r>
      <w:r w:rsidRPr="002F31E2">
        <w:rPr>
          <w:i/>
          <w:iCs/>
          <w:lang w:val="en-US"/>
        </w:rPr>
        <w:t>repeal provisions that allow for the involuntary commitment of persons with disabilities in mental health institutions based on actual or perceived impairmen</w:t>
      </w:r>
      <w:r w:rsidRPr="00B90A55">
        <w:rPr>
          <w:i/>
          <w:iCs/>
          <w:lang w:val="en-US"/>
        </w:rPr>
        <w:t>t</w:t>
      </w:r>
      <w:r>
        <w:rPr>
          <w:lang w:val="en-US"/>
        </w:rPr>
        <w:t>”.</w:t>
      </w:r>
      <w:r w:rsidR="003618DD">
        <w:rPr>
          <w:rStyle w:val="FootnoteReference"/>
          <w:rFonts w:cs="Arial"/>
          <w:lang w:val="en-US"/>
        </w:rPr>
        <w:footnoteReference w:id="11"/>
      </w:r>
      <w:r>
        <w:rPr>
          <w:lang w:val="en-US"/>
        </w:rPr>
        <w:t xml:space="preserve"> </w:t>
      </w:r>
      <w:r w:rsidR="00EF54E3">
        <w:rPr>
          <w:lang w:val="en-US"/>
        </w:rPr>
        <w:t xml:space="preserve">The Committee found that </w:t>
      </w:r>
      <w:r w:rsidR="00EF54E3" w:rsidRPr="002F31E2">
        <w:rPr>
          <w:lang w:val="en-US"/>
        </w:rPr>
        <w:t xml:space="preserve">the use of forced treatment, seclusion and various methods of restraint in medical facilities, including physical, chemical and mechanical restraints are not consistent with the prohibition of </w:t>
      </w:r>
      <w:r w:rsidR="00EF54E3" w:rsidRPr="002F31E2">
        <w:rPr>
          <w:b/>
          <w:bCs/>
          <w:lang w:val="en-US"/>
        </w:rPr>
        <w:t>torture and other cruel, inhuman or degrading treatment or punishment</w:t>
      </w:r>
      <w:r w:rsidR="00EF54E3" w:rsidRPr="002F31E2">
        <w:rPr>
          <w:lang w:val="en-US"/>
        </w:rPr>
        <w:t xml:space="preserve"> of persons with disabilities</w:t>
      </w:r>
      <w:r w:rsidR="00EF54E3">
        <w:rPr>
          <w:lang w:val="en-US"/>
        </w:rPr>
        <w:t xml:space="preserve"> (</w:t>
      </w:r>
      <w:r w:rsidR="00EF54E3" w:rsidRPr="002F31E2">
        <w:rPr>
          <w:b/>
          <w:bCs/>
          <w:lang w:val="en-US"/>
        </w:rPr>
        <w:t xml:space="preserve">article 15 </w:t>
      </w:r>
      <w:r w:rsidR="00EF54E3" w:rsidRPr="004D6139">
        <w:rPr>
          <w:b/>
          <w:bCs/>
          <w:lang w:val="en-US"/>
        </w:rPr>
        <w:t>CRPD</w:t>
      </w:r>
      <w:r w:rsidR="00EF54E3">
        <w:rPr>
          <w:lang w:val="en-US"/>
        </w:rPr>
        <w:t>)</w:t>
      </w:r>
      <w:r w:rsidR="00EF54E3" w:rsidRPr="002F31E2">
        <w:rPr>
          <w:lang w:val="en-US"/>
        </w:rPr>
        <w:t>.</w:t>
      </w:r>
      <w:r w:rsidR="00EF54E3">
        <w:rPr>
          <w:rStyle w:val="FootnoteReference"/>
          <w:rFonts w:cs="Arial"/>
          <w:lang w:val="en-US"/>
        </w:rPr>
        <w:footnoteReference w:id="12"/>
      </w:r>
    </w:p>
    <w:p w14:paraId="45141E57" w14:textId="24E6DD08" w:rsidR="00B90A55" w:rsidRDefault="00EF54E3">
      <w:pPr>
        <w:jc w:val="both"/>
        <w:rPr>
          <w:lang w:val="en-US"/>
        </w:rPr>
      </w:pPr>
      <w:r>
        <w:rPr>
          <w:lang w:val="en-US"/>
        </w:rPr>
        <w:t>D</w:t>
      </w:r>
      <w:r w:rsidR="003618DD" w:rsidRPr="003618DD">
        <w:rPr>
          <w:lang w:val="en-US"/>
        </w:rPr>
        <w:t>eprivation of liberty on the basis of perceived danger allegedly posed by persons with disabilities, alleged need for care or treatment, or any other reasons</w:t>
      </w:r>
      <w:r w:rsidR="003618DD">
        <w:rPr>
          <w:lang w:val="en-US"/>
        </w:rPr>
        <w:t xml:space="preserve"> is also prohibited</w:t>
      </w:r>
      <w:r>
        <w:rPr>
          <w:lang w:val="en-US"/>
        </w:rPr>
        <w:t xml:space="preserve"> under the Convention</w:t>
      </w:r>
      <w:r w:rsidR="003618DD">
        <w:rPr>
          <w:lang w:val="en-US"/>
        </w:rPr>
        <w:t>. In its guidelines, the Committee state</w:t>
      </w:r>
      <w:r w:rsidR="00F00F8B">
        <w:rPr>
          <w:lang w:val="en-US"/>
        </w:rPr>
        <w:t>s</w:t>
      </w:r>
      <w:r w:rsidR="003618DD">
        <w:rPr>
          <w:lang w:val="en-US"/>
        </w:rPr>
        <w:t xml:space="preserve"> that: </w:t>
      </w:r>
    </w:p>
    <w:p w14:paraId="340BA3FC" w14:textId="3218BCBD" w:rsidR="003618DD" w:rsidRPr="003618DD" w:rsidRDefault="003618DD">
      <w:pPr>
        <w:ind w:left="708"/>
        <w:jc w:val="both"/>
        <w:rPr>
          <w:lang w:val="en-US"/>
        </w:rPr>
      </w:pPr>
      <w:r w:rsidRPr="003618DD">
        <w:rPr>
          <w:lang w:val="en-US"/>
        </w:rPr>
        <w:t xml:space="preserve">Persons with intellectual or psychosocial impairments are frequently considered dangerous to themselves and to others when they do not consent to or resist medical or therapeutic treatment. All persons, including those with disabilities, have a duty to do no harm. Legal systems based on the rule of law have criminal and other laws in place to deal with breaches of that obligation. Persons with disabilities are frequently denied equal protection under those laws by being diverted to a separate track of law, including through mental health laws. Those laws and procedures commonly have a lower standard when it comes to human rights protection, particularly the right to due process and fair trial, and are incompatible with </w:t>
      </w:r>
      <w:r w:rsidRPr="003618DD">
        <w:rPr>
          <w:b/>
          <w:bCs/>
          <w:lang w:val="en-US"/>
        </w:rPr>
        <w:t>article 13</w:t>
      </w:r>
      <w:r w:rsidRPr="003618DD">
        <w:rPr>
          <w:lang w:val="en-US"/>
        </w:rPr>
        <w:t>, in conjunction with article 14, of the Convention.</w:t>
      </w:r>
      <w:r>
        <w:rPr>
          <w:rStyle w:val="FootnoteReference"/>
          <w:rFonts w:cs="Arial"/>
          <w:lang w:val="en-US"/>
        </w:rPr>
        <w:footnoteReference w:id="13"/>
      </w:r>
    </w:p>
    <w:p w14:paraId="1EEAA8C6" w14:textId="44C18BAF" w:rsidR="002304E0" w:rsidRDefault="0020573C">
      <w:pPr>
        <w:jc w:val="both"/>
        <w:rPr>
          <w:lang w:val="en-US"/>
        </w:rPr>
      </w:pPr>
      <w:r>
        <w:rPr>
          <w:lang w:val="en-US"/>
        </w:rPr>
        <w:t xml:space="preserve">The absolute prohibition of involuntary placement and treatment in psychiatry was reiterated in the Statement by the Committee </w:t>
      </w:r>
      <w:r w:rsidRPr="0020573C">
        <w:rPr>
          <w:lang w:val="en-US"/>
        </w:rPr>
        <w:t>calling States parties to oppose the draft Additional Protocol to the Oviedo Convention</w:t>
      </w:r>
      <w:r w:rsidR="00672D6E">
        <w:rPr>
          <w:lang w:val="en-US"/>
        </w:rPr>
        <w:t xml:space="preserve"> a</w:t>
      </w:r>
      <w:r w:rsidR="00672D6E" w:rsidRPr="00672D6E">
        <w:rPr>
          <w:lang w:val="en-US"/>
        </w:rPr>
        <w:t>dopted during the Committee’s 20th session, held, from 27 August 21 September 2018 in Geneva</w:t>
      </w:r>
      <w:r w:rsidR="00672D6E">
        <w:rPr>
          <w:lang w:val="en-US"/>
        </w:rPr>
        <w:t xml:space="preserve">. The Committee indicated that the draft </w:t>
      </w:r>
      <w:r w:rsidR="00F00F8B">
        <w:rPr>
          <w:lang w:val="en-US"/>
        </w:rPr>
        <w:t xml:space="preserve">additional </w:t>
      </w:r>
      <w:r w:rsidR="00672D6E">
        <w:rPr>
          <w:lang w:val="en-US"/>
        </w:rPr>
        <w:t xml:space="preserve">protocol </w:t>
      </w:r>
      <w:r w:rsidR="00F00F8B">
        <w:rPr>
          <w:lang w:val="en-US"/>
        </w:rPr>
        <w:t xml:space="preserve">to the Oviedo Convention </w:t>
      </w:r>
      <w:r w:rsidR="00672D6E">
        <w:rPr>
          <w:lang w:val="en-US"/>
        </w:rPr>
        <w:t>“</w:t>
      </w:r>
      <w:r w:rsidR="00672D6E" w:rsidRPr="00F00F8B">
        <w:rPr>
          <w:i/>
          <w:iCs/>
          <w:lang w:val="en-US"/>
        </w:rPr>
        <w:t>violates particularly article 5 on equality and non-discrimination in conjunction with articles 12 on the right of equal recognition before the law, article 14 on the right to liberty and security, article 17 on the right to physical and mental integrity, and article 25 on the right to health.</w:t>
      </w:r>
      <w:r w:rsidR="00672D6E">
        <w:rPr>
          <w:lang w:val="en-US"/>
        </w:rPr>
        <w:t xml:space="preserve">” </w:t>
      </w:r>
    </w:p>
    <w:p w14:paraId="07774736" w14:textId="611D2F1B" w:rsidR="002304E0" w:rsidRDefault="005509EF">
      <w:pPr>
        <w:pStyle w:val="Heading2"/>
        <w:jc w:val="both"/>
        <w:rPr>
          <w:lang w:val="en-US"/>
        </w:rPr>
      </w:pPr>
      <w:bookmarkStart w:id="7" w:name="_Toc55391168"/>
      <w:r>
        <w:rPr>
          <w:lang w:val="en-US"/>
        </w:rPr>
        <w:t>United Nations</w:t>
      </w:r>
      <w:bookmarkEnd w:id="7"/>
      <w:r>
        <w:rPr>
          <w:lang w:val="en-US"/>
        </w:rPr>
        <w:t xml:space="preserve"> </w:t>
      </w:r>
    </w:p>
    <w:p w14:paraId="393F10C7" w14:textId="4F285FF5" w:rsidR="00744F4A" w:rsidRDefault="00744F4A">
      <w:pPr>
        <w:jc w:val="both"/>
        <w:rPr>
          <w:lang w:val="en-US"/>
        </w:rPr>
      </w:pPr>
      <w:r w:rsidRPr="00744F4A">
        <w:rPr>
          <w:lang w:val="en-US"/>
        </w:rPr>
        <w:t xml:space="preserve">Several bodies and </w:t>
      </w:r>
      <w:r w:rsidR="005509EF">
        <w:rPr>
          <w:lang w:val="en-US"/>
        </w:rPr>
        <w:t xml:space="preserve">special </w:t>
      </w:r>
      <w:r w:rsidRPr="00744F4A">
        <w:rPr>
          <w:lang w:val="en-US"/>
        </w:rPr>
        <w:t xml:space="preserve">mandate holders of the United Nations hold a position against involuntary </w:t>
      </w:r>
      <w:r>
        <w:rPr>
          <w:lang w:val="en-US"/>
        </w:rPr>
        <w:t xml:space="preserve">placement and treatment in psychiatry. </w:t>
      </w:r>
    </w:p>
    <w:p w14:paraId="5BC62D02" w14:textId="1B77E81B" w:rsidR="005509EF" w:rsidRDefault="005509EF" w:rsidP="00B94A09">
      <w:pPr>
        <w:pStyle w:val="Heading3"/>
        <w:jc w:val="both"/>
        <w:rPr>
          <w:lang w:val="en-US"/>
        </w:rPr>
      </w:pPr>
      <w:bookmarkStart w:id="8" w:name="_Toc55391169"/>
      <w:r>
        <w:rPr>
          <w:lang w:val="en-US"/>
        </w:rPr>
        <w:t>Human Rights Council</w:t>
      </w:r>
      <w:r w:rsidR="00444C58">
        <w:rPr>
          <w:lang w:val="en-US"/>
        </w:rPr>
        <w:t>’s resolution</w:t>
      </w:r>
      <w:bookmarkEnd w:id="8"/>
      <w:r w:rsidR="00444C58">
        <w:rPr>
          <w:lang w:val="en-US"/>
        </w:rPr>
        <w:t xml:space="preserve"> </w:t>
      </w:r>
    </w:p>
    <w:p w14:paraId="6C8F0681" w14:textId="12872E56" w:rsidR="0018131A" w:rsidRDefault="0018131A">
      <w:pPr>
        <w:jc w:val="both"/>
        <w:rPr>
          <w:lang w:val="en-US"/>
        </w:rPr>
      </w:pPr>
      <w:r w:rsidRPr="00EC003E">
        <w:rPr>
          <w:lang w:val="en-US"/>
        </w:rPr>
        <w:t>In a</w:t>
      </w:r>
      <w:r w:rsidR="00EC003E" w:rsidRPr="00EC003E">
        <w:rPr>
          <w:lang w:val="en-US"/>
        </w:rPr>
        <w:t xml:space="preserve"> </w:t>
      </w:r>
      <w:r w:rsidR="00EC003E">
        <w:rPr>
          <w:lang w:val="en-US"/>
        </w:rPr>
        <w:t>resolution on mental health and human rights</w:t>
      </w:r>
      <w:r w:rsidRPr="00EC003E">
        <w:rPr>
          <w:lang w:val="en-US"/>
        </w:rPr>
        <w:t xml:space="preserve"> adopted in March 2020</w:t>
      </w:r>
      <w:r w:rsidRPr="0018131A">
        <w:rPr>
          <w:lang w:val="en-US"/>
        </w:rPr>
        <w:t>,</w:t>
      </w:r>
      <w:r w:rsidR="00EC003E">
        <w:rPr>
          <w:rStyle w:val="FootnoteReference"/>
          <w:lang w:val="en-US"/>
        </w:rPr>
        <w:footnoteReference w:id="14"/>
      </w:r>
      <w:r w:rsidRPr="0018131A">
        <w:rPr>
          <w:lang w:val="en-US"/>
        </w:rPr>
        <w:t xml:space="preserve"> the </w:t>
      </w:r>
      <w:r w:rsidRPr="0018131A">
        <w:rPr>
          <w:b/>
          <w:lang w:val="en-US"/>
        </w:rPr>
        <w:t>UN Human Rights Council</w:t>
      </w:r>
      <w:r w:rsidRPr="0018131A">
        <w:rPr>
          <w:lang w:val="en-US"/>
        </w:rPr>
        <w:t xml:space="preserve"> expressed deep concerns that persons with mental health </w:t>
      </w:r>
      <w:r w:rsidR="00197DFA">
        <w:rPr>
          <w:lang w:val="en-US"/>
        </w:rPr>
        <w:t>problem</w:t>
      </w:r>
      <w:r w:rsidR="00197DFA" w:rsidRPr="0018131A">
        <w:rPr>
          <w:lang w:val="en-US"/>
        </w:rPr>
        <w:t xml:space="preserve">s </w:t>
      </w:r>
      <w:r w:rsidR="0019608F">
        <w:rPr>
          <w:lang w:val="en-US"/>
        </w:rPr>
        <w:t>and/or</w:t>
      </w:r>
      <w:r w:rsidRPr="0018131A">
        <w:rPr>
          <w:lang w:val="en-US"/>
        </w:rPr>
        <w:t xml:space="preserve"> psychosocial disabilities, including persons using mental health services, continue to be subject to a variety of human rights violations, including over</w:t>
      </w:r>
      <w:r w:rsidR="007C3507">
        <w:rPr>
          <w:lang w:val="en-US"/>
        </w:rPr>
        <w:t>-</w:t>
      </w:r>
      <w:proofErr w:type="spellStart"/>
      <w:r w:rsidRPr="0018131A">
        <w:rPr>
          <w:lang w:val="en-US"/>
        </w:rPr>
        <w:t>medicalisation</w:t>
      </w:r>
      <w:proofErr w:type="spellEnd"/>
      <w:r w:rsidRPr="0018131A">
        <w:rPr>
          <w:lang w:val="en-US"/>
        </w:rPr>
        <w:t xml:space="preserve"> and treatment practices that fail to respect their </w:t>
      </w:r>
      <w:r w:rsidRPr="0018131A">
        <w:rPr>
          <w:lang w:val="en-US"/>
        </w:rPr>
        <w:lastRenderedPageBreak/>
        <w:t>autonomy, will and preferences.</w:t>
      </w:r>
      <w:r w:rsidR="00EC003E">
        <w:rPr>
          <w:rStyle w:val="FootnoteReference"/>
          <w:lang w:val="en-US"/>
        </w:rPr>
        <w:footnoteReference w:id="15"/>
      </w:r>
      <w:r w:rsidRPr="0018131A">
        <w:rPr>
          <w:lang w:val="en-US"/>
        </w:rPr>
        <w:t xml:space="preserve"> It called on States to promote a paradigm shift in mental health, “</w:t>
      </w:r>
      <w:r w:rsidRPr="0018131A">
        <w:rPr>
          <w:i/>
          <w:iCs/>
          <w:lang w:val="en-US"/>
        </w:rPr>
        <w:t>through the promotion of community-, evidence- and human rights-based and people-</w:t>
      </w:r>
      <w:proofErr w:type="spellStart"/>
      <w:r w:rsidRPr="0018131A">
        <w:rPr>
          <w:i/>
          <w:iCs/>
          <w:lang w:val="en-US"/>
        </w:rPr>
        <w:t>centred</w:t>
      </w:r>
      <w:proofErr w:type="spellEnd"/>
      <w:r w:rsidRPr="0018131A">
        <w:rPr>
          <w:i/>
          <w:iCs/>
          <w:lang w:val="en-US"/>
        </w:rPr>
        <w:t xml:space="preserve"> services and supports that protect, promote and respect the enjoyment of the rights, autonomy, will and preferences of all persons</w:t>
      </w:r>
      <w:r w:rsidRPr="0018131A">
        <w:rPr>
          <w:lang w:val="en-US"/>
        </w:rPr>
        <w:t>”</w:t>
      </w:r>
      <w:r w:rsidR="0019608F">
        <w:rPr>
          <w:rStyle w:val="FootnoteReference"/>
          <w:lang w:val="en-US"/>
        </w:rPr>
        <w:footnoteReference w:id="16"/>
      </w:r>
      <w:r w:rsidRPr="0018131A">
        <w:rPr>
          <w:lang w:val="en-US"/>
        </w:rPr>
        <w:t xml:space="preserve"> and through the involvement of </w:t>
      </w:r>
      <w:r w:rsidR="0019608F">
        <w:rPr>
          <w:lang w:val="en-US"/>
        </w:rPr>
        <w:t xml:space="preserve">persons with mental health </w:t>
      </w:r>
      <w:r w:rsidR="00197DFA">
        <w:rPr>
          <w:lang w:val="en-US"/>
        </w:rPr>
        <w:t xml:space="preserve">problems </w:t>
      </w:r>
      <w:r w:rsidR="0019608F">
        <w:rPr>
          <w:lang w:val="en-US"/>
        </w:rPr>
        <w:t xml:space="preserve">or persons with psychosocial disabilities and their </w:t>
      </w:r>
      <w:proofErr w:type="spellStart"/>
      <w:r w:rsidR="0019608F">
        <w:rPr>
          <w:lang w:val="en-US"/>
        </w:rPr>
        <w:t>organisations</w:t>
      </w:r>
      <w:proofErr w:type="spellEnd"/>
      <w:r w:rsidRPr="0018131A">
        <w:rPr>
          <w:lang w:val="en-US"/>
        </w:rPr>
        <w:t>.</w:t>
      </w:r>
      <w:r w:rsidR="0019608F">
        <w:rPr>
          <w:rStyle w:val="FootnoteReference"/>
          <w:lang w:val="en-US"/>
        </w:rPr>
        <w:footnoteReference w:id="17"/>
      </w:r>
    </w:p>
    <w:p w14:paraId="0F286328" w14:textId="5F0A1477" w:rsidR="005509EF" w:rsidRPr="001360CF" w:rsidRDefault="005509EF" w:rsidP="00B94A09">
      <w:pPr>
        <w:pStyle w:val="Heading3"/>
        <w:jc w:val="both"/>
        <w:rPr>
          <w:lang w:val="en-US"/>
        </w:rPr>
      </w:pPr>
      <w:bookmarkStart w:id="9" w:name="_Toc55391170"/>
      <w:r w:rsidRPr="00A0113E">
        <w:rPr>
          <w:lang w:val="en-US"/>
        </w:rPr>
        <w:t>UN Treaty B</w:t>
      </w:r>
      <w:r w:rsidRPr="001360CF">
        <w:rPr>
          <w:lang w:val="en-US"/>
        </w:rPr>
        <w:t>odies</w:t>
      </w:r>
      <w:r w:rsidR="00444C58">
        <w:rPr>
          <w:lang w:val="en-US"/>
        </w:rPr>
        <w:t>’ recommendations</w:t>
      </w:r>
      <w:bookmarkEnd w:id="9"/>
      <w:r w:rsidR="00444C58">
        <w:rPr>
          <w:lang w:val="en-US"/>
        </w:rPr>
        <w:t xml:space="preserve"> </w:t>
      </w:r>
    </w:p>
    <w:p w14:paraId="187F287B" w14:textId="27DA0FC2" w:rsidR="005509EF" w:rsidRPr="005509EF" w:rsidRDefault="005509EF" w:rsidP="00B94A09">
      <w:pPr>
        <w:jc w:val="both"/>
        <w:rPr>
          <w:lang w:val="en-GB"/>
        </w:rPr>
      </w:pPr>
      <w:r w:rsidRPr="005509EF">
        <w:rPr>
          <w:lang w:val="en-GB"/>
        </w:rPr>
        <w:t xml:space="preserve">Many United Nations Treaty Bodies and special procedures of the Human Rights Council have endorsed the standards of the </w:t>
      </w:r>
      <w:r w:rsidR="00E552A9">
        <w:rPr>
          <w:lang w:val="en-GB"/>
        </w:rPr>
        <w:t xml:space="preserve">CRPD </w:t>
      </w:r>
      <w:r w:rsidRPr="005509EF">
        <w:rPr>
          <w:lang w:val="en-GB"/>
        </w:rPr>
        <w:t>developed by the Committee on the Rights of Persons with Disabilities regarding the absolute prohibition of deprivation of liberty on the basis of impairment (Article 14(1)(b) of the CRPD).</w:t>
      </w:r>
    </w:p>
    <w:p w14:paraId="11145B5F" w14:textId="543D4C3E" w:rsidR="005509EF" w:rsidRPr="001360CF" w:rsidRDefault="005509EF" w:rsidP="00B94A09">
      <w:pPr>
        <w:jc w:val="both"/>
        <w:rPr>
          <w:lang w:val="en-GB"/>
        </w:rPr>
      </w:pPr>
      <w:r w:rsidRPr="005509EF">
        <w:rPr>
          <w:lang w:val="en-GB"/>
        </w:rPr>
        <w:t xml:space="preserve">For instance, the </w:t>
      </w:r>
      <w:r w:rsidRPr="001360CF">
        <w:rPr>
          <w:b/>
          <w:bCs/>
          <w:lang w:val="en-GB"/>
        </w:rPr>
        <w:t>Committee on the Elimination of All Forms of Discrimination against Women</w:t>
      </w:r>
      <w:r w:rsidRPr="005509EF">
        <w:rPr>
          <w:lang w:val="en-GB"/>
        </w:rPr>
        <w:t xml:space="preserve"> has urged States to </w:t>
      </w:r>
      <w:r w:rsidRPr="005509EF">
        <w:rPr>
          <w:i/>
          <w:iCs/>
          <w:lang w:val="en-GB"/>
        </w:rPr>
        <w:t>“repeal laws regarding and prohibit disability-based detention of women, including involuntary hospitalization and forced institutionali</w:t>
      </w:r>
      <w:r w:rsidR="00E552A9">
        <w:rPr>
          <w:i/>
          <w:iCs/>
          <w:lang w:val="en-GB"/>
        </w:rPr>
        <w:t>s</w:t>
      </w:r>
      <w:r w:rsidRPr="005509EF">
        <w:rPr>
          <w:i/>
          <w:iCs/>
          <w:lang w:val="en-GB"/>
        </w:rPr>
        <w:t>ation”,</w:t>
      </w:r>
      <w:r w:rsidRPr="005509EF">
        <w:rPr>
          <w:i/>
          <w:iCs/>
          <w:vertAlign w:val="superscript"/>
        </w:rPr>
        <w:footnoteReference w:id="18"/>
      </w:r>
      <w:r w:rsidRPr="005509EF">
        <w:rPr>
          <w:i/>
          <w:iCs/>
          <w:lang w:val="en-GB"/>
        </w:rPr>
        <w:t xml:space="preserve"> </w:t>
      </w:r>
      <w:r w:rsidRPr="005509EF">
        <w:rPr>
          <w:lang w:val="en-GB"/>
        </w:rPr>
        <w:t xml:space="preserve">as well as </w:t>
      </w:r>
      <w:r w:rsidRPr="005509EF">
        <w:rPr>
          <w:i/>
          <w:iCs/>
          <w:lang w:val="en-GB"/>
        </w:rPr>
        <w:t>“to ensure that women and girls with disabilities are not subjected to mandatory institutionali</w:t>
      </w:r>
      <w:r w:rsidR="00E552A9">
        <w:rPr>
          <w:i/>
          <w:iCs/>
          <w:lang w:val="en-GB"/>
        </w:rPr>
        <w:t>s</w:t>
      </w:r>
      <w:r w:rsidRPr="005509EF">
        <w:rPr>
          <w:i/>
          <w:iCs/>
          <w:lang w:val="en-GB"/>
        </w:rPr>
        <w:t>ation.”</w:t>
      </w:r>
      <w:r w:rsidRPr="005509EF">
        <w:rPr>
          <w:vertAlign w:val="superscript"/>
          <w:lang w:val="en-GB"/>
        </w:rPr>
        <w:t xml:space="preserve"> </w:t>
      </w:r>
      <w:r w:rsidRPr="005509EF">
        <w:rPr>
          <w:vertAlign w:val="superscript"/>
          <w:lang w:val="en-GB"/>
        </w:rPr>
        <w:footnoteReference w:id="19"/>
      </w:r>
      <w:r w:rsidR="00EB6FAF">
        <w:rPr>
          <w:lang w:val="en-GB"/>
        </w:rPr>
        <w:t xml:space="preserve"> </w:t>
      </w:r>
      <w:r w:rsidR="00E552A9">
        <w:rPr>
          <w:lang w:val="en-GB"/>
        </w:rPr>
        <w:t>T</w:t>
      </w:r>
      <w:r w:rsidRPr="005509EF">
        <w:rPr>
          <w:lang w:val="en-GB"/>
        </w:rPr>
        <w:t xml:space="preserve">he </w:t>
      </w:r>
      <w:r w:rsidRPr="001360CF">
        <w:rPr>
          <w:b/>
          <w:bCs/>
          <w:lang w:val="en-GB"/>
        </w:rPr>
        <w:t>Committee on Economic, Social and Cultural Rights</w:t>
      </w:r>
      <w:r w:rsidRPr="005509EF">
        <w:rPr>
          <w:lang w:val="en-GB"/>
        </w:rPr>
        <w:t xml:space="preserve"> has also recommended States to “</w:t>
      </w:r>
      <w:r w:rsidRPr="005509EF">
        <w:rPr>
          <w:i/>
          <w:iCs/>
          <w:lang w:val="en-GB"/>
        </w:rPr>
        <w:t>incorporate into the law the abolition of violent and discriminatory practices against children and adults with disabilities in the medical setting, including deprivation of liberty, the use of restraint and the enforced administration of intrusive and irreversible treatments.”</w:t>
      </w:r>
      <w:r w:rsidRPr="005509EF">
        <w:rPr>
          <w:vertAlign w:val="superscript"/>
          <w:lang w:val="en-GB"/>
        </w:rPr>
        <w:t xml:space="preserve"> </w:t>
      </w:r>
      <w:r w:rsidRPr="005509EF">
        <w:rPr>
          <w:vertAlign w:val="superscript"/>
          <w:lang w:val="en-GB"/>
        </w:rPr>
        <w:footnoteReference w:id="20"/>
      </w:r>
      <w:r w:rsidR="00EB6FAF">
        <w:rPr>
          <w:lang w:val="en-GB"/>
        </w:rPr>
        <w:t xml:space="preserve"> </w:t>
      </w:r>
      <w:r w:rsidRPr="005509EF">
        <w:rPr>
          <w:lang w:val="en-GB"/>
        </w:rPr>
        <w:t xml:space="preserve">In the same vein, the </w:t>
      </w:r>
      <w:r w:rsidRPr="001360CF">
        <w:rPr>
          <w:b/>
          <w:bCs/>
          <w:lang w:val="en-GB"/>
        </w:rPr>
        <w:t>Working Group on Arbitrary Detention</w:t>
      </w:r>
      <w:r w:rsidRPr="005509EF">
        <w:rPr>
          <w:lang w:val="en-GB"/>
        </w:rPr>
        <w:t xml:space="preserve"> endorses the rule binding States “to prohibit involuntary committal or internment on the ground of the existence of an impairment or perceived impairment, particularly on the basis of psychosocial or intellectual disability or perceived psychosocial or intellectual disability.”</w:t>
      </w:r>
      <w:r w:rsidRPr="005509EF">
        <w:rPr>
          <w:vertAlign w:val="superscript"/>
          <w:lang w:val="en-GB"/>
        </w:rPr>
        <w:footnoteReference w:id="21"/>
      </w:r>
      <w:r w:rsidRPr="005509EF">
        <w:rPr>
          <w:lang w:val="en-GB"/>
        </w:rPr>
        <w:t xml:space="preserve"> Additionally, these and other Bodies have also repeatedly called States for the deinstitutionalisation of persons with disabilities and the adoption of community-based alternatives to deprivation of liberty.</w:t>
      </w:r>
      <w:r w:rsidRPr="005509EF">
        <w:rPr>
          <w:vertAlign w:val="superscript"/>
          <w:lang w:val="en-GB"/>
        </w:rPr>
        <w:footnoteReference w:id="22"/>
      </w:r>
    </w:p>
    <w:p w14:paraId="49B17C9F" w14:textId="2EF959F0" w:rsidR="005509EF" w:rsidRPr="00A0113E" w:rsidRDefault="005509EF" w:rsidP="00B94A09">
      <w:pPr>
        <w:pStyle w:val="Heading3"/>
        <w:jc w:val="both"/>
        <w:rPr>
          <w:lang w:val="en-US"/>
        </w:rPr>
      </w:pPr>
      <w:bookmarkStart w:id="11" w:name="_Toc55391171"/>
      <w:r w:rsidRPr="00A0113E">
        <w:rPr>
          <w:lang w:val="en-US"/>
        </w:rPr>
        <w:t>UN</w:t>
      </w:r>
      <w:r w:rsidR="00E552A9" w:rsidRPr="001360CF">
        <w:rPr>
          <w:lang w:val="en-US"/>
        </w:rPr>
        <w:t xml:space="preserve"> special mandate holder</w:t>
      </w:r>
      <w:r w:rsidR="00444C58">
        <w:rPr>
          <w:lang w:val="en-US"/>
        </w:rPr>
        <w:t>s’ reports</w:t>
      </w:r>
      <w:bookmarkEnd w:id="11"/>
      <w:r w:rsidR="00444C58">
        <w:rPr>
          <w:lang w:val="en-US"/>
        </w:rPr>
        <w:t xml:space="preserve"> </w:t>
      </w:r>
    </w:p>
    <w:p w14:paraId="78563819" w14:textId="4C85AD1E" w:rsidR="00744F4A" w:rsidRPr="0019608F" w:rsidRDefault="00744F4A">
      <w:pPr>
        <w:jc w:val="both"/>
        <w:rPr>
          <w:lang w:val="en-US"/>
        </w:rPr>
      </w:pPr>
      <w:r w:rsidRPr="00744F4A">
        <w:rPr>
          <w:lang w:val="en-US"/>
        </w:rPr>
        <w:t xml:space="preserve">In various reports adopted between 2018 and 2020, the </w:t>
      </w:r>
      <w:r w:rsidRPr="00744F4A">
        <w:rPr>
          <w:b/>
          <w:lang w:val="en-US"/>
        </w:rPr>
        <w:t>UN Special Rapporteur on the right of everyone to the enjoyment of the highest attainable standard of physical and mental health</w:t>
      </w:r>
      <w:r w:rsidRPr="00744F4A">
        <w:rPr>
          <w:lang w:val="en-US"/>
        </w:rPr>
        <w:t xml:space="preserve"> spoke out against the involuntary placement of persons with intellectual and psychosocial disabilities to mental health facilities</w:t>
      </w:r>
      <w:r w:rsidR="0018131A">
        <w:rPr>
          <w:lang w:val="en-US"/>
        </w:rPr>
        <w:t>,</w:t>
      </w:r>
      <w:r w:rsidR="0018131A">
        <w:rPr>
          <w:rStyle w:val="FootnoteReference"/>
          <w:lang w:val="en-US"/>
        </w:rPr>
        <w:footnoteReference w:id="23"/>
      </w:r>
      <w:r w:rsidRPr="00744F4A">
        <w:rPr>
          <w:lang w:val="en-US"/>
        </w:rPr>
        <w:t xml:space="preserve"> </w:t>
      </w:r>
      <w:r w:rsidR="0026403F">
        <w:rPr>
          <w:lang w:val="en-US"/>
        </w:rPr>
        <w:t xml:space="preserve">and </w:t>
      </w:r>
      <w:r w:rsidRPr="00744F4A">
        <w:rPr>
          <w:lang w:val="en-US"/>
        </w:rPr>
        <w:t xml:space="preserve">excessive </w:t>
      </w:r>
      <w:proofErr w:type="spellStart"/>
      <w:r w:rsidRPr="00744F4A">
        <w:rPr>
          <w:lang w:val="en-US"/>
        </w:rPr>
        <w:t>medicalisation</w:t>
      </w:r>
      <w:proofErr w:type="spellEnd"/>
      <w:r w:rsidR="0026403F">
        <w:rPr>
          <w:rStyle w:val="FootnoteReference"/>
          <w:lang w:val="en-US"/>
        </w:rPr>
        <w:footnoteReference w:id="24"/>
      </w:r>
      <w:r w:rsidRPr="00744F4A">
        <w:rPr>
          <w:lang w:val="en-US"/>
        </w:rPr>
        <w:t xml:space="preserve"> and discriminatory mental health laws that deprive people of liberty and their autonomy</w:t>
      </w:r>
      <w:r w:rsidR="0026403F">
        <w:rPr>
          <w:lang w:val="en-US"/>
        </w:rPr>
        <w:t>,</w:t>
      </w:r>
      <w:r w:rsidR="0026403F" w:rsidRPr="00744F4A">
        <w:rPr>
          <w:lang w:val="en-US"/>
        </w:rPr>
        <w:t xml:space="preserve"> </w:t>
      </w:r>
      <w:r w:rsidRPr="00744F4A">
        <w:rPr>
          <w:lang w:val="en-US"/>
        </w:rPr>
        <w:t>often based on the myth that “</w:t>
      </w:r>
      <w:r w:rsidRPr="00744F4A">
        <w:rPr>
          <w:i/>
          <w:iCs/>
          <w:lang w:val="en-US"/>
        </w:rPr>
        <w:t>individuals with certain diagnoses are at high risk of perpetuating violence and posing a threat to the public</w:t>
      </w:r>
      <w:r w:rsidR="0018131A">
        <w:rPr>
          <w:i/>
          <w:iCs/>
          <w:lang w:val="en-US"/>
        </w:rPr>
        <w:t>.</w:t>
      </w:r>
      <w:r w:rsidRPr="00744F4A">
        <w:rPr>
          <w:lang w:val="en-US"/>
        </w:rPr>
        <w:t>”</w:t>
      </w:r>
      <w:r w:rsidR="0018131A">
        <w:rPr>
          <w:rStyle w:val="FootnoteReference"/>
          <w:lang w:val="en-US"/>
        </w:rPr>
        <w:footnoteReference w:id="25"/>
      </w:r>
      <w:r w:rsidR="0026403F">
        <w:rPr>
          <w:lang w:val="en-US"/>
        </w:rPr>
        <w:t xml:space="preserve"> </w:t>
      </w:r>
      <w:r w:rsidR="0019608F">
        <w:rPr>
          <w:lang w:val="en-US"/>
        </w:rPr>
        <w:t>He called on “</w:t>
      </w:r>
      <w:r w:rsidR="0019608F" w:rsidRPr="0019608F">
        <w:rPr>
          <w:i/>
          <w:iCs/>
          <w:lang w:val="en-US"/>
        </w:rPr>
        <w:t>a paradigm shift in the field of mental health, which abandons outdated measures resulting in the forced confinement of persons with intellectual and psychosocial disabilities in psychiatric institutions</w:t>
      </w:r>
      <w:r w:rsidR="0019608F">
        <w:rPr>
          <w:i/>
          <w:iCs/>
          <w:lang w:val="en-US"/>
        </w:rPr>
        <w:t>.</w:t>
      </w:r>
      <w:r w:rsidR="0019608F">
        <w:rPr>
          <w:lang w:val="en-US"/>
        </w:rPr>
        <w:t>”</w:t>
      </w:r>
      <w:r w:rsidR="0019608F">
        <w:rPr>
          <w:rStyle w:val="FootnoteReference"/>
          <w:lang w:val="en-US"/>
        </w:rPr>
        <w:footnoteReference w:id="26"/>
      </w:r>
      <w:r w:rsidR="0019608F">
        <w:rPr>
          <w:lang w:val="en-US"/>
        </w:rPr>
        <w:t xml:space="preserve"> </w:t>
      </w:r>
      <w:r w:rsidRPr="00744F4A">
        <w:rPr>
          <w:lang w:val="en-US"/>
        </w:rPr>
        <w:t xml:space="preserve">In its </w:t>
      </w:r>
      <w:r w:rsidR="0026403F">
        <w:rPr>
          <w:lang w:val="en-US"/>
        </w:rPr>
        <w:t xml:space="preserve">2020 </w:t>
      </w:r>
      <w:r w:rsidRPr="00744F4A">
        <w:rPr>
          <w:lang w:val="en-US"/>
        </w:rPr>
        <w:t>report</w:t>
      </w:r>
      <w:r w:rsidR="0026403F">
        <w:rPr>
          <w:lang w:val="en-US"/>
        </w:rPr>
        <w:t xml:space="preserve"> on ‘</w:t>
      </w:r>
      <w:r w:rsidR="0026403F" w:rsidRPr="0026403F">
        <w:rPr>
          <w:lang w:val="en-US"/>
        </w:rPr>
        <w:t>Mental Health and Human Rights: Setting a Rights-based Global Agenda</w:t>
      </w:r>
      <w:r w:rsidR="0026403F">
        <w:rPr>
          <w:lang w:val="en-US"/>
        </w:rPr>
        <w:t>’</w:t>
      </w:r>
      <w:r w:rsidRPr="00744F4A">
        <w:rPr>
          <w:lang w:val="en-US"/>
        </w:rPr>
        <w:t>, the Rapporteur called States to “</w:t>
      </w:r>
      <w:r w:rsidRPr="0026403F">
        <w:rPr>
          <w:i/>
          <w:iCs/>
          <w:lang w:val="en-US"/>
        </w:rPr>
        <w:t xml:space="preserve">undertake the legislative, policy and other measures </w:t>
      </w:r>
      <w:r w:rsidRPr="0026403F">
        <w:rPr>
          <w:i/>
          <w:iCs/>
          <w:lang w:val="en-US"/>
        </w:rPr>
        <w:lastRenderedPageBreak/>
        <w:t>required to fully implement a human rights-based approach to mental health with the inclusive participation of those with lived experience</w:t>
      </w:r>
      <w:r w:rsidR="0018131A">
        <w:rPr>
          <w:lang w:val="en-US"/>
        </w:rPr>
        <w:t>.</w:t>
      </w:r>
      <w:r w:rsidRPr="00744F4A">
        <w:rPr>
          <w:lang w:val="en-US"/>
        </w:rPr>
        <w:t>”</w:t>
      </w:r>
      <w:r w:rsidR="0018131A">
        <w:rPr>
          <w:rStyle w:val="FootnoteReference"/>
          <w:lang w:val="en-US"/>
        </w:rPr>
        <w:footnoteReference w:id="27"/>
      </w:r>
      <w:r w:rsidRPr="00744F4A">
        <w:rPr>
          <w:lang w:val="en-US"/>
        </w:rPr>
        <w:t xml:space="preserve"> </w:t>
      </w:r>
    </w:p>
    <w:p w14:paraId="7E6B133A" w14:textId="77777777" w:rsidR="00A963FC" w:rsidRDefault="008A74D5">
      <w:pPr>
        <w:jc w:val="both"/>
        <w:rPr>
          <w:lang w:val="en-US"/>
        </w:rPr>
      </w:pPr>
      <w:r>
        <w:rPr>
          <w:lang w:val="en-US"/>
        </w:rPr>
        <w:t>In a report of March 2020</w:t>
      </w:r>
      <w:r w:rsidR="0018131A" w:rsidRPr="0018131A">
        <w:rPr>
          <w:lang w:val="en-US"/>
        </w:rPr>
        <w:t xml:space="preserve">, the </w:t>
      </w:r>
      <w:r w:rsidR="0018131A" w:rsidRPr="0018131A">
        <w:rPr>
          <w:b/>
          <w:lang w:val="en-US"/>
        </w:rPr>
        <w:t>UN Special Rapporteur on Torture and Other Cruel, Inhuman or Degrading Treatment or Punishment</w:t>
      </w:r>
      <w:r w:rsidR="0018131A" w:rsidRPr="0018131A">
        <w:rPr>
          <w:lang w:val="en-US"/>
        </w:rPr>
        <w:t xml:space="preserve"> </w:t>
      </w:r>
      <w:proofErr w:type="spellStart"/>
      <w:r w:rsidR="0018131A" w:rsidRPr="0018131A">
        <w:rPr>
          <w:lang w:val="en-US"/>
        </w:rPr>
        <w:t>recognised</w:t>
      </w:r>
      <w:proofErr w:type="spellEnd"/>
      <w:r w:rsidR="0018131A" w:rsidRPr="0018131A">
        <w:rPr>
          <w:lang w:val="en-US"/>
        </w:rPr>
        <w:t xml:space="preserve"> that “</w:t>
      </w:r>
      <w:r w:rsidR="0018131A" w:rsidRPr="00145F69">
        <w:rPr>
          <w:i/>
          <w:iCs/>
          <w:lang w:val="en-US"/>
        </w:rPr>
        <w:t>psychiatric intervention based on ‘medical necessity’ or the ‘best interests’ of the patient</w:t>
      </w:r>
      <w:r w:rsidR="00145F69" w:rsidRPr="00145F69">
        <w:rPr>
          <w:i/>
          <w:iCs/>
          <w:lang w:val="en-US"/>
        </w:rPr>
        <w:t xml:space="preserve">, (…) generally involve highly discriminatory and coercive attempts at controlling or “correcting” the victim’s personality, </w:t>
      </w:r>
      <w:proofErr w:type="spellStart"/>
      <w:r w:rsidR="00145F69" w:rsidRPr="00145F69">
        <w:rPr>
          <w:i/>
          <w:iCs/>
          <w:lang w:val="en-US"/>
        </w:rPr>
        <w:t>behaviour</w:t>
      </w:r>
      <w:proofErr w:type="spellEnd"/>
      <w:r w:rsidR="00145F69" w:rsidRPr="00145F69">
        <w:rPr>
          <w:i/>
          <w:iCs/>
          <w:lang w:val="en-US"/>
        </w:rPr>
        <w:t xml:space="preserve"> or choices and almost always inflict severe pain or suffering</w:t>
      </w:r>
      <w:r w:rsidR="00145F69">
        <w:rPr>
          <w:lang w:val="en-US"/>
        </w:rPr>
        <w:t>” and “</w:t>
      </w:r>
      <w:r w:rsidR="0018131A" w:rsidRPr="00145F69">
        <w:rPr>
          <w:i/>
          <w:iCs/>
          <w:lang w:val="en-US"/>
        </w:rPr>
        <w:t>may well amount to torture</w:t>
      </w:r>
      <w:r w:rsidR="0018131A">
        <w:rPr>
          <w:lang w:val="en-US"/>
        </w:rPr>
        <w:t>.</w:t>
      </w:r>
      <w:r w:rsidR="0018131A" w:rsidRPr="0018131A">
        <w:rPr>
          <w:lang w:val="en-US"/>
        </w:rPr>
        <w:t>”</w:t>
      </w:r>
      <w:r w:rsidR="0018131A">
        <w:rPr>
          <w:rStyle w:val="FootnoteReference"/>
          <w:lang w:val="en-US"/>
        </w:rPr>
        <w:footnoteReference w:id="28"/>
      </w:r>
      <w:r w:rsidR="0018131A" w:rsidRPr="0018131A">
        <w:rPr>
          <w:lang w:val="en-US"/>
        </w:rPr>
        <w:t xml:space="preserve"> </w:t>
      </w:r>
    </w:p>
    <w:p w14:paraId="039E1191" w14:textId="6C65F2FC" w:rsidR="00E3589C" w:rsidRDefault="00E3589C">
      <w:pPr>
        <w:jc w:val="both"/>
        <w:rPr>
          <w:lang w:val="en-US"/>
        </w:rPr>
      </w:pPr>
      <w:r>
        <w:rPr>
          <w:lang w:val="en-US"/>
        </w:rPr>
        <w:t xml:space="preserve">The </w:t>
      </w:r>
      <w:bookmarkStart w:id="13" w:name="_Hlk54863450"/>
      <w:r w:rsidRPr="00E3589C">
        <w:rPr>
          <w:b/>
          <w:bCs/>
          <w:lang w:val="en-US"/>
        </w:rPr>
        <w:t>UN Special Rapporteur on the Rights of Persons with Disabilities</w:t>
      </w:r>
      <w:bookmarkEnd w:id="13"/>
      <w:r>
        <w:rPr>
          <w:lang w:val="en-US"/>
        </w:rPr>
        <w:t xml:space="preserve"> also stated that following the </w:t>
      </w:r>
      <w:r w:rsidRPr="00E3589C">
        <w:rPr>
          <w:lang w:val="en-US"/>
        </w:rPr>
        <w:t>Convention Against Torture and Other Cruel, Inhuman or Degrading Treatment or Punishment</w:t>
      </w:r>
      <w:r>
        <w:rPr>
          <w:lang w:val="en-US"/>
        </w:rPr>
        <w:t xml:space="preserve"> </w:t>
      </w:r>
      <w:r w:rsidRPr="00E3589C">
        <w:rPr>
          <w:lang w:val="en-US"/>
        </w:rPr>
        <w:t>a broad range of actions committed against persons with disabilities may constitute torture or other forms of ill</w:t>
      </w:r>
      <w:r>
        <w:rPr>
          <w:lang w:val="en-US"/>
        </w:rPr>
        <w:t xml:space="preserve"> </w:t>
      </w:r>
      <w:r w:rsidRPr="00E3589C">
        <w:rPr>
          <w:lang w:val="en-US"/>
        </w:rPr>
        <w:t>treatment</w:t>
      </w:r>
      <w:r>
        <w:rPr>
          <w:lang w:val="en-US"/>
        </w:rPr>
        <w:t>, including “</w:t>
      </w:r>
      <w:r w:rsidRPr="00E3589C">
        <w:rPr>
          <w:i/>
          <w:iCs/>
          <w:lang w:val="en-US"/>
        </w:rPr>
        <w:t>electroconvulsive therapy and the administration of psychotropic medication; the use of chemical, physical or mechanical restraints; and isolation or seclusion.</w:t>
      </w:r>
      <w:r w:rsidRPr="00E3589C">
        <w:rPr>
          <w:lang w:val="en-US"/>
        </w:rPr>
        <w:t>”</w:t>
      </w:r>
      <w:r>
        <w:rPr>
          <w:rStyle w:val="FootnoteReference"/>
          <w:lang w:val="en-US"/>
        </w:rPr>
        <w:footnoteReference w:id="29"/>
      </w:r>
      <w:r w:rsidR="00B03A76">
        <w:rPr>
          <w:lang w:val="en-US"/>
        </w:rPr>
        <w:t xml:space="preserve"> In a previous report, the Special Rapporteur </w:t>
      </w:r>
      <w:r w:rsidR="00A963FC">
        <w:rPr>
          <w:lang w:val="en-US"/>
        </w:rPr>
        <w:t>declared</w:t>
      </w:r>
      <w:r w:rsidR="00B03A76">
        <w:rPr>
          <w:lang w:val="en-US"/>
        </w:rPr>
        <w:t xml:space="preserve"> that “</w:t>
      </w:r>
      <w:r w:rsidR="00A963FC">
        <w:rPr>
          <w:i/>
          <w:iCs/>
          <w:lang w:val="en-US"/>
        </w:rPr>
        <w:t>m</w:t>
      </w:r>
      <w:r w:rsidR="00B03A76" w:rsidRPr="00B03A76">
        <w:rPr>
          <w:i/>
          <w:iCs/>
          <w:lang w:val="en-US"/>
        </w:rPr>
        <w:t xml:space="preserve">ental health legislation, as long as it </w:t>
      </w:r>
      <w:proofErr w:type="spellStart"/>
      <w:r w:rsidR="00B03A76" w:rsidRPr="00B03A76">
        <w:rPr>
          <w:i/>
          <w:iCs/>
          <w:lang w:val="en-US"/>
        </w:rPr>
        <w:t>authorises</w:t>
      </w:r>
      <w:proofErr w:type="spellEnd"/>
      <w:r w:rsidR="00B03A76" w:rsidRPr="00B03A76">
        <w:rPr>
          <w:i/>
          <w:iCs/>
          <w:lang w:val="en-US"/>
        </w:rPr>
        <w:t xml:space="preserve"> and regulates the involuntary deprivation of liberty and forced treatment of persons based on an actual or perceived impairment (i.e. diagnosis of ‘mental health condition’ or ‘mental disorder’), must be abolished.</w:t>
      </w:r>
      <w:r w:rsidR="00B03A76">
        <w:rPr>
          <w:lang w:val="en-US"/>
        </w:rPr>
        <w:t>”</w:t>
      </w:r>
      <w:r w:rsidR="00B03A76">
        <w:rPr>
          <w:rStyle w:val="FootnoteReference"/>
          <w:lang w:val="en-US"/>
        </w:rPr>
        <w:footnoteReference w:id="30"/>
      </w:r>
    </w:p>
    <w:p w14:paraId="1E27A73C" w14:textId="53A0E522" w:rsidR="003F36FB" w:rsidRDefault="003F36FB">
      <w:pPr>
        <w:jc w:val="both"/>
        <w:rPr>
          <w:lang w:val="en-US"/>
        </w:rPr>
      </w:pPr>
      <w:r>
        <w:rPr>
          <w:lang w:val="en-US"/>
        </w:rPr>
        <w:t xml:space="preserve">In the European context, the </w:t>
      </w:r>
      <w:r w:rsidRPr="00A54BC8">
        <w:rPr>
          <w:b/>
          <w:bCs/>
          <w:lang w:val="en-US"/>
        </w:rPr>
        <w:t>UN  Working Group on Arbitrary Detention, the Chair of the Committee on the Rights of Person with Disabilities, the Special Rapporteur on the rights of persons with disabilities and the Special Rapporteur on the right to the enjoyment of the highest attainable standard of physical and mental health</w:t>
      </w:r>
      <w:r>
        <w:rPr>
          <w:lang w:val="en-US"/>
        </w:rPr>
        <w:t xml:space="preserve"> sent a joint letter to the </w:t>
      </w:r>
      <w:r w:rsidRPr="003F36FB">
        <w:rPr>
          <w:lang w:val="en-US"/>
        </w:rPr>
        <w:t xml:space="preserve">Secretary General of the Council of Europe opposing the draft </w:t>
      </w:r>
      <w:r>
        <w:rPr>
          <w:lang w:val="en-US"/>
        </w:rPr>
        <w:t>A</w:t>
      </w:r>
      <w:r w:rsidRPr="003F36FB">
        <w:rPr>
          <w:lang w:val="en-US"/>
        </w:rPr>
        <w:t xml:space="preserve">dditional </w:t>
      </w:r>
      <w:r>
        <w:rPr>
          <w:lang w:val="en-US"/>
        </w:rPr>
        <w:t>P</w:t>
      </w:r>
      <w:r w:rsidRPr="003F36FB">
        <w:rPr>
          <w:lang w:val="en-US"/>
        </w:rPr>
        <w:t>rotocol</w:t>
      </w:r>
      <w:r>
        <w:rPr>
          <w:lang w:val="en-US"/>
        </w:rPr>
        <w:t xml:space="preserve"> to the Oviedo Convention.</w:t>
      </w:r>
      <w:r>
        <w:rPr>
          <w:rStyle w:val="FootnoteReference"/>
          <w:lang w:val="en-US"/>
        </w:rPr>
        <w:footnoteReference w:id="31"/>
      </w:r>
      <w:r>
        <w:rPr>
          <w:lang w:val="en-US"/>
        </w:rPr>
        <w:t xml:space="preserve"> The annex of the letter indicate that “</w:t>
      </w:r>
      <w:r w:rsidRPr="003F36FB">
        <w:rPr>
          <w:i/>
          <w:iCs/>
          <w:lang w:val="en-US"/>
        </w:rPr>
        <w:t xml:space="preserve">the reductionist biomedical model of psychiatry, heavily reliant on coercion and </w:t>
      </w:r>
      <w:proofErr w:type="spellStart"/>
      <w:r w:rsidRPr="003F36FB">
        <w:rPr>
          <w:i/>
          <w:iCs/>
          <w:lang w:val="en-US"/>
        </w:rPr>
        <w:t>medicali</w:t>
      </w:r>
      <w:r>
        <w:rPr>
          <w:i/>
          <w:iCs/>
          <w:lang w:val="en-US"/>
        </w:rPr>
        <w:t>s</w:t>
      </w:r>
      <w:r w:rsidRPr="003F36FB">
        <w:rPr>
          <w:i/>
          <w:iCs/>
          <w:lang w:val="en-US"/>
        </w:rPr>
        <w:t>ation</w:t>
      </w:r>
      <w:proofErr w:type="spellEnd"/>
      <w:r w:rsidRPr="003F36FB">
        <w:rPr>
          <w:i/>
          <w:iCs/>
          <w:lang w:val="en-US"/>
        </w:rPr>
        <w:t xml:space="preserve"> in everyday practice, is under increased scientific critique that is backed up by sturdy research</w:t>
      </w:r>
      <w:r>
        <w:rPr>
          <w:lang w:val="en-US"/>
        </w:rPr>
        <w:t>.”</w:t>
      </w:r>
    </w:p>
    <w:p w14:paraId="2E2EA67E" w14:textId="037C5498" w:rsidR="00592FE0" w:rsidRDefault="00592FE0" w:rsidP="00B94A09">
      <w:pPr>
        <w:pStyle w:val="Heading2"/>
        <w:jc w:val="both"/>
        <w:rPr>
          <w:lang w:val="en-US"/>
        </w:rPr>
      </w:pPr>
      <w:bookmarkStart w:id="14" w:name="_Toc55391172"/>
      <w:r>
        <w:rPr>
          <w:lang w:val="en-US"/>
        </w:rPr>
        <w:t>World Health Organisation</w:t>
      </w:r>
      <w:bookmarkEnd w:id="14"/>
      <w:r>
        <w:rPr>
          <w:lang w:val="en-US"/>
        </w:rPr>
        <w:t xml:space="preserve"> </w:t>
      </w:r>
    </w:p>
    <w:p w14:paraId="70D68BF6" w14:textId="27DADC99" w:rsidR="00AD6E3E" w:rsidRDefault="00444C58" w:rsidP="00B94A09">
      <w:pPr>
        <w:jc w:val="both"/>
        <w:rPr>
          <w:lang w:val="en-US"/>
        </w:rPr>
      </w:pPr>
      <w:r>
        <w:rPr>
          <w:lang w:val="en-US"/>
        </w:rPr>
        <w:t>T</w:t>
      </w:r>
      <w:r w:rsidR="00523DEE">
        <w:rPr>
          <w:lang w:val="en-US"/>
        </w:rPr>
        <w:t>he</w:t>
      </w:r>
      <w:r w:rsidR="00AD6E3E">
        <w:rPr>
          <w:lang w:val="en-US"/>
        </w:rPr>
        <w:t xml:space="preserve"> World Health </w:t>
      </w:r>
      <w:proofErr w:type="spellStart"/>
      <w:r w:rsidR="00AD6E3E">
        <w:rPr>
          <w:lang w:val="en-US"/>
        </w:rPr>
        <w:t>Organisation</w:t>
      </w:r>
      <w:proofErr w:type="spellEnd"/>
      <w:r w:rsidR="00523DEE">
        <w:rPr>
          <w:lang w:val="en-US"/>
        </w:rPr>
        <w:t xml:space="preserve"> (WHO), </w:t>
      </w:r>
      <w:proofErr w:type="spellStart"/>
      <w:r w:rsidR="00523DEE">
        <w:rPr>
          <w:lang w:val="en-US"/>
        </w:rPr>
        <w:t>specialised</w:t>
      </w:r>
      <w:proofErr w:type="spellEnd"/>
      <w:r w:rsidR="00523DEE">
        <w:rPr>
          <w:lang w:val="en-US"/>
        </w:rPr>
        <w:t xml:space="preserve"> UN agency for public health, </w:t>
      </w:r>
      <w:proofErr w:type="spellStart"/>
      <w:r>
        <w:rPr>
          <w:lang w:val="en-US"/>
        </w:rPr>
        <w:t>recognises</w:t>
      </w:r>
      <w:proofErr w:type="spellEnd"/>
      <w:r>
        <w:rPr>
          <w:lang w:val="en-US"/>
        </w:rPr>
        <w:t xml:space="preserve"> the CRPD as leading human rights standard in relation to the rights of users of mental health services</w:t>
      </w:r>
      <w:r w:rsidR="00523DEE">
        <w:rPr>
          <w:lang w:val="en-US"/>
        </w:rPr>
        <w:t xml:space="preserve">. The </w:t>
      </w:r>
      <w:proofErr w:type="spellStart"/>
      <w:r w:rsidR="00523DEE">
        <w:rPr>
          <w:lang w:val="en-US"/>
        </w:rPr>
        <w:t>organisation</w:t>
      </w:r>
      <w:proofErr w:type="spellEnd"/>
      <w:r w:rsidR="00AD6E3E">
        <w:rPr>
          <w:lang w:val="en-US"/>
        </w:rPr>
        <w:t xml:space="preserve"> has withdrawn its </w:t>
      </w:r>
      <w:r w:rsidR="00AD6E3E" w:rsidRPr="001360CF">
        <w:rPr>
          <w:lang w:val="en-US"/>
        </w:rPr>
        <w:t xml:space="preserve">Resource Book on Mental Health, Human Rights and Legislation because it was drafted prior to the coming into force of the </w:t>
      </w:r>
      <w:r w:rsidR="00AD6E3E">
        <w:rPr>
          <w:lang w:val="en-US"/>
        </w:rPr>
        <w:t>CRPD</w:t>
      </w:r>
      <w:r w:rsidR="00AD6E3E" w:rsidRPr="001360CF">
        <w:rPr>
          <w:lang w:val="en-US"/>
        </w:rPr>
        <w:t xml:space="preserve"> and </w:t>
      </w:r>
      <w:r>
        <w:rPr>
          <w:lang w:val="en-US"/>
        </w:rPr>
        <w:t xml:space="preserve">therefore </w:t>
      </w:r>
      <w:r w:rsidR="00523DEE">
        <w:rPr>
          <w:lang w:val="en-US"/>
        </w:rPr>
        <w:t>was</w:t>
      </w:r>
      <w:r w:rsidR="00AD6E3E" w:rsidRPr="001360CF">
        <w:rPr>
          <w:lang w:val="en-US"/>
        </w:rPr>
        <w:t xml:space="preserve"> not compliant with the latest human rights norms and standards.</w:t>
      </w:r>
      <w:r w:rsidR="00AD6E3E">
        <w:rPr>
          <w:rStyle w:val="FootnoteReference"/>
          <w:lang w:val="en-US"/>
        </w:rPr>
        <w:footnoteReference w:id="32"/>
      </w:r>
    </w:p>
    <w:p w14:paraId="72B1B81B" w14:textId="2B3481BE" w:rsidR="00523DEE" w:rsidRPr="00523DEE" w:rsidRDefault="00523DEE" w:rsidP="00B94A09">
      <w:pPr>
        <w:jc w:val="both"/>
        <w:rPr>
          <w:lang w:val="en-US"/>
        </w:rPr>
      </w:pPr>
      <w:r w:rsidRPr="001360CF">
        <w:rPr>
          <w:lang w:val="en-US"/>
        </w:rPr>
        <w:t xml:space="preserve">The WHO </w:t>
      </w:r>
      <w:proofErr w:type="spellStart"/>
      <w:r w:rsidRPr="001360CF">
        <w:rPr>
          <w:lang w:val="en-US"/>
        </w:rPr>
        <w:t>QualityRights</w:t>
      </w:r>
      <w:proofErr w:type="spellEnd"/>
      <w:r w:rsidRPr="001360CF">
        <w:rPr>
          <w:lang w:val="en-US"/>
        </w:rPr>
        <w:t xml:space="preserve"> guidance documents</w:t>
      </w:r>
      <w:r>
        <w:rPr>
          <w:rStyle w:val="FootnoteReference"/>
        </w:rPr>
        <w:footnoteReference w:id="33"/>
      </w:r>
      <w:r>
        <w:rPr>
          <w:lang w:val="en-US"/>
        </w:rPr>
        <w:t xml:space="preserve"> </w:t>
      </w:r>
      <w:r w:rsidR="00444C58">
        <w:rPr>
          <w:lang w:val="en-US"/>
        </w:rPr>
        <w:t xml:space="preserve">adopted in 2019 </w:t>
      </w:r>
      <w:r>
        <w:rPr>
          <w:lang w:val="en-US"/>
        </w:rPr>
        <w:t>make</w:t>
      </w:r>
      <w:r w:rsidR="00444C58">
        <w:rPr>
          <w:lang w:val="en-US"/>
        </w:rPr>
        <w:t xml:space="preserve"> specific</w:t>
      </w:r>
      <w:r>
        <w:rPr>
          <w:lang w:val="en-US"/>
        </w:rPr>
        <w:t xml:space="preserve"> reference to the CRPD and </w:t>
      </w:r>
      <w:proofErr w:type="spellStart"/>
      <w:r>
        <w:rPr>
          <w:lang w:val="en-US"/>
        </w:rPr>
        <w:t>recognise</w:t>
      </w:r>
      <w:proofErr w:type="spellEnd"/>
      <w:r w:rsidR="00444C58">
        <w:rPr>
          <w:lang w:val="en-US"/>
        </w:rPr>
        <w:t xml:space="preserve"> </w:t>
      </w:r>
      <w:r>
        <w:rPr>
          <w:lang w:val="en-US"/>
        </w:rPr>
        <w:t>that “</w:t>
      </w:r>
      <w:r w:rsidRPr="001360CF">
        <w:rPr>
          <w:i/>
          <w:iCs/>
          <w:lang w:val="en-US"/>
        </w:rPr>
        <w:t>involuntary admission and treatment in mental health and social services denies people the right to exercise free and informed consent to health care and therefore denies them the right to legal capacity</w:t>
      </w:r>
      <w:r>
        <w:rPr>
          <w:lang w:val="en-US"/>
        </w:rPr>
        <w:t>.”</w:t>
      </w:r>
      <w:r>
        <w:rPr>
          <w:rStyle w:val="FootnoteReference"/>
          <w:lang w:val="en-US"/>
        </w:rPr>
        <w:footnoteReference w:id="34"/>
      </w:r>
      <w:r>
        <w:rPr>
          <w:lang w:val="en-US"/>
        </w:rPr>
        <w:t xml:space="preserve"> </w:t>
      </w:r>
      <w:r w:rsidR="00444C58">
        <w:rPr>
          <w:lang w:val="en-US"/>
        </w:rPr>
        <w:t xml:space="preserve">The course guide on </w:t>
      </w:r>
      <w:r w:rsidR="00444C58" w:rsidRPr="00523DEE">
        <w:rPr>
          <w:lang w:val="en-US"/>
        </w:rPr>
        <w:t xml:space="preserve">Course Guide on </w:t>
      </w:r>
      <w:r w:rsidR="00444C58" w:rsidRPr="00106C65">
        <w:rPr>
          <w:lang w:val="en-US"/>
        </w:rPr>
        <w:t>Freedom from coercion, violence and abuse</w:t>
      </w:r>
      <w:r w:rsidR="00444C58">
        <w:rPr>
          <w:lang w:val="en-US"/>
        </w:rPr>
        <w:t xml:space="preserve"> explicitly</w:t>
      </w:r>
      <w:r>
        <w:rPr>
          <w:lang w:val="en-US"/>
        </w:rPr>
        <w:t xml:space="preserve"> states that “</w:t>
      </w:r>
      <w:r w:rsidRPr="001360CF">
        <w:rPr>
          <w:i/>
          <w:iCs/>
          <w:lang w:val="en-US"/>
        </w:rPr>
        <w:t>law that allows for involuntary admission and treatment in mental health and social services largely contributes to power imbalance and are not compliant with the CRPD</w:t>
      </w:r>
      <w:r w:rsidRPr="001360CF">
        <w:rPr>
          <w:lang w:val="en-US"/>
        </w:rPr>
        <w:t>.</w:t>
      </w:r>
      <w:r>
        <w:rPr>
          <w:lang w:val="en-US"/>
        </w:rPr>
        <w:t>”</w:t>
      </w:r>
      <w:r>
        <w:rPr>
          <w:rStyle w:val="FootnoteReference"/>
          <w:lang w:val="en-US"/>
        </w:rPr>
        <w:footnoteReference w:id="35"/>
      </w:r>
    </w:p>
    <w:p w14:paraId="7FF69E27" w14:textId="6984EDFA" w:rsidR="000343AE" w:rsidRDefault="0098411E">
      <w:pPr>
        <w:pStyle w:val="Heading1"/>
        <w:jc w:val="both"/>
        <w:rPr>
          <w:lang w:val="en-US"/>
        </w:rPr>
      </w:pPr>
      <w:bookmarkStart w:id="15" w:name="_Toc55391173"/>
      <w:r>
        <w:rPr>
          <w:lang w:val="en-US"/>
        </w:rPr>
        <w:lastRenderedPageBreak/>
        <w:t>European development on involuntary placement and treatmen</w:t>
      </w:r>
      <w:r w:rsidR="00214FBE">
        <w:rPr>
          <w:lang w:val="en-US"/>
        </w:rPr>
        <w:t>t</w:t>
      </w:r>
      <w:bookmarkEnd w:id="15"/>
    </w:p>
    <w:p w14:paraId="3D2F3D35" w14:textId="0DB773B2" w:rsidR="00214FBE" w:rsidRPr="00D31269" w:rsidRDefault="00214FBE" w:rsidP="00B94A09">
      <w:pPr>
        <w:jc w:val="both"/>
        <w:rPr>
          <w:lang w:val="en-US"/>
        </w:rPr>
      </w:pPr>
      <w:r>
        <w:rPr>
          <w:lang w:val="en-US"/>
        </w:rPr>
        <w:t xml:space="preserve">European Courts and members of the Council of Europe have been open to development in interpreting the norms within their legislations and policies on mental health. This section illustrates the emerging consensus on a human </w:t>
      </w:r>
      <w:r w:rsidR="00073287">
        <w:rPr>
          <w:lang w:val="en-US"/>
        </w:rPr>
        <w:t>rights-based</w:t>
      </w:r>
      <w:r>
        <w:rPr>
          <w:lang w:val="en-US"/>
        </w:rPr>
        <w:t xml:space="preserve"> approach to mental health care, complying from the CRPD, and moving away from coercion. </w:t>
      </w:r>
    </w:p>
    <w:p w14:paraId="10B0ACBE" w14:textId="6915864D" w:rsidR="00986E06" w:rsidRDefault="00986E06">
      <w:pPr>
        <w:pStyle w:val="Heading2"/>
        <w:numPr>
          <w:ilvl w:val="0"/>
          <w:numId w:val="11"/>
        </w:numPr>
        <w:jc w:val="both"/>
        <w:rPr>
          <w:lang w:val="en-US"/>
        </w:rPr>
      </w:pPr>
      <w:bookmarkStart w:id="16" w:name="_Toc55391174"/>
      <w:r>
        <w:rPr>
          <w:lang w:val="en-US"/>
        </w:rPr>
        <w:t>Jurisprudence of the European Court of Human Rights</w:t>
      </w:r>
      <w:bookmarkEnd w:id="16"/>
      <w:r>
        <w:rPr>
          <w:lang w:val="en-US"/>
        </w:rPr>
        <w:t xml:space="preserve"> </w:t>
      </w:r>
      <w:r w:rsidR="00AE72E1">
        <w:rPr>
          <w:lang w:val="en-US"/>
        </w:rPr>
        <w:t xml:space="preserve"> </w:t>
      </w:r>
    </w:p>
    <w:p w14:paraId="4C103736" w14:textId="08459E1F" w:rsidR="00A0113E" w:rsidRPr="001360CF" w:rsidRDefault="00A0113E">
      <w:pPr>
        <w:jc w:val="both"/>
        <w:rPr>
          <w:rFonts w:cs="Arial"/>
          <w:color w:val="000000"/>
          <w:lang w:val="en-US"/>
        </w:rPr>
      </w:pPr>
      <w:r w:rsidRPr="001360CF">
        <w:rPr>
          <w:rFonts w:cs="Arial"/>
          <w:lang w:val="en-GB"/>
        </w:rPr>
        <w:t xml:space="preserve">As stated above, </w:t>
      </w:r>
      <w:r w:rsidRPr="001360CF">
        <w:rPr>
          <w:rFonts w:cs="Arial"/>
          <w:color w:val="000000"/>
          <w:lang w:val="en-US"/>
        </w:rPr>
        <w:t>46 of the 47 members of the Council of Europe are States parties to the CRPD.</w:t>
      </w:r>
      <w:r w:rsidRPr="001360CF">
        <w:rPr>
          <w:rStyle w:val="FootnoteReference"/>
          <w:rFonts w:cs="Arial"/>
          <w:color w:val="000000"/>
          <w:lang w:val="en-US"/>
        </w:rPr>
        <w:footnoteReference w:id="36"/>
      </w:r>
      <w:r w:rsidRPr="001360CF">
        <w:rPr>
          <w:rFonts w:cs="Arial"/>
          <w:color w:val="000000"/>
          <w:lang w:val="en-US"/>
        </w:rPr>
        <w:t xml:space="preserve"> </w:t>
      </w:r>
      <w:r w:rsidR="00575E8F">
        <w:rPr>
          <w:rFonts w:cs="Arial"/>
          <w:lang w:val="en-GB"/>
        </w:rPr>
        <w:t>T</w:t>
      </w:r>
      <w:r w:rsidRPr="001360CF">
        <w:rPr>
          <w:rFonts w:cs="Arial"/>
          <w:color w:val="000000"/>
          <w:lang w:val="en-US"/>
        </w:rPr>
        <w:t>he European Union</w:t>
      </w:r>
      <w:r w:rsidR="00575E8F">
        <w:rPr>
          <w:rFonts w:cs="Arial"/>
          <w:color w:val="000000"/>
          <w:lang w:val="en-US"/>
        </w:rPr>
        <w:t>,</w:t>
      </w:r>
      <w:r w:rsidRPr="001360CF">
        <w:rPr>
          <w:rFonts w:cs="Arial"/>
          <w:color w:val="000000"/>
          <w:lang w:val="en-US"/>
        </w:rPr>
        <w:t xml:space="preserve"> as a regional integration </w:t>
      </w:r>
      <w:proofErr w:type="spellStart"/>
      <w:r w:rsidRPr="001360CF">
        <w:rPr>
          <w:rFonts w:cs="Arial"/>
          <w:color w:val="000000"/>
          <w:lang w:val="en-US"/>
        </w:rPr>
        <w:t>organisation</w:t>
      </w:r>
      <w:proofErr w:type="spellEnd"/>
      <w:r w:rsidR="00575E8F">
        <w:rPr>
          <w:rFonts w:cs="Arial"/>
          <w:color w:val="000000"/>
          <w:lang w:val="en-US"/>
        </w:rPr>
        <w:t>,</w:t>
      </w:r>
      <w:r w:rsidRPr="001360CF">
        <w:rPr>
          <w:rFonts w:cs="Arial"/>
          <w:color w:val="000000"/>
          <w:lang w:val="en-US"/>
        </w:rPr>
        <w:t xml:space="preserve"> and all its member states have ratified or acceded to the CRPD. This reflects the willingness and commitment of almost the unanimity of European States to abide by CRPD standards</w:t>
      </w:r>
      <w:r w:rsidR="00575E8F">
        <w:rPr>
          <w:rFonts w:cs="Arial"/>
          <w:color w:val="000000"/>
          <w:lang w:val="en-US"/>
        </w:rPr>
        <w:t>.</w:t>
      </w:r>
    </w:p>
    <w:p w14:paraId="499961DF" w14:textId="4B229B54" w:rsidR="00A0113E" w:rsidRPr="001360CF" w:rsidRDefault="00A0113E">
      <w:pPr>
        <w:jc w:val="both"/>
        <w:rPr>
          <w:rFonts w:cs="Arial"/>
          <w:lang w:val="en-GB"/>
        </w:rPr>
      </w:pPr>
      <w:r w:rsidRPr="001360CF">
        <w:rPr>
          <w:rFonts w:cs="Arial"/>
          <w:color w:val="000000"/>
          <w:lang w:val="en-US"/>
        </w:rPr>
        <w:t xml:space="preserve">Already in 2009, the Court had detected such unanimous commitment and </w:t>
      </w:r>
      <w:proofErr w:type="spellStart"/>
      <w:r w:rsidRPr="001360CF">
        <w:rPr>
          <w:rFonts w:cs="Arial"/>
          <w:color w:val="000000"/>
          <w:lang w:val="en-US"/>
        </w:rPr>
        <w:t>recogni</w:t>
      </w:r>
      <w:r w:rsidR="00575E8F">
        <w:rPr>
          <w:rFonts w:cs="Arial"/>
          <w:color w:val="000000"/>
          <w:lang w:val="en-US"/>
        </w:rPr>
        <w:t>s</w:t>
      </w:r>
      <w:r w:rsidRPr="001360CF">
        <w:rPr>
          <w:rFonts w:cs="Arial"/>
          <w:color w:val="000000"/>
          <w:lang w:val="en-US"/>
        </w:rPr>
        <w:t>ed</w:t>
      </w:r>
      <w:proofErr w:type="spellEnd"/>
      <w:r w:rsidRPr="001360CF">
        <w:rPr>
          <w:rFonts w:cs="Arial"/>
          <w:color w:val="000000"/>
          <w:lang w:val="en-US"/>
        </w:rPr>
        <w:t xml:space="preserve"> in </w:t>
      </w:r>
      <w:proofErr w:type="spellStart"/>
      <w:r w:rsidRPr="001360CF">
        <w:rPr>
          <w:rFonts w:cs="Arial"/>
          <w:b/>
          <w:bCs/>
          <w:i/>
          <w:iCs/>
          <w:color w:val="000000"/>
          <w:lang w:val="en-US"/>
        </w:rPr>
        <w:t>Glor</w:t>
      </w:r>
      <w:proofErr w:type="spellEnd"/>
      <w:r w:rsidRPr="001360CF">
        <w:rPr>
          <w:rFonts w:cs="Arial"/>
          <w:b/>
          <w:bCs/>
          <w:i/>
          <w:iCs/>
          <w:color w:val="000000"/>
          <w:lang w:val="en-US"/>
        </w:rPr>
        <w:t xml:space="preserve"> v. Switzerland</w:t>
      </w:r>
      <w:r w:rsidRPr="001360CF">
        <w:rPr>
          <w:rFonts w:cs="Arial"/>
          <w:color w:val="000000"/>
          <w:lang w:val="en-US"/>
        </w:rPr>
        <w:t xml:space="preserve"> that the CRPD reflects “an European and worldwide consensus on the need to protect people with disabilities from discriminatory treatment.”</w:t>
      </w:r>
      <w:r w:rsidRPr="001360CF">
        <w:rPr>
          <w:rStyle w:val="FootnoteReference"/>
          <w:rFonts w:cs="Arial"/>
          <w:color w:val="000000"/>
          <w:lang w:val="en-US"/>
        </w:rPr>
        <w:footnoteReference w:id="37"/>
      </w:r>
      <w:r w:rsidRPr="001360CF">
        <w:rPr>
          <w:rFonts w:cs="Arial"/>
          <w:color w:val="000000"/>
          <w:lang w:val="en-US"/>
        </w:rPr>
        <w:t xml:space="preserve"> More recently, in </w:t>
      </w:r>
      <w:proofErr w:type="spellStart"/>
      <w:r w:rsidRPr="001360CF">
        <w:rPr>
          <w:rFonts w:cs="Arial"/>
          <w:b/>
          <w:bCs/>
          <w:i/>
          <w:iCs/>
          <w:color w:val="000000"/>
          <w:lang w:val="en-US"/>
        </w:rPr>
        <w:t>Enver</w:t>
      </w:r>
      <w:proofErr w:type="spellEnd"/>
      <w:r w:rsidRPr="001360CF">
        <w:rPr>
          <w:rFonts w:cs="Arial"/>
          <w:b/>
          <w:bCs/>
          <w:i/>
          <w:iCs/>
          <w:color w:val="000000"/>
          <w:lang w:val="en-US"/>
        </w:rPr>
        <w:t xml:space="preserve"> </w:t>
      </w:r>
      <w:proofErr w:type="spellStart"/>
      <w:r w:rsidRPr="001360CF">
        <w:rPr>
          <w:rFonts w:cs="Arial"/>
          <w:b/>
          <w:bCs/>
          <w:i/>
          <w:iCs/>
          <w:color w:val="000000"/>
          <w:lang w:val="en-US"/>
        </w:rPr>
        <w:t>Şahin</w:t>
      </w:r>
      <w:proofErr w:type="spellEnd"/>
      <w:r w:rsidRPr="001360CF">
        <w:rPr>
          <w:rFonts w:cs="Arial"/>
          <w:b/>
          <w:bCs/>
          <w:i/>
          <w:iCs/>
          <w:color w:val="000000"/>
          <w:lang w:val="en-US"/>
        </w:rPr>
        <w:t xml:space="preserve"> v. Turkey</w:t>
      </w:r>
      <w:r w:rsidRPr="001360CF">
        <w:rPr>
          <w:rFonts w:cs="Arial"/>
          <w:color w:val="000000"/>
          <w:lang w:val="en-US"/>
        </w:rPr>
        <w:t>,</w:t>
      </w:r>
      <w:r w:rsidRPr="001360CF">
        <w:rPr>
          <w:rStyle w:val="FootnoteReference"/>
          <w:rFonts w:cs="Arial"/>
          <w:color w:val="000000"/>
          <w:lang w:val="en-US"/>
        </w:rPr>
        <w:footnoteReference w:id="38"/>
      </w:r>
      <w:r w:rsidRPr="001360CF">
        <w:rPr>
          <w:rFonts w:cs="Arial"/>
          <w:color w:val="000000"/>
          <w:lang w:val="en-US"/>
        </w:rPr>
        <w:t xml:space="preserve"> the Court reiterated that the Convention and Protocol No 1 had to be interpreted in the light of relevant international law, including the CRPD.</w:t>
      </w:r>
      <w:r w:rsidRPr="001360CF">
        <w:rPr>
          <w:rStyle w:val="FootnoteReference"/>
          <w:rFonts w:cs="Arial"/>
          <w:color w:val="000000"/>
          <w:lang w:val="en-US"/>
        </w:rPr>
        <w:footnoteReference w:id="39"/>
      </w:r>
      <w:r w:rsidR="00575E8F">
        <w:rPr>
          <w:rFonts w:cs="Arial"/>
          <w:lang w:val="en-GB"/>
        </w:rPr>
        <w:t xml:space="preserve"> </w:t>
      </w:r>
      <w:r w:rsidRPr="001360CF">
        <w:rPr>
          <w:rFonts w:cs="Arial"/>
          <w:lang w:val="en-GB"/>
        </w:rPr>
        <w:t>Such positive concepts led this Court to enrich its jurisprudence on the rights of persons with disabilities, endorsing and adopting in its case law several CRPD standards. In this vein, it has endorsed the right to non-discrimination on the basis of disability,</w:t>
      </w:r>
      <w:r w:rsidRPr="001360CF">
        <w:rPr>
          <w:rStyle w:val="FootnoteReference"/>
          <w:rFonts w:cs="Arial"/>
          <w:lang w:val="en-GB"/>
        </w:rPr>
        <w:footnoteReference w:id="40"/>
      </w:r>
      <w:r w:rsidRPr="001360CF">
        <w:rPr>
          <w:rFonts w:cs="Arial"/>
          <w:lang w:val="en-GB"/>
        </w:rPr>
        <w:t xml:space="preserve"> as well as the States’ obligation to provide reasonable accommodation appropriate to individual circumstances.</w:t>
      </w:r>
      <w:r w:rsidRPr="001360CF">
        <w:rPr>
          <w:rStyle w:val="FootnoteReference"/>
          <w:rFonts w:cs="Arial"/>
          <w:lang w:val="en-GB"/>
        </w:rPr>
        <w:footnoteReference w:id="41"/>
      </w:r>
      <w:r w:rsidRPr="001360CF">
        <w:rPr>
          <w:rFonts w:cs="Arial"/>
          <w:lang w:val="en-GB"/>
        </w:rPr>
        <w:t xml:space="preserve"> More recently, it has uphold the right of a child with disability to receive reasonable accommodation and support to access inclusive education.</w:t>
      </w:r>
      <w:r w:rsidRPr="001360CF">
        <w:rPr>
          <w:rStyle w:val="FootnoteReference"/>
          <w:rFonts w:cs="Arial"/>
          <w:lang w:val="en-GB"/>
        </w:rPr>
        <w:footnoteReference w:id="42"/>
      </w:r>
    </w:p>
    <w:p w14:paraId="1C4C8693" w14:textId="7E59E7FC" w:rsidR="00A0113E" w:rsidRPr="001360CF" w:rsidRDefault="00A0113E">
      <w:pPr>
        <w:jc w:val="both"/>
        <w:rPr>
          <w:rFonts w:cs="Arial"/>
          <w:highlight w:val="yellow"/>
          <w:lang w:val="en-US"/>
        </w:rPr>
      </w:pPr>
      <w:r w:rsidRPr="001360CF">
        <w:rPr>
          <w:rFonts w:cs="Arial"/>
          <w:lang w:val="en-GB"/>
        </w:rPr>
        <w:t>Nevertheless, while having decided on several case on the issue throughout the last years,</w:t>
      </w:r>
      <w:r w:rsidRPr="001360CF">
        <w:rPr>
          <w:rStyle w:val="FootnoteReference"/>
          <w:rFonts w:cs="Arial"/>
          <w:lang w:val="en-GB"/>
        </w:rPr>
        <w:footnoteReference w:id="43"/>
      </w:r>
      <w:r w:rsidRPr="001360CF">
        <w:rPr>
          <w:rFonts w:cs="Arial"/>
          <w:lang w:val="en-GB"/>
        </w:rPr>
        <w:t xml:space="preserve"> </w:t>
      </w:r>
      <w:r w:rsidRPr="001360CF">
        <w:rPr>
          <w:rFonts w:cs="Arial"/>
          <w:b/>
          <w:bCs/>
          <w:lang w:val="en-GB"/>
        </w:rPr>
        <w:t xml:space="preserve">this Court refrains from fully following its assertions regarding the CRPD when it comes to the deprivation of liberty of persons with disabilities and its </w:t>
      </w:r>
      <w:r w:rsidR="007C3507" w:rsidRPr="001360CF">
        <w:rPr>
          <w:rFonts w:cs="Arial"/>
          <w:b/>
          <w:bCs/>
          <w:lang w:val="en-GB"/>
        </w:rPr>
        <w:t>interpretation</w:t>
      </w:r>
      <w:r w:rsidRPr="001360CF">
        <w:rPr>
          <w:rFonts w:cs="Arial"/>
          <w:b/>
          <w:bCs/>
          <w:lang w:val="en-GB"/>
        </w:rPr>
        <w:t xml:space="preserve"> of Article 5 of the ECHR</w:t>
      </w:r>
      <w:r w:rsidRPr="001360CF">
        <w:rPr>
          <w:rFonts w:cs="Arial"/>
          <w:lang w:val="en-GB"/>
        </w:rPr>
        <w:t>. In one case, this Court even refers to Article 14 of the CRPD and relevant guidance by the UN Committee on the Rights of Persons with Disabilities, but it does not refer to it at all in the consideration of the merits.</w:t>
      </w:r>
      <w:r w:rsidRPr="001360CF">
        <w:rPr>
          <w:rStyle w:val="FootnoteReference"/>
          <w:rFonts w:cs="Arial"/>
          <w:lang w:val="en-GB"/>
        </w:rPr>
        <w:footnoteReference w:id="44"/>
      </w:r>
      <w:r w:rsidRPr="001360CF">
        <w:rPr>
          <w:rFonts w:cs="Arial"/>
          <w:lang w:val="en-GB"/>
        </w:rPr>
        <w:t xml:space="preserve"> </w:t>
      </w:r>
    </w:p>
    <w:p w14:paraId="3ED371B8" w14:textId="77777777" w:rsidR="00A0113E" w:rsidRPr="001360CF" w:rsidRDefault="00A0113E">
      <w:pPr>
        <w:jc w:val="both"/>
        <w:rPr>
          <w:rFonts w:cs="Arial"/>
          <w:lang w:val="en-GB"/>
        </w:rPr>
      </w:pPr>
      <w:r w:rsidRPr="001360CF">
        <w:rPr>
          <w:rFonts w:cs="Arial"/>
          <w:lang w:val="en-GB"/>
        </w:rPr>
        <w:t xml:space="preserve">Four decades ago, back in 1979, this Court established the so-called </w:t>
      </w:r>
      <w:proofErr w:type="spellStart"/>
      <w:r w:rsidRPr="001360CF">
        <w:rPr>
          <w:rFonts w:cs="Arial"/>
          <w:i/>
          <w:iCs/>
          <w:lang w:val="en-GB"/>
        </w:rPr>
        <w:t>Winterwerp</w:t>
      </w:r>
      <w:proofErr w:type="spellEnd"/>
      <w:r w:rsidRPr="001360CF">
        <w:rPr>
          <w:rFonts w:cs="Arial"/>
          <w:i/>
          <w:iCs/>
          <w:lang w:val="en-GB"/>
        </w:rPr>
        <w:t xml:space="preserve"> </w:t>
      </w:r>
      <w:r w:rsidRPr="001360CF">
        <w:rPr>
          <w:rFonts w:cs="Arial"/>
          <w:lang w:val="en-GB"/>
        </w:rPr>
        <w:t>test, under which ‘persons of unsound mind’ shall only be detained where it is reliably shown that they are of “unsound mind”, the disability is of a degree warranting compulsory confinement, and the validity of such confinement depends upon the persistence of the disability.</w:t>
      </w:r>
      <w:r w:rsidRPr="001360CF">
        <w:rPr>
          <w:rStyle w:val="FootnoteReference"/>
          <w:rFonts w:cs="Arial"/>
          <w:lang w:val="en-GB"/>
        </w:rPr>
        <w:footnoteReference w:id="45"/>
      </w:r>
      <w:r w:rsidRPr="001360CF">
        <w:rPr>
          <w:rFonts w:cs="Arial"/>
          <w:lang w:val="en-GB"/>
        </w:rPr>
        <w:t xml:space="preserve"> With few variations concerning the second element, the Court continues to apply this analysis in its latest jurisprudence.</w:t>
      </w:r>
      <w:r w:rsidRPr="001360CF">
        <w:rPr>
          <w:rStyle w:val="FootnoteReference"/>
          <w:rFonts w:cs="Arial"/>
          <w:lang w:val="en-GB"/>
        </w:rPr>
        <w:footnoteReference w:id="46"/>
      </w:r>
      <w:r w:rsidRPr="001360CF">
        <w:rPr>
          <w:rFonts w:cs="Arial"/>
          <w:lang w:val="en-GB"/>
        </w:rPr>
        <w:t xml:space="preserve"> This Court latest developments in this area stem from the decisions in the cases </w:t>
      </w:r>
      <w:r w:rsidRPr="001360CF">
        <w:rPr>
          <w:rFonts w:cs="Arial"/>
          <w:b/>
          <w:bCs/>
          <w:i/>
          <w:iCs/>
          <w:lang w:val="en-GB"/>
        </w:rPr>
        <w:t>N. v Romania</w:t>
      </w:r>
      <w:r w:rsidRPr="001360CF">
        <w:rPr>
          <w:rStyle w:val="FootnoteReference"/>
          <w:rFonts w:cs="Arial"/>
          <w:b/>
          <w:bCs/>
          <w:i/>
          <w:iCs/>
          <w:lang w:val="en-GB"/>
        </w:rPr>
        <w:footnoteReference w:id="47"/>
      </w:r>
      <w:r w:rsidRPr="001360CF">
        <w:rPr>
          <w:rFonts w:cs="Arial"/>
          <w:lang w:val="en-GB"/>
        </w:rPr>
        <w:t xml:space="preserve"> and </w:t>
      </w:r>
      <w:proofErr w:type="spellStart"/>
      <w:r w:rsidRPr="001360CF">
        <w:rPr>
          <w:rFonts w:cs="Arial"/>
          <w:b/>
          <w:bCs/>
          <w:i/>
          <w:iCs/>
          <w:lang w:val="en-GB"/>
        </w:rPr>
        <w:t>Rooman</w:t>
      </w:r>
      <w:proofErr w:type="spellEnd"/>
      <w:r w:rsidRPr="001360CF">
        <w:rPr>
          <w:rFonts w:cs="Arial"/>
          <w:b/>
          <w:bCs/>
          <w:i/>
          <w:iCs/>
          <w:lang w:val="en-GB"/>
        </w:rPr>
        <w:t xml:space="preserve"> v. Belgium</w:t>
      </w:r>
      <w:r w:rsidRPr="001360CF">
        <w:rPr>
          <w:rFonts w:cs="Arial"/>
          <w:lang w:val="en-GB"/>
        </w:rPr>
        <w:t>.</w:t>
      </w:r>
      <w:r w:rsidRPr="001360CF">
        <w:rPr>
          <w:rStyle w:val="FootnoteReference"/>
          <w:rFonts w:cs="Arial"/>
          <w:lang w:val="en-GB"/>
        </w:rPr>
        <w:footnoteReference w:id="48"/>
      </w:r>
      <w:r w:rsidRPr="001360CF">
        <w:rPr>
          <w:rFonts w:cs="Arial"/>
          <w:lang w:val="en-GB"/>
        </w:rPr>
        <w:t xml:space="preserve"> These cases related to the detention of persons with psychosocial disabilities involved as accused and convicted, respectively, in a criminal procedure. In both cases, deprivation of liberty </w:t>
      </w:r>
      <w:r w:rsidRPr="001360CF">
        <w:rPr>
          <w:rFonts w:cs="Arial"/>
          <w:lang w:val="en-GB"/>
        </w:rPr>
        <w:lastRenderedPageBreak/>
        <w:t xml:space="preserve">was carried out (after the mere accusation, and after the full execution of the criminal sentence) on the account of the applicant’s mental health conditions. </w:t>
      </w:r>
    </w:p>
    <w:p w14:paraId="50BE8226" w14:textId="19A6ADC0" w:rsidR="00A0113E" w:rsidRPr="001360CF" w:rsidRDefault="00A0113E">
      <w:pPr>
        <w:jc w:val="both"/>
        <w:rPr>
          <w:rFonts w:cs="Arial"/>
          <w:lang w:val="en-GB"/>
        </w:rPr>
      </w:pPr>
      <w:r w:rsidRPr="001360CF">
        <w:rPr>
          <w:rFonts w:cs="Arial"/>
          <w:lang w:val="en-GB"/>
        </w:rPr>
        <w:t>The undersigned organisations would like to point out that these cases are specific to the criminal system and do not cover the full scope of application of Article 14 of the CRPD.</w:t>
      </w:r>
      <w:r w:rsidRPr="001360CF">
        <w:rPr>
          <w:rStyle w:val="FootnoteReference"/>
          <w:rFonts w:cs="Arial"/>
          <w:lang w:val="en-GB"/>
        </w:rPr>
        <w:footnoteReference w:id="49"/>
      </w:r>
      <w:r w:rsidRPr="001360CF">
        <w:rPr>
          <w:rFonts w:cs="Arial"/>
          <w:lang w:val="en-GB"/>
        </w:rPr>
        <w:t xml:space="preserve"> In addition, while the ECHR refers briefly to the CRPD and to the CRPD Committee guidelines, these cases do not elaborate on nor discuss its standards. Further, they did not offer a scenario to discuss properly the justification of deprivation of liberty based on impairments, simply because, as described in the decisions, the applicants, even if referring to the CRPD, are forced to challenge their deprivation of liberty by discussing under the standards of the ECHR, and not based on CRPD standards of non-discrimination.</w:t>
      </w:r>
      <w:r w:rsidRPr="001360CF">
        <w:rPr>
          <w:rStyle w:val="FootnoteReference"/>
          <w:rFonts w:cs="Arial"/>
          <w:lang w:val="en-GB"/>
        </w:rPr>
        <w:footnoteReference w:id="50"/>
      </w:r>
      <w:r w:rsidRPr="001360CF">
        <w:rPr>
          <w:rFonts w:cs="Arial"/>
          <w:lang w:val="en-GB"/>
        </w:rPr>
        <w:t xml:space="preserve"> </w:t>
      </w:r>
    </w:p>
    <w:p w14:paraId="3793D1A2" w14:textId="60C11FA3" w:rsidR="00A0113E" w:rsidRPr="001360CF" w:rsidRDefault="00A0113E">
      <w:pPr>
        <w:jc w:val="both"/>
        <w:rPr>
          <w:rFonts w:cs="Arial"/>
          <w:lang w:val="en-US"/>
        </w:rPr>
      </w:pPr>
      <w:r w:rsidRPr="001360CF">
        <w:rPr>
          <w:rFonts w:cs="Arial"/>
          <w:b/>
          <w:bCs/>
          <w:lang w:val="en-GB"/>
        </w:rPr>
        <w:t>All that stated,</w:t>
      </w:r>
      <w:r w:rsidRPr="001360CF">
        <w:rPr>
          <w:rFonts w:cs="Arial"/>
          <w:b/>
          <w:bCs/>
          <w:lang w:val="en-US"/>
        </w:rPr>
        <w:t xml:space="preserve"> and </w:t>
      </w:r>
      <w:r w:rsidRPr="001360CF">
        <w:rPr>
          <w:rFonts w:cs="Arial"/>
          <w:b/>
          <w:bCs/>
          <w:lang w:val="en-GB"/>
        </w:rPr>
        <w:t>while still not in line with CRPD standards or the principle of non-discrimination of persons with disabilities</w:t>
      </w:r>
      <w:r w:rsidRPr="001360CF">
        <w:rPr>
          <w:rFonts w:cs="Arial"/>
          <w:lang w:val="en-GB"/>
        </w:rPr>
        <w:t>, it is important to note that, in</w:t>
      </w:r>
      <w:r w:rsidRPr="001360CF">
        <w:rPr>
          <w:rFonts w:cs="Arial"/>
          <w:b/>
          <w:bCs/>
          <w:i/>
          <w:iCs/>
          <w:lang w:val="en-GB"/>
        </w:rPr>
        <w:t xml:space="preserve"> Room</w:t>
      </w:r>
      <w:r w:rsidR="00C55309">
        <w:rPr>
          <w:rFonts w:cs="Arial"/>
          <w:b/>
          <w:bCs/>
          <w:i/>
          <w:iCs/>
          <w:lang w:val="en-GB"/>
        </w:rPr>
        <w:t>an</w:t>
      </w:r>
      <w:r w:rsidRPr="001360CF">
        <w:rPr>
          <w:rFonts w:cs="Arial"/>
          <w:b/>
          <w:bCs/>
          <w:i/>
          <w:iCs/>
          <w:lang w:val="en-GB"/>
        </w:rPr>
        <w:t xml:space="preserve"> v. Belgium</w:t>
      </w:r>
      <w:r w:rsidRPr="001360CF">
        <w:rPr>
          <w:rFonts w:cs="Arial"/>
          <w:lang w:val="en-GB"/>
        </w:rPr>
        <w:t>, the Grand Chamber considered that “</w:t>
      </w:r>
      <w:r w:rsidRPr="001360CF">
        <w:rPr>
          <w:rFonts w:cs="Arial"/>
          <w:lang w:val="en-US"/>
        </w:rPr>
        <w:t xml:space="preserve">the deprivation of liberty contemplated by Article 5 § 1 (e) has a dual function: on the one hand, the social function of protection, and on the other a therapeutic function that is related to the individual interest of the person of unsound mind in receiving an appropriate and </w:t>
      </w:r>
      <w:proofErr w:type="spellStart"/>
      <w:r w:rsidRPr="001360CF">
        <w:rPr>
          <w:rFonts w:cs="Arial"/>
          <w:lang w:val="en-US"/>
        </w:rPr>
        <w:t>individualised</w:t>
      </w:r>
      <w:proofErr w:type="spellEnd"/>
      <w:r w:rsidRPr="001360CF">
        <w:rPr>
          <w:rFonts w:cs="Arial"/>
          <w:lang w:val="en-US"/>
        </w:rPr>
        <w:t xml:space="preserve"> form of therapy or course of treatment.”</w:t>
      </w:r>
      <w:r w:rsidRPr="001360CF">
        <w:rPr>
          <w:rStyle w:val="FootnoteReference"/>
          <w:rFonts w:cs="Arial"/>
          <w:lang w:val="en-GB"/>
        </w:rPr>
        <w:footnoteReference w:id="51"/>
      </w:r>
      <w:r w:rsidRPr="001360CF">
        <w:rPr>
          <w:rFonts w:cs="Arial"/>
          <w:lang w:val="en-US"/>
        </w:rPr>
        <w:t xml:space="preserve"> In this manner, the concern on the health of the person concerned gains relevance vis-à-vis the previous jurisprudence of the ECHR.</w:t>
      </w:r>
    </w:p>
    <w:p w14:paraId="3CDE07EC" w14:textId="77777777" w:rsidR="00A0113E" w:rsidRPr="001360CF" w:rsidRDefault="00A0113E">
      <w:pPr>
        <w:jc w:val="both"/>
        <w:rPr>
          <w:rFonts w:cs="Arial"/>
          <w:lang w:val="en-US"/>
        </w:rPr>
      </w:pPr>
      <w:r w:rsidRPr="001360CF">
        <w:rPr>
          <w:rFonts w:cs="Arial"/>
          <w:lang w:val="en-US"/>
        </w:rPr>
        <w:t>Regarding the “social function of protection” (related to Article 26 of the Oviedo Convention), such ground should not pass an analysis of human rights restrictions. A “democratic society” requires that “a balance must be achieved which ensures the fair treatment of people from minorities and avoids any abuse of a dominant position.”</w:t>
      </w:r>
      <w:r w:rsidRPr="001360CF">
        <w:rPr>
          <w:rStyle w:val="FootnoteReference"/>
          <w:rFonts w:cs="Arial"/>
          <w:lang w:val="en-US"/>
        </w:rPr>
        <w:footnoteReference w:id="52"/>
      </w:r>
      <w:r w:rsidRPr="001360CF">
        <w:rPr>
          <w:rFonts w:cs="Arial"/>
          <w:lang w:val="en-US"/>
        </w:rPr>
        <w:t xml:space="preserve"> In addition, as much as it is the case for other grounds of discrimination, upholding non-discrimination on the basis of disability requires to combat the ableism</w:t>
      </w:r>
      <w:r w:rsidRPr="001360CF">
        <w:rPr>
          <w:rStyle w:val="FootnoteReference"/>
          <w:rFonts w:cs="Arial"/>
          <w:lang w:val="en-US"/>
        </w:rPr>
        <w:footnoteReference w:id="53"/>
      </w:r>
      <w:r w:rsidRPr="001360CF">
        <w:rPr>
          <w:rFonts w:cs="Arial"/>
          <w:lang w:val="en-US"/>
        </w:rPr>
        <w:t xml:space="preserve"> implied in the medical approach to disability, in order to reinforce “democracy’s vision of a society in which diversity is not perceived as a threat but as a source of enrichment.”</w:t>
      </w:r>
      <w:r w:rsidRPr="001360CF">
        <w:rPr>
          <w:rStyle w:val="FootnoteReference"/>
          <w:rFonts w:cs="Arial"/>
          <w:lang w:val="en-US"/>
        </w:rPr>
        <w:footnoteReference w:id="54"/>
      </w:r>
      <w:r w:rsidRPr="001360CF">
        <w:rPr>
          <w:rFonts w:cs="Arial"/>
          <w:lang w:val="en-US"/>
        </w:rPr>
        <w:t xml:space="preserve"> The deprivation of liberty based on disability constitutes in itself a discriminatory practice and therefore should not find its place in a democratic and inclusive society. </w:t>
      </w:r>
    </w:p>
    <w:p w14:paraId="2DFAC9A6" w14:textId="5A259FEA" w:rsidR="00A16203" w:rsidRPr="001360CF" w:rsidRDefault="00A0113E" w:rsidP="00B94A09">
      <w:pPr>
        <w:jc w:val="both"/>
        <w:rPr>
          <w:lang w:val="en-US"/>
        </w:rPr>
      </w:pPr>
      <w:r w:rsidRPr="001360CF">
        <w:rPr>
          <w:rFonts w:cs="Arial"/>
          <w:lang w:val="en-US"/>
        </w:rPr>
        <w:t>When highlighting the “therapeutic function”, the Court demonstrates its concern with the health of persons with mental health conditions (or psychosocial disabilities). The undersigned submit that some concern should guide further reflection by the Court. Abundant evidence throughout the last decades ha</w:t>
      </w:r>
      <w:r w:rsidR="00C77CC3">
        <w:rPr>
          <w:rFonts w:cs="Arial"/>
          <w:lang w:val="en-US"/>
        </w:rPr>
        <w:t>s</w:t>
      </w:r>
      <w:r w:rsidRPr="001360CF">
        <w:rPr>
          <w:rFonts w:cs="Arial"/>
          <w:lang w:val="en-US"/>
        </w:rPr>
        <w:t xml:space="preserve"> shown that deprivation of liberty and forced treatment are harmful for persons with psychosocial disabilities.</w:t>
      </w:r>
      <w:r w:rsidRPr="001360CF">
        <w:rPr>
          <w:rStyle w:val="FootnoteReference"/>
          <w:rFonts w:cs="Arial"/>
          <w:lang w:val="en-US"/>
        </w:rPr>
        <w:footnoteReference w:id="55"/>
      </w:r>
      <w:r>
        <w:rPr>
          <w:rFonts w:cs="Arial"/>
          <w:sz w:val="24"/>
          <w:szCs w:val="24"/>
          <w:lang w:val="en-US"/>
        </w:rPr>
        <w:t xml:space="preserve"> </w:t>
      </w:r>
      <w:r w:rsidRPr="00B94A09">
        <w:rPr>
          <w:rFonts w:cs="Arial"/>
          <w:lang w:val="en-US"/>
        </w:rPr>
        <w:t>That is why the reflection and the even policy guidance by the World Health Organization goes in that direction.</w:t>
      </w:r>
      <w:r w:rsidRPr="00B94A09">
        <w:rPr>
          <w:rStyle w:val="FootnoteReference"/>
          <w:rFonts w:cs="Arial"/>
          <w:lang w:val="en-US"/>
        </w:rPr>
        <w:footnoteReference w:id="56"/>
      </w:r>
      <w:r w:rsidRPr="00B94A09">
        <w:rPr>
          <w:rFonts w:cs="Arial"/>
          <w:lang w:val="en-US"/>
        </w:rPr>
        <w:t xml:space="preserve"> We refer to sections III.C on this regard.   </w:t>
      </w:r>
    </w:p>
    <w:p w14:paraId="3A53B7E7" w14:textId="7486B0F6" w:rsidR="00986E06" w:rsidRDefault="0098411E">
      <w:pPr>
        <w:pStyle w:val="Heading2"/>
        <w:numPr>
          <w:ilvl w:val="0"/>
          <w:numId w:val="11"/>
        </w:numPr>
        <w:jc w:val="both"/>
        <w:rPr>
          <w:lang w:val="en-US"/>
        </w:rPr>
      </w:pPr>
      <w:bookmarkStart w:id="18" w:name="_Toc55391175"/>
      <w:r>
        <w:rPr>
          <w:lang w:val="en-US"/>
        </w:rPr>
        <w:lastRenderedPageBreak/>
        <w:t>R</w:t>
      </w:r>
      <w:r w:rsidR="00AE72E1">
        <w:rPr>
          <w:lang w:val="en-US"/>
        </w:rPr>
        <w:t>ecommendations within</w:t>
      </w:r>
      <w:r w:rsidR="00CC73A9">
        <w:rPr>
          <w:lang w:val="en-US"/>
        </w:rPr>
        <w:t xml:space="preserve"> the</w:t>
      </w:r>
      <w:r w:rsidR="00AE72E1">
        <w:rPr>
          <w:lang w:val="en-US"/>
        </w:rPr>
        <w:t xml:space="preserve"> Council of Europe</w:t>
      </w:r>
      <w:bookmarkEnd w:id="18"/>
      <w:r w:rsidR="00AE72E1">
        <w:rPr>
          <w:lang w:val="en-US"/>
        </w:rPr>
        <w:t xml:space="preserve"> </w:t>
      </w:r>
    </w:p>
    <w:p w14:paraId="745CC2DA" w14:textId="4CEA0C48" w:rsidR="00761294" w:rsidRDefault="00761294">
      <w:pPr>
        <w:jc w:val="both"/>
        <w:rPr>
          <w:rFonts w:cs="Arial"/>
          <w:lang w:val="en-US"/>
        </w:rPr>
      </w:pPr>
      <w:r>
        <w:rPr>
          <w:rFonts w:cs="Arial"/>
          <w:lang w:val="en-US"/>
        </w:rPr>
        <w:t xml:space="preserve">The Commissioner for Human Rights </w:t>
      </w:r>
      <w:r w:rsidR="000779DE">
        <w:rPr>
          <w:rFonts w:cs="Arial"/>
          <w:lang w:val="en-US"/>
        </w:rPr>
        <w:t xml:space="preserve">and the Parliamentary Assembly </w:t>
      </w:r>
      <w:r>
        <w:rPr>
          <w:rFonts w:cs="Arial"/>
          <w:lang w:val="en-US"/>
        </w:rPr>
        <w:t xml:space="preserve">of the Council of Europe have raised strong concerns regarding legislation on involuntary placement and treatment of persons with mental health </w:t>
      </w:r>
      <w:r w:rsidR="00197DFA">
        <w:rPr>
          <w:rFonts w:cs="Arial"/>
          <w:lang w:val="en-US"/>
        </w:rPr>
        <w:t>problems</w:t>
      </w:r>
      <w:r>
        <w:rPr>
          <w:rFonts w:cs="Arial"/>
          <w:lang w:val="en-US"/>
        </w:rPr>
        <w:t>.</w:t>
      </w:r>
    </w:p>
    <w:p w14:paraId="44501CA9" w14:textId="1AF2D94E" w:rsidR="00863E4F" w:rsidRDefault="000779DE">
      <w:pPr>
        <w:jc w:val="both"/>
        <w:rPr>
          <w:rFonts w:cs="Arial"/>
          <w:lang w:val="en-US"/>
        </w:rPr>
      </w:pPr>
      <w:r>
        <w:rPr>
          <w:rFonts w:cs="Arial"/>
          <w:lang w:val="en-US"/>
        </w:rPr>
        <w:t xml:space="preserve">In a statement on 8 November 2018, the </w:t>
      </w:r>
      <w:r w:rsidRPr="000779DE">
        <w:rPr>
          <w:rFonts w:cs="Arial"/>
          <w:b/>
          <w:bCs/>
          <w:lang w:val="en-US"/>
        </w:rPr>
        <w:t>Commissioner for Human Rights</w:t>
      </w:r>
      <w:r>
        <w:rPr>
          <w:rFonts w:cs="Arial"/>
          <w:lang w:val="en-US"/>
        </w:rPr>
        <w:t xml:space="preserve"> stressed</w:t>
      </w:r>
      <w:r w:rsidRPr="000A78AA">
        <w:rPr>
          <w:rFonts w:cs="Arial"/>
          <w:lang w:val="en-US"/>
        </w:rPr>
        <w:t xml:space="preserve"> that </w:t>
      </w:r>
      <w:r>
        <w:rPr>
          <w:rFonts w:cs="Arial"/>
          <w:lang w:val="en-US"/>
        </w:rPr>
        <w:t>“</w:t>
      </w:r>
      <w:r w:rsidRPr="000A78AA">
        <w:rPr>
          <w:rFonts w:cs="Arial"/>
          <w:i/>
          <w:iCs/>
          <w:lang w:val="en-US"/>
        </w:rPr>
        <w:t>the Council of Europe should abstain from elaborating norms which are in conflict with global human rights standards or which could weaken the protections provided in those standards</w:t>
      </w:r>
      <w:r>
        <w:rPr>
          <w:rFonts w:cs="Arial"/>
          <w:i/>
          <w:iCs/>
          <w:lang w:val="en-US"/>
        </w:rPr>
        <w:t>,</w:t>
      </w:r>
      <w:r>
        <w:rPr>
          <w:rFonts w:cs="Arial"/>
          <w:lang w:val="en-US"/>
        </w:rPr>
        <w:t>” making specific reference to the CRPD.</w:t>
      </w:r>
      <w:r>
        <w:rPr>
          <w:rStyle w:val="FootnoteReference"/>
          <w:rFonts w:cs="Arial"/>
          <w:lang w:val="en-US"/>
        </w:rPr>
        <w:footnoteReference w:id="57"/>
      </w:r>
      <w:r>
        <w:rPr>
          <w:rFonts w:cs="Arial"/>
          <w:lang w:val="en-US"/>
        </w:rPr>
        <w:t xml:space="preserve"> In a joint </w:t>
      </w:r>
      <w:r w:rsidRPr="004D2D66">
        <w:rPr>
          <w:rFonts w:cs="Arial"/>
          <w:lang w:val="en-US"/>
        </w:rPr>
        <w:t xml:space="preserve">hearing, </w:t>
      </w:r>
      <w:r>
        <w:rPr>
          <w:rFonts w:cs="Arial"/>
          <w:lang w:val="en-US"/>
        </w:rPr>
        <w:t>the Commissioner explicitly took a stand against coercion stating that “</w:t>
      </w:r>
      <w:r w:rsidRPr="000A78AA">
        <w:rPr>
          <w:rFonts w:cs="Arial"/>
          <w:i/>
          <w:iCs/>
          <w:lang w:val="en-US"/>
        </w:rPr>
        <w:t xml:space="preserve">safeguards for involuntary measures are not the issue and </w:t>
      </w:r>
      <w:r>
        <w:rPr>
          <w:rFonts w:cs="Arial"/>
          <w:i/>
          <w:iCs/>
          <w:lang w:val="en-US"/>
        </w:rPr>
        <w:t>(…)</w:t>
      </w:r>
      <w:r w:rsidRPr="000A78AA">
        <w:rPr>
          <w:rFonts w:cs="Arial"/>
          <w:i/>
          <w:iCs/>
          <w:lang w:val="en-US"/>
        </w:rPr>
        <w:t xml:space="preserve"> our member states urgently need clearer </w:t>
      </w:r>
      <w:bookmarkStart w:id="19" w:name="_Hlk54867317"/>
      <w:r w:rsidRPr="000A78AA">
        <w:rPr>
          <w:rFonts w:cs="Arial"/>
          <w:i/>
          <w:iCs/>
          <w:lang w:val="en-US"/>
        </w:rPr>
        <w:t>guidance on minimum standards concerning alternatives to involuntary measures</w:t>
      </w:r>
      <w:bookmarkEnd w:id="19"/>
      <w:r>
        <w:rPr>
          <w:rFonts w:cs="Arial"/>
          <w:lang w:val="en-US"/>
        </w:rPr>
        <w:t>.”</w:t>
      </w:r>
      <w:r>
        <w:rPr>
          <w:rStyle w:val="FootnoteReference"/>
          <w:rFonts w:cs="Arial"/>
          <w:lang w:val="en-US"/>
        </w:rPr>
        <w:footnoteReference w:id="58"/>
      </w:r>
      <w:r>
        <w:rPr>
          <w:rFonts w:cs="Arial"/>
          <w:lang w:val="en-US"/>
        </w:rPr>
        <w:t xml:space="preserve">  </w:t>
      </w:r>
      <w:r w:rsidR="007248B9">
        <w:rPr>
          <w:rFonts w:cs="Arial"/>
          <w:lang w:val="en-US"/>
        </w:rPr>
        <w:t>In 2019, t</w:t>
      </w:r>
      <w:r>
        <w:rPr>
          <w:rFonts w:cs="Arial"/>
          <w:lang w:val="en-US"/>
        </w:rPr>
        <w:t xml:space="preserve">he </w:t>
      </w:r>
      <w:r w:rsidRPr="000779DE">
        <w:rPr>
          <w:rFonts w:cs="Arial"/>
          <w:b/>
          <w:bCs/>
          <w:lang w:val="en-US"/>
        </w:rPr>
        <w:t>Parliamentary Assembly</w:t>
      </w:r>
      <w:r>
        <w:rPr>
          <w:rFonts w:cs="Arial"/>
          <w:lang w:val="en-US"/>
        </w:rPr>
        <w:t>’s unanimously adopted Resolution 2291</w:t>
      </w:r>
      <w:r>
        <w:rPr>
          <w:rStyle w:val="FootnoteReference"/>
          <w:rFonts w:cs="Arial"/>
          <w:lang w:val="en-US"/>
        </w:rPr>
        <w:footnoteReference w:id="59"/>
      </w:r>
      <w:r>
        <w:rPr>
          <w:rFonts w:cs="Arial"/>
          <w:lang w:val="en-US"/>
        </w:rPr>
        <w:t xml:space="preserve"> </w:t>
      </w:r>
      <w:r w:rsidR="007248B9">
        <w:rPr>
          <w:rFonts w:cs="Arial"/>
          <w:lang w:val="en-US"/>
        </w:rPr>
        <w:t xml:space="preserve">that </w:t>
      </w:r>
      <w:proofErr w:type="spellStart"/>
      <w:r>
        <w:rPr>
          <w:rFonts w:cs="Arial"/>
          <w:lang w:val="en-US"/>
        </w:rPr>
        <w:t>recognises</w:t>
      </w:r>
      <w:proofErr w:type="spellEnd"/>
      <w:r>
        <w:rPr>
          <w:rFonts w:cs="Arial"/>
          <w:lang w:val="en-US"/>
        </w:rPr>
        <w:t xml:space="preserve"> that coercive measures, including involuntary treatment “</w:t>
      </w:r>
      <w:r w:rsidRPr="000E1FB3">
        <w:rPr>
          <w:rFonts w:cs="Arial"/>
          <w:i/>
          <w:iCs/>
          <w:lang w:val="en-US"/>
        </w:rPr>
        <w:t>such as forced medication and forced electroshocks</w:t>
      </w:r>
      <w:r>
        <w:rPr>
          <w:rFonts w:cs="Arial"/>
          <w:lang w:val="en-US"/>
        </w:rPr>
        <w:t>”</w:t>
      </w:r>
      <w:r>
        <w:rPr>
          <w:rStyle w:val="FootnoteReference"/>
          <w:rFonts w:cs="Arial"/>
          <w:lang w:val="en-US"/>
        </w:rPr>
        <w:footnoteReference w:id="60"/>
      </w:r>
      <w:r>
        <w:rPr>
          <w:rFonts w:cs="Arial"/>
          <w:lang w:val="en-US"/>
        </w:rPr>
        <w:t xml:space="preserve"> constitute a form of discrimination</w:t>
      </w:r>
      <w:r>
        <w:rPr>
          <w:rStyle w:val="FootnoteReference"/>
          <w:rFonts w:cs="Arial"/>
          <w:lang w:val="en-US"/>
        </w:rPr>
        <w:footnoteReference w:id="61"/>
      </w:r>
      <w:r>
        <w:rPr>
          <w:rFonts w:cs="Arial"/>
          <w:lang w:val="en-US"/>
        </w:rPr>
        <w:t xml:space="preserve"> and c</w:t>
      </w:r>
      <w:r w:rsidRPr="00AB72D7">
        <w:rPr>
          <w:rFonts w:cs="Arial"/>
          <w:lang w:val="en-US"/>
        </w:rPr>
        <w:t>an cause irreversible damage to health.</w:t>
      </w:r>
      <w:r>
        <w:rPr>
          <w:rStyle w:val="FootnoteReference"/>
          <w:rFonts w:cs="Arial"/>
          <w:lang w:val="en-US"/>
        </w:rPr>
        <w:footnoteReference w:id="62"/>
      </w:r>
      <w:r>
        <w:rPr>
          <w:rFonts w:cs="Arial"/>
          <w:lang w:val="en-US"/>
        </w:rPr>
        <w:t xml:space="preserve"> The resolution explains that </w:t>
      </w:r>
      <w:r w:rsidR="00AB72D7">
        <w:rPr>
          <w:rFonts w:cs="Arial"/>
          <w:lang w:val="en-US"/>
        </w:rPr>
        <w:t xml:space="preserve"> “</w:t>
      </w:r>
      <w:r w:rsidR="00AB72D7" w:rsidRPr="00AB72D7">
        <w:rPr>
          <w:rFonts w:cs="Arial"/>
          <w:i/>
          <w:iCs/>
          <w:lang w:val="en-US"/>
        </w:rPr>
        <w:t>the notion of risk of harm to oneself or others remains a strong focus in justifications for involuntary measures across Council of Europe member States, despite the lack of empirical evidence regarding both the association between mental health conditions and violence, and the effectiveness of coercive measures in preventing self-harm or harm to others.</w:t>
      </w:r>
      <w:r w:rsidR="00AB72D7">
        <w:rPr>
          <w:rFonts w:cs="Arial"/>
          <w:lang w:val="en-US"/>
        </w:rPr>
        <w:t>”</w:t>
      </w:r>
      <w:r w:rsidR="00AB72D7">
        <w:rPr>
          <w:rStyle w:val="FootnoteReference"/>
          <w:rFonts w:cs="Arial"/>
          <w:lang w:val="en-US"/>
        </w:rPr>
        <w:footnoteReference w:id="63"/>
      </w:r>
      <w:r w:rsidR="00AB72D7">
        <w:rPr>
          <w:rFonts w:cs="Arial"/>
          <w:lang w:val="en-US"/>
        </w:rPr>
        <w:t xml:space="preserve"> </w:t>
      </w:r>
      <w:r>
        <w:rPr>
          <w:rFonts w:cs="Arial"/>
          <w:lang w:val="en-US"/>
        </w:rPr>
        <w:t>The Parliamentary Assembly urged Member States of the Council of Europe</w:t>
      </w:r>
      <w:r w:rsidR="00AB72D7">
        <w:rPr>
          <w:rFonts w:cs="Arial"/>
          <w:lang w:val="en-US"/>
        </w:rPr>
        <w:t xml:space="preserve"> “</w:t>
      </w:r>
      <w:r w:rsidR="00AB72D7" w:rsidRPr="000E1FB3">
        <w:rPr>
          <w:rFonts w:cs="Arial"/>
          <w:i/>
          <w:iCs/>
          <w:lang w:val="en-US"/>
        </w:rPr>
        <w:t>to immediately start to transition to the abolition of coercive practices in mental health settings</w:t>
      </w:r>
      <w:r>
        <w:rPr>
          <w:rFonts w:cs="Arial"/>
          <w:i/>
          <w:iCs/>
          <w:lang w:val="en-US"/>
        </w:rPr>
        <w:t>.</w:t>
      </w:r>
      <w:r w:rsidR="00AB72D7">
        <w:rPr>
          <w:rFonts w:cs="Arial"/>
          <w:lang w:val="en-US"/>
        </w:rPr>
        <w:t>”</w:t>
      </w:r>
      <w:r w:rsidR="00AB72D7">
        <w:rPr>
          <w:rStyle w:val="FootnoteReference"/>
          <w:rFonts w:cs="Arial"/>
          <w:lang w:val="en-US"/>
        </w:rPr>
        <w:footnoteReference w:id="64"/>
      </w:r>
    </w:p>
    <w:p w14:paraId="5840F11B" w14:textId="2FEECF2D" w:rsidR="000343AE" w:rsidRDefault="004C1ECC">
      <w:pPr>
        <w:pStyle w:val="Heading2"/>
        <w:numPr>
          <w:ilvl w:val="0"/>
          <w:numId w:val="11"/>
        </w:numPr>
        <w:jc w:val="both"/>
        <w:rPr>
          <w:lang w:val="en-US"/>
        </w:rPr>
      </w:pPr>
      <w:bookmarkStart w:id="20" w:name="_Toc55391176"/>
      <w:r w:rsidRPr="004C1ECC">
        <w:rPr>
          <w:lang w:val="en-US"/>
        </w:rPr>
        <w:t>Comparative law</w:t>
      </w:r>
      <w:bookmarkEnd w:id="20"/>
    </w:p>
    <w:p w14:paraId="1B7734EA" w14:textId="6B9A29B3" w:rsidR="00145C6D" w:rsidRDefault="00145C6D" w:rsidP="00B94A09">
      <w:pPr>
        <w:spacing w:after="0"/>
        <w:jc w:val="both"/>
        <w:rPr>
          <w:lang w:val="en-US"/>
        </w:rPr>
      </w:pPr>
      <w:r w:rsidRPr="00145C6D">
        <w:rPr>
          <w:lang w:val="en-US"/>
        </w:rPr>
        <w:t>Regulation of involuntary placement and treatment varies greatly across Europe.</w:t>
      </w:r>
      <w:r w:rsidR="009A05B6">
        <w:rPr>
          <w:lang w:val="en-US"/>
        </w:rPr>
        <w:t xml:space="preserve"> </w:t>
      </w:r>
      <w:r w:rsidRPr="00145C6D">
        <w:rPr>
          <w:lang w:val="en-US"/>
        </w:rPr>
        <w:t>Two countrie</w:t>
      </w:r>
      <w:r>
        <w:rPr>
          <w:lang w:val="en-US"/>
        </w:rPr>
        <w:t xml:space="preserve">s, </w:t>
      </w:r>
      <w:r w:rsidRPr="00145C6D">
        <w:rPr>
          <w:lang w:val="en-US"/>
        </w:rPr>
        <w:t>Finland and Germany</w:t>
      </w:r>
      <w:r>
        <w:rPr>
          <w:lang w:val="en-US"/>
        </w:rPr>
        <w:t xml:space="preserve">, </w:t>
      </w:r>
      <w:r w:rsidRPr="00145C6D">
        <w:rPr>
          <w:lang w:val="en-US"/>
        </w:rPr>
        <w:t xml:space="preserve">reported a decrease following legislative changes and targeted programmes to reduce the use of coercion in </w:t>
      </w:r>
      <w:r>
        <w:rPr>
          <w:lang w:val="en-US"/>
        </w:rPr>
        <w:t>psychiatry.</w:t>
      </w:r>
      <w:r>
        <w:rPr>
          <w:rStyle w:val="FootnoteReference"/>
          <w:lang w:val="en-US"/>
        </w:rPr>
        <w:footnoteReference w:id="65"/>
      </w:r>
    </w:p>
    <w:p w14:paraId="143EB336" w14:textId="446DE9C5" w:rsidR="00562CE3" w:rsidRDefault="00562CE3" w:rsidP="00B94A09">
      <w:pPr>
        <w:spacing w:after="0"/>
        <w:jc w:val="both"/>
        <w:rPr>
          <w:lang w:val="en-US"/>
        </w:rPr>
      </w:pPr>
    </w:p>
    <w:p w14:paraId="47AE0B86" w14:textId="034DE6D8" w:rsidR="00562CE3" w:rsidRPr="00562CE3" w:rsidRDefault="00562CE3" w:rsidP="00B94A09">
      <w:pPr>
        <w:spacing w:after="0"/>
        <w:jc w:val="both"/>
        <w:rPr>
          <w:lang w:val="en-US"/>
        </w:rPr>
      </w:pPr>
      <w:r>
        <w:rPr>
          <w:lang w:val="en-US"/>
        </w:rPr>
        <w:t xml:space="preserve">In relation to equal recognition before the law, several countries have </w:t>
      </w:r>
      <w:r w:rsidR="00511C1A">
        <w:rPr>
          <w:lang w:val="en-US"/>
        </w:rPr>
        <w:t>taken steps to fulfil</w:t>
      </w:r>
      <w:r>
        <w:rPr>
          <w:lang w:val="en-US"/>
        </w:rPr>
        <w:t xml:space="preserve"> their obligation </w:t>
      </w:r>
      <w:r w:rsidRPr="001360CF">
        <w:rPr>
          <w:lang w:val="en-US"/>
        </w:rPr>
        <w:t>not to deprive persons of the right to make and pursue their own decisions, nor to permit substitute decision-makers to provide consent on their behalf.</w:t>
      </w:r>
      <w:r>
        <w:rPr>
          <w:lang w:val="en-US"/>
        </w:rPr>
        <w:t xml:space="preserve"> </w:t>
      </w:r>
      <w:r w:rsidR="00511C1A">
        <w:rPr>
          <w:lang w:val="en-US"/>
        </w:rPr>
        <w:t xml:space="preserve">This is the outcome of implementation of article 12 of the CRPD. </w:t>
      </w:r>
    </w:p>
    <w:p w14:paraId="3BFCFD3D" w14:textId="77777777" w:rsidR="00145C6D" w:rsidRPr="00145C6D" w:rsidRDefault="00145C6D">
      <w:pPr>
        <w:spacing w:after="0"/>
        <w:jc w:val="both"/>
        <w:rPr>
          <w:lang w:val="en-US"/>
        </w:rPr>
      </w:pPr>
    </w:p>
    <w:p w14:paraId="66632D98" w14:textId="1C7AB876" w:rsidR="002D08D8" w:rsidRDefault="00562CE3">
      <w:pPr>
        <w:jc w:val="both"/>
        <w:rPr>
          <w:lang w:val="en-US"/>
        </w:rPr>
      </w:pPr>
      <w:r>
        <w:rPr>
          <w:lang w:val="en-US"/>
        </w:rPr>
        <w:t>I</w:t>
      </w:r>
      <w:r w:rsidR="002D08D8">
        <w:rPr>
          <w:lang w:val="en-US"/>
        </w:rPr>
        <w:t xml:space="preserve">n July 2020 the </w:t>
      </w:r>
      <w:r w:rsidR="002D08D8" w:rsidRPr="002D08D8">
        <w:rPr>
          <w:b/>
          <w:bCs/>
          <w:lang w:val="en-US"/>
        </w:rPr>
        <w:t>Romanian Constitutional Court</w:t>
      </w:r>
      <w:r w:rsidR="002D08D8">
        <w:rPr>
          <w:lang w:val="en-US"/>
        </w:rPr>
        <w:t xml:space="preserve"> </w:t>
      </w:r>
      <w:r w:rsidR="002D08D8" w:rsidRPr="002D08D8">
        <w:rPr>
          <w:lang w:val="en-US"/>
        </w:rPr>
        <w:t>noted the breach of constitutional provisions of art</w:t>
      </w:r>
      <w:r w:rsidR="009A1DD0">
        <w:rPr>
          <w:lang w:val="en-US"/>
        </w:rPr>
        <w:t xml:space="preserve">icle </w:t>
      </w:r>
      <w:r w:rsidR="002D08D8" w:rsidRPr="002D08D8">
        <w:rPr>
          <w:lang w:val="en-US"/>
        </w:rPr>
        <w:t>1 para</w:t>
      </w:r>
      <w:r w:rsidR="009A1DD0">
        <w:rPr>
          <w:lang w:val="en-US"/>
        </w:rPr>
        <w:t>graph</w:t>
      </w:r>
      <w:r w:rsidR="002D08D8" w:rsidRPr="002D08D8">
        <w:rPr>
          <w:lang w:val="en-US"/>
        </w:rPr>
        <w:t xml:space="preserve"> (3), art</w:t>
      </w:r>
      <w:r w:rsidR="009A1DD0">
        <w:rPr>
          <w:lang w:val="en-US"/>
        </w:rPr>
        <w:t xml:space="preserve">icle </w:t>
      </w:r>
      <w:r w:rsidR="002D08D8" w:rsidRPr="002D08D8">
        <w:rPr>
          <w:lang w:val="en-US"/>
        </w:rPr>
        <w:t>16 and art</w:t>
      </w:r>
      <w:r w:rsidR="009A1DD0">
        <w:rPr>
          <w:lang w:val="en-US"/>
        </w:rPr>
        <w:t>icle</w:t>
      </w:r>
      <w:r w:rsidR="002D08D8">
        <w:rPr>
          <w:lang w:val="en-US"/>
        </w:rPr>
        <w:t xml:space="preserve"> </w:t>
      </w:r>
      <w:r w:rsidR="002D08D8" w:rsidRPr="002D08D8">
        <w:rPr>
          <w:lang w:val="en-US"/>
        </w:rPr>
        <w:t>50, interpreted according to art</w:t>
      </w:r>
      <w:r w:rsidR="009A1DD0">
        <w:rPr>
          <w:lang w:val="en-US"/>
        </w:rPr>
        <w:t>icle</w:t>
      </w:r>
      <w:r w:rsidR="002D08D8" w:rsidRPr="002D08D8">
        <w:rPr>
          <w:lang w:val="en-US"/>
        </w:rPr>
        <w:t xml:space="preserve"> 20 of the Constitution, and through the perspective of art</w:t>
      </w:r>
      <w:r w:rsidR="009A1DD0">
        <w:rPr>
          <w:lang w:val="en-US"/>
        </w:rPr>
        <w:t xml:space="preserve">icle </w:t>
      </w:r>
      <w:r w:rsidR="002D08D8" w:rsidRPr="002D08D8">
        <w:rPr>
          <w:lang w:val="en-US"/>
        </w:rPr>
        <w:t xml:space="preserve">12 of the </w:t>
      </w:r>
      <w:r w:rsidR="00A360C0">
        <w:rPr>
          <w:lang w:val="en-US"/>
        </w:rPr>
        <w:t>CRPD</w:t>
      </w:r>
      <w:r w:rsidR="002D08D8" w:rsidRPr="002D08D8">
        <w:rPr>
          <w:lang w:val="en-US"/>
        </w:rPr>
        <w:t>.</w:t>
      </w:r>
      <w:r w:rsidR="002D08D8">
        <w:rPr>
          <w:lang w:val="en-US"/>
        </w:rPr>
        <w:t xml:space="preserve"> </w:t>
      </w:r>
      <w:r w:rsidR="002D08D8" w:rsidRPr="002D08D8">
        <w:rPr>
          <w:lang w:val="en-US"/>
        </w:rPr>
        <w:t>In motivating its decision to allow the unconstitutionality exception, the Court noted, in essence, that the legal guardianship measure foreseen by art</w:t>
      </w:r>
      <w:r w:rsidR="009A1DD0">
        <w:rPr>
          <w:lang w:val="en-US"/>
        </w:rPr>
        <w:t xml:space="preserve">icle </w:t>
      </w:r>
      <w:r w:rsidR="002D08D8" w:rsidRPr="002D08D8">
        <w:rPr>
          <w:lang w:val="en-US"/>
        </w:rPr>
        <w:t>164 para</w:t>
      </w:r>
      <w:r w:rsidR="009A1DD0">
        <w:rPr>
          <w:lang w:val="en-US"/>
        </w:rPr>
        <w:t>graph</w:t>
      </w:r>
      <w:r w:rsidR="00145C6D">
        <w:rPr>
          <w:lang w:val="en-US"/>
        </w:rPr>
        <w:t xml:space="preserve"> </w:t>
      </w:r>
      <w:r w:rsidR="002D08D8" w:rsidRPr="002D08D8">
        <w:rPr>
          <w:lang w:val="en-US"/>
        </w:rPr>
        <w:t>(1) of the Civil Code is not accompanied by sufficient guarantees to ensure the respect of fundamental human rights and freedoms. Any person must be free to act in view of developing his or her own personality, while the state, by virtue of its social character, has the obligation to create a normative framework that ensures the respect of the individual, the full expression of the personality of citizens, of their rights and freedoms, of equal opportunities, resulting in the respect of human dignity.</w:t>
      </w:r>
      <w:r w:rsidR="002D08D8">
        <w:rPr>
          <w:rStyle w:val="FootnoteReference"/>
          <w:lang w:val="en-US"/>
        </w:rPr>
        <w:footnoteReference w:id="66"/>
      </w:r>
    </w:p>
    <w:p w14:paraId="6AD248E6" w14:textId="014ED76F" w:rsidR="001A0026" w:rsidRPr="0038155A" w:rsidRDefault="001A0026">
      <w:pPr>
        <w:jc w:val="both"/>
        <w:rPr>
          <w:lang w:val="en-US"/>
        </w:rPr>
      </w:pPr>
      <w:r w:rsidRPr="001360CF">
        <w:rPr>
          <w:lang w:val="en-US"/>
        </w:rPr>
        <w:lastRenderedPageBreak/>
        <w:t xml:space="preserve">The 2015 amendment of the </w:t>
      </w:r>
      <w:r w:rsidRPr="001360CF">
        <w:rPr>
          <w:b/>
          <w:bCs/>
          <w:lang w:val="en-US"/>
        </w:rPr>
        <w:t>Civil Code in Georgia</w:t>
      </w:r>
      <w:r w:rsidRPr="001360CF">
        <w:rPr>
          <w:lang w:val="en-US"/>
        </w:rPr>
        <w:t xml:space="preserve"> includes a reform of legal capacity provisions.</w:t>
      </w:r>
      <w:r w:rsidR="0038155A" w:rsidRPr="0038155A">
        <w:rPr>
          <w:lang w:val="en-US"/>
        </w:rPr>
        <w:t xml:space="preserve"> </w:t>
      </w:r>
      <w:r w:rsidRPr="001360CF">
        <w:rPr>
          <w:lang w:val="en-US"/>
        </w:rPr>
        <w:t>Plenary guardianship has been abolished and supported decision-making established. Persons, their relatives or social services, can now address the court with the request to declare them ‘beneficiaries of support’. The court needs to take into account the ‘the interest and will of a beneficiary of support’ and mention the specific areas for which support is required. Support frameworks can be broadened or narrowed and are overseen by a supervisory body. Despite the positive steps in legislation, the shift towards</w:t>
      </w:r>
      <w:r w:rsidR="00145C6D" w:rsidRPr="00145C6D">
        <w:rPr>
          <w:lang w:val="en-US"/>
        </w:rPr>
        <w:t xml:space="preserve"> </w:t>
      </w:r>
      <w:r w:rsidRPr="001360CF">
        <w:rPr>
          <w:lang w:val="en-US"/>
        </w:rPr>
        <w:t xml:space="preserve">supported decision-making has not yet been fully adopted by courts and implementation of the reform is </w:t>
      </w:r>
      <w:r w:rsidR="00145C6D" w:rsidRPr="00145C6D">
        <w:rPr>
          <w:lang w:val="en-US"/>
        </w:rPr>
        <w:t>insufficient</w:t>
      </w:r>
      <w:r w:rsidRPr="001360CF">
        <w:rPr>
          <w:lang w:val="en-US"/>
        </w:rPr>
        <w:t>.</w:t>
      </w:r>
      <w:r w:rsidR="0038155A">
        <w:rPr>
          <w:rStyle w:val="FootnoteReference"/>
          <w:lang w:val="en-US"/>
        </w:rPr>
        <w:footnoteReference w:id="67"/>
      </w:r>
    </w:p>
    <w:p w14:paraId="572CB835" w14:textId="2B035325" w:rsidR="00562CE3" w:rsidRDefault="0038155A">
      <w:pPr>
        <w:jc w:val="both"/>
        <w:rPr>
          <w:lang w:val="en-US"/>
        </w:rPr>
      </w:pPr>
      <w:r>
        <w:rPr>
          <w:lang w:val="en-US"/>
        </w:rPr>
        <w:t xml:space="preserve">In 2020, the </w:t>
      </w:r>
      <w:r w:rsidRPr="0038155A">
        <w:rPr>
          <w:b/>
          <w:bCs/>
          <w:lang w:val="en-US"/>
        </w:rPr>
        <w:t>German Ministry of Justice</w:t>
      </w:r>
      <w:r w:rsidR="00E028A0">
        <w:rPr>
          <w:lang w:val="en-US"/>
        </w:rPr>
        <w:t xml:space="preserve"> </w:t>
      </w:r>
      <w:r w:rsidR="00E028A0" w:rsidRPr="00E028A0">
        <w:rPr>
          <w:b/>
          <w:bCs/>
          <w:lang w:val="en-US"/>
        </w:rPr>
        <w:t>and Consumer Protection</w:t>
      </w:r>
      <w:r>
        <w:rPr>
          <w:lang w:val="en-US"/>
        </w:rPr>
        <w:t xml:space="preserve"> proposed a reform of the civil code with regards to legal guardianship.</w:t>
      </w:r>
      <w:r w:rsidR="00E028A0" w:rsidRPr="001360CF">
        <w:rPr>
          <w:lang w:val="en-US"/>
        </w:rPr>
        <w:t xml:space="preserve"> </w:t>
      </w:r>
      <w:r w:rsidR="00E028A0">
        <w:rPr>
          <w:lang w:val="en-US"/>
        </w:rPr>
        <w:t>Legal</w:t>
      </w:r>
      <w:r w:rsidR="00E028A0" w:rsidRPr="00E028A0">
        <w:rPr>
          <w:lang w:val="en-US"/>
        </w:rPr>
        <w:t xml:space="preserve"> support </w:t>
      </w:r>
      <w:r w:rsidR="006D3D6A">
        <w:rPr>
          <w:lang w:val="en-US"/>
        </w:rPr>
        <w:t xml:space="preserve">should </w:t>
      </w:r>
      <w:r w:rsidR="00E028A0" w:rsidRPr="00E028A0">
        <w:rPr>
          <w:lang w:val="en-US"/>
        </w:rPr>
        <w:t>primarily</w:t>
      </w:r>
      <w:r w:rsidR="006D3D6A">
        <w:rPr>
          <w:lang w:val="en-US"/>
        </w:rPr>
        <w:t xml:space="preserve"> ensure</w:t>
      </w:r>
      <w:r w:rsidR="00E028A0" w:rsidRPr="00E028A0">
        <w:rPr>
          <w:lang w:val="en-US"/>
        </w:rPr>
        <w:t xml:space="preserve"> a support </w:t>
      </w:r>
      <w:r w:rsidR="00145C6D">
        <w:rPr>
          <w:lang w:val="en-US"/>
        </w:rPr>
        <w:t>of the person of concern</w:t>
      </w:r>
      <w:r w:rsidR="00E028A0" w:rsidRPr="00E028A0">
        <w:rPr>
          <w:lang w:val="en-US"/>
        </w:rPr>
        <w:t xml:space="preserve"> in the provision of its affairs by own</w:t>
      </w:r>
      <w:r w:rsidR="00145C6D">
        <w:rPr>
          <w:lang w:val="en-US"/>
        </w:rPr>
        <w:t>,</w:t>
      </w:r>
      <w:r w:rsidR="00E028A0" w:rsidRPr="00E028A0">
        <w:rPr>
          <w:lang w:val="en-US"/>
        </w:rPr>
        <w:t xml:space="preserve"> self-determined</w:t>
      </w:r>
      <w:r w:rsidR="00145C6D">
        <w:rPr>
          <w:lang w:val="en-US"/>
        </w:rPr>
        <w:t>,</w:t>
      </w:r>
      <w:r w:rsidR="00E028A0" w:rsidRPr="00E028A0">
        <w:rPr>
          <w:lang w:val="en-US"/>
        </w:rPr>
        <w:t xml:space="preserve"> acting and the </w:t>
      </w:r>
      <w:r w:rsidR="00145C6D">
        <w:rPr>
          <w:lang w:val="en-US"/>
        </w:rPr>
        <w:t>person of concern</w:t>
      </w:r>
      <w:r w:rsidR="00E028A0" w:rsidRPr="00E028A0">
        <w:rPr>
          <w:lang w:val="en-US"/>
        </w:rPr>
        <w:t xml:space="preserve"> may use the means of the agency only, as far as it is necessary. The precedence of the wishes of the person being cared for is standardized as the central standard of the law of trust, which applies equally to the actions of the person being cared for, the suitability of the person being cared for and the exercise of judicial supervision, in particular also in the case of asset management and within the framework of approval procedures.</w:t>
      </w:r>
      <w:r w:rsidR="00E028A0">
        <w:rPr>
          <w:rStyle w:val="FootnoteReference"/>
          <w:lang w:val="en-US"/>
        </w:rPr>
        <w:footnoteReference w:id="68"/>
      </w:r>
      <w:r w:rsidR="00E028A0">
        <w:rPr>
          <w:lang w:val="en-US"/>
        </w:rPr>
        <w:t xml:space="preserve"> While the draft law received positive replies, the German Institute for Human Rights outlines the necessity to further anchor the provisions in the context of the CRPD.</w:t>
      </w:r>
      <w:r w:rsidR="00E028A0">
        <w:rPr>
          <w:rStyle w:val="FootnoteReference"/>
          <w:lang w:val="en-US"/>
        </w:rPr>
        <w:footnoteReference w:id="69"/>
      </w:r>
      <w:r w:rsidR="00E028A0">
        <w:rPr>
          <w:lang w:val="en-US"/>
        </w:rPr>
        <w:t xml:space="preserve"> </w:t>
      </w:r>
    </w:p>
    <w:p w14:paraId="64EDE3DE" w14:textId="5366CFAE" w:rsidR="00BD7C81" w:rsidRPr="00197DFA" w:rsidRDefault="00BD7C81" w:rsidP="00B94A09">
      <w:pPr>
        <w:pStyle w:val="Heading2"/>
        <w:numPr>
          <w:ilvl w:val="0"/>
          <w:numId w:val="11"/>
        </w:numPr>
        <w:jc w:val="both"/>
        <w:rPr>
          <w:lang w:val="en-US"/>
        </w:rPr>
      </w:pPr>
      <w:bookmarkStart w:id="21" w:name="_Toc55391177"/>
      <w:r w:rsidRPr="00197DFA">
        <w:rPr>
          <w:lang w:val="en-US"/>
        </w:rPr>
        <w:t xml:space="preserve">Policies and </w:t>
      </w:r>
      <w:r w:rsidR="004B6FDB">
        <w:rPr>
          <w:lang w:val="en-US"/>
        </w:rPr>
        <w:t>p</w:t>
      </w:r>
      <w:r w:rsidRPr="00197DFA">
        <w:rPr>
          <w:lang w:val="en-US"/>
        </w:rPr>
        <w:t xml:space="preserve">ractices to end </w:t>
      </w:r>
      <w:r w:rsidR="004B6FDB">
        <w:rPr>
          <w:lang w:val="en-US"/>
        </w:rPr>
        <w:t>i</w:t>
      </w:r>
      <w:r w:rsidRPr="00197DFA">
        <w:rPr>
          <w:lang w:val="en-US"/>
        </w:rPr>
        <w:t xml:space="preserve">nvoluntary </w:t>
      </w:r>
      <w:r w:rsidR="004B6FDB">
        <w:rPr>
          <w:lang w:val="en-US"/>
        </w:rPr>
        <w:t>p</w:t>
      </w:r>
      <w:r w:rsidRPr="00197DFA">
        <w:rPr>
          <w:lang w:val="en-US"/>
        </w:rPr>
        <w:t xml:space="preserve">lacement and </w:t>
      </w:r>
      <w:r w:rsidR="004B6FDB">
        <w:rPr>
          <w:lang w:val="en-US"/>
        </w:rPr>
        <w:t>t</w:t>
      </w:r>
      <w:r w:rsidRPr="00197DFA">
        <w:rPr>
          <w:lang w:val="en-US"/>
        </w:rPr>
        <w:t>reatment</w:t>
      </w:r>
      <w:bookmarkEnd w:id="21"/>
    </w:p>
    <w:p w14:paraId="04BAD702" w14:textId="31E2F051" w:rsidR="004B6FDB" w:rsidRPr="001360CF" w:rsidRDefault="004B6FDB">
      <w:pPr>
        <w:jc w:val="both"/>
        <w:rPr>
          <w:lang w:val="en-US"/>
        </w:rPr>
      </w:pPr>
      <w:r>
        <w:rPr>
          <w:lang w:val="en-US"/>
        </w:rPr>
        <w:t>Policies and practices to end involuntary placement and treatment</w:t>
      </w:r>
      <w:r w:rsidR="00C77CC3">
        <w:rPr>
          <w:lang w:val="en-US"/>
        </w:rPr>
        <w:t xml:space="preserve"> are growing in number over time, resulting from the CRPD and other progress in advancing the human rights of person with disabilities, and</w:t>
      </w:r>
      <w:r>
        <w:rPr>
          <w:lang w:val="en-US"/>
        </w:rPr>
        <w:t xml:space="preserve"> can be found in several European countries. </w:t>
      </w:r>
      <w:r w:rsidR="00C77CC3">
        <w:rPr>
          <w:lang w:val="en-US"/>
        </w:rPr>
        <w:t xml:space="preserve"> These measures reflect a strengthening of the human rights based approach, and an improvement in quality of care.</w:t>
      </w:r>
    </w:p>
    <w:p w14:paraId="4ECE3AE1" w14:textId="7074A71A" w:rsidR="00DC7764" w:rsidRPr="003A72EF" w:rsidRDefault="00DC7764">
      <w:pPr>
        <w:jc w:val="both"/>
      </w:pPr>
      <w:r w:rsidRPr="00CB45D4">
        <w:rPr>
          <w:b/>
          <w:bCs/>
          <w:lang w:val="en-US"/>
        </w:rPr>
        <w:t xml:space="preserve">In Finland, the </w:t>
      </w:r>
      <w:r w:rsidRPr="001360CF">
        <w:rPr>
          <w:b/>
          <w:bCs/>
          <w:lang w:val="en-US"/>
        </w:rPr>
        <w:t>National Mental Health Strategy and Programme for Suicide Prevention 2020–2030</w:t>
      </w:r>
      <w:r w:rsidR="00CB45D4" w:rsidRPr="00CB45D4">
        <w:rPr>
          <w:b/>
          <w:bCs/>
          <w:lang w:val="en-US"/>
        </w:rPr>
        <w:t>,</w:t>
      </w:r>
      <w:r w:rsidR="00CB45D4">
        <w:rPr>
          <w:lang w:val="en-US"/>
        </w:rPr>
        <w:t xml:space="preserve"> among others, aims </w:t>
      </w:r>
      <w:r w:rsidR="00CB45D4" w:rsidRPr="001A0026">
        <w:rPr>
          <w:i/>
          <w:iCs/>
          <w:lang w:val="en-US"/>
        </w:rPr>
        <w:t>to r</w:t>
      </w:r>
      <w:r w:rsidR="00CB45D4" w:rsidRPr="001360CF">
        <w:rPr>
          <w:i/>
          <w:iCs/>
          <w:lang w:val="en-US"/>
        </w:rPr>
        <w:t>eform legislation on self-determination and involuntary treatment to ensure that it safeguards the right to self-determination within services for people with mental health disorders</w:t>
      </w:r>
      <w:r w:rsidR="00CB45D4" w:rsidRPr="001A0026">
        <w:rPr>
          <w:i/>
          <w:iCs/>
          <w:lang w:val="en-US"/>
        </w:rPr>
        <w:t xml:space="preserve">, and continue </w:t>
      </w:r>
      <w:r w:rsidR="00CB45D4" w:rsidRPr="001360CF">
        <w:rPr>
          <w:i/>
          <w:iCs/>
          <w:lang w:val="en-US"/>
        </w:rPr>
        <w:t>existing programme</w:t>
      </w:r>
      <w:r w:rsidR="00CB45D4" w:rsidRPr="001A0026">
        <w:rPr>
          <w:i/>
          <w:iCs/>
          <w:lang w:val="en-US"/>
        </w:rPr>
        <w:t>s</w:t>
      </w:r>
      <w:r w:rsidR="00CB45D4" w:rsidRPr="001360CF">
        <w:rPr>
          <w:i/>
          <w:iCs/>
          <w:lang w:val="en-US"/>
        </w:rPr>
        <w:t xml:space="preserve"> for reducing the use of involuntary treatment and coercive measures within psychiatric care and strengthening the national network for reduced use of coercion</w:t>
      </w:r>
      <w:r w:rsidR="00CB45D4" w:rsidRPr="001360CF">
        <w:rPr>
          <w:lang w:val="en-US"/>
        </w:rPr>
        <w:t>.</w:t>
      </w:r>
      <w:r w:rsidR="00145C6D">
        <w:rPr>
          <w:rStyle w:val="FootnoteReference"/>
        </w:rPr>
        <w:footnoteReference w:id="70"/>
      </w:r>
    </w:p>
    <w:p w14:paraId="353853E1" w14:textId="4B0B34C1" w:rsidR="00D21D7E" w:rsidRPr="001360CF" w:rsidRDefault="00D21D7E">
      <w:pPr>
        <w:jc w:val="both"/>
        <w:rPr>
          <w:lang w:val="en-US"/>
        </w:rPr>
      </w:pPr>
      <w:r w:rsidRPr="001360CF">
        <w:rPr>
          <w:lang w:val="en-US"/>
        </w:rPr>
        <w:t xml:space="preserve">In 2014, the </w:t>
      </w:r>
      <w:r w:rsidRPr="001360CF">
        <w:rPr>
          <w:b/>
          <w:bCs/>
          <w:lang w:val="en-US"/>
        </w:rPr>
        <w:t>Danish Ministry of Health</w:t>
      </w:r>
      <w:r w:rsidRPr="001360CF">
        <w:rPr>
          <w:lang w:val="en-US"/>
        </w:rPr>
        <w:t xml:space="preserve">, in collaboration with regional authorities, decided that the use of mechanical restraint must be reduced by 50% by 2020. Courses in de-escalation techniques and conflict resolution were provided to staff members on psychiatric wards, more leisure activities were introduced for users, and architectural changes were introduced. As a result, in January 2017 the Psychiatric Centre in </w:t>
      </w:r>
      <w:proofErr w:type="spellStart"/>
      <w:r w:rsidRPr="001360CF">
        <w:rPr>
          <w:lang w:val="en-US"/>
        </w:rPr>
        <w:t>Ballerup</w:t>
      </w:r>
      <w:proofErr w:type="spellEnd"/>
      <w:r w:rsidRPr="001360CF">
        <w:rPr>
          <w:lang w:val="en-US"/>
        </w:rPr>
        <w:t xml:space="preserve"> (Copenhagen region) had been free from the use of mechanical restraint for at least 100 days, without having increased the use of medication.</w:t>
      </w:r>
      <w:r w:rsidR="001A0026">
        <w:rPr>
          <w:rStyle w:val="FootnoteReference"/>
        </w:rPr>
        <w:footnoteReference w:id="71"/>
      </w:r>
    </w:p>
    <w:p w14:paraId="54342A8C" w14:textId="7D4CF696" w:rsidR="00F355C2" w:rsidRPr="001360CF" w:rsidRDefault="00F355C2">
      <w:pPr>
        <w:jc w:val="both"/>
        <w:rPr>
          <w:b/>
          <w:bCs/>
          <w:lang w:val="en-US"/>
        </w:rPr>
      </w:pPr>
      <w:r w:rsidRPr="00F355C2">
        <w:rPr>
          <w:lang w:val="en-US"/>
        </w:rPr>
        <w:t xml:space="preserve">In </w:t>
      </w:r>
      <w:r w:rsidRPr="001360CF">
        <w:rPr>
          <w:b/>
          <w:bCs/>
          <w:lang w:val="en-US"/>
        </w:rPr>
        <w:t>Sweden</w:t>
      </w:r>
      <w:r w:rsidRPr="00F355C2">
        <w:rPr>
          <w:lang w:val="en-US"/>
        </w:rPr>
        <w:t xml:space="preserve">, </w:t>
      </w:r>
      <w:r w:rsidRPr="00F355C2">
        <w:rPr>
          <w:b/>
          <w:bCs/>
          <w:lang w:val="en-US"/>
        </w:rPr>
        <w:t>t</w:t>
      </w:r>
      <w:r w:rsidRPr="001360CF">
        <w:rPr>
          <w:b/>
          <w:bCs/>
          <w:lang w:val="en-US"/>
        </w:rPr>
        <w:t xml:space="preserve">he Human Rights Committee of the region of </w:t>
      </w:r>
      <w:proofErr w:type="spellStart"/>
      <w:r w:rsidRPr="001360CF">
        <w:rPr>
          <w:b/>
          <w:bCs/>
          <w:lang w:val="en-US"/>
        </w:rPr>
        <w:t>Västra</w:t>
      </w:r>
      <w:proofErr w:type="spellEnd"/>
      <w:r w:rsidRPr="001360CF">
        <w:rPr>
          <w:b/>
          <w:bCs/>
          <w:lang w:val="en-US"/>
        </w:rPr>
        <w:t xml:space="preserve"> </w:t>
      </w:r>
      <w:proofErr w:type="spellStart"/>
      <w:r w:rsidRPr="001360CF">
        <w:rPr>
          <w:b/>
          <w:bCs/>
          <w:lang w:val="en-US"/>
        </w:rPr>
        <w:t>Götaland</w:t>
      </w:r>
      <w:proofErr w:type="spellEnd"/>
      <w:r w:rsidRPr="001360CF">
        <w:rPr>
          <w:lang w:val="en-US"/>
        </w:rPr>
        <w:t xml:space="preserve"> introduced a human rights-based approach in a psychiatric ward (of the </w:t>
      </w:r>
      <w:proofErr w:type="spellStart"/>
      <w:r w:rsidRPr="001360CF">
        <w:rPr>
          <w:lang w:val="en-US"/>
        </w:rPr>
        <w:t>Sahlgrenska</w:t>
      </w:r>
      <w:proofErr w:type="spellEnd"/>
      <w:r w:rsidRPr="001360CF">
        <w:rPr>
          <w:lang w:val="en-US"/>
        </w:rPr>
        <w:t xml:space="preserve"> Hospital) for people experiencing psychosis. The pilot project involved the training of service users, as well as their representative </w:t>
      </w:r>
      <w:proofErr w:type="spellStart"/>
      <w:r w:rsidRPr="001360CF">
        <w:rPr>
          <w:lang w:val="en-US"/>
        </w:rPr>
        <w:t>organisations</w:t>
      </w:r>
      <w:proofErr w:type="spellEnd"/>
      <w:r w:rsidRPr="001360CF">
        <w:rPr>
          <w:lang w:val="en-US"/>
        </w:rPr>
        <w:t>, staff members, hospital managers and human rights experts in the field of human rights.</w:t>
      </w:r>
      <w:r w:rsidR="006D3D6A">
        <w:rPr>
          <w:lang w:val="en-US"/>
        </w:rPr>
        <w:t xml:space="preserve"> </w:t>
      </w:r>
      <w:r w:rsidR="006D3D6A" w:rsidRPr="001360CF">
        <w:rPr>
          <w:lang w:val="en-US"/>
        </w:rPr>
        <w:t xml:space="preserve">The aim is to </w:t>
      </w:r>
      <w:r w:rsidR="00C77CC3" w:rsidRPr="001360CF">
        <w:rPr>
          <w:lang w:val="en-US"/>
        </w:rPr>
        <w:t>eliminate</w:t>
      </w:r>
      <w:r w:rsidR="006D3D6A" w:rsidRPr="001360CF">
        <w:rPr>
          <w:lang w:val="en-US"/>
        </w:rPr>
        <w:t xml:space="preserve"> the use of restraint beds, to implement person-</w:t>
      </w:r>
      <w:proofErr w:type="spellStart"/>
      <w:r w:rsidR="006D3D6A" w:rsidRPr="001360CF">
        <w:rPr>
          <w:lang w:val="en-US"/>
        </w:rPr>
        <w:t>centred</w:t>
      </w:r>
      <w:proofErr w:type="spellEnd"/>
      <w:r w:rsidR="006D3D6A" w:rsidRPr="001360CF">
        <w:rPr>
          <w:lang w:val="en-US"/>
        </w:rPr>
        <w:t xml:space="preserve"> and recovery-oriented care and to promote human rights compliant services in the community.</w:t>
      </w:r>
      <w:r w:rsidRPr="001360CF">
        <w:rPr>
          <w:lang w:val="en-US"/>
        </w:rPr>
        <w:t xml:space="preserve"> Evaluation of the project demonstrated </w:t>
      </w:r>
      <w:r w:rsidRPr="00F355C2">
        <w:rPr>
          <w:lang w:val="en-US"/>
        </w:rPr>
        <w:t>a s</w:t>
      </w:r>
      <w:r>
        <w:rPr>
          <w:lang w:val="en-US"/>
        </w:rPr>
        <w:t xml:space="preserve">trong </w:t>
      </w:r>
      <w:r w:rsidRPr="001360CF">
        <w:rPr>
          <w:lang w:val="en-US"/>
        </w:rPr>
        <w:t>decrease in the use of restraint</w:t>
      </w:r>
      <w:r w:rsidRPr="00F355C2">
        <w:rPr>
          <w:lang w:val="en-US"/>
        </w:rPr>
        <w:t xml:space="preserve">, </w:t>
      </w:r>
      <w:r w:rsidRPr="001360CF">
        <w:rPr>
          <w:lang w:val="en-US"/>
        </w:rPr>
        <w:t>fewer forced injections</w:t>
      </w:r>
      <w:r w:rsidRPr="00F355C2">
        <w:rPr>
          <w:lang w:val="en-US"/>
        </w:rPr>
        <w:t>,</w:t>
      </w:r>
      <w:r>
        <w:rPr>
          <w:lang w:val="en-US"/>
        </w:rPr>
        <w:t xml:space="preserve"> </w:t>
      </w:r>
      <w:r w:rsidRPr="001360CF">
        <w:rPr>
          <w:lang w:val="en-US"/>
        </w:rPr>
        <w:t xml:space="preserve">more </w:t>
      </w:r>
      <w:r w:rsidRPr="00F355C2">
        <w:rPr>
          <w:lang w:val="en-US"/>
        </w:rPr>
        <w:t>user-</w:t>
      </w:r>
      <w:r w:rsidRPr="001360CF">
        <w:rPr>
          <w:lang w:val="en-US"/>
        </w:rPr>
        <w:t xml:space="preserve">satisfaction with the service </w:t>
      </w:r>
      <w:r w:rsidRPr="00F355C2">
        <w:rPr>
          <w:lang w:val="en-US"/>
        </w:rPr>
        <w:t xml:space="preserve">and user empowerment. </w:t>
      </w:r>
      <w:r w:rsidRPr="001360CF">
        <w:rPr>
          <w:lang w:val="en-US"/>
        </w:rPr>
        <w:t xml:space="preserve">In this regard, a 2017-2020 Action Plan on </w:t>
      </w:r>
      <w:r w:rsidRPr="001360CF">
        <w:rPr>
          <w:lang w:val="en-US"/>
        </w:rPr>
        <w:lastRenderedPageBreak/>
        <w:t>Human Rights was adopted by the Regional Council including ‘a</w:t>
      </w:r>
      <w:r w:rsidRPr="001360CF">
        <w:rPr>
          <w:b/>
          <w:bCs/>
          <w:lang w:val="en-US"/>
        </w:rPr>
        <w:t xml:space="preserve"> </w:t>
      </w:r>
      <w:r w:rsidRPr="001360CF">
        <w:rPr>
          <w:lang w:val="en-US"/>
        </w:rPr>
        <w:t>vision for zero coercion in psychiatric care’ as a core objective.</w:t>
      </w:r>
      <w:r w:rsidR="001A0026" w:rsidRPr="00A360C0">
        <w:rPr>
          <w:rStyle w:val="FootnoteReference"/>
        </w:rPr>
        <w:footnoteReference w:id="72"/>
      </w:r>
      <w:r w:rsidRPr="001360CF">
        <w:rPr>
          <w:lang w:val="en-US"/>
        </w:rPr>
        <w:t xml:space="preserve"> </w:t>
      </w:r>
    </w:p>
    <w:p w14:paraId="2B6D2837" w14:textId="1A1A515C" w:rsidR="00741339" w:rsidRDefault="00FE5FD9">
      <w:pPr>
        <w:jc w:val="both"/>
        <w:rPr>
          <w:lang w:val="en-US"/>
        </w:rPr>
      </w:pPr>
      <w:r w:rsidRPr="00FE5FD9">
        <w:rPr>
          <w:lang w:val="en-US"/>
        </w:rPr>
        <w:t>The</w:t>
      </w:r>
      <w:r w:rsidRPr="001360CF">
        <w:rPr>
          <w:lang w:val="en-US"/>
        </w:rPr>
        <w:t xml:space="preserve"> </w:t>
      </w:r>
      <w:r w:rsidRPr="001360CF">
        <w:rPr>
          <w:b/>
          <w:bCs/>
          <w:lang w:val="en-US"/>
        </w:rPr>
        <w:t>Spanish region of Andalusia</w:t>
      </w:r>
      <w:r w:rsidRPr="001360CF">
        <w:rPr>
          <w:lang w:val="en-US"/>
        </w:rPr>
        <w:t xml:space="preserve"> adopted a strategy to reduce restraint with a view to its complete elimination. The values underpinning this initiative are the rights of persons with mental health problems and the promotion of their autonomy. The strategy includes the implementation of anticipated treatment plans (advance directives), the need to register data on the use of mechanical restraint, and the provision of training in de-escalation techniques to prevent the use of restraint. In addition, a Protocol on the use of physical and /or mechanical restraint has been developed, aiming to reduce the use of restraint by addressing its legal aspects and using preventive measures and process</w:t>
      </w:r>
      <w:r w:rsidR="002E297C" w:rsidRPr="00A360C0">
        <w:rPr>
          <w:lang w:val="en-US"/>
        </w:rPr>
        <w:t>.</w:t>
      </w:r>
      <w:r w:rsidR="001A0026">
        <w:rPr>
          <w:rStyle w:val="FootnoteReference"/>
          <w:lang w:val="de-DE"/>
        </w:rPr>
        <w:footnoteReference w:id="73"/>
      </w:r>
    </w:p>
    <w:p w14:paraId="7EB00278" w14:textId="4AD89036" w:rsidR="00741339" w:rsidRPr="000343AE" w:rsidRDefault="00741339">
      <w:pPr>
        <w:jc w:val="both"/>
        <w:rPr>
          <w:lang w:val="en-US"/>
        </w:rPr>
      </w:pPr>
      <w:r>
        <w:rPr>
          <w:lang w:val="en-US"/>
        </w:rPr>
        <w:t xml:space="preserve">In addition to practices within mental health care settings, multiple promising examples can be found within </w:t>
      </w:r>
      <w:r w:rsidRPr="00741339">
        <w:rPr>
          <w:b/>
          <w:bCs/>
          <w:lang w:val="en-US"/>
        </w:rPr>
        <w:t>peer-support initiatives such as Intentional Peer Support or peer respite houses</w:t>
      </w:r>
      <w:r>
        <w:rPr>
          <w:lang w:val="en-US"/>
        </w:rPr>
        <w:t xml:space="preserve">. </w:t>
      </w:r>
      <w:r w:rsidRPr="00741339">
        <w:rPr>
          <w:lang w:val="en-US"/>
        </w:rPr>
        <w:t>Such</w:t>
      </w:r>
      <w:r w:rsidRPr="001360CF">
        <w:rPr>
          <w:lang w:val="en-US"/>
        </w:rPr>
        <w:t xml:space="preserve"> houses have been founded in the United States, but have been established in </w:t>
      </w:r>
      <w:r w:rsidRPr="001360CF">
        <w:rPr>
          <w:b/>
          <w:bCs/>
          <w:lang w:val="en-US"/>
        </w:rPr>
        <w:t>Switzerland</w:t>
      </w:r>
      <w:r w:rsidRPr="001360CF">
        <w:rPr>
          <w:lang w:val="en-US"/>
        </w:rPr>
        <w:t xml:space="preserve">, </w:t>
      </w:r>
      <w:r w:rsidRPr="001360CF">
        <w:rPr>
          <w:b/>
          <w:bCs/>
          <w:lang w:val="en-US"/>
        </w:rPr>
        <w:t>Germany</w:t>
      </w:r>
      <w:r w:rsidRPr="00741339">
        <w:rPr>
          <w:lang w:val="en-US"/>
        </w:rPr>
        <w:t xml:space="preserve"> (for example the Bochum Crisis Rooms)</w:t>
      </w:r>
      <w:r w:rsidRPr="001360CF">
        <w:rPr>
          <w:lang w:val="en-US"/>
        </w:rPr>
        <w:t xml:space="preserve">, </w:t>
      </w:r>
      <w:r w:rsidRPr="001360CF">
        <w:rPr>
          <w:b/>
          <w:bCs/>
          <w:lang w:val="en-US"/>
        </w:rPr>
        <w:t>Sweden</w:t>
      </w:r>
      <w:r w:rsidRPr="001360CF">
        <w:rPr>
          <w:lang w:val="en-US"/>
        </w:rPr>
        <w:t xml:space="preserve">, </w:t>
      </w:r>
      <w:r w:rsidRPr="001360CF">
        <w:rPr>
          <w:b/>
          <w:bCs/>
          <w:lang w:val="en-US"/>
        </w:rPr>
        <w:t>Hungary</w:t>
      </w:r>
      <w:r w:rsidRPr="001360CF">
        <w:rPr>
          <w:lang w:val="en-US"/>
        </w:rPr>
        <w:t xml:space="preserve">, </w:t>
      </w:r>
      <w:r w:rsidRPr="001360CF">
        <w:rPr>
          <w:b/>
          <w:bCs/>
          <w:lang w:val="en-US"/>
        </w:rPr>
        <w:t>Denmark</w:t>
      </w:r>
      <w:r w:rsidRPr="001360CF">
        <w:rPr>
          <w:lang w:val="en-US"/>
        </w:rPr>
        <w:t xml:space="preserve">, the </w:t>
      </w:r>
      <w:r w:rsidRPr="001360CF">
        <w:rPr>
          <w:b/>
          <w:bCs/>
          <w:lang w:val="en-US"/>
        </w:rPr>
        <w:t>Netherlands</w:t>
      </w:r>
      <w:r w:rsidRPr="001360CF">
        <w:rPr>
          <w:lang w:val="en-US"/>
        </w:rPr>
        <w:t xml:space="preserve"> and </w:t>
      </w:r>
      <w:r w:rsidRPr="001360CF">
        <w:rPr>
          <w:b/>
          <w:bCs/>
          <w:lang w:val="en-US"/>
        </w:rPr>
        <w:t>France</w:t>
      </w:r>
      <w:r w:rsidRPr="001360CF">
        <w:rPr>
          <w:lang w:val="en-US"/>
        </w:rPr>
        <w:t>.</w:t>
      </w:r>
      <w:r>
        <w:rPr>
          <w:rStyle w:val="FootnoteReference"/>
        </w:rPr>
        <w:footnoteReference w:id="74"/>
      </w:r>
      <w:r w:rsidRPr="001360CF">
        <w:rPr>
          <w:lang w:val="en-US"/>
        </w:rPr>
        <w:t xml:space="preserve"> Respite houses are </w:t>
      </w:r>
      <w:proofErr w:type="spellStart"/>
      <w:r w:rsidRPr="001360CF">
        <w:rPr>
          <w:lang w:val="en-US"/>
        </w:rPr>
        <w:t>characteri</w:t>
      </w:r>
      <w:r w:rsidR="00214FBE">
        <w:rPr>
          <w:lang w:val="en-US"/>
        </w:rPr>
        <w:t>s</w:t>
      </w:r>
      <w:r w:rsidRPr="001360CF">
        <w:rPr>
          <w:lang w:val="en-US"/>
        </w:rPr>
        <w:t>ed</w:t>
      </w:r>
      <w:proofErr w:type="spellEnd"/>
      <w:r w:rsidRPr="001360CF">
        <w:rPr>
          <w:lang w:val="en-US"/>
        </w:rPr>
        <w:t xml:space="preserve"> by non-medical staff, peer support, empowerment of residents and ‘being with’ residents in times of crisis, social networking, and mutual responsibility. They tend to involve a minimal use of psychotropic medication based on personal choices of each resident and mental health services are usually dispensed outside of the respite house. Respite houses aim to increase meaningful choices for recovery and decrease the health system’s reliance on costly, coercive and less person-</w:t>
      </w:r>
      <w:proofErr w:type="spellStart"/>
      <w:r w:rsidRPr="001360CF">
        <w:rPr>
          <w:lang w:val="en-US"/>
        </w:rPr>
        <w:t>centred</w:t>
      </w:r>
      <w:proofErr w:type="spellEnd"/>
      <w:r w:rsidRPr="001360CF">
        <w:rPr>
          <w:lang w:val="en-US"/>
        </w:rPr>
        <w:t xml:space="preserve"> modes of mental health services</w:t>
      </w:r>
      <w:r w:rsidRPr="00741339">
        <w:rPr>
          <w:lang w:val="en-US"/>
        </w:rPr>
        <w:t>.</w:t>
      </w:r>
    </w:p>
    <w:p w14:paraId="70264616" w14:textId="10494111" w:rsidR="004C1ECC" w:rsidRPr="000343AE" w:rsidRDefault="004C1ECC">
      <w:pPr>
        <w:pStyle w:val="Heading1"/>
        <w:jc w:val="both"/>
      </w:pPr>
      <w:bookmarkStart w:id="22" w:name="_Toc55391178"/>
      <w:r w:rsidRPr="000343AE">
        <w:rPr>
          <w:rStyle w:val="Heading1Char"/>
          <w:b/>
        </w:rPr>
        <w:t>Conclusion</w:t>
      </w:r>
      <w:r w:rsidR="000E5B37">
        <w:rPr>
          <w:rStyle w:val="Heading1Char"/>
          <w:b/>
        </w:rPr>
        <w:t>s</w:t>
      </w:r>
      <w:bookmarkEnd w:id="22"/>
    </w:p>
    <w:p w14:paraId="0772297E" w14:textId="71213205" w:rsidR="00B85D75" w:rsidRPr="00A0113E" w:rsidRDefault="00885B18">
      <w:pPr>
        <w:jc w:val="both"/>
        <w:rPr>
          <w:lang w:val="en-US"/>
        </w:rPr>
      </w:pPr>
      <w:r w:rsidRPr="00A0113E">
        <w:rPr>
          <w:lang w:val="en-US"/>
        </w:rPr>
        <w:t>The Vienna Convention on the Law of Treaties and the Court’s own jurisprudence requires the Court take into account relevant international human rights law and reports, and decisions and positions of other Council of Europe organs.</w:t>
      </w:r>
      <w:r w:rsidRPr="00252AE2">
        <w:rPr>
          <w:lang w:val="en-US"/>
        </w:rPr>
        <w:t xml:space="preserve"> </w:t>
      </w:r>
      <w:r w:rsidRPr="0027231C">
        <w:rPr>
          <w:b/>
          <w:bCs/>
          <w:lang w:val="en-US"/>
        </w:rPr>
        <w:t>Autism</w:t>
      </w:r>
      <w:r w:rsidR="00197DFA" w:rsidRPr="0027231C">
        <w:rPr>
          <w:b/>
          <w:bCs/>
          <w:lang w:val="en-US"/>
        </w:rPr>
        <w:t>-</w:t>
      </w:r>
      <w:r w:rsidRPr="001360CF">
        <w:rPr>
          <w:b/>
          <w:bCs/>
          <w:lang w:val="en-US"/>
        </w:rPr>
        <w:t>Europe, the European Disability Forum, Inclusion Europe, the International Disability Alliance and Mental Health Europe respectfully calls on the Court to specifically consider the international convention, reports and decisions referred in this submission, and</w:t>
      </w:r>
      <w:r w:rsidR="00814931" w:rsidRPr="001360CF">
        <w:rPr>
          <w:b/>
          <w:bCs/>
          <w:lang w:val="en-US"/>
        </w:rPr>
        <w:t xml:space="preserve"> to ensure its advisory opinion aligns with those instrument</w:t>
      </w:r>
      <w:r w:rsidR="0060409E" w:rsidRPr="001360CF">
        <w:rPr>
          <w:b/>
          <w:bCs/>
          <w:lang w:val="en-US"/>
        </w:rPr>
        <w:t>s</w:t>
      </w:r>
      <w:r w:rsidRPr="001360CF">
        <w:rPr>
          <w:b/>
          <w:bCs/>
          <w:lang w:val="en-US"/>
        </w:rPr>
        <w:t xml:space="preserve"> </w:t>
      </w:r>
      <w:r w:rsidR="002D28DC" w:rsidRPr="001360CF">
        <w:rPr>
          <w:b/>
          <w:bCs/>
          <w:lang w:val="en-US"/>
        </w:rPr>
        <w:t>.</w:t>
      </w:r>
    </w:p>
    <w:p w14:paraId="08ED84E1" w14:textId="28F2AC0F" w:rsidR="001C3AAB" w:rsidRPr="001360CF" w:rsidRDefault="000E5B37">
      <w:pPr>
        <w:jc w:val="both"/>
        <w:rPr>
          <w:lang w:val="en-US"/>
        </w:rPr>
      </w:pPr>
      <w:r w:rsidRPr="00A0113E">
        <w:rPr>
          <w:lang w:val="en-GB"/>
        </w:rPr>
        <w:t>The latest developments of international human rights law</w:t>
      </w:r>
      <w:r w:rsidR="002D28DC" w:rsidRPr="00A0113E">
        <w:rPr>
          <w:lang w:val="en-GB"/>
        </w:rPr>
        <w:t xml:space="preserve"> and within the Council of Europe</w:t>
      </w:r>
      <w:r w:rsidRPr="00A0113E">
        <w:rPr>
          <w:lang w:val="en-GB"/>
        </w:rPr>
        <w:t xml:space="preserve"> demonstrate that States cannot evade nor delay their duties</w:t>
      </w:r>
      <w:r w:rsidR="001C3AAB" w:rsidRPr="00A0113E">
        <w:rPr>
          <w:lang w:val="en-GB"/>
        </w:rPr>
        <w:t xml:space="preserve"> to prohibit involuntary placement and treatment in psychiatry in Europe.</w:t>
      </w:r>
      <w:r w:rsidR="00B85D75" w:rsidRPr="00A0113E">
        <w:rPr>
          <w:lang w:val="en-GB"/>
        </w:rPr>
        <w:t xml:space="preserve"> Such coercive measures have been recognised to constitute forms of discrimination and violate the rights of persons with perceive</w:t>
      </w:r>
      <w:r w:rsidR="00197DFA" w:rsidRPr="00A0113E">
        <w:rPr>
          <w:lang w:val="en-GB"/>
        </w:rPr>
        <w:t>d</w:t>
      </w:r>
      <w:r w:rsidR="00B85D75" w:rsidRPr="00252AE2">
        <w:rPr>
          <w:lang w:val="en-GB"/>
        </w:rPr>
        <w:t xml:space="preserve"> or a</w:t>
      </w:r>
      <w:r w:rsidR="009F4688" w:rsidRPr="00B82369">
        <w:rPr>
          <w:lang w:val="en-GB"/>
        </w:rPr>
        <w:t>ctual</w:t>
      </w:r>
      <w:r w:rsidR="00B85D75" w:rsidRPr="00B82369">
        <w:rPr>
          <w:lang w:val="en-GB"/>
        </w:rPr>
        <w:t xml:space="preserve"> mental health </w:t>
      </w:r>
      <w:r w:rsidR="00197DFA" w:rsidRPr="00B82369">
        <w:rPr>
          <w:lang w:val="en-GB"/>
        </w:rPr>
        <w:t>problems</w:t>
      </w:r>
      <w:r w:rsidR="00B85D75" w:rsidRPr="00B82369">
        <w:rPr>
          <w:lang w:val="en-GB"/>
        </w:rPr>
        <w:t>, including persons with psychosocial disabilities, persons with intellectual disabilities and autistic people, of equal recognition before the law, liberty and security, freedom from torture and ill-treatment, and living in the community.</w:t>
      </w:r>
      <w:r w:rsidR="001C3AAB" w:rsidRPr="00B82369">
        <w:rPr>
          <w:lang w:val="en-GB"/>
        </w:rPr>
        <w:t xml:space="preserve"> </w:t>
      </w:r>
      <w:bookmarkStart w:id="23" w:name="_Hlk54866844"/>
      <w:r w:rsidR="001C3AAB" w:rsidRPr="00B82369">
        <w:rPr>
          <w:b/>
          <w:bCs/>
          <w:lang w:val="en-US"/>
        </w:rPr>
        <w:t>Autism</w:t>
      </w:r>
      <w:r w:rsidR="00197DFA" w:rsidRPr="00B82369">
        <w:rPr>
          <w:b/>
          <w:bCs/>
          <w:lang w:val="en-US"/>
        </w:rPr>
        <w:t>-</w:t>
      </w:r>
      <w:r w:rsidR="001C3AAB" w:rsidRPr="00B82369">
        <w:rPr>
          <w:b/>
          <w:bCs/>
          <w:lang w:val="en-US"/>
        </w:rPr>
        <w:t xml:space="preserve">Europe, the European Disability Forum, Inclusion Europe, the International Disability Alliance and Mental Health Europe </w:t>
      </w:r>
      <w:r w:rsidR="00B82369" w:rsidRPr="00B82369">
        <w:rPr>
          <w:b/>
          <w:bCs/>
          <w:lang w:val="en-US"/>
        </w:rPr>
        <w:t xml:space="preserve">undersigned organizations request Court to move beyond its current jurisprudence and endorse CRPD standards under Article 14 of the CRPD, in line with the 46 ratifications by members of the Council of Europe and other process at the European level. </w:t>
      </w:r>
      <w:bookmarkEnd w:id="23"/>
    </w:p>
    <w:sectPr w:rsidR="001C3AAB" w:rsidRPr="001360CF" w:rsidSect="00B94A09">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5A1DA" w14:textId="77777777" w:rsidR="000D7BA9" w:rsidRDefault="000D7BA9" w:rsidP="00E001D1">
      <w:pPr>
        <w:spacing w:after="0"/>
      </w:pPr>
      <w:r>
        <w:separator/>
      </w:r>
    </w:p>
  </w:endnote>
  <w:endnote w:type="continuationSeparator" w:id="0">
    <w:p w14:paraId="1C0D0D4B" w14:textId="77777777" w:rsidR="000D7BA9" w:rsidRDefault="000D7BA9" w:rsidP="00E001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9590056"/>
      <w:docPartObj>
        <w:docPartGallery w:val="Page Numbers (Bottom of Page)"/>
        <w:docPartUnique/>
      </w:docPartObj>
    </w:sdtPr>
    <w:sdtEndPr>
      <w:rPr>
        <w:noProof/>
      </w:rPr>
    </w:sdtEndPr>
    <w:sdtContent>
      <w:p w14:paraId="51495D07" w14:textId="5DD71C8C" w:rsidR="00DA48C6" w:rsidRDefault="00DA48C6">
        <w:pPr>
          <w:pStyle w:val="Footer"/>
          <w:jc w:val="center"/>
        </w:pPr>
        <w:r>
          <w:fldChar w:fldCharType="begin"/>
        </w:r>
        <w:r>
          <w:instrText xml:space="preserve"> PAGE   \* MERGEFORMAT </w:instrText>
        </w:r>
        <w:r>
          <w:fldChar w:fldCharType="separate"/>
        </w:r>
        <w:r w:rsidR="00C2666A">
          <w:rPr>
            <w:noProof/>
          </w:rPr>
          <w:t>10</w:t>
        </w:r>
        <w:r>
          <w:rPr>
            <w:noProof/>
          </w:rPr>
          <w:fldChar w:fldCharType="end"/>
        </w:r>
      </w:p>
    </w:sdtContent>
  </w:sdt>
  <w:p w14:paraId="6CEBE128" w14:textId="77777777" w:rsidR="00DA48C6" w:rsidRDefault="00DA4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4EED3" w14:textId="77777777" w:rsidR="000D7BA9" w:rsidRDefault="000D7BA9" w:rsidP="00E001D1">
      <w:pPr>
        <w:spacing w:after="0"/>
      </w:pPr>
      <w:r>
        <w:separator/>
      </w:r>
    </w:p>
  </w:footnote>
  <w:footnote w:type="continuationSeparator" w:id="0">
    <w:p w14:paraId="37CFA0A7" w14:textId="77777777" w:rsidR="000D7BA9" w:rsidRDefault="000D7BA9" w:rsidP="00E001D1">
      <w:pPr>
        <w:spacing w:after="0"/>
      </w:pPr>
      <w:r>
        <w:continuationSeparator/>
      </w:r>
    </w:p>
  </w:footnote>
  <w:footnote w:id="1">
    <w:p w14:paraId="1148359E" w14:textId="6045F429" w:rsidR="0042294E" w:rsidRPr="001360CF" w:rsidRDefault="0042294E" w:rsidP="00905E44">
      <w:pPr>
        <w:pStyle w:val="FootnoteText"/>
        <w:jc w:val="both"/>
        <w:rPr>
          <w:sz w:val="18"/>
          <w:szCs w:val="18"/>
          <w:lang w:val="en-US"/>
        </w:rPr>
      </w:pPr>
      <w:r w:rsidRPr="001360CF">
        <w:rPr>
          <w:rStyle w:val="FootnoteReference"/>
          <w:sz w:val="18"/>
          <w:szCs w:val="18"/>
        </w:rPr>
        <w:footnoteRef/>
      </w:r>
      <w:r w:rsidRPr="001360CF">
        <w:rPr>
          <w:sz w:val="18"/>
          <w:szCs w:val="18"/>
          <w:lang w:val="en-US"/>
        </w:rPr>
        <w:t xml:space="preserve"> </w:t>
      </w:r>
      <w:r w:rsidRPr="001360CF">
        <w:rPr>
          <w:i/>
          <w:iCs/>
          <w:sz w:val="18"/>
          <w:szCs w:val="18"/>
          <w:lang w:val="en-US"/>
        </w:rPr>
        <w:t xml:space="preserve">Demir and </w:t>
      </w:r>
      <w:proofErr w:type="spellStart"/>
      <w:r w:rsidRPr="001360CF">
        <w:rPr>
          <w:i/>
          <w:iCs/>
          <w:sz w:val="18"/>
          <w:szCs w:val="18"/>
          <w:lang w:val="en-US"/>
        </w:rPr>
        <w:t>Baykara</w:t>
      </w:r>
      <w:proofErr w:type="spellEnd"/>
      <w:r w:rsidRPr="001360CF">
        <w:rPr>
          <w:i/>
          <w:iCs/>
          <w:sz w:val="18"/>
          <w:szCs w:val="18"/>
          <w:lang w:val="en-US"/>
        </w:rPr>
        <w:t xml:space="preserve"> v. Turkey</w:t>
      </w:r>
      <w:r w:rsidRPr="001360CF">
        <w:rPr>
          <w:sz w:val="18"/>
          <w:szCs w:val="18"/>
          <w:lang w:val="en-US"/>
        </w:rPr>
        <w:t xml:space="preserve"> [GC] (2008) Application no. 34503/97, paragraphs 65–66.</w:t>
      </w:r>
    </w:p>
  </w:footnote>
  <w:footnote w:id="2">
    <w:p w14:paraId="4F97558A" w14:textId="77777777" w:rsidR="0019126D" w:rsidRPr="001360CF" w:rsidRDefault="0019126D" w:rsidP="00905E44">
      <w:pPr>
        <w:pStyle w:val="FootnoteText"/>
        <w:jc w:val="both"/>
        <w:rPr>
          <w:sz w:val="18"/>
          <w:szCs w:val="18"/>
          <w:lang w:val="en-US"/>
        </w:rPr>
      </w:pPr>
      <w:r w:rsidRPr="001360CF">
        <w:rPr>
          <w:rStyle w:val="FootnoteReference"/>
          <w:sz w:val="18"/>
          <w:szCs w:val="18"/>
        </w:rPr>
        <w:footnoteRef/>
      </w:r>
      <w:r w:rsidRPr="001360CF">
        <w:rPr>
          <w:sz w:val="18"/>
          <w:szCs w:val="18"/>
          <w:lang w:val="en-US"/>
        </w:rPr>
        <w:t xml:space="preserve"> </w:t>
      </w:r>
      <w:r w:rsidRPr="001360CF">
        <w:rPr>
          <w:rFonts w:cs="Arial"/>
          <w:i/>
          <w:sz w:val="18"/>
          <w:szCs w:val="18"/>
          <w:lang w:val="en-US"/>
        </w:rPr>
        <w:t>Opuz v Turkey</w:t>
      </w:r>
      <w:r w:rsidRPr="001360CF">
        <w:rPr>
          <w:rFonts w:cs="Arial"/>
          <w:sz w:val="18"/>
          <w:szCs w:val="18"/>
          <w:lang w:val="en-US"/>
        </w:rPr>
        <w:t>, Application no 33401/02, judgment of 9 June 2009, para 164.</w:t>
      </w:r>
    </w:p>
  </w:footnote>
  <w:footnote w:id="3">
    <w:p w14:paraId="09D89239" w14:textId="5EB72CCB" w:rsidR="0042294E" w:rsidRPr="001360CF" w:rsidRDefault="0042294E" w:rsidP="00905E44">
      <w:pPr>
        <w:pStyle w:val="FootnoteText"/>
        <w:jc w:val="both"/>
        <w:rPr>
          <w:sz w:val="18"/>
          <w:szCs w:val="18"/>
          <w:lang w:val="en-US"/>
        </w:rPr>
      </w:pPr>
      <w:r w:rsidRPr="001360CF">
        <w:rPr>
          <w:rStyle w:val="FootnoteReference"/>
          <w:sz w:val="18"/>
          <w:szCs w:val="18"/>
        </w:rPr>
        <w:footnoteRef/>
      </w:r>
      <w:r w:rsidRPr="001360CF">
        <w:rPr>
          <w:sz w:val="18"/>
          <w:szCs w:val="18"/>
          <w:lang w:val="en-US"/>
        </w:rPr>
        <w:t xml:space="preserve"> </w:t>
      </w:r>
      <w:r w:rsidRPr="001360CF">
        <w:rPr>
          <w:i/>
          <w:iCs/>
          <w:sz w:val="18"/>
          <w:szCs w:val="18"/>
          <w:lang w:val="en-US"/>
        </w:rPr>
        <w:t>Tanase v. Moldova</w:t>
      </w:r>
      <w:r w:rsidRPr="001360CF">
        <w:rPr>
          <w:sz w:val="18"/>
          <w:szCs w:val="18"/>
          <w:lang w:val="en-US"/>
        </w:rPr>
        <w:t>, [GC], Application no. 7/08, paragraph 176.</w:t>
      </w:r>
    </w:p>
  </w:footnote>
  <w:footnote w:id="4">
    <w:p w14:paraId="2619B0C6" w14:textId="77777777" w:rsidR="0019126D" w:rsidRPr="001360CF" w:rsidRDefault="0019126D" w:rsidP="00905E44">
      <w:pPr>
        <w:pStyle w:val="FootnoteText"/>
        <w:jc w:val="both"/>
        <w:rPr>
          <w:sz w:val="18"/>
          <w:szCs w:val="18"/>
          <w:lang w:val="en-US"/>
        </w:rPr>
      </w:pPr>
      <w:r w:rsidRPr="001360CF">
        <w:rPr>
          <w:rStyle w:val="FootnoteReference"/>
          <w:sz w:val="18"/>
          <w:szCs w:val="18"/>
        </w:rPr>
        <w:footnoteRef/>
      </w:r>
      <w:r w:rsidRPr="001360CF">
        <w:rPr>
          <w:sz w:val="18"/>
          <w:szCs w:val="18"/>
          <w:lang w:val="en-US"/>
        </w:rPr>
        <w:t xml:space="preserve"> </w:t>
      </w:r>
      <w:r w:rsidRPr="001360CF">
        <w:rPr>
          <w:rFonts w:cs="Arial"/>
          <w:sz w:val="18"/>
          <w:szCs w:val="18"/>
          <w:lang w:val="en-US"/>
        </w:rPr>
        <w:t>Convention on the Rights of Persons with Disabilities, adopted Jan. 24, 2007, art. 3, G.A. Res. 61/106, U.N. Doc. A/RES/61/106.</w:t>
      </w:r>
    </w:p>
  </w:footnote>
  <w:footnote w:id="5">
    <w:p w14:paraId="429F637D" w14:textId="77777777" w:rsidR="0019126D" w:rsidRPr="001360CF" w:rsidRDefault="0019126D" w:rsidP="00905E44">
      <w:pPr>
        <w:pStyle w:val="FootnoteText"/>
        <w:jc w:val="both"/>
        <w:rPr>
          <w:rFonts w:cs="Arial"/>
          <w:sz w:val="18"/>
          <w:szCs w:val="18"/>
          <w:lang w:val="en-US"/>
        </w:rPr>
      </w:pPr>
      <w:r w:rsidRPr="001360CF">
        <w:rPr>
          <w:rStyle w:val="FootnoteReference"/>
          <w:sz w:val="18"/>
          <w:szCs w:val="18"/>
        </w:rPr>
        <w:footnoteRef/>
      </w:r>
      <w:r w:rsidRPr="001360CF">
        <w:rPr>
          <w:sz w:val="18"/>
          <w:szCs w:val="18"/>
          <w:lang w:val="en-US"/>
        </w:rPr>
        <w:t xml:space="preserve"> </w:t>
      </w:r>
      <w:r w:rsidRPr="001360CF">
        <w:rPr>
          <w:rFonts w:cs="Arial"/>
          <w:sz w:val="18"/>
          <w:szCs w:val="18"/>
          <w:lang w:val="en-US"/>
        </w:rPr>
        <w:t>Liechtenstein has neither signed nor ratified the CRPD.</w:t>
      </w:r>
    </w:p>
  </w:footnote>
  <w:footnote w:id="6">
    <w:p w14:paraId="581D84F0" w14:textId="77777777" w:rsidR="002E3F90" w:rsidRPr="001360CF" w:rsidRDefault="002E3F90" w:rsidP="00905E44">
      <w:pPr>
        <w:widowControl w:val="0"/>
        <w:autoSpaceDE w:val="0"/>
        <w:autoSpaceDN w:val="0"/>
        <w:adjustRightInd w:val="0"/>
        <w:spacing w:after="0"/>
        <w:jc w:val="both"/>
        <w:rPr>
          <w:rFonts w:cs="Arial"/>
          <w:color w:val="000000"/>
          <w:sz w:val="18"/>
          <w:szCs w:val="18"/>
          <w:lang w:val="en-US"/>
        </w:rPr>
      </w:pPr>
      <w:r w:rsidRPr="001360CF">
        <w:rPr>
          <w:rStyle w:val="FootnoteReference"/>
          <w:rFonts w:cs="Arial"/>
          <w:sz w:val="18"/>
          <w:szCs w:val="18"/>
        </w:rPr>
        <w:footnoteRef/>
      </w:r>
      <w:r w:rsidRPr="001360CF">
        <w:rPr>
          <w:rFonts w:cs="Arial"/>
          <w:sz w:val="18"/>
          <w:szCs w:val="18"/>
          <w:lang w:val="en-US"/>
        </w:rPr>
        <w:t xml:space="preserve"> </w:t>
      </w:r>
      <w:r w:rsidRPr="001360CF">
        <w:rPr>
          <w:rFonts w:cs="Arial"/>
          <w:i/>
          <w:color w:val="000000"/>
          <w:sz w:val="18"/>
          <w:szCs w:val="18"/>
          <w:lang w:val="en-US"/>
        </w:rPr>
        <w:t>See</w:t>
      </w:r>
      <w:r w:rsidRPr="001360CF">
        <w:rPr>
          <w:rFonts w:cs="Arial"/>
          <w:color w:val="000000"/>
          <w:sz w:val="18"/>
          <w:szCs w:val="18"/>
          <w:lang w:val="en-US"/>
        </w:rPr>
        <w:t xml:space="preserve"> CRPD, Preamble, para e.</w:t>
      </w:r>
    </w:p>
  </w:footnote>
  <w:footnote w:id="7">
    <w:p w14:paraId="689C774E" w14:textId="77777777" w:rsidR="005143BC" w:rsidRPr="001360CF" w:rsidRDefault="005143BC" w:rsidP="00905E44">
      <w:pPr>
        <w:widowControl w:val="0"/>
        <w:autoSpaceDE w:val="0"/>
        <w:autoSpaceDN w:val="0"/>
        <w:adjustRightInd w:val="0"/>
        <w:spacing w:after="0"/>
        <w:jc w:val="both"/>
        <w:rPr>
          <w:rFonts w:cs="Arial"/>
          <w:color w:val="000000"/>
          <w:sz w:val="18"/>
          <w:szCs w:val="18"/>
          <w:lang w:val="en-US"/>
        </w:rPr>
      </w:pPr>
      <w:r w:rsidRPr="001360CF">
        <w:rPr>
          <w:rStyle w:val="FootnoteReference"/>
          <w:rFonts w:cs="Arial"/>
          <w:sz w:val="18"/>
          <w:szCs w:val="18"/>
        </w:rPr>
        <w:footnoteRef/>
      </w:r>
      <w:r w:rsidRPr="001360CF">
        <w:rPr>
          <w:rFonts w:cs="Arial"/>
          <w:sz w:val="18"/>
          <w:szCs w:val="18"/>
          <w:lang w:val="en-US"/>
        </w:rPr>
        <w:t xml:space="preserve"> </w:t>
      </w:r>
      <w:r w:rsidRPr="001360CF">
        <w:rPr>
          <w:rFonts w:cs="Arial"/>
          <w:i/>
          <w:color w:val="000000"/>
          <w:sz w:val="18"/>
          <w:szCs w:val="18"/>
          <w:lang w:val="en-US"/>
        </w:rPr>
        <w:t>See</w:t>
      </w:r>
      <w:r w:rsidRPr="001360CF">
        <w:rPr>
          <w:rFonts w:cs="Arial"/>
          <w:color w:val="000000"/>
          <w:sz w:val="18"/>
          <w:szCs w:val="18"/>
          <w:lang w:val="en-US"/>
        </w:rPr>
        <w:t xml:space="preserve"> CRPD, Article 5(4).</w:t>
      </w:r>
    </w:p>
  </w:footnote>
  <w:footnote w:id="8">
    <w:p w14:paraId="5D9251C0" w14:textId="079053CA" w:rsidR="006318F9" w:rsidRPr="001360CF" w:rsidRDefault="006318F9" w:rsidP="00905E44">
      <w:pPr>
        <w:pStyle w:val="FootnoteText"/>
        <w:jc w:val="both"/>
        <w:rPr>
          <w:sz w:val="18"/>
          <w:szCs w:val="18"/>
          <w:lang w:val="en-US"/>
        </w:rPr>
      </w:pPr>
      <w:r w:rsidRPr="001360CF">
        <w:rPr>
          <w:rStyle w:val="FootnoteReference"/>
          <w:sz w:val="18"/>
          <w:szCs w:val="18"/>
        </w:rPr>
        <w:footnoteRef/>
      </w:r>
      <w:r w:rsidRPr="001360CF">
        <w:rPr>
          <w:sz w:val="18"/>
          <w:szCs w:val="18"/>
          <w:lang w:val="en-US"/>
        </w:rPr>
        <w:t xml:space="preserve"> </w:t>
      </w:r>
      <w:r w:rsidRPr="001360CF">
        <w:rPr>
          <w:sz w:val="18"/>
          <w:szCs w:val="18"/>
          <w:lang w:val="en-GB"/>
        </w:rPr>
        <w:t>Persons with psychosocial disabilities have been defined as “</w:t>
      </w:r>
      <w:r w:rsidRPr="001360CF">
        <w:rPr>
          <w:i/>
          <w:iCs/>
          <w:sz w:val="18"/>
          <w:szCs w:val="18"/>
          <w:lang w:val="en-US"/>
        </w:rPr>
        <w:t>persons who, regardless of self-identification or diagnosis of a mental health condition, face restrictions in the exercise of their rights and barriers to participation on the basis of an actual or perceived impairment</w:t>
      </w:r>
      <w:r w:rsidRPr="001360CF">
        <w:rPr>
          <w:sz w:val="18"/>
          <w:szCs w:val="18"/>
          <w:lang w:val="en-US"/>
        </w:rPr>
        <w:t>.” Resolution adopted by the Human Rights Council on 28 September 2017 (A/HRC/RES/36/13).</w:t>
      </w:r>
    </w:p>
  </w:footnote>
  <w:footnote w:id="9">
    <w:p w14:paraId="5AFBB7F4" w14:textId="71BE390B" w:rsidR="00B90A55" w:rsidRPr="001360CF" w:rsidRDefault="00B90A55" w:rsidP="00905E44">
      <w:pPr>
        <w:pStyle w:val="FootnoteText"/>
        <w:jc w:val="both"/>
        <w:rPr>
          <w:sz w:val="18"/>
          <w:szCs w:val="18"/>
          <w:lang w:val="en-US"/>
        </w:rPr>
      </w:pPr>
      <w:r w:rsidRPr="001360CF">
        <w:rPr>
          <w:rStyle w:val="FootnoteReference"/>
          <w:sz w:val="18"/>
          <w:szCs w:val="18"/>
        </w:rPr>
        <w:footnoteRef/>
      </w:r>
      <w:r w:rsidRPr="001360CF">
        <w:rPr>
          <w:sz w:val="18"/>
          <w:szCs w:val="18"/>
          <w:lang w:val="en-US"/>
        </w:rPr>
        <w:t xml:space="preserve"> </w:t>
      </w:r>
      <w:bookmarkStart w:id="6" w:name="_Hlk54859022"/>
      <w:r w:rsidR="0063415D" w:rsidRPr="001360CF">
        <w:rPr>
          <w:sz w:val="18"/>
          <w:szCs w:val="18"/>
          <w:lang w:val="en-US"/>
        </w:rPr>
        <w:t xml:space="preserve">Guidelines on article 14 of the Convention on the right to liberty and security of persons with disabilities (A/7255, annex). </w:t>
      </w:r>
      <w:bookmarkEnd w:id="6"/>
    </w:p>
  </w:footnote>
  <w:footnote w:id="10">
    <w:p w14:paraId="78162AB2" w14:textId="33AA41E8" w:rsidR="003618DD" w:rsidRPr="001360CF" w:rsidRDefault="003618DD" w:rsidP="00905E44">
      <w:pPr>
        <w:pStyle w:val="FootnoteText"/>
        <w:jc w:val="both"/>
        <w:rPr>
          <w:sz w:val="18"/>
          <w:szCs w:val="18"/>
          <w:lang w:val="en-US"/>
        </w:rPr>
      </w:pPr>
      <w:r w:rsidRPr="001360CF">
        <w:rPr>
          <w:rStyle w:val="FootnoteReference"/>
          <w:sz w:val="18"/>
          <w:szCs w:val="18"/>
        </w:rPr>
        <w:footnoteRef/>
      </w:r>
      <w:r w:rsidRPr="001360CF">
        <w:rPr>
          <w:sz w:val="18"/>
          <w:szCs w:val="18"/>
          <w:lang w:val="en-US"/>
        </w:rPr>
        <w:t xml:space="preserve"> The Committee stated that “involuntary commitment in mental health facilities carries with it the denial of the person’s legal capacity to decide about care, treatment and admission to a hospital or institution, and therefore violates article 12 in conjunction with article 14.” </w:t>
      </w:r>
      <w:r w:rsidR="0063415D" w:rsidRPr="001360CF">
        <w:rPr>
          <w:sz w:val="18"/>
          <w:szCs w:val="18"/>
          <w:lang w:val="en-US"/>
        </w:rPr>
        <w:t>Guidelines on article 14 of the Convention on the right to liberty and security of persons with disabilities (A/7255, annex), paragraph</w:t>
      </w:r>
      <w:r w:rsidRPr="001360CF">
        <w:rPr>
          <w:sz w:val="18"/>
          <w:szCs w:val="18"/>
          <w:lang w:val="en-US"/>
        </w:rPr>
        <w:t xml:space="preserve"> 10</w:t>
      </w:r>
      <w:r w:rsidR="0063415D" w:rsidRPr="001360CF">
        <w:rPr>
          <w:sz w:val="18"/>
          <w:szCs w:val="18"/>
          <w:lang w:val="en-US"/>
        </w:rPr>
        <w:t xml:space="preserve">. </w:t>
      </w:r>
    </w:p>
  </w:footnote>
  <w:footnote w:id="11">
    <w:p w14:paraId="3F38B278" w14:textId="29062A65" w:rsidR="003618DD" w:rsidRPr="001360CF" w:rsidRDefault="003618DD" w:rsidP="00905E44">
      <w:pPr>
        <w:pStyle w:val="FootnoteText"/>
        <w:jc w:val="both"/>
        <w:rPr>
          <w:sz w:val="18"/>
          <w:szCs w:val="18"/>
          <w:lang w:val="en-US"/>
        </w:rPr>
      </w:pPr>
      <w:r w:rsidRPr="001360CF">
        <w:rPr>
          <w:rStyle w:val="FootnoteReference"/>
          <w:sz w:val="18"/>
          <w:szCs w:val="18"/>
        </w:rPr>
        <w:footnoteRef/>
      </w:r>
      <w:r w:rsidRPr="001360CF">
        <w:rPr>
          <w:sz w:val="18"/>
          <w:szCs w:val="18"/>
          <w:lang w:val="en-US"/>
        </w:rPr>
        <w:t xml:space="preserve"> </w:t>
      </w:r>
      <w:r w:rsidR="00F574E1" w:rsidRPr="001360CF">
        <w:rPr>
          <w:sz w:val="18"/>
          <w:szCs w:val="18"/>
          <w:lang w:val="en-US"/>
        </w:rPr>
        <w:t xml:space="preserve">Ibid. </w:t>
      </w:r>
    </w:p>
  </w:footnote>
  <w:footnote w:id="12">
    <w:p w14:paraId="12920DD1" w14:textId="407BCD61" w:rsidR="00EF54E3" w:rsidRPr="001360CF" w:rsidRDefault="00EF54E3" w:rsidP="00905E44">
      <w:pPr>
        <w:pStyle w:val="FootnoteText"/>
        <w:jc w:val="both"/>
        <w:rPr>
          <w:sz w:val="18"/>
          <w:szCs w:val="18"/>
          <w:lang w:val="en-US"/>
        </w:rPr>
      </w:pPr>
      <w:r w:rsidRPr="001360CF">
        <w:rPr>
          <w:rStyle w:val="FootnoteReference"/>
          <w:sz w:val="18"/>
          <w:szCs w:val="18"/>
        </w:rPr>
        <w:footnoteRef/>
      </w:r>
      <w:r w:rsidRPr="001360CF">
        <w:rPr>
          <w:sz w:val="18"/>
          <w:szCs w:val="18"/>
          <w:lang w:val="en-US"/>
        </w:rPr>
        <w:t xml:space="preserve"> </w:t>
      </w:r>
      <w:r w:rsidR="0063415D" w:rsidRPr="001360CF">
        <w:rPr>
          <w:sz w:val="18"/>
          <w:szCs w:val="18"/>
          <w:lang w:val="en-US"/>
        </w:rPr>
        <w:t xml:space="preserve">Ibid paragraph 12. </w:t>
      </w:r>
    </w:p>
  </w:footnote>
  <w:footnote w:id="13">
    <w:p w14:paraId="7A0D6457" w14:textId="0C088C25" w:rsidR="003618DD" w:rsidRPr="001360CF" w:rsidRDefault="003618DD" w:rsidP="00905E44">
      <w:pPr>
        <w:pStyle w:val="FootnoteText"/>
        <w:jc w:val="both"/>
        <w:rPr>
          <w:sz w:val="18"/>
          <w:szCs w:val="18"/>
          <w:lang w:val="en-US"/>
        </w:rPr>
      </w:pPr>
      <w:r w:rsidRPr="001360CF">
        <w:rPr>
          <w:rStyle w:val="FootnoteReference"/>
          <w:sz w:val="18"/>
          <w:szCs w:val="18"/>
        </w:rPr>
        <w:footnoteRef/>
      </w:r>
      <w:r w:rsidRPr="001360CF">
        <w:rPr>
          <w:sz w:val="18"/>
          <w:szCs w:val="18"/>
          <w:lang w:val="en-US"/>
        </w:rPr>
        <w:t xml:space="preserve"> </w:t>
      </w:r>
      <w:r w:rsidR="0063415D" w:rsidRPr="001360CF">
        <w:rPr>
          <w:sz w:val="18"/>
          <w:szCs w:val="18"/>
          <w:lang w:val="en-US"/>
        </w:rPr>
        <w:t xml:space="preserve">Ibid paragraph 14. </w:t>
      </w:r>
      <w:r w:rsidR="0071486F" w:rsidRPr="001360CF">
        <w:rPr>
          <w:sz w:val="18"/>
          <w:szCs w:val="18"/>
          <w:lang w:val="en-US"/>
        </w:rPr>
        <w:t xml:space="preserve"> </w:t>
      </w:r>
    </w:p>
  </w:footnote>
  <w:footnote w:id="14">
    <w:p w14:paraId="6E43DEEB" w14:textId="1E54FEF9" w:rsidR="00EC003E" w:rsidRPr="001360CF" w:rsidRDefault="00EC003E" w:rsidP="00905E44">
      <w:pPr>
        <w:pStyle w:val="FootnoteText"/>
        <w:jc w:val="both"/>
        <w:rPr>
          <w:sz w:val="18"/>
          <w:szCs w:val="18"/>
          <w:lang w:val="en-US"/>
        </w:rPr>
      </w:pPr>
      <w:r w:rsidRPr="001360CF">
        <w:rPr>
          <w:rStyle w:val="FootnoteReference"/>
          <w:sz w:val="18"/>
          <w:szCs w:val="18"/>
        </w:rPr>
        <w:footnoteRef/>
      </w:r>
      <w:r w:rsidRPr="001360CF">
        <w:rPr>
          <w:sz w:val="18"/>
          <w:szCs w:val="18"/>
          <w:lang w:val="en-US"/>
        </w:rPr>
        <w:t xml:space="preserve"> Human Rights Council resolution on Mental health and human rights (A/HRC/43/L.19).</w:t>
      </w:r>
    </w:p>
  </w:footnote>
  <w:footnote w:id="15">
    <w:p w14:paraId="3B6C7F9D" w14:textId="09F53092" w:rsidR="00EC003E" w:rsidRPr="001360CF" w:rsidRDefault="00EC003E" w:rsidP="00905E44">
      <w:pPr>
        <w:pStyle w:val="FootnoteText"/>
        <w:jc w:val="both"/>
        <w:rPr>
          <w:sz w:val="18"/>
          <w:szCs w:val="18"/>
          <w:lang w:val="en-US"/>
        </w:rPr>
      </w:pPr>
      <w:r w:rsidRPr="001360CF">
        <w:rPr>
          <w:rStyle w:val="FootnoteReference"/>
          <w:sz w:val="18"/>
          <w:szCs w:val="18"/>
        </w:rPr>
        <w:footnoteRef/>
      </w:r>
      <w:r w:rsidRPr="001360CF">
        <w:rPr>
          <w:sz w:val="18"/>
          <w:szCs w:val="18"/>
          <w:lang w:val="en-US"/>
        </w:rPr>
        <w:t xml:space="preserve"> Ibid, preamble, page 2. </w:t>
      </w:r>
    </w:p>
  </w:footnote>
  <w:footnote w:id="16">
    <w:p w14:paraId="70155A0B" w14:textId="77777777" w:rsidR="0019608F" w:rsidRPr="001360CF" w:rsidRDefault="0019608F" w:rsidP="00905E44">
      <w:pPr>
        <w:pStyle w:val="FootnoteText"/>
        <w:jc w:val="both"/>
        <w:rPr>
          <w:sz w:val="18"/>
          <w:szCs w:val="18"/>
          <w:lang w:val="en-US"/>
        </w:rPr>
      </w:pPr>
      <w:r w:rsidRPr="001360CF">
        <w:rPr>
          <w:rStyle w:val="FootnoteReference"/>
          <w:sz w:val="18"/>
          <w:szCs w:val="18"/>
        </w:rPr>
        <w:footnoteRef/>
      </w:r>
      <w:r w:rsidRPr="001360CF">
        <w:rPr>
          <w:sz w:val="18"/>
          <w:szCs w:val="18"/>
          <w:lang w:val="en-US"/>
        </w:rPr>
        <w:t xml:space="preserve"> Ibid, paragraph 7. </w:t>
      </w:r>
    </w:p>
  </w:footnote>
  <w:footnote w:id="17">
    <w:p w14:paraId="6D5B39B4" w14:textId="21FB6140" w:rsidR="0019608F" w:rsidRPr="001360CF" w:rsidRDefault="0019608F" w:rsidP="00905E44">
      <w:pPr>
        <w:pStyle w:val="FootnoteText"/>
        <w:jc w:val="both"/>
        <w:rPr>
          <w:sz w:val="18"/>
          <w:szCs w:val="18"/>
          <w:lang w:val="en-US"/>
        </w:rPr>
      </w:pPr>
      <w:r w:rsidRPr="001360CF">
        <w:rPr>
          <w:rStyle w:val="FootnoteReference"/>
          <w:sz w:val="18"/>
          <w:szCs w:val="18"/>
        </w:rPr>
        <w:footnoteRef/>
      </w:r>
      <w:r w:rsidRPr="001360CF">
        <w:rPr>
          <w:sz w:val="18"/>
          <w:szCs w:val="18"/>
          <w:lang w:val="en-US"/>
        </w:rPr>
        <w:t xml:space="preserve"> Ibid, paragraph 15. </w:t>
      </w:r>
    </w:p>
  </w:footnote>
  <w:footnote w:id="18">
    <w:p w14:paraId="194C18DB" w14:textId="77777777" w:rsidR="005509EF" w:rsidRPr="001360CF" w:rsidRDefault="005509EF" w:rsidP="005509EF">
      <w:pPr>
        <w:pStyle w:val="FootnoteText"/>
        <w:rPr>
          <w:sz w:val="18"/>
          <w:szCs w:val="18"/>
          <w:lang w:val="en-US"/>
        </w:rPr>
      </w:pPr>
      <w:r w:rsidRPr="001360CF">
        <w:rPr>
          <w:rStyle w:val="FootnoteReference"/>
          <w:sz w:val="18"/>
          <w:szCs w:val="18"/>
        </w:rPr>
        <w:footnoteRef/>
      </w:r>
      <w:r w:rsidRPr="001360CF">
        <w:rPr>
          <w:sz w:val="18"/>
          <w:szCs w:val="18"/>
          <w:lang w:val="en-GB"/>
        </w:rPr>
        <w:t xml:space="preserve"> </w:t>
      </w:r>
      <w:hyperlink r:id="rId1" w:history="1">
        <w:r w:rsidRPr="001360CF">
          <w:rPr>
            <w:rStyle w:val="Hyperlink"/>
            <w:rFonts w:cs="Arial"/>
            <w:sz w:val="18"/>
            <w:szCs w:val="18"/>
            <w:lang w:val="en-GB"/>
          </w:rPr>
          <w:t>CEDAW/C/IND/CO/4-5</w:t>
        </w:r>
      </w:hyperlink>
      <w:r w:rsidRPr="001360CF">
        <w:rPr>
          <w:rFonts w:cs="Arial"/>
          <w:sz w:val="18"/>
          <w:szCs w:val="18"/>
          <w:lang w:val="en-GB"/>
        </w:rPr>
        <w:t xml:space="preserve">, para. </w:t>
      </w:r>
      <w:r w:rsidRPr="001360CF">
        <w:rPr>
          <w:rFonts w:cs="Arial"/>
          <w:sz w:val="18"/>
          <w:szCs w:val="18"/>
          <w:lang w:val="en-US"/>
        </w:rPr>
        <w:t>37(a)</w:t>
      </w:r>
    </w:p>
  </w:footnote>
  <w:footnote w:id="19">
    <w:p w14:paraId="176247C0" w14:textId="77777777" w:rsidR="005509EF" w:rsidRPr="001360CF" w:rsidRDefault="005509EF" w:rsidP="005509EF">
      <w:pPr>
        <w:pStyle w:val="FootnoteText"/>
        <w:jc w:val="both"/>
        <w:rPr>
          <w:rFonts w:cs="Arial"/>
          <w:sz w:val="18"/>
          <w:szCs w:val="18"/>
          <w:lang w:val="en-US"/>
        </w:rPr>
      </w:pPr>
      <w:r w:rsidRPr="001360CF">
        <w:rPr>
          <w:rStyle w:val="FootnoteReference"/>
          <w:rFonts w:cs="Arial"/>
          <w:sz w:val="18"/>
          <w:szCs w:val="18"/>
        </w:rPr>
        <w:footnoteRef/>
      </w:r>
      <w:r w:rsidRPr="001360CF">
        <w:rPr>
          <w:rFonts w:cs="Arial"/>
          <w:sz w:val="18"/>
          <w:szCs w:val="18"/>
          <w:lang w:val="en-US"/>
        </w:rPr>
        <w:t xml:space="preserve"> </w:t>
      </w:r>
      <w:hyperlink r:id="rId2" w:history="1">
        <w:r w:rsidRPr="001360CF">
          <w:rPr>
            <w:rStyle w:val="Hyperlink"/>
            <w:rFonts w:cs="Arial"/>
            <w:sz w:val="18"/>
            <w:szCs w:val="18"/>
            <w:lang w:val="en-US"/>
          </w:rPr>
          <w:t>CEDAW/C/TJK/CO/6</w:t>
        </w:r>
      </w:hyperlink>
      <w:r w:rsidRPr="001360CF">
        <w:rPr>
          <w:rFonts w:cs="Arial"/>
          <w:sz w:val="18"/>
          <w:szCs w:val="18"/>
          <w:lang w:val="en-US"/>
        </w:rPr>
        <w:t xml:space="preserve">, para. 44(e); </w:t>
      </w:r>
    </w:p>
  </w:footnote>
  <w:footnote w:id="20">
    <w:p w14:paraId="30676173" w14:textId="77777777" w:rsidR="005509EF" w:rsidRPr="001360CF" w:rsidRDefault="005509EF" w:rsidP="005509EF">
      <w:pPr>
        <w:pStyle w:val="FootnoteText"/>
        <w:jc w:val="both"/>
        <w:rPr>
          <w:rFonts w:cs="Arial"/>
          <w:sz w:val="18"/>
          <w:szCs w:val="18"/>
          <w:lang w:val="en-GB"/>
        </w:rPr>
      </w:pPr>
      <w:r w:rsidRPr="001360CF">
        <w:rPr>
          <w:rStyle w:val="FootnoteReference"/>
          <w:rFonts w:cs="Arial"/>
          <w:sz w:val="18"/>
          <w:szCs w:val="18"/>
        </w:rPr>
        <w:footnoteRef/>
      </w:r>
      <w:r w:rsidRPr="001360CF">
        <w:rPr>
          <w:rFonts w:cs="Arial"/>
          <w:sz w:val="18"/>
          <w:szCs w:val="18"/>
          <w:lang w:val="en-US"/>
        </w:rPr>
        <w:t xml:space="preserve"> </w:t>
      </w:r>
      <w:hyperlink r:id="rId3" w:history="1">
        <w:r w:rsidRPr="001360CF">
          <w:rPr>
            <w:rStyle w:val="Hyperlink"/>
            <w:rFonts w:cs="Arial"/>
            <w:sz w:val="18"/>
            <w:szCs w:val="18"/>
            <w:lang w:val="en-US"/>
          </w:rPr>
          <w:t>E/C.12/MDA/CO/2</w:t>
        </w:r>
      </w:hyperlink>
      <w:r w:rsidRPr="001360CF">
        <w:rPr>
          <w:rFonts w:cs="Arial"/>
          <w:sz w:val="18"/>
          <w:szCs w:val="18"/>
          <w:lang w:val="en-US"/>
        </w:rPr>
        <w:t xml:space="preserve">, para. </w:t>
      </w:r>
      <w:r w:rsidRPr="001360CF">
        <w:rPr>
          <w:rFonts w:cs="Arial"/>
          <w:sz w:val="18"/>
          <w:szCs w:val="18"/>
          <w:lang w:val="en-GB"/>
        </w:rPr>
        <w:t>24.</w:t>
      </w:r>
    </w:p>
  </w:footnote>
  <w:footnote w:id="21">
    <w:p w14:paraId="0912444F" w14:textId="6F9B5A1D" w:rsidR="005509EF" w:rsidRPr="00B94A09" w:rsidRDefault="005509EF" w:rsidP="002A33BE">
      <w:pPr>
        <w:pStyle w:val="FootnoteText"/>
        <w:jc w:val="both"/>
        <w:rPr>
          <w:rFonts w:cs="Arial"/>
          <w:sz w:val="18"/>
          <w:szCs w:val="18"/>
          <w:lang w:val="en-US"/>
        </w:rPr>
      </w:pPr>
      <w:r w:rsidRPr="001360CF">
        <w:rPr>
          <w:rStyle w:val="FootnoteReference"/>
          <w:rFonts w:cs="Arial"/>
          <w:sz w:val="18"/>
          <w:szCs w:val="18"/>
        </w:rPr>
        <w:footnoteRef/>
      </w:r>
      <w:r w:rsidRPr="001360CF">
        <w:rPr>
          <w:rFonts w:cs="Arial"/>
          <w:sz w:val="18"/>
          <w:szCs w:val="18"/>
          <w:lang w:val="en-GB"/>
        </w:rPr>
        <w:t xml:space="preserve"> </w:t>
      </w:r>
      <w:r w:rsidRPr="001360CF">
        <w:rPr>
          <w:rFonts w:cs="Arial"/>
          <w:sz w:val="18"/>
          <w:szCs w:val="18"/>
          <w:lang w:val="en-IE"/>
        </w:rPr>
        <w:t>WGAD, Basic Principles and Guidelines on Remedies and Procedures on the Right of Anyone Deprived of His or Her Liberty by Arrest or Detention to Bring Proceedings Before Court, Principle 20</w:t>
      </w:r>
      <w:r w:rsidR="002A33BE">
        <w:rPr>
          <w:rFonts w:cs="Arial"/>
          <w:sz w:val="18"/>
          <w:szCs w:val="18"/>
          <w:lang w:val="en-IE"/>
        </w:rPr>
        <w:t xml:space="preserve">. Also see </w:t>
      </w:r>
      <w:r w:rsidR="002A33BE" w:rsidRPr="002A33BE">
        <w:rPr>
          <w:rFonts w:cs="Arial"/>
          <w:sz w:val="18"/>
          <w:szCs w:val="18"/>
          <w:lang w:val="en-IE"/>
        </w:rPr>
        <w:t>WGAD</w:t>
      </w:r>
      <w:r w:rsidR="002A33BE">
        <w:rPr>
          <w:rFonts w:cs="Arial"/>
          <w:sz w:val="18"/>
          <w:szCs w:val="18"/>
          <w:lang w:val="en-IE"/>
        </w:rPr>
        <w:t xml:space="preserve"> </w:t>
      </w:r>
      <w:r w:rsidR="002A33BE" w:rsidRPr="002A33BE">
        <w:rPr>
          <w:rFonts w:cs="Arial"/>
          <w:sz w:val="18"/>
          <w:szCs w:val="18"/>
          <w:lang w:val="en-IE"/>
        </w:rPr>
        <w:t>Opinion No. 70/2018 concerning Ms.</w:t>
      </w:r>
      <w:r w:rsidR="002A33BE">
        <w:rPr>
          <w:rFonts w:cs="Arial"/>
          <w:sz w:val="18"/>
          <w:szCs w:val="18"/>
          <w:lang w:val="en-IE"/>
        </w:rPr>
        <w:t xml:space="preserve"> H</w:t>
      </w:r>
      <w:r w:rsidR="002A33BE" w:rsidRPr="002A33BE">
        <w:rPr>
          <w:rFonts w:cs="Arial"/>
          <w:sz w:val="18"/>
          <w:szCs w:val="18"/>
          <w:lang w:val="en-IE"/>
        </w:rPr>
        <w:t xml:space="preserve"> (Japan)</w:t>
      </w:r>
      <w:r w:rsidR="002A33BE">
        <w:rPr>
          <w:rFonts w:cs="Arial"/>
          <w:sz w:val="18"/>
          <w:szCs w:val="18"/>
          <w:lang w:val="en-IE"/>
        </w:rPr>
        <w:t xml:space="preserve"> (</w:t>
      </w:r>
      <w:hyperlink r:id="rId4" w:history="1">
        <w:r w:rsidR="002A33BE" w:rsidRPr="00B94A09">
          <w:rPr>
            <w:rStyle w:val="Hyperlink"/>
            <w:lang w:val="en-US"/>
          </w:rPr>
          <w:t>A/HRC/WGAD/2018/70</w:t>
        </w:r>
      </w:hyperlink>
      <w:r w:rsidR="002A33BE">
        <w:rPr>
          <w:rFonts w:cs="Arial"/>
          <w:sz w:val="18"/>
          <w:szCs w:val="18"/>
          <w:lang w:val="en-US"/>
        </w:rPr>
        <w:t>)</w:t>
      </w:r>
      <w:r w:rsidR="000D2FBE">
        <w:rPr>
          <w:rFonts w:cs="Arial"/>
          <w:sz w:val="18"/>
          <w:szCs w:val="18"/>
          <w:lang w:val="en-US"/>
        </w:rPr>
        <w:t xml:space="preserve">. </w:t>
      </w:r>
    </w:p>
  </w:footnote>
  <w:footnote w:id="22">
    <w:p w14:paraId="1CD341C6" w14:textId="77777777" w:rsidR="005509EF" w:rsidRPr="001360CF" w:rsidRDefault="005509EF" w:rsidP="005509EF">
      <w:pPr>
        <w:pStyle w:val="FootnoteText"/>
        <w:jc w:val="both"/>
        <w:rPr>
          <w:rFonts w:cs="Arial"/>
          <w:sz w:val="18"/>
          <w:szCs w:val="18"/>
          <w:lang w:val="en-US"/>
        </w:rPr>
      </w:pPr>
      <w:r w:rsidRPr="001360CF">
        <w:rPr>
          <w:rStyle w:val="FootnoteReference"/>
          <w:rFonts w:cs="Arial"/>
          <w:sz w:val="18"/>
          <w:szCs w:val="18"/>
        </w:rPr>
        <w:footnoteRef/>
      </w:r>
      <w:r w:rsidRPr="001360CF">
        <w:rPr>
          <w:rFonts w:cs="Arial"/>
          <w:sz w:val="18"/>
          <w:szCs w:val="18"/>
          <w:lang w:val="en-GB"/>
        </w:rPr>
        <w:t xml:space="preserve"> </w:t>
      </w:r>
      <w:bookmarkStart w:id="10" w:name="_Hlk54862979"/>
      <w:r w:rsidRPr="001360CF">
        <w:rPr>
          <w:rFonts w:cs="Arial"/>
          <w:sz w:val="18"/>
          <w:szCs w:val="18"/>
          <w:lang w:val="es-MX"/>
        </w:rPr>
        <w:fldChar w:fldCharType="begin"/>
      </w:r>
      <w:r w:rsidRPr="001360CF">
        <w:rPr>
          <w:rFonts w:cs="Arial"/>
          <w:sz w:val="18"/>
          <w:szCs w:val="18"/>
          <w:lang w:val="en-GB"/>
        </w:rPr>
        <w:instrText xml:space="preserve"> HYPERLINK "https://tbinternet.ohchr.org/_layouts/15/treatybodyexternal/Download.aspx?symbolno=E%2fC.12%2fSVK%2fCO%2f3&amp;Lang=en" </w:instrText>
      </w:r>
      <w:r w:rsidRPr="001360CF">
        <w:rPr>
          <w:rFonts w:cs="Arial"/>
          <w:sz w:val="18"/>
          <w:szCs w:val="18"/>
          <w:lang w:val="es-MX"/>
        </w:rPr>
        <w:fldChar w:fldCharType="separate"/>
      </w:r>
      <w:r w:rsidRPr="001360CF">
        <w:rPr>
          <w:rStyle w:val="Hyperlink"/>
          <w:rFonts w:cs="Arial"/>
          <w:sz w:val="18"/>
          <w:szCs w:val="18"/>
          <w:lang w:val="en-GB"/>
        </w:rPr>
        <w:t>E/C.12/SVK/CO/3</w:t>
      </w:r>
      <w:r w:rsidRPr="001360CF">
        <w:rPr>
          <w:rFonts w:cs="Arial"/>
          <w:sz w:val="18"/>
          <w:szCs w:val="18"/>
          <w:lang w:val="es-MX"/>
        </w:rPr>
        <w:fldChar w:fldCharType="end"/>
      </w:r>
      <w:bookmarkEnd w:id="10"/>
      <w:r w:rsidRPr="001360CF">
        <w:rPr>
          <w:rFonts w:cs="Arial"/>
          <w:sz w:val="18"/>
          <w:szCs w:val="18"/>
          <w:lang w:val="en-GB"/>
        </w:rPr>
        <w:t xml:space="preserve">, para. 17; </w:t>
      </w:r>
      <w:hyperlink r:id="rId5" w:history="1">
        <w:r w:rsidRPr="001360CF">
          <w:rPr>
            <w:rStyle w:val="Hyperlink"/>
            <w:rFonts w:cs="Arial"/>
            <w:sz w:val="18"/>
            <w:szCs w:val="18"/>
            <w:lang w:val="en-GB"/>
          </w:rPr>
          <w:t>E/C.12/ARG/CO/4</w:t>
        </w:r>
      </w:hyperlink>
      <w:r w:rsidRPr="001360CF">
        <w:rPr>
          <w:rFonts w:cs="Arial"/>
          <w:sz w:val="18"/>
          <w:szCs w:val="18"/>
          <w:lang w:val="en-GB"/>
        </w:rPr>
        <w:t xml:space="preserve">, para. 54(e); </w:t>
      </w:r>
      <w:hyperlink r:id="rId6" w:history="1">
        <w:r w:rsidRPr="001360CF">
          <w:rPr>
            <w:rStyle w:val="Hyperlink"/>
            <w:rFonts w:cs="Arial"/>
            <w:sz w:val="18"/>
            <w:szCs w:val="18"/>
            <w:lang w:val="en-GB"/>
          </w:rPr>
          <w:t>E/C.12/IRL/CO/3</w:t>
        </w:r>
      </w:hyperlink>
      <w:r w:rsidRPr="001360CF">
        <w:rPr>
          <w:rFonts w:cs="Arial"/>
          <w:sz w:val="18"/>
          <w:szCs w:val="18"/>
          <w:lang w:val="en-GB"/>
        </w:rPr>
        <w:t xml:space="preserve">, para. 13; </w:t>
      </w:r>
      <w:hyperlink r:id="rId7" w:history="1">
        <w:r w:rsidRPr="001360CF">
          <w:rPr>
            <w:rStyle w:val="Hyperlink"/>
            <w:rFonts w:cs="Arial"/>
            <w:sz w:val="18"/>
            <w:szCs w:val="18"/>
            <w:lang w:val="en-GB"/>
          </w:rPr>
          <w:t>E/C.12/CZE/CO/2</w:t>
        </w:r>
      </w:hyperlink>
      <w:r w:rsidRPr="001360CF">
        <w:rPr>
          <w:rFonts w:cs="Arial"/>
          <w:sz w:val="18"/>
          <w:szCs w:val="18"/>
          <w:lang w:val="en-GB"/>
        </w:rPr>
        <w:t xml:space="preserve">, para. 18(b); </w:t>
      </w:r>
      <w:hyperlink r:id="rId8" w:history="1">
        <w:r w:rsidRPr="001360CF">
          <w:rPr>
            <w:rStyle w:val="Hyperlink"/>
            <w:rFonts w:cs="Arial"/>
            <w:sz w:val="18"/>
            <w:szCs w:val="18"/>
            <w:lang w:val="en-GB"/>
          </w:rPr>
          <w:t>E/C.12/MDA/CO/2</w:t>
        </w:r>
      </w:hyperlink>
      <w:r w:rsidRPr="001360CF">
        <w:rPr>
          <w:rFonts w:cs="Arial"/>
          <w:sz w:val="18"/>
          <w:szCs w:val="18"/>
          <w:lang w:val="en-GB"/>
        </w:rPr>
        <w:t xml:space="preserve">, para.15; </w:t>
      </w:r>
      <w:hyperlink r:id="rId9" w:history="1">
        <w:r w:rsidRPr="001360CF">
          <w:rPr>
            <w:rStyle w:val="Hyperlink"/>
            <w:rFonts w:cs="Arial"/>
            <w:sz w:val="18"/>
            <w:szCs w:val="18"/>
            <w:lang w:val="en-GB"/>
          </w:rPr>
          <w:t>E/C.12/LVA/CO/1</w:t>
        </w:r>
      </w:hyperlink>
      <w:r w:rsidRPr="001360CF">
        <w:rPr>
          <w:rFonts w:cs="Arial"/>
          <w:sz w:val="18"/>
          <w:szCs w:val="18"/>
          <w:lang w:val="en-GB"/>
        </w:rPr>
        <w:t xml:space="preserve">, para. 54; </w:t>
      </w:r>
      <w:hyperlink r:id="rId10" w:history="1">
        <w:r w:rsidRPr="001360CF">
          <w:rPr>
            <w:rStyle w:val="Hyperlink"/>
            <w:rFonts w:cs="Arial"/>
            <w:sz w:val="18"/>
            <w:szCs w:val="18"/>
            <w:lang w:val="en-GB"/>
          </w:rPr>
          <w:t>E/C.12/MNE/CO/1</w:t>
        </w:r>
      </w:hyperlink>
      <w:r w:rsidRPr="001360CF">
        <w:rPr>
          <w:rFonts w:cs="Arial"/>
          <w:sz w:val="18"/>
          <w:szCs w:val="18"/>
          <w:lang w:val="en-GB"/>
        </w:rPr>
        <w:t xml:space="preserve">, para. 23(c); </w:t>
      </w:r>
      <w:hyperlink r:id="rId11" w:history="1">
        <w:r w:rsidRPr="001360CF">
          <w:rPr>
            <w:rStyle w:val="Hyperlink"/>
            <w:rFonts w:cs="Arial"/>
            <w:sz w:val="18"/>
            <w:szCs w:val="18"/>
            <w:lang w:val="en-GB"/>
          </w:rPr>
          <w:t>E/C.12/NOR/CO/5</w:t>
        </w:r>
      </w:hyperlink>
      <w:r w:rsidRPr="001360CF">
        <w:rPr>
          <w:rFonts w:cs="Arial"/>
          <w:sz w:val="18"/>
          <w:szCs w:val="18"/>
          <w:lang w:val="en-GB"/>
        </w:rPr>
        <w:t xml:space="preserve">, para. </w:t>
      </w:r>
      <w:r w:rsidRPr="001360CF">
        <w:rPr>
          <w:rFonts w:cs="Arial"/>
          <w:sz w:val="18"/>
          <w:szCs w:val="18"/>
          <w:lang w:val="en-US"/>
        </w:rPr>
        <w:t xml:space="preserve">19 </w:t>
      </w:r>
    </w:p>
  </w:footnote>
  <w:footnote w:id="23">
    <w:p w14:paraId="60CD7F00" w14:textId="1DC29BFE" w:rsidR="0018131A" w:rsidRPr="001360CF" w:rsidRDefault="0018131A" w:rsidP="00905E44">
      <w:pPr>
        <w:pStyle w:val="FootnoteText"/>
        <w:jc w:val="both"/>
        <w:rPr>
          <w:sz w:val="18"/>
          <w:szCs w:val="18"/>
          <w:lang w:val="en-US"/>
        </w:rPr>
      </w:pPr>
      <w:r w:rsidRPr="001360CF">
        <w:rPr>
          <w:rStyle w:val="FootnoteReference"/>
          <w:sz w:val="18"/>
          <w:szCs w:val="18"/>
        </w:rPr>
        <w:footnoteRef/>
      </w:r>
      <w:r w:rsidRPr="001360CF">
        <w:rPr>
          <w:sz w:val="18"/>
          <w:szCs w:val="18"/>
          <w:lang w:val="en-US"/>
        </w:rPr>
        <w:t xml:space="preserve"> </w:t>
      </w:r>
      <w:r w:rsidR="0019608F" w:rsidRPr="001360CF">
        <w:rPr>
          <w:sz w:val="18"/>
          <w:szCs w:val="18"/>
          <w:lang w:val="en-US"/>
        </w:rPr>
        <w:t xml:space="preserve">Report of the Special Rapporteur on the right of everyone to the enjoyment of the highest attainable standard of physical and mental health on “Deprivation of liberty and the right to health” (A/HRC/38/36), paragraphs 49-51. </w:t>
      </w:r>
    </w:p>
  </w:footnote>
  <w:footnote w:id="24">
    <w:p w14:paraId="0479988D" w14:textId="4C93386E" w:rsidR="0026403F" w:rsidRPr="001360CF" w:rsidRDefault="0026403F" w:rsidP="00905E44">
      <w:pPr>
        <w:pStyle w:val="FootnoteText"/>
        <w:jc w:val="both"/>
        <w:rPr>
          <w:sz w:val="18"/>
          <w:szCs w:val="18"/>
          <w:lang w:val="en-US"/>
        </w:rPr>
      </w:pPr>
      <w:r w:rsidRPr="001360CF">
        <w:rPr>
          <w:rStyle w:val="FootnoteReference"/>
          <w:sz w:val="18"/>
          <w:szCs w:val="18"/>
        </w:rPr>
        <w:footnoteRef/>
      </w:r>
      <w:r w:rsidRPr="001360CF">
        <w:rPr>
          <w:sz w:val="18"/>
          <w:szCs w:val="18"/>
          <w:lang w:val="en-US"/>
        </w:rPr>
        <w:t xml:space="preserve"> </w:t>
      </w:r>
      <w:r w:rsidRPr="001360CF">
        <w:rPr>
          <w:color w:val="000000" w:themeColor="text1"/>
          <w:sz w:val="18"/>
          <w:szCs w:val="18"/>
          <w:lang w:val="en-US"/>
        </w:rPr>
        <w:t>Report of the Special Rapporteur on the right of everyone to the enjoyment of the highest attainable standard of physical and mental health on “The role of the determinants of health in advancing the right to mental health” (</w:t>
      </w:r>
      <w:hyperlink r:id="rId12">
        <w:r w:rsidRPr="001360CF">
          <w:rPr>
            <w:rStyle w:val="Hyperlink"/>
            <w:color w:val="000000" w:themeColor="text1"/>
            <w:sz w:val="18"/>
            <w:szCs w:val="18"/>
            <w:u w:val="none"/>
            <w:lang w:val="en-US"/>
          </w:rPr>
          <w:t>A/HRC/41/34</w:t>
        </w:r>
      </w:hyperlink>
      <w:r w:rsidRPr="001360CF">
        <w:rPr>
          <w:rStyle w:val="Hyperlink"/>
          <w:color w:val="000000" w:themeColor="text1"/>
          <w:sz w:val="18"/>
          <w:szCs w:val="18"/>
          <w:u w:val="none"/>
          <w:lang w:val="en-US"/>
        </w:rPr>
        <w:t>)</w:t>
      </w:r>
      <w:r w:rsidRPr="001360CF">
        <w:rPr>
          <w:color w:val="000000" w:themeColor="text1"/>
          <w:sz w:val="18"/>
          <w:szCs w:val="18"/>
          <w:lang w:val="en-US"/>
        </w:rPr>
        <w:t>, paragraph 21.</w:t>
      </w:r>
      <w:r w:rsidRPr="001360CF">
        <w:rPr>
          <w:color w:val="000000" w:themeColor="text1"/>
          <w:sz w:val="18"/>
          <w:szCs w:val="18"/>
          <w:u w:val="single"/>
          <w:lang w:val="en-US"/>
        </w:rPr>
        <w:t xml:space="preserve"> </w:t>
      </w:r>
    </w:p>
  </w:footnote>
  <w:footnote w:id="25">
    <w:p w14:paraId="5EDAF748" w14:textId="1471BCDD" w:rsidR="0018131A" w:rsidRPr="001360CF" w:rsidRDefault="0018131A" w:rsidP="00905E44">
      <w:pPr>
        <w:pStyle w:val="FootnoteText"/>
        <w:jc w:val="both"/>
        <w:rPr>
          <w:sz w:val="18"/>
          <w:szCs w:val="18"/>
          <w:lang w:val="en-US"/>
        </w:rPr>
      </w:pPr>
      <w:r w:rsidRPr="001360CF">
        <w:rPr>
          <w:rStyle w:val="FootnoteReference"/>
          <w:sz w:val="18"/>
          <w:szCs w:val="18"/>
        </w:rPr>
        <w:footnoteRef/>
      </w:r>
      <w:r w:rsidRPr="001360CF">
        <w:rPr>
          <w:sz w:val="18"/>
          <w:szCs w:val="18"/>
          <w:lang w:val="en-US"/>
        </w:rPr>
        <w:t xml:space="preserve"> </w:t>
      </w:r>
      <w:r w:rsidR="0026403F" w:rsidRPr="001360CF">
        <w:rPr>
          <w:sz w:val="18"/>
          <w:szCs w:val="18"/>
          <w:lang w:val="en-US"/>
        </w:rPr>
        <w:t>Ibid, paragraph 50.</w:t>
      </w:r>
    </w:p>
  </w:footnote>
  <w:footnote w:id="26">
    <w:p w14:paraId="6613C150" w14:textId="439EC1C8" w:rsidR="0019608F" w:rsidRPr="001360CF" w:rsidRDefault="0019608F" w:rsidP="00905E44">
      <w:pPr>
        <w:pStyle w:val="FootnoteText"/>
        <w:jc w:val="both"/>
        <w:rPr>
          <w:sz w:val="18"/>
          <w:szCs w:val="18"/>
          <w:lang w:val="en-US"/>
        </w:rPr>
      </w:pPr>
      <w:r w:rsidRPr="001360CF">
        <w:rPr>
          <w:rStyle w:val="FootnoteReference"/>
          <w:sz w:val="18"/>
          <w:szCs w:val="18"/>
        </w:rPr>
        <w:footnoteRef/>
      </w:r>
      <w:r w:rsidRPr="001360CF">
        <w:rPr>
          <w:sz w:val="18"/>
          <w:szCs w:val="18"/>
          <w:lang w:val="en-US"/>
        </w:rPr>
        <w:t xml:space="preserve"> </w:t>
      </w:r>
      <w:r w:rsidR="0026403F" w:rsidRPr="001360CF">
        <w:rPr>
          <w:sz w:val="18"/>
          <w:szCs w:val="18"/>
          <w:lang w:val="en-US"/>
        </w:rPr>
        <w:t xml:space="preserve">Report </w:t>
      </w:r>
      <w:bookmarkStart w:id="12" w:name="_Hlk54862593"/>
      <w:r w:rsidR="0026403F" w:rsidRPr="001360CF">
        <w:rPr>
          <w:sz w:val="18"/>
          <w:szCs w:val="18"/>
          <w:lang w:val="en-US"/>
        </w:rPr>
        <w:t>of the Special Rapporteur on the right of everyone to the enjoyment of the highest attainable standard of physical and mental health</w:t>
      </w:r>
      <w:bookmarkEnd w:id="12"/>
      <w:r w:rsidR="0026403F" w:rsidRPr="001360CF">
        <w:rPr>
          <w:sz w:val="18"/>
          <w:szCs w:val="18"/>
          <w:lang w:val="en-US"/>
        </w:rPr>
        <w:t xml:space="preserve"> on “Deprivation of liberty and the right to health” (A/HRC/38/36), paragraph 51.</w:t>
      </w:r>
    </w:p>
  </w:footnote>
  <w:footnote w:id="27">
    <w:p w14:paraId="31EC4643" w14:textId="5C4769C1" w:rsidR="0018131A" w:rsidRPr="001360CF" w:rsidRDefault="0018131A" w:rsidP="00905E44">
      <w:pPr>
        <w:pStyle w:val="FootnoteText"/>
        <w:jc w:val="both"/>
        <w:rPr>
          <w:sz w:val="18"/>
          <w:szCs w:val="18"/>
          <w:lang w:val="en-US"/>
        </w:rPr>
      </w:pPr>
      <w:r w:rsidRPr="001360CF">
        <w:rPr>
          <w:rStyle w:val="FootnoteReference"/>
          <w:sz w:val="18"/>
          <w:szCs w:val="18"/>
        </w:rPr>
        <w:footnoteRef/>
      </w:r>
      <w:r w:rsidRPr="001360CF">
        <w:rPr>
          <w:sz w:val="18"/>
          <w:szCs w:val="18"/>
          <w:lang w:val="en-US"/>
        </w:rPr>
        <w:t xml:space="preserve"> </w:t>
      </w:r>
      <w:r w:rsidR="0026403F" w:rsidRPr="001360CF">
        <w:rPr>
          <w:sz w:val="18"/>
          <w:szCs w:val="18"/>
          <w:lang w:val="en-US"/>
        </w:rPr>
        <w:t xml:space="preserve">Report of the Special Rapporteur on the right of everyone to the enjoyment of the highest attainable standard of physical and mental health on “Mental Health and Human Rights: Setting a Rights-based Global Agenda” </w:t>
      </w:r>
      <w:r w:rsidRPr="001360CF">
        <w:rPr>
          <w:sz w:val="18"/>
          <w:szCs w:val="18"/>
          <w:lang w:val="en-US"/>
        </w:rPr>
        <w:t>(A/HRC/44/48)</w:t>
      </w:r>
      <w:r w:rsidR="0026403F" w:rsidRPr="001360CF">
        <w:rPr>
          <w:sz w:val="18"/>
          <w:szCs w:val="18"/>
          <w:lang w:val="en-US"/>
        </w:rPr>
        <w:t xml:space="preserve">, paragraph 86(a). </w:t>
      </w:r>
    </w:p>
  </w:footnote>
  <w:footnote w:id="28">
    <w:p w14:paraId="004BFB77" w14:textId="5755B00F" w:rsidR="0018131A" w:rsidRPr="001360CF" w:rsidRDefault="0018131A" w:rsidP="00905E44">
      <w:pPr>
        <w:pStyle w:val="FootnoteText"/>
        <w:jc w:val="both"/>
        <w:rPr>
          <w:sz w:val="18"/>
          <w:szCs w:val="18"/>
          <w:lang w:val="en-US"/>
        </w:rPr>
      </w:pPr>
      <w:r w:rsidRPr="001360CF">
        <w:rPr>
          <w:rStyle w:val="FootnoteReference"/>
          <w:sz w:val="18"/>
          <w:szCs w:val="18"/>
        </w:rPr>
        <w:footnoteRef/>
      </w:r>
      <w:r w:rsidRPr="001360CF">
        <w:rPr>
          <w:sz w:val="18"/>
          <w:szCs w:val="18"/>
          <w:lang w:val="en-US"/>
        </w:rPr>
        <w:t xml:space="preserve"> </w:t>
      </w:r>
      <w:r w:rsidR="008A74D5" w:rsidRPr="001360CF">
        <w:rPr>
          <w:sz w:val="18"/>
          <w:szCs w:val="18"/>
          <w:lang w:val="en-US"/>
        </w:rPr>
        <w:t xml:space="preserve">Report of the Special Rapporteur on Torture and other cruel, inhuman or degrading treatment or punishment </w:t>
      </w:r>
      <w:r w:rsidRPr="001360CF">
        <w:rPr>
          <w:sz w:val="18"/>
          <w:szCs w:val="18"/>
          <w:lang w:val="en-US"/>
        </w:rPr>
        <w:t>(A/HRC/43/49)</w:t>
      </w:r>
      <w:r w:rsidR="008A74D5" w:rsidRPr="001360CF">
        <w:rPr>
          <w:sz w:val="18"/>
          <w:szCs w:val="18"/>
          <w:lang w:val="en-US"/>
        </w:rPr>
        <w:t xml:space="preserve">, paragraph </w:t>
      </w:r>
      <w:r w:rsidR="00232D9A" w:rsidRPr="001360CF">
        <w:rPr>
          <w:sz w:val="18"/>
          <w:szCs w:val="18"/>
          <w:lang w:val="en-US"/>
        </w:rPr>
        <w:t xml:space="preserve">37. </w:t>
      </w:r>
    </w:p>
  </w:footnote>
  <w:footnote w:id="29">
    <w:p w14:paraId="10DE5DC2" w14:textId="52B2154C" w:rsidR="00E3589C" w:rsidRPr="001360CF" w:rsidRDefault="00E3589C" w:rsidP="00905E44">
      <w:pPr>
        <w:pStyle w:val="FootnoteText"/>
        <w:jc w:val="both"/>
        <w:rPr>
          <w:sz w:val="18"/>
          <w:szCs w:val="18"/>
          <w:lang w:val="en-US"/>
        </w:rPr>
      </w:pPr>
      <w:r w:rsidRPr="001360CF">
        <w:rPr>
          <w:rStyle w:val="FootnoteReference"/>
          <w:sz w:val="18"/>
          <w:szCs w:val="18"/>
        </w:rPr>
        <w:footnoteRef/>
      </w:r>
      <w:r w:rsidRPr="001360CF">
        <w:rPr>
          <w:sz w:val="18"/>
          <w:szCs w:val="18"/>
          <w:lang w:val="en-US"/>
        </w:rPr>
        <w:t xml:space="preserve"> Report of the Special Rapporteur on the Rights of Persons with Disabilities on “The impact of ableism in medical and scientific practice” (A/HRC/43/41), paragraph 50. </w:t>
      </w:r>
    </w:p>
  </w:footnote>
  <w:footnote w:id="30">
    <w:p w14:paraId="4A5C091E" w14:textId="1845E562" w:rsidR="00B03A76" w:rsidRPr="001360CF" w:rsidRDefault="00B03A76" w:rsidP="00905E44">
      <w:pPr>
        <w:pStyle w:val="FootnoteText"/>
        <w:jc w:val="both"/>
        <w:rPr>
          <w:sz w:val="18"/>
          <w:szCs w:val="18"/>
          <w:lang w:val="en-US"/>
        </w:rPr>
      </w:pPr>
      <w:r w:rsidRPr="001360CF">
        <w:rPr>
          <w:rStyle w:val="FootnoteReference"/>
          <w:sz w:val="18"/>
          <w:szCs w:val="18"/>
        </w:rPr>
        <w:footnoteRef/>
      </w:r>
      <w:r w:rsidRPr="001360CF">
        <w:rPr>
          <w:sz w:val="18"/>
          <w:szCs w:val="18"/>
          <w:lang w:val="en-US"/>
        </w:rPr>
        <w:t xml:space="preserve"> Report of the Special Rapporteur on the Rights of Persons with Disabilities on “Deprivation of liberty of persons with disabilities” (A/HRC/40/54), paragraph 64. </w:t>
      </w:r>
    </w:p>
  </w:footnote>
  <w:footnote w:id="31">
    <w:p w14:paraId="240F3FAF" w14:textId="2834B3F6" w:rsidR="003F36FB" w:rsidRPr="001360CF" w:rsidRDefault="003F36FB" w:rsidP="00905E44">
      <w:pPr>
        <w:pStyle w:val="FootnoteText"/>
        <w:jc w:val="both"/>
        <w:rPr>
          <w:sz w:val="18"/>
          <w:szCs w:val="18"/>
          <w:lang w:val="en-US"/>
        </w:rPr>
      </w:pPr>
      <w:r w:rsidRPr="001360CF">
        <w:rPr>
          <w:rStyle w:val="FootnoteReference"/>
          <w:sz w:val="18"/>
          <w:szCs w:val="18"/>
        </w:rPr>
        <w:footnoteRef/>
      </w:r>
      <w:r w:rsidRPr="001360CF">
        <w:rPr>
          <w:sz w:val="18"/>
          <w:szCs w:val="18"/>
          <w:lang w:val="en-US"/>
        </w:rPr>
        <w:t xml:space="preserve"> Office of the High Commissioner for Human Rights, REFERENCE: OL OTH 23/2017 (29 September 2017). </w:t>
      </w:r>
    </w:p>
  </w:footnote>
  <w:footnote w:id="32">
    <w:p w14:paraId="087CE1E3" w14:textId="7AFBC1B3" w:rsidR="00AD6E3E" w:rsidRPr="001360CF" w:rsidRDefault="00AD6E3E">
      <w:pPr>
        <w:pStyle w:val="FootnoteText"/>
        <w:rPr>
          <w:sz w:val="18"/>
          <w:szCs w:val="18"/>
          <w:lang w:val="en-US"/>
        </w:rPr>
      </w:pPr>
      <w:r w:rsidRPr="001360CF">
        <w:rPr>
          <w:rStyle w:val="FootnoteReference"/>
          <w:sz w:val="18"/>
          <w:szCs w:val="18"/>
        </w:rPr>
        <w:footnoteRef/>
      </w:r>
      <w:r w:rsidRPr="001360CF">
        <w:rPr>
          <w:sz w:val="18"/>
          <w:szCs w:val="18"/>
          <w:lang w:val="en-US"/>
        </w:rPr>
        <w:t xml:space="preserve"> WHO’s website: </w:t>
      </w:r>
      <w:hyperlink r:id="rId13" w:history="1">
        <w:r w:rsidRPr="001360CF">
          <w:rPr>
            <w:rStyle w:val="Hyperlink"/>
            <w:sz w:val="18"/>
            <w:szCs w:val="18"/>
            <w:lang w:val="en-US"/>
          </w:rPr>
          <w:t>https://www.who.int/mental_health/policy/legislation/en/</w:t>
        </w:r>
      </w:hyperlink>
      <w:r w:rsidRPr="001360CF">
        <w:rPr>
          <w:sz w:val="18"/>
          <w:szCs w:val="18"/>
          <w:lang w:val="en-US"/>
        </w:rPr>
        <w:t xml:space="preserve"> </w:t>
      </w:r>
    </w:p>
  </w:footnote>
  <w:footnote w:id="33">
    <w:p w14:paraId="793304F9" w14:textId="46A6D5D6" w:rsidR="00523DEE" w:rsidRPr="001360CF" w:rsidRDefault="00523DEE">
      <w:pPr>
        <w:pStyle w:val="FootnoteText"/>
        <w:rPr>
          <w:sz w:val="18"/>
          <w:szCs w:val="18"/>
          <w:lang w:val="en-US"/>
        </w:rPr>
      </w:pPr>
      <w:r w:rsidRPr="001360CF">
        <w:rPr>
          <w:rStyle w:val="FootnoteReference"/>
          <w:sz w:val="18"/>
          <w:szCs w:val="18"/>
        </w:rPr>
        <w:footnoteRef/>
      </w:r>
      <w:r w:rsidRPr="001360CF">
        <w:rPr>
          <w:sz w:val="18"/>
          <w:szCs w:val="18"/>
          <w:lang w:val="en-US"/>
        </w:rPr>
        <w:t xml:space="preserve"> </w:t>
      </w:r>
      <w:hyperlink r:id="rId14" w:history="1">
        <w:r w:rsidRPr="001360CF">
          <w:rPr>
            <w:rStyle w:val="Hyperlink"/>
            <w:sz w:val="18"/>
            <w:szCs w:val="18"/>
            <w:lang w:val="en-US"/>
          </w:rPr>
          <w:t>https://www.who.int/publications/i/item/who-qualityrights-guidance-and-training-tools</w:t>
        </w:r>
      </w:hyperlink>
      <w:r w:rsidRPr="001360CF">
        <w:rPr>
          <w:sz w:val="18"/>
          <w:szCs w:val="18"/>
          <w:lang w:val="en-US"/>
        </w:rPr>
        <w:t xml:space="preserve"> </w:t>
      </w:r>
    </w:p>
  </w:footnote>
  <w:footnote w:id="34">
    <w:p w14:paraId="1263584F" w14:textId="5955EE93" w:rsidR="00523DEE" w:rsidRPr="001360CF" w:rsidRDefault="00523DEE">
      <w:pPr>
        <w:pStyle w:val="FootnoteText"/>
        <w:rPr>
          <w:sz w:val="18"/>
          <w:szCs w:val="18"/>
          <w:lang w:val="en-US"/>
        </w:rPr>
      </w:pPr>
      <w:r w:rsidRPr="001360CF">
        <w:rPr>
          <w:rStyle w:val="FootnoteReference"/>
          <w:sz w:val="18"/>
          <w:szCs w:val="18"/>
        </w:rPr>
        <w:footnoteRef/>
      </w:r>
      <w:r w:rsidRPr="001360CF">
        <w:rPr>
          <w:sz w:val="18"/>
          <w:szCs w:val="18"/>
          <w:lang w:val="en-US"/>
        </w:rPr>
        <w:t xml:space="preserve"> WHO QualityRights Course Guide on Legal Capacity and the Right to Decide, page 7. </w:t>
      </w:r>
    </w:p>
  </w:footnote>
  <w:footnote w:id="35">
    <w:p w14:paraId="04AE307D" w14:textId="5CD8AB09" w:rsidR="00523DEE" w:rsidRPr="001360CF" w:rsidRDefault="00523DEE">
      <w:pPr>
        <w:pStyle w:val="FootnoteText"/>
        <w:rPr>
          <w:sz w:val="18"/>
          <w:szCs w:val="18"/>
          <w:lang w:val="en-US"/>
        </w:rPr>
      </w:pPr>
      <w:r w:rsidRPr="001360CF">
        <w:rPr>
          <w:rStyle w:val="FootnoteReference"/>
          <w:sz w:val="18"/>
          <w:szCs w:val="18"/>
        </w:rPr>
        <w:footnoteRef/>
      </w:r>
      <w:r w:rsidRPr="001360CF">
        <w:rPr>
          <w:sz w:val="18"/>
          <w:szCs w:val="18"/>
          <w:lang w:val="en-US"/>
        </w:rPr>
        <w:t xml:space="preserve"> WHO QualityRights Course Guide on Freedom from coercion, violence and abuse, page 22. </w:t>
      </w:r>
    </w:p>
  </w:footnote>
  <w:footnote w:id="36">
    <w:p w14:paraId="515EEBCA" w14:textId="77777777" w:rsidR="00A0113E" w:rsidRPr="001360CF" w:rsidRDefault="00A0113E" w:rsidP="00A0113E">
      <w:pPr>
        <w:pStyle w:val="FootnoteText"/>
        <w:jc w:val="both"/>
        <w:rPr>
          <w:rFonts w:cs="Arial"/>
          <w:sz w:val="18"/>
          <w:szCs w:val="18"/>
          <w:lang w:val="en-US"/>
        </w:rPr>
      </w:pPr>
      <w:r w:rsidRPr="001360CF">
        <w:rPr>
          <w:rStyle w:val="FootnoteReference"/>
          <w:sz w:val="18"/>
          <w:szCs w:val="18"/>
        </w:rPr>
        <w:footnoteRef/>
      </w:r>
      <w:r w:rsidRPr="001360CF">
        <w:rPr>
          <w:sz w:val="18"/>
          <w:szCs w:val="18"/>
          <w:lang w:val="en-US"/>
        </w:rPr>
        <w:t xml:space="preserve"> </w:t>
      </w:r>
      <w:r w:rsidRPr="001360CF">
        <w:rPr>
          <w:rFonts w:cs="Arial"/>
          <w:sz w:val="18"/>
          <w:szCs w:val="18"/>
          <w:lang w:val="en-US"/>
        </w:rPr>
        <w:t>Liechtenstein has neither signed nor ratified the CRPD.</w:t>
      </w:r>
    </w:p>
  </w:footnote>
  <w:footnote w:id="37">
    <w:p w14:paraId="41887E12" w14:textId="77777777" w:rsidR="00A0113E" w:rsidRPr="001360CF" w:rsidRDefault="00A0113E" w:rsidP="00A0113E">
      <w:pPr>
        <w:pStyle w:val="FootnoteText"/>
        <w:jc w:val="both"/>
        <w:rPr>
          <w:rFonts w:cs="Arial"/>
          <w:sz w:val="18"/>
          <w:szCs w:val="18"/>
          <w:lang w:val="en-US"/>
        </w:rPr>
      </w:pPr>
      <w:r w:rsidRPr="001360CF">
        <w:rPr>
          <w:rStyle w:val="FootnoteReference"/>
          <w:sz w:val="18"/>
          <w:szCs w:val="18"/>
        </w:rPr>
        <w:footnoteRef/>
      </w:r>
      <w:r w:rsidRPr="001360CF">
        <w:rPr>
          <w:sz w:val="18"/>
          <w:szCs w:val="18"/>
          <w:lang w:val="en-US"/>
        </w:rPr>
        <w:t xml:space="preserve"> </w:t>
      </w:r>
      <w:r w:rsidRPr="001360CF">
        <w:rPr>
          <w:rFonts w:cs="Arial"/>
          <w:i/>
          <w:iCs/>
          <w:sz w:val="18"/>
          <w:szCs w:val="18"/>
          <w:lang w:val="en-US"/>
        </w:rPr>
        <w:t>Glor v Switzerland</w:t>
      </w:r>
      <w:r w:rsidRPr="001360CF">
        <w:rPr>
          <w:rFonts w:cs="Arial"/>
          <w:sz w:val="18"/>
          <w:szCs w:val="18"/>
          <w:lang w:val="en-US"/>
        </w:rPr>
        <w:t xml:space="preserve">, Application no 13444/04, 30 April 2009, para 53. The Court made explicit reference to the CRPD in the </w:t>
      </w:r>
      <w:r w:rsidRPr="001360CF">
        <w:rPr>
          <w:rFonts w:cs="Arial"/>
          <w:i/>
          <w:iCs/>
          <w:sz w:val="18"/>
          <w:szCs w:val="18"/>
          <w:lang w:val="en-US"/>
        </w:rPr>
        <w:t xml:space="preserve">Glor </w:t>
      </w:r>
      <w:r w:rsidRPr="001360CF">
        <w:rPr>
          <w:rFonts w:cs="Arial"/>
          <w:sz w:val="18"/>
          <w:szCs w:val="18"/>
          <w:lang w:val="en-US"/>
        </w:rPr>
        <w:t>case even though Switzerland had not ratified the CRPD at that time.</w:t>
      </w:r>
    </w:p>
  </w:footnote>
  <w:footnote w:id="38">
    <w:p w14:paraId="2C5962A4" w14:textId="77777777" w:rsidR="00A0113E" w:rsidRPr="001360CF" w:rsidRDefault="00A0113E" w:rsidP="00A0113E">
      <w:pPr>
        <w:pStyle w:val="FootnoteText"/>
        <w:jc w:val="both"/>
        <w:rPr>
          <w:sz w:val="18"/>
          <w:szCs w:val="18"/>
          <w:lang w:val="en-GB"/>
        </w:rPr>
      </w:pPr>
      <w:r w:rsidRPr="001360CF">
        <w:rPr>
          <w:rStyle w:val="FootnoteReference"/>
          <w:sz w:val="18"/>
          <w:szCs w:val="18"/>
        </w:rPr>
        <w:footnoteRef/>
      </w:r>
      <w:r w:rsidRPr="001360CF">
        <w:rPr>
          <w:sz w:val="18"/>
          <w:szCs w:val="18"/>
          <w:lang w:val="en-US"/>
        </w:rPr>
        <w:t xml:space="preserve"> </w:t>
      </w:r>
      <w:r w:rsidRPr="001360CF">
        <w:rPr>
          <w:i/>
          <w:sz w:val="18"/>
          <w:szCs w:val="18"/>
          <w:lang w:val="en-US"/>
        </w:rPr>
        <w:t>Enver Şahin v. Turkey</w:t>
      </w:r>
      <w:r w:rsidRPr="001360CF">
        <w:rPr>
          <w:sz w:val="18"/>
          <w:szCs w:val="18"/>
          <w:lang w:val="en-US"/>
        </w:rPr>
        <w:t xml:space="preserve"> (application no.</w:t>
      </w:r>
      <w:r w:rsidRPr="001360CF">
        <w:rPr>
          <w:i/>
          <w:iCs/>
          <w:sz w:val="18"/>
          <w:szCs w:val="18"/>
          <w:lang w:val="en-US"/>
        </w:rPr>
        <w:t> </w:t>
      </w:r>
      <w:r w:rsidRPr="001360CF">
        <w:rPr>
          <w:sz w:val="18"/>
          <w:szCs w:val="18"/>
          <w:lang w:val="en-US"/>
        </w:rPr>
        <w:t>23065/12</w:t>
      </w:r>
      <w:r w:rsidRPr="001360CF">
        <w:rPr>
          <w:i/>
          <w:iCs/>
          <w:sz w:val="18"/>
          <w:szCs w:val="18"/>
          <w:lang w:val="en-US"/>
        </w:rPr>
        <w:t>)</w:t>
      </w:r>
      <w:r w:rsidRPr="001360CF">
        <w:rPr>
          <w:iCs/>
          <w:sz w:val="18"/>
          <w:szCs w:val="18"/>
          <w:lang w:val="en-US"/>
        </w:rPr>
        <w:t>, 30 January 2018.</w:t>
      </w:r>
    </w:p>
  </w:footnote>
  <w:footnote w:id="39">
    <w:p w14:paraId="7C29E8D8" w14:textId="77777777" w:rsidR="00A0113E" w:rsidRPr="001360CF" w:rsidRDefault="00A0113E" w:rsidP="00A0113E">
      <w:pPr>
        <w:pStyle w:val="FootnoteText"/>
        <w:jc w:val="both"/>
        <w:rPr>
          <w:sz w:val="18"/>
          <w:szCs w:val="18"/>
          <w:lang w:val="en-US"/>
        </w:rPr>
      </w:pPr>
      <w:r w:rsidRPr="001360CF">
        <w:rPr>
          <w:rStyle w:val="FootnoteReference"/>
          <w:sz w:val="18"/>
          <w:szCs w:val="18"/>
        </w:rPr>
        <w:footnoteRef/>
      </w:r>
      <w:r w:rsidRPr="001360CF">
        <w:rPr>
          <w:sz w:val="18"/>
          <w:szCs w:val="18"/>
          <w:lang w:val="en-US"/>
        </w:rPr>
        <w:t xml:space="preserve"> </w:t>
      </w:r>
      <w:r w:rsidRPr="001360CF">
        <w:rPr>
          <w:i/>
          <w:sz w:val="18"/>
          <w:szCs w:val="18"/>
          <w:lang w:val="en-US"/>
        </w:rPr>
        <w:t>Enver Şahin v. Turkey</w:t>
      </w:r>
      <w:r w:rsidRPr="001360CF">
        <w:rPr>
          <w:sz w:val="18"/>
          <w:szCs w:val="18"/>
          <w:lang w:val="en-US"/>
        </w:rPr>
        <w:t xml:space="preserve"> (application no.</w:t>
      </w:r>
      <w:r w:rsidRPr="001360CF">
        <w:rPr>
          <w:i/>
          <w:iCs/>
          <w:sz w:val="18"/>
          <w:szCs w:val="18"/>
          <w:lang w:val="en-US"/>
        </w:rPr>
        <w:t> </w:t>
      </w:r>
      <w:r w:rsidRPr="001360CF">
        <w:rPr>
          <w:sz w:val="18"/>
          <w:szCs w:val="18"/>
          <w:lang w:val="en-US"/>
        </w:rPr>
        <w:t>23065/12</w:t>
      </w:r>
      <w:r w:rsidRPr="001360CF">
        <w:rPr>
          <w:i/>
          <w:iCs/>
          <w:sz w:val="18"/>
          <w:szCs w:val="18"/>
          <w:lang w:val="en-US"/>
        </w:rPr>
        <w:t>)</w:t>
      </w:r>
      <w:r w:rsidRPr="001360CF">
        <w:rPr>
          <w:iCs/>
          <w:sz w:val="18"/>
          <w:szCs w:val="18"/>
          <w:lang w:val="en-US"/>
        </w:rPr>
        <w:t xml:space="preserve">, 30 January 2018, paras. 19 and 60. See also </w:t>
      </w:r>
      <w:r w:rsidRPr="001360CF">
        <w:rPr>
          <w:rFonts w:cs="Arial"/>
          <w:i/>
          <w:iCs/>
          <w:sz w:val="18"/>
          <w:szCs w:val="18"/>
          <w:lang w:val="en-US"/>
        </w:rPr>
        <w:t>Çam v. Turkey</w:t>
      </w:r>
      <w:r w:rsidRPr="001360CF">
        <w:rPr>
          <w:rFonts w:cs="Arial"/>
          <w:sz w:val="18"/>
          <w:szCs w:val="18"/>
          <w:lang w:val="en-US"/>
        </w:rPr>
        <w:t>, (</w:t>
      </w:r>
      <w:hyperlink r:id="rId15" w:anchor="{%22fulltext%22:[%2251500/08%22],%22documentcollectionid2%22:[%22GRANDCHAMBER%22,%22CHAMBER%22],%22itemid%22:[%22001-161149%22]}" w:history="1">
        <w:r w:rsidRPr="001360CF">
          <w:rPr>
            <w:rStyle w:val="FootnoteTextChar"/>
            <w:rFonts w:cs="Arial"/>
            <w:sz w:val="18"/>
            <w:szCs w:val="18"/>
            <w:lang w:val="en-US"/>
          </w:rPr>
          <w:t>51500/08</w:t>
        </w:r>
      </w:hyperlink>
      <w:r w:rsidRPr="001360CF">
        <w:rPr>
          <w:rFonts w:cs="Arial"/>
          <w:sz w:val="18"/>
          <w:szCs w:val="18"/>
          <w:lang w:val="en-US"/>
        </w:rPr>
        <w:t xml:space="preserve">), ECHR 2016, paras. 53 and 65; </w:t>
      </w:r>
      <w:r w:rsidRPr="001360CF">
        <w:rPr>
          <w:rFonts w:cs="Arial"/>
          <w:i/>
          <w:iCs/>
          <w:sz w:val="18"/>
          <w:szCs w:val="18"/>
          <w:lang w:val="en-US"/>
        </w:rPr>
        <w:t xml:space="preserve">Guberina v Croatia, </w:t>
      </w:r>
      <w:r w:rsidRPr="001360CF">
        <w:rPr>
          <w:rFonts w:cs="Arial"/>
          <w:sz w:val="18"/>
          <w:szCs w:val="18"/>
          <w:lang w:val="en-US"/>
        </w:rPr>
        <w:t>(</w:t>
      </w:r>
      <w:hyperlink r:id="rId16" w:anchor="{%22itemid%22:[%22001-161530%22]}" w:history="1">
        <w:r w:rsidRPr="001360CF">
          <w:rPr>
            <w:rStyle w:val="FootnoteTextChar"/>
            <w:rFonts w:cs="Arial"/>
            <w:sz w:val="18"/>
            <w:szCs w:val="18"/>
            <w:lang w:val="en-US"/>
          </w:rPr>
          <w:t>23628/13</w:t>
        </w:r>
      </w:hyperlink>
      <w:r w:rsidRPr="001360CF">
        <w:rPr>
          <w:rFonts w:cs="Arial"/>
          <w:sz w:val="18"/>
          <w:szCs w:val="18"/>
          <w:lang w:val="en-US"/>
        </w:rPr>
        <w:t xml:space="preserve">), ECHR 2016, paras. 34, 35; </w:t>
      </w:r>
      <w:r w:rsidRPr="001360CF">
        <w:rPr>
          <w:rFonts w:cs="Arial"/>
          <w:i/>
          <w:iCs/>
          <w:sz w:val="18"/>
          <w:szCs w:val="18"/>
          <w:lang w:val="en-US"/>
        </w:rPr>
        <w:t xml:space="preserve">Ivinovic v Croatia, </w:t>
      </w:r>
      <w:r w:rsidRPr="001360CF">
        <w:rPr>
          <w:rFonts w:cs="Arial"/>
          <w:sz w:val="18"/>
          <w:szCs w:val="18"/>
          <w:lang w:val="en-US"/>
        </w:rPr>
        <w:t>(</w:t>
      </w:r>
      <w:hyperlink r:id="rId17" w:anchor="{%22fulltext%22:[%2213006/13%22],%22documentcollectionid2%22:[%22GRANDCHAMBER%22,%22CHAMBER%22],%22itemid%22:[%22001-146393%22]}" w:history="1">
        <w:r w:rsidRPr="001360CF">
          <w:rPr>
            <w:rStyle w:val="FootnoteTextChar"/>
            <w:rFonts w:cs="Arial"/>
            <w:sz w:val="18"/>
            <w:szCs w:val="18"/>
            <w:lang w:val="en-US"/>
          </w:rPr>
          <w:t>13006/13</w:t>
        </w:r>
      </w:hyperlink>
      <w:r w:rsidRPr="001360CF">
        <w:rPr>
          <w:rFonts w:cs="Arial"/>
          <w:sz w:val="18"/>
          <w:szCs w:val="18"/>
          <w:lang w:val="en-US"/>
        </w:rPr>
        <w:t>), ECHR 2014, para. 21.</w:t>
      </w:r>
    </w:p>
  </w:footnote>
  <w:footnote w:id="40">
    <w:p w14:paraId="6ED69A4E" w14:textId="77777777" w:rsidR="00A0113E" w:rsidRPr="001360CF" w:rsidRDefault="00A0113E" w:rsidP="00A0113E">
      <w:pPr>
        <w:pStyle w:val="FootnoteText"/>
        <w:jc w:val="both"/>
        <w:rPr>
          <w:rFonts w:cs="Arial"/>
          <w:sz w:val="18"/>
          <w:szCs w:val="18"/>
          <w:lang w:val="es-ES"/>
        </w:rPr>
      </w:pPr>
      <w:r w:rsidRPr="001360CF">
        <w:rPr>
          <w:rStyle w:val="FootnoteReference"/>
          <w:rFonts w:cs="Arial"/>
          <w:sz w:val="18"/>
          <w:szCs w:val="18"/>
        </w:rPr>
        <w:footnoteRef/>
      </w:r>
      <w:r w:rsidRPr="001360CF">
        <w:rPr>
          <w:rFonts w:cs="Arial"/>
          <w:sz w:val="18"/>
          <w:szCs w:val="18"/>
          <w:lang w:val="en-GB"/>
        </w:rPr>
        <w:t xml:space="preserve"> See e.g. </w:t>
      </w:r>
      <w:r w:rsidRPr="001360CF">
        <w:rPr>
          <w:rFonts w:cs="Arial"/>
          <w:i/>
          <w:iCs/>
          <w:sz w:val="18"/>
          <w:szCs w:val="18"/>
          <w:lang w:val="en-GB"/>
        </w:rPr>
        <w:t xml:space="preserve">Guberina v Croatia, </w:t>
      </w:r>
      <w:r w:rsidRPr="001360CF">
        <w:rPr>
          <w:rFonts w:cs="Arial"/>
          <w:sz w:val="18"/>
          <w:szCs w:val="18"/>
          <w:lang w:val="en-GB"/>
        </w:rPr>
        <w:t>(</w:t>
      </w:r>
      <w:hyperlink r:id="rId18" w:anchor="{%22itemid%22:[%22001-161530%22]}" w:history="1">
        <w:r w:rsidRPr="001360CF">
          <w:rPr>
            <w:rStyle w:val="FootnoteTextChar"/>
            <w:rFonts w:cs="Arial"/>
            <w:sz w:val="18"/>
            <w:szCs w:val="18"/>
            <w:lang w:val="en-GB"/>
          </w:rPr>
          <w:t>23628/13</w:t>
        </w:r>
      </w:hyperlink>
      <w:r w:rsidRPr="001360CF">
        <w:rPr>
          <w:rFonts w:cs="Arial"/>
          <w:sz w:val="18"/>
          <w:szCs w:val="18"/>
          <w:lang w:val="en-GB"/>
        </w:rPr>
        <w:t xml:space="preserve">), ECHR 2016, paras. 79 and 92; </w:t>
      </w:r>
      <w:r w:rsidRPr="001360CF">
        <w:rPr>
          <w:rFonts w:cs="Arial"/>
          <w:i/>
          <w:iCs/>
          <w:sz w:val="18"/>
          <w:szCs w:val="18"/>
          <w:lang w:val="en-GB"/>
        </w:rPr>
        <w:t xml:space="preserve">Kiyutin v Russia, </w:t>
      </w:r>
      <w:r w:rsidRPr="001360CF">
        <w:rPr>
          <w:rFonts w:cs="Arial"/>
          <w:sz w:val="18"/>
          <w:szCs w:val="18"/>
          <w:lang w:val="en-GB"/>
        </w:rPr>
        <w:t>(</w:t>
      </w:r>
      <w:hyperlink r:id="rId19" w:anchor="{%22fulltext%22:[%222700/10%22],%22documentcollectionid2%22:[%22GRANDCHAMBER%22,%22CHAMBER%22],%22itemid%22:[%22001-103904%22]}" w:history="1">
        <w:r w:rsidRPr="001360CF">
          <w:rPr>
            <w:rStyle w:val="FootnoteTextChar"/>
            <w:rFonts w:cs="Arial"/>
            <w:sz w:val="18"/>
            <w:szCs w:val="18"/>
            <w:lang w:val="en-GB"/>
          </w:rPr>
          <w:t>2700/10</w:t>
        </w:r>
      </w:hyperlink>
      <w:r w:rsidRPr="001360CF">
        <w:rPr>
          <w:rFonts w:cs="Arial"/>
          <w:sz w:val="18"/>
          <w:szCs w:val="18"/>
          <w:lang w:val="en-GB"/>
        </w:rPr>
        <w:t xml:space="preserve">), ECHR, 2011, paras. 57 and 71; </w:t>
      </w:r>
      <w:r w:rsidRPr="001360CF">
        <w:rPr>
          <w:rFonts w:cs="Arial"/>
          <w:i/>
          <w:iCs/>
          <w:sz w:val="18"/>
          <w:szCs w:val="18"/>
          <w:lang w:val="en-GB"/>
        </w:rPr>
        <w:t xml:space="preserve">Glor v Switzerland, </w:t>
      </w:r>
      <w:r w:rsidRPr="001360CF">
        <w:rPr>
          <w:rFonts w:cs="Arial"/>
          <w:sz w:val="18"/>
          <w:szCs w:val="18"/>
          <w:lang w:val="en-GB"/>
        </w:rPr>
        <w:t>(</w:t>
      </w:r>
      <w:hyperlink r:id="rId20" w:anchor="{%22fulltext%22:[%2213444/04%22],%22documentcollectionid2%22:[%22GRANDCHAMBER%22,%22CHAMBER%22],%22itemid%22:[%22001-92525%22]}" w:history="1">
        <w:r w:rsidRPr="001360CF">
          <w:rPr>
            <w:rStyle w:val="FootnoteTextChar"/>
            <w:rFonts w:cs="Arial"/>
            <w:sz w:val="18"/>
            <w:szCs w:val="18"/>
            <w:lang w:val="en-GB"/>
          </w:rPr>
          <w:t>13444/04</w:t>
        </w:r>
      </w:hyperlink>
      <w:r w:rsidRPr="001360CF">
        <w:rPr>
          <w:rFonts w:cs="Arial"/>
          <w:sz w:val="18"/>
          <w:szCs w:val="18"/>
          <w:lang w:val="en-GB"/>
        </w:rPr>
        <w:t xml:space="preserve">), ECHR 2009, paras. </w:t>
      </w:r>
      <w:r w:rsidRPr="001360CF">
        <w:rPr>
          <w:rFonts w:cs="Arial"/>
          <w:sz w:val="18"/>
          <w:szCs w:val="18"/>
          <w:lang w:val="es-ES"/>
        </w:rPr>
        <w:t xml:space="preserve">53 and 98 </w:t>
      </w:r>
    </w:p>
  </w:footnote>
  <w:footnote w:id="41">
    <w:p w14:paraId="39EA9BA5" w14:textId="77777777" w:rsidR="00A0113E" w:rsidRPr="001360CF" w:rsidRDefault="00A0113E" w:rsidP="00A0113E">
      <w:pPr>
        <w:pStyle w:val="FootnoteText"/>
        <w:jc w:val="both"/>
        <w:rPr>
          <w:i/>
          <w:iCs/>
          <w:sz w:val="18"/>
          <w:szCs w:val="18"/>
          <w:lang w:val="es-ES"/>
        </w:rPr>
      </w:pPr>
      <w:r w:rsidRPr="001360CF">
        <w:rPr>
          <w:rStyle w:val="FootnoteReference"/>
          <w:sz w:val="18"/>
          <w:szCs w:val="18"/>
        </w:rPr>
        <w:footnoteRef/>
      </w:r>
      <w:r w:rsidRPr="001360CF">
        <w:rPr>
          <w:sz w:val="18"/>
          <w:szCs w:val="18"/>
          <w:lang w:val="es-ES"/>
        </w:rPr>
        <w:t xml:space="preserve"> </w:t>
      </w:r>
      <w:r w:rsidRPr="001360CF">
        <w:rPr>
          <w:rFonts w:cs="Arial"/>
          <w:i/>
          <w:iCs/>
          <w:sz w:val="18"/>
          <w:szCs w:val="18"/>
          <w:lang w:val="es-ES"/>
        </w:rPr>
        <w:t xml:space="preserve">Çam v. </w:t>
      </w:r>
      <w:proofErr w:type="spellStart"/>
      <w:r w:rsidRPr="001360CF">
        <w:rPr>
          <w:rFonts w:cs="Arial"/>
          <w:i/>
          <w:iCs/>
          <w:sz w:val="18"/>
          <w:szCs w:val="18"/>
          <w:lang w:val="es-ES"/>
        </w:rPr>
        <w:t>Turkey</w:t>
      </w:r>
      <w:proofErr w:type="spellEnd"/>
      <w:r w:rsidRPr="001360CF">
        <w:rPr>
          <w:rFonts w:cs="Arial"/>
          <w:sz w:val="18"/>
          <w:szCs w:val="18"/>
          <w:lang w:val="es-ES"/>
        </w:rPr>
        <w:t>, (</w:t>
      </w:r>
      <w:hyperlink r:id="rId21" w:anchor="{%22fulltext%22:[%2251500/08%22],%22documentcollectionid2%22:[%22GRANDCHAMBER%22,%22CHAMBER%22],%22itemid%22:[%22001-161149%22]}" w:history="1">
        <w:r w:rsidRPr="001360CF">
          <w:rPr>
            <w:rStyle w:val="FootnoteTextChar"/>
            <w:rFonts w:cs="Arial"/>
            <w:sz w:val="18"/>
            <w:szCs w:val="18"/>
            <w:lang w:val="es-ES"/>
          </w:rPr>
          <w:t>51500/08</w:t>
        </w:r>
      </w:hyperlink>
      <w:r w:rsidRPr="001360CF">
        <w:rPr>
          <w:rFonts w:cs="Arial"/>
          <w:sz w:val="18"/>
          <w:szCs w:val="18"/>
          <w:lang w:val="es-ES"/>
        </w:rPr>
        <w:t xml:space="preserve">), ECHR 2016, paras. 65-69; </w:t>
      </w:r>
      <w:proofErr w:type="spellStart"/>
      <w:r w:rsidRPr="001360CF">
        <w:rPr>
          <w:rFonts w:cs="Arial"/>
          <w:i/>
          <w:iCs/>
          <w:sz w:val="18"/>
          <w:szCs w:val="18"/>
          <w:lang w:val="es-ES"/>
        </w:rPr>
        <w:t>Guberina</w:t>
      </w:r>
      <w:proofErr w:type="spellEnd"/>
      <w:r w:rsidRPr="001360CF">
        <w:rPr>
          <w:rFonts w:cs="Arial"/>
          <w:i/>
          <w:iCs/>
          <w:sz w:val="18"/>
          <w:szCs w:val="18"/>
          <w:lang w:val="es-ES"/>
        </w:rPr>
        <w:t xml:space="preserve"> v </w:t>
      </w:r>
      <w:proofErr w:type="spellStart"/>
      <w:r w:rsidRPr="001360CF">
        <w:rPr>
          <w:rFonts w:cs="Arial"/>
          <w:i/>
          <w:iCs/>
          <w:sz w:val="18"/>
          <w:szCs w:val="18"/>
          <w:lang w:val="es-ES"/>
        </w:rPr>
        <w:t>Croatia</w:t>
      </w:r>
      <w:proofErr w:type="spellEnd"/>
      <w:r w:rsidRPr="001360CF">
        <w:rPr>
          <w:rFonts w:cs="Arial"/>
          <w:i/>
          <w:iCs/>
          <w:sz w:val="18"/>
          <w:szCs w:val="18"/>
          <w:lang w:val="es-ES"/>
        </w:rPr>
        <w:t xml:space="preserve">, </w:t>
      </w:r>
      <w:r w:rsidRPr="001360CF">
        <w:rPr>
          <w:rFonts w:cs="Arial"/>
          <w:sz w:val="18"/>
          <w:szCs w:val="18"/>
          <w:lang w:val="es-ES"/>
        </w:rPr>
        <w:t>(</w:t>
      </w:r>
      <w:hyperlink r:id="rId22" w:anchor="{%22itemid%22:[%22001-161530%22]}" w:history="1">
        <w:r w:rsidRPr="001360CF">
          <w:rPr>
            <w:rStyle w:val="FootnoteTextChar"/>
            <w:rFonts w:cs="Arial"/>
            <w:sz w:val="18"/>
            <w:szCs w:val="18"/>
            <w:lang w:val="es-ES"/>
          </w:rPr>
          <w:t>23628/13</w:t>
        </w:r>
      </w:hyperlink>
      <w:r w:rsidRPr="001360CF">
        <w:rPr>
          <w:rFonts w:cs="Arial"/>
          <w:sz w:val="18"/>
          <w:szCs w:val="18"/>
          <w:lang w:val="es-ES"/>
        </w:rPr>
        <w:t>), ECHR 2016, para. 92.</w:t>
      </w:r>
    </w:p>
  </w:footnote>
  <w:footnote w:id="42">
    <w:p w14:paraId="7861E5C6" w14:textId="77777777" w:rsidR="00A0113E" w:rsidRPr="001360CF" w:rsidRDefault="00A0113E" w:rsidP="00A0113E">
      <w:pPr>
        <w:pStyle w:val="FootnoteText"/>
        <w:rPr>
          <w:sz w:val="18"/>
          <w:szCs w:val="18"/>
          <w:lang w:val="es-ES"/>
        </w:rPr>
      </w:pPr>
      <w:r w:rsidRPr="001360CF">
        <w:rPr>
          <w:rStyle w:val="FootnoteReference"/>
          <w:sz w:val="18"/>
          <w:szCs w:val="18"/>
        </w:rPr>
        <w:footnoteRef/>
      </w:r>
      <w:r w:rsidRPr="001360CF">
        <w:rPr>
          <w:sz w:val="18"/>
          <w:szCs w:val="18"/>
          <w:lang w:val="es-ES"/>
        </w:rPr>
        <w:t xml:space="preserve"> </w:t>
      </w:r>
      <w:r w:rsidRPr="001360CF">
        <w:rPr>
          <w:i/>
          <w:iCs/>
          <w:sz w:val="18"/>
          <w:szCs w:val="18"/>
          <w:lang w:val="en-US"/>
        </w:rPr>
        <w:t>G.L. c. Ital</w:t>
      </w:r>
      <w:r w:rsidRPr="001360CF">
        <w:rPr>
          <w:i/>
          <w:iCs/>
          <w:sz w:val="18"/>
          <w:szCs w:val="18"/>
          <w:lang w:val="es-ES"/>
        </w:rPr>
        <w:t>y</w:t>
      </w:r>
      <w:r w:rsidRPr="001360CF">
        <w:rPr>
          <w:sz w:val="18"/>
          <w:szCs w:val="18"/>
          <w:lang w:val="en-US"/>
        </w:rPr>
        <w:t xml:space="preserve"> (</w:t>
      </w:r>
      <w:hyperlink w:tgtFrame="_blank" w:history="1">
        <w:r w:rsidRPr="001360CF">
          <w:rPr>
            <w:rStyle w:val="FootnoteTextChar"/>
            <w:sz w:val="18"/>
            <w:szCs w:val="18"/>
            <w:lang w:val="en-US"/>
          </w:rPr>
          <w:t>59751/15</w:t>
        </w:r>
      </w:hyperlink>
      <w:r w:rsidRPr="001360CF">
        <w:rPr>
          <w:sz w:val="18"/>
          <w:szCs w:val="18"/>
          <w:lang w:val="en-US"/>
        </w:rPr>
        <w:t>)</w:t>
      </w:r>
      <w:r w:rsidRPr="001360CF">
        <w:rPr>
          <w:sz w:val="18"/>
          <w:szCs w:val="18"/>
          <w:lang w:val="es-ES"/>
        </w:rPr>
        <w:t>, ECHR, 2020, para. 70.</w:t>
      </w:r>
    </w:p>
  </w:footnote>
  <w:footnote w:id="43">
    <w:p w14:paraId="5EB8DF27" w14:textId="77777777" w:rsidR="00A0113E" w:rsidRPr="001360CF" w:rsidRDefault="00A0113E" w:rsidP="00A0113E">
      <w:pPr>
        <w:pStyle w:val="FootnoteText"/>
        <w:jc w:val="both"/>
        <w:rPr>
          <w:rFonts w:cs="Arial"/>
          <w:sz w:val="18"/>
          <w:szCs w:val="18"/>
          <w:lang w:val="es-ES"/>
        </w:rPr>
      </w:pPr>
      <w:r w:rsidRPr="001360CF">
        <w:rPr>
          <w:rStyle w:val="FootnoteReference"/>
          <w:rFonts w:cs="Arial"/>
          <w:sz w:val="18"/>
          <w:szCs w:val="18"/>
        </w:rPr>
        <w:footnoteRef/>
      </w:r>
      <w:r w:rsidRPr="001360CF">
        <w:rPr>
          <w:rFonts w:cs="Arial"/>
          <w:sz w:val="18"/>
          <w:szCs w:val="18"/>
          <w:lang w:val="es-ES"/>
        </w:rPr>
        <w:t xml:space="preserve"> See e.g. </w:t>
      </w:r>
      <w:proofErr w:type="spellStart"/>
      <w:r w:rsidRPr="001360CF">
        <w:rPr>
          <w:rFonts w:cs="Arial"/>
          <w:i/>
          <w:iCs/>
          <w:sz w:val="18"/>
          <w:szCs w:val="18"/>
          <w:lang w:val="es-MX"/>
        </w:rPr>
        <w:t>Mihailovs</w:t>
      </w:r>
      <w:proofErr w:type="spellEnd"/>
      <w:r w:rsidRPr="001360CF">
        <w:rPr>
          <w:rFonts w:cs="Arial"/>
          <w:i/>
          <w:iCs/>
          <w:sz w:val="18"/>
          <w:szCs w:val="18"/>
          <w:lang w:val="es-MX"/>
        </w:rPr>
        <w:t xml:space="preserve"> v </w:t>
      </w:r>
      <w:proofErr w:type="spellStart"/>
      <w:r w:rsidRPr="001360CF">
        <w:rPr>
          <w:rFonts w:cs="Arial"/>
          <w:i/>
          <w:iCs/>
          <w:sz w:val="18"/>
          <w:szCs w:val="18"/>
          <w:lang w:val="es-MX"/>
        </w:rPr>
        <w:t>Latvia</w:t>
      </w:r>
      <w:proofErr w:type="spellEnd"/>
      <w:r w:rsidRPr="001360CF">
        <w:rPr>
          <w:rFonts w:cs="Arial"/>
          <w:i/>
          <w:iCs/>
          <w:sz w:val="18"/>
          <w:szCs w:val="18"/>
          <w:lang w:val="es-MX"/>
        </w:rPr>
        <w:t xml:space="preserve">, </w:t>
      </w:r>
      <w:r w:rsidRPr="001360CF">
        <w:rPr>
          <w:rFonts w:cs="Arial"/>
          <w:sz w:val="18"/>
          <w:szCs w:val="18"/>
          <w:lang w:val="es-MX"/>
        </w:rPr>
        <w:t>(</w:t>
      </w:r>
      <w:hyperlink r:id="rId23" w:anchor="{%22fulltext%22:[%2235939/10%22],%22documentcollectionid2%22:[%22GRANDCHAMBER%22,%22CHAMBER%22],%22itemid%22:[%22001-116075%22]}" w:history="1">
        <w:r w:rsidRPr="001360CF">
          <w:rPr>
            <w:rStyle w:val="FootnoteTextChar"/>
            <w:rFonts w:cs="Arial"/>
            <w:sz w:val="18"/>
            <w:szCs w:val="18"/>
            <w:lang w:val="es-MX"/>
          </w:rPr>
          <w:t>3539/10</w:t>
        </w:r>
      </w:hyperlink>
      <w:r w:rsidRPr="001360CF">
        <w:rPr>
          <w:rFonts w:cs="Arial"/>
          <w:sz w:val="18"/>
          <w:szCs w:val="18"/>
          <w:lang w:val="es-MX"/>
        </w:rPr>
        <w:t xml:space="preserve">), ECHR 2013, para 62; </w:t>
      </w:r>
      <w:r w:rsidRPr="001360CF">
        <w:rPr>
          <w:rFonts w:cs="Arial"/>
          <w:i/>
          <w:iCs/>
          <w:sz w:val="18"/>
          <w:szCs w:val="18"/>
          <w:lang w:val="es-MX"/>
        </w:rPr>
        <w:t xml:space="preserve">Stanev v Bulgaria </w:t>
      </w:r>
      <w:r w:rsidRPr="001360CF">
        <w:rPr>
          <w:rFonts w:cs="Arial"/>
          <w:sz w:val="18"/>
          <w:szCs w:val="18"/>
          <w:lang w:val="es-MX"/>
        </w:rPr>
        <w:t>(</w:t>
      </w:r>
      <w:hyperlink r:id="rId24" w:anchor="{%22appno%22:[%2236760/06%22],%22itemid%22:[%22001-108690%22]}" w:history="1">
        <w:r w:rsidRPr="001360CF">
          <w:rPr>
            <w:rStyle w:val="FootnoteTextChar"/>
            <w:rFonts w:cs="Arial"/>
            <w:sz w:val="18"/>
            <w:szCs w:val="18"/>
            <w:lang w:val="es-MX"/>
          </w:rPr>
          <w:t>367760/06</w:t>
        </w:r>
      </w:hyperlink>
      <w:r w:rsidRPr="001360CF">
        <w:rPr>
          <w:rFonts w:cs="Arial"/>
          <w:sz w:val="18"/>
          <w:szCs w:val="18"/>
          <w:lang w:val="es-MX"/>
        </w:rPr>
        <w:t>), ECHR 2012, para. 72;</w:t>
      </w:r>
      <w:r w:rsidRPr="001360CF">
        <w:rPr>
          <w:rFonts w:cs="Arial"/>
          <w:i/>
          <w:iCs/>
          <w:sz w:val="18"/>
          <w:szCs w:val="18"/>
          <w:lang w:val="es-MX"/>
        </w:rPr>
        <w:t xml:space="preserve">D.D. v Lithuania, </w:t>
      </w:r>
      <w:r w:rsidRPr="001360CF">
        <w:rPr>
          <w:rFonts w:cs="Arial"/>
          <w:sz w:val="18"/>
          <w:szCs w:val="18"/>
          <w:lang w:val="es-MX"/>
        </w:rPr>
        <w:t>(</w:t>
      </w:r>
      <w:hyperlink r:id="rId25" w:anchor="{%22fulltext%22:[%2213469/06%22],%22documentcollectionid2%22:[%22GRANDCHAMBER%22,%22CHAMBER%22],%22itemid%22:[%22001-109091%22]}" w:history="1">
        <w:r w:rsidRPr="001360CF">
          <w:rPr>
            <w:rStyle w:val="FootnoteTextChar"/>
            <w:rFonts w:cs="Arial"/>
            <w:sz w:val="18"/>
            <w:szCs w:val="18"/>
            <w:lang w:val="es-MX"/>
          </w:rPr>
          <w:t>13469/06</w:t>
        </w:r>
      </w:hyperlink>
      <w:r w:rsidRPr="001360CF">
        <w:rPr>
          <w:rFonts w:cs="Arial"/>
          <w:sz w:val="18"/>
          <w:szCs w:val="18"/>
          <w:lang w:val="es-MX"/>
        </w:rPr>
        <w:t xml:space="preserve">), ECHR 2012, para. 84; </w:t>
      </w:r>
      <w:proofErr w:type="spellStart"/>
      <w:r w:rsidRPr="001360CF">
        <w:rPr>
          <w:rFonts w:cs="Arial"/>
          <w:i/>
          <w:iCs/>
          <w:sz w:val="18"/>
          <w:szCs w:val="18"/>
          <w:lang w:val="es-MX"/>
        </w:rPr>
        <w:t>Plesó</w:t>
      </w:r>
      <w:proofErr w:type="spellEnd"/>
      <w:r w:rsidRPr="001360CF">
        <w:rPr>
          <w:rFonts w:cs="Arial"/>
          <w:i/>
          <w:iCs/>
          <w:sz w:val="18"/>
          <w:szCs w:val="18"/>
          <w:lang w:val="es-MX"/>
        </w:rPr>
        <w:t xml:space="preserve"> v </w:t>
      </w:r>
      <w:proofErr w:type="spellStart"/>
      <w:r w:rsidRPr="001360CF">
        <w:rPr>
          <w:rFonts w:cs="Arial"/>
          <w:i/>
          <w:iCs/>
          <w:sz w:val="18"/>
          <w:szCs w:val="18"/>
          <w:lang w:val="es-MX"/>
        </w:rPr>
        <w:t>Hungary</w:t>
      </w:r>
      <w:proofErr w:type="spellEnd"/>
      <w:r w:rsidRPr="001360CF">
        <w:rPr>
          <w:rFonts w:cs="Arial"/>
          <w:i/>
          <w:iCs/>
          <w:sz w:val="18"/>
          <w:szCs w:val="18"/>
          <w:lang w:val="es-MX"/>
        </w:rPr>
        <w:t>,</w:t>
      </w:r>
      <w:r w:rsidRPr="001360CF">
        <w:rPr>
          <w:rFonts w:cs="Arial"/>
          <w:sz w:val="18"/>
          <w:szCs w:val="18"/>
          <w:lang w:val="es-MX"/>
        </w:rPr>
        <w:t xml:space="preserve"> (</w:t>
      </w:r>
      <w:hyperlink r:id="rId26" w:anchor="{%22fulltext%22:[%2241242/08%22],%22documentcollectionid2%22:[%22GRANDCHAMBER%22,%22CHAMBER%22],%22itemid%22:[%22001-113293%22]}" w:history="1">
        <w:r w:rsidRPr="001360CF">
          <w:rPr>
            <w:rStyle w:val="FootnoteTextChar"/>
            <w:rFonts w:cs="Arial"/>
            <w:sz w:val="18"/>
            <w:szCs w:val="18"/>
            <w:lang w:val="es-MX"/>
          </w:rPr>
          <w:t>41242/08</w:t>
        </w:r>
      </w:hyperlink>
      <w:r w:rsidRPr="001360CF">
        <w:rPr>
          <w:rFonts w:cs="Arial"/>
          <w:sz w:val="18"/>
          <w:szCs w:val="18"/>
          <w:lang w:val="es-MX"/>
        </w:rPr>
        <w:t xml:space="preserve">), ECHR 2012, para. </w:t>
      </w:r>
      <w:r w:rsidRPr="001360CF">
        <w:rPr>
          <w:rFonts w:cs="Arial"/>
          <w:sz w:val="18"/>
          <w:szCs w:val="18"/>
          <w:lang w:val="es-ES"/>
        </w:rPr>
        <w:t xml:space="preserve">37; </w:t>
      </w:r>
      <w:r w:rsidRPr="001360CF">
        <w:rPr>
          <w:rFonts w:cs="Arial"/>
          <w:i/>
          <w:iCs/>
          <w:sz w:val="18"/>
          <w:szCs w:val="18"/>
          <w:lang w:val="es-ES"/>
        </w:rPr>
        <w:t>N v Romania</w:t>
      </w:r>
      <w:r w:rsidRPr="001360CF">
        <w:rPr>
          <w:rFonts w:cs="Arial"/>
          <w:sz w:val="18"/>
          <w:szCs w:val="18"/>
          <w:lang w:val="es-ES"/>
        </w:rPr>
        <w:t>, (</w:t>
      </w:r>
      <w:hyperlink r:id="rId27" w:anchor="{%22fulltext%22:[%2259152/08%22],%22documentcollectionid2%22:[%22GRANDCHAMBER%22,%22CHAMBER%22],%22itemid%22:[%22001-179207%22]}" w:history="1">
        <w:r w:rsidRPr="001360CF">
          <w:rPr>
            <w:rStyle w:val="FootnoteTextChar"/>
            <w:rFonts w:cs="Arial"/>
            <w:sz w:val="18"/>
            <w:szCs w:val="18"/>
            <w:lang w:val="es-ES"/>
          </w:rPr>
          <w:t>59152/08</w:t>
        </w:r>
      </w:hyperlink>
      <w:r w:rsidRPr="001360CF">
        <w:rPr>
          <w:rFonts w:cs="Arial"/>
          <w:sz w:val="18"/>
          <w:szCs w:val="18"/>
          <w:lang w:val="es-ES"/>
        </w:rPr>
        <w:t xml:space="preserve">), ECHR 2017, para. 147. </w:t>
      </w:r>
    </w:p>
  </w:footnote>
  <w:footnote w:id="44">
    <w:p w14:paraId="7555CFAE" w14:textId="77777777" w:rsidR="00A0113E" w:rsidRPr="001360CF" w:rsidRDefault="00A0113E" w:rsidP="00A0113E">
      <w:pPr>
        <w:pStyle w:val="FootnoteText"/>
        <w:rPr>
          <w:sz w:val="18"/>
          <w:szCs w:val="18"/>
          <w:lang w:val="en-US"/>
        </w:rPr>
      </w:pPr>
      <w:r w:rsidRPr="001360CF">
        <w:rPr>
          <w:rStyle w:val="FootnoteReference"/>
          <w:sz w:val="18"/>
          <w:szCs w:val="18"/>
        </w:rPr>
        <w:footnoteRef/>
      </w:r>
      <w:r w:rsidRPr="001360CF">
        <w:rPr>
          <w:sz w:val="18"/>
          <w:szCs w:val="18"/>
          <w:lang w:val="es-ES"/>
        </w:rPr>
        <w:t xml:space="preserve"> </w:t>
      </w:r>
      <w:r w:rsidRPr="001360CF">
        <w:rPr>
          <w:rFonts w:cs="Arial"/>
          <w:sz w:val="18"/>
          <w:szCs w:val="18"/>
          <w:lang w:val="es-ES"/>
        </w:rPr>
        <w:t xml:space="preserve">See e.g.  </w:t>
      </w:r>
      <w:r w:rsidRPr="003A72EF">
        <w:rPr>
          <w:rFonts w:cs="Arial"/>
          <w:i/>
          <w:iCs/>
          <w:sz w:val="18"/>
          <w:szCs w:val="18"/>
        </w:rPr>
        <w:t>N v Romania</w:t>
      </w:r>
      <w:r w:rsidRPr="003A72EF">
        <w:rPr>
          <w:rFonts w:cs="Arial"/>
          <w:sz w:val="18"/>
          <w:szCs w:val="18"/>
        </w:rPr>
        <w:t>, (</w:t>
      </w:r>
      <w:hyperlink r:id="rId28" w:anchor="{%22fulltext%22:[%2259152/08%22],%22documentcollectionid2%22:[%22GRANDCHAMBER%22,%22CHAMBER%22],%22itemid%22:[%22001-179207%22]}" w:history="1">
        <w:r w:rsidRPr="003A72EF">
          <w:rPr>
            <w:rStyle w:val="FootnoteTextChar"/>
            <w:rFonts w:cs="Arial"/>
            <w:sz w:val="18"/>
            <w:szCs w:val="18"/>
          </w:rPr>
          <w:t>59152/08</w:t>
        </w:r>
      </w:hyperlink>
      <w:r w:rsidRPr="003A72EF">
        <w:rPr>
          <w:rFonts w:cs="Arial"/>
          <w:sz w:val="18"/>
          <w:szCs w:val="18"/>
        </w:rPr>
        <w:t xml:space="preserve">), ECHR 2017, para. </w:t>
      </w:r>
      <w:r w:rsidRPr="001360CF">
        <w:rPr>
          <w:rFonts w:cs="Arial"/>
          <w:sz w:val="18"/>
          <w:szCs w:val="18"/>
          <w:lang w:val="en-US"/>
        </w:rPr>
        <w:t>147.</w:t>
      </w:r>
    </w:p>
  </w:footnote>
  <w:footnote w:id="45">
    <w:p w14:paraId="780D315B" w14:textId="77777777" w:rsidR="00A0113E" w:rsidRPr="001360CF" w:rsidRDefault="00A0113E" w:rsidP="00A0113E">
      <w:pPr>
        <w:pStyle w:val="FootnoteText"/>
        <w:rPr>
          <w:sz w:val="18"/>
          <w:szCs w:val="18"/>
          <w:lang w:val="en-US"/>
        </w:rPr>
      </w:pPr>
      <w:r w:rsidRPr="001360CF">
        <w:rPr>
          <w:rStyle w:val="FootnoteReference"/>
          <w:sz w:val="18"/>
          <w:szCs w:val="18"/>
        </w:rPr>
        <w:footnoteRef/>
      </w:r>
      <w:r w:rsidRPr="001360CF">
        <w:rPr>
          <w:sz w:val="18"/>
          <w:szCs w:val="18"/>
          <w:lang w:val="en-US"/>
        </w:rPr>
        <w:t xml:space="preserve"> </w:t>
      </w:r>
      <w:bookmarkStart w:id="17" w:name="OLE_LINK4"/>
      <w:r w:rsidRPr="001360CF">
        <w:rPr>
          <w:rFonts w:cs="Arial"/>
          <w:sz w:val="18"/>
          <w:szCs w:val="18"/>
          <w:lang w:val="en-GB"/>
        </w:rPr>
        <w:t xml:space="preserve">See </w:t>
      </w:r>
      <w:r w:rsidRPr="001360CF">
        <w:rPr>
          <w:i/>
          <w:iCs/>
          <w:sz w:val="18"/>
          <w:szCs w:val="18"/>
          <w:lang w:val="en-US"/>
        </w:rPr>
        <w:t>Winterwerp v. the Netherlands</w:t>
      </w:r>
      <w:r w:rsidRPr="001360CF">
        <w:rPr>
          <w:sz w:val="18"/>
          <w:szCs w:val="18"/>
          <w:lang w:val="en-US"/>
        </w:rPr>
        <w:t>, (</w:t>
      </w:r>
      <w:hyperlink r:id="rId29" w:anchor="{%22fulltext%22:[%22%22CASE%20OF%20WINTERWERP%20v.%20THE%20NETHERLANDS%22%22],%22documentcollectionid2%22:[%22GRANDCHAMBER%22,%22CHAMBER%22],%22itemid%22:[%22001-57597%22]}" w:history="1">
        <w:r w:rsidRPr="001360CF">
          <w:rPr>
            <w:rStyle w:val="FootnoteTextChar"/>
            <w:sz w:val="18"/>
            <w:szCs w:val="18"/>
            <w:lang w:val="en-US"/>
          </w:rPr>
          <w:t>6301/73</w:t>
        </w:r>
      </w:hyperlink>
      <w:r w:rsidRPr="001360CF">
        <w:rPr>
          <w:sz w:val="18"/>
          <w:szCs w:val="18"/>
          <w:lang w:val="en-US"/>
        </w:rPr>
        <w:t>) ECHR, 1979</w:t>
      </w:r>
      <w:bookmarkEnd w:id="17"/>
    </w:p>
  </w:footnote>
  <w:footnote w:id="46">
    <w:p w14:paraId="2D2B66AC" w14:textId="77777777" w:rsidR="00A0113E" w:rsidRPr="001360CF" w:rsidRDefault="00A0113E" w:rsidP="00A0113E">
      <w:pPr>
        <w:pStyle w:val="FootnoteText"/>
        <w:jc w:val="both"/>
        <w:rPr>
          <w:sz w:val="18"/>
          <w:szCs w:val="18"/>
          <w:lang w:val="en-US"/>
        </w:rPr>
      </w:pPr>
      <w:r w:rsidRPr="001360CF">
        <w:rPr>
          <w:rStyle w:val="FootnoteReference"/>
          <w:sz w:val="18"/>
          <w:szCs w:val="18"/>
        </w:rPr>
        <w:footnoteRef/>
      </w:r>
      <w:r w:rsidRPr="001360CF">
        <w:rPr>
          <w:sz w:val="18"/>
          <w:szCs w:val="18"/>
          <w:lang w:val="en-US"/>
        </w:rPr>
        <w:t xml:space="preserve"> </w:t>
      </w:r>
      <w:r w:rsidRPr="001360CF">
        <w:rPr>
          <w:rFonts w:cs="Arial"/>
          <w:sz w:val="18"/>
          <w:szCs w:val="18"/>
          <w:lang w:val="en-US"/>
        </w:rPr>
        <w:t xml:space="preserve">See e.g. </w:t>
      </w:r>
      <w:r w:rsidRPr="001360CF">
        <w:rPr>
          <w:rFonts w:cs="Arial"/>
          <w:i/>
          <w:iCs/>
          <w:sz w:val="18"/>
          <w:szCs w:val="18"/>
          <w:lang w:val="en-US"/>
        </w:rPr>
        <w:t xml:space="preserve">Rooman v Belgium </w:t>
      </w:r>
      <w:r w:rsidRPr="001360CF">
        <w:rPr>
          <w:rFonts w:cs="Arial"/>
          <w:sz w:val="18"/>
          <w:szCs w:val="18"/>
          <w:lang w:val="en-US"/>
        </w:rPr>
        <w:t>(</w:t>
      </w:r>
      <w:hyperlink r:id="rId30" w:anchor="{%22fulltext%22:[%2218052/11%22],%22documentcollectionid2%22:[%22GRANDCHAMBER%22,%22CHAMBER%22],%22itemid%22:[%22001-189902%22]}" w:history="1">
        <w:r w:rsidRPr="001360CF">
          <w:rPr>
            <w:rStyle w:val="FootnoteTextChar"/>
            <w:rFonts w:cs="Arial"/>
            <w:sz w:val="18"/>
            <w:szCs w:val="18"/>
            <w:lang w:val="en-US"/>
          </w:rPr>
          <w:t>18052/11</w:t>
        </w:r>
      </w:hyperlink>
      <w:r w:rsidRPr="001360CF">
        <w:rPr>
          <w:rFonts w:cs="Arial"/>
          <w:sz w:val="18"/>
          <w:szCs w:val="18"/>
          <w:lang w:val="en-US"/>
        </w:rPr>
        <w:t xml:space="preserve">), ECHR 2019, para. 192; </w:t>
      </w:r>
      <w:r w:rsidRPr="001360CF">
        <w:rPr>
          <w:rFonts w:cs="Arial"/>
          <w:i/>
          <w:iCs/>
          <w:sz w:val="18"/>
          <w:szCs w:val="18"/>
          <w:lang w:val="en-US"/>
        </w:rPr>
        <w:t>N v Romania</w:t>
      </w:r>
      <w:r w:rsidRPr="001360CF">
        <w:rPr>
          <w:rFonts w:cs="Arial"/>
          <w:sz w:val="18"/>
          <w:szCs w:val="18"/>
          <w:lang w:val="en-US"/>
        </w:rPr>
        <w:t xml:space="preserve"> (</w:t>
      </w:r>
      <w:hyperlink r:id="rId31" w:anchor="{%22fulltext%22:[%2259152/08%22],%22documentcollectionid2%22:[%22GRANDCHAMBER%22,%22CHAMBER%22],%22itemid%22:[%22001-179207%22]}" w:history="1">
        <w:r w:rsidRPr="001360CF">
          <w:rPr>
            <w:rStyle w:val="FootnoteTextChar"/>
            <w:rFonts w:cs="Arial"/>
            <w:sz w:val="18"/>
            <w:szCs w:val="18"/>
            <w:lang w:val="en-US"/>
          </w:rPr>
          <w:t>59152/08</w:t>
        </w:r>
      </w:hyperlink>
      <w:r w:rsidRPr="001360CF">
        <w:rPr>
          <w:rFonts w:cs="Arial"/>
          <w:sz w:val="18"/>
          <w:szCs w:val="18"/>
          <w:lang w:val="en-US"/>
        </w:rPr>
        <w:t xml:space="preserve">), ECHR 2017, para. 144 </w:t>
      </w:r>
    </w:p>
  </w:footnote>
  <w:footnote w:id="47">
    <w:p w14:paraId="750E9CA3" w14:textId="77777777" w:rsidR="00A0113E" w:rsidRPr="001360CF" w:rsidRDefault="00A0113E" w:rsidP="00A0113E">
      <w:pPr>
        <w:pStyle w:val="FootnoteText"/>
        <w:rPr>
          <w:sz w:val="18"/>
          <w:szCs w:val="18"/>
          <w:lang w:val="en-US"/>
        </w:rPr>
      </w:pPr>
      <w:r w:rsidRPr="001360CF">
        <w:rPr>
          <w:rStyle w:val="FootnoteReference"/>
          <w:sz w:val="18"/>
          <w:szCs w:val="18"/>
        </w:rPr>
        <w:footnoteRef/>
      </w:r>
      <w:r w:rsidRPr="001360CF">
        <w:rPr>
          <w:sz w:val="18"/>
          <w:szCs w:val="18"/>
          <w:lang w:val="en-US"/>
        </w:rPr>
        <w:t xml:space="preserve"> </w:t>
      </w:r>
      <w:r w:rsidRPr="001360CF">
        <w:rPr>
          <w:rFonts w:cs="Arial"/>
          <w:i/>
          <w:iCs/>
          <w:sz w:val="18"/>
          <w:szCs w:val="18"/>
          <w:lang w:val="en-US"/>
        </w:rPr>
        <w:t>N v Romania</w:t>
      </w:r>
      <w:r w:rsidRPr="001360CF">
        <w:rPr>
          <w:rFonts w:cs="Arial"/>
          <w:sz w:val="18"/>
          <w:szCs w:val="18"/>
          <w:lang w:val="en-US"/>
        </w:rPr>
        <w:t>, (</w:t>
      </w:r>
      <w:hyperlink r:id="rId32" w:anchor="{%22fulltext%22:[%2259152/08%22],%22documentcollectionid2%22:[%22GRANDCHAMBER%22,%22CHAMBER%22],%22itemid%22:[%22001-179207%22]}" w:history="1">
        <w:r w:rsidRPr="001360CF">
          <w:rPr>
            <w:rStyle w:val="FootnoteTextChar"/>
            <w:rFonts w:cs="Arial"/>
            <w:sz w:val="18"/>
            <w:szCs w:val="18"/>
            <w:lang w:val="en-US"/>
          </w:rPr>
          <w:t>59152/08</w:t>
        </w:r>
      </w:hyperlink>
      <w:r w:rsidRPr="001360CF">
        <w:rPr>
          <w:rFonts w:cs="Arial"/>
          <w:sz w:val="18"/>
          <w:szCs w:val="18"/>
          <w:lang w:val="en-US"/>
        </w:rPr>
        <w:t>), ECHR 2017.</w:t>
      </w:r>
    </w:p>
  </w:footnote>
  <w:footnote w:id="48">
    <w:p w14:paraId="4C9C1658" w14:textId="77777777" w:rsidR="00A0113E" w:rsidRPr="001360CF" w:rsidRDefault="00A0113E" w:rsidP="00A0113E">
      <w:pPr>
        <w:pStyle w:val="FootnoteText"/>
        <w:rPr>
          <w:sz w:val="18"/>
          <w:szCs w:val="18"/>
          <w:lang w:val="en-GB"/>
        </w:rPr>
      </w:pPr>
      <w:r w:rsidRPr="001360CF">
        <w:rPr>
          <w:rStyle w:val="FootnoteReference"/>
          <w:sz w:val="18"/>
          <w:szCs w:val="18"/>
        </w:rPr>
        <w:footnoteRef/>
      </w:r>
      <w:r w:rsidRPr="001360CF">
        <w:rPr>
          <w:sz w:val="18"/>
          <w:szCs w:val="18"/>
          <w:lang w:val="en-US"/>
        </w:rPr>
        <w:t xml:space="preserve"> </w:t>
      </w:r>
      <w:r w:rsidRPr="001360CF">
        <w:rPr>
          <w:rFonts w:cs="Arial"/>
          <w:i/>
          <w:iCs/>
          <w:sz w:val="18"/>
          <w:szCs w:val="18"/>
          <w:lang w:val="en-US"/>
        </w:rPr>
        <w:t xml:space="preserve">Rooman v Belgium </w:t>
      </w:r>
      <w:r w:rsidRPr="001360CF">
        <w:rPr>
          <w:rFonts w:cs="Arial"/>
          <w:sz w:val="18"/>
          <w:szCs w:val="18"/>
          <w:lang w:val="en-US"/>
        </w:rPr>
        <w:t>(</w:t>
      </w:r>
      <w:hyperlink r:id="rId33" w:anchor="{%22fulltext%22:[%2218052/11%22],%22documentcollectionid2%22:[%22GRANDCHAMBER%22,%22CHAMBER%22],%22itemid%22:[%22001-189902%22]}" w:history="1">
        <w:r w:rsidRPr="001360CF">
          <w:rPr>
            <w:rStyle w:val="FootnoteTextChar"/>
            <w:rFonts w:cs="Arial"/>
            <w:sz w:val="18"/>
            <w:szCs w:val="18"/>
            <w:lang w:val="en-US"/>
          </w:rPr>
          <w:t>18052/11</w:t>
        </w:r>
      </w:hyperlink>
      <w:r w:rsidRPr="001360CF">
        <w:rPr>
          <w:rFonts w:cs="Arial"/>
          <w:sz w:val="18"/>
          <w:szCs w:val="18"/>
          <w:lang w:val="en-US"/>
        </w:rPr>
        <w:t>)</w:t>
      </w:r>
      <w:r w:rsidRPr="001360CF">
        <w:rPr>
          <w:rFonts w:cs="Arial"/>
          <w:sz w:val="18"/>
          <w:szCs w:val="18"/>
          <w:lang w:val="en-GB"/>
        </w:rPr>
        <w:t xml:space="preserve"> </w:t>
      </w:r>
      <w:r w:rsidRPr="001360CF">
        <w:rPr>
          <w:rFonts w:cs="Arial"/>
          <w:sz w:val="18"/>
          <w:szCs w:val="18"/>
          <w:lang w:val="en-US"/>
        </w:rPr>
        <w:t xml:space="preserve">ECHR </w:t>
      </w:r>
      <w:r w:rsidRPr="001360CF">
        <w:rPr>
          <w:rFonts w:cs="Arial"/>
          <w:sz w:val="18"/>
          <w:szCs w:val="18"/>
          <w:lang w:val="en-GB"/>
        </w:rPr>
        <w:t>2019</w:t>
      </w:r>
    </w:p>
  </w:footnote>
  <w:footnote w:id="49">
    <w:p w14:paraId="1B1214FF" w14:textId="77777777" w:rsidR="00A0113E" w:rsidRPr="001360CF" w:rsidRDefault="00A0113E" w:rsidP="00A0113E">
      <w:pPr>
        <w:pStyle w:val="FootnoteText"/>
        <w:rPr>
          <w:i/>
          <w:iCs/>
          <w:sz w:val="18"/>
          <w:szCs w:val="18"/>
          <w:lang w:val="en-GB"/>
        </w:rPr>
      </w:pPr>
      <w:r w:rsidRPr="001360CF">
        <w:rPr>
          <w:rStyle w:val="FootnoteReference"/>
          <w:sz w:val="18"/>
          <w:szCs w:val="18"/>
        </w:rPr>
        <w:footnoteRef/>
      </w:r>
      <w:r w:rsidRPr="001360CF">
        <w:rPr>
          <w:sz w:val="18"/>
          <w:szCs w:val="18"/>
          <w:lang w:val="en-US"/>
        </w:rPr>
        <w:t xml:space="preserve"> In this regard, note that the Draft Protocol to the Oviedo Convention, as updated in October 2020, provides, in its Article 2, para. </w:t>
      </w:r>
      <w:r w:rsidRPr="001360CF">
        <w:rPr>
          <w:sz w:val="18"/>
          <w:szCs w:val="18"/>
          <w:lang w:val="en-GB"/>
        </w:rPr>
        <w:t>3, that “This Protocol does not apply to placement and treatment ordered in the context of a criminal law procedure”.</w:t>
      </w:r>
    </w:p>
  </w:footnote>
  <w:footnote w:id="50">
    <w:p w14:paraId="1FBC4B1D" w14:textId="77777777" w:rsidR="00A0113E" w:rsidRPr="001360CF" w:rsidRDefault="00A0113E" w:rsidP="00A0113E">
      <w:pPr>
        <w:pStyle w:val="FootnoteText"/>
        <w:rPr>
          <w:sz w:val="18"/>
          <w:szCs w:val="18"/>
          <w:lang w:val="en-US"/>
        </w:rPr>
      </w:pPr>
      <w:r w:rsidRPr="001360CF">
        <w:rPr>
          <w:rStyle w:val="FootnoteReference"/>
          <w:sz w:val="18"/>
          <w:szCs w:val="18"/>
        </w:rPr>
        <w:footnoteRef/>
      </w:r>
      <w:r w:rsidRPr="001360CF">
        <w:rPr>
          <w:sz w:val="18"/>
          <w:szCs w:val="18"/>
          <w:lang w:val="en-US"/>
        </w:rPr>
        <w:t xml:space="preserve"> </w:t>
      </w:r>
      <w:r w:rsidRPr="001360CF">
        <w:rPr>
          <w:rFonts w:cs="Arial"/>
          <w:i/>
          <w:iCs/>
          <w:sz w:val="18"/>
          <w:szCs w:val="18"/>
          <w:lang w:val="en-US"/>
        </w:rPr>
        <w:t>N v Romania</w:t>
      </w:r>
      <w:r w:rsidRPr="001360CF">
        <w:rPr>
          <w:rFonts w:cs="Arial"/>
          <w:sz w:val="18"/>
          <w:szCs w:val="18"/>
          <w:lang w:val="en-US"/>
        </w:rPr>
        <w:t>, (</w:t>
      </w:r>
      <w:hyperlink r:id="rId34" w:anchor="{%22fulltext%22:[%2259152/08%22],%22documentcollectionid2%22:[%22GRANDCHAMBER%22,%22CHAMBER%22],%22itemid%22:[%22001-179207%22]}" w:history="1">
        <w:r w:rsidRPr="001360CF">
          <w:rPr>
            <w:rStyle w:val="FootnoteTextChar"/>
            <w:rFonts w:cs="Arial"/>
            <w:sz w:val="18"/>
            <w:szCs w:val="18"/>
            <w:lang w:val="en-US"/>
          </w:rPr>
          <w:t>59152/08</w:t>
        </w:r>
      </w:hyperlink>
      <w:r w:rsidRPr="001360CF">
        <w:rPr>
          <w:rFonts w:cs="Arial"/>
          <w:sz w:val="18"/>
          <w:szCs w:val="18"/>
          <w:lang w:val="en-US"/>
        </w:rPr>
        <w:t>), ECHR 2017. In para 127, it is stated that the applicant invoked the CRPD and its Article 14. However, in paras. 128 to 137 show that the discussion was more focused on domestic procedures, proofs and grounds of detention accepted by the Court (alleged dangerousness and the social function of protection).</w:t>
      </w:r>
    </w:p>
  </w:footnote>
  <w:footnote w:id="51">
    <w:p w14:paraId="159A4E29" w14:textId="77777777" w:rsidR="00A0113E" w:rsidRPr="001360CF" w:rsidRDefault="00A0113E" w:rsidP="00A0113E">
      <w:pPr>
        <w:pStyle w:val="FootnoteText"/>
        <w:rPr>
          <w:sz w:val="18"/>
          <w:szCs w:val="18"/>
          <w:lang w:val="en-US"/>
        </w:rPr>
      </w:pPr>
      <w:r w:rsidRPr="001360CF">
        <w:rPr>
          <w:rStyle w:val="FootnoteReference"/>
          <w:sz w:val="18"/>
          <w:szCs w:val="18"/>
        </w:rPr>
        <w:footnoteRef/>
      </w:r>
      <w:r w:rsidRPr="001360CF">
        <w:rPr>
          <w:sz w:val="18"/>
          <w:szCs w:val="18"/>
          <w:lang w:val="en-US"/>
        </w:rPr>
        <w:t xml:space="preserve"> </w:t>
      </w:r>
      <w:r w:rsidRPr="001360CF">
        <w:rPr>
          <w:rFonts w:cs="Arial"/>
          <w:i/>
          <w:iCs/>
          <w:sz w:val="18"/>
          <w:szCs w:val="18"/>
          <w:lang w:val="en-US"/>
        </w:rPr>
        <w:t xml:space="preserve">Rooman v Belgium </w:t>
      </w:r>
      <w:r w:rsidRPr="001360CF">
        <w:rPr>
          <w:rFonts w:cs="Arial"/>
          <w:sz w:val="18"/>
          <w:szCs w:val="18"/>
          <w:lang w:val="en-US"/>
        </w:rPr>
        <w:t>(</w:t>
      </w:r>
      <w:hyperlink r:id="rId35" w:anchor="{%22fulltext%22:[%2218052/11%22],%22documentcollectionid2%22:[%22GRANDCHAMBER%22,%22CHAMBER%22],%22itemid%22:[%22001-189902%22]}" w:history="1">
        <w:r w:rsidRPr="001360CF">
          <w:rPr>
            <w:rStyle w:val="FootnoteTextChar"/>
            <w:rFonts w:cs="Arial"/>
            <w:sz w:val="18"/>
            <w:szCs w:val="18"/>
            <w:lang w:val="en-US"/>
          </w:rPr>
          <w:t>18052/11</w:t>
        </w:r>
      </w:hyperlink>
      <w:r w:rsidRPr="001360CF">
        <w:rPr>
          <w:rFonts w:cs="Arial"/>
          <w:sz w:val="18"/>
          <w:szCs w:val="18"/>
          <w:lang w:val="en-US"/>
        </w:rPr>
        <w:t>), ECHR 2019.</w:t>
      </w:r>
    </w:p>
  </w:footnote>
  <w:footnote w:id="52">
    <w:p w14:paraId="5BB53E54" w14:textId="77777777" w:rsidR="00A0113E" w:rsidRPr="001360CF" w:rsidRDefault="00A0113E" w:rsidP="00A0113E">
      <w:pPr>
        <w:pStyle w:val="FootnoteText"/>
        <w:rPr>
          <w:sz w:val="18"/>
          <w:szCs w:val="18"/>
          <w:lang w:val="en-US"/>
        </w:rPr>
      </w:pPr>
      <w:r w:rsidRPr="001360CF">
        <w:rPr>
          <w:rStyle w:val="FootnoteReference"/>
          <w:sz w:val="18"/>
          <w:szCs w:val="18"/>
        </w:rPr>
        <w:footnoteRef/>
      </w:r>
      <w:r w:rsidRPr="001360CF">
        <w:rPr>
          <w:sz w:val="18"/>
          <w:szCs w:val="18"/>
          <w:lang w:val="en-GB"/>
        </w:rPr>
        <w:t xml:space="preserve"> </w:t>
      </w:r>
      <w:r w:rsidRPr="001360CF">
        <w:rPr>
          <w:i/>
          <w:iCs/>
          <w:sz w:val="18"/>
          <w:szCs w:val="18"/>
          <w:lang w:val="en-GB"/>
        </w:rPr>
        <w:t>S.A.S. v France</w:t>
      </w:r>
      <w:r w:rsidRPr="001360CF">
        <w:rPr>
          <w:sz w:val="18"/>
          <w:szCs w:val="18"/>
          <w:lang w:val="en-GB"/>
        </w:rPr>
        <w:t>, (</w:t>
      </w:r>
      <w:hyperlink r:id="rId36" w:anchor="{%22fulltext%22:[%2243835/11%22],%22documentcollectionid2%22:[%22GRANDCHAMBER%22,%22CHAMBER%22],%22itemid%22:[%22001-145466%22]}" w:history="1">
        <w:r w:rsidRPr="001360CF">
          <w:rPr>
            <w:rStyle w:val="FootnoteTextChar"/>
            <w:sz w:val="18"/>
            <w:szCs w:val="18"/>
            <w:lang w:val="en-GB"/>
          </w:rPr>
          <w:t>43835/11</w:t>
        </w:r>
      </w:hyperlink>
      <w:r w:rsidRPr="001360CF">
        <w:rPr>
          <w:sz w:val="18"/>
          <w:szCs w:val="18"/>
          <w:lang w:val="en-GB"/>
        </w:rPr>
        <w:t xml:space="preserve">), ECtHR 2014, para. </w:t>
      </w:r>
      <w:r w:rsidRPr="001360CF">
        <w:rPr>
          <w:sz w:val="18"/>
          <w:szCs w:val="18"/>
          <w:lang w:val="en-US"/>
        </w:rPr>
        <w:t>128</w:t>
      </w:r>
    </w:p>
  </w:footnote>
  <w:footnote w:id="53">
    <w:p w14:paraId="532508A3" w14:textId="77777777" w:rsidR="00A0113E" w:rsidRPr="001360CF" w:rsidRDefault="00A0113E" w:rsidP="00A0113E">
      <w:pPr>
        <w:pStyle w:val="FootnoteText"/>
        <w:rPr>
          <w:sz w:val="18"/>
          <w:szCs w:val="18"/>
          <w:lang w:val="en-US"/>
        </w:rPr>
      </w:pPr>
      <w:r w:rsidRPr="001360CF">
        <w:rPr>
          <w:rStyle w:val="FootnoteReference"/>
          <w:sz w:val="18"/>
          <w:szCs w:val="18"/>
        </w:rPr>
        <w:footnoteRef/>
      </w:r>
      <w:r w:rsidRPr="001360CF">
        <w:rPr>
          <w:sz w:val="18"/>
          <w:szCs w:val="18"/>
          <w:lang w:val="en-US"/>
        </w:rPr>
        <w:t xml:space="preserve"> See </w:t>
      </w:r>
      <w:hyperlink r:id="rId37" w:history="1">
        <w:r w:rsidRPr="001360CF">
          <w:rPr>
            <w:rStyle w:val="FootnoteTextChar"/>
            <w:sz w:val="18"/>
            <w:szCs w:val="18"/>
            <w:lang w:val="en-US"/>
          </w:rPr>
          <w:t>A/HRC/43/41</w:t>
        </w:r>
      </w:hyperlink>
      <w:r w:rsidRPr="001360CF">
        <w:rPr>
          <w:sz w:val="18"/>
          <w:szCs w:val="18"/>
          <w:lang w:val="en-US"/>
        </w:rPr>
        <w:t xml:space="preserve">, para. 9 and 10. </w:t>
      </w:r>
    </w:p>
  </w:footnote>
  <w:footnote w:id="54">
    <w:p w14:paraId="4EC9332D" w14:textId="77777777" w:rsidR="00A0113E" w:rsidRPr="001360CF" w:rsidRDefault="00A0113E" w:rsidP="00A0113E">
      <w:pPr>
        <w:pStyle w:val="FootnoteText"/>
        <w:rPr>
          <w:sz w:val="18"/>
          <w:szCs w:val="18"/>
          <w:lang w:val="en-US"/>
        </w:rPr>
      </w:pPr>
      <w:r w:rsidRPr="001360CF">
        <w:rPr>
          <w:rStyle w:val="FootnoteReference"/>
          <w:sz w:val="18"/>
          <w:szCs w:val="18"/>
        </w:rPr>
        <w:footnoteRef/>
      </w:r>
      <w:r w:rsidRPr="001360CF">
        <w:rPr>
          <w:sz w:val="18"/>
          <w:szCs w:val="18"/>
          <w:lang w:val="en-US"/>
        </w:rPr>
        <w:t xml:space="preserve"> </w:t>
      </w:r>
      <w:r w:rsidRPr="001360CF">
        <w:rPr>
          <w:i/>
          <w:iCs/>
          <w:sz w:val="18"/>
          <w:szCs w:val="18"/>
          <w:lang w:val="en-US"/>
        </w:rPr>
        <w:t>D.H. and others v The Czech Republic</w:t>
      </w:r>
      <w:r w:rsidRPr="001360CF">
        <w:rPr>
          <w:sz w:val="18"/>
          <w:szCs w:val="18"/>
          <w:lang w:val="en-US"/>
        </w:rPr>
        <w:t>, (</w:t>
      </w:r>
      <w:hyperlink r:id="rId38" w:anchor="{%22fulltext%22:[%2257325/00%22],%22documentcollectionid2%22:[%22GRANDCHAMBER%22,%22CHAMBER%22],%22itemid%22:[%22001-83256%22]}" w:history="1">
        <w:r w:rsidRPr="001360CF">
          <w:rPr>
            <w:rStyle w:val="FootnoteTextChar"/>
            <w:sz w:val="18"/>
            <w:szCs w:val="18"/>
            <w:lang w:val="en-US"/>
          </w:rPr>
          <w:t>57325/00</w:t>
        </w:r>
      </w:hyperlink>
      <w:r w:rsidRPr="001360CF">
        <w:rPr>
          <w:sz w:val="18"/>
          <w:szCs w:val="18"/>
          <w:lang w:val="en-US"/>
        </w:rPr>
        <w:t xml:space="preserve">) </w:t>
      </w:r>
      <w:proofErr w:type="spellStart"/>
      <w:r w:rsidRPr="001360CF">
        <w:rPr>
          <w:sz w:val="18"/>
          <w:szCs w:val="18"/>
          <w:lang w:val="en-US"/>
        </w:rPr>
        <w:t>EctHR</w:t>
      </w:r>
      <w:proofErr w:type="spellEnd"/>
      <w:r w:rsidRPr="001360CF">
        <w:rPr>
          <w:sz w:val="18"/>
          <w:szCs w:val="18"/>
          <w:lang w:val="en-US"/>
        </w:rPr>
        <w:t xml:space="preserve"> 2007, para. 176.</w:t>
      </w:r>
    </w:p>
  </w:footnote>
  <w:footnote w:id="55">
    <w:p w14:paraId="17BD16A6" w14:textId="77777777" w:rsidR="00A0113E" w:rsidRPr="001360CF" w:rsidRDefault="00A0113E" w:rsidP="00A0113E">
      <w:pPr>
        <w:pStyle w:val="FootnoteText"/>
        <w:jc w:val="both"/>
        <w:rPr>
          <w:sz w:val="18"/>
          <w:szCs w:val="18"/>
          <w:lang w:val="en-US"/>
        </w:rPr>
      </w:pPr>
      <w:r w:rsidRPr="001360CF">
        <w:rPr>
          <w:rStyle w:val="FootnoteReference"/>
          <w:sz w:val="18"/>
          <w:szCs w:val="18"/>
        </w:rPr>
        <w:footnoteRef/>
      </w:r>
      <w:r w:rsidRPr="001360CF">
        <w:rPr>
          <w:sz w:val="18"/>
          <w:szCs w:val="18"/>
          <w:lang w:val="en-US"/>
        </w:rPr>
        <w:t xml:space="preserve"> See e.g. A/HRC/34/32, 30 and 31; A/HRC/35/21, para. 64, citing Steve R. Kisely and Leslie A. Campbell, “Compulsory community and involuntary outpatient treatment for people with severe mental disorders”, Cochrane database system (December 2014); and Hans Joachim Salize and Harald Dressing, “Coercion, involuntary treatment and quality of mental health care: is there any link?”, Current Opinion in Psychiatry, vol. 18, No. 5 (October 2005). See also A/HRC/35/21, para. 19, in connection with the wide spread use of psychotropic medications, highlighting that “psychotropic medications, in spite of accumulating evidence that they are not as effective as previously thought, that they produce harmful side effects” </w:t>
      </w:r>
    </w:p>
  </w:footnote>
  <w:footnote w:id="56">
    <w:p w14:paraId="4C1A94DA" w14:textId="77777777" w:rsidR="00A0113E" w:rsidRPr="001360CF" w:rsidRDefault="00A0113E" w:rsidP="00A0113E">
      <w:pPr>
        <w:pStyle w:val="FootnoteText"/>
        <w:rPr>
          <w:sz w:val="18"/>
          <w:szCs w:val="18"/>
          <w:lang w:val="en-US"/>
        </w:rPr>
      </w:pPr>
      <w:r w:rsidRPr="001360CF">
        <w:rPr>
          <w:rStyle w:val="FootnoteReference"/>
          <w:sz w:val="18"/>
          <w:szCs w:val="18"/>
        </w:rPr>
        <w:footnoteRef/>
      </w:r>
      <w:r w:rsidRPr="001360CF">
        <w:rPr>
          <w:sz w:val="18"/>
          <w:szCs w:val="18"/>
          <w:lang w:val="en-US"/>
        </w:rPr>
        <w:t xml:space="preserve"> See The WHO QualityRights Initiative has developed a comprehensive package of training and guidance materials, available at </w:t>
      </w:r>
      <w:hyperlink r:id="rId39" w:history="1">
        <w:r w:rsidRPr="001360CF">
          <w:rPr>
            <w:rStyle w:val="FootnoteTextChar"/>
            <w:sz w:val="18"/>
            <w:szCs w:val="18"/>
            <w:lang w:val="en-US"/>
          </w:rPr>
          <w:t>https://www.who.int/publications/i/item/who-qualityrights-guidance-and-training-tools</w:t>
        </w:r>
      </w:hyperlink>
      <w:r w:rsidRPr="001360CF">
        <w:rPr>
          <w:sz w:val="18"/>
          <w:szCs w:val="18"/>
          <w:lang w:val="en-US"/>
        </w:rPr>
        <w:t xml:space="preserve">. </w:t>
      </w:r>
    </w:p>
  </w:footnote>
  <w:footnote w:id="57">
    <w:p w14:paraId="300E4293" w14:textId="77777777" w:rsidR="000779DE" w:rsidRPr="001360CF" w:rsidRDefault="000779DE" w:rsidP="00905E44">
      <w:pPr>
        <w:pStyle w:val="FootnoteText"/>
        <w:jc w:val="both"/>
        <w:rPr>
          <w:sz w:val="18"/>
          <w:szCs w:val="18"/>
          <w:lang w:val="en-US"/>
        </w:rPr>
      </w:pPr>
      <w:r w:rsidRPr="001360CF">
        <w:rPr>
          <w:rStyle w:val="FootnoteReference"/>
          <w:sz w:val="18"/>
          <w:szCs w:val="18"/>
        </w:rPr>
        <w:footnoteRef/>
      </w:r>
      <w:r w:rsidRPr="001360CF">
        <w:rPr>
          <w:sz w:val="18"/>
          <w:szCs w:val="18"/>
          <w:lang w:val="en-US"/>
        </w:rPr>
        <w:t xml:space="preserve"> Comments by Dunja Mijatović, Council of Europe Commissioner for Human Rights on the draft Additional Protocol to the Convention on Human Rights and Biomedicine concerning the Protection of Human Rights and Dignity of Persons with Mental Disorder with regard to Involuntary Placement and Involuntary Treatment (Strasbourg, 8 November 2018), paragraph 7. </w:t>
      </w:r>
    </w:p>
  </w:footnote>
  <w:footnote w:id="58">
    <w:p w14:paraId="741A3E49" w14:textId="77777777" w:rsidR="000779DE" w:rsidRPr="001360CF" w:rsidRDefault="000779DE" w:rsidP="00905E44">
      <w:pPr>
        <w:pStyle w:val="FootnoteText"/>
        <w:jc w:val="both"/>
        <w:rPr>
          <w:sz w:val="18"/>
          <w:szCs w:val="18"/>
          <w:lang w:val="en-US"/>
        </w:rPr>
      </w:pPr>
      <w:r w:rsidRPr="001360CF">
        <w:rPr>
          <w:rStyle w:val="FootnoteReference"/>
          <w:sz w:val="18"/>
          <w:szCs w:val="18"/>
        </w:rPr>
        <w:footnoteRef/>
      </w:r>
      <w:r w:rsidRPr="001360CF">
        <w:rPr>
          <w:sz w:val="18"/>
          <w:szCs w:val="18"/>
          <w:lang w:val="en-US"/>
        </w:rPr>
        <w:t xml:space="preserve"> 25 CommDH-Speech(2018)10.</w:t>
      </w:r>
    </w:p>
  </w:footnote>
  <w:footnote w:id="59">
    <w:p w14:paraId="09833DA9" w14:textId="77777777" w:rsidR="000779DE" w:rsidRPr="001360CF" w:rsidRDefault="000779DE" w:rsidP="00905E44">
      <w:pPr>
        <w:pStyle w:val="FootnoteText"/>
        <w:jc w:val="both"/>
        <w:rPr>
          <w:sz w:val="18"/>
          <w:szCs w:val="18"/>
          <w:lang w:val="en-US"/>
        </w:rPr>
      </w:pPr>
      <w:r w:rsidRPr="001360CF">
        <w:rPr>
          <w:rStyle w:val="FootnoteReference"/>
          <w:sz w:val="18"/>
          <w:szCs w:val="18"/>
        </w:rPr>
        <w:footnoteRef/>
      </w:r>
      <w:r w:rsidRPr="001360CF">
        <w:rPr>
          <w:sz w:val="18"/>
          <w:szCs w:val="18"/>
          <w:lang w:val="en-US"/>
        </w:rPr>
        <w:t xml:space="preserve"> Resolution on Ending coercion in mental health: the need for a human rights-based approach</w:t>
      </w:r>
    </w:p>
  </w:footnote>
  <w:footnote w:id="60">
    <w:p w14:paraId="7637A740" w14:textId="77777777" w:rsidR="000779DE" w:rsidRPr="001360CF" w:rsidRDefault="000779DE" w:rsidP="00905E44">
      <w:pPr>
        <w:pStyle w:val="FootnoteText"/>
        <w:jc w:val="both"/>
        <w:rPr>
          <w:sz w:val="18"/>
          <w:szCs w:val="18"/>
          <w:lang w:val="en-US"/>
        </w:rPr>
      </w:pPr>
      <w:r w:rsidRPr="001360CF">
        <w:rPr>
          <w:rStyle w:val="FootnoteReference"/>
          <w:sz w:val="18"/>
          <w:szCs w:val="18"/>
        </w:rPr>
        <w:footnoteRef/>
      </w:r>
      <w:r w:rsidRPr="001360CF">
        <w:rPr>
          <w:sz w:val="18"/>
          <w:szCs w:val="18"/>
          <w:lang w:val="en-US"/>
        </w:rPr>
        <w:t xml:space="preserve"> Ibid paragraph 3.</w:t>
      </w:r>
    </w:p>
  </w:footnote>
  <w:footnote w:id="61">
    <w:p w14:paraId="50184021" w14:textId="77777777" w:rsidR="000779DE" w:rsidRPr="001360CF" w:rsidRDefault="000779DE" w:rsidP="00905E44">
      <w:pPr>
        <w:pStyle w:val="FootnoteText"/>
        <w:jc w:val="both"/>
        <w:rPr>
          <w:sz w:val="18"/>
          <w:szCs w:val="18"/>
          <w:lang w:val="en-US"/>
        </w:rPr>
      </w:pPr>
      <w:r w:rsidRPr="001360CF">
        <w:rPr>
          <w:rStyle w:val="FootnoteReference"/>
          <w:sz w:val="18"/>
          <w:szCs w:val="18"/>
        </w:rPr>
        <w:footnoteRef/>
      </w:r>
      <w:r w:rsidRPr="001360CF">
        <w:rPr>
          <w:sz w:val="18"/>
          <w:szCs w:val="18"/>
          <w:lang w:val="en-US"/>
        </w:rPr>
        <w:t xml:space="preserve"> Ibid paragraph 2.</w:t>
      </w:r>
    </w:p>
  </w:footnote>
  <w:footnote w:id="62">
    <w:p w14:paraId="4D6111D2" w14:textId="77777777" w:rsidR="000779DE" w:rsidRPr="001360CF" w:rsidRDefault="000779DE" w:rsidP="00905E44">
      <w:pPr>
        <w:pStyle w:val="FootnoteText"/>
        <w:jc w:val="both"/>
        <w:rPr>
          <w:sz w:val="18"/>
          <w:szCs w:val="18"/>
          <w:lang w:val="en-US"/>
        </w:rPr>
      </w:pPr>
      <w:r w:rsidRPr="001360CF">
        <w:rPr>
          <w:rStyle w:val="FootnoteReference"/>
          <w:sz w:val="18"/>
          <w:szCs w:val="18"/>
        </w:rPr>
        <w:footnoteRef/>
      </w:r>
      <w:r w:rsidRPr="001360CF">
        <w:rPr>
          <w:sz w:val="18"/>
          <w:szCs w:val="18"/>
          <w:lang w:val="en-US"/>
        </w:rPr>
        <w:t xml:space="preserve"> Ibid paragraph 3. </w:t>
      </w:r>
    </w:p>
  </w:footnote>
  <w:footnote w:id="63">
    <w:p w14:paraId="1E8C80E1" w14:textId="712BD6B1" w:rsidR="00AB72D7" w:rsidRPr="001360CF" w:rsidRDefault="00AB72D7" w:rsidP="00905E44">
      <w:pPr>
        <w:pStyle w:val="FootnoteText"/>
        <w:jc w:val="both"/>
        <w:rPr>
          <w:sz w:val="18"/>
          <w:szCs w:val="18"/>
          <w:lang w:val="en-US"/>
        </w:rPr>
      </w:pPr>
      <w:r w:rsidRPr="001360CF">
        <w:rPr>
          <w:rStyle w:val="FootnoteReference"/>
          <w:sz w:val="18"/>
          <w:szCs w:val="18"/>
        </w:rPr>
        <w:footnoteRef/>
      </w:r>
      <w:r w:rsidRPr="001360CF">
        <w:rPr>
          <w:sz w:val="18"/>
          <w:szCs w:val="18"/>
          <w:lang w:val="en-US"/>
        </w:rPr>
        <w:t xml:space="preserve"> Ibid paragraph 2. </w:t>
      </w:r>
    </w:p>
  </w:footnote>
  <w:footnote w:id="64">
    <w:p w14:paraId="6C3E53E0" w14:textId="78406DEC" w:rsidR="00AB72D7" w:rsidRPr="001360CF" w:rsidRDefault="00AB72D7" w:rsidP="00905E44">
      <w:pPr>
        <w:pStyle w:val="FootnoteText"/>
        <w:jc w:val="both"/>
        <w:rPr>
          <w:sz w:val="18"/>
          <w:szCs w:val="18"/>
          <w:lang w:val="en-US"/>
        </w:rPr>
      </w:pPr>
      <w:r w:rsidRPr="001360CF">
        <w:rPr>
          <w:rStyle w:val="FootnoteReference"/>
          <w:sz w:val="18"/>
          <w:szCs w:val="18"/>
        </w:rPr>
        <w:footnoteRef/>
      </w:r>
      <w:r w:rsidRPr="001360CF">
        <w:rPr>
          <w:sz w:val="18"/>
          <w:szCs w:val="18"/>
          <w:lang w:val="en-US"/>
        </w:rPr>
        <w:t xml:space="preserve"> Ibid paragraph 7. </w:t>
      </w:r>
    </w:p>
  </w:footnote>
  <w:footnote w:id="65">
    <w:p w14:paraId="1C5AD568" w14:textId="0C0266AD" w:rsidR="00145C6D" w:rsidRPr="001360CF" w:rsidRDefault="00145C6D">
      <w:pPr>
        <w:pStyle w:val="FootnoteText"/>
        <w:rPr>
          <w:sz w:val="18"/>
          <w:szCs w:val="18"/>
          <w:lang w:val="en-US"/>
        </w:rPr>
      </w:pPr>
      <w:r w:rsidRPr="001360CF">
        <w:rPr>
          <w:rStyle w:val="FootnoteReference"/>
          <w:sz w:val="18"/>
          <w:szCs w:val="18"/>
        </w:rPr>
        <w:footnoteRef/>
      </w:r>
      <w:r w:rsidRPr="001360CF">
        <w:rPr>
          <w:sz w:val="18"/>
          <w:szCs w:val="18"/>
          <w:lang w:val="en-US"/>
        </w:rPr>
        <w:t xml:space="preserve"> </w:t>
      </w:r>
      <w:r w:rsidRPr="001360CF">
        <w:rPr>
          <w:sz w:val="18"/>
          <w:szCs w:val="18"/>
          <w:lang w:val="en-GB"/>
        </w:rPr>
        <w:t xml:space="preserve">Mental Health Europe. </w:t>
      </w:r>
      <w:r w:rsidRPr="001360CF">
        <w:rPr>
          <w:sz w:val="18"/>
          <w:szCs w:val="18"/>
          <w:lang w:val="en-US"/>
        </w:rPr>
        <w:t>Promising practices in prevention, reduction and elimination of coercion across Europe (2019).</w:t>
      </w:r>
    </w:p>
  </w:footnote>
  <w:footnote w:id="66">
    <w:p w14:paraId="3F51C327" w14:textId="646140C4" w:rsidR="002D08D8" w:rsidRPr="001360CF" w:rsidRDefault="002D08D8" w:rsidP="00E028A0">
      <w:pPr>
        <w:pStyle w:val="FootnoteText"/>
        <w:jc w:val="both"/>
        <w:rPr>
          <w:sz w:val="18"/>
          <w:szCs w:val="18"/>
        </w:rPr>
      </w:pPr>
      <w:r w:rsidRPr="001360CF">
        <w:rPr>
          <w:rStyle w:val="FootnoteReference"/>
          <w:sz w:val="18"/>
          <w:szCs w:val="18"/>
        </w:rPr>
        <w:footnoteRef/>
      </w:r>
      <w:r w:rsidRPr="001360CF">
        <w:rPr>
          <w:sz w:val="18"/>
          <w:szCs w:val="18"/>
        </w:rPr>
        <w:t xml:space="preserve"> Plenul Curții Constituționale. Comunicat de presa, 16 iulie 2020 (2020)</w:t>
      </w:r>
    </w:p>
  </w:footnote>
  <w:footnote w:id="67">
    <w:p w14:paraId="1011F4C0" w14:textId="01C10EA8" w:rsidR="0038155A" w:rsidRPr="001360CF" w:rsidRDefault="0038155A" w:rsidP="00E028A0">
      <w:pPr>
        <w:pStyle w:val="FootnoteText"/>
        <w:jc w:val="both"/>
        <w:rPr>
          <w:b/>
          <w:bCs/>
          <w:sz w:val="18"/>
          <w:szCs w:val="18"/>
          <w:lang w:val="en-US"/>
        </w:rPr>
      </w:pPr>
      <w:r w:rsidRPr="001360CF">
        <w:rPr>
          <w:rStyle w:val="FootnoteReference"/>
          <w:sz w:val="18"/>
          <w:szCs w:val="18"/>
        </w:rPr>
        <w:footnoteRef/>
      </w:r>
      <w:r w:rsidRPr="001360CF">
        <w:rPr>
          <w:sz w:val="18"/>
          <w:szCs w:val="18"/>
          <w:lang w:val="en-US"/>
        </w:rPr>
        <w:t xml:space="preserve"> Public Defender (Ombudsman) of Georgia</w:t>
      </w:r>
      <w:r w:rsidRPr="001360CF">
        <w:rPr>
          <w:b/>
          <w:bCs/>
          <w:sz w:val="18"/>
          <w:szCs w:val="18"/>
          <w:lang w:val="en-US"/>
        </w:rPr>
        <w:t xml:space="preserve">. </w:t>
      </w:r>
      <w:r w:rsidRPr="001360CF">
        <w:rPr>
          <w:sz w:val="18"/>
          <w:szCs w:val="18"/>
          <w:lang w:val="en-US"/>
        </w:rPr>
        <w:t>legal capacity: reform without implementation (2016).</w:t>
      </w:r>
    </w:p>
  </w:footnote>
  <w:footnote w:id="68">
    <w:p w14:paraId="46E98E0A" w14:textId="57DE187F" w:rsidR="00E028A0" w:rsidRPr="001360CF" w:rsidRDefault="00E028A0" w:rsidP="00E028A0">
      <w:pPr>
        <w:pStyle w:val="FootnoteText"/>
        <w:jc w:val="both"/>
        <w:rPr>
          <w:sz w:val="18"/>
          <w:szCs w:val="18"/>
          <w:lang w:val="de-DE"/>
        </w:rPr>
      </w:pPr>
      <w:r w:rsidRPr="001360CF">
        <w:rPr>
          <w:rStyle w:val="FootnoteReference"/>
          <w:sz w:val="18"/>
          <w:szCs w:val="18"/>
        </w:rPr>
        <w:footnoteRef/>
      </w:r>
      <w:r w:rsidRPr="001360CF">
        <w:rPr>
          <w:sz w:val="18"/>
          <w:szCs w:val="18"/>
          <w:lang w:val="en-US"/>
        </w:rPr>
        <w:t xml:space="preserve"> </w:t>
      </w:r>
      <w:r w:rsidRPr="001360CF">
        <w:rPr>
          <w:sz w:val="18"/>
          <w:szCs w:val="18"/>
          <w:lang w:val="de-DE"/>
        </w:rPr>
        <w:t xml:space="preserve">Bundesministerium für Justiz und Verbraucherschutz. Entwurf eines Gesetzes zur Reform des Vormundschafts- und Betreuungsrechts (2020). </w:t>
      </w:r>
    </w:p>
  </w:footnote>
  <w:footnote w:id="69">
    <w:p w14:paraId="2B4FC6D6" w14:textId="7B8320D6" w:rsidR="00E028A0" w:rsidRPr="001360CF" w:rsidRDefault="00E028A0" w:rsidP="00145C6D">
      <w:pPr>
        <w:pStyle w:val="FootnoteText"/>
        <w:jc w:val="both"/>
        <w:rPr>
          <w:sz w:val="18"/>
          <w:szCs w:val="18"/>
          <w:lang w:val="de-DE"/>
        </w:rPr>
      </w:pPr>
      <w:r w:rsidRPr="001360CF">
        <w:rPr>
          <w:rStyle w:val="FootnoteReference"/>
          <w:sz w:val="18"/>
          <w:szCs w:val="18"/>
        </w:rPr>
        <w:footnoteRef/>
      </w:r>
      <w:r w:rsidRPr="001360CF">
        <w:rPr>
          <w:sz w:val="18"/>
          <w:szCs w:val="18"/>
          <w:lang w:val="de-DE"/>
        </w:rPr>
        <w:t xml:space="preserve"> Deutsches Institut für Menschenrechte, Monitoring-Stelle UN-Behindertenrechtskonvention. Stellungnahme. Zum Referentenentwurf des Bundesministeriums der Justiz und für Verbraucherschutz „Entwurf eines Gesetzes zur Reform des Vormundschafts- und Betreuungsrechts“ (2020).</w:t>
      </w:r>
    </w:p>
  </w:footnote>
  <w:footnote w:id="70">
    <w:p w14:paraId="4D97FAE9" w14:textId="455256A4" w:rsidR="00145C6D" w:rsidRPr="001360CF" w:rsidRDefault="00145C6D">
      <w:pPr>
        <w:pStyle w:val="FootnoteText"/>
        <w:rPr>
          <w:sz w:val="18"/>
          <w:szCs w:val="18"/>
          <w:lang w:val="en-US"/>
        </w:rPr>
      </w:pPr>
      <w:r w:rsidRPr="001360CF">
        <w:rPr>
          <w:rStyle w:val="FootnoteReference"/>
          <w:sz w:val="18"/>
          <w:szCs w:val="18"/>
        </w:rPr>
        <w:footnoteRef/>
      </w:r>
      <w:r w:rsidRPr="001360CF">
        <w:rPr>
          <w:sz w:val="18"/>
          <w:szCs w:val="18"/>
          <w:lang w:val="en-US"/>
        </w:rPr>
        <w:t xml:space="preserve"> Finnish institute for health and welfare. National Mental Health Strategy 2020-2030 (2020). </w:t>
      </w:r>
    </w:p>
  </w:footnote>
  <w:footnote w:id="71">
    <w:p w14:paraId="07F3A23D" w14:textId="6394D5E7" w:rsidR="001A0026" w:rsidRPr="001360CF" w:rsidRDefault="001A0026">
      <w:pPr>
        <w:pStyle w:val="FootnoteText"/>
        <w:rPr>
          <w:sz w:val="18"/>
          <w:szCs w:val="18"/>
          <w:lang w:val="en-US"/>
        </w:rPr>
      </w:pPr>
      <w:r w:rsidRPr="001360CF">
        <w:rPr>
          <w:rStyle w:val="FootnoteReference"/>
          <w:sz w:val="18"/>
          <w:szCs w:val="18"/>
        </w:rPr>
        <w:footnoteRef/>
      </w:r>
      <w:r w:rsidRPr="001360CF">
        <w:rPr>
          <w:sz w:val="18"/>
          <w:szCs w:val="18"/>
          <w:lang w:val="en-US"/>
        </w:rPr>
        <w:t xml:space="preserve"> Mental Health Europe. Promising practices in prevention, reduction and elimination of coercion across Europe (2019).</w:t>
      </w:r>
    </w:p>
  </w:footnote>
  <w:footnote w:id="72">
    <w:p w14:paraId="1B45916F" w14:textId="19E3E8AD" w:rsidR="001A0026" w:rsidRPr="001360CF" w:rsidRDefault="001A0026">
      <w:pPr>
        <w:pStyle w:val="FootnoteText"/>
        <w:rPr>
          <w:sz w:val="18"/>
          <w:szCs w:val="18"/>
          <w:lang w:val="de-DE"/>
        </w:rPr>
      </w:pPr>
      <w:r w:rsidRPr="001360CF">
        <w:rPr>
          <w:rStyle w:val="FootnoteReference"/>
          <w:sz w:val="18"/>
          <w:szCs w:val="18"/>
        </w:rPr>
        <w:footnoteRef/>
      </w:r>
      <w:r w:rsidRPr="001360CF">
        <w:rPr>
          <w:sz w:val="18"/>
          <w:szCs w:val="18"/>
          <w:lang w:val="en-US"/>
        </w:rPr>
        <w:t xml:space="preserve"> </w:t>
      </w:r>
      <w:r w:rsidRPr="001360CF">
        <w:rPr>
          <w:sz w:val="18"/>
          <w:szCs w:val="18"/>
          <w:lang w:val="de-DE"/>
        </w:rPr>
        <w:t>Ibid.</w:t>
      </w:r>
    </w:p>
  </w:footnote>
  <w:footnote w:id="73">
    <w:p w14:paraId="6E74C276" w14:textId="57AF42E9" w:rsidR="001A0026" w:rsidRPr="001360CF" w:rsidRDefault="001A0026">
      <w:pPr>
        <w:pStyle w:val="FootnoteText"/>
        <w:rPr>
          <w:sz w:val="18"/>
          <w:szCs w:val="18"/>
          <w:lang w:val="de-DE"/>
        </w:rPr>
      </w:pPr>
      <w:r w:rsidRPr="001360CF">
        <w:rPr>
          <w:rStyle w:val="FootnoteReference"/>
          <w:sz w:val="18"/>
          <w:szCs w:val="18"/>
        </w:rPr>
        <w:footnoteRef/>
      </w:r>
      <w:r w:rsidRPr="001360CF">
        <w:rPr>
          <w:sz w:val="18"/>
          <w:szCs w:val="18"/>
          <w:lang w:val="en-US"/>
        </w:rPr>
        <w:t xml:space="preserve"> </w:t>
      </w:r>
      <w:r w:rsidRPr="001360CF">
        <w:rPr>
          <w:sz w:val="18"/>
          <w:szCs w:val="18"/>
          <w:lang w:val="de-DE"/>
        </w:rPr>
        <w:t xml:space="preserve">Ibid. </w:t>
      </w:r>
    </w:p>
  </w:footnote>
  <w:footnote w:id="74">
    <w:p w14:paraId="434E4A2C" w14:textId="3374B546" w:rsidR="00741339" w:rsidRPr="00741339" w:rsidRDefault="00741339">
      <w:pPr>
        <w:pStyle w:val="FootnoteText"/>
        <w:rPr>
          <w:lang w:val="de-DE"/>
        </w:rPr>
      </w:pPr>
      <w:r w:rsidRPr="001360CF">
        <w:rPr>
          <w:rStyle w:val="FootnoteReference"/>
          <w:sz w:val="18"/>
          <w:szCs w:val="18"/>
        </w:rPr>
        <w:footnoteRef/>
      </w:r>
      <w:r w:rsidRPr="001360CF">
        <w:rPr>
          <w:sz w:val="18"/>
          <w:szCs w:val="18"/>
          <w:lang w:val="en-US"/>
        </w:rPr>
        <w:t xml:space="preserve"> </w:t>
      </w:r>
      <w:r w:rsidRPr="001360CF">
        <w:rPr>
          <w:sz w:val="18"/>
          <w:szCs w:val="18"/>
          <w:lang w:val="de-DE"/>
        </w:rPr>
        <w:t>Die Bochumer Krisenzimmer. Hilfe jenseits der Psychiatrie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06896"/>
    <w:multiLevelType w:val="hybridMultilevel"/>
    <w:tmpl w:val="01BE3B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4873044"/>
    <w:multiLevelType w:val="hybridMultilevel"/>
    <w:tmpl w:val="66206640"/>
    <w:lvl w:ilvl="0" w:tplc="16EE0F32">
      <w:start w:val="1"/>
      <w:numFmt w:val="upperLetter"/>
      <w:lvlText w:val="%1."/>
      <w:lvlJc w:val="left"/>
      <w:pPr>
        <w:ind w:left="717" w:hanging="360"/>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2" w15:restartNumberingAfterBreak="0">
    <w:nsid w:val="1BB2332A"/>
    <w:multiLevelType w:val="hybridMultilevel"/>
    <w:tmpl w:val="317A5B56"/>
    <w:lvl w:ilvl="0" w:tplc="18C8194E">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CB452B0"/>
    <w:multiLevelType w:val="hybridMultilevel"/>
    <w:tmpl w:val="E9BEAB0C"/>
    <w:lvl w:ilvl="0" w:tplc="36386122">
      <w:start w:val="1"/>
      <w:numFmt w:val="decimal"/>
      <w:lvlText w:val="%1."/>
      <w:lvlJc w:val="left"/>
      <w:pPr>
        <w:ind w:left="720" w:hanging="360"/>
      </w:pPr>
      <w:rPr>
        <w:rFonts w:cstheme="minorBid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4B15EFA"/>
    <w:multiLevelType w:val="hybridMultilevel"/>
    <w:tmpl w:val="0B90E8F0"/>
    <w:lvl w:ilvl="0" w:tplc="D8C0B5C4">
      <w:start w:val="1"/>
      <w:numFmt w:val="upperLetter"/>
      <w:pStyle w:val="Heading2"/>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4817F87"/>
    <w:multiLevelType w:val="hybridMultilevel"/>
    <w:tmpl w:val="DF80BD10"/>
    <w:lvl w:ilvl="0" w:tplc="BBEA97CA">
      <w:start w:val="1"/>
      <w:numFmt w:val="decimal"/>
      <w:lvlText w:val="(%1)"/>
      <w:lvlJc w:val="left"/>
      <w:pPr>
        <w:ind w:left="720" w:hanging="360"/>
      </w:pPr>
      <w:rPr>
        <w:rFonts w:hint="default"/>
        <w:b w:val="0"/>
        <w:bCs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89977A6"/>
    <w:multiLevelType w:val="hybridMultilevel"/>
    <w:tmpl w:val="C90EA18A"/>
    <w:lvl w:ilvl="0" w:tplc="8C24A9CE">
      <w:start w:val="1"/>
      <w:numFmt w:val="decimal"/>
      <w:lvlText w:val="%1."/>
      <w:lvlJc w:val="left"/>
      <w:pPr>
        <w:ind w:left="720" w:hanging="360"/>
      </w:pPr>
      <w:rPr>
        <w:rFonts w:cstheme="minorBid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FE85DA1"/>
    <w:multiLevelType w:val="hybridMultilevel"/>
    <w:tmpl w:val="5FCA37C6"/>
    <w:lvl w:ilvl="0" w:tplc="8D9404B2">
      <w:start w:val="1"/>
      <w:numFmt w:val="upperRoman"/>
      <w:pStyle w:val="Heading1"/>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1A96DF9"/>
    <w:multiLevelType w:val="hybridMultilevel"/>
    <w:tmpl w:val="A2AACFF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B1A0E5B"/>
    <w:multiLevelType w:val="hybridMultilevel"/>
    <w:tmpl w:val="2A02E2A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49F4C6E"/>
    <w:multiLevelType w:val="hybridMultilevel"/>
    <w:tmpl w:val="35A45BAC"/>
    <w:lvl w:ilvl="0" w:tplc="3A842634">
      <w:start w:val="1"/>
      <w:numFmt w:val="upperRoman"/>
      <w:lvlText w:val="%1."/>
      <w:lvlJc w:val="left"/>
      <w:pPr>
        <w:ind w:left="1080" w:hanging="720"/>
      </w:pPr>
      <w:rPr>
        <w:rFonts w:hint="default"/>
        <w:b/>
        <w:bCs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7ACE7C2C"/>
    <w:multiLevelType w:val="hybridMultilevel"/>
    <w:tmpl w:val="E9BEAB0C"/>
    <w:lvl w:ilvl="0" w:tplc="36386122">
      <w:start w:val="1"/>
      <w:numFmt w:val="decimal"/>
      <w:lvlText w:val="%1."/>
      <w:lvlJc w:val="left"/>
      <w:pPr>
        <w:ind w:left="720" w:hanging="360"/>
      </w:pPr>
      <w:rPr>
        <w:rFonts w:cstheme="minorBid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F96601F"/>
    <w:multiLevelType w:val="hybridMultilevel"/>
    <w:tmpl w:val="9C70EC72"/>
    <w:lvl w:ilvl="0" w:tplc="080C0015">
      <w:start w:val="1"/>
      <w:numFmt w:val="upp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num w:numId="1">
    <w:abstractNumId w:val="2"/>
  </w:num>
  <w:num w:numId="2">
    <w:abstractNumId w:val="5"/>
  </w:num>
  <w:num w:numId="3">
    <w:abstractNumId w:val="9"/>
  </w:num>
  <w:num w:numId="4">
    <w:abstractNumId w:val="0"/>
  </w:num>
  <w:num w:numId="5">
    <w:abstractNumId w:val="12"/>
  </w:num>
  <w:num w:numId="6">
    <w:abstractNumId w:val="10"/>
  </w:num>
  <w:num w:numId="7">
    <w:abstractNumId w:val="7"/>
  </w:num>
  <w:num w:numId="8">
    <w:abstractNumId w:val="4"/>
  </w:num>
  <w:num w:numId="9">
    <w:abstractNumId w:val="6"/>
  </w:num>
  <w:num w:numId="10">
    <w:abstractNumId w:val="8"/>
  </w:num>
  <w:num w:numId="11">
    <w:abstractNumId w:val="1"/>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wMTQ1MjU0tLQ0MzVQ0lEKTi0uzszPAykwrAUAPMAIDCwAAAA="/>
  </w:docVars>
  <w:rsids>
    <w:rsidRoot w:val="002B6842"/>
    <w:rsid w:val="00006E9E"/>
    <w:rsid w:val="000140D0"/>
    <w:rsid w:val="00023AC3"/>
    <w:rsid w:val="0003287F"/>
    <w:rsid w:val="000343AE"/>
    <w:rsid w:val="00036899"/>
    <w:rsid w:val="00073287"/>
    <w:rsid w:val="000779DE"/>
    <w:rsid w:val="00086C29"/>
    <w:rsid w:val="000A6EF2"/>
    <w:rsid w:val="000A78AA"/>
    <w:rsid w:val="000B00CD"/>
    <w:rsid w:val="000C1BB3"/>
    <w:rsid w:val="000D2FBE"/>
    <w:rsid w:val="000D7BA9"/>
    <w:rsid w:val="000E1FB3"/>
    <w:rsid w:val="000E37A0"/>
    <w:rsid w:val="000E5B37"/>
    <w:rsid w:val="001013E6"/>
    <w:rsid w:val="00105095"/>
    <w:rsid w:val="00111D03"/>
    <w:rsid w:val="00120D65"/>
    <w:rsid w:val="001360CF"/>
    <w:rsid w:val="00141CF1"/>
    <w:rsid w:val="00145C6D"/>
    <w:rsid w:val="00145F69"/>
    <w:rsid w:val="0018131A"/>
    <w:rsid w:val="001855D8"/>
    <w:rsid w:val="00186409"/>
    <w:rsid w:val="0019126D"/>
    <w:rsid w:val="00191D0E"/>
    <w:rsid w:val="0019608F"/>
    <w:rsid w:val="00197DFA"/>
    <w:rsid w:val="001A0026"/>
    <w:rsid w:val="001B140C"/>
    <w:rsid w:val="001B6F1C"/>
    <w:rsid w:val="001C3AAB"/>
    <w:rsid w:val="001E3CA9"/>
    <w:rsid w:val="0020573C"/>
    <w:rsid w:val="00214FBE"/>
    <w:rsid w:val="002304E0"/>
    <w:rsid w:val="00232D9A"/>
    <w:rsid w:val="00252AE2"/>
    <w:rsid w:val="0026403F"/>
    <w:rsid w:val="0027231C"/>
    <w:rsid w:val="002A33BE"/>
    <w:rsid w:val="002B1431"/>
    <w:rsid w:val="002B6842"/>
    <w:rsid w:val="002C7EBF"/>
    <w:rsid w:val="002D08D8"/>
    <w:rsid w:val="002D28DC"/>
    <w:rsid w:val="002E297C"/>
    <w:rsid w:val="002E3F90"/>
    <w:rsid w:val="002E6F47"/>
    <w:rsid w:val="002F31E2"/>
    <w:rsid w:val="00356989"/>
    <w:rsid w:val="003618DD"/>
    <w:rsid w:val="00361984"/>
    <w:rsid w:val="00372D3E"/>
    <w:rsid w:val="0038155A"/>
    <w:rsid w:val="00396D48"/>
    <w:rsid w:val="003A3B93"/>
    <w:rsid w:val="003A72EF"/>
    <w:rsid w:val="003D4681"/>
    <w:rsid w:val="003F36FB"/>
    <w:rsid w:val="004203D0"/>
    <w:rsid w:val="0042294E"/>
    <w:rsid w:val="00433B32"/>
    <w:rsid w:val="00442690"/>
    <w:rsid w:val="00444C58"/>
    <w:rsid w:val="00444D4A"/>
    <w:rsid w:val="00450480"/>
    <w:rsid w:val="00491278"/>
    <w:rsid w:val="004935F3"/>
    <w:rsid w:val="004B2306"/>
    <w:rsid w:val="004B6DA4"/>
    <w:rsid w:val="004B6FDB"/>
    <w:rsid w:val="004C0678"/>
    <w:rsid w:val="004C1ECC"/>
    <w:rsid w:val="004D2D66"/>
    <w:rsid w:val="004D6139"/>
    <w:rsid w:val="00507ADD"/>
    <w:rsid w:val="00511C1A"/>
    <w:rsid w:val="005143BC"/>
    <w:rsid w:val="00523DEE"/>
    <w:rsid w:val="005332DA"/>
    <w:rsid w:val="00541D13"/>
    <w:rsid w:val="005509EF"/>
    <w:rsid w:val="005521FE"/>
    <w:rsid w:val="00555FC1"/>
    <w:rsid w:val="00557B59"/>
    <w:rsid w:val="00562CE3"/>
    <w:rsid w:val="00563E0E"/>
    <w:rsid w:val="00567827"/>
    <w:rsid w:val="00575E8F"/>
    <w:rsid w:val="00592FE0"/>
    <w:rsid w:val="005B4CB5"/>
    <w:rsid w:val="005E57D0"/>
    <w:rsid w:val="0060409E"/>
    <w:rsid w:val="006051A1"/>
    <w:rsid w:val="006318F9"/>
    <w:rsid w:val="006339B8"/>
    <w:rsid w:val="0063415D"/>
    <w:rsid w:val="0064602E"/>
    <w:rsid w:val="00651EC6"/>
    <w:rsid w:val="00672D6E"/>
    <w:rsid w:val="00686C69"/>
    <w:rsid w:val="00691D07"/>
    <w:rsid w:val="006A0AE8"/>
    <w:rsid w:val="006A19FC"/>
    <w:rsid w:val="006A4212"/>
    <w:rsid w:val="006B3A1B"/>
    <w:rsid w:val="006D3D6A"/>
    <w:rsid w:val="006F39AA"/>
    <w:rsid w:val="00700E5F"/>
    <w:rsid w:val="0071486F"/>
    <w:rsid w:val="007248B9"/>
    <w:rsid w:val="00741339"/>
    <w:rsid w:val="00744F4A"/>
    <w:rsid w:val="00761294"/>
    <w:rsid w:val="007662B1"/>
    <w:rsid w:val="0077737C"/>
    <w:rsid w:val="00780216"/>
    <w:rsid w:val="007C3507"/>
    <w:rsid w:val="007D3C75"/>
    <w:rsid w:val="007D4AF4"/>
    <w:rsid w:val="007E7584"/>
    <w:rsid w:val="00810F48"/>
    <w:rsid w:val="00813231"/>
    <w:rsid w:val="00814931"/>
    <w:rsid w:val="00816723"/>
    <w:rsid w:val="00820789"/>
    <w:rsid w:val="00830E2E"/>
    <w:rsid w:val="0083361E"/>
    <w:rsid w:val="00863E4F"/>
    <w:rsid w:val="00885B18"/>
    <w:rsid w:val="008A74D5"/>
    <w:rsid w:val="008B17F6"/>
    <w:rsid w:val="008B7215"/>
    <w:rsid w:val="008C291B"/>
    <w:rsid w:val="008C2926"/>
    <w:rsid w:val="008C2C22"/>
    <w:rsid w:val="008E6821"/>
    <w:rsid w:val="008F5465"/>
    <w:rsid w:val="00905E44"/>
    <w:rsid w:val="00911F5F"/>
    <w:rsid w:val="00912DEF"/>
    <w:rsid w:val="009135CA"/>
    <w:rsid w:val="009425CA"/>
    <w:rsid w:val="00957D90"/>
    <w:rsid w:val="00960DFF"/>
    <w:rsid w:val="00960F81"/>
    <w:rsid w:val="0098411E"/>
    <w:rsid w:val="00986E06"/>
    <w:rsid w:val="009A05B6"/>
    <w:rsid w:val="009A1DD0"/>
    <w:rsid w:val="009F4688"/>
    <w:rsid w:val="00A0113E"/>
    <w:rsid w:val="00A10E27"/>
    <w:rsid w:val="00A1418D"/>
    <w:rsid w:val="00A16203"/>
    <w:rsid w:val="00A360C0"/>
    <w:rsid w:val="00A45F5C"/>
    <w:rsid w:val="00A54BC8"/>
    <w:rsid w:val="00A74484"/>
    <w:rsid w:val="00A776BD"/>
    <w:rsid w:val="00A963FC"/>
    <w:rsid w:val="00AB72D7"/>
    <w:rsid w:val="00AB7944"/>
    <w:rsid w:val="00AC060D"/>
    <w:rsid w:val="00AC4F54"/>
    <w:rsid w:val="00AD00DB"/>
    <w:rsid w:val="00AD6E3E"/>
    <w:rsid w:val="00AE72E1"/>
    <w:rsid w:val="00AF09ED"/>
    <w:rsid w:val="00B03A76"/>
    <w:rsid w:val="00B416D2"/>
    <w:rsid w:val="00B43B05"/>
    <w:rsid w:val="00B466D0"/>
    <w:rsid w:val="00B62A87"/>
    <w:rsid w:val="00B736E8"/>
    <w:rsid w:val="00B82369"/>
    <w:rsid w:val="00B85D75"/>
    <w:rsid w:val="00B90A55"/>
    <w:rsid w:val="00B94A09"/>
    <w:rsid w:val="00B96C16"/>
    <w:rsid w:val="00BA5E71"/>
    <w:rsid w:val="00BA6DDE"/>
    <w:rsid w:val="00BD7C81"/>
    <w:rsid w:val="00BF1695"/>
    <w:rsid w:val="00C00557"/>
    <w:rsid w:val="00C1409B"/>
    <w:rsid w:val="00C1450B"/>
    <w:rsid w:val="00C1526D"/>
    <w:rsid w:val="00C2666A"/>
    <w:rsid w:val="00C374B4"/>
    <w:rsid w:val="00C375F0"/>
    <w:rsid w:val="00C55309"/>
    <w:rsid w:val="00C56921"/>
    <w:rsid w:val="00C73903"/>
    <w:rsid w:val="00C77CC3"/>
    <w:rsid w:val="00C92F32"/>
    <w:rsid w:val="00CB2160"/>
    <w:rsid w:val="00CB45D4"/>
    <w:rsid w:val="00CB7BE5"/>
    <w:rsid w:val="00CC088D"/>
    <w:rsid w:val="00CC6DD7"/>
    <w:rsid w:val="00CC73A9"/>
    <w:rsid w:val="00CD5BD7"/>
    <w:rsid w:val="00D01F1B"/>
    <w:rsid w:val="00D21D7E"/>
    <w:rsid w:val="00D237C2"/>
    <w:rsid w:val="00D31269"/>
    <w:rsid w:val="00D3711B"/>
    <w:rsid w:val="00D40A86"/>
    <w:rsid w:val="00D46F35"/>
    <w:rsid w:val="00D53CD4"/>
    <w:rsid w:val="00D65CA4"/>
    <w:rsid w:val="00DA48C6"/>
    <w:rsid w:val="00DA73BE"/>
    <w:rsid w:val="00DC2730"/>
    <w:rsid w:val="00DC7764"/>
    <w:rsid w:val="00DD493D"/>
    <w:rsid w:val="00DF24BB"/>
    <w:rsid w:val="00E001D1"/>
    <w:rsid w:val="00E028A0"/>
    <w:rsid w:val="00E0544B"/>
    <w:rsid w:val="00E21A04"/>
    <w:rsid w:val="00E3589C"/>
    <w:rsid w:val="00E35E67"/>
    <w:rsid w:val="00E552A9"/>
    <w:rsid w:val="00E83C64"/>
    <w:rsid w:val="00EA1F88"/>
    <w:rsid w:val="00EB3074"/>
    <w:rsid w:val="00EB6FAF"/>
    <w:rsid w:val="00EC003E"/>
    <w:rsid w:val="00ED46CA"/>
    <w:rsid w:val="00EE55FD"/>
    <w:rsid w:val="00EF54E3"/>
    <w:rsid w:val="00F00F8B"/>
    <w:rsid w:val="00F32B64"/>
    <w:rsid w:val="00F355C2"/>
    <w:rsid w:val="00F40E19"/>
    <w:rsid w:val="00F441A7"/>
    <w:rsid w:val="00F574E1"/>
    <w:rsid w:val="00F95A94"/>
    <w:rsid w:val="00FC6B04"/>
    <w:rsid w:val="00FC7E13"/>
    <w:rsid w:val="00FD507E"/>
    <w:rsid w:val="00FE5FD9"/>
    <w:rsid w:val="00FF30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E47A"/>
  <w15:chartTrackingRefBased/>
  <w15:docId w15:val="{623F86EA-69F5-492B-8FC4-B8D7C33E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409"/>
    <w:pPr>
      <w:spacing w:after="120" w:line="240" w:lineRule="auto"/>
    </w:pPr>
    <w:rPr>
      <w:rFonts w:ascii="Arial" w:hAnsi="Arial"/>
    </w:rPr>
  </w:style>
  <w:style w:type="paragraph" w:styleId="Heading1">
    <w:name w:val="heading 1"/>
    <w:basedOn w:val="Normal"/>
    <w:next w:val="Normal"/>
    <w:link w:val="Heading1Char"/>
    <w:uiPriority w:val="9"/>
    <w:qFormat/>
    <w:rsid w:val="00214FBE"/>
    <w:pPr>
      <w:keepNext/>
      <w:keepLines/>
      <w:numPr>
        <w:numId w:val="7"/>
      </w:numPr>
      <w:spacing w:before="240" w:after="240"/>
      <w:ind w:left="714" w:hanging="357"/>
      <w:outlineLvl w:val="0"/>
    </w:pPr>
    <w:rPr>
      <w:rFonts w:eastAsiaTheme="majorEastAsia" w:cstheme="majorBidi"/>
      <w:b/>
      <w:color w:val="C00000"/>
      <w:sz w:val="24"/>
      <w:szCs w:val="32"/>
    </w:rPr>
  </w:style>
  <w:style w:type="paragraph" w:styleId="Heading2">
    <w:name w:val="heading 2"/>
    <w:basedOn w:val="Normal"/>
    <w:next w:val="Normal"/>
    <w:link w:val="Heading2Char"/>
    <w:uiPriority w:val="9"/>
    <w:unhideWhenUsed/>
    <w:qFormat/>
    <w:rsid w:val="002E3F90"/>
    <w:pPr>
      <w:keepNext/>
      <w:keepLines/>
      <w:numPr>
        <w:numId w:val="8"/>
      </w:numPr>
      <w:spacing w:before="240" w:after="240"/>
      <w:ind w:left="714" w:hanging="357"/>
      <w:outlineLvl w:val="1"/>
    </w:pPr>
    <w:rPr>
      <w:rFonts w:eastAsiaTheme="majorEastAsia" w:cstheme="majorBidi"/>
      <w:b/>
      <w:color w:val="2F5496" w:themeColor="accent1" w:themeShade="BF"/>
      <w:sz w:val="24"/>
      <w:szCs w:val="26"/>
    </w:rPr>
  </w:style>
  <w:style w:type="paragraph" w:styleId="Heading3">
    <w:name w:val="heading 3"/>
    <w:basedOn w:val="Normal"/>
    <w:next w:val="Normal"/>
    <w:link w:val="Heading3Char"/>
    <w:uiPriority w:val="9"/>
    <w:unhideWhenUsed/>
    <w:qFormat/>
    <w:rsid w:val="002E6F47"/>
    <w:pPr>
      <w:keepNext/>
      <w:keepLines/>
      <w:spacing w:before="240" w:after="240"/>
      <w:outlineLvl w:val="2"/>
    </w:pPr>
    <w:rPr>
      <w:rFonts w:eastAsiaTheme="majorEastAsia"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DD7"/>
    <w:pPr>
      <w:ind w:left="720"/>
      <w:contextualSpacing/>
    </w:pPr>
  </w:style>
  <w:style w:type="character" w:customStyle="1" w:styleId="Heading1Char">
    <w:name w:val="Heading 1 Char"/>
    <w:basedOn w:val="DefaultParagraphFont"/>
    <w:link w:val="Heading1"/>
    <w:uiPriority w:val="9"/>
    <w:rsid w:val="00214FBE"/>
    <w:rPr>
      <w:rFonts w:ascii="Arial" w:eastAsiaTheme="majorEastAsia" w:hAnsi="Arial" w:cstheme="majorBidi"/>
      <w:b/>
      <w:color w:val="C00000"/>
      <w:sz w:val="24"/>
      <w:szCs w:val="32"/>
    </w:rPr>
  </w:style>
  <w:style w:type="character" w:customStyle="1" w:styleId="Heading2Char">
    <w:name w:val="Heading 2 Char"/>
    <w:basedOn w:val="DefaultParagraphFont"/>
    <w:link w:val="Heading2"/>
    <w:uiPriority w:val="9"/>
    <w:rsid w:val="002E3F90"/>
    <w:rPr>
      <w:rFonts w:ascii="Arial" w:eastAsiaTheme="majorEastAsia" w:hAnsi="Arial" w:cstheme="majorBidi"/>
      <w:b/>
      <w:color w:val="2F5496" w:themeColor="accent1" w:themeShade="BF"/>
      <w:sz w:val="24"/>
      <w:szCs w:val="26"/>
    </w:rPr>
  </w:style>
  <w:style w:type="paragraph" w:styleId="NormalWeb">
    <w:name w:val="Normal (Web)"/>
    <w:basedOn w:val="Normal"/>
    <w:uiPriority w:val="99"/>
    <w:unhideWhenUsed/>
    <w:rsid w:val="00C375F0"/>
    <w:pPr>
      <w:spacing w:before="100" w:beforeAutospacing="1" w:after="100" w:afterAutospacing="1"/>
    </w:pPr>
    <w:rPr>
      <w:rFonts w:ascii="Times New Roman" w:eastAsia="Times New Roman" w:hAnsi="Times New Roman" w:cs="Times New Roman"/>
      <w:sz w:val="24"/>
      <w:szCs w:val="24"/>
      <w:lang w:eastAsia="fr-BE"/>
    </w:rPr>
  </w:style>
  <w:style w:type="character" w:styleId="CommentReference">
    <w:name w:val="annotation reference"/>
    <w:basedOn w:val="DefaultParagraphFont"/>
    <w:uiPriority w:val="99"/>
    <w:semiHidden/>
    <w:unhideWhenUsed/>
    <w:rsid w:val="00C375F0"/>
    <w:rPr>
      <w:sz w:val="16"/>
      <w:szCs w:val="16"/>
    </w:rPr>
  </w:style>
  <w:style w:type="paragraph" w:styleId="CommentText">
    <w:name w:val="annotation text"/>
    <w:basedOn w:val="Normal"/>
    <w:link w:val="CommentTextChar"/>
    <w:uiPriority w:val="99"/>
    <w:semiHidden/>
    <w:unhideWhenUsed/>
    <w:rsid w:val="00C375F0"/>
    <w:rPr>
      <w:sz w:val="20"/>
      <w:szCs w:val="20"/>
    </w:rPr>
  </w:style>
  <w:style w:type="character" w:customStyle="1" w:styleId="CommentTextChar">
    <w:name w:val="Comment Text Char"/>
    <w:basedOn w:val="DefaultParagraphFont"/>
    <w:link w:val="CommentText"/>
    <w:uiPriority w:val="99"/>
    <w:semiHidden/>
    <w:rsid w:val="00C375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375F0"/>
    <w:rPr>
      <w:b/>
      <w:bCs/>
    </w:rPr>
  </w:style>
  <w:style w:type="character" w:customStyle="1" w:styleId="CommentSubjectChar">
    <w:name w:val="Comment Subject Char"/>
    <w:basedOn w:val="CommentTextChar"/>
    <w:link w:val="CommentSubject"/>
    <w:uiPriority w:val="99"/>
    <w:semiHidden/>
    <w:rsid w:val="00C375F0"/>
    <w:rPr>
      <w:rFonts w:ascii="Arial" w:hAnsi="Arial"/>
      <w:b/>
      <w:bCs/>
      <w:sz w:val="20"/>
      <w:szCs w:val="20"/>
    </w:rPr>
  </w:style>
  <w:style w:type="paragraph" w:styleId="BalloonText">
    <w:name w:val="Balloon Text"/>
    <w:basedOn w:val="Normal"/>
    <w:link w:val="BalloonTextChar"/>
    <w:uiPriority w:val="99"/>
    <w:semiHidden/>
    <w:unhideWhenUsed/>
    <w:rsid w:val="00C375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F0"/>
    <w:rPr>
      <w:rFonts w:ascii="Segoe UI" w:hAnsi="Segoe UI" w:cs="Segoe UI"/>
      <w:sz w:val="18"/>
      <w:szCs w:val="18"/>
    </w:rPr>
  </w:style>
  <w:style w:type="paragraph" w:styleId="FootnoteText">
    <w:name w:val="footnote text"/>
    <w:aliases w:val="Footnote reference,FA Fu,Footnote Text Char Char Char Char Char,Footnote Text Char Char Char Char,Footnote Text Char Char Char,Footnote Text Char Char Char Char Char Char Char Char,5_G,Fußnotentext RAXEN,footnotes,Char, Char"/>
    <w:basedOn w:val="Normal"/>
    <w:link w:val="FootnoteTextChar"/>
    <w:uiPriority w:val="99"/>
    <w:unhideWhenUsed/>
    <w:rsid w:val="00E001D1"/>
    <w:pPr>
      <w:spacing w:after="0"/>
    </w:pPr>
    <w:rPr>
      <w:sz w:val="20"/>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r Char Char Char Char Char Char Char Char,5_G Char,Char Char"/>
    <w:basedOn w:val="DefaultParagraphFont"/>
    <w:link w:val="FootnoteText"/>
    <w:uiPriority w:val="99"/>
    <w:rsid w:val="00E001D1"/>
    <w:rPr>
      <w:rFonts w:ascii="Arial" w:hAnsi="Arial"/>
      <w:sz w:val="20"/>
      <w:szCs w:val="20"/>
    </w:rPr>
  </w:style>
  <w:style w:type="character" w:styleId="FootnoteReference">
    <w:name w:val="footnote reference"/>
    <w:aliases w:val="4_G,Footnotes refss,Footnote number,Footnote,Footnote symbol,Footnote Refernece,callout,Footnote Reference Superscript,Footnote Reference Number,BVI fnr,ftref,NO,Voetnootverwijzing,Times 10 Point,Exposant 3 Point,Footnote Ref"/>
    <w:basedOn w:val="DefaultParagraphFont"/>
    <w:link w:val="4GChar"/>
    <w:uiPriority w:val="99"/>
    <w:unhideWhenUsed/>
    <w:rsid w:val="00E001D1"/>
    <w:rPr>
      <w:vertAlign w:val="superscript"/>
    </w:rPr>
  </w:style>
  <w:style w:type="paragraph" w:styleId="Header">
    <w:name w:val="header"/>
    <w:basedOn w:val="Normal"/>
    <w:link w:val="HeaderChar"/>
    <w:uiPriority w:val="99"/>
    <w:unhideWhenUsed/>
    <w:rsid w:val="000E37A0"/>
    <w:pPr>
      <w:tabs>
        <w:tab w:val="center" w:pos="4536"/>
        <w:tab w:val="right" w:pos="9072"/>
      </w:tabs>
      <w:spacing w:after="0"/>
    </w:pPr>
  </w:style>
  <w:style w:type="character" w:customStyle="1" w:styleId="HeaderChar">
    <w:name w:val="Header Char"/>
    <w:basedOn w:val="DefaultParagraphFont"/>
    <w:link w:val="Header"/>
    <w:uiPriority w:val="99"/>
    <w:rsid w:val="000E37A0"/>
    <w:rPr>
      <w:rFonts w:ascii="Arial" w:hAnsi="Arial"/>
    </w:rPr>
  </w:style>
  <w:style w:type="paragraph" w:styleId="Footer">
    <w:name w:val="footer"/>
    <w:basedOn w:val="Normal"/>
    <w:link w:val="FooterChar"/>
    <w:uiPriority w:val="99"/>
    <w:unhideWhenUsed/>
    <w:rsid w:val="000E37A0"/>
    <w:pPr>
      <w:tabs>
        <w:tab w:val="center" w:pos="4536"/>
        <w:tab w:val="right" w:pos="9072"/>
      </w:tabs>
      <w:spacing w:after="0"/>
    </w:pPr>
  </w:style>
  <w:style w:type="character" w:customStyle="1" w:styleId="FooterChar">
    <w:name w:val="Footer Char"/>
    <w:basedOn w:val="DefaultParagraphFont"/>
    <w:link w:val="Footer"/>
    <w:uiPriority w:val="99"/>
    <w:rsid w:val="000E37A0"/>
    <w:rPr>
      <w:rFonts w:ascii="Arial" w:hAnsi="Arial"/>
    </w:rPr>
  </w:style>
  <w:style w:type="paragraph" w:customStyle="1" w:styleId="4GChar">
    <w:name w:val="4_G Char"/>
    <w:aliases w:val="Footnote Reference1 Char,Footnotes refss Char,ftref Char,BVI fnr Char,BVI fnr Car Car Char,BVI fnr Car Char,BVI fnr Car Car Car Car Char,BVI fnr Char Car Car Car Char,BVI fnr Char Car Car Car Char Char"/>
    <w:basedOn w:val="Normal"/>
    <w:link w:val="FootnoteReference"/>
    <w:uiPriority w:val="99"/>
    <w:rsid w:val="002E3F90"/>
    <w:pPr>
      <w:spacing w:line="240" w:lineRule="exact"/>
      <w:jc w:val="both"/>
    </w:pPr>
    <w:rPr>
      <w:rFonts w:asciiTheme="minorHAnsi" w:hAnsiTheme="minorHAnsi"/>
      <w:vertAlign w:val="superscript"/>
    </w:rPr>
  </w:style>
  <w:style w:type="character" w:customStyle="1" w:styleId="Heading3Char">
    <w:name w:val="Heading 3 Char"/>
    <w:basedOn w:val="DefaultParagraphFont"/>
    <w:link w:val="Heading3"/>
    <w:uiPriority w:val="9"/>
    <w:rsid w:val="002E6F47"/>
    <w:rPr>
      <w:rFonts w:ascii="Arial" w:eastAsiaTheme="majorEastAsia" w:hAnsi="Arial" w:cstheme="majorBidi"/>
      <w:b/>
      <w:color w:val="1F3763" w:themeColor="accent1" w:themeShade="7F"/>
      <w:sz w:val="24"/>
      <w:szCs w:val="24"/>
    </w:rPr>
  </w:style>
  <w:style w:type="paragraph" w:styleId="TOCHeading">
    <w:name w:val="TOC Heading"/>
    <w:basedOn w:val="Heading1"/>
    <w:next w:val="Normal"/>
    <w:uiPriority w:val="39"/>
    <w:unhideWhenUsed/>
    <w:qFormat/>
    <w:rsid w:val="00C00557"/>
    <w:pPr>
      <w:numPr>
        <w:numId w:val="0"/>
      </w:numPr>
      <w:spacing w:after="0"/>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C00557"/>
    <w:pPr>
      <w:spacing w:after="100"/>
    </w:pPr>
  </w:style>
  <w:style w:type="paragraph" w:styleId="TOC2">
    <w:name w:val="toc 2"/>
    <w:basedOn w:val="Normal"/>
    <w:next w:val="Normal"/>
    <w:autoRedefine/>
    <w:uiPriority w:val="39"/>
    <w:unhideWhenUsed/>
    <w:rsid w:val="00C00557"/>
    <w:pPr>
      <w:spacing w:after="100"/>
      <w:ind w:left="220"/>
    </w:pPr>
  </w:style>
  <w:style w:type="paragraph" w:styleId="TOC3">
    <w:name w:val="toc 3"/>
    <w:basedOn w:val="Normal"/>
    <w:next w:val="Normal"/>
    <w:autoRedefine/>
    <w:uiPriority w:val="39"/>
    <w:unhideWhenUsed/>
    <w:rsid w:val="00C00557"/>
    <w:pPr>
      <w:spacing w:after="100"/>
      <w:ind w:left="440"/>
    </w:pPr>
  </w:style>
  <w:style w:type="character" w:styleId="Hyperlink">
    <w:name w:val="Hyperlink"/>
    <w:basedOn w:val="DefaultParagraphFont"/>
    <w:uiPriority w:val="99"/>
    <w:unhideWhenUsed/>
    <w:rsid w:val="00C00557"/>
    <w:rPr>
      <w:color w:val="0563C1" w:themeColor="hyperlink"/>
      <w:u w:val="single"/>
    </w:rPr>
  </w:style>
  <w:style w:type="character" w:customStyle="1" w:styleId="UnresolvedMention1">
    <w:name w:val="Unresolved Mention1"/>
    <w:basedOn w:val="DefaultParagraphFont"/>
    <w:uiPriority w:val="99"/>
    <w:semiHidden/>
    <w:unhideWhenUsed/>
    <w:rsid w:val="00744F4A"/>
    <w:rPr>
      <w:color w:val="605E5C"/>
      <w:shd w:val="clear" w:color="auto" w:fill="E1DFDD"/>
    </w:rPr>
  </w:style>
  <w:style w:type="character" w:styleId="FollowedHyperlink">
    <w:name w:val="FollowedHyperlink"/>
    <w:basedOn w:val="DefaultParagraphFont"/>
    <w:uiPriority w:val="99"/>
    <w:semiHidden/>
    <w:unhideWhenUsed/>
    <w:rsid w:val="00EC003E"/>
    <w:rPr>
      <w:color w:val="954F72" w:themeColor="followedHyperlink"/>
      <w:u w:val="single"/>
    </w:rPr>
  </w:style>
  <w:style w:type="character" w:customStyle="1" w:styleId="highlight">
    <w:name w:val="highlight"/>
    <w:basedOn w:val="DefaultParagraphFont"/>
    <w:rsid w:val="00145C6D"/>
  </w:style>
  <w:style w:type="character" w:styleId="UnresolvedMention">
    <w:name w:val="Unresolved Mention"/>
    <w:basedOn w:val="DefaultParagraphFont"/>
    <w:uiPriority w:val="99"/>
    <w:semiHidden/>
    <w:unhideWhenUsed/>
    <w:rsid w:val="00AD6E3E"/>
    <w:rPr>
      <w:color w:val="605E5C"/>
      <w:shd w:val="clear" w:color="auto" w:fill="E1DFDD"/>
    </w:rPr>
  </w:style>
  <w:style w:type="paragraph" w:styleId="NoSpacing">
    <w:name w:val="No Spacing"/>
    <w:link w:val="NoSpacingChar"/>
    <w:uiPriority w:val="1"/>
    <w:qFormat/>
    <w:rsid w:val="001360C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360C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39741">
      <w:bodyDiv w:val="1"/>
      <w:marLeft w:val="0"/>
      <w:marRight w:val="0"/>
      <w:marTop w:val="0"/>
      <w:marBottom w:val="0"/>
      <w:divBdr>
        <w:top w:val="none" w:sz="0" w:space="0" w:color="auto"/>
        <w:left w:val="none" w:sz="0" w:space="0" w:color="auto"/>
        <w:bottom w:val="none" w:sz="0" w:space="0" w:color="auto"/>
        <w:right w:val="none" w:sz="0" w:space="0" w:color="auto"/>
      </w:divBdr>
    </w:div>
    <w:div w:id="212885350">
      <w:bodyDiv w:val="1"/>
      <w:marLeft w:val="0"/>
      <w:marRight w:val="0"/>
      <w:marTop w:val="0"/>
      <w:marBottom w:val="0"/>
      <w:divBdr>
        <w:top w:val="none" w:sz="0" w:space="0" w:color="auto"/>
        <w:left w:val="none" w:sz="0" w:space="0" w:color="auto"/>
        <w:bottom w:val="none" w:sz="0" w:space="0" w:color="auto"/>
        <w:right w:val="none" w:sz="0" w:space="0" w:color="auto"/>
      </w:divBdr>
    </w:div>
    <w:div w:id="328103194">
      <w:bodyDiv w:val="1"/>
      <w:marLeft w:val="0"/>
      <w:marRight w:val="0"/>
      <w:marTop w:val="0"/>
      <w:marBottom w:val="0"/>
      <w:divBdr>
        <w:top w:val="none" w:sz="0" w:space="0" w:color="auto"/>
        <w:left w:val="none" w:sz="0" w:space="0" w:color="auto"/>
        <w:bottom w:val="none" w:sz="0" w:space="0" w:color="auto"/>
        <w:right w:val="none" w:sz="0" w:space="0" w:color="auto"/>
      </w:divBdr>
    </w:div>
    <w:div w:id="358162519">
      <w:bodyDiv w:val="1"/>
      <w:marLeft w:val="0"/>
      <w:marRight w:val="0"/>
      <w:marTop w:val="0"/>
      <w:marBottom w:val="0"/>
      <w:divBdr>
        <w:top w:val="none" w:sz="0" w:space="0" w:color="auto"/>
        <w:left w:val="none" w:sz="0" w:space="0" w:color="auto"/>
        <w:bottom w:val="none" w:sz="0" w:space="0" w:color="auto"/>
        <w:right w:val="none" w:sz="0" w:space="0" w:color="auto"/>
      </w:divBdr>
    </w:div>
    <w:div w:id="368991420">
      <w:bodyDiv w:val="1"/>
      <w:marLeft w:val="0"/>
      <w:marRight w:val="0"/>
      <w:marTop w:val="0"/>
      <w:marBottom w:val="0"/>
      <w:divBdr>
        <w:top w:val="none" w:sz="0" w:space="0" w:color="auto"/>
        <w:left w:val="none" w:sz="0" w:space="0" w:color="auto"/>
        <w:bottom w:val="none" w:sz="0" w:space="0" w:color="auto"/>
        <w:right w:val="none" w:sz="0" w:space="0" w:color="auto"/>
      </w:divBdr>
    </w:div>
    <w:div w:id="374741317">
      <w:bodyDiv w:val="1"/>
      <w:marLeft w:val="0"/>
      <w:marRight w:val="0"/>
      <w:marTop w:val="0"/>
      <w:marBottom w:val="0"/>
      <w:divBdr>
        <w:top w:val="none" w:sz="0" w:space="0" w:color="auto"/>
        <w:left w:val="none" w:sz="0" w:space="0" w:color="auto"/>
        <w:bottom w:val="none" w:sz="0" w:space="0" w:color="auto"/>
        <w:right w:val="none" w:sz="0" w:space="0" w:color="auto"/>
      </w:divBdr>
    </w:div>
    <w:div w:id="442960806">
      <w:bodyDiv w:val="1"/>
      <w:marLeft w:val="0"/>
      <w:marRight w:val="0"/>
      <w:marTop w:val="0"/>
      <w:marBottom w:val="0"/>
      <w:divBdr>
        <w:top w:val="none" w:sz="0" w:space="0" w:color="auto"/>
        <w:left w:val="none" w:sz="0" w:space="0" w:color="auto"/>
        <w:bottom w:val="none" w:sz="0" w:space="0" w:color="auto"/>
        <w:right w:val="none" w:sz="0" w:space="0" w:color="auto"/>
      </w:divBdr>
    </w:div>
    <w:div w:id="465046143">
      <w:bodyDiv w:val="1"/>
      <w:marLeft w:val="0"/>
      <w:marRight w:val="0"/>
      <w:marTop w:val="0"/>
      <w:marBottom w:val="0"/>
      <w:divBdr>
        <w:top w:val="none" w:sz="0" w:space="0" w:color="auto"/>
        <w:left w:val="none" w:sz="0" w:space="0" w:color="auto"/>
        <w:bottom w:val="none" w:sz="0" w:space="0" w:color="auto"/>
        <w:right w:val="none" w:sz="0" w:space="0" w:color="auto"/>
      </w:divBdr>
    </w:div>
    <w:div w:id="501434943">
      <w:bodyDiv w:val="1"/>
      <w:marLeft w:val="0"/>
      <w:marRight w:val="0"/>
      <w:marTop w:val="0"/>
      <w:marBottom w:val="0"/>
      <w:divBdr>
        <w:top w:val="none" w:sz="0" w:space="0" w:color="auto"/>
        <w:left w:val="none" w:sz="0" w:space="0" w:color="auto"/>
        <w:bottom w:val="none" w:sz="0" w:space="0" w:color="auto"/>
        <w:right w:val="none" w:sz="0" w:space="0" w:color="auto"/>
      </w:divBdr>
    </w:div>
    <w:div w:id="558638170">
      <w:bodyDiv w:val="1"/>
      <w:marLeft w:val="0"/>
      <w:marRight w:val="0"/>
      <w:marTop w:val="0"/>
      <w:marBottom w:val="0"/>
      <w:divBdr>
        <w:top w:val="none" w:sz="0" w:space="0" w:color="auto"/>
        <w:left w:val="none" w:sz="0" w:space="0" w:color="auto"/>
        <w:bottom w:val="none" w:sz="0" w:space="0" w:color="auto"/>
        <w:right w:val="none" w:sz="0" w:space="0" w:color="auto"/>
      </w:divBdr>
    </w:div>
    <w:div w:id="564803672">
      <w:bodyDiv w:val="1"/>
      <w:marLeft w:val="0"/>
      <w:marRight w:val="0"/>
      <w:marTop w:val="0"/>
      <w:marBottom w:val="0"/>
      <w:divBdr>
        <w:top w:val="none" w:sz="0" w:space="0" w:color="auto"/>
        <w:left w:val="none" w:sz="0" w:space="0" w:color="auto"/>
        <w:bottom w:val="none" w:sz="0" w:space="0" w:color="auto"/>
        <w:right w:val="none" w:sz="0" w:space="0" w:color="auto"/>
      </w:divBdr>
    </w:div>
    <w:div w:id="566038358">
      <w:bodyDiv w:val="1"/>
      <w:marLeft w:val="0"/>
      <w:marRight w:val="0"/>
      <w:marTop w:val="0"/>
      <w:marBottom w:val="0"/>
      <w:divBdr>
        <w:top w:val="none" w:sz="0" w:space="0" w:color="auto"/>
        <w:left w:val="none" w:sz="0" w:space="0" w:color="auto"/>
        <w:bottom w:val="none" w:sz="0" w:space="0" w:color="auto"/>
        <w:right w:val="none" w:sz="0" w:space="0" w:color="auto"/>
      </w:divBdr>
    </w:div>
    <w:div w:id="772744367">
      <w:bodyDiv w:val="1"/>
      <w:marLeft w:val="0"/>
      <w:marRight w:val="0"/>
      <w:marTop w:val="0"/>
      <w:marBottom w:val="0"/>
      <w:divBdr>
        <w:top w:val="none" w:sz="0" w:space="0" w:color="auto"/>
        <w:left w:val="none" w:sz="0" w:space="0" w:color="auto"/>
        <w:bottom w:val="none" w:sz="0" w:space="0" w:color="auto"/>
        <w:right w:val="none" w:sz="0" w:space="0" w:color="auto"/>
      </w:divBdr>
    </w:div>
    <w:div w:id="815993026">
      <w:bodyDiv w:val="1"/>
      <w:marLeft w:val="0"/>
      <w:marRight w:val="0"/>
      <w:marTop w:val="0"/>
      <w:marBottom w:val="0"/>
      <w:divBdr>
        <w:top w:val="none" w:sz="0" w:space="0" w:color="auto"/>
        <w:left w:val="none" w:sz="0" w:space="0" w:color="auto"/>
        <w:bottom w:val="none" w:sz="0" w:space="0" w:color="auto"/>
        <w:right w:val="none" w:sz="0" w:space="0" w:color="auto"/>
      </w:divBdr>
    </w:div>
    <w:div w:id="850334021">
      <w:bodyDiv w:val="1"/>
      <w:marLeft w:val="0"/>
      <w:marRight w:val="0"/>
      <w:marTop w:val="0"/>
      <w:marBottom w:val="0"/>
      <w:divBdr>
        <w:top w:val="none" w:sz="0" w:space="0" w:color="auto"/>
        <w:left w:val="none" w:sz="0" w:space="0" w:color="auto"/>
        <w:bottom w:val="none" w:sz="0" w:space="0" w:color="auto"/>
        <w:right w:val="none" w:sz="0" w:space="0" w:color="auto"/>
      </w:divBdr>
    </w:div>
    <w:div w:id="858590524">
      <w:bodyDiv w:val="1"/>
      <w:marLeft w:val="0"/>
      <w:marRight w:val="0"/>
      <w:marTop w:val="0"/>
      <w:marBottom w:val="0"/>
      <w:divBdr>
        <w:top w:val="none" w:sz="0" w:space="0" w:color="auto"/>
        <w:left w:val="none" w:sz="0" w:space="0" w:color="auto"/>
        <w:bottom w:val="none" w:sz="0" w:space="0" w:color="auto"/>
        <w:right w:val="none" w:sz="0" w:space="0" w:color="auto"/>
      </w:divBdr>
    </w:div>
    <w:div w:id="862089559">
      <w:bodyDiv w:val="1"/>
      <w:marLeft w:val="0"/>
      <w:marRight w:val="0"/>
      <w:marTop w:val="0"/>
      <w:marBottom w:val="0"/>
      <w:divBdr>
        <w:top w:val="none" w:sz="0" w:space="0" w:color="auto"/>
        <w:left w:val="none" w:sz="0" w:space="0" w:color="auto"/>
        <w:bottom w:val="none" w:sz="0" w:space="0" w:color="auto"/>
        <w:right w:val="none" w:sz="0" w:space="0" w:color="auto"/>
      </w:divBdr>
    </w:div>
    <w:div w:id="876816984">
      <w:bodyDiv w:val="1"/>
      <w:marLeft w:val="0"/>
      <w:marRight w:val="0"/>
      <w:marTop w:val="0"/>
      <w:marBottom w:val="0"/>
      <w:divBdr>
        <w:top w:val="none" w:sz="0" w:space="0" w:color="auto"/>
        <w:left w:val="none" w:sz="0" w:space="0" w:color="auto"/>
        <w:bottom w:val="none" w:sz="0" w:space="0" w:color="auto"/>
        <w:right w:val="none" w:sz="0" w:space="0" w:color="auto"/>
      </w:divBdr>
    </w:div>
    <w:div w:id="887691479">
      <w:bodyDiv w:val="1"/>
      <w:marLeft w:val="0"/>
      <w:marRight w:val="0"/>
      <w:marTop w:val="0"/>
      <w:marBottom w:val="0"/>
      <w:divBdr>
        <w:top w:val="none" w:sz="0" w:space="0" w:color="auto"/>
        <w:left w:val="none" w:sz="0" w:space="0" w:color="auto"/>
        <w:bottom w:val="none" w:sz="0" w:space="0" w:color="auto"/>
        <w:right w:val="none" w:sz="0" w:space="0" w:color="auto"/>
      </w:divBdr>
    </w:div>
    <w:div w:id="895701282">
      <w:bodyDiv w:val="1"/>
      <w:marLeft w:val="0"/>
      <w:marRight w:val="0"/>
      <w:marTop w:val="0"/>
      <w:marBottom w:val="0"/>
      <w:divBdr>
        <w:top w:val="none" w:sz="0" w:space="0" w:color="auto"/>
        <w:left w:val="none" w:sz="0" w:space="0" w:color="auto"/>
        <w:bottom w:val="none" w:sz="0" w:space="0" w:color="auto"/>
        <w:right w:val="none" w:sz="0" w:space="0" w:color="auto"/>
      </w:divBdr>
    </w:div>
    <w:div w:id="938365274">
      <w:bodyDiv w:val="1"/>
      <w:marLeft w:val="0"/>
      <w:marRight w:val="0"/>
      <w:marTop w:val="0"/>
      <w:marBottom w:val="0"/>
      <w:divBdr>
        <w:top w:val="none" w:sz="0" w:space="0" w:color="auto"/>
        <w:left w:val="none" w:sz="0" w:space="0" w:color="auto"/>
        <w:bottom w:val="none" w:sz="0" w:space="0" w:color="auto"/>
        <w:right w:val="none" w:sz="0" w:space="0" w:color="auto"/>
      </w:divBdr>
    </w:div>
    <w:div w:id="964240505">
      <w:bodyDiv w:val="1"/>
      <w:marLeft w:val="0"/>
      <w:marRight w:val="0"/>
      <w:marTop w:val="0"/>
      <w:marBottom w:val="0"/>
      <w:divBdr>
        <w:top w:val="none" w:sz="0" w:space="0" w:color="auto"/>
        <w:left w:val="none" w:sz="0" w:space="0" w:color="auto"/>
        <w:bottom w:val="none" w:sz="0" w:space="0" w:color="auto"/>
        <w:right w:val="none" w:sz="0" w:space="0" w:color="auto"/>
      </w:divBdr>
    </w:div>
    <w:div w:id="1090081890">
      <w:bodyDiv w:val="1"/>
      <w:marLeft w:val="0"/>
      <w:marRight w:val="0"/>
      <w:marTop w:val="0"/>
      <w:marBottom w:val="0"/>
      <w:divBdr>
        <w:top w:val="none" w:sz="0" w:space="0" w:color="auto"/>
        <w:left w:val="none" w:sz="0" w:space="0" w:color="auto"/>
        <w:bottom w:val="none" w:sz="0" w:space="0" w:color="auto"/>
        <w:right w:val="none" w:sz="0" w:space="0" w:color="auto"/>
      </w:divBdr>
    </w:div>
    <w:div w:id="1115250127">
      <w:bodyDiv w:val="1"/>
      <w:marLeft w:val="0"/>
      <w:marRight w:val="0"/>
      <w:marTop w:val="0"/>
      <w:marBottom w:val="0"/>
      <w:divBdr>
        <w:top w:val="none" w:sz="0" w:space="0" w:color="auto"/>
        <w:left w:val="none" w:sz="0" w:space="0" w:color="auto"/>
        <w:bottom w:val="none" w:sz="0" w:space="0" w:color="auto"/>
        <w:right w:val="none" w:sz="0" w:space="0" w:color="auto"/>
      </w:divBdr>
    </w:div>
    <w:div w:id="1233003016">
      <w:bodyDiv w:val="1"/>
      <w:marLeft w:val="0"/>
      <w:marRight w:val="0"/>
      <w:marTop w:val="0"/>
      <w:marBottom w:val="0"/>
      <w:divBdr>
        <w:top w:val="none" w:sz="0" w:space="0" w:color="auto"/>
        <w:left w:val="none" w:sz="0" w:space="0" w:color="auto"/>
        <w:bottom w:val="none" w:sz="0" w:space="0" w:color="auto"/>
        <w:right w:val="none" w:sz="0" w:space="0" w:color="auto"/>
      </w:divBdr>
    </w:div>
    <w:div w:id="1357001105">
      <w:bodyDiv w:val="1"/>
      <w:marLeft w:val="0"/>
      <w:marRight w:val="0"/>
      <w:marTop w:val="0"/>
      <w:marBottom w:val="0"/>
      <w:divBdr>
        <w:top w:val="none" w:sz="0" w:space="0" w:color="auto"/>
        <w:left w:val="none" w:sz="0" w:space="0" w:color="auto"/>
        <w:bottom w:val="none" w:sz="0" w:space="0" w:color="auto"/>
        <w:right w:val="none" w:sz="0" w:space="0" w:color="auto"/>
      </w:divBdr>
    </w:div>
    <w:div w:id="1388871151">
      <w:bodyDiv w:val="1"/>
      <w:marLeft w:val="0"/>
      <w:marRight w:val="0"/>
      <w:marTop w:val="0"/>
      <w:marBottom w:val="0"/>
      <w:divBdr>
        <w:top w:val="none" w:sz="0" w:space="0" w:color="auto"/>
        <w:left w:val="none" w:sz="0" w:space="0" w:color="auto"/>
        <w:bottom w:val="none" w:sz="0" w:space="0" w:color="auto"/>
        <w:right w:val="none" w:sz="0" w:space="0" w:color="auto"/>
      </w:divBdr>
    </w:div>
    <w:div w:id="1464733103">
      <w:bodyDiv w:val="1"/>
      <w:marLeft w:val="0"/>
      <w:marRight w:val="0"/>
      <w:marTop w:val="0"/>
      <w:marBottom w:val="0"/>
      <w:divBdr>
        <w:top w:val="none" w:sz="0" w:space="0" w:color="auto"/>
        <w:left w:val="none" w:sz="0" w:space="0" w:color="auto"/>
        <w:bottom w:val="none" w:sz="0" w:space="0" w:color="auto"/>
        <w:right w:val="none" w:sz="0" w:space="0" w:color="auto"/>
      </w:divBdr>
    </w:div>
    <w:div w:id="1491948230">
      <w:bodyDiv w:val="1"/>
      <w:marLeft w:val="0"/>
      <w:marRight w:val="0"/>
      <w:marTop w:val="0"/>
      <w:marBottom w:val="0"/>
      <w:divBdr>
        <w:top w:val="none" w:sz="0" w:space="0" w:color="auto"/>
        <w:left w:val="none" w:sz="0" w:space="0" w:color="auto"/>
        <w:bottom w:val="none" w:sz="0" w:space="0" w:color="auto"/>
        <w:right w:val="none" w:sz="0" w:space="0" w:color="auto"/>
      </w:divBdr>
    </w:div>
    <w:div w:id="1630549170">
      <w:bodyDiv w:val="1"/>
      <w:marLeft w:val="0"/>
      <w:marRight w:val="0"/>
      <w:marTop w:val="0"/>
      <w:marBottom w:val="0"/>
      <w:divBdr>
        <w:top w:val="none" w:sz="0" w:space="0" w:color="auto"/>
        <w:left w:val="none" w:sz="0" w:space="0" w:color="auto"/>
        <w:bottom w:val="none" w:sz="0" w:space="0" w:color="auto"/>
        <w:right w:val="none" w:sz="0" w:space="0" w:color="auto"/>
      </w:divBdr>
    </w:div>
    <w:div w:id="1690788202">
      <w:bodyDiv w:val="1"/>
      <w:marLeft w:val="0"/>
      <w:marRight w:val="0"/>
      <w:marTop w:val="0"/>
      <w:marBottom w:val="0"/>
      <w:divBdr>
        <w:top w:val="none" w:sz="0" w:space="0" w:color="auto"/>
        <w:left w:val="none" w:sz="0" w:space="0" w:color="auto"/>
        <w:bottom w:val="none" w:sz="0" w:space="0" w:color="auto"/>
        <w:right w:val="none" w:sz="0" w:space="0" w:color="auto"/>
      </w:divBdr>
    </w:div>
    <w:div w:id="1726949934">
      <w:bodyDiv w:val="1"/>
      <w:marLeft w:val="0"/>
      <w:marRight w:val="0"/>
      <w:marTop w:val="0"/>
      <w:marBottom w:val="0"/>
      <w:divBdr>
        <w:top w:val="none" w:sz="0" w:space="0" w:color="auto"/>
        <w:left w:val="none" w:sz="0" w:space="0" w:color="auto"/>
        <w:bottom w:val="none" w:sz="0" w:space="0" w:color="auto"/>
        <w:right w:val="none" w:sz="0" w:space="0" w:color="auto"/>
      </w:divBdr>
    </w:div>
    <w:div w:id="1734741156">
      <w:bodyDiv w:val="1"/>
      <w:marLeft w:val="0"/>
      <w:marRight w:val="0"/>
      <w:marTop w:val="0"/>
      <w:marBottom w:val="0"/>
      <w:divBdr>
        <w:top w:val="none" w:sz="0" w:space="0" w:color="auto"/>
        <w:left w:val="none" w:sz="0" w:space="0" w:color="auto"/>
        <w:bottom w:val="none" w:sz="0" w:space="0" w:color="auto"/>
        <w:right w:val="none" w:sz="0" w:space="0" w:color="auto"/>
      </w:divBdr>
    </w:div>
    <w:div w:id="1803691633">
      <w:bodyDiv w:val="1"/>
      <w:marLeft w:val="0"/>
      <w:marRight w:val="0"/>
      <w:marTop w:val="0"/>
      <w:marBottom w:val="0"/>
      <w:divBdr>
        <w:top w:val="none" w:sz="0" w:space="0" w:color="auto"/>
        <w:left w:val="none" w:sz="0" w:space="0" w:color="auto"/>
        <w:bottom w:val="none" w:sz="0" w:space="0" w:color="auto"/>
        <w:right w:val="none" w:sz="0" w:space="0" w:color="auto"/>
      </w:divBdr>
    </w:div>
    <w:div w:id="1810510780">
      <w:bodyDiv w:val="1"/>
      <w:marLeft w:val="0"/>
      <w:marRight w:val="0"/>
      <w:marTop w:val="0"/>
      <w:marBottom w:val="0"/>
      <w:divBdr>
        <w:top w:val="none" w:sz="0" w:space="0" w:color="auto"/>
        <w:left w:val="none" w:sz="0" w:space="0" w:color="auto"/>
        <w:bottom w:val="none" w:sz="0" w:space="0" w:color="auto"/>
        <w:right w:val="none" w:sz="0" w:space="0" w:color="auto"/>
      </w:divBdr>
    </w:div>
    <w:div w:id="1863089274">
      <w:bodyDiv w:val="1"/>
      <w:marLeft w:val="0"/>
      <w:marRight w:val="0"/>
      <w:marTop w:val="0"/>
      <w:marBottom w:val="0"/>
      <w:divBdr>
        <w:top w:val="none" w:sz="0" w:space="0" w:color="auto"/>
        <w:left w:val="none" w:sz="0" w:space="0" w:color="auto"/>
        <w:bottom w:val="none" w:sz="0" w:space="0" w:color="auto"/>
        <w:right w:val="none" w:sz="0" w:space="0" w:color="auto"/>
      </w:divBdr>
    </w:div>
    <w:div w:id="1866140714">
      <w:bodyDiv w:val="1"/>
      <w:marLeft w:val="0"/>
      <w:marRight w:val="0"/>
      <w:marTop w:val="0"/>
      <w:marBottom w:val="0"/>
      <w:divBdr>
        <w:top w:val="none" w:sz="0" w:space="0" w:color="auto"/>
        <w:left w:val="none" w:sz="0" w:space="0" w:color="auto"/>
        <w:bottom w:val="none" w:sz="0" w:space="0" w:color="auto"/>
        <w:right w:val="none" w:sz="0" w:space="0" w:color="auto"/>
      </w:divBdr>
    </w:div>
    <w:div w:id="2062900563">
      <w:bodyDiv w:val="1"/>
      <w:marLeft w:val="0"/>
      <w:marRight w:val="0"/>
      <w:marTop w:val="0"/>
      <w:marBottom w:val="0"/>
      <w:divBdr>
        <w:top w:val="none" w:sz="0" w:space="0" w:color="auto"/>
        <w:left w:val="none" w:sz="0" w:space="0" w:color="auto"/>
        <w:bottom w:val="none" w:sz="0" w:space="0" w:color="auto"/>
        <w:right w:val="none" w:sz="0" w:space="0" w:color="auto"/>
      </w:divBdr>
    </w:div>
    <w:div w:id="2104303409">
      <w:bodyDiv w:val="1"/>
      <w:marLeft w:val="0"/>
      <w:marRight w:val="0"/>
      <w:marTop w:val="0"/>
      <w:marBottom w:val="0"/>
      <w:divBdr>
        <w:top w:val="none" w:sz="0" w:space="0" w:color="auto"/>
        <w:left w:val="none" w:sz="0" w:space="0" w:color="auto"/>
        <w:bottom w:val="none" w:sz="0" w:space="0" w:color="auto"/>
        <w:right w:val="none" w:sz="0" w:space="0" w:color="auto"/>
      </w:divBdr>
    </w:div>
    <w:div w:id="2112628428">
      <w:bodyDiv w:val="1"/>
      <w:marLeft w:val="0"/>
      <w:marRight w:val="0"/>
      <w:marTop w:val="0"/>
      <w:marBottom w:val="0"/>
      <w:divBdr>
        <w:top w:val="none" w:sz="0" w:space="0" w:color="auto"/>
        <w:left w:val="none" w:sz="0" w:space="0" w:color="auto"/>
        <w:bottom w:val="none" w:sz="0" w:space="0" w:color="auto"/>
        <w:right w:val="none" w:sz="0" w:space="0" w:color="auto"/>
      </w:divBdr>
    </w:div>
    <w:div w:id="2136366849">
      <w:bodyDiv w:val="1"/>
      <w:marLeft w:val="0"/>
      <w:marRight w:val="0"/>
      <w:marTop w:val="0"/>
      <w:marBottom w:val="0"/>
      <w:divBdr>
        <w:top w:val="none" w:sz="0" w:space="0" w:color="auto"/>
        <w:left w:val="none" w:sz="0" w:space="0" w:color="auto"/>
        <w:bottom w:val="none" w:sz="0" w:space="0" w:color="auto"/>
        <w:right w:val="none" w:sz="0" w:space="0" w:color="auto"/>
      </w:divBdr>
    </w:div>
    <w:div w:id="214311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who.int/mental_health/policy/legislation/en/" TargetMode="External"/><Relationship Id="rId18" Type="http://schemas.openxmlformats.org/officeDocument/2006/relationships/hyperlink" Target="https://hudoc.echr.coe.int/eng" TargetMode="External"/><Relationship Id="rId26" Type="http://schemas.openxmlformats.org/officeDocument/2006/relationships/hyperlink" Target="https://hudoc.echr.coe.int/eng" TargetMode="External"/><Relationship Id="rId39" Type="http://schemas.openxmlformats.org/officeDocument/2006/relationships/hyperlink" Target="https://www.who.int/publications/i/item/who-qualityrights-guidance-and-training-tools" TargetMode="External"/><Relationship Id="rId21" Type="http://schemas.openxmlformats.org/officeDocument/2006/relationships/hyperlink" Target="https://hudoc.echr.coe.int/eng" TargetMode="External"/><Relationship Id="rId34" Type="http://schemas.openxmlformats.org/officeDocument/2006/relationships/hyperlink" Target="https://hudoc.echr.coe.int/eng" TargetMode="External"/><Relationship Id="rId7" Type="http://schemas.openxmlformats.org/officeDocument/2006/relationships/hyperlink" Target="C://Users/IDA%20STAFF/Downloads/G1406143.pdf" TargetMode="External"/><Relationship Id="rId12" Type="http://schemas.openxmlformats.org/officeDocument/2006/relationships/hyperlink" Target="https://www.un.org/en/ga/search/view_doc.asp?symbol=A/HRC/41/34" TargetMode="External"/><Relationship Id="rId17" Type="http://schemas.openxmlformats.org/officeDocument/2006/relationships/hyperlink" Target="https://hudoc.echr.coe.int/eng" TargetMode="External"/><Relationship Id="rId25" Type="http://schemas.openxmlformats.org/officeDocument/2006/relationships/hyperlink" Target="https://hudoc.echr.coe.int/eng" TargetMode="External"/><Relationship Id="rId33" Type="http://schemas.openxmlformats.org/officeDocument/2006/relationships/hyperlink" Target="https://hudoc.echr.coe.int/eng" TargetMode="External"/><Relationship Id="rId38" Type="http://schemas.openxmlformats.org/officeDocument/2006/relationships/hyperlink" Target="https://hudoc.echr.coe.int/eng" TargetMode="External"/><Relationship Id="rId2" Type="http://schemas.openxmlformats.org/officeDocument/2006/relationships/hyperlink" Target="https://tbinternet.ohchr.org/_layouts/15/treatybodyexternal/Download.aspx?symbolno=CEDAW%2fC%2fTJK%2fCO%2f6&amp;Lang=en" TargetMode="External"/><Relationship Id="rId16" Type="http://schemas.openxmlformats.org/officeDocument/2006/relationships/hyperlink" Target="https://hudoc.echr.coe.int/eng" TargetMode="External"/><Relationship Id="rId20" Type="http://schemas.openxmlformats.org/officeDocument/2006/relationships/hyperlink" Target="https://hudoc.echr.coe.int/eng" TargetMode="External"/><Relationship Id="rId29" Type="http://schemas.openxmlformats.org/officeDocument/2006/relationships/hyperlink" Target="https://hudoc.echr.coe.int/eng" TargetMode="External"/><Relationship Id="rId1" Type="http://schemas.openxmlformats.org/officeDocument/2006/relationships/hyperlink" Target="https://tbinternet.ohchr.org/_layouts/15/treatybodyexternal/Download.aspx?symbolno=CEDAW/C/IND/CO/4-5&amp;Lang=En" TargetMode="External"/><Relationship Id="rId6" Type="http://schemas.openxmlformats.org/officeDocument/2006/relationships/hyperlink" Target="https://documents-dds-ny.un.org/doc/UNDOC/GEN/G15/150/67/PDF/G1515067.pdf?OpenElement" TargetMode="External"/><Relationship Id="rId11" Type="http://schemas.openxmlformats.org/officeDocument/2006/relationships/hyperlink" Target="https://undocs.org/E/C.12/NOR/CO/5" TargetMode="External"/><Relationship Id="rId24" Type="http://schemas.openxmlformats.org/officeDocument/2006/relationships/hyperlink" Target="https://hudoc.echr.coe.int/eng" TargetMode="External"/><Relationship Id="rId32" Type="http://schemas.openxmlformats.org/officeDocument/2006/relationships/hyperlink" Target="https://hudoc.echr.coe.int/eng" TargetMode="External"/><Relationship Id="rId37" Type="http://schemas.openxmlformats.org/officeDocument/2006/relationships/hyperlink" Target="https://undocs.org/en/A/HRC/43/41" TargetMode="External"/><Relationship Id="rId5" Type="http://schemas.openxmlformats.org/officeDocument/2006/relationships/hyperlink" Target="https://tbinternet.ohchr.org/_layouts/15/treatybodyexternal/Download.aspx?symbolno=E%2fC.12%2fARG%2fCO%2f4&amp;Lang=en" TargetMode="External"/><Relationship Id="rId15" Type="http://schemas.openxmlformats.org/officeDocument/2006/relationships/hyperlink" Target="https://hudoc.echr.coe.int/eng" TargetMode="External"/><Relationship Id="rId23" Type="http://schemas.openxmlformats.org/officeDocument/2006/relationships/hyperlink" Target="https://hudoc.echr.coe.int/eng" TargetMode="External"/><Relationship Id="rId28" Type="http://schemas.openxmlformats.org/officeDocument/2006/relationships/hyperlink" Target="https://hudoc.echr.coe.int/eng" TargetMode="External"/><Relationship Id="rId36" Type="http://schemas.openxmlformats.org/officeDocument/2006/relationships/hyperlink" Target="https://hudoc.echr.coe.int/eng" TargetMode="External"/><Relationship Id="rId10" Type="http://schemas.openxmlformats.org/officeDocument/2006/relationships/hyperlink" Target="https://undocs.org/en/E/C.12/MNE/CO/1" TargetMode="External"/><Relationship Id="rId19" Type="http://schemas.openxmlformats.org/officeDocument/2006/relationships/hyperlink" Target="https://hudoc.echr.coe.int/eng" TargetMode="External"/><Relationship Id="rId31" Type="http://schemas.openxmlformats.org/officeDocument/2006/relationships/hyperlink" Target="https://hudoc.echr.coe.int/eng" TargetMode="External"/><Relationship Id="rId4" Type="http://schemas.openxmlformats.org/officeDocument/2006/relationships/hyperlink" Target="https://www.ohchr.org/Documents/Issues/Detention/Opinions/Session83/A_HRC_WGAD_2018_70.pdf" TargetMode="External"/><Relationship Id="rId9" Type="http://schemas.openxmlformats.org/officeDocument/2006/relationships/hyperlink" Target="https://tbinternet.ohchr.org/_layouts/15/treatybodyexternal/Download.aspx?symbolno=E/C.12/LVA/CO/1&amp;Lang=En" TargetMode="External"/><Relationship Id="rId14" Type="http://schemas.openxmlformats.org/officeDocument/2006/relationships/hyperlink" Target="https://www.who.int/publications/i/item/who-qualityrights-guidance-and-training-tools" TargetMode="External"/><Relationship Id="rId22" Type="http://schemas.openxmlformats.org/officeDocument/2006/relationships/hyperlink" Target="https://hudoc.echr.coe.int/eng" TargetMode="External"/><Relationship Id="rId27" Type="http://schemas.openxmlformats.org/officeDocument/2006/relationships/hyperlink" Target="https://hudoc.echr.coe.int/eng" TargetMode="External"/><Relationship Id="rId30" Type="http://schemas.openxmlformats.org/officeDocument/2006/relationships/hyperlink" Target="https://hudoc.echr.coe.int/eng" TargetMode="External"/><Relationship Id="rId35" Type="http://schemas.openxmlformats.org/officeDocument/2006/relationships/hyperlink" Target="https://hudoc.echr.coe.int/eng" TargetMode="External"/><Relationship Id="rId8" Type="http://schemas.openxmlformats.org/officeDocument/2006/relationships/hyperlink" Target="https://undocs.org/E/C.12/MDA/CO/2" TargetMode="External"/><Relationship Id="rId3" Type="http://schemas.openxmlformats.org/officeDocument/2006/relationships/hyperlink" Target="https://undocs.org/E/C.12/MDA/CO/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3C055-D72B-415A-B239-49545403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5130</Words>
  <Characters>28216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Uldry</dc:creator>
  <cp:keywords/>
  <dc:description/>
  <cp:lastModifiedBy>Marine Uldry</cp:lastModifiedBy>
  <cp:revision>5</cp:revision>
  <dcterms:created xsi:type="dcterms:W3CDTF">2020-11-10T16:23:00Z</dcterms:created>
  <dcterms:modified xsi:type="dcterms:W3CDTF">2020-11-10T16:25:00Z</dcterms:modified>
</cp:coreProperties>
</file>