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Pr="00750257" w:rsidRDefault="008054A7" w:rsidP="00541EBA">
      <w:pPr>
        <w:spacing w:before="240"/>
        <w:jc w:val="center"/>
        <w:rPr>
          <w:lang w:val="en-GB"/>
        </w:rPr>
      </w:pPr>
      <w:r w:rsidRPr="00750257">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750257">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750257">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39960D67" w:rsidR="00D11DAB" w:rsidRPr="0098141E" w:rsidRDefault="0098141E" w:rsidP="00D11DAB">
      <w:pPr>
        <w:pStyle w:val="Title"/>
        <w:spacing w:before="360"/>
        <w:rPr>
          <w:sz w:val="56"/>
          <w:lang w:val="en-GB"/>
        </w:rPr>
      </w:pPr>
      <w:r w:rsidRPr="0098141E">
        <w:rPr>
          <w:sz w:val="56"/>
          <w:lang w:val="en-GB"/>
        </w:rPr>
        <w:t xml:space="preserve">EDF recommendations on the draft Council Conclusions </w:t>
      </w:r>
      <w:r w:rsidR="00A10516" w:rsidRPr="00A10516">
        <w:rPr>
          <w:sz w:val="56"/>
          <w:lang w:val="en-GB"/>
        </w:rPr>
        <w:t>“Putting Rail at the Forefront of Smart and Sustainable Mobility”</w:t>
      </w:r>
    </w:p>
    <w:p w14:paraId="1C5853C0" w14:textId="6F7182EE" w:rsidR="00D11DAB" w:rsidRPr="00750257" w:rsidRDefault="004A5A7B" w:rsidP="004A5A7B">
      <w:pPr>
        <w:pStyle w:val="Subtitle"/>
        <w:spacing w:before="480"/>
        <w:rPr>
          <w:lang w:val="en-GB"/>
        </w:rPr>
      </w:pPr>
      <w:r w:rsidRPr="00750257">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3A6E98E4">
                <wp:simplePos x="0" y="0"/>
                <wp:positionH relativeFrom="page">
                  <wp:posOffset>-2540</wp:posOffset>
                </wp:positionH>
                <wp:positionV relativeFrom="paragraph">
                  <wp:posOffset>678180</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7BE96" id="Rectangle 3" o:spid="_x0000_s1026" alt="&quot;&quot;" style="position:absolute;margin-left:-.2pt;margin-top:53.4pt;width:594.4pt;height:4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" fillcolor="#a20000" strokecolor="#1f3763 [1604]" strokeweight="1pt">
                <w10:wrap anchorx="page"/>
              </v:rect>
            </w:pict>
          </mc:Fallback>
        </mc:AlternateContent>
      </w:r>
      <w:r w:rsidR="00E47FF5" w:rsidRPr="00750257">
        <w:rPr>
          <w:lang w:val="en-GB"/>
        </w:rPr>
        <w:t xml:space="preserve">European Disability </w:t>
      </w:r>
      <w:r w:rsidR="00606390" w:rsidRPr="00750257">
        <w:rPr>
          <w:lang w:val="en-GB"/>
        </w:rPr>
        <w:t xml:space="preserve">Forum </w:t>
      </w:r>
    </w:p>
    <w:p w14:paraId="75770BC9" w14:textId="4B367800" w:rsidR="00E62CBF" w:rsidRPr="00750257" w:rsidRDefault="0098141E" w:rsidP="0098141E">
      <w:pPr>
        <w:spacing w:before="360" w:after="840"/>
        <w:rPr>
          <w:b/>
          <w:bCs/>
          <w:color w:val="FFFFFF" w:themeColor="background1"/>
          <w:sz w:val="32"/>
          <w:szCs w:val="32"/>
          <w:lang w:val="en-GB"/>
        </w:rPr>
      </w:pPr>
      <w:r>
        <w:rPr>
          <w:b/>
          <w:bCs/>
          <w:color w:val="FFFFFF" w:themeColor="background1"/>
          <w:sz w:val="32"/>
          <w:szCs w:val="32"/>
          <w:lang w:val="en-GB"/>
        </w:rPr>
        <w:t>April</w:t>
      </w:r>
      <w:r w:rsidR="004A5A7B" w:rsidRPr="00750257">
        <w:rPr>
          <w:b/>
          <w:bCs/>
          <w:color w:val="FFFFFF" w:themeColor="background1"/>
          <w:sz w:val="32"/>
          <w:szCs w:val="32"/>
          <w:lang w:val="en-GB"/>
        </w:rPr>
        <w:t xml:space="preserve"> 2021</w:t>
      </w:r>
    </w:p>
    <w:p w14:paraId="0A198F08" w14:textId="77777777" w:rsidR="004A5A7B" w:rsidRPr="00750257" w:rsidRDefault="004A5A7B" w:rsidP="00D11DAB">
      <w:pPr>
        <w:spacing w:before="360" w:after="840"/>
        <w:rPr>
          <w:b/>
          <w:bCs/>
          <w:color w:val="FFFFFF" w:themeColor="background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750257" w14:paraId="18E8BE2C" w14:textId="77777777" w:rsidTr="001E0F08">
        <w:tc>
          <w:tcPr>
            <w:tcW w:w="2245" w:type="dxa"/>
          </w:tcPr>
          <w:p w14:paraId="5DFDD4D9" w14:textId="0F47CB15" w:rsidR="001E0F08" w:rsidRPr="00750257" w:rsidRDefault="001E0F08" w:rsidP="001E0F08">
            <w:pPr>
              <w:rPr>
                <w:color w:val="FFFFFF" w:themeColor="background1"/>
                <w:lang w:val="en-GB" w:eastAsia="zh-CN" w:bidi="hi-IN"/>
              </w:rPr>
            </w:pPr>
            <w:r w:rsidRPr="00750257">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750257" w:rsidRDefault="001E0F08" w:rsidP="001E0F08">
            <w:pPr>
              <w:rPr>
                <w:color w:val="FFFFFF" w:themeColor="background1"/>
                <w:lang w:val="en-GB" w:eastAsia="zh-CN" w:bidi="hi-IN"/>
              </w:rPr>
            </w:pPr>
            <w:r w:rsidRPr="00750257">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750257" w:rsidRDefault="00A9576D" w:rsidP="008054A7">
      <w:pPr>
        <w:pStyle w:val="Heading1"/>
        <w:pageBreakBefore/>
        <w:rPr>
          <w:lang w:val="en-GB"/>
        </w:rPr>
      </w:pPr>
      <w:bookmarkStart w:id="0" w:name="_Toc69985654"/>
      <w:r w:rsidRPr="00750257">
        <w:rPr>
          <w:lang w:val="en-GB"/>
        </w:rPr>
        <w:lastRenderedPageBreak/>
        <w:t>Table of Contents</w:t>
      </w:r>
      <w:bookmarkEnd w:id="0"/>
    </w:p>
    <w:p w14:paraId="272D8D30" w14:textId="17A79B60" w:rsidR="00A10516" w:rsidRDefault="00A9576D">
      <w:pPr>
        <w:pStyle w:val="TOC1"/>
        <w:tabs>
          <w:tab w:val="right" w:leader="dot" w:pos="9016"/>
        </w:tabs>
        <w:rPr>
          <w:rFonts w:asciiTheme="minorHAnsi" w:eastAsiaTheme="minorEastAsia" w:hAnsiTheme="minorHAnsi"/>
          <w:noProof/>
          <w:sz w:val="22"/>
          <w:lang w:val="fr-BE" w:eastAsia="fr-BE"/>
        </w:rPr>
      </w:pPr>
      <w:r w:rsidRPr="00750257">
        <w:rPr>
          <w:lang w:val="en-GB"/>
        </w:rPr>
        <w:fldChar w:fldCharType="begin"/>
      </w:r>
      <w:r w:rsidRPr="00750257">
        <w:rPr>
          <w:lang w:val="en-GB"/>
        </w:rPr>
        <w:instrText xml:space="preserve"> TOC \o "1-2" \h \z \u </w:instrText>
      </w:r>
      <w:r w:rsidRPr="00750257">
        <w:rPr>
          <w:lang w:val="en-GB"/>
        </w:rPr>
        <w:fldChar w:fldCharType="separate"/>
      </w:r>
      <w:hyperlink w:anchor="_Toc69985654" w:history="1">
        <w:r w:rsidR="00A10516" w:rsidRPr="000708A2">
          <w:rPr>
            <w:rStyle w:val="Hyperlink"/>
            <w:noProof/>
            <w:lang w:val="en-GB"/>
          </w:rPr>
          <w:t>Table of Contents</w:t>
        </w:r>
        <w:r w:rsidR="00A10516">
          <w:rPr>
            <w:noProof/>
            <w:webHidden/>
          </w:rPr>
          <w:tab/>
        </w:r>
        <w:r w:rsidR="00A10516">
          <w:rPr>
            <w:noProof/>
            <w:webHidden/>
          </w:rPr>
          <w:fldChar w:fldCharType="begin"/>
        </w:r>
        <w:r w:rsidR="00A10516">
          <w:rPr>
            <w:noProof/>
            <w:webHidden/>
          </w:rPr>
          <w:instrText xml:space="preserve"> PAGEREF _Toc69985654 \h </w:instrText>
        </w:r>
        <w:r w:rsidR="00A10516">
          <w:rPr>
            <w:noProof/>
            <w:webHidden/>
          </w:rPr>
        </w:r>
        <w:r w:rsidR="00A10516">
          <w:rPr>
            <w:noProof/>
            <w:webHidden/>
          </w:rPr>
          <w:fldChar w:fldCharType="separate"/>
        </w:r>
        <w:r w:rsidR="00A10516">
          <w:rPr>
            <w:noProof/>
            <w:webHidden/>
          </w:rPr>
          <w:t>2</w:t>
        </w:r>
        <w:r w:rsidR="00A10516">
          <w:rPr>
            <w:noProof/>
            <w:webHidden/>
          </w:rPr>
          <w:fldChar w:fldCharType="end"/>
        </w:r>
      </w:hyperlink>
    </w:p>
    <w:p w14:paraId="198E42B5" w14:textId="590714AC" w:rsidR="00A10516" w:rsidRDefault="00A10516">
      <w:pPr>
        <w:pStyle w:val="TOC1"/>
        <w:tabs>
          <w:tab w:val="right" w:leader="dot" w:pos="9016"/>
        </w:tabs>
        <w:rPr>
          <w:rFonts w:asciiTheme="minorHAnsi" w:eastAsiaTheme="minorEastAsia" w:hAnsiTheme="minorHAnsi"/>
          <w:noProof/>
          <w:sz w:val="22"/>
          <w:lang w:val="fr-BE" w:eastAsia="fr-BE"/>
        </w:rPr>
      </w:pPr>
      <w:hyperlink w:anchor="_Toc69985655" w:history="1">
        <w:r w:rsidRPr="000708A2">
          <w:rPr>
            <w:rStyle w:val="Hyperlink"/>
            <w:noProof/>
            <w:lang w:val="en-GB"/>
          </w:rPr>
          <w:t>Preface</w:t>
        </w:r>
        <w:r>
          <w:rPr>
            <w:noProof/>
            <w:webHidden/>
          </w:rPr>
          <w:tab/>
        </w:r>
        <w:r>
          <w:rPr>
            <w:noProof/>
            <w:webHidden/>
          </w:rPr>
          <w:fldChar w:fldCharType="begin"/>
        </w:r>
        <w:r>
          <w:rPr>
            <w:noProof/>
            <w:webHidden/>
          </w:rPr>
          <w:instrText xml:space="preserve"> PAGEREF _Toc69985655 \h </w:instrText>
        </w:r>
        <w:r>
          <w:rPr>
            <w:noProof/>
            <w:webHidden/>
          </w:rPr>
        </w:r>
        <w:r>
          <w:rPr>
            <w:noProof/>
            <w:webHidden/>
          </w:rPr>
          <w:fldChar w:fldCharType="separate"/>
        </w:r>
        <w:r>
          <w:rPr>
            <w:noProof/>
            <w:webHidden/>
          </w:rPr>
          <w:t>2</w:t>
        </w:r>
        <w:r>
          <w:rPr>
            <w:noProof/>
            <w:webHidden/>
          </w:rPr>
          <w:fldChar w:fldCharType="end"/>
        </w:r>
      </w:hyperlink>
    </w:p>
    <w:p w14:paraId="01A1CC2F" w14:textId="58FB3983" w:rsidR="00A10516" w:rsidRDefault="00A10516">
      <w:pPr>
        <w:pStyle w:val="TOC1"/>
        <w:tabs>
          <w:tab w:val="right" w:leader="dot" w:pos="9016"/>
        </w:tabs>
        <w:rPr>
          <w:rFonts w:asciiTheme="minorHAnsi" w:eastAsiaTheme="minorEastAsia" w:hAnsiTheme="minorHAnsi"/>
          <w:noProof/>
          <w:sz w:val="22"/>
          <w:lang w:val="fr-BE" w:eastAsia="fr-BE"/>
        </w:rPr>
      </w:pPr>
      <w:hyperlink w:anchor="_Toc69985656" w:history="1">
        <w:r w:rsidRPr="000708A2">
          <w:rPr>
            <w:rStyle w:val="Hyperlink"/>
            <w:noProof/>
            <w:lang w:val="en-GB"/>
          </w:rPr>
          <w:t>Easy to Read</w:t>
        </w:r>
        <w:r>
          <w:rPr>
            <w:noProof/>
            <w:webHidden/>
          </w:rPr>
          <w:tab/>
        </w:r>
        <w:r>
          <w:rPr>
            <w:noProof/>
            <w:webHidden/>
          </w:rPr>
          <w:fldChar w:fldCharType="begin"/>
        </w:r>
        <w:r>
          <w:rPr>
            <w:noProof/>
            <w:webHidden/>
          </w:rPr>
          <w:instrText xml:space="preserve"> PAGEREF _Toc69985656 \h </w:instrText>
        </w:r>
        <w:r>
          <w:rPr>
            <w:noProof/>
            <w:webHidden/>
          </w:rPr>
        </w:r>
        <w:r>
          <w:rPr>
            <w:noProof/>
            <w:webHidden/>
          </w:rPr>
          <w:fldChar w:fldCharType="separate"/>
        </w:r>
        <w:r>
          <w:rPr>
            <w:noProof/>
            <w:webHidden/>
          </w:rPr>
          <w:t>3</w:t>
        </w:r>
        <w:r>
          <w:rPr>
            <w:noProof/>
            <w:webHidden/>
          </w:rPr>
          <w:fldChar w:fldCharType="end"/>
        </w:r>
      </w:hyperlink>
    </w:p>
    <w:p w14:paraId="3722E3EB" w14:textId="05457BF9" w:rsidR="00A10516" w:rsidRDefault="00A10516">
      <w:pPr>
        <w:pStyle w:val="TOC1"/>
        <w:tabs>
          <w:tab w:val="right" w:leader="dot" w:pos="9016"/>
        </w:tabs>
        <w:rPr>
          <w:rFonts w:asciiTheme="minorHAnsi" w:eastAsiaTheme="minorEastAsia" w:hAnsiTheme="minorHAnsi"/>
          <w:noProof/>
          <w:sz w:val="22"/>
          <w:lang w:val="fr-BE" w:eastAsia="fr-BE"/>
        </w:rPr>
      </w:pPr>
      <w:hyperlink w:anchor="_Toc69985657" w:history="1">
        <w:r w:rsidRPr="000708A2">
          <w:rPr>
            <w:rStyle w:val="Hyperlink"/>
            <w:noProof/>
            <w:lang w:val="en-GB"/>
          </w:rPr>
          <w:t>EDF recommendations on the draft Council Conclusions “Putting Rail at the Forefront of Smart and Sustainable Mobility”</w:t>
        </w:r>
        <w:r>
          <w:rPr>
            <w:noProof/>
            <w:webHidden/>
          </w:rPr>
          <w:tab/>
        </w:r>
        <w:r>
          <w:rPr>
            <w:noProof/>
            <w:webHidden/>
          </w:rPr>
          <w:fldChar w:fldCharType="begin"/>
        </w:r>
        <w:r>
          <w:rPr>
            <w:noProof/>
            <w:webHidden/>
          </w:rPr>
          <w:instrText xml:space="preserve"> PAGEREF _Toc69985657 \h </w:instrText>
        </w:r>
        <w:r>
          <w:rPr>
            <w:noProof/>
            <w:webHidden/>
          </w:rPr>
        </w:r>
        <w:r>
          <w:rPr>
            <w:noProof/>
            <w:webHidden/>
          </w:rPr>
          <w:fldChar w:fldCharType="separate"/>
        </w:r>
        <w:r>
          <w:rPr>
            <w:noProof/>
            <w:webHidden/>
          </w:rPr>
          <w:t>4</w:t>
        </w:r>
        <w:r>
          <w:rPr>
            <w:noProof/>
            <w:webHidden/>
          </w:rPr>
          <w:fldChar w:fldCharType="end"/>
        </w:r>
      </w:hyperlink>
    </w:p>
    <w:p w14:paraId="508E74BB" w14:textId="48C24F41" w:rsidR="00A10516" w:rsidRDefault="00A10516">
      <w:pPr>
        <w:pStyle w:val="TOC2"/>
        <w:tabs>
          <w:tab w:val="right" w:leader="dot" w:pos="9016"/>
        </w:tabs>
        <w:rPr>
          <w:rFonts w:asciiTheme="minorHAnsi" w:eastAsiaTheme="minorEastAsia" w:hAnsiTheme="minorHAnsi"/>
          <w:noProof/>
          <w:sz w:val="22"/>
          <w:lang w:val="fr-BE" w:eastAsia="fr-BE"/>
        </w:rPr>
      </w:pPr>
      <w:hyperlink w:anchor="_Toc69985658" w:history="1">
        <w:r w:rsidRPr="000708A2">
          <w:rPr>
            <w:rStyle w:val="Hyperlink"/>
            <w:noProof/>
            <w:lang w:val="fr-BE"/>
          </w:rPr>
          <w:t>Introduction</w:t>
        </w:r>
        <w:r>
          <w:rPr>
            <w:noProof/>
            <w:webHidden/>
          </w:rPr>
          <w:tab/>
        </w:r>
        <w:r>
          <w:rPr>
            <w:noProof/>
            <w:webHidden/>
          </w:rPr>
          <w:fldChar w:fldCharType="begin"/>
        </w:r>
        <w:r>
          <w:rPr>
            <w:noProof/>
            <w:webHidden/>
          </w:rPr>
          <w:instrText xml:space="preserve"> PAGEREF _Toc69985658 \h </w:instrText>
        </w:r>
        <w:r>
          <w:rPr>
            <w:noProof/>
            <w:webHidden/>
          </w:rPr>
        </w:r>
        <w:r>
          <w:rPr>
            <w:noProof/>
            <w:webHidden/>
          </w:rPr>
          <w:fldChar w:fldCharType="separate"/>
        </w:r>
        <w:r>
          <w:rPr>
            <w:noProof/>
            <w:webHidden/>
          </w:rPr>
          <w:t>4</w:t>
        </w:r>
        <w:r>
          <w:rPr>
            <w:noProof/>
            <w:webHidden/>
          </w:rPr>
          <w:fldChar w:fldCharType="end"/>
        </w:r>
      </w:hyperlink>
    </w:p>
    <w:p w14:paraId="0420FE62" w14:textId="3D392F76" w:rsidR="00A10516" w:rsidRDefault="00A10516">
      <w:pPr>
        <w:pStyle w:val="TOC2"/>
        <w:tabs>
          <w:tab w:val="right" w:leader="dot" w:pos="9016"/>
        </w:tabs>
        <w:rPr>
          <w:rFonts w:asciiTheme="minorHAnsi" w:eastAsiaTheme="minorEastAsia" w:hAnsiTheme="minorHAnsi"/>
          <w:noProof/>
          <w:sz w:val="22"/>
          <w:lang w:val="fr-BE" w:eastAsia="fr-BE"/>
        </w:rPr>
      </w:pPr>
      <w:hyperlink w:anchor="_Toc69985659" w:history="1">
        <w:r w:rsidRPr="000708A2">
          <w:rPr>
            <w:rStyle w:val="Hyperlink"/>
            <w:noProof/>
            <w:lang w:val="en-GB"/>
          </w:rPr>
          <w:t>EDF recommendations</w:t>
        </w:r>
        <w:r>
          <w:rPr>
            <w:noProof/>
            <w:webHidden/>
          </w:rPr>
          <w:tab/>
        </w:r>
        <w:r>
          <w:rPr>
            <w:noProof/>
            <w:webHidden/>
          </w:rPr>
          <w:fldChar w:fldCharType="begin"/>
        </w:r>
        <w:r>
          <w:rPr>
            <w:noProof/>
            <w:webHidden/>
          </w:rPr>
          <w:instrText xml:space="preserve"> PAGEREF _Toc69985659 \h </w:instrText>
        </w:r>
        <w:r>
          <w:rPr>
            <w:noProof/>
            <w:webHidden/>
          </w:rPr>
        </w:r>
        <w:r>
          <w:rPr>
            <w:noProof/>
            <w:webHidden/>
          </w:rPr>
          <w:fldChar w:fldCharType="separate"/>
        </w:r>
        <w:r>
          <w:rPr>
            <w:noProof/>
            <w:webHidden/>
          </w:rPr>
          <w:t>4</w:t>
        </w:r>
        <w:r>
          <w:rPr>
            <w:noProof/>
            <w:webHidden/>
          </w:rPr>
          <w:fldChar w:fldCharType="end"/>
        </w:r>
      </w:hyperlink>
    </w:p>
    <w:p w14:paraId="00CB9DEB" w14:textId="542E0F5D" w:rsidR="00A10516" w:rsidRDefault="00A10516">
      <w:pPr>
        <w:pStyle w:val="TOC1"/>
        <w:tabs>
          <w:tab w:val="right" w:leader="dot" w:pos="9016"/>
        </w:tabs>
        <w:rPr>
          <w:rFonts w:asciiTheme="minorHAnsi" w:eastAsiaTheme="minorEastAsia" w:hAnsiTheme="minorHAnsi"/>
          <w:noProof/>
          <w:sz w:val="22"/>
          <w:lang w:val="fr-BE" w:eastAsia="fr-BE"/>
        </w:rPr>
      </w:pPr>
      <w:hyperlink w:anchor="_Toc69985660" w:history="1">
        <w:r w:rsidRPr="000708A2">
          <w:rPr>
            <w:rStyle w:val="Hyperlink"/>
            <w:noProof/>
            <w:lang w:val="en-GB"/>
          </w:rPr>
          <w:t>Document credits</w:t>
        </w:r>
        <w:r>
          <w:rPr>
            <w:noProof/>
            <w:webHidden/>
          </w:rPr>
          <w:tab/>
        </w:r>
        <w:r>
          <w:rPr>
            <w:noProof/>
            <w:webHidden/>
          </w:rPr>
          <w:fldChar w:fldCharType="begin"/>
        </w:r>
        <w:r>
          <w:rPr>
            <w:noProof/>
            <w:webHidden/>
          </w:rPr>
          <w:instrText xml:space="preserve"> PAGEREF _Toc69985660 \h </w:instrText>
        </w:r>
        <w:r>
          <w:rPr>
            <w:noProof/>
            <w:webHidden/>
          </w:rPr>
        </w:r>
        <w:r>
          <w:rPr>
            <w:noProof/>
            <w:webHidden/>
          </w:rPr>
          <w:fldChar w:fldCharType="separate"/>
        </w:r>
        <w:r>
          <w:rPr>
            <w:noProof/>
            <w:webHidden/>
          </w:rPr>
          <w:t>20</w:t>
        </w:r>
        <w:r>
          <w:rPr>
            <w:noProof/>
            <w:webHidden/>
          </w:rPr>
          <w:fldChar w:fldCharType="end"/>
        </w:r>
      </w:hyperlink>
    </w:p>
    <w:p w14:paraId="588D3280" w14:textId="1E75E936" w:rsidR="001E0F08" w:rsidRPr="00750257" w:rsidRDefault="00A9576D" w:rsidP="00282B80">
      <w:pPr>
        <w:pStyle w:val="Heading1"/>
        <w:rPr>
          <w:lang w:val="en-GB"/>
        </w:rPr>
      </w:pPr>
      <w:r w:rsidRPr="00750257">
        <w:rPr>
          <w:lang w:val="en-GB"/>
        </w:rPr>
        <w:fldChar w:fldCharType="end"/>
      </w:r>
      <w:bookmarkStart w:id="1" w:name="_Toc69985655"/>
      <w:r w:rsidR="00840988" w:rsidRPr="00750257">
        <w:rPr>
          <w:lang w:val="en-GB"/>
        </w:rPr>
        <w:t>Preface</w:t>
      </w:r>
      <w:bookmarkEnd w:id="1"/>
    </w:p>
    <w:p w14:paraId="70F30724" w14:textId="3C116A6C" w:rsidR="00282B80" w:rsidRPr="00750257" w:rsidRDefault="00282B80" w:rsidP="00282B80">
      <w:pPr>
        <w:pStyle w:val="Heading3"/>
        <w:rPr>
          <w:lang w:val="en-GB"/>
        </w:rPr>
      </w:pPr>
      <w:r w:rsidRPr="00750257">
        <w:rPr>
          <w:lang w:val="en-GB"/>
        </w:rPr>
        <w:t>The European Disability Forum</w:t>
      </w:r>
    </w:p>
    <w:p w14:paraId="06C637A5" w14:textId="337D1381" w:rsidR="001E0F08" w:rsidRPr="00750257" w:rsidRDefault="00282B80" w:rsidP="00282B80">
      <w:pPr>
        <w:rPr>
          <w:lang w:val="en-GB"/>
        </w:rPr>
      </w:pPr>
      <w:r w:rsidRPr="00750257">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51312255" w14:textId="1CFBF66D" w:rsidR="00A9576D" w:rsidRPr="00750257" w:rsidRDefault="00A9576D" w:rsidP="00A9576D">
      <w:pPr>
        <w:pStyle w:val="Heading1"/>
        <w:pageBreakBefore/>
        <w:rPr>
          <w:lang w:val="en-GB"/>
        </w:rPr>
      </w:pPr>
      <w:bookmarkStart w:id="2" w:name="_Toc69985656"/>
      <w:r w:rsidRPr="00750257">
        <w:rPr>
          <w:lang w:val="en-GB"/>
        </w:rPr>
        <w:lastRenderedPageBreak/>
        <w:t>Easy to Read</w:t>
      </w:r>
      <w:bookmarkEnd w:id="2"/>
    </w:p>
    <w:tbl>
      <w:tblPr>
        <w:tblStyle w:val="TableGrid"/>
        <w:tblW w:w="0" w:type="auto"/>
        <w:tblLook w:val="04A0" w:firstRow="1" w:lastRow="0" w:firstColumn="1" w:lastColumn="0" w:noHBand="0" w:noVBand="1"/>
        <w:tblCaption w:val="Easy to read"/>
        <w:tblDescription w:val="Logo of Easy to read. This page is about (subject in simpler terms) in Easy to read. We could give a short translation of the executive summary as a good practice. This would increas the visibility of Easy to read amon policy makers and anyone else consulting the paper. Which by extension would increase the visibility of people with intellectual disabilities and other neurodivergent people. It also informs people of the option of asking for Easy to read translations should they need them. Document with an arrow pointing to an Easy to Read logo. If you want more of this document in Easy to Read, you can phone us at +32 2 282 46 00 or email us at info@edf-feph.org."/>
      </w:tblPr>
      <w:tblGrid>
        <w:gridCol w:w="1998"/>
        <w:gridCol w:w="2297"/>
        <w:gridCol w:w="4721"/>
      </w:tblGrid>
      <w:tr w:rsidR="006C1A26" w:rsidRPr="00750257" w14:paraId="34FF9798" w14:textId="77777777" w:rsidTr="009277BC">
        <w:tc>
          <w:tcPr>
            <w:tcW w:w="4295" w:type="dxa"/>
            <w:gridSpan w:val="2"/>
            <w:tcMar>
              <w:top w:w="144" w:type="dxa"/>
              <w:left w:w="144" w:type="dxa"/>
              <w:bottom w:w="144" w:type="dxa"/>
              <w:right w:w="144" w:type="dxa"/>
            </w:tcMar>
            <w:vAlign w:val="center"/>
          </w:tcPr>
          <w:p w14:paraId="7BC9EEB2" w14:textId="718E71F5" w:rsidR="00A9576D" w:rsidRPr="00750257" w:rsidRDefault="00A9576D" w:rsidP="009277BC">
            <w:pPr>
              <w:jc w:val="center"/>
              <w:rPr>
                <w:lang w:val="en-GB"/>
              </w:rPr>
            </w:pPr>
            <w:r w:rsidRPr="00750257">
              <w:rPr>
                <w:noProof/>
                <w:lang w:val="en-GB"/>
              </w:rPr>
              <w:drawing>
                <wp:inline distT="0" distB="0" distL="0" distR="0" wp14:anchorId="6DD02333" wp14:editId="32ED1802">
                  <wp:extent cx="1219200" cy="12094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0CD726FE" w14:textId="2EE32368" w:rsidR="003C78D1" w:rsidRPr="00750257" w:rsidRDefault="00A9576D" w:rsidP="00E41423">
            <w:pPr>
              <w:rPr>
                <w:rFonts w:ascii="Arial" w:hAnsi="Arial" w:cs="Arial"/>
                <w:sz w:val="32"/>
                <w:szCs w:val="32"/>
                <w:lang w:val="en-GB"/>
              </w:rPr>
            </w:pPr>
            <w:r w:rsidRPr="00750257">
              <w:rPr>
                <w:rFonts w:ascii="Arial" w:hAnsi="Arial" w:cs="Arial"/>
                <w:sz w:val="32"/>
                <w:szCs w:val="32"/>
                <w:lang w:val="en-GB"/>
              </w:rPr>
              <w:t xml:space="preserve">This </w:t>
            </w:r>
            <w:r w:rsidR="00DF0365">
              <w:rPr>
                <w:rFonts w:ascii="Arial" w:hAnsi="Arial" w:cs="Arial"/>
                <w:sz w:val="32"/>
                <w:szCs w:val="32"/>
                <w:lang w:val="en-GB"/>
              </w:rPr>
              <w:t xml:space="preserve">document explains what EDF thinks about the position of the Council on </w:t>
            </w:r>
            <w:r w:rsidR="006C1241">
              <w:rPr>
                <w:rFonts w:ascii="Arial" w:hAnsi="Arial" w:cs="Arial"/>
                <w:sz w:val="32"/>
                <w:szCs w:val="32"/>
                <w:lang w:val="en-GB"/>
              </w:rPr>
              <w:t>rail travel.</w:t>
            </w:r>
          </w:p>
        </w:tc>
      </w:tr>
      <w:tr w:rsidR="00D11DAB" w:rsidRPr="00750257" w14:paraId="73AB646F" w14:textId="77777777" w:rsidTr="004315AB">
        <w:tc>
          <w:tcPr>
            <w:tcW w:w="9016" w:type="dxa"/>
            <w:gridSpan w:val="3"/>
            <w:tcMar>
              <w:top w:w="144" w:type="dxa"/>
              <w:left w:w="144" w:type="dxa"/>
              <w:bottom w:w="144" w:type="dxa"/>
              <w:right w:w="144" w:type="dxa"/>
            </w:tcMar>
            <w:vAlign w:val="center"/>
          </w:tcPr>
          <w:p w14:paraId="60713FD9" w14:textId="34B92DFD" w:rsidR="00D11DAB" w:rsidRPr="00750257" w:rsidRDefault="00D11DAB" w:rsidP="00A9576D">
            <w:pPr>
              <w:rPr>
                <w:rFonts w:ascii="Arial" w:hAnsi="Arial" w:cs="Arial"/>
                <w:sz w:val="32"/>
                <w:szCs w:val="32"/>
                <w:lang w:val="en-GB"/>
              </w:rPr>
            </w:pPr>
          </w:p>
        </w:tc>
      </w:tr>
      <w:tr w:rsidR="009277BC" w:rsidRPr="00750257" w14:paraId="7BF13665" w14:textId="77777777" w:rsidTr="009277BC">
        <w:trPr>
          <w:trHeight w:val="1228"/>
        </w:trPr>
        <w:tc>
          <w:tcPr>
            <w:tcW w:w="1998" w:type="dxa"/>
            <w:tcMar>
              <w:top w:w="144" w:type="dxa"/>
              <w:left w:w="144" w:type="dxa"/>
              <w:bottom w:w="144" w:type="dxa"/>
              <w:right w:w="144" w:type="dxa"/>
            </w:tcMar>
            <w:vAlign w:val="center"/>
          </w:tcPr>
          <w:p w14:paraId="77AF21B1" w14:textId="49A87C40" w:rsidR="00E41423" w:rsidRPr="00750257" w:rsidRDefault="00E41423" w:rsidP="00A9576D">
            <w:pPr>
              <w:rPr>
                <w:lang w:val="en-GB"/>
              </w:rPr>
            </w:pPr>
            <w:r w:rsidRPr="00750257">
              <w:rPr>
                <w:noProof/>
                <w:lang w:val="en-GB"/>
              </w:rPr>
              <w:drawing>
                <wp:inline distT="0" distB="0" distL="0" distR="0" wp14:anchorId="3968EF6F" wp14:editId="7712A759">
                  <wp:extent cx="1079500" cy="10795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297" w:type="dxa"/>
            <w:vAlign w:val="center"/>
          </w:tcPr>
          <w:p w14:paraId="0FA8123C" w14:textId="452853A3" w:rsidR="00E41423" w:rsidRPr="00750257" w:rsidRDefault="00E41423" w:rsidP="009277BC">
            <w:pPr>
              <w:jc w:val="center"/>
              <w:rPr>
                <w:lang w:val="en-GB"/>
              </w:rPr>
            </w:pPr>
            <w:r w:rsidRPr="00750257">
              <w:rPr>
                <w:noProof/>
                <w:lang w:val="en-GB"/>
              </w:rPr>
              <w:drawing>
                <wp:inline distT="0" distB="0" distL="0" distR="0" wp14:anchorId="371D7D1E" wp14:editId="6E404145">
                  <wp:extent cx="977463" cy="96966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3DD05247" w14:textId="3BCA21C8" w:rsidR="00E41423" w:rsidRPr="00750257" w:rsidRDefault="00E41423" w:rsidP="00E41423">
            <w:pPr>
              <w:rPr>
                <w:rFonts w:ascii="Arial" w:hAnsi="Arial" w:cs="Arial"/>
                <w:sz w:val="32"/>
                <w:szCs w:val="32"/>
                <w:lang w:val="en-GB"/>
              </w:rPr>
            </w:pPr>
            <w:r w:rsidRPr="00750257">
              <w:rPr>
                <w:rFonts w:ascii="Arial" w:hAnsi="Arial" w:cs="Arial"/>
                <w:sz w:val="32"/>
                <w:szCs w:val="32"/>
                <w:lang w:val="en-GB"/>
              </w:rPr>
              <w:t>If you want more of this document in Easy to Read,</w:t>
            </w:r>
          </w:p>
        </w:tc>
      </w:tr>
      <w:tr w:rsidR="009277BC" w:rsidRPr="00750257" w14:paraId="0D369D03" w14:textId="77777777" w:rsidTr="009277BC">
        <w:trPr>
          <w:trHeight w:val="1226"/>
        </w:trPr>
        <w:tc>
          <w:tcPr>
            <w:tcW w:w="1998" w:type="dxa"/>
            <w:tcMar>
              <w:top w:w="144" w:type="dxa"/>
              <w:left w:w="144" w:type="dxa"/>
              <w:bottom w:w="144" w:type="dxa"/>
              <w:right w:w="144" w:type="dxa"/>
            </w:tcMar>
            <w:vAlign w:val="center"/>
          </w:tcPr>
          <w:p w14:paraId="42D54444" w14:textId="77777777" w:rsidR="009277BC" w:rsidRPr="00750257" w:rsidRDefault="009277BC" w:rsidP="001E0F08">
            <w:pPr>
              <w:jc w:val="center"/>
              <w:rPr>
                <w:rFonts w:ascii="Arial" w:hAnsi="Arial" w:cs="Arial"/>
                <w:b/>
                <w:bCs/>
                <w:sz w:val="32"/>
                <w:szCs w:val="32"/>
                <w:lang w:val="en-GB"/>
              </w:rPr>
            </w:pPr>
            <w:r w:rsidRPr="00750257">
              <w:rPr>
                <w:noProof/>
                <w:lang w:val="en-GB"/>
              </w:rPr>
              <w:drawing>
                <wp:inline distT="0" distB="0" distL="0" distR="0" wp14:anchorId="3780A39A" wp14:editId="056AC94B">
                  <wp:extent cx="1013988" cy="1013988"/>
                  <wp:effectExtent l="0" t="0" r="0" b="0"/>
                  <wp:docPr id="17" name="Picture 17" descr="Phone, Telephone, Emergency, Line, Handset,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p w14:paraId="6C4632F7" w14:textId="26260F9C" w:rsidR="009277BC" w:rsidRPr="00750257" w:rsidRDefault="009277BC" w:rsidP="001E0F08">
            <w:pPr>
              <w:jc w:val="center"/>
              <w:rPr>
                <w:rFonts w:ascii="Arial" w:hAnsi="Arial" w:cs="Arial"/>
                <w:b/>
                <w:bCs/>
                <w:sz w:val="32"/>
                <w:szCs w:val="32"/>
                <w:lang w:val="en-GB"/>
              </w:rPr>
            </w:pPr>
            <w:r w:rsidRPr="00750257">
              <w:rPr>
                <w:rFonts w:ascii="Arial" w:hAnsi="Arial" w:cs="Arial"/>
                <w:b/>
                <w:bCs/>
                <w:sz w:val="32"/>
                <w:szCs w:val="32"/>
                <w:lang w:val="en-GB"/>
              </w:rPr>
              <w:t>+ 32</w:t>
            </w:r>
            <w:r w:rsidR="0025095F" w:rsidRPr="0025095F">
              <w:rPr>
                <w:rFonts w:ascii="Arial" w:hAnsi="Arial" w:cs="Arial"/>
                <w:b/>
                <w:bCs/>
                <w:sz w:val="32"/>
                <w:szCs w:val="32"/>
                <w:lang w:val="en-GB"/>
              </w:rPr>
              <w:t xml:space="preserve"> 2 329 00 00 </w:t>
            </w:r>
            <w:r w:rsidRPr="00750257">
              <w:rPr>
                <w:rFonts w:ascii="Arial" w:hAnsi="Arial" w:cs="Arial"/>
                <w:b/>
                <w:bCs/>
                <w:sz w:val="32"/>
                <w:szCs w:val="32"/>
                <w:lang w:val="en-GB"/>
              </w:rPr>
              <w:t xml:space="preserve"> </w:t>
            </w:r>
          </w:p>
        </w:tc>
        <w:tc>
          <w:tcPr>
            <w:tcW w:w="2297" w:type="dxa"/>
            <w:vAlign w:val="center"/>
          </w:tcPr>
          <w:p w14:paraId="0E16A3EE" w14:textId="77777777" w:rsidR="009277BC" w:rsidRPr="00750257" w:rsidRDefault="009277BC" w:rsidP="001E0F08">
            <w:pPr>
              <w:jc w:val="center"/>
              <w:rPr>
                <w:b/>
                <w:bCs/>
                <w:lang w:val="en-GB"/>
              </w:rPr>
            </w:pPr>
            <w:r w:rsidRPr="00750257">
              <w:rPr>
                <w:noProof/>
                <w:lang w:val="en-GB"/>
              </w:rPr>
              <w:drawing>
                <wp:inline distT="0" distB="0" distL="0" distR="0" wp14:anchorId="03E55E14" wp14:editId="1156D8D2">
                  <wp:extent cx="1321806" cy="1321806"/>
                  <wp:effectExtent l="0" t="0" r="0" b="0"/>
                  <wp:docPr id="18" name="Picture 18" descr="Mail, Message, Email, Send Message, Contact,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p w14:paraId="6ACB5167" w14:textId="159B9F0E" w:rsidR="009277BC" w:rsidRPr="00750257" w:rsidRDefault="00A10516" w:rsidP="001E0F08">
            <w:pPr>
              <w:jc w:val="center"/>
              <w:rPr>
                <w:b/>
                <w:bCs/>
                <w:lang w:val="en-GB"/>
              </w:rPr>
            </w:pPr>
            <w:hyperlink r:id="rId14" w:history="1">
              <w:r w:rsidR="009277BC" w:rsidRPr="00750257">
                <w:rPr>
                  <w:rStyle w:val="Hyperlink"/>
                  <w:rFonts w:ascii="Arial" w:hAnsi="Arial" w:cs="Arial"/>
                  <w:b/>
                  <w:bCs/>
                  <w:sz w:val="32"/>
                  <w:szCs w:val="32"/>
                  <w:lang w:val="en-GB"/>
                </w:rPr>
                <w:t>info@edf-feph.org</w:t>
              </w:r>
            </w:hyperlink>
          </w:p>
        </w:tc>
        <w:tc>
          <w:tcPr>
            <w:tcW w:w="4721" w:type="dxa"/>
            <w:tcMar>
              <w:top w:w="144" w:type="dxa"/>
              <w:left w:w="144" w:type="dxa"/>
              <w:bottom w:w="144" w:type="dxa"/>
              <w:right w:w="144" w:type="dxa"/>
            </w:tcMar>
            <w:vAlign w:val="center"/>
          </w:tcPr>
          <w:p w14:paraId="78D25F8F" w14:textId="56FDBC73" w:rsidR="009277BC" w:rsidRPr="00750257" w:rsidRDefault="009277BC" w:rsidP="009277BC">
            <w:pPr>
              <w:spacing w:before="240"/>
              <w:rPr>
                <w:rFonts w:ascii="Arial" w:hAnsi="Arial" w:cs="Arial"/>
                <w:b/>
                <w:bCs/>
                <w:sz w:val="32"/>
                <w:szCs w:val="32"/>
                <w:lang w:val="en-GB"/>
              </w:rPr>
            </w:pPr>
            <w:r w:rsidRPr="00750257">
              <w:rPr>
                <w:rFonts w:ascii="Arial" w:hAnsi="Arial" w:cs="Arial"/>
                <w:sz w:val="32"/>
                <w:szCs w:val="32"/>
                <w:lang w:val="en-GB"/>
              </w:rPr>
              <w:t xml:space="preserve">You can phone us at </w:t>
            </w:r>
            <w:r w:rsidRPr="00750257">
              <w:rPr>
                <w:rFonts w:ascii="Arial" w:hAnsi="Arial" w:cs="Arial"/>
                <w:sz w:val="32"/>
                <w:szCs w:val="32"/>
                <w:lang w:val="en-GB"/>
              </w:rPr>
              <w:br/>
            </w:r>
            <w:r w:rsidR="0025095F" w:rsidRPr="0025095F">
              <w:rPr>
                <w:rFonts w:ascii="Arial" w:hAnsi="Arial" w:cs="Arial"/>
                <w:b/>
                <w:bCs/>
                <w:sz w:val="32"/>
                <w:szCs w:val="32"/>
                <w:lang w:val="en-GB"/>
              </w:rPr>
              <w:t>+32 2 329 00 00</w:t>
            </w:r>
          </w:p>
          <w:p w14:paraId="14FEC775" w14:textId="081397B2" w:rsidR="009277BC" w:rsidRPr="00750257" w:rsidRDefault="009277BC" w:rsidP="009277BC">
            <w:pPr>
              <w:spacing w:before="240"/>
              <w:rPr>
                <w:rFonts w:ascii="Arial" w:hAnsi="Arial" w:cs="Arial"/>
                <w:sz w:val="32"/>
                <w:szCs w:val="32"/>
                <w:lang w:val="en-GB"/>
              </w:rPr>
            </w:pPr>
            <w:r w:rsidRPr="00750257">
              <w:rPr>
                <w:rFonts w:ascii="Arial" w:hAnsi="Arial" w:cs="Arial"/>
                <w:sz w:val="32"/>
                <w:szCs w:val="32"/>
                <w:lang w:val="en-GB"/>
              </w:rPr>
              <w:t>Or email us at</w:t>
            </w:r>
            <w:r w:rsidRPr="00750257">
              <w:rPr>
                <w:rFonts w:ascii="Arial" w:hAnsi="Arial" w:cs="Arial"/>
                <w:sz w:val="32"/>
                <w:szCs w:val="32"/>
                <w:lang w:val="en-GB"/>
              </w:rPr>
              <w:br/>
            </w:r>
            <w:hyperlink r:id="rId15" w:history="1">
              <w:r w:rsidRPr="00750257">
                <w:rPr>
                  <w:rStyle w:val="Hyperlink"/>
                  <w:rFonts w:ascii="Arial" w:hAnsi="Arial" w:cs="Arial"/>
                  <w:b/>
                  <w:bCs/>
                  <w:sz w:val="32"/>
                  <w:szCs w:val="32"/>
                  <w:lang w:val="en-GB"/>
                </w:rPr>
                <w:t>info@edf-feph.org</w:t>
              </w:r>
            </w:hyperlink>
          </w:p>
        </w:tc>
      </w:tr>
    </w:tbl>
    <w:p w14:paraId="2CFD1649" w14:textId="57BB6BB5" w:rsidR="00282B80" w:rsidRPr="005927EA" w:rsidRDefault="00840988" w:rsidP="00A9576D">
      <w:pPr>
        <w:pStyle w:val="Heading1"/>
        <w:pageBreakBefore/>
      </w:pPr>
      <w:bookmarkStart w:id="3" w:name="_Toc69985657"/>
      <w:r w:rsidRPr="00750257">
        <w:rPr>
          <w:lang w:val="en-GB"/>
        </w:rPr>
        <w:lastRenderedPageBreak/>
        <w:t xml:space="preserve">EDF recommendations </w:t>
      </w:r>
      <w:r w:rsidR="0098141E">
        <w:rPr>
          <w:lang w:val="en-GB"/>
        </w:rPr>
        <w:t xml:space="preserve">on the draft Council Conclusions </w:t>
      </w:r>
      <w:bookmarkStart w:id="4" w:name="_Hlk69985677"/>
      <w:r w:rsidR="005927EA">
        <w:rPr>
          <w:lang w:val="en-GB"/>
        </w:rPr>
        <w:t>“</w:t>
      </w:r>
      <w:r w:rsidR="005927EA" w:rsidRPr="005927EA">
        <w:rPr>
          <w:lang w:val="en-GB"/>
        </w:rPr>
        <w:t>Putting Rail at the Forefront of Smart and Sustainable Mobility</w:t>
      </w:r>
      <w:r w:rsidR="005927EA">
        <w:rPr>
          <w:lang w:val="en-GB"/>
        </w:rPr>
        <w:t>”</w:t>
      </w:r>
      <w:bookmarkEnd w:id="3"/>
      <w:bookmarkEnd w:id="4"/>
    </w:p>
    <w:p w14:paraId="00D1414E" w14:textId="725FBAC1" w:rsidR="00355289" w:rsidRPr="005927EA" w:rsidRDefault="00840988" w:rsidP="00187E62">
      <w:pPr>
        <w:pStyle w:val="Heading2"/>
        <w:rPr>
          <w:lang w:val="fr-BE"/>
        </w:rPr>
      </w:pPr>
      <w:bookmarkStart w:id="5" w:name="_Toc69985658"/>
      <w:r w:rsidRPr="005927EA">
        <w:rPr>
          <w:lang w:val="fr-BE"/>
        </w:rPr>
        <w:t>Introduction</w:t>
      </w:r>
      <w:bookmarkEnd w:id="5"/>
    </w:p>
    <w:p w14:paraId="13EF9831" w14:textId="25FBEA58" w:rsidR="00840988" w:rsidRPr="005927EA" w:rsidRDefault="005927EA" w:rsidP="0098141E">
      <w:pPr>
        <w:spacing w:before="240"/>
        <w:rPr>
          <w:rFonts w:cs="Arial"/>
          <w:lang w:val="en-GB"/>
        </w:rPr>
      </w:pPr>
      <w:r w:rsidRPr="005927EA">
        <w:rPr>
          <w:rFonts w:cs="Arial"/>
          <w:szCs w:val="24"/>
          <w:lang w:val="en-GB"/>
        </w:rPr>
        <w:t>Rail transport is a</w:t>
      </w:r>
      <w:r>
        <w:rPr>
          <w:rFonts w:cs="Arial"/>
          <w:szCs w:val="24"/>
          <w:lang w:val="en-GB"/>
        </w:rPr>
        <w:t xml:space="preserve">n environmentally friendly means of transport and the Commission is right in putting it at the forefront of the Smart and Sustainable Mobility Strategy. However, in reality, rail travel is still not accessible for millions of persons with disabilities in the EU. Physical access to stations, platforms, and rolling stock is still impossible for many, but also accessibility of information and ticketing is not a given. This should also be reflected in the Council Conclusions to ensure that Member States take action to implement the Smart and Sustainable Mobility Strategy with accessibility in mind – because only accessible transport can also be sustainable in the long run. With an ageing society and more need for a “future-proof” transport system that will be able to serve us for the years to come, accessibility should be at the core of all considerations. </w:t>
      </w:r>
    </w:p>
    <w:p w14:paraId="51C8297B" w14:textId="3AB972BF" w:rsidR="00840988" w:rsidRPr="005927EA" w:rsidRDefault="00DF0365" w:rsidP="00840988">
      <w:pPr>
        <w:pStyle w:val="Heading2"/>
        <w:rPr>
          <w:lang w:val="en-GB"/>
        </w:rPr>
      </w:pPr>
      <w:bookmarkStart w:id="6" w:name="_Toc69985659"/>
      <w:r w:rsidRPr="005927EA">
        <w:rPr>
          <w:lang w:val="en-GB"/>
        </w:rPr>
        <w:t>EDF recommendations</w:t>
      </w:r>
      <w:bookmarkEnd w:id="6"/>
    </w:p>
    <w:tbl>
      <w:tblPr>
        <w:tblStyle w:val="TableGrid"/>
        <w:tblW w:w="0" w:type="auto"/>
        <w:tblLook w:val="04A0" w:firstRow="1" w:lastRow="0" w:firstColumn="1" w:lastColumn="0" w:noHBand="0" w:noVBand="1"/>
      </w:tblPr>
      <w:tblGrid>
        <w:gridCol w:w="4508"/>
        <w:gridCol w:w="4508"/>
      </w:tblGrid>
      <w:tr w:rsidR="0098141E" w14:paraId="6B2A35D4" w14:textId="77777777" w:rsidTr="0098141E">
        <w:tc>
          <w:tcPr>
            <w:tcW w:w="4508" w:type="dxa"/>
          </w:tcPr>
          <w:p w14:paraId="05CAEBDB" w14:textId="60B9D5AF" w:rsidR="0098141E" w:rsidRPr="0098141E" w:rsidRDefault="0098141E" w:rsidP="002C242B">
            <w:pPr>
              <w:jc w:val="both"/>
              <w:rPr>
                <w:rFonts w:cs="Arial"/>
                <w:b/>
                <w:bCs/>
                <w:szCs w:val="24"/>
                <w:lang w:val="en-GB"/>
              </w:rPr>
            </w:pPr>
            <w:r w:rsidRPr="0098141E">
              <w:rPr>
                <w:rFonts w:cs="Arial"/>
                <w:b/>
                <w:bCs/>
                <w:szCs w:val="24"/>
                <w:lang w:val="en-GB"/>
              </w:rPr>
              <w:t xml:space="preserve">Draft Council text of </w:t>
            </w:r>
            <w:r w:rsidR="00177218">
              <w:rPr>
                <w:rFonts w:cs="Arial"/>
                <w:b/>
                <w:bCs/>
                <w:szCs w:val="24"/>
                <w:lang w:val="en-GB"/>
              </w:rPr>
              <w:t>1</w:t>
            </w:r>
            <w:r w:rsidR="005927EA">
              <w:rPr>
                <w:rFonts w:cs="Arial"/>
                <w:b/>
                <w:bCs/>
                <w:szCs w:val="24"/>
                <w:lang w:val="en-GB"/>
              </w:rPr>
              <w:t>9</w:t>
            </w:r>
            <w:r w:rsidR="00177218">
              <w:rPr>
                <w:rFonts w:cs="Arial"/>
                <w:b/>
                <w:bCs/>
                <w:szCs w:val="24"/>
                <w:lang w:val="en-GB"/>
              </w:rPr>
              <w:t xml:space="preserve"> April 2</w:t>
            </w:r>
            <w:r w:rsidRPr="0098141E">
              <w:rPr>
                <w:rFonts w:cs="Arial"/>
                <w:b/>
                <w:bCs/>
                <w:szCs w:val="24"/>
                <w:lang w:val="en-GB"/>
              </w:rPr>
              <w:t>021</w:t>
            </w:r>
          </w:p>
        </w:tc>
        <w:tc>
          <w:tcPr>
            <w:tcW w:w="4508" w:type="dxa"/>
          </w:tcPr>
          <w:p w14:paraId="54C6D6C5" w14:textId="215354D9" w:rsidR="0098141E" w:rsidRPr="0098141E" w:rsidRDefault="005927EA" w:rsidP="002C242B">
            <w:pPr>
              <w:jc w:val="both"/>
              <w:rPr>
                <w:rFonts w:cs="Arial"/>
                <w:b/>
                <w:bCs/>
                <w:szCs w:val="24"/>
                <w:lang w:val="en-GB"/>
              </w:rPr>
            </w:pPr>
            <w:r>
              <w:rPr>
                <w:rFonts w:cs="Arial"/>
                <w:b/>
                <w:bCs/>
                <w:szCs w:val="24"/>
                <w:lang w:val="en-GB"/>
              </w:rPr>
              <w:t>EDF recommendations</w:t>
            </w:r>
          </w:p>
        </w:tc>
      </w:tr>
      <w:tr w:rsidR="0098141E" w14:paraId="24DF30BC" w14:textId="77777777" w:rsidTr="0098141E">
        <w:tc>
          <w:tcPr>
            <w:tcW w:w="4508" w:type="dxa"/>
          </w:tcPr>
          <w:p w14:paraId="0A82B418" w14:textId="77777777" w:rsidR="005927EA" w:rsidRDefault="005927EA" w:rsidP="005927EA">
            <w:pPr>
              <w:jc w:val="center"/>
              <w:rPr>
                <w:b/>
                <w:bCs/>
                <w:lang w:eastAsia="en-GB"/>
              </w:rPr>
            </w:pPr>
            <w:r w:rsidRPr="00044545">
              <w:rPr>
                <w:b/>
                <w:bCs/>
                <w:lang w:eastAsia="en-GB"/>
              </w:rPr>
              <w:t>Putting Rail at the Forefront of Smart and Sustainable Mobility</w:t>
            </w:r>
          </w:p>
          <w:p w14:paraId="5343A375" w14:textId="77777777" w:rsidR="005927EA" w:rsidRPr="00225E29" w:rsidRDefault="005927EA" w:rsidP="005927EA">
            <w:pPr>
              <w:jc w:val="center"/>
              <w:rPr>
                <w:b/>
                <w:bCs/>
              </w:rPr>
            </w:pPr>
            <w:r w:rsidRPr="00F25357">
              <w:rPr>
                <w:b/>
                <w:bCs/>
                <w:lang w:eastAsia="en-GB"/>
              </w:rPr>
              <w:t>-Draft Council conclusions-</w:t>
            </w:r>
          </w:p>
          <w:p w14:paraId="64E295D2" w14:textId="77777777" w:rsidR="005927EA" w:rsidRPr="00225E29" w:rsidRDefault="005927EA" w:rsidP="005927EA"/>
          <w:p w14:paraId="639A7CB8" w14:textId="77777777" w:rsidR="005927EA" w:rsidRPr="00225E29" w:rsidRDefault="005927EA" w:rsidP="005927EA">
            <w:r w:rsidRPr="00225E29">
              <w:t>HAVING REGARD TO:</w:t>
            </w:r>
          </w:p>
          <w:p w14:paraId="38AF7A1B" w14:textId="77777777" w:rsidR="005927EA" w:rsidRPr="00225E29" w:rsidRDefault="005927EA" w:rsidP="005927EA">
            <w:pPr>
              <w:pStyle w:val="Point123"/>
            </w:pPr>
            <w:r w:rsidRPr="00225E29">
              <w:t>the European Council conclusions of 12 December 2019 in which the European Council endorsed the objective of achieving a climate-neutral European Union by 2050</w:t>
            </w:r>
            <w:r>
              <w:rPr>
                <w:rStyle w:val="FootnoteReference"/>
                <w:color w:val="000000"/>
              </w:rPr>
              <w:footnoteReference w:id="1"/>
            </w:r>
            <w:r w:rsidRPr="00225E29">
              <w:t>;</w:t>
            </w:r>
          </w:p>
          <w:p w14:paraId="3EEC40CA" w14:textId="77777777" w:rsidR="005927EA" w:rsidRPr="00225E29" w:rsidRDefault="005927EA" w:rsidP="005927EA">
            <w:pPr>
              <w:pStyle w:val="Point123"/>
            </w:pPr>
            <w:r w:rsidRPr="00225E29">
              <w:lastRenderedPageBreak/>
              <w:t xml:space="preserve">the EU transport </w:t>
            </w:r>
            <w:proofErr w:type="spellStart"/>
            <w:r w:rsidRPr="00225E29">
              <w:t>ministersʼ</w:t>
            </w:r>
            <w:proofErr w:type="spellEnd"/>
            <w:r w:rsidRPr="00225E29">
              <w:t xml:space="preserve"> continued commitment to rail</w:t>
            </w:r>
            <w:r w:rsidRPr="00225E29">
              <w:rPr>
                <w:rStyle w:val="FootnoteReference"/>
              </w:rPr>
              <w:footnoteReference w:id="2"/>
            </w:r>
            <w:r w:rsidRPr="00225E29">
              <w:t>, as expressed last year in</w:t>
            </w:r>
          </w:p>
          <w:p w14:paraId="087E5D34" w14:textId="77777777" w:rsidR="005927EA" w:rsidRPr="00225E29" w:rsidRDefault="005927EA" w:rsidP="005927EA">
            <w:pPr>
              <w:pStyle w:val="PointManual1"/>
            </w:pPr>
            <w:r>
              <w:t>a)</w:t>
            </w:r>
            <w:r>
              <w:tab/>
            </w:r>
            <w:r w:rsidRPr="00225E29">
              <w:t xml:space="preserve">the political statement supporting a European </w:t>
            </w:r>
            <w:r w:rsidRPr="00225E29">
              <w:rPr>
                <w:color w:val="000000"/>
              </w:rPr>
              <w:t>agenda</w:t>
            </w:r>
            <w:r w:rsidRPr="00225E29">
              <w:t xml:space="preserve"> for international passenger rail presented at the informal video conference of EU transport ministers on 4 June 2020, and</w:t>
            </w:r>
          </w:p>
          <w:p w14:paraId="72CA42DE" w14:textId="77777777" w:rsidR="005927EA" w:rsidRPr="00225E29" w:rsidRDefault="005927EA" w:rsidP="005927EA">
            <w:pPr>
              <w:pStyle w:val="PointManual1"/>
            </w:pPr>
            <w:r>
              <w:t>b)</w:t>
            </w:r>
            <w:r>
              <w:tab/>
            </w:r>
            <w:r w:rsidRPr="00225E29">
              <w:t xml:space="preserve">the ministerial declaration on innovative transport in rail freight corridors of the Berlin </w:t>
            </w:r>
            <w:r w:rsidRPr="00225E29">
              <w:rPr>
                <w:color w:val="000000"/>
              </w:rPr>
              <w:t>conference</w:t>
            </w:r>
            <w:r w:rsidRPr="00225E29">
              <w:t xml:space="preserve"> on 21 September 2020;</w:t>
            </w:r>
          </w:p>
          <w:p w14:paraId="54743A94" w14:textId="77777777" w:rsidR="005927EA" w:rsidRPr="00225E29" w:rsidRDefault="005927EA" w:rsidP="005927EA">
            <w:pPr>
              <w:pStyle w:val="Point123"/>
              <w:rPr>
                <w:color w:val="000000"/>
              </w:rPr>
            </w:pPr>
            <w:r w:rsidRPr="00225E29">
              <w:rPr>
                <w:color w:val="000000"/>
              </w:rPr>
              <w:t xml:space="preserve">the Commission communication of 9 December 2020 on a </w:t>
            </w:r>
            <w:proofErr w:type="spellStart"/>
            <w:r w:rsidRPr="00225E29">
              <w:rPr>
                <w:color w:val="000000"/>
              </w:rPr>
              <w:t>ʻSustainable</w:t>
            </w:r>
            <w:proofErr w:type="spellEnd"/>
            <w:r w:rsidRPr="00225E29">
              <w:rPr>
                <w:color w:val="000000"/>
              </w:rPr>
              <w:t xml:space="preserve"> and Smart Mobility Strategy – putting European transport on track for the </w:t>
            </w:r>
            <w:proofErr w:type="spellStart"/>
            <w:r w:rsidRPr="00225E29">
              <w:rPr>
                <w:color w:val="000000"/>
              </w:rPr>
              <w:t>futureʼ</w:t>
            </w:r>
            <w:proofErr w:type="spellEnd"/>
            <w:r w:rsidRPr="00F25357">
              <w:rPr>
                <w:b/>
                <w:bCs/>
                <w:color w:val="000000"/>
                <w:vertAlign w:val="superscript"/>
              </w:rPr>
              <w:footnoteReference w:id="3"/>
            </w:r>
            <w:r w:rsidRPr="00225E29">
              <w:rPr>
                <w:color w:val="000000"/>
              </w:rPr>
              <w:t>;</w:t>
            </w:r>
          </w:p>
          <w:p w14:paraId="09F82A64" w14:textId="77777777" w:rsidR="005927EA" w:rsidRPr="00225E29" w:rsidRDefault="005927EA" w:rsidP="005927EA">
            <w:pPr>
              <w:pStyle w:val="Point123"/>
              <w:rPr>
                <w:color w:val="000000"/>
              </w:rPr>
            </w:pPr>
            <w:r w:rsidRPr="00225E29">
              <w:rPr>
                <w:color w:val="000000"/>
              </w:rPr>
              <w:t>Decision (EU) 2020/2228 of the European Parliament an</w:t>
            </w:r>
            <w:r>
              <w:rPr>
                <w:color w:val="000000"/>
              </w:rPr>
              <w:t>d of the Council of 23 December </w:t>
            </w:r>
            <w:r w:rsidRPr="00225E29">
              <w:rPr>
                <w:color w:val="000000"/>
              </w:rPr>
              <w:t>2020 on a European Year of Rail (2021)</w:t>
            </w:r>
            <w:r w:rsidRPr="00225E29">
              <w:rPr>
                <w:rStyle w:val="FootnoteReference"/>
                <w:color w:val="000000"/>
              </w:rPr>
              <w:footnoteReference w:id="4"/>
            </w:r>
            <w:r w:rsidRPr="00225E29">
              <w:rPr>
                <w:color w:val="000000"/>
              </w:rPr>
              <w:t>;</w:t>
            </w:r>
          </w:p>
          <w:p w14:paraId="107F0404" w14:textId="77777777" w:rsidR="005927EA" w:rsidRPr="00225E29" w:rsidRDefault="005927EA" w:rsidP="005927EA">
            <w:pPr>
              <w:pStyle w:val="Point123"/>
              <w:rPr>
                <w:color w:val="000000"/>
              </w:rPr>
            </w:pPr>
            <w:r w:rsidRPr="00225E29">
              <w:rPr>
                <w:color w:val="000000"/>
              </w:rPr>
              <w:t>Regulation (EU) 2021/241 of the European Parliament an</w:t>
            </w:r>
            <w:r>
              <w:rPr>
                <w:color w:val="000000"/>
              </w:rPr>
              <w:t>d of the Council of 12 February </w:t>
            </w:r>
            <w:r w:rsidRPr="00225E29">
              <w:rPr>
                <w:color w:val="000000"/>
              </w:rPr>
              <w:t xml:space="preserve">2021 establishing the Recovery and </w:t>
            </w:r>
            <w:r w:rsidRPr="00225E29">
              <w:rPr>
                <w:color w:val="000000"/>
              </w:rPr>
              <w:lastRenderedPageBreak/>
              <w:t>Resilience Facility</w:t>
            </w:r>
            <w:r w:rsidRPr="00225E29">
              <w:rPr>
                <w:rFonts w:ascii="Times New Roman Bold" w:hAnsi="Times New Roman Bold"/>
                <w:b/>
                <w:vertAlign w:val="superscript"/>
              </w:rPr>
              <w:footnoteReference w:id="5"/>
            </w:r>
            <w:r w:rsidRPr="00225E29">
              <w:rPr>
                <w:color w:val="000000"/>
              </w:rPr>
              <w:t xml:space="preserve">, and to the forthcoming adoption of a second Regulation establishing </w:t>
            </w:r>
            <w:r w:rsidRPr="00F25357">
              <w:rPr>
                <w:bCs/>
              </w:rPr>
              <w:t>the Connecting Europe Facility;</w:t>
            </w:r>
          </w:p>
          <w:p w14:paraId="73C9BE14" w14:textId="77777777" w:rsidR="005927EA" w:rsidRPr="00225E29" w:rsidRDefault="005927EA" w:rsidP="005927EA">
            <w:pPr>
              <w:pStyle w:val="Point123"/>
              <w:rPr>
                <w:color w:val="000000"/>
              </w:rPr>
            </w:pPr>
            <w:r>
              <w:br w:type="page"/>
            </w:r>
            <w:r w:rsidRPr="00F25357">
              <w:t xml:space="preserve">the </w:t>
            </w:r>
            <w:r w:rsidRPr="00225E29">
              <w:t xml:space="preserve">European Economic and Social </w:t>
            </w:r>
            <w:proofErr w:type="spellStart"/>
            <w:r w:rsidRPr="00225E29">
              <w:t>Committeeʼs</w:t>
            </w:r>
            <w:proofErr w:type="spellEnd"/>
            <w:r w:rsidRPr="00225E29">
              <w:t xml:space="preserve"> exploratory opinion of 24 March 2021 on </w:t>
            </w:r>
            <w:proofErr w:type="spellStart"/>
            <w:r w:rsidRPr="00225E29">
              <w:t>ʻThe</w:t>
            </w:r>
            <w:proofErr w:type="spellEnd"/>
            <w:r w:rsidRPr="00225E29">
              <w:t xml:space="preserve"> Single European Railway </w:t>
            </w:r>
            <w:proofErr w:type="spellStart"/>
            <w:r w:rsidRPr="00225E29">
              <w:t>Areaʼ</w:t>
            </w:r>
            <w:proofErr w:type="spellEnd"/>
            <w:r w:rsidRPr="00225E29">
              <w:t xml:space="preserve"> requested by the Portuguese Presidency</w:t>
            </w:r>
            <w:r w:rsidRPr="00225E29">
              <w:rPr>
                <w:rStyle w:val="FootnoteReference"/>
              </w:rPr>
              <w:footnoteReference w:id="6"/>
            </w:r>
            <w:r w:rsidRPr="00225E29">
              <w:rPr>
                <w:color w:val="000000"/>
              </w:rPr>
              <w:t>;</w:t>
            </w:r>
          </w:p>
          <w:p w14:paraId="1D8E010D" w14:textId="77777777" w:rsidR="005927EA" w:rsidRPr="00225E29" w:rsidRDefault="005927EA" w:rsidP="005927EA">
            <w:pPr>
              <w:pStyle w:val="Point123"/>
              <w:rPr>
                <w:color w:val="000000"/>
              </w:rPr>
            </w:pPr>
            <w:r w:rsidRPr="00225E29">
              <w:rPr>
                <w:color w:val="000000"/>
              </w:rPr>
              <w:t>the EU transport ministers</w:t>
            </w:r>
            <w:r>
              <w:rPr>
                <w:color w:val="000000"/>
              </w:rPr>
              <w:t>’</w:t>
            </w:r>
            <w:r w:rsidRPr="00225E29">
              <w:rPr>
                <w:color w:val="000000"/>
              </w:rPr>
              <w:t xml:space="preserve"> informal video conference of 30 March 2021, where ministers took a stance on the Portuguese Presidency’s non-paper </w:t>
            </w:r>
            <w:proofErr w:type="spellStart"/>
            <w:r w:rsidRPr="00225E29">
              <w:rPr>
                <w:color w:val="000000"/>
              </w:rPr>
              <w:t>ʻHow</w:t>
            </w:r>
            <w:proofErr w:type="spellEnd"/>
            <w:r w:rsidRPr="00225E29">
              <w:rPr>
                <w:color w:val="000000"/>
              </w:rPr>
              <w:t xml:space="preserve"> to Accelerate Modal Shift to Rail: different paths to a common </w:t>
            </w:r>
            <w:proofErr w:type="spellStart"/>
            <w:r w:rsidRPr="00225E29">
              <w:rPr>
                <w:color w:val="000000"/>
              </w:rPr>
              <w:t>goalʼ</w:t>
            </w:r>
            <w:proofErr w:type="spellEnd"/>
            <w:r w:rsidRPr="00225E29">
              <w:rPr>
                <w:color w:val="000000"/>
              </w:rPr>
              <w:t xml:space="preserve">, </w:t>
            </w:r>
          </w:p>
          <w:p w14:paraId="6BCB05E5" w14:textId="77777777" w:rsidR="005927EA" w:rsidRPr="00225E29" w:rsidRDefault="005927EA" w:rsidP="005927EA">
            <w:pPr>
              <w:jc w:val="both"/>
            </w:pPr>
            <w:r w:rsidRPr="00225E29">
              <w:t>THE COUNCIL OF THE EUROPEAN UNION</w:t>
            </w:r>
          </w:p>
          <w:p w14:paraId="66AE088B" w14:textId="77777777" w:rsidR="005927EA" w:rsidRPr="00F25357" w:rsidRDefault="005927EA" w:rsidP="005927EA">
            <w:pPr>
              <w:pStyle w:val="Point123"/>
            </w:pPr>
            <w:r w:rsidRPr="00F25357">
              <w:t xml:space="preserve">NOTES that the </w:t>
            </w:r>
            <w:proofErr w:type="spellStart"/>
            <w:r w:rsidRPr="00F25357">
              <w:t>EUʼs</w:t>
            </w:r>
            <w:proofErr w:type="spellEnd"/>
            <w:r w:rsidRPr="00F25357">
              <w:t xml:space="preserve"> railway systems have undergone fundamental regulatory </w:t>
            </w:r>
            <w:r>
              <w:t>reforms</w:t>
            </w:r>
            <w:r w:rsidRPr="00F25357">
              <w:t xml:space="preserve"> through four legislative packages </w:t>
            </w:r>
            <w:r w:rsidRPr="00044545">
              <w:t>adopted</w:t>
            </w:r>
            <w:r>
              <w:t xml:space="preserve"> in 2001, 2004, 2007 and 2016. </w:t>
            </w:r>
            <w:r w:rsidRPr="00F25357">
              <w:t xml:space="preserve">WELCOMES the positive effects of these </w:t>
            </w:r>
            <w:r>
              <w:t>reforms</w:t>
            </w:r>
            <w:r w:rsidRPr="00F25357">
              <w:t xml:space="preserve"> in </w:t>
            </w:r>
            <w:r>
              <w:t>market opening</w:t>
            </w:r>
            <w:r w:rsidRPr="00F25357">
              <w:t xml:space="preserve"> and technical harmonisation that have been partially achieved and are partially awaited;</w:t>
            </w:r>
          </w:p>
          <w:p w14:paraId="3D8A9B22" w14:textId="77777777" w:rsidR="005927EA" w:rsidRPr="00F25357" w:rsidRDefault="005927EA" w:rsidP="005927EA">
            <w:pPr>
              <w:pStyle w:val="Point123"/>
            </w:pPr>
            <w:r w:rsidRPr="00F25357">
              <w:lastRenderedPageBreak/>
              <w:t xml:space="preserve">ACKNOWLEDGES that the regulatory framework at EU and national level is highly complex </w:t>
            </w:r>
            <w:r>
              <w:t xml:space="preserve">and diverse, </w:t>
            </w:r>
            <w:r w:rsidRPr="00F25357">
              <w:t xml:space="preserve">and UNDERLINES that further </w:t>
            </w:r>
            <w:r>
              <w:t>efforts</w:t>
            </w:r>
            <w:r w:rsidRPr="00F25357">
              <w:t xml:space="preserve"> need to be undertaken to </w:t>
            </w:r>
            <w:r>
              <w:t xml:space="preserve">ensure the economic and operational benefits of harmonisation, in particular for cross-border rail services, while acknowledging </w:t>
            </w:r>
            <w:r w:rsidRPr="00F25357">
              <w:t xml:space="preserve">the </w:t>
            </w:r>
            <w:r w:rsidRPr="00044545">
              <w:t>different</w:t>
            </w:r>
            <w:r w:rsidRPr="00F25357">
              <w:t xml:space="preserve"> starting points in the Member States</w:t>
            </w:r>
            <w:r>
              <w:t xml:space="preserve"> and</w:t>
            </w:r>
            <w:r w:rsidRPr="00F25357">
              <w:t xml:space="preserve"> their varying organisational structures;</w:t>
            </w:r>
          </w:p>
          <w:p w14:paraId="096E2AA4" w14:textId="77777777" w:rsidR="005927EA" w:rsidRPr="00F25357" w:rsidRDefault="005927EA" w:rsidP="005927EA">
            <w:pPr>
              <w:pStyle w:val="Point123"/>
            </w:pPr>
            <w:r w:rsidRPr="00F25357">
              <w:t xml:space="preserve">STRESSES that further technical harmonisation </w:t>
            </w:r>
            <w:r>
              <w:t xml:space="preserve">in view of increased interoperability of national networks </w:t>
            </w:r>
            <w:r w:rsidRPr="00F25357">
              <w:t xml:space="preserve">will support the single market for </w:t>
            </w:r>
            <w:r>
              <w:t>international rail services,</w:t>
            </w:r>
            <w:r w:rsidRPr="00F25357">
              <w:t xml:space="preserve"> </w:t>
            </w:r>
            <w:r>
              <w:t xml:space="preserve">the Union </w:t>
            </w:r>
            <w:proofErr w:type="spellStart"/>
            <w:r>
              <w:t>rail</w:t>
            </w:r>
            <w:r w:rsidRPr="00F25357">
              <w:t>systems</w:t>
            </w:r>
            <w:proofErr w:type="spellEnd"/>
            <w:r w:rsidRPr="00F25357">
              <w:t xml:space="preserve">, </w:t>
            </w:r>
            <w:r>
              <w:t xml:space="preserve">will </w:t>
            </w:r>
            <w:r w:rsidRPr="00F25357">
              <w:t xml:space="preserve">improve efficiency and strengthen the </w:t>
            </w:r>
            <w:r>
              <w:t>Union</w:t>
            </w:r>
            <w:r w:rsidRPr="00F25357">
              <w:t xml:space="preserve"> industrial base. LOOKS FORWARD, therefore, to Horizon Europe’s next Rail Joint Undertaking which should play a vital role in research on the new digital technologies in rail, thereby delivering a coordinated approach with the sector to the overall evolution of the rail</w:t>
            </w:r>
            <w:r>
              <w:t>way</w:t>
            </w:r>
            <w:r w:rsidRPr="00F25357">
              <w:t xml:space="preserve"> system</w:t>
            </w:r>
            <w:r>
              <w:t>s</w:t>
            </w:r>
            <w:r w:rsidRPr="00F25357">
              <w:t>;</w:t>
            </w:r>
          </w:p>
          <w:p w14:paraId="62668D66" w14:textId="77777777" w:rsidR="005927EA" w:rsidRDefault="005927EA" w:rsidP="005927EA">
            <w:pPr>
              <w:pStyle w:val="Point123"/>
            </w:pPr>
            <w:r w:rsidRPr="00F25357">
              <w:t>CONSIDERS that the need both to strive for climate-neutral, environmentally friendly</w:t>
            </w:r>
            <w:r w:rsidRPr="00F25357">
              <w:rPr>
                <w:rStyle w:val="FootnoteReference"/>
              </w:rPr>
              <w:footnoteReference w:id="7"/>
            </w:r>
            <w:r w:rsidRPr="00F25357">
              <w:t xml:space="preserve"> mobility </w:t>
            </w:r>
            <w:r w:rsidRPr="00F25357">
              <w:lastRenderedPageBreak/>
              <w:t>and to ensure a resilient and interconnected transport system in times of crisis, as shown during the COVID-19 pandemic, places railways in a key position within the future transport offer;</w:t>
            </w:r>
          </w:p>
          <w:p w14:paraId="134B6843" w14:textId="77777777" w:rsidR="005927EA" w:rsidRPr="00F25357" w:rsidRDefault="005927EA" w:rsidP="005927EA">
            <w:pPr>
              <w:pStyle w:val="Point123"/>
            </w:pPr>
            <w:r>
              <w:br w:type="page"/>
            </w:r>
            <w:r w:rsidRPr="00F25357">
              <w:t>UNDERLINES the importance of a</w:t>
            </w:r>
            <w:r>
              <w:t xml:space="preserve"> continuous </w:t>
            </w:r>
            <w:r w:rsidRPr="00F25357">
              <w:t>dialogue between public entities, employers, workers and rail transport users in order to ensure that everyone enjoys</w:t>
            </w:r>
            <w:r>
              <w:t xml:space="preserve"> the benefits of rail transport;</w:t>
            </w:r>
          </w:p>
          <w:p w14:paraId="4EEB7C86" w14:textId="77777777" w:rsidR="005927EA" w:rsidRPr="00F25357" w:rsidRDefault="005927EA" w:rsidP="005927EA">
            <w:pPr>
              <w:pStyle w:val="PointManual"/>
              <w:rPr>
                <w:b/>
                <w:bCs/>
              </w:rPr>
            </w:pPr>
            <w:r w:rsidRPr="00F25357">
              <w:rPr>
                <w:b/>
                <w:bCs/>
              </w:rPr>
              <w:t xml:space="preserve">I. </w:t>
            </w:r>
            <w:r w:rsidRPr="00F25357">
              <w:rPr>
                <w:b/>
                <w:bCs/>
              </w:rPr>
              <w:tab/>
              <w:t>Modal shift</w:t>
            </w:r>
          </w:p>
          <w:p w14:paraId="3B1504A2" w14:textId="77777777" w:rsidR="005927EA" w:rsidRPr="00F25357" w:rsidRDefault="005927EA" w:rsidP="005927EA">
            <w:pPr>
              <w:pStyle w:val="Point123"/>
            </w:pPr>
            <w:r w:rsidRPr="00F25357">
              <w:t>STRESSES that rail transport is responsible for just 0.4% of transport-caused CO</w:t>
            </w:r>
            <w:r w:rsidRPr="00F25357">
              <w:rPr>
                <w:vertAlign w:val="subscript"/>
              </w:rPr>
              <w:t>2</w:t>
            </w:r>
            <w:r w:rsidRPr="00F25357">
              <w:t xml:space="preserve"> emissions, despite having a share of 8% of passenger transport and 19% of freight transport across Europe. For that reason, a modal shift to rail is the most effective way to decarbonise transport;</w:t>
            </w:r>
          </w:p>
          <w:p w14:paraId="305FA088" w14:textId="77777777" w:rsidR="005927EA" w:rsidRPr="00F25357" w:rsidRDefault="005927EA" w:rsidP="005927EA">
            <w:pPr>
              <w:pStyle w:val="Point123"/>
            </w:pPr>
            <w:r w:rsidRPr="00F25357">
              <w:t xml:space="preserve">NOTES that the considerable efforts towards market opening </w:t>
            </w:r>
            <w:r>
              <w:t xml:space="preserve">and technical harmonisation </w:t>
            </w:r>
            <w:r w:rsidRPr="00F25357">
              <w:t xml:space="preserve">undertaken to date have stabilised the share of railway </w:t>
            </w:r>
            <w:r>
              <w:t xml:space="preserve">transport </w:t>
            </w:r>
            <w:r w:rsidRPr="00F25357">
              <w:t xml:space="preserve">services in a fast-growing market in which customer expectations have also increasingly grown, but that a </w:t>
            </w:r>
            <w:r>
              <w:t>marked</w:t>
            </w:r>
            <w:r w:rsidRPr="00F25357">
              <w:t xml:space="preserve"> shift to rail </w:t>
            </w:r>
            <w:r w:rsidRPr="00F25357">
              <w:lastRenderedPageBreak/>
              <w:t>has not yet been achieved, despite the progress made in individual market segments;</w:t>
            </w:r>
          </w:p>
          <w:p w14:paraId="5F9E478A" w14:textId="77777777" w:rsidR="005927EA" w:rsidRPr="00F25357" w:rsidRDefault="005927EA" w:rsidP="005927EA">
            <w:pPr>
              <w:pStyle w:val="Point123"/>
            </w:pPr>
            <w:r w:rsidRPr="00F25357">
              <w:t xml:space="preserve">ACKNOWLEDGES that making progress towards this goal will require a significant enlargement and improvement of rail networks and </w:t>
            </w:r>
            <w:r>
              <w:t xml:space="preserve">of rail </w:t>
            </w:r>
            <w:r w:rsidRPr="00F25357">
              <w:t xml:space="preserve">services </w:t>
            </w:r>
            <w:r w:rsidRPr="00225E29">
              <w:t>centred</w:t>
            </w:r>
            <w:r w:rsidRPr="00F25357">
              <w:t xml:space="preserve"> on </w:t>
            </w:r>
            <w:proofErr w:type="spellStart"/>
            <w:r w:rsidRPr="00F25357">
              <w:t>customersʼ</w:t>
            </w:r>
            <w:proofErr w:type="spellEnd"/>
            <w:r w:rsidRPr="00F25357">
              <w:t xml:space="preserve"> needs</w:t>
            </w:r>
            <w:r>
              <w:t>; it will require</w:t>
            </w:r>
            <w:r w:rsidRPr="00F25357">
              <w:t xml:space="preserve"> growth in rail traffic volumes </w:t>
            </w:r>
            <w:r>
              <w:t xml:space="preserve">that </w:t>
            </w:r>
            <w:r w:rsidRPr="00F25357">
              <w:t>outpace</w:t>
            </w:r>
            <w:r>
              <w:t>s</w:t>
            </w:r>
            <w:r w:rsidRPr="00F25357">
              <w:t xml:space="preserve"> overall economic growth;</w:t>
            </w:r>
          </w:p>
          <w:p w14:paraId="562B5392" w14:textId="77777777" w:rsidR="005927EA" w:rsidRPr="00F25357" w:rsidRDefault="005927EA" w:rsidP="005927EA">
            <w:pPr>
              <w:pStyle w:val="Point123"/>
            </w:pPr>
            <w:r w:rsidRPr="00F25357">
              <w:t xml:space="preserve">CONSIDERS IT IMPORTANT for regular policy evaluations which </w:t>
            </w:r>
            <w:r w:rsidRPr="00225E29">
              <w:t>measure the degree of effective market opening</w:t>
            </w:r>
            <w:r w:rsidRPr="00F25357">
              <w:t xml:space="preserve"> </w:t>
            </w:r>
            <w:r>
              <w:t xml:space="preserve">and technical harmonisation </w:t>
            </w:r>
            <w:r w:rsidRPr="00F25357">
              <w:t>to be supplemented by analysis of policy impacts on the modal shift, economic and social cohesion, environmental performance, system efficiency, service levels as well as working conditions;</w:t>
            </w:r>
          </w:p>
          <w:p w14:paraId="5731EB18" w14:textId="77777777" w:rsidR="005927EA" w:rsidRPr="00F25357" w:rsidRDefault="005927EA" w:rsidP="005927EA">
            <w:pPr>
              <w:pStyle w:val="Point123"/>
            </w:pPr>
            <w:r w:rsidRPr="00F25357">
              <w:t xml:space="preserve">WELCOMES, in this context, the initiatives underway to produce a forward-looking and more operational analysis of the modal shift, by </w:t>
            </w:r>
            <w:r>
              <w:t>assessing</w:t>
            </w:r>
            <w:r w:rsidRPr="00F25357">
              <w:t xml:space="preserve"> progress possible under given conditions and assuming specific improvements in infrastructure quality and connectivity, as well as the </w:t>
            </w:r>
            <w:proofErr w:type="spellStart"/>
            <w:r w:rsidRPr="00F25357">
              <w:lastRenderedPageBreak/>
              <w:t>Commissionʼs</w:t>
            </w:r>
            <w:proofErr w:type="spellEnd"/>
            <w:r w:rsidRPr="00F25357">
              <w:t xml:space="preserve"> commitment to deve</w:t>
            </w:r>
            <w:r>
              <w:t xml:space="preserve">lop a </w:t>
            </w:r>
            <w:proofErr w:type="spellStart"/>
            <w:r>
              <w:t>ʻrail</w:t>
            </w:r>
            <w:proofErr w:type="spellEnd"/>
            <w:r>
              <w:t xml:space="preserve"> connectivity </w:t>
            </w:r>
            <w:proofErr w:type="spellStart"/>
            <w:r>
              <w:t>indexʼ</w:t>
            </w:r>
            <w:proofErr w:type="spellEnd"/>
            <w:r>
              <w:t>;</w:t>
            </w:r>
          </w:p>
          <w:p w14:paraId="3114D681" w14:textId="77777777" w:rsidR="005927EA" w:rsidRPr="00F25357" w:rsidRDefault="005927EA" w:rsidP="005927EA">
            <w:pPr>
              <w:pStyle w:val="PointManual"/>
              <w:rPr>
                <w:b/>
                <w:bCs/>
              </w:rPr>
            </w:pPr>
            <w:r>
              <w:rPr>
                <w:b/>
                <w:bCs/>
              </w:rPr>
              <w:br w:type="page"/>
            </w:r>
            <w:r w:rsidRPr="00F25357">
              <w:rPr>
                <w:b/>
                <w:bCs/>
              </w:rPr>
              <w:t xml:space="preserve">II. </w:t>
            </w:r>
            <w:r w:rsidRPr="00F25357">
              <w:rPr>
                <w:b/>
                <w:bCs/>
              </w:rPr>
              <w:tab/>
              <w:t>Resilience and connectivity</w:t>
            </w:r>
          </w:p>
          <w:p w14:paraId="0775E417" w14:textId="77777777" w:rsidR="005927EA" w:rsidRPr="00F25357" w:rsidRDefault="005927EA" w:rsidP="005927EA">
            <w:pPr>
              <w:pStyle w:val="Point123"/>
            </w:pPr>
            <w:r w:rsidRPr="00F25357">
              <w:t>NOTES that transport, including rail, has been one of the sectors hit hardest by the COVID-19 pandemic, with economic damage caused by steep reductions in travel and tourism, supply chain disruptions, income loss to railway operators, and with reduced conne</w:t>
            </w:r>
            <w:r>
              <w:t>ctivity across the EU</w:t>
            </w:r>
            <w:r w:rsidRPr="00F25357">
              <w:t xml:space="preserve">. This has also delayed or blocked projects for new </w:t>
            </w:r>
            <w:r>
              <w:t xml:space="preserve">investment and </w:t>
            </w:r>
            <w:r w:rsidRPr="00F25357">
              <w:t>services</w:t>
            </w:r>
            <w:r>
              <w:t>, in particular</w:t>
            </w:r>
            <w:r w:rsidRPr="00F25357">
              <w:t xml:space="preserve"> in passenger transport</w:t>
            </w:r>
            <w:r>
              <w:t>;</w:t>
            </w:r>
          </w:p>
          <w:p w14:paraId="50BBF5EF" w14:textId="77777777" w:rsidR="005927EA" w:rsidRPr="00225E29" w:rsidRDefault="005927EA" w:rsidP="005927EA">
            <w:pPr>
              <w:pStyle w:val="Point123"/>
            </w:pPr>
            <w:r w:rsidRPr="00225E29">
              <w:t xml:space="preserve">NOTES that state intervention has on </w:t>
            </w:r>
            <w:r>
              <w:t>many</w:t>
            </w:r>
            <w:r w:rsidRPr="004A2418">
              <w:t xml:space="preserve"> occasions prevented the rail system from collapsing, </w:t>
            </w:r>
            <w:r>
              <w:t xml:space="preserve">thereby </w:t>
            </w:r>
            <w:r w:rsidRPr="004A2418">
              <w:t>ensuring the survival of this essential service and public good</w:t>
            </w:r>
            <w:r>
              <w:t>;</w:t>
            </w:r>
          </w:p>
          <w:p w14:paraId="55D6B8C6" w14:textId="77777777" w:rsidR="005927EA" w:rsidRPr="00F25357" w:rsidRDefault="005927EA" w:rsidP="005927EA">
            <w:pPr>
              <w:pStyle w:val="Point123"/>
            </w:pPr>
            <w:r w:rsidRPr="00F25357">
              <w:t xml:space="preserve">CONSIDERS that this crisis has </w:t>
            </w:r>
            <w:r>
              <w:t>had</w:t>
            </w:r>
            <w:r w:rsidRPr="00A31495">
              <w:t xml:space="preserve"> </w:t>
            </w:r>
            <w:r>
              <w:t>one</w:t>
            </w:r>
            <w:r w:rsidRPr="00A31495">
              <w:t xml:space="preserve"> positive consequence,</w:t>
            </w:r>
            <w:r>
              <w:t xml:space="preserve"> at least, by exposing</w:t>
            </w:r>
            <w:r w:rsidRPr="00F25357">
              <w:t xml:space="preserve"> the need to </w:t>
            </w:r>
            <w:r>
              <w:t>strengthen</w:t>
            </w:r>
            <w:r w:rsidRPr="00F25357">
              <w:t xml:space="preserve"> resilience and contingency measures and to improve </w:t>
            </w:r>
            <w:r>
              <w:t xml:space="preserve">availability, </w:t>
            </w:r>
            <w:r w:rsidRPr="00F25357">
              <w:t xml:space="preserve">coherence and coordination </w:t>
            </w:r>
            <w:r>
              <w:t>i</w:t>
            </w:r>
            <w:r w:rsidRPr="00F25357">
              <w:t xml:space="preserve">n the </w:t>
            </w:r>
            <w:r>
              <w:t xml:space="preserve">rail </w:t>
            </w:r>
            <w:r w:rsidRPr="00F25357">
              <w:t>network and give higher priority to the development of cross-border infrastructure</w:t>
            </w:r>
            <w:r>
              <w:t>;</w:t>
            </w:r>
          </w:p>
          <w:p w14:paraId="297B73CD" w14:textId="77777777" w:rsidR="005927EA" w:rsidRPr="00F25357" w:rsidRDefault="005927EA" w:rsidP="005927EA">
            <w:pPr>
              <w:pStyle w:val="PointManual"/>
              <w:rPr>
                <w:b/>
                <w:bCs/>
              </w:rPr>
            </w:pPr>
            <w:bookmarkStart w:id="7" w:name="ControlPages"/>
            <w:bookmarkEnd w:id="7"/>
            <w:r w:rsidRPr="00F25357">
              <w:rPr>
                <w:b/>
                <w:bCs/>
              </w:rPr>
              <w:t xml:space="preserve">III. </w:t>
            </w:r>
            <w:r w:rsidRPr="00F25357">
              <w:rPr>
                <w:b/>
                <w:bCs/>
              </w:rPr>
              <w:tab/>
              <w:t>European rail passenger transport</w:t>
            </w:r>
          </w:p>
          <w:p w14:paraId="00163A38" w14:textId="77777777" w:rsidR="005927EA" w:rsidRPr="00F25357" w:rsidRDefault="005927EA" w:rsidP="005927EA">
            <w:pPr>
              <w:pStyle w:val="Point123"/>
            </w:pPr>
            <w:r w:rsidRPr="00F25357">
              <w:t xml:space="preserve">EMPHASISES that while the share of international rail passenger transport </w:t>
            </w:r>
            <w:r>
              <w:lastRenderedPageBreak/>
              <w:t>with</w:t>
            </w:r>
            <w:r w:rsidRPr="00F25357">
              <w:t xml:space="preserve">in the overall EU rail passenger market is still very low (7%), there are encouraging signs from </w:t>
            </w:r>
            <w:r w:rsidRPr="00A31495">
              <w:t xml:space="preserve">both </w:t>
            </w:r>
            <w:r w:rsidRPr="00F25357">
              <w:t xml:space="preserve">the supply and the demand side </w:t>
            </w:r>
            <w:r>
              <w:t>which suggest</w:t>
            </w:r>
            <w:r w:rsidRPr="00F25357">
              <w:t xml:space="preserve"> that a considerable increase is </w:t>
            </w:r>
            <w:r w:rsidRPr="00225E29">
              <w:t>possible</w:t>
            </w:r>
            <w:r w:rsidRPr="00F25357">
              <w:t xml:space="preserve"> over the next decade. The projects aiming </w:t>
            </w:r>
            <w:r>
              <w:t>to revive</w:t>
            </w:r>
            <w:r w:rsidRPr="00F25357">
              <w:t xml:space="preserve"> European night trains are emblematic </w:t>
            </w:r>
            <w:r>
              <w:t>of</w:t>
            </w:r>
            <w:r w:rsidRPr="00F25357">
              <w:t xml:space="preserve"> the apparent enthusiasm and </w:t>
            </w:r>
            <w:r w:rsidRPr="00225E29">
              <w:t>entrepreneurial</w:t>
            </w:r>
            <w:r w:rsidRPr="00F25357">
              <w:t xml:space="preserve"> spirit</w:t>
            </w:r>
            <w:r>
              <w:t>;</w:t>
            </w:r>
          </w:p>
          <w:p w14:paraId="6FC43967" w14:textId="77777777" w:rsidR="005927EA" w:rsidRPr="00F25357" w:rsidRDefault="005927EA" w:rsidP="005927EA">
            <w:pPr>
              <w:pStyle w:val="Point123"/>
            </w:pPr>
            <w:r w:rsidRPr="00F25357">
              <w:t xml:space="preserve">NOTICES </w:t>
            </w:r>
            <w:r>
              <w:t>wide variations</w:t>
            </w:r>
            <w:r w:rsidRPr="00F25357">
              <w:t xml:space="preserve"> in </w:t>
            </w:r>
            <w:r>
              <w:t xml:space="preserve">how </w:t>
            </w:r>
            <w:r w:rsidRPr="00F25357">
              <w:t>international railway passenger services</w:t>
            </w:r>
            <w:r>
              <w:t>,</w:t>
            </w:r>
            <w:r w:rsidRPr="00F25357">
              <w:t xml:space="preserve"> infrastructure </w:t>
            </w:r>
            <w:r>
              <w:t xml:space="preserve">and </w:t>
            </w:r>
            <w:r w:rsidRPr="00F25357">
              <w:t xml:space="preserve">networks </w:t>
            </w:r>
            <w:r>
              <w:t xml:space="preserve">are developed </w:t>
            </w:r>
            <w:r w:rsidRPr="00F25357">
              <w:t>in different parts of Europe</w:t>
            </w:r>
            <w:r>
              <w:t>,</w:t>
            </w:r>
            <w:r w:rsidRPr="00F25357">
              <w:t xml:space="preserve"> </w:t>
            </w:r>
            <w:r>
              <w:t>as a result</w:t>
            </w:r>
            <w:r w:rsidRPr="00F25357">
              <w:t xml:space="preserve"> </w:t>
            </w:r>
            <w:r w:rsidRPr="00F25357">
              <w:rPr>
                <w:i/>
                <w:iCs/>
              </w:rPr>
              <w:t>inter alia</w:t>
            </w:r>
            <w:r w:rsidRPr="00F25357">
              <w:t xml:space="preserve"> o</w:t>
            </w:r>
            <w:r>
              <w:t>f</w:t>
            </w:r>
            <w:r w:rsidRPr="00F25357">
              <w:t xml:space="preserve"> customer demand, geography, population density, and economic integration between cross-border regions</w:t>
            </w:r>
            <w:r>
              <w:t>;</w:t>
            </w:r>
          </w:p>
          <w:p w14:paraId="55DB1410" w14:textId="77777777" w:rsidR="005927EA" w:rsidRPr="00F25357" w:rsidRDefault="005927EA" w:rsidP="005927EA">
            <w:pPr>
              <w:pStyle w:val="Point123"/>
            </w:pPr>
            <w:r w:rsidRPr="00F25357">
              <w:t xml:space="preserve">WELCOMES the creation of, and </w:t>
            </w:r>
            <w:r>
              <w:t xml:space="preserve">the </w:t>
            </w:r>
            <w:r w:rsidRPr="00F25357">
              <w:t xml:space="preserve">practical steps taken by the Platform for International Railway Passenger Transport (IRP), which involves </w:t>
            </w:r>
            <w:r>
              <w:t xml:space="preserve">a large variety of </w:t>
            </w:r>
            <w:r w:rsidRPr="00F25357">
              <w:t xml:space="preserve">stakeholders, and </w:t>
            </w:r>
            <w:r>
              <w:t xml:space="preserve">the evolution of </w:t>
            </w:r>
            <w:r w:rsidRPr="00F25357">
              <w:t>the Trans Europa Express 2.0 (TEE 2.0) concept</w:t>
            </w:r>
            <w:r>
              <w:t>;</w:t>
            </w:r>
          </w:p>
          <w:p w14:paraId="509D83CD" w14:textId="77777777" w:rsidR="005927EA" w:rsidRPr="00F25357" w:rsidRDefault="005927EA" w:rsidP="005927EA">
            <w:pPr>
              <w:pStyle w:val="Point123"/>
            </w:pPr>
            <w:r>
              <w:br w:type="page"/>
            </w:r>
            <w:r w:rsidRPr="00F25357">
              <w:t>ENCOURAGES the development of this market segment. In the short and medium term</w:t>
            </w:r>
            <w:r>
              <w:t>s</w:t>
            </w:r>
            <w:r w:rsidRPr="00F25357">
              <w:t xml:space="preserve"> this should be achieved </w:t>
            </w:r>
            <w:r>
              <w:t>by complementing</w:t>
            </w:r>
            <w:r w:rsidRPr="00F25357">
              <w:t xml:space="preserve"> existing services, </w:t>
            </w:r>
            <w:r>
              <w:t>ensuring a level playing field for fair</w:t>
            </w:r>
            <w:r w:rsidRPr="00F25357">
              <w:t xml:space="preserve"> </w:t>
            </w:r>
            <w:r w:rsidRPr="00F25357">
              <w:lastRenderedPageBreak/>
              <w:t xml:space="preserve">competition, offering multi-service and multi-modal </w:t>
            </w:r>
            <w:r>
              <w:t xml:space="preserve">route planning and </w:t>
            </w:r>
            <w:r w:rsidRPr="00F25357">
              <w:t xml:space="preserve">ticketing, coordinating timetables, providing direct links and connections </w:t>
            </w:r>
            <w:r>
              <w:t>with regional</w:t>
            </w:r>
            <w:r w:rsidRPr="00044545">
              <w:t xml:space="preserve">, local and urban </w:t>
            </w:r>
            <w:r w:rsidRPr="00F25357">
              <w:t>transport, reviewing the policy on infrastructure charges, reviewing capacity allocation procedures</w:t>
            </w:r>
            <w:r>
              <w:t xml:space="preserve"> and removing technical and operational barriers</w:t>
            </w:r>
            <w:r w:rsidRPr="00F25357">
              <w:t xml:space="preserve">; </w:t>
            </w:r>
            <w:r>
              <w:t>i</w:t>
            </w:r>
            <w:r w:rsidRPr="00F25357">
              <w:t xml:space="preserve">n the </w:t>
            </w:r>
            <w:r w:rsidRPr="00225E29">
              <w:t>lo</w:t>
            </w:r>
            <w:r>
              <w:t>n</w:t>
            </w:r>
            <w:r w:rsidRPr="00932561">
              <w:t>ger</w:t>
            </w:r>
            <w:r w:rsidRPr="00F25357">
              <w:t xml:space="preserve"> term </w:t>
            </w:r>
            <w:r>
              <w:t>it requires</w:t>
            </w:r>
            <w:r w:rsidRPr="00F25357">
              <w:t xml:space="preserve"> </w:t>
            </w:r>
            <w:r>
              <w:t>the removal of</w:t>
            </w:r>
            <w:r w:rsidRPr="00F25357">
              <w:t xml:space="preserve"> </w:t>
            </w:r>
            <w:r>
              <w:t xml:space="preserve">the </w:t>
            </w:r>
            <w:r w:rsidRPr="00F25357">
              <w:t>remaining infrastructure bottlenecks</w:t>
            </w:r>
            <w:r>
              <w:t xml:space="preserve"> in the Union rail system</w:t>
            </w:r>
            <w:r w:rsidRPr="00F25357">
              <w:t xml:space="preserve">, </w:t>
            </w:r>
            <w:r>
              <w:t xml:space="preserve">the realisation of the TEN-T core and comprehensive network, the </w:t>
            </w:r>
            <w:r w:rsidRPr="00F25357">
              <w:t xml:space="preserve">procurement of </w:t>
            </w:r>
            <w:r>
              <w:t xml:space="preserve">interoperable </w:t>
            </w:r>
            <w:r w:rsidRPr="00F25357">
              <w:t>rolling stock</w:t>
            </w:r>
            <w:r>
              <w:t xml:space="preserve"> and</w:t>
            </w:r>
            <w:r w:rsidRPr="00F25357">
              <w:t xml:space="preserve"> full implementation of the European Rail Traffic Management System (ERTMS)</w:t>
            </w:r>
            <w:r>
              <w:t>;</w:t>
            </w:r>
          </w:p>
          <w:p w14:paraId="45D62F15" w14:textId="77777777" w:rsidR="005927EA" w:rsidRPr="00F25357" w:rsidRDefault="005927EA" w:rsidP="005927EA">
            <w:pPr>
              <w:pStyle w:val="Point123"/>
            </w:pPr>
            <w:r w:rsidRPr="00F25357">
              <w:t xml:space="preserve">RECOGNISES that in certain cases the </w:t>
            </w:r>
            <w:r>
              <w:t>provision</w:t>
            </w:r>
            <w:r w:rsidRPr="00F25357">
              <w:t xml:space="preserve"> of international passenger services may </w:t>
            </w:r>
            <w:r>
              <w:t xml:space="preserve">entail </w:t>
            </w:r>
            <w:r w:rsidRPr="00F25357">
              <w:t xml:space="preserve">public service obligations </w:t>
            </w:r>
            <w:r>
              <w:t>for generating</w:t>
            </w:r>
            <w:r w:rsidRPr="00F25357">
              <w:t xml:space="preserve"> a </w:t>
            </w:r>
            <w:r>
              <w:t xml:space="preserve">desirable </w:t>
            </w:r>
            <w:r w:rsidRPr="00F25357">
              <w:t xml:space="preserve">transport offer. In these cases, public service contracts covering the international services should be considered as </w:t>
            </w:r>
            <w:r w:rsidRPr="005948D3">
              <w:rPr>
                <w:noProof/>
              </w:rPr>
              <w:t xml:space="preserve">a possibility, and their use could </w:t>
            </w:r>
            <w:r>
              <w:t>be facilitated by</w:t>
            </w:r>
            <w:r w:rsidRPr="00F25357">
              <w:t xml:space="preserve"> a revision of the </w:t>
            </w:r>
            <w:proofErr w:type="spellStart"/>
            <w:r w:rsidRPr="00F25357">
              <w:t>Commissionʼs</w:t>
            </w:r>
            <w:proofErr w:type="spellEnd"/>
            <w:r w:rsidRPr="00F25357">
              <w:t xml:space="preserve"> </w:t>
            </w:r>
            <w:r w:rsidRPr="00F25357">
              <w:lastRenderedPageBreak/>
              <w:t>interpretative guidelines concerning Regulation (EC) No 1370/2007</w:t>
            </w:r>
            <w:r w:rsidRPr="00225E29">
              <w:rPr>
                <w:rStyle w:val="FootnoteReference"/>
                <w:rFonts w:eastAsia="Calibri"/>
              </w:rPr>
              <w:footnoteReference w:id="8"/>
            </w:r>
            <w:r>
              <w:rPr>
                <w:color w:val="001732"/>
                <w:sz w:val="20"/>
                <w:szCs w:val="20"/>
              </w:rPr>
              <w:t>;</w:t>
            </w:r>
          </w:p>
          <w:p w14:paraId="44D909C7" w14:textId="77777777" w:rsidR="005927EA" w:rsidRPr="00F25357" w:rsidRDefault="005927EA" w:rsidP="005927EA">
            <w:pPr>
              <w:pStyle w:val="PointManual"/>
              <w:rPr>
                <w:b/>
                <w:bCs/>
              </w:rPr>
            </w:pPr>
            <w:r w:rsidRPr="00F25357">
              <w:rPr>
                <w:b/>
                <w:bCs/>
              </w:rPr>
              <w:t>IV.</w:t>
            </w:r>
            <w:r w:rsidRPr="00F25357">
              <w:rPr>
                <w:b/>
                <w:bCs/>
              </w:rPr>
              <w:tab/>
              <w:t>European rail freight transport</w:t>
            </w:r>
          </w:p>
          <w:p w14:paraId="5558E644" w14:textId="77777777" w:rsidR="005927EA" w:rsidRPr="00F25357" w:rsidRDefault="005927EA" w:rsidP="005927EA">
            <w:pPr>
              <w:pStyle w:val="Point123"/>
            </w:pPr>
            <w:r w:rsidRPr="00F25357">
              <w:t xml:space="preserve">EXPECTS that the completion of the </w:t>
            </w:r>
            <w:r w:rsidRPr="00044545">
              <w:t>Trans-European Transport Network (</w:t>
            </w:r>
            <w:r w:rsidRPr="00F25357">
              <w:t>TEN-T</w:t>
            </w:r>
            <w:r>
              <w:t>)</w:t>
            </w:r>
            <w:r w:rsidRPr="00F25357">
              <w:t xml:space="preserve"> </w:t>
            </w:r>
            <w:r>
              <w:t>core n</w:t>
            </w:r>
            <w:r w:rsidRPr="00F25357">
              <w:t>etwork by 2030</w:t>
            </w:r>
            <w:r>
              <w:t>,</w:t>
            </w:r>
            <w:r w:rsidRPr="00F25357">
              <w:t xml:space="preserve"> the widespread deployment of the European Rail Traffic Management System (ERTMS) all over Europ</w:t>
            </w:r>
            <w:r>
              <w:t xml:space="preserve">e, both trackside and on-board, accompanied by decommissioning legacy signalling systems, </w:t>
            </w:r>
            <w:r w:rsidRPr="00F25357">
              <w:t xml:space="preserve">and the further harmonisation of technical and operational </w:t>
            </w:r>
            <w:r w:rsidRPr="00225E29">
              <w:t>requirements</w:t>
            </w:r>
            <w:r w:rsidRPr="00F25357">
              <w:t xml:space="preserve"> will lead to more efficient, less costly and better integrated rail transport, thus enabling the continued growth of rail freight;</w:t>
            </w:r>
            <w:r>
              <w:t xml:space="preserve"> </w:t>
            </w:r>
            <w:r>
              <w:rPr>
                <w:noProof/>
              </w:rPr>
              <w:t>EXPECTS rail freight to be further boosted by the coordinated deployment of new innovations, in particular digital automated couplings and automatic train operations;</w:t>
            </w:r>
          </w:p>
          <w:p w14:paraId="4E86A9C6" w14:textId="77777777" w:rsidR="005927EA" w:rsidRDefault="005927EA" w:rsidP="005927EA">
            <w:pPr>
              <w:pStyle w:val="Point123"/>
            </w:pPr>
            <w:r>
              <w:br w:type="page"/>
              <w:t>As regards</w:t>
            </w:r>
            <w:r w:rsidRPr="00F25357">
              <w:t xml:space="preserve"> the European Green Deal</w:t>
            </w:r>
            <w:r w:rsidRPr="00F25357">
              <w:rPr>
                <w:rStyle w:val="FootnoteReference"/>
              </w:rPr>
              <w:footnoteReference w:id="9"/>
            </w:r>
            <w:r w:rsidRPr="00F25357">
              <w:t xml:space="preserve">, in which the European Commission lists rail freight as a top priority, EXPECTS that this initiative will build on all the experience gained and </w:t>
            </w:r>
            <w:r>
              <w:t xml:space="preserve">the </w:t>
            </w:r>
            <w:r w:rsidRPr="00F25357">
              <w:t xml:space="preserve">best practice already developed </w:t>
            </w:r>
            <w:r w:rsidRPr="00F25357">
              <w:lastRenderedPageBreak/>
              <w:t xml:space="preserve">through the </w:t>
            </w:r>
            <w:r>
              <w:t>r</w:t>
            </w:r>
            <w:r w:rsidRPr="00F25357">
              <w:t xml:space="preserve">ail </w:t>
            </w:r>
            <w:r>
              <w:t>f</w:t>
            </w:r>
            <w:r w:rsidRPr="00F25357">
              <w:t xml:space="preserve">reight </w:t>
            </w:r>
            <w:r>
              <w:t>c</w:t>
            </w:r>
            <w:r w:rsidRPr="00F25357">
              <w:t>orridors, while also fostering innovation, not only in new technologies and digitalisation, but also in business models and operational concepts</w:t>
            </w:r>
            <w:r>
              <w:t xml:space="preserve"> </w:t>
            </w:r>
            <w:r>
              <w:rPr>
                <w:noProof/>
              </w:rPr>
              <w:t>in order to achieve a more integrated operating network for competitive rail freight</w:t>
            </w:r>
            <w:r w:rsidRPr="00F25357">
              <w:t>;</w:t>
            </w:r>
          </w:p>
          <w:p w14:paraId="1F2C006D" w14:textId="77777777" w:rsidR="005927EA" w:rsidRPr="00F25357" w:rsidRDefault="005927EA" w:rsidP="005927EA">
            <w:pPr>
              <w:pStyle w:val="Point123"/>
            </w:pPr>
            <w:r>
              <w:t>NOTE</w:t>
            </w:r>
            <w:r w:rsidRPr="00F25357">
              <w:t xml:space="preserve">S that the </w:t>
            </w:r>
            <w:r>
              <w:t>Union</w:t>
            </w:r>
            <w:r w:rsidRPr="00F25357">
              <w:t xml:space="preserve"> rail network for competitive freight, formed by the </w:t>
            </w:r>
            <w:r>
              <w:t>r</w:t>
            </w:r>
            <w:r w:rsidRPr="00F25357">
              <w:t xml:space="preserve">ail </w:t>
            </w:r>
            <w:r>
              <w:t>f</w:t>
            </w:r>
            <w:r w:rsidRPr="00F25357">
              <w:t xml:space="preserve">reight </w:t>
            </w:r>
            <w:r>
              <w:t>c</w:t>
            </w:r>
            <w:r w:rsidRPr="00F25357">
              <w:t xml:space="preserve">orridors, has proven to be very effective in developing </w:t>
            </w:r>
            <w:r>
              <w:t xml:space="preserve">concerted actions and </w:t>
            </w:r>
            <w:r w:rsidRPr="00F25357">
              <w:t>common measures</w:t>
            </w:r>
            <w:r>
              <w:t xml:space="preserve"> among stakeholders in charge of operations</w:t>
            </w:r>
            <w:r w:rsidRPr="00F25357">
              <w:t xml:space="preserve">, </w:t>
            </w:r>
            <w:r>
              <w:t xml:space="preserve">whilst </w:t>
            </w:r>
            <w:r w:rsidRPr="00F25357">
              <w:t>facilitating</w:t>
            </w:r>
            <w:r>
              <w:t>, amongst other things,</w:t>
            </w:r>
            <w:r w:rsidRPr="00F25357">
              <w:t xml:space="preserve"> the enhancement of rail </w:t>
            </w:r>
            <w:proofErr w:type="spellStart"/>
            <w:r w:rsidRPr="00F25357">
              <w:t>freightʼs</w:t>
            </w:r>
            <w:proofErr w:type="spellEnd"/>
            <w:r w:rsidRPr="00F25357">
              <w:t xml:space="preserve"> resilience in the event of major crises and the implementation of necessary contingency measures;</w:t>
            </w:r>
          </w:p>
          <w:p w14:paraId="761913DC" w14:textId="77777777" w:rsidR="005927EA" w:rsidRPr="00F25357" w:rsidRDefault="005927EA" w:rsidP="005927EA">
            <w:pPr>
              <w:pStyle w:val="Point123"/>
            </w:pPr>
            <w:r w:rsidRPr="00F25357">
              <w:t xml:space="preserve">RECOGNISING the work already accomplished by the </w:t>
            </w:r>
            <w:r>
              <w:t>r</w:t>
            </w:r>
            <w:r w:rsidRPr="00F25357">
              <w:t xml:space="preserve">ail </w:t>
            </w:r>
            <w:r>
              <w:t>f</w:t>
            </w:r>
            <w:r w:rsidRPr="00F25357">
              <w:t xml:space="preserve">reight </w:t>
            </w:r>
            <w:r>
              <w:t>c</w:t>
            </w:r>
            <w:r w:rsidRPr="00F25357">
              <w:t xml:space="preserve">orridors, WELCOMES the Member </w:t>
            </w:r>
            <w:proofErr w:type="spellStart"/>
            <w:r w:rsidRPr="00F25357">
              <w:t>Statesʼ</w:t>
            </w:r>
            <w:proofErr w:type="spellEnd"/>
            <w:r w:rsidRPr="00F25357">
              <w:t xml:space="preserve"> commitment to </w:t>
            </w:r>
            <w:r w:rsidRPr="00225E29">
              <w:t>continue</w:t>
            </w:r>
            <w:r w:rsidRPr="00F25357">
              <w:t xml:space="preserve"> their cooperation with the European Commission and the </w:t>
            </w:r>
            <w:r>
              <w:t>c</w:t>
            </w:r>
            <w:r w:rsidRPr="00F25357">
              <w:t xml:space="preserve">oordinators of the TEN-T </w:t>
            </w:r>
            <w:r>
              <w:t>c</w:t>
            </w:r>
            <w:r w:rsidRPr="00F25357">
              <w:t xml:space="preserve">ore </w:t>
            </w:r>
            <w:r>
              <w:t>ne</w:t>
            </w:r>
            <w:r w:rsidRPr="00F25357">
              <w:t xml:space="preserve">twork </w:t>
            </w:r>
            <w:r>
              <w:t>c</w:t>
            </w:r>
            <w:r w:rsidRPr="00F25357">
              <w:t xml:space="preserve">orridors, UNDERLINES the importance of developing further infrastructure capacity and the routes of the </w:t>
            </w:r>
            <w:r>
              <w:t>r</w:t>
            </w:r>
            <w:r w:rsidRPr="00F25357">
              <w:t xml:space="preserve">ail </w:t>
            </w:r>
            <w:r>
              <w:t>f</w:t>
            </w:r>
            <w:r w:rsidRPr="00F25357">
              <w:t xml:space="preserve">reight </w:t>
            </w:r>
            <w:r>
              <w:t>c</w:t>
            </w:r>
            <w:r w:rsidRPr="00F25357">
              <w:t>orridors in accordance with market requirements</w:t>
            </w:r>
            <w:r>
              <w:t xml:space="preserve"> and customer needs,</w:t>
            </w:r>
            <w:r w:rsidRPr="00F25357">
              <w:t xml:space="preserve"> and ENCOURAGES </w:t>
            </w:r>
            <w:r w:rsidRPr="00F25357">
              <w:lastRenderedPageBreak/>
              <w:t xml:space="preserve">strengthening </w:t>
            </w:r>
            <w:r>
              <w:t xml:space="preserve">the functioning of </w:t>
            </w:r>
            <w:r w:rsidRPr="00F25357">
              <w:t xml:space="preserve">the </w:t>
            </w:r>
            <w:r>
              <w:t>r</w:t>
            </w:r>
            <w:r w:rsidRPr="00F25357">
              <w:t xml:space="preserve">ail </w:t>
            </w:r>
            <w:r>
              <w:t>f</w:t>
            </w:r>
            <w:r w:rsidRPr="00F25357">
              <w:t xml:space="preserve">reight </w:t>
            </w:r>
            <w:r>
              <w:t>c</w:t>
            </w:r>
            <w:r w:rsidRPr="00F25357">
              <w:t xml:space="preserve">orridors in a coordinated way </w:t>
            </w:r>
            <w:r>
              <w:t>focussing on the review and improvement of performance using</w:t>
            </w:r>
            <w:r w:rsidRPr="00F25357">
              <w:t xml:space="preserve"> harmonised </w:t>
            </w:r>
            <w:r>
              <w:t>k</w:t>
            </w:r>
            <w:r w:rsidRPr="00F25357">
              <w:t xml:space="preserve">ey </w:t>
            </w:r>
            <w:r>
              <w:t>p</w:t>
            </w:r>
            <w:r w:rsidRPr="00F25357">
              <w:t xml:space="preserve">erformance </w:t>
            </w:r>
            <w:r>
              <w:t>i</w:t>
            </w:r>
            <w:r w:rsidRPr="00F25357">
              <w:t>ndicators</w:t>
            </w:r>
            <w:r>
              <w:t xml:space="preserve">, and on bundling all actors in the </w:t>
            </w:r>
            <w:proofErr w:type="spellStart"/>
            <w:r>
              <w:t>suppl</w:t>
            </w:r>
            <w:proofErr w:type="spellEnd"/>
            <w:r>
              <w:t xml:space="preserve"> chain;</w:t>
            </w:r>
          </w:p>
          <w:p w14:paraId="3B1BDCF4" w14:textId="77777777" w:rsidR="005927EA" w:rsidRPr="00F25357" w:rsidRDefault="005927EA" w:rsidP="005927EA">
            <w:pPr>
              <w:pStyle w:val="PointManual"/>
              <w:rPr>
                <w:b/>
                <w:bCs/>
              </w:rPr>
            </w:pPr>
            <w:r w:rsidRPr="00F25357">
              <w:rPr>
                <w:b/>
                <w:bCs/>
              </w:rPr>
              <w:t xml:space="preserve">V. </w:t>
            </w:r>
            <w:r w:rsidRPr="00F25357">
              <w:rPr>
                <w:b/>
                <w:bCs/>
              </w:rPr>
              <w:tab/>
              <w:t xml:space="preserve">Networks and investment </w:t>
            </w:r>
          </w:p>
          <w:p w14:paraId="36F84433" w14:textId="77777777" w:rsidR="005927EA" w:rsidRPr="00F25357" w:rsidRDefault="005927EA" w:rsidP="005927EA">
            <w:pPr>
              <w:pStyle w:val="Point123"/>
            </w:pPr>
            <w:r>
              <w:t>NOTES</w:t>
            </w:r>
            <w:r w:rsidRPr="00F25357">
              <w:t xml:space="preserve"> the fact that t</w:t>
            </w:r>
            <w:r>
              <w:t>he TEN-T n</w:t>
            </w:r>
            <w:r w:rsidRPr="00F25357">
              <w:t xml:space="preserve">etwork has been extremely important for developing a coherent high-capacity interoperable rail network across </w:t>
            </w:r>
            <w:r>
              <w:t>the Union</w:t>
            </w:r>
            <w:r w:rsidRPr="00F25357">
              <w:t xml:space="preserve">, and also </w:t>
            </w:r>
            <w:r>
              <w:t>for</w:t>
            </w:r>
            <w:r w:rsidRPr="00F25357">
              <w:t xml:space="preserve"> connecting it to ports, airports and road and inland waterway terminals. Although it has not been able to singlehandedly overcome the large asymmetries in rail network coverage and density, through the Connecting Europe Facility and other EU financing instruments</w:t>
            </w:r>
            <w:r>
              <w:t xml:space="preserve"> the TEN-T n</w:t>
            </w:r>
            <w:r w:rsidRPr="00F25357">
              <w:t>etwork has allowed many Member States with smaller investment capacities to steadily, albeit slowly, upgrade their networks</w:t>
            </w:r>
            <w:r>
              <w:t>;</w:t>
            </w:r>
          </w:p>
          <w:p w14:paraId="6D5D1DE9" w14:textId="77777777" w:rsidR="005927EA" w:rsidRPr="00F25357" w:rsidRDefault="005927EA" w:rsidP="005927EA">
            <w:pPr>
              <w:pStyle w:val="Point123"/>
            </w:pPr>
            <w:r>
              <w:br w:type="page"/>
            </w:r>
            <w:r w:rsidRPr="00F25357">
              <w:t xml:space="preserve">BEARING IN MIND the political aim of </w:t>
            </w:r>
            <w:r>
              <w:t xml:space="preserve">a </w:t>
            </w:r>
            <w:r w:rsidRPr="00F25357">
              <w:t xml:space="preserve">climate-neutral </w:t>
            </w:r>
            <w:r>
              <w:t>economy</w:t>
            </w:r>
            <w:r w:rsidRPr="00F25357">
              <w:t xml:space="preserve">, </w:t>
            </w:r>
            <w:r w:rsidRPr="00225E29">
              <w:t>ACKNOWLEDGES that</w:t>
            </w:r>
            <w:r w:rsidRPr="00F25357">
              <w:t xml:space="preserve"> national budgets in many Member States remain strained from the previous</w:t>
            </w:r>
            <w:r>
              <w:t xml:space="preserve"> </w:t>
            </w:r>
            <w:r>
              <w:lastRenderedPageBreak/>
              <w:t>economic crisis</w:t>
            </w:r>
            <w:r w:rsidRPr="00F25357">
              <w:t xml:space="preserve"> and the </w:t>
            </w:r>
            <w:r>
              <w:t xml:space="preserve">current one related to the </w:t>
            </w:r>
            <w:r w:rsidRPr="00F25357">
              <w:t xml:space="preserve">pandemic, and that public investment in </w:t>
            </w:r>
            <w:r>
              <w:t>transport</w:t>
            </w:r>
            <w:r w:rsidRPr="00F25357">
              <w:t xml:space="preserve"> has remain</w:t>
            </w:r>
            <w:r>
              <w:t>ed</w:t>
            </w:r>
            <w:r w:rsidRPr="00F25357">
              <w:t xml:space="preserve"> barely at the level required to ensure maintenance</w:t>
            </w:r>
            <w:r>
              <w:t>;</w:t>
            </w:r>
          </w:p>
          <w:p w14:paraId="28515521" w14:textId="77777777" w:rsidR="005927EA" w:rsidRPr="00F25357" w:rsidRDefault="005927EA" w:rsidP="005927EA">
            <w:pPr>
              <w:pStyle w:val="Point123"/>
            </w:pPr>
            <w:r w:rsidRPr="00F25357">
              <w:t>STRESSES that the rail sector will need to make the best possible use of EU financing instruments. Railway transport infrastructure has been identified as the segment most in need of in</w:t>
            </w:r>
            <w:r>
              <w:t>vestment to finalise the TEN-T n</w:t>
            </w:r>
            <w:r w:rsidRPr="00F25357">
              <w:t>etwork and modernise the existing network. CALLS on Member States</w:t>
            </w:r>
            <w:r>
              <w:t>,</w:t>
            </w:r>
            <w:r w:rsidRPr="00132224">
              <w:t xml:space="preserve"> </w:t>
            </w:r>
            <w:r>
              <w:t>accordingly,</w:t>
            </w:r>
            <w:r w:rsidRPr="00F25357">
              <w:t xml:space="preserve"> to use </w:t>
            </w:r>
            <w:r>
              <w:t xml:space="preserve">the </w:t>
            </w:r>
            <w:r w:rsidRPr="00F25357">
              <w:t>resources being made availab</w:t>
            </w:r>
            <w:r>
              <w:t>le by the Recovery and Resilience</w:t>
            </w:r>
            <w:r w:rsidRPr="00F25357">
              <w:t xml:space="preserve"> Facility</w:t>
            </w:r>
            <w:r>
              <w:t xml:space="preserve"> and the Multiannual</w:t>
            </w:r>
            <w:r w:rsidRPr="00F25357">
              <w:t xml:space="preserve"> Financial Framework 2021-27 to enhance the competitiveness of the rail sector and support related investment</w:t>
            </w:r>
            <w:r>
              <w:t xml:space="preserve"> in rail infrastructure;</w:t>
            </w:r>
          </w:p>
          <w:p w14:paraId="533B929A" w14:textId="77777777" w:rsidR="005927EA" w:rsidRPr="00F25357" w:rsidRDefault="005927EA" w:rsidP="005927EA">
            <w:pPr>
              <w:pStyle w:val="Point123"/>
            </w:pPr>
            <w:r w:rsidRPr="00F25357">
              <w:t xml:space="preserve">UNDERLINES that </w:t>
            </w:r>
            <w:r>
              <w:t xml:space="preserve">systemic </w:t>
            </w:r>
            <w:r w:rsidRPr="00F25357">
              <w:t xml:space="preserve">integration with other transport modes, including maritime, inland waterways, air transport and road </w:t>
            </w:r>
            <w:r>
              <w:t xml:space="preserve">transport, </w:t>
            </w:r>
            <w:r w:rsidRPr="00F25357">
              <w:t xml:space="preserve">is essential to keep territories connected and achieve the modal shift. </w:t>
            </w:r>
            <w:r>
              <w:t>As a result</w:t>
            </w:r>
            <w:r w:rsidRPr="00F25357">
              <w:t xml:space="preserve">, an increase in intermodal transfer opportunities, enlargement of the capacity of existing transfer </w:t>
            </w:r>
            <w:r>
              <w:t xml:space="preserve">and transhipment </w:t>
            </w:r>
            <w:r w:rsidRPr="00F25357">
              <w:lastRenderedPageBreak/>
              <w:t>facilities, and better intermodal traffic management are necessary</w:t>
            </w:r>
            <w:r>
              <w:t>;</w:t>
            </w:r>
          </w:p>
          <w:p w14:paraId="2F73FFF4" w14:textId="77777777" w:rsidR="005927EA" w:rsidRPr="00F25357" w:rsidRDefault="005927EA" w:rsidP="005927EA">
            <w:pPr>
              <w:pStyle w:val="Point123"/>
            </w:pPr>
            <w:r w:rsidRPr="00F25357">
              <w:t xml:space="preserve">RECOGNISES that </w:t>
            </w:r>
            <w:r>
              <w:t>major</w:t>
            </w:r>
            <w:r w:rsidRPr="00F25357">
              <w:t xml:space="preserve"> investment</w:t>
            </w:r>
            <w:r>
              <w:t xml:space="preserve"> is required</w:t>
            </w:r>
            <w:r w:rsidRPr="00F25357">
              <w:t xml:space="preserve"> in rolling </w:t>
            </w:r>
            <w:r w:rsidRPr="00225E29">
              <w:t>stock</w:t>
            </w:r>
            <w:r>
              <w:t xml:space="preserve">, so as to make use of </w:t>
            </w:r>
            <w:r w:rsidRPr="00F25357">
              <w:t xml:space="preserve">innovations, upgrade to new technical </w:t>
            </w:r>
            <w:r>
              <w:t>specifications, increase flexibility, safe</w:t>
            </w:r>
            <w:r w:rsidRPr="00F25357">
              <w:t>ty and comfort, and diversify the service offer</w:t>
            </w:r>
            <w:r>
              <w:t>;</w:t>
            </w:r>
          </w:p>
          <w:p w14:paraId="102EFD99" w14:textId="77777777" w:rsidR="005927EA" w:rsidRPr="00C56065" w:rsidRDefault="005927EA" w:rsidP="005927EA">
            <w:pPr>
              <w:pStyle w:val="Point123"/>
            </w:pPr>
            <w:r w:rsidRPr="00F25357">
              <w:t xml:space="preserve">CALLS on the Commission to </w:t>
            </w:r>
            <w:r>
              <w:t xml:space="preserve">study and </w:t>
            </w:r>
            <w:r w:rsidRPr="00F25357">
              <w:t>propose</w:t>
            </w:r>
            <w:r>
              <w:t>, as a matter of priority,</w:t>
            </w:r>
            <w:r w:rsidRPr="00F25357">
              <w:t xml:space="preserve"> European</w:t>
            </w:r>
            <w:r>
              <w:t>-</w:t>
            </w:r>
            <w:r w:rsidRPr="00F25357">
              <w:t xml:space="preserve">level schemes to support rail operators , while also reviewing the rules for financial support offered by </w:t>
            </w:r>
            <w:r>
              <w:t>M</w:t>
            </w:r>
            <w:r w:rsidRPr="00F25357">
              <w:t xml:space="preserve">ember </w:t>
            </w:r>
            <w:r>
              <w:t>S</w:t>
            </w:r>
            <w:r w:rsidRPr="00F25357">
              <w:t>tates with a view to their simplification.</w:t>
            </w:r>
          </w:p>
          <w:p w14:paraId="4D60064B" w14:textId="193C2D30" w:rsidR="0098141E" w:rsidRDefault="0098141E" w:rsidP="0098141E">
            <w:pPr>
              <w:spacing w:before="360" w:after="120" w:line="360" w:lineRule="auto"/>
              <w:rPr>
                <w:rFonts w:cs="Arial"/>
                <w:szCs w:val="24"/>
                <w:lang w:val="en-GB"/>
              </w:rPr>
            </w:pPr>
          </w:p>
        </w:tc>
        <w:tc>
          <w:tcPr>
            <w:tcW w:w="4508" w:type="dxa"/>
          </w:tcPr>
          <w:p w14:paraId="4D5B0BE1" w14:textId="77777777" w:rsidR="005927EA" w:rsidRDefault="005927EA" w:rsidP="005927EA">
            <w:pPr>
              <w:jc w:val="center"/>
              <w:rPr>
                <w:b/>
                <w:bCs/>
                <w:lang w:eastAsia="en-GB"/>
              </w:rPr>
            </w:pPr>
            <w:bookmarkStart w:id="8" w:name="_Hlk69984413"/>
            <w:r w:rsidRPr="00044545">
              <w:rPr>
                <w:b/>
                <w:bCs/>
                <w:lang w:eastAsia="en-GB"/>
              </w:rPr>
              <w:lastRenderedPageBreak/>
              <w:t>Putting Rail at the Forefront of Smart and Sustainable Mobility</w:t>
            </w:r>
          </w:p>
          <w:bookmarkEnd w:id="8"/>
          <w:p w14:paraId="38E39FB7" w14:textId="77777777" w:rsidR="005927EA" w:rsidRPr="00225E29" w:rsidRDefault="005927EA" w:rsidP="005927EA">
            <w:pPr>
              <w:jc w:val="center"/>
              <w:rPr>
                <w:b/>
                <w:bCs/>
              </w:rPr>
            </w:pPr>
            <w:r w:rsidRPr="00F25357">
              <w:rPr>
                <w:b/>
                <w:bCs/>
                <w:lang w:eastAsia="en-GB"/>
              </w:rPr>
              <w:t>-Draft Council conclusions-</w:t>
            </w:r>
          </w:p>
          <w:p w14:paraId="0F72F551" w14:textId="77777777" w:rsidR="005927EA" w:rsidRPr="00225E29" w:rsidRDefault="005927EA" w:rsidP="005927EA"/>
          <w:p w14:paraId="4839E2FE" w14:textId="77777777" w:rsidR="005927EA" w:rsidRPr="00225E29" w:rsidRDefault="005927EA" w:rsidP="005927EA">
            <w:r w:rsidRPr="00225E29">
              <w:t>HAVING REGARD TO:</w:t>
            </w:r>
          </w:p>
          <w:p w14:paraId="6FC5F772" w14:textId="77777777" w:rsidR="005927EA" w:rsidRPr="00225E29" w:rsidRDefault="005927EA" w:rsidP="005927EA">
            <w:pPr>
              <w:pStyle w:val="Point123"/>
            </w:pPr>
            <w:r w:rsidRPr="00225E29">
              <w:t>the European Council conclusions of 12 December 2019 in which the European Council endorsed the objective of achieving a climate-neutral European Union by 2050</w:t>
            </w:r>
            <w:r>
              <w:rPr>
                <w:rStyle w:val="FootnoteReference"/>
                <w:color w:val="000000"/>
              </w:rPr>
              <w:footnoteReference w:id="10"/>
            </w:r>
            <w:r w:rsidRPr="00225E29">
              <w:t>;</w:t>
            </w:r>
          </w:p>
          <w:p w14:paraId="18B2D411" w14:textId="77777777" w:rsidR="005927EA" w:rsidRPr="00225E29" w:rsidRDefault="005927EA" w:rsidP="005927EA">
            <w:pPr>
              <w:pStyle w:val="Point123"/>
            </w:pPr>
            <w:r w:rsidRPr="00225E29">
              <w:lastRenderedPageBreak/>
              <w:t xml:space="preserve">the EU transport </w:t>
            </w:r>
            <w:proofErr w:type="spellStart"/>
            <w:r w:rsidRPr="00225E29">
              <w:t>ministersʼ</w:t>
            </w:r>
            <w:proofErr w:type="spellEnd"/>
            <w:r w:rsidRPr="00225E29">
              <w:t xml:space="preserve"> continued commitment to rail</w:t>
            </w:r>
            <w:r w:rsidRPr="00225E29">
              <w:rPr>
                <w:rStyle w:val="FootnoteReference"/>
              </w:rPr>
              <w:footnoteReference w:id="11"/>
            </w:r>
            <w:r w:rsidRPr="00225E29">
              <w:t>, as expressed last year in</w:t>
            </w:r>
          </w:p>
          <w:p w14:paraId="1F7E4933" w14:textId="77777777" w:rsidR="005927EA" w:rsidRPr="00225E29" w:rsidRDefault="005927EA" w:rsidP="005927EA">
            <w:pPr>
              <w:pStyle w:val="PointManual1"/>
            </w:pPr>
            <w:r>
              <w:t>a)</w:t>
            </w:r>
            <w:r>
              <w:tab/>
            </w:r>
            <w:r w:rsidRPr="00225E29">
              <w:t xml:space="preserve">the political statement supporting a European </w:t>
            </w:r>
            <w:r w:rsidRPr="00225E29">
              <w:rPr>
                <w:color w:val="000000"/>
              </w:rPr>
              <w:t>agenda</w:t>
            </w:r>
            <w:r w:rsidRPr="00225E29">
              <w:t xml:space="preserve"> for international passenger rail presented at the informal video conference of EU transport ministers on 4 June 2020, and</w:t>
            </w:r>
          </w:p>
          <w:p w14:paraId="4ACAE5C5" w14:textId="77777777" w:rsidR="005927EA" w:rsidRPr="00225E29" w:rsidRDefault="005927EA" w:rsidP="005927EA">
            <w:pPr>
              <w:pStyle w:val="PointManual1"/>
            </w:pPr>
            <w:r>
              <w:t>b)</w:t>
            </w:r>
            <w:r>
              <w:tab/>
            </w:r>
            <w:r w:rsidRPr="00225E29">
              <w:t xml:space="preserve">the ministerial declaration on innovative transport in rail freight corridors of the Berlin </w:t>
            </w:r>
            <w:r w:rsidRPr="00225E29">
              <w:rPr>
                <w:color w:val="000000"/>
              </w:rPr>
              <w:t>conference</w:t>
            </w:r>
            <w:r w:rsidRPr="00225E29">
              <w:t xml:space="preserve"> on 21 September 2020;</w:t>
            </w:r>
          </w:p>
          <w:p w14:paraId="64DD91E7" w14:textId="77777777" w:rsidR="005927EA" w:rsidRPr="00225E29" w:rsidRDefault="005927EA" w:rsidP="005927EA">
            <w:pPr>
              <w:pStyle w:val="Point123"/>
              <w:rPr>
                <w:color w:val="000000"/>
              </w:rPr>
            </w:pPr>
            <w:r w:rsidRPr="00225E29">
              <w:rPr>
                <w:color w:val="000000"/>
              </w:rPr>
              <w:t xml:space="preserve">the Commission communication of 9 December 2020 on a </w:t>
            </w:r>
            <w:proofErr w:type="spellStart"/>
            <w:r w:rsidRPr="00225E29">
              <w:rPr>
                <w:color w:val="000000"/>
              </w:rPr>
              <w:t>ʻSustainable</w:t>
            </w:r>
            <w:proofErr w:type="spellEnd"/>
            <w:r w:rsidRPr="00225E29">
              <w:rPr>
                <w:color w:val="000000"/>
              </w:rPr>
              <w:t xml:space="preserve"> and Smart Mobility Strategy – putting European transport on track for the </w:t>
            </w:r>
            <w:proofErr w:type="spellStart"/>
            <w:r w:rsidRPr="00225E29">
              <w:rPr>
                <w:color w:val="000000"/>
              </w:rPr>
              <w:t>futureʼ</w:t>
            </w:r>
            <w:proofErr w:type="spellEnd"/>
            <w:r w:rsidRPr="00F25357">
              <w:rPr>
                <w:b/>
                <w:bCs/>
                <w:color w:val="000000"/>
                <w:vertAlign w:val="superscript"/>
              </w:rPr>
              <w:footnoteReference w:id="12"/>
            </w:r>
            <w:r w:rsidRPr="00225E29">
              <w:rPr>
                <w:color w:val="000000"/>
              </w:rPr>
              <w:t>;</w:t>
            </w:r>
          </w:p>
          <w:p w14:paraId="233334DE" w14:textId="77777777" w:rsidR="005927EA" w:rsidRPr="00225E29" w:rsidRDefault="005927EA" w:rsidP="005927EA">
            <w:pPr>
              <w:pStyle w:val="Point123"/>
              <w:rPr>
                <w:color w:val="000000"/>
              </w:rPr>
            </w:pPr>
            <w:r w:rsidRPr="00225E29">
              <w:rPr>
                <w:color w:val="000000"/>
              </w:rPr>
              <w:t>Decision (EU) 2020/2228 of the European Parliament an</w:t>
            </w:r>
            <w:r>
              <w:rPr>
                <w:color w:val="000000"/>
              </w:rPr>
              <w:t>d of the Council of 23 December </w:t>
            </w:r>
            <w:r w:rsidRPr="00225E29">
              <w:rPr>
                <w:color w:val="000000"/>
              </w:rPr>
              <w:t>2020 on a European Year of Rail (2021)</w:t>
            </w:r>
            <w:r w:rsidRPr="00225E29">
              <w:rPr>
                <w:rStyle w:val="FootnoteReference"/>
                <w:color w:val="000000"/>
              </w:rPr>
              <w:footnoteReference w:id="13"/>
            </w:r>
            <w:r w:rsidRPr="00225E29">
              <w:rPr>
                <w:color w:val="000000"/>
              </w:rPr>
              <w:t>;</w:t>
            </w:r>
          </w:p>
          <w:p w14:paraId="7E7FFC57" w14:textId="77777777" w:rsidR="005927EA" w:rsidRPr="00225E29" w:rsidRDefault="005927EA" w:rsidP="005927EA">
            <w:pPr>
              <w:pStyle w:val="Point123"/>
              <w:rPr>
                <w:color w:val="000000"/>
              </w:rPr>
            </w:pPr>
            <w:r w:rsidRPr="00225E29">
              <w:rPr>
                <w:color w:val="000000"/>
              </w:rPr>
              <w:t>Regulation (EU) 2021/241 of the European Parliament an</w:t>
            </w:r>
            <w:r>
              <w:rPr>
                <w:color w:val="000000"/>
              </w:rPr>
              <w:t>d of the Council of 12 February </w:t>
            </w:r>
            <w:r w:rsidRPr="00225E29">
              <w:rPr>
                <w:color w:val="000000"/>
              </w:rPr>
              <w:t xml:space="preserve">2021 establishing the Recovery and </w:t>
            </w:r>
            <w:r w:rsidRPr="00225E29">
              <w:rPr>
                <w:color w:val="000000"/>
              </w:rPr>
              <w:lastRenderedPageBreak/>
              <w:t>Resilience Facility</w:t>
            </w:r>
            <w:r w:rsidRPr="00225E29">
              <w:rPr>
                <w:rFonts w:ascii="Times New Roman Bold" w:hAnsi="Times New Roman Bold"/>
                <w:b/>
                <w:vertAlign w:val="superscript"/>
              </w:rPr>
              <w:footnoteReference w:id="14"/>
            </w:r>
            <w:r w:rsidRPr="00225E29">
              <w:rPr>
                <w:color w:val="000000"/>
              </w:rPr>
              <w:t xml:space="preserve">, and to the forthcoming adoption of a second Regulation establishing </w:t>
            </w:r>
            <w:r w:rsidRPr="00F25357">
              <w:rPr>
                <w:bCs/>
              </w:rPr>
              <w:t>the Connecting Europe Facility;</w:t>
            </w:r>
          </w:p>
          <w:p w14:paraId="0F0091B1" w14:textId="77777777" w:rsidR="005927EA" w:rsidRPr="00225E29" w:rsidRDefault="005927EA" w:rsidP="005927EA">
            <w:pPr>
              <w:pStyle w:val="Point123"/>
              <w:rPr>
                <w:color w:val="000000"/>
              </w:rPr>
            </w:pPr>
            <w:r>
              <w:br w:type="page"/>
            </w:r>
            <w:r w:rsidRPr="00F25357">
              <w:t xml:space="preserve">the </w:t>
            </w:r>
            <w:r w:rsidRPr="00225E29">
              <w:t xml:space="preserve">European Economic and Social </w:t>
            </w:r>
            <w:proofErr w:type="spellStart"/>
            <w:r w:rsidRPr="00225E29">
              <w:t>Committeeʼs</w:t>
            </w:r>
            <w:proofErr w:type="spellEnd"/>
            <w:r w:rsidRPr="00225E29">
              <w:t xml:space="preserve"> exploratory opinion of 24 March 2021 on </w:t>
            </w:r>
            <w:proofErr w:type="spellStart"/>
            <w:r w:rsidRPr="00225E29">
              <w:t>ʻThe</w:t>
            </w:r>
            <w:proofErr w:type="spellEnd"/>
            <w:r w:rsidRPr="00225E29">
              <w:t xml:space="preserve"> Single European Railway </w:t>
            </w:r>
            <w:proofErr w:type="spellStart"/>
            <w:r w:rsidRPr="00225E29">
              <w:t>Areaʼ</w:t>
            </w:r>
            <w:proofErr w:type="spellEnd"/>
            <w:r w:rsidRPr="00225E29">
              <w:t xml:space="preserve"> requested by the Portuguese Presidency</w:t>
            </w:r>
            <w:r w:rsidRPr="00225E29">
              <w:rPr>
                <w:rStyle w:val="FootnoteReference"/>
              </w:rPr>
              <w:footnoteReference w:id="15"/>
            </w:r>
            <w:r w:rsidRPr="00225E29">
              <w:rPr>
                <w:color w:val="000000"/>
              </w:rPr>
              <w:t>;</w:t>
            </w:r>
          </w:p>
          <w:p w14:paraId="23E1DEFC" w14:textId="4C59FD7F" w:rsidR="005927EA" w:rsidRDefault="005927EA" w:rsidP="005927EA">
            <w:pPr>
              <w:pStyle w:val="Point123"/>
              <w:rPr>
                <w:color w:val="000000"/>
              </w:rPr>
            </w:pPr>
            <w:r w:rsidRPr="00225E29">
              <w:rPr>
                <w:color w:val="000000"/>
              </w:rPr>
              <w:t>the EU transport ministers</w:t>
            </w:r>
            <w:r>
              <w:rPr>
                <w:color w:val="000000"/>
              </w:rPr>
              <w:t>’</w:t>
            </w:r>
            <w:r w:rsidRPr="00225E29">
              <w:rPr>
                <w:color w:val="000000"/>
              </w:rPr>
              <w:t xml:space="preserve"> informal video conference of 30 March 2021, where ministers took a stance on the Portuguese Presidency’s non-paper </w:t>
            </w:r>
            <w:proofErr w:type="spellStart"/>
            <w:r w:rsidRPr="00225E29">
              <w:rPr>
                <w:color w:val="000000"/>
              </w:rPr>
              <w:t>ʻHow</w:t>
            </w:r>
            <w:proofErr w:type="spellEnd"/>
            <w:r w:rsidRPr="00225E29">
              <w:rPr>
                <w:color w:val="000000"/>
              </w:rPr>
              <w:t xml:space="preserve"> to Accelerate Modal Shift to Rail: different paths to a common </w:t>
            </w:r>
            <w:proofErr w:type="spellStart"/>
            <w:r w:rsidRPr="00225E29">
              <w:rPr>
                <w:color w:val="000000"/>
              </w:rPr>
              <w:t>goalʼ</w:t>
            </w:r>
            <w:proofErr w:type="spellEnd"/>
            <w:r w:rsidRPr="00225E29">
              <w:rPr>
                <w:color w:val="000000"/>
              </w:rPr>
              <w:t xml:space="preserve">, </w:t>
            </w:r>
          </w:p>
          <w:p w14:paraId="335ECE93" w14:textId="4A9532C7" w:rsidR="005927EA" w:rsidRPr="005927EA" w:rsidRDefault="00F01C12" w:rsidP="005927EA">
            <w:pPr>
              <w:pStyle w:val="Point123"/>
              <w:rPr>
                <w:color w:val="000000"/>
              </w:rPr>
            </w:pPr>
            <w:r>
              <w:rPr>
                <w:color w:val="FF0000"/>
              </w:rPr>
              <w:t xml:space="preserve">Commission </w:t>
            </w:r>
            <w:r w:rsidR="005927EA">
              <w:rPr>
                <w:color w:val="FF0000"/>
              </w:rPr>
              <w:t>Regulation 1371/2007 on rail passengers rights;</w:t>
            </w:r>
          </w:p>
          <w:p w14:paraId="7CDECE2F" w14:textId="68A4DD3E" w:rsidR="005927EA" w:rsidRPr="00F01C12" w:rsidRDefault="00F01C12" w:rsidP="005927EA">
            <w:pPr>
              <w:pStyle w:val="Point123"/>
              <w:rPr>
                <w:color w:val="000000"/>
              </w:rPr>
            </w:pPr>
            <w:r w:rsidRPr="00F01C12">
              <w:rPr>
                <w:color w:val="FF0000"/>
              </w:rPr>
              <w:t>Commission Regulation (EU) No 1300/2014 of 18 November 2014 on the technical specifications for interoperability relating to accessibility of the Union's rail system for persons with disabilities and persons with reduced mobility</w:t>
            </w:r>
            <w:r>
              <w:rPr>
                <w:color w:val="FF0000"/>
              </w:rPr>
              <w:t>;</w:t>
            </w:r>
          </w:p>
          <w:p w14:paraId="17C87336" w14:textId="0BC6997B" w:rsidR="00F01C12" w:rsidRDefault="00F01C12" w:rsidP="005927EA">
            <w:pPr>
              <w:pStyle w:val="Point123"/>
              <w:rPr>
                <w:color w:val="FF0000"/>
              </w:rPr>
            </w:pPr>
            <w:r w:rsidRPr="00F01C12">
              <w:rPr>
                <w:color w:val="FF0000"/>
              </w:rPr>
              <w:t xml:space="preserve">Regulation (EU) No 283/2014 of the European Parliament and of the Council of 11 March 2014 on </w:t>
            </w:r>
            <w:r w:rsidRPr="00F01C12">
              <w:rPr>
                <w:color w:val="FF0000"/>
              </w:rPr>
              <w:lastRenderedPageBreak/>
              <w:t>guidelines for trans-European networks in the area of telecommunications infrastructure</w:t>
            </w:r>
          </w:p>
          <w:p w14:paraId="5CFABF66" w14:textId="4381149D" w:rsidR="00F01C12" w:rsidRPr="00F01C12" w:rsidRDefault="00F01C12" w:rsidP="005927EA">
            <w:pPr>
              <w:pStyle w:val="Point123"/>
              <w:rPr>
                <w:color w:val="FF0000"/>
              </w:rPr>
            </w:pPr>
            <w:r>
              <w:rPr>
                <w:color w:val="FF0000"/>
              </w:rPr>
              <w:t>Article 9 of the United Nations Convention on the Rights of Persons with Disabilities (UNCRPD)</w:t>
            </w:r>
          </w:p>
          <w:p w14:paraId="2B343F6B" w14:textId="77777777" w:rsidR="005927EA" w:rsidRPr="00225E29" w:rsidRDefault="005927EA" w:rsidP="005927EA">
            <w:pPr>
              <w:jc w:val="both"/>
            </w:pPr>
            <w:r w:rsidRPr="00225E29">
              <w:t>THE COUNCIL OF THE EUROPEAN UNION</w:t>
            </w:r>
          </w:p>
          <w:p w14:paraId="0E71A57F" w14:textId="77777777" w:rsidR="005927EA" w:rsidRPr="00F25357" w:rsidRDefault="005927EA" w:rsidP="005927EA">
            <w:pPr>
              <w:pStyle w:val="Point123"/>
            </w:pPr>
            <w:r w:rsidRPr="00F25357">
              <w:t xml:space="preserve">NOTES that the </w:t>
            </w:r>
            <w:proofErr w:type="spellStart"/>
            <w:r w:rsidRPr="00F25357">
              <w:t>EUʼs</w:t>
            </w:r>
            <w:proofErr w:type="spellEnd"/>
            <w:r w:rsidRPr="00F25357">
              <w:t xml:space="preserve"> railway systems have undergone fundamental regulatory </w:t>
            </w:r>
            <w:r>
              <w:t>reforms</w:t>
            </w:r>
            <w:r w:rsidRPr="00F25357">
              <w:t xml:space="preserve"> through four legislative packages </w:t>
            </w:r>
            <w:r w:rsidRPr="00044545">
              <w:t>adopted</w:t>
            </w:r>
            <w:r>
              <w:t xml:space="preserve"> in 2001, 2004, 2007 and 2016. </w:t>
            </w:r>
            <w:r w:rsidRPr="00F25357">
              <w:t xml:space="preserve">WELCOMES the positive effects of these </w:t>
            </w:r>
            <w:r>
              <w:t>reforms</w:t>
            </w:r>
            <w:r w:rsidRPr="00F25357">
              <w:t xml:space="preserve"> in </w:t>
            </w:r>
            <w:r>
              <w:t>market opening</w:t>
            </w:r>
            <w:r w:rsidRPr="00F25357">
              <w:t xml:space="preserve"> and technical harmonisation that have been partially achieved and are partially awaited;</w:t>
            </w:r>
          </w:p>
          <w:p w14:paraId="38E6A066" w14:textId="77777777" w:rsidR="005927EA" w:rsidRPr="00F25357" w:rsidRDefault="005927EA" w:rsidP="005927EA">
            <w:pPr>
              <w:pStyle w:val="Point123"/>
            </w:pPr>
            <w:r w:rsidRPr="00F25357">
              <w:t xml:space="preserve">ACKNOWLEDGES that the regulatory framework at EU and national level is highly complex </w:t>
            </w:r>
            <w:r>
              <w:t xml:space="preserve">and diverse, </w:t>
            </w:r>
            <w:r w:rsidRPr="00F25357">
              <w:t xml:space="preserve">and UNDERLINES that further </w:t>
            </w:r>
            <w:r>
              <w:t>efforts</w:t>
            </w:r>
            <w:r w:rsidRPr="00F25357">
              <w:t xml:space="preserve"> need to be undertaken to </w:t>
            </w:r>
            <w:r>
              <w:t xml:space="preserve">ensure the economic and operational benefits of harmonisation, in particular for cross-border rail services, while acknowledging </w:t>
            </w:r>
            <w:r w:rsidRPr="00F25357">
              <w:t xml:space="preserve">the </w:t>
            </w:r>
            <w:r w:rsidRPr="00044545">
              <w:t>different</w:t>
            </w:r>
            <w:r w:rsidRPr="00F25357">
              <w:t xml:space="preserve"> starting points in the Member States</w:t>
            </w:r>
            <w:r>
              <w:t xml:space="preserve"> and</w:t>
            </w:r>
            <w:r w:rsidRPr="00F25357">
              <w:t xml:space="preserve"> their varying organisational structures;</w:t>
            </w:r>
          </w:p>
          <w:p w14:paraId="02A449CB" w14:textId="6633A633" w:rsidR="005927EA" w:rsidRPr="00F25357" w:rsidRDefault="005927EA" w:rsidP="005927EA">
            <w:pPr>
              <w:pStyle w:val="Point123"/>
            </w:pPr>
            <w:r w:rsidRPr="00F25357">
              <w:lastRenderedPageBreak/>
              <w:t xml:space="preserve">STRESSES that further technical harmonisation </w:t>
            </w:r>
            <w:r>
              <w:t>in view of increased interoperability</w:t>
            </w:r>
            <w:r w:rsidR="00F01C12">
              <w:t xml:space="preserve"> </w:t>
            </w:r>
            <w:r w:rsidR="00F01C12">
              <w:rPr>
                <w:color w:val="FF0000"/>
              </w:rPr>
              <w:t>and accessibility</w:t>
            </w:r>
            <w:r>
              <w:t xml:space="preserve"> of national networks </w:t>
            </w:r>
            <w:r w:rsidRPr="00F25357">
              <w:t xml:space="preserve">will support the single market for </w:t>
            </w:r>
            <w:r>
              <w:t>international rail services,</w:t>
            </w:r>
            <w:r w:rsidRPr="00F25357">
              <w:t xml:space="preserve"> </w:t>
            </w:r>
            <w:r>
              <w:t xml:space="preserve">the Union </w:t>
            </w:r>
            <w:proofErr w:type="spellStart"/>
            <w:r>
              <w:t>rail</w:t>
            </w:r>
            <w:r w:rsidRPr="00F25357">
              <w:t>systems</w:t>
            </w:r>
            <w:proofErr w:type="spellEnd"/>
            <w:r w:rsidRPr="00F25357">
              <w:t xml:space="preserve">, </w:t>
            </w:r>
            <w:r>
              <w:t xml:space="preserve">will </w:t>
            </w:r>
            <w:r w:rsidRPr="00F25357">
              <w:t xml:space="preserve">improve efficiency and strengthen the </w:t>
            </w:r>
            <w:r>
              <w:t>Union</w:t>
            </w:r>
            <w:r w:rsidRPr="00F25357">
              <w:t xml:space="preserve"> industrial base. LOOKS FORWARD, therefore, to Horizon Europe’s next Rail Joint Undertaking which should play a vital role in research on the new digital technologies in rail, thereby delivering a coordinated approach with the sector to the overall evolution of the rail</w:t>
            </w:r>
            <w:r>
              <w:t>way</w:t>
            </w:r>
            <w:r w:rsidRPr="00F25357">
              <w:t xml:space="preserve"> system</w:t>
            </w:r>
            <w:r>
              <w:t>s</w:t>
            </w:r>
            <w:r w:rsidRPr="00F25357">
              <w:t>;</w:t>
            </w:r>
          </w:p>
          <w:p w14:paraId="73AF90F6" w14:textId="39439479" w:rsidR="005927EA" w:rsidRDefault="005927EA" w:rsidP="005927EA">
            <w:pPr>
              <w:pStyle w:val="Point123"/>
            </w:pPr>
            <w:r w:rsidRPr="00F25357">
              <w:t>CONSIDERS that the need both to strive for climate-neutral, environmentally friendly</w:t>
            </w:r>
            <w:r w:rsidRPr="00F01C12">
              <w:rPr>
                <w:rStyle w:val="FootnoteReference"/>
                <w:color w:val="FF0000"/>
              </w:rPr>
              <w:footnoteReference w:id="16"/>
            </w:r>
            <w:r w:rsidR="00F01C12" w:rsidRPr="00F01C12">
              <w:rPr>
                <w:color w:val="FF0000"/>
              </w:rPr>
              <w:t>,</w:t>
            </w:r>
            <w:r w:rsidRPr="00F01C12">
              <w:rPr>
                <w:color w:val="FF0000"/>
              </w:rPr>
              <w:t xml:space="preserve"> </w:t>
            </w:r>
            <w:r w:rsidR="00F01C12" w:rsidRPr="00F01C12">
              <w:rPr>
                <w:color w:val="FF0000"/>
              </w:rPr>
              <w:t xml:space="preserve">and accessible </w:t>
            </w:r>
            <w:r w:rsidRPr="00F25357">
              <w:t>mobility and to ensure a resilient and interconnected transport system in times of crisis, as shown during the COVID-19 pandemic, places railways in a key position within the future transport offer;</w:t>
            </w:r>
          </w:p>
          <w:p w14:paraId="3159319F" w14:textId="0EFC6D61" w:rsidR="005927EA" w:rsidRPr="00F25357" w:rsidRDefault="005927EA" w:rsidP="005927EA">
            <w:pPr>
              <w:pStyle w:val="Point123"/>
            </w:pPr>
            <w:r>
              <w:br w:type="page"/>
            </w:r>
            <w:r w:rsidRPr="00F25357">
              <w:t>UNDERLINES the importance of a</w:t>
            </w:r>
            <w:r>
              <w:t xml:space="preserve"> continuous </w:t>
            </w:r>
            <w:r w:rsidRPr="00F25357">
              <w:t>dialogue between public entities, employers, workers and rail transport users</w:t>
            </w:r>
            <w:r w:rsidR="00F01C12">
              <w:t xml:space="preserve">, </w:t>
            </w:r>
            <w:r w:rsidR="00F01C12" w:rsidRPr="00F01C12">
              <w:rPr>
                <w:color w:val="FF0000"/>
              </w:rPr>
              <w:t>including persons with disabilities,</w:t>
            </w:r>
            <w:r w:rsidRPr="00F25357">
              <w:t xml:space="preserve"> in order to ensure that </w:t>
            </w:r>
            <w:r w:rsidRPr="00F25357">
              <w:lastRenderedPageBreak/>
              <w:t>everyone enjoys</w:t>
            </w:r>
            <w:r>
              <w:t xml:space="preserve"> the benefits of rail transport;</w:t>
            </w:r>
          </w:p>
          <w:p w14:paraId="45D15BBB" w14:textId="77777777" w:rsidR="005927EA" w:rsidRPr="00F25357" w:rsidRDefault="005927EA" w:rsidP="005927EA">
            <w:pPr>
              <w:pStyle w:val="PointManual"/>
              <w:rPr>
                <w:b/>
                <w:bCs/>
              </w:rPr>
            </w:pPr>
            <w:r w:rsidRPr="00F25357">
              <w:rPr>
                <w:b/>
                <w:bCs/>
              </w:rPr>
              <w:t xml:space="preserve">I. </w:t>
            </w:r>
            <w:r w:rsidRPr="00F25357">
              <w:rPr>
                <w:b/>
                <w:bCs/>
              </w:rPr>
              <w:tab/>
              <w:t>Modal shift</w:t>
            </w:r>
          </w:p>
          <w:p w14:paraId="0BB8ECE7" w14:textId="77777777" w:rsidR="005927EA" w:rsidRPr="00F25357" w:rsidRDefault="005927EA" w:rsidP="005927EA">
            <w:pPr>
              <w:pStyle w:val="Point123"/>
            </w:pPr>
            <w:r w:rsidRPr="00F25357">
              <w:t>STRESSES that rail transport is responsible for just 0.4% of transport-caused CO</w:t>
            </w:r>
            <w:r w:rsidRPr="00F25357">
              <w:rPr>
                <w:vertAlign w:val="subscript"/>
              </w:rPr>
              <w:t>2</w:t>
            </w:r>
            <w:r w:rsidRPr="00F25357">
              <w:t xml:space="preserve"> emissions, despite having a share of 8% of passenger transport and 19% of freight transport across Europe. For that reason, a modal shift to rail is the most effective way to decarbonise transport;</w:t>
            </w:r>
          </w:p>
          <w:p w14:paraId="506516D6" w14:textId="77777777" w:rsidR="005927EA" w:rsidRPr="00F25357" w:rsidRDefault="005927EA" w:rsidP="005927EA">
            <w:pPr>
              <w:pStyle w:val="Point123"/>
            </w:pPr>
            <w:r w:rsidRPr="00F25357">
              <w:t xml:space="preserve">NOTES that the considerable efforts towards market opening </w:t>
            </w:r>
            <w:r>
              <w:t xml:space="preserve">and technical harmonisation </w:t>
            </w:r>
            <w:r w:rsidRPr="00F25357">
              <w:t xml:space="preserve">undertaken to date have stabilised the share of railway </w:t>
            </w:r>
            <w:r>
              <w:t xml:space="preserve">transport </w:t>
            </w:r>
            <w:r w:rsidRPr="00F25357">
              <w:t xml:space="preserve">services in a fast-growing market in which customer expectations have also increasingly grown, but that a </w:t>
            </w:r>
            <w:r>
              <w:t>marked</w:t>
            </w:r>
            <w:r w:rsidRPr="00F25357">
              <w:t xml:space="preserve"> shift to rail has not yet been achieved, despite the progress made in individual market segments;</w:t>
            </w:r>
          </w:p>
          <w:p w14:paraId="5129DD11" w14:textId="73071A7E" w:rsidR="005927EA" w:rsidRDefault="005927EA" w:rsidP="005927EA">
            <w:pPr>
              <w:pStyle w:val="Point123"/>
            </w:pPr>
            <w:r w:rsidRPr="00F25357">
              <w:t xml:space="preserve">ACKNOWLEDGES that making progress towards this goal will require a significant enlargement and improvement of rail networks and </w:t>
            </w:r>
            <w:r>
              <w:t xml:space="preserve">of rail </w:t>
            </w:r>
            <w:r w:rsidRPr="00F25357">
              <w:t xml:space="preserve">services </w:t>
            </w:r>
            <w:r w:rsidRPr="00225E29">
              <w:t>centred</w:t>
            </w:r>
            <w:r w:rsidRPr="00F25357">
              <w:t xml:space="preserve"> on </w:t>
            </w:r>
            <w:proofErr w:type="spellStart"/>
            <w:r w:rsidRPr="00F25357">
              <w:t>customersʼ</w:t>
            </w:r>
            <w:proofErr w:type="spellEnd"/>
            <w:r w:rsidRPr="00F25357">
              <w:t xml:space="preserve"> needs</w:t>
            </w:r>
            <w:r>
              <w:t>; it will require</w:t>
            </w:r>
            <w:r w:rsidRPr="00F25357">
              <w:t xml:space="preserve"> growth in rail traffic volumes </w:t>
            </w:r>
            <w:r>
              <w:t xml:space="preserve">that </w:t>
            </w:r>
            <w:r w:rsidRPr="00F25357">
              <w:t>outpace</w:t>
            </w:r>
            <w:r>
              <w:t>s</w:t>
            </w:r>
            <w:r w:rsidRPr="00F25357">
              <w:t xml:space="preserve"> overall economic growth;</w:t>
            </w:r>
          </w:p>
          <w:p w14:paraId="7290589E" w14:textId="169CCC16" w:rsidR="00F01C12" w:rsidRPr="00F25357" w:rsidRDefault="00F01C12" w:rsidP="005927EA">
            <w:pPr>
              <w:pStyle w:val="Point123"/>
            </w:pPr>
            <w:r>
              <w:rPr>
                <w:color w:val="FF0000"/>
              </w:rPr>
              <w:lastRenderedPageBreak/>
              <w:t>S</w:t>
            </w:r>
            <w:r w:rsidR="006C06BA">
              <w:rPr>
                <w:color w:val="FF0000"/>
              </w:rPr>
              <w:t>TRESSES</w:t>
            </w:r>
            <w:r>
              <w:rPr>
                <w:color w:val="FF0000"/>
              </w:rPr>
              <w:t xml:space="preserve"> that to achieve an increase of passengers numbers rail </w:t>
            </w:r>
            <w:r w:rsidR="006C06BA">
              <w:rPr>
                <w:color w:val="FF0000"/>
              </w:rPr>
              <w:t>infrastructure</w:t>
            </w:r>
            <w:r>
              <w:rPr>
                <w:color w:val="FF0000"/>
              </w:rPr>
              <w:t xml:space="preserve"> and rolling stock need to become more accessible for persons with reduced mobility and persons with disabilities and become more user friendly in general.</w:t>
            </w:r>
          </w:p>
          <w:p w14:paraId="4E12C066" w14:textId="77777777" w:rsidR="005927EA" w:rsidRPr="00F25357" w:rsidRDefault="005927EA" w:rsidP="005927EA">
            <w:pPr>
              <w:pStyle w:val="Point123"/>
            </w:pPr>
            <w:r w:rsidRPr="00F25357">
              <w:t xml:space="preserve">CONSIDERS IT IMPORTANT for regular policy evaluations which </w:t>
            </w:r>
            <w:r w:rsidRPr="00225E29">
              <w:t>measure the degree of effective market opening</w:t>
            </w:r>
            <w:r w:rsidRPr="00F25357">
              <w:t xml:space="preserve"> </w:t>
            </w:r>
            <w:r>
              <w:t xml:space="preserve">and technical harmonisation </w:t>
            </w:r>
            <w:r w:rsidRPr="00F25357">
              <w:t>to be supplemented by analysis of policy impacts on the modal shift, economic and social cohesion, environmental performance, system efficiency, service levels as well as working conditions;</w:t>
            </w:r>
          </w:p>
          <w:p w14:paraId="406BE01F" w14:textId="77777777" w:rsidR="005927EA" w:rsidRPr="00F25357" w:rsidRDefault="005927EA" w:rsidP="005927EA">
            <w:pPr>
              <w:pStyle w:val="Point123"/>
            </w:pPr>
            <w:r w:rsidRPr="00F25357">
              <w:t xml:space="preserve">WELCOMES, in this context, the initiatives underway to produce a forward-looking and more operational analysis of the modal shift, by </w:t>
            </w:r>
            <w:r>
              <w:t>assessing</w:t>
            </w:r>
            <w:r w:rsidRPr="00F25357">
              <w:t xml:space="preserve"> progress possible under given conditions and assuming specific improvements in infrastructure quality and connectivity, as well as the </w:t>
            </w:r>
            <w:proofErr w:type="spellStart"/>
            <w:r w:rsidRPr="00F25357">
              <w:t>Commissionʼs</w:t>
            </w:r>
            <w:proofErr w:type="spellEnd"/>
            <w:r w:rsidRPr="00F25357">
              <w:t xml:space="preserve"> commitment to deve</w:t>
            </w:r>
            <w:r>
              <w:t xml:space="preserve">lop a </w:t>
            </w:r>
            <w:proofErr w:type="spellStart"/>
            <w:r>
              <w:t>ʻrail</w:t>
            </w:r>
            <w:proofErr w:type="spellEnd"/>
            <w:r>
              <w:t xml:space="preserve"> connectivity </w:t>
            </w:r>
            <w:proofErr w:type="spellStart"/>
            <w:r>
              <w:t>indexʼ</w:t>
            </w:r>
            <w:proofErr w:type="spellEnd"/>
            <w:r>
              <w:t>;</w:t>
            </w:r>
          </w:p>
          <w:p w14:paraId="0581E1A7" w14:textId="77777777" w:rsidR="005927EA" w:rsidRPr="00F25357" w:rsidRDefault="005927EA" w:rsidP="005927EA">
            <w:pPr>
              <w:pStyle w:val="PointManual"/>
              <w:rPr>
                <w:b/>
                <w:bCs/>
              </w:rPr>
            </w:pPr>
            <w:r>
              <w:rPr>
                <w:b/>
                <w:bCs/>
              </w:rPr>
              <w:br w:type="page"/>
            </w:r>
            <w:r w:rsidRPr="00F25357">
              <w:rPr>
                <w:b/>
                <w:bCs/>
              </w:rPr>
              <w:t xml:space="preserve">II. </w:t>
            </w:r>
            <w:r w:rsidRPr="00F25357">
              <w:rPr>
                <w:b/>
                <w:bCs/>
              </w:rPr>
              <w:tab/>
              <w:t>Resilience and connectivity</w:t>
            </w:r>
          </w:p>
          <w:p w14:paraId="62BA75B8" w14:textId="77777777" w:rsidR="005927EA" w:rsidRPr="00F25357" w:rsidRDefault="005927EA" w:rsidP="005927EA">
            <w:pPr>
              <w:pStyle w:val="Point123"/>
            </w:pPr>
            <w:r w:rsidRPr="00F25357">
              <w:t xml:space="preserve">NOTES that transport, including rail, has been one of the sectors hit hardest </w:t>
            </w:r>
            <w:r w:rsidRPr="00F25357">
              <w:lastRenderedPageBreak/>
              <w:t>by the COVID-19 pandemic, with economic damage caused by steep reductions in travel and tourism, supply chain disruptions, income loss to railway operators, and with reduced conne</w:t>
            </w:r>
            <w:r>
              <w:t>ctivity across the EU</w:t>
            </w:r>
            <w:r w:rsidRPr="00F25357">
              <w:t xml:space="preserve">. This has also delayed or blocked projects for new </w:t>
            </w:r>
            <w:r>
              <w:t xml:space="preserve">investment and </w:t>
            </w:r>
            <w:r w:rsidRPr="00F25357">
              <w:t>services</w:t>
            </w:r>
            <w:r>
              <w:t>, in particular</w:t>
            </w:r>
            <w:r w:rsidRPr="00F25357">
              <w:t xml:space="preserve"> in passenger transport</w:t>
            </w:r>
            <w:r>
              <w:t>;</w:t>
            </w:r>
          </w:p>
          <w:p w14:paraId="2642FA93" w14:textId="77777777" w:rsidR="005927EA" w:rsidRPr="00225E29" w:rsidRDefault="005927EA" w:rsidP="005927EA">
            <w:pPr>
              <w:pStyle w:val="Point123"/>
            </w:pPr>
            <w:r w:rsidRPr="00225E29">
              <w:t xml:space="preserve">NOTES that state intervention has on </w:t>
            </w:r>
            <w:r>
              <w:t>many</w:t>
            </w:r>
            <w:r w:rsidRPr="004A2418">
              <w:t xml:space="preserve"> occasions prevented the rail system from collapsing, </w:t>
            </w:r>
            <w:r>
              <w:t xml:space="preserve">thereby </w:t>
            </w:r>
            <w:r w:rsidRPr="004A2418">
              <w:t>ensuring the survival of this essential service and public good</w:t>
            </w:r>
            <w:r>
              <w:t>;</w:t>
            </w:r>
          </w:p>
          <w:p w14:paraId="72938E00" w14:textId="77777777" w:rsidR="005927EA" w:rsidRPr="00F25357" w:rsidRDefault="005927EA" w:rsidP="005927EA">
            <w:pPr>
              <w:pStyle w:val="Point123"/>
            </w:pPr>
            <w:r w:rsidRPr="00F25357">
              <w:t xml:space="preserve">CONSIDERS that this crisis has </w:t>
            </w:r>
            <w:r>
              <w:t>had</w:t>
            </w:r>
            <w:r w:rsidRPr="00A31495">
              <w:t xml:space="preserve"> </w:t>
            </w:r>
            <w:r>
              <w:t>one</w:t>
            </w:r>
            <w:r w:rsidRPr="00A31495">
              <w:t xml:space="preserve"> positive consequence,</w:t>
            </w:r>
            <w:r>
              <w:t xml:space="preserve"> at least, by exposing</w:t>
            </w:r>
            <w:r w:rsidRPr="00F25357">
              <w:t xml:space="preserve"> the need to </w:t>
            </w:r>
            <w:r>
              <w:t>strengthen</w:t>
            </w:r>
            <w:r w:rsidRPr="00F25357">
              <w:t xml:space="preserve"> resilience and contingency measures and to improve </w:t>
            </w:r>
            <w:r>
              <w:t xml:space="preserve">availability, </w:t>
            </w:r>
            <w:r w:rsidRPr="00F25357">
              <w:t xml:space="preserve">coherence and coordination </w:t>
            </w:r>
            <w:r>
              <w:t>i</w:t>
            </w:r>
            <w:r w:rsidRPr="00F25357">
              <w:t xml:space="preserve">n the </w:t>
            </w:r>
            <w:r>
              <w:t xml:space="preserve">rail </w:t>
            </w:r>
            <w:r w:rsidRPr="00F25357">
              <w:t>network and give higher priority to the development of cross-border infrastructure</w:t>
            </w:r>
            <w:r>
              <w:t>;</w:t>
            </w:r>
          </w:p>
          <w:p w14:paraId="21BB8379" w14:textId="77777777" w:rsidR="005927EA" w:rsidRPr="00F25357" w:rsidRDefault="005927EA" w:rsidP="005927EA">
            <w:pPr>
              <w:pStyle w:val="PointManual"/>
              <w:rPr>
                <w:b/>
                <w:bCs/>
              </w:rPr>
            </w:pPr>
            <w:r w:rsidRPr="00F25357">
              <w:rPr>
                <w:b/>
                <w:bCs/>
              </w:rPr>
              <w:t xml:space="preserve">III. </w:t>
            </w:r>
            <w:r w:rsidRPr="00F25357">
              <w:rPr>
                <w:b/>
                <w:bCs/>
              </w:rPr>
              <w:tab/>
              <w:t>European rail passenger transport</w:t>
            </w:r>
          </w:p>
          <w:p w14:paraId="31AF7AF8" w14:textId="77777777" w:rsidR="005927EA" w:rsidRPr="00F25357" w:rsidRDefault="005927EA" w:rsidP="005927EA">
            <w:pPr>
              <w:pStyle w:val="Point123"/>
            </w:pPr>
            <w:r w:rsidRPr="00F25357">
              <w:t xml:space="preserve">EMPHASISES that while the share of international rail passenger transport </w:t>
            </w:r>
            <w:r>
              <w:t>with</w:t>
            </w:r>
            <w:r w:rsidRPr="00F25357">
              <w:t xml:space="preserve">in the overall EU rail passenger market is still very low (7%), there are encouraging signs from </w:t>
            </w:r>
            <w:r w:rsidRPr="00A31495">
              <w:t xml:space="preserve">both </w:t>
            </w:r>
            <w:r w:rsidRPr="00F25357">
              <w:t xml:space="preserve">the supply and the demand side </w:t>
            </w:r>
            <w:r>
              <w:t>which suggest</w:t>
            </w:r>
            <w:r w:rsidRPr="00F25357">
              <w:t xml:space="preserve"> that a considerable increase is </w:t>
            </w:r>
            <w:r w:rsidRPr="00225E29">
              <w:lastRenderedPageBreak/>
              <w:t>possible</w:t>
            </w:r>
            <w:r w:rsidRPr="00F25357">
              <w:t xml:space="preserve"> over the next decade. The projects aiming </w:t>
            </w:r>
            <w:r>
              <w:t>to revive</w:t>
            </w:r>
            <w:r w:rsidRPr="00F25357">
              <w:t xml:space="preserve"> European night trains are emblematic </w:t>
            </w:r>
            <w:r>
              <w:t>of</w:t>
            </w:r>
            <w:r w:rsidRPr="00F25357">
              <w:t xml:space="preserve"> the apparent enthusiasm and </w:t>
            </w:r>
            <w:r w:rsidRPr="00225E29">
              <w:t>entrepreneurial</w:t>
            </w:r>
            <w:r w:rsidRPr="00F25357">
              <w:t xml:space="preserve"> spirit</w:t>
            </w:r>
            <w:r>
              <w:t>;</w:t>
            </w:r>
          </w:p>
          <w:p w14:paraId="340D56E8" w14:textId="77777777" w:rsidR="005927EA" w:rsidRPr="00F25357" w:rsidRDefault="005927EA" w:rsidP="005927EA">
            <w:pPr>
              <w:pStyle w:val="Point123"/>
            </w:pPr>
            <w:r w:rsidRPr="00F25357">
              <w:t xml:space="preserve">NOTICES </w:t>
            </w:r>
            <w:r>
              <w:t>wide variations</w:t>
            </w:r>
            <w:r w:rsidRPr="00F25357">
              <w:t xml:space="preserve"> in </w:t>
            </w:r>
            <w:r>
              <w:t xml:space="preserve">how </w:t>
            </w:r>
            <w:r w:rsidRPr="00F25357">
              <w:t>international railway passenger services</w:t>
            </w:r>
            <w:r>
              <w:t>,</w:t>
            </w:r>
            <w:r w:rsidRPr="00F25357">
              <w:t xml:space="preserve"> infrastructure </w:t>
            </w:r>
            <w:r>
              <w:t xml:space="preserve">and </w:t>
            </w:r>
            <w:r w:rsidRPr="00F25357">
              <w:t xml:space="preserve">networks </w:t>
            </w:r>
            <w:r>
              <w:t xml:space="preserve">are developed </w:t>
            </w:r>
            <w:r w:rsidRPr="00F25357">
              <w:t>in different parts of Europe</w:t>
            </w:r>
            <w:r>
              <w:t>,</w:t>
            </w:r>
            <w:r w:rsidRPr="00F25357">
              <w:t xml:space="preserve"> </w:t>
            </w:r>
            <w:r>
              <w:t>as a result</w:t>
            </w:r>
            <w:r w:rsidRPr="00F25357">
              <w:t xml:space="preserve"> </w:t>
            </w:r>
            <w:r w:rsidRPr="00F25357">
              <w:rPr>
                <w:i/>
                <w:iCs/>
              </w:rPr>
              <w:t>inter alia</w:t>
            </w:r>
            <w:r w:rsidRPr="00F25357">
              <w:t xml:space="preserve"> o</w:t>
            </w:r>
            <w:r>
              <w:t>f</w:t>
            </w:r>
            <w:r w:rsidRPr="00F25357">
              <w:t xml:space="preserve"> customer demand, geography, population density, and economic integration between cross-border regions</w:t>
            </w:r>
            <w:r>
              <w:t>;</w:t>
            </w:r>
          </w:p>
          <w:p w14:paraId="7ECBE1D0" w14:textId="77777777" w:rsidR="005927EA" w:rsidRPr="00F25357" w:rsidRDefault="005927EA" w:rsidP="005927EA">
            <w:pPr>
              <w:pStyle w:val="Point123"/>
            </w:pPr>
            <w:r w:rsidRPr="00F25357">
              <w:t xml:space="preserve">WELCOMES the creation of, and </w:t>
            </w:r>
            <w:r>
              <w:t xml:space="preserve">the </w:t>
            </w:r>
            <w:r w:rsidRPr="00F25357">
              <w:t xml:space="preserve">practical steps taken by the Platform for International Railway Passenger Transport (IRP), which involves </w:t>
            </w:r>
            <w:r>
              <w:t xml:space="preserve">a large variety of </w:t>
            </w:r>
            <w:r w:rsidRPr="00F25357">
              <w:t xml:space="preserve">stakeholders, and </w:t>
            </w:r>
            <w:r>
              <w:t xml:space="preserve">the evolution of </w:t>
            </w:r>
            <w:r w:rsidRPr="00F25357">
              <w:t>the Trans Europa Express 2.0 (TEE 2.0) concept</w:t>
            </w:r>
            <w:r>
              <w:t>;</w:t>
            </w:r>
          </w:p>
          <w:p w14:paraId="6EA2D91A" w14:textId="77777777" w:rsidR="005927EA" w:rsidRPr="00F25357" w:rsidRDefault="005927EA" w:rsidP="005927EA">
            <w:pPr>
              <w:pStyle w:val="Point123"/>
            </w:pPr>
            <w:r>
              <w:br w:type="page"/>
            </w:r>
            <w:r w:rsidRPr="00F25357">
              <w:t>ENCOURAGES the development of this market segment. In the short and medium term</w:t>
            </w:r>
            <w:r>
              <w:t>s</w:t>
            </w:r>
            <w:r w:rsidRPr="00F25357">
              <w:t xml:space="preserve"> this should be achieved </w:t>
            </w:r>
            <w:r>
              <w:t>by complementing</w:t>
            </w:r>
            <w:r w:rsidRPr="00F25357">
              <w:t xml:space="preserve"> existing services, </w:t>
            </w:r>
            <w:r>
              <w:t>ensuring a level playing field for fair</w:t>
            </w:r>
            <w:r w:rsidRPr="00F25357">
              <w:t xml:space="preserve"> competition, offering multi-service and multi-modal </w:t>
            </w:r>
            <w:r>
              <w:t xml:space="preserve">route planning and </w:t>
            </w:r>
            <w:r w:rsidRPr="00F25357">
              <w:t xml:space="preserve">ticketing, coordinating timetables, providing direct links and connections </w:t>
            </w:r>
            <w:r>
              <w:t>with regional</w:t>
            </w:r>
            <w:r w:rsidRPr="00044545">
              <w:t xml:space="preserve">, local and urban </w:t>
            </w:r>
            <w:r w:rsidRPr="00F25357">
              <w:lastRenderedPageBreak/>
              <w:t>transport, reviewing the policy on infrastructure charges, reviewing capacity allocation procedures</w:t>
            </w:r>
            <w:r>
              <w:t xml:space="preserve"> and removing technical and operational barriers</w:t>
            </w:r>
            <w:r w:rsidRPr="00F25357">
              <w:t xml:space="preserve">; </w:t>
            </w:r>
            <w:r>
              <w:t>i</w:t>
            </w:r>
            <w:r w:rsidRPr="00F25357">
              <w:t xml:space="preserve">n the </w:t>
            </w:r>
            <w:r w:rsidRPr="00225E29">
              <w:t>lo</w:t>
            </w:r>
            <w:r>
              <w:t>n</w:t>
            </w:r>
            <w:r w:rsidRPr="00932561">
              <w:t>ger</w:t>
            </w:r>
            <w:r w:rsidRPr="00F25357">
              <w:t xml:space="preserve"> term </w:t>
            </w:r>
            <w:r>
              <w:t>it requires</w:t>
            </w:r>
            <w:r w:rsidRPr="00F25357">
              <w:t xml:space="preserve"> </w:t>
            </w:r>
            <w:r>
              <w:t>the removal of</w:t>
            </w:r>
            <w:r w:rsidRPr="00F25357">
              <w:t xml:space="preserve"> </w:t>
            </w:r>
            <w:r>
              <w:t xml:space="preserve">the </w:t>
            </w:r>
            <w:r w:rsidRPr="00F25357">
              <w:t>remaining infrastructure bottlenecks</w:t>
            </w:r>
            <w:r>
              <w:t xml:space="preserve"> in the Union rail system</w:t>
            </w:r>
            <w:r w:rsidRPr="00F25357">
              <w:t xml:space="preserve">, </w:t>
            </w:r>
            <w:r>
              <w:t xml:space="preserve">the realisation of the TEN-T core and comprehensive network, the </w:t>
            </w:r>
            <w:r w:rsidRPr="00F25357">
              <w:t xml:space="preserve">procurement of </w:t>
            </w:r>
            <w:r>
              <w:t xml:space="preserve">interoperable </w:t>
            </w:r>
            <w:r w:rsidRPr="00F25357">
              <w:t>rolling stock</w:t>
            </w:r>
            <w:r>
              <w:t xml:space="preserve"> and</w:t>
            </w:r>
            <w:r w:rsidRPr="00F25357">
              <w:t xml:space="preserve"> full implementation of the European Rail Traffic Management System (ERTMS)</w:t>
            </w:r>
            <w:r>
              <w:t>;</w:t>
            </w:r>
          </w:p>
          <w:p w14:paraId="786FB40D" w14:textId="26041D15" w:rsidR="005927EA" w:rsidRPr="00947FC3" w:rsidRDefault="005927EA" w:rsidP="005927EA">
            <w:pPr>
              <w:pStyle w:val="Point123"/>
            </w:pPr>
            <w:r w:rsidRPr="00F25357">
              <w:t xml:space="preserve">RECOGNISES that in certain cases the </w:t>
            </w:r>
            <w:r>
              <w:t>provision</w:t>
            </w:r>
            <w:r w:rsidRPr="00F25357">
              <w:t xml:space="preserve"> of international passenger services may </w:t>
            </w:r>
            <w:r>
              <w:t xml:space="preserve">entail </w:t>
            </w:r>
            <w:r w:rsidRPr="00F25357">
              <w:t xml:space="preserve">public service obligations </w:t>
            </w:r>
            <w:r>
              <w:t>for generating</w:t>
            </w:r>
            <w:r w:rsidRPr="00F25357">
              <w:t xml:space="preserve"> a </w:t>
            </w:r>
            <w:r>
              <w:t xml:space="preserve">desirable </w:t>
            </w:r>
            <w:r w:rsidRPr="00F25357">
              <w:t xml:space="preserve">transport offer. In these cases, public service contracts covering the international services should be considered as </w:t>
            </w:r>
            <w:r w:rsidRPr="005948D3">
              <w:rPr>
                <w:noProof/>
              </w:rPr>
              <w:t xml:space="preserve">a possibility, and their use could </w:t>
            </w:r>
            <w:r>
              <w:t>be facilitated by</w:t>
            </w:r>
            <w:r w:rsidRPr="00F25357">
              <w:t xml:space="preserve"> a revision of the </w:t>
            </w:r>
            <w:proofErr w:type="spellStart"/>
            <w:r w:rsidRPr="00F25357">
              <w:t>Commissionʼs</w:t>
            </w:r>
            <w:proofErr w:type="spellEnd"/>
            <w:r w:rsidRPr="00F25357">
              <w:t xml:space="preserve"> interpretative guidelines concerning Regulation (EC) No 1370/2007</w:t>
            </w:r>
            <w:r w:rsidRPr="00225E29">
              <w:rPr>
                <w:rStyle w:val="FootnoteReference"/>
                <w:rFonts w:eastAsia="Calibri"/>
              </w:rPr>
              <w:footnoteReference w:id="17"/>
            </w:r>
            <w:r>
              <w:rPr>
                <w:color w:val="001732"/>
                <w:sz w:val="20"/>
                <w:szCs w:val="20"/>
              </w:rPr>
              <w:t>;</w:t>
            </w:r>
          </w:p>
          <w:p w14:paraId="06DC827A" w14:textId="7372B077" w:rsidR="00947FC3" w:rsidRPr="00947FC3" w:rsidRDefault="00947FC3" w:rsidP="005927EA">
            <w:pPr>
              <w:pStyle w:val="Point123"/>
            </w:pPr>
            <w:r>
              <w:rPr>
                <w:color w:val="FF0000"/>
              </w:rPr>
              <w:t xml:space="preserve">UNDERLINES that any policy action or funding decision taken has to be in </w:t>
            </w:r>
            <w:r>
              <w:rPr>
                <w:color w:val="FF0000"/>
              </w:rPr>
              <w:lastRenderedPageBreak/>
              <w:t>line with the UN Convention on the Rights of  Persons with Disabilities, ensuring that EU funding is spent on accessible infrastructure and not creating new obstacles for persons with disabilities.</w:t>
            </w:r>
          </w:p>
          <w:p w14:paraId="11E8C968" w14:textId="4B55C27D" w:rsidR="00947FC3" w:rsidRDefault="00947FC3" w:rsidP="005927EA">
            <w:pPr>
              <w:pStyle w:val="Point123"/>
              <w:rPr>
                <w:color w:val="FF0000"/>
              </w:rPr>
            </w:pPr>
            <w:r w:rsidRPr="00947FC3">
              <w:rPr>
                <w:color w:val="FF0000"/>
              </w:rPr>
              <w:t>RECOMMENDS a revision of Regulation 1300/2014 to make rail travel accessible for all</w:t>
            </w:r>
          </w:p>
          <w:p w14:paraId="34130DD4" w14:textId="61232E57" w:rsidR="00947FC3" w:rsidRPr="00947FC3" w:rsidRDefault="00947FC3" w:rsidP="005927EA">
            <w:pPr>
              <w:pStyle w:val="Point123"/>
              <w:rPr>
                <w:color w:val="FF0000"/>
              </w:rPr>
            </w:pPr>
            <w:r>
              <w:rPr>
                <w:color w:val="FF0000"/>
              </w:rPr>
              <w:t xml:space="preserve">RECOMMENDS to take into account accessibility as an important criterion in the revision of Regulation </w:t>
            </w:r>
            <w:r w:rsidR="000C317F">
              <w:rPr>
                <w:color w:val="FF0000"/>
              </w:rPr>
              <w:t>283/2014.</w:t>
            </w:r>
          </w:p>
          <w:p w14:paraId="705B4F6E" w14:textId="77777777" w:rsidR="005927EA" w:rsidRPr="00F25357" w:rsidRDefault="005927EA" w:rsidP="005927EA">
            <w:pPr>
              <w:pStyle w:val="PointManual"/>
              <w:rPr>
                <w:b/>
                <w:bCs/>
              </w:rPr>
            </w:pPr>
            <w:r w:rsidRPr="00F25357">
              <w:rPr>
                <w:b/>
                <w:bCs/>
              </w:rPr>
              <w:t>IV.</w:t>
            </w:r>
            <w:r w:rsidRPr="00F25357">
              <w:rPr>
                <w:b/>
                <w:bCs/>
              </w:rPr>
              <w:tab/>
              <w:t>European rail freight transport</w:t>
            </w:r>
          </w:p>
          <w:p w14:paraId="7A0320C6" w14:textId="77777777" w:rsidR="005927EA" w:rsidRPr="00F25357" w:rsidRDefault="005927EA" w:rsidP="005927EA">
            <w:pPr>
              <w:pStyle w:val="Point123"/>
            </w:pPr>
            <w:r w:rsidRPr="00F25357">
              <w:t xml:space="preserve">EXPECTS that the completion of the </w:t>
            </w:r>
            <w:r w:rsidRPr="00044545">
              <w:t>Trans-European Transport Network (</w:t>
            </w:r>
            <w:r w:rsidRPr="00F25357">
              <w:t>TEN-T</w:t>
            </w:r>
            <w:r>
              <w:t>)</w:t>
            </w:r>
            <w:r w:rsidRPr="00F25357">
              <w:t xml:space="preserve"> </w:t>
            </w:r>
            <w:r>
              <w:t>core n</w:t>
            </w:r>
            <w:r w:rsidRPr="00F25357">
              <w:t>etwork by 2030</w:t>
            </w:r>
            <w:r>
              <w:t>,</w:t>
            </w:r>
            <w:r w:rsidRPr="00F25357">
              <w:t xml:space="preserve"> the widespread deployment of the European Rail Traffic Management System (ERTMS) all over Europ</w:t>
            </w:r>
            <w:r>
              <w:t xml:space="preserve">e, both trackside and on-board, accompanied by decommissioning legacy signalling systems, </w:t>
            </w:r>
            <w:r w:rsidRPr="00F25357">
              <w:t xml:space="preserve">and the further harmonisation of technical and operational </w:t>
            </w:r>
            <w:r w:rsidRPr="00225E29">
              <w:t>requirements</w:t>
            </w:r>
            <w:r w:rsidRPr="00F25357">
              <w:t xml:space="preserve"> will lead to more efficient, less costly and better integrated rail transport, thus enabling the continued growth of rail freight;</w:t>
            </w:r>
            <w:r>
              <w:t xml:space="preserve"> </w:t>
            </w:r>
            <w:r>
              <w:rPr>
                <w:noProof/>
              </w:rPr>
              <w:t xml:space="preserve">EXPECTS rail freight to be further boosted by the coordinated deployment of new innovations, in </w:t>
            </w:r>
            <w:r>
              <w:rPr>
                <w:noProof/>
              </w:rPr>
              <w:lastRenderedPageBreak/>
              <w:t>particular digital automated couplings and automatic train operations;</w:t>
            </w:r>
          </w:p>
          <w:p w14:paraId="650D48D5" w14:textId="77777777" w:rsidR="005927EA" w:rsidRDefault="005927EA" w:rsidP="005927EA">
            <w:pPr>
              <w:pStyle w:val="Point123"/>
            </w:pPr>
            <w:r>
              <w:br w:type="page"/>
              <w:t>As regards</w:t>
            </w:r>
            <w:r w:rsidRPr="00F25357">
              <w:t xml:space="preserve"> the European Green Deal</w:t>
            </w:r>
            <w:r w:rsidRPr="00F25357">
              <w:rPr>
                <w:rStyle w:val="FootnoteReference"/>
              </w:rPr>
              <w:footnoteReference w:id="18"/>
            </w:r>
            <w:r w:rsidRPr="00F25357">
              <w:t xml:space="preserve">, in which the European Commission lists rail freight as a top priority, EXPECTS that this initiative will build on all the experience gained and </w:t>
            </w:r>
            <w:r>
              <w:t xml:space="preserve">the </w:t>
            </w:r>
            <w:r w:rsidRPr="00F25357">
              <w:t xml:space="preserve">best practice already developed through the </w:t>
            </w:r>
            <w:r>
              <w:t>r</w:t>
            </w:r>
            <w:r w:rsidRPr="00F25357">
              <w:t xml:space="preserve">ail </w:t>
            </w:r>
            <w:r>
              <w:t>f</w:t>
            </w:r>
            <w:r w:rsidRPr="00F25357">
              <w:t xml:space="preserve">reight </w:t>
            </w:r>
            <w:r>
              <w:t>c</w:t>
            </w:r>
            <w:r w:rsidRPr="00F25357">
              <w:t>orridors, while also fostering innovation, not only in new technologies and digitalisation, but also in business models and operational concepts</w:t>
            </w:r>
            <w:r>
              <w:t xml:space="preserve"> </w:t>
            </w:r>
            <w:r>
              <w:rPr>
                <w:noProof/>
              </w:rPr>
              <w:t>in order to achieve a more integrated operating network for competitive rail freight</w:t>
            </w:r>
            <w:r w:rsidRPr="00F25357">
              <w:t>;</w:t>
            </w:r>
          </w:p>
          <w:p w14:paraId="49B00BCA" w14:textId="77777777" w:rsidR="005927EA" w:rsidRPr="00F25357" w:rsidRDefault="005927EA" w:rsidP="005927EA">
            <w:pPr>
              <w:pStyle w:val="Point123"/>
            </w:pPr>
            <w:r>
              <w:t>NOTE</w:t>
            </w:r>
            <w:r w:rsidRPr="00F25357">
              <w:t xml:space="preserve">S that the </w:t>
            </w:r>
            <w:r>
              <w:t>Union</w:t>
            </w:r>
            <w:r w:rsidRPr="00F25357">
              <w:t xml:space="preserve"> rail network for competitive freight, formed by the </w:t>
            </w:r>
            <w:r>
              <w:t>r</w:t>
            </w:r>
            <w:r w:rsidRPr="00F25357">
              <w:t xml:space="preserve">ail </w:t>
            </w:r>
            <w:r>
              <w:t>f</w:t>
            </w:r>
            <w:r w:rsidRPr="00F25357">
              <w:t xml:space="preserve">reight </w:t>
            </w:r>
            <w:r>
              <w:t>c</w:t>
            </w:r>
            <w:r w:rsidRPr="00F25357">
              <w:t xml:space="preserve">orridors, has proven to be very effective in developing </w:t>
            </w:r>
            <w:r>
              <w:t xml:space="preserve">concerted actions and </w:t>
            </w:r>
            <w:r w:rsidRPr="00F25357">
              <w:t>common measures</w:t>
            </w:r>
            <w:r>
              <w:t xml:space="preserve"> among stakeholders in charge of operations</w:t>
            </w:r>
            <w:r w:rsidRPr="00F25357">
              <w:t xml:space="preserve">, </w:t>
            </w:r>
            <w:r>
              <w:t xml:space="preserve">whilst </w:t>
            </w:r>
            <w:r w:rsidRPr="00F25357">
              <w:t>facilitating</w:t>
            </w:r>
            <w:r>
              <w:t>, amongst other things,</w:t>
            </w:r>
            <w:r w:rsidRPr="00F25357">
              <w:t xml:space="preserve"> the enhancement of rail </w:t>
            </w:r>
            <w:proofErr w:type="spellStart"/>
            <w:r w:rsidRPr="00F25357">
              <w:t>freightʼs</w:t>
            </w:r>
            <w:proofErr w:type="spellEnd"/>
            <w:r w:rsidRPr="00F25357">
              <w:t xml:space="preserve"> resilience in the event of major crises and the implementation of necessary contingency measures;</w:t>
            </w:r>
          </w:p>
          <w:p w14:paraId="01C11A41" w14:textId="77777777" w:rsidR="005927EA" w:rsidRPr="00F25357" w:rsidRDefault="005927EA" w:rsidP="005927EA">
            <w:pPr>
              <w:pStyle w:val="Point123"/>
            </w:pPr>
            <w:r w:rsidRPr="00F25357">
              <w:t xml:space="preserve">RECOGNISING the work already accomplished by the </w:t>
            </w:r>
            <w:r>
              <w:t>r</w:t>
            </w:r>
            <w:r w:rsidRPr="00F25357">
              <w:t xml:space="preserve">ail </w:t>
            </w:r>
            <w:r>
              <w:t>f</w:t>
            </w:r>
            <w:r w:rsidRPr="00F25357">
              <w:t xml:space="preserve">reight </w:t>
            </w:r>
            <w:r>
              <w:t>c</w:t>
            </w:r>
            <w:r w:rsidRPr="00F25357">
              <w:t xml:space="preserve">orridors, WELCOMES the Member </w:t>
            </w:r>
            <w:proofErr w:type="spellStart"/>
            <w:r w:rsidRPr="00F25357">
              <w:lastRenderedPageBreak/>
              <w:t>Statesʼ</w:t>
            </w:r>
            <w:proofErr w:type="spellEnd"/>
            <w:r w:rsidRPr="00F25357">
              <w:t xml:space="preserve"> commitment to </w:t>
            </w:r>
            <w:r w:rsidRPr="00225E29">
              <w:t>continue</w:t>
            </w:r>
            <w:r w:rsidRPr="00F25357">
              <w:t xml:space="preserve"> their cooperation with the European Commission and the </w:t>
            </w:r>
            <w:r>
              <w:t>c</w:t>
            </w:r>
            <w:r w:rsidRPr="00F25357">
              <w:t xml:space="preserve">oordinators of the TEN-T </w:t>
            </w:r>
            <w:r>
              <w:t>c</w:t>
            </w:r>
            <w:r w:rsidRPr="00F25357">
              <w:t xml:space="preserve">ore </w:t>
            </w:r>
            <w:r>
              <w:t>ne</w:t>
            </w:r>
            <w:r w:rsidRPr="00F25357">
              <w:t xml:space="preserve">twork </w:t>
            </w:r>
            <w:r>
              <w:t>c</w:t>
            </w:r>
            <w:r w:rsidRPr="00F25357">
              <w:t xml:space="preserve">orridors, UNDERLINES the importance of developing further infrastructure capacity and the routes of the </w:t>
            </w:r>
            <w:r>
              <w:t>r</w:t>
            </w:r>
            <w:r w:rsidRPr="00F25357">
              <w:t xml:space="preserve">ail </w:t>
            </w:r>
            <w:r>
              <w:t>f</w:t>
            </w:r>
            <w:r w:rsidRPr="00F25357">
              <w:t xml:space="preserve">reight </w:t>
            </w:r>
            <w:r>
              <w:t>c</w:t>
            </w:r>
            <w:r w:rsidRPr="00F25357">
              <w:t>orridors in accordance with market requirements</w:t>
            </w:r>
            <w:r>
              <w:t xml:space="preserve"> and customer needs,</w:t>
            </w:r>
            <w:r w:rsidRPr="00F25357">
              <w:t xml:space="preserve"> and ENCOURAGES strengthening </w:t>
            </w:r>
            <w:r>
              <w:t xml:space="preserve">the functioning of </w:t>
            </w:r>
            <w:r w:rsidRPr="00F25357">
              <w:t xml:space="preserve">the </w:t>
            </w:r>
            <w:r>
              <w:t>r</w:t>
            </w:r>
            <w:r w:rsidRPr="00F25357">
              <w:t xml:space="preserve">ail </w:t>
            </w:r>
            <w:r>
              <w:t>f</w:t>
            </w:r>
            <w:r w:rsidRPr="00F25357">
              <w:t xml:space="preserve">reight </w:t>
            </w:r>
            <w:r>
              <w:t>c</w:t>
            </w:r>
            <w:r w:rsidRPr="00F25357">
              <w:t xml:space="preserve">orridors in a coordinated way </w:t>
            </w:r>
            <w:r>
              <w:t>focussing on the review and improvement of performance using</w:t>
            </w:r>
            <w:r w:rsidRPr="00F25357">
              <w:t xml:space="preserve"> harmonised </w:t>
            </w:r>
            <w:r>
              <w:t>k</w:t>
            </w:r>
            <w:r w:rsidRPr="00F25357">
              <w:t xml:space="preserve">ey </w:t>
            </w:r>
            <w:r>
              <w:t>p</w:t>
            </w:r>
            <w:r w:rsidRPr="00F25357">
              <w:t xml:space="preserve">erformance </w:t>
            </w:r>
            <w:r>
              <w:t>i</w:t>
            </w:r>
            <w:r w:rsidRPr="00F25357">
              <w:t>ndicators</w:t>
            </w:r>
            <w:r>
              <w:t xml:space="preserve">, and on bundling all actors in the </w:t>
            </w:r>
            <w:proofErr w:type="spellStart"/>
            <w:r>
              <w:t>suppl</w:t>
            </w:r>
            <w:proofErr w:type="spellEnd"/>
            <w:r>
              <w:t xml:space="preserve"> chain;</w:t>
            </w:r>
          </w:p>
          <w:p w14:paraId="6818E93B" w14:textId="77777777" w:rsidR="005927EA" w:rsidRPr="00F25357" w:rsidRDefault="005927EA" w:rsidP="005927EA">
            <w:pPr>
              <w:pStyle w:val="PointManual"/>
              <w:rPr>
                <w:b/>
                <w:bCs/>
              </w:rPr>
            </w:pPr>
            <w:r w:rsidRPr="00F25357">
              <w:rPr>
                <w:b/>
                <w:bCs/>
              </w:rPr>
              <w:t xml:space="preserve">V. </w:t>
            </w:r>
            <w:r w:rsidRPr="00F25357">
              <w:rPr>
                <w:b/>
                <w:bCs/>
              </w:rPr>
              <w:tab/>
              <w:t xml:space="preserve">Networks and investment </w:t>
            </w:r>
          </w:p>
          <w:p w14:paraId="1EB8706D" w14:textId="77777777" w:rsidR="005927EA" w:rsidRPr="00F25357" w:rsidRDefault="005927EA" w:rsidP="005927EA">
            <w:pPr>
              <w:pStyle w:val="Point123"/>
            </w:pPr>
            <w:r>
              <w:t>NOTES</w:t>
            </w:r>
            <w:r w:rsidRPr="00F25357">
              <w:t xml:space="preserve"> the fact that t</w:t>
            </w:r>
            <w:r>
              <w:t>he TEN-T n</w:t>
            </w:r>
            <w:r w:rsidRPr="00F25357">
              <w:t xml:space="preserve">etwork has been extremely important for developing a coherent high-capacity interoperable rail network across </w:t>
            </w:r>
            <w:r>
              <w:t>the Union</w:t>
            </w:r>
            <w:r w:rsidRPr="00F25357">
              <w:t xml:space="preserve">, and also </w:t>
            </w:r>
            <w:r>
              <w:t>for</w:t>
            </w:r>
            <w:r w:rsidRPr="00F25357">
              <w:t xml:space="preserve"> connecting it to ports, airports and road and inland waterway terminals. Although it has not been able to singlehandedly overcome the large asymmetries in rail network coverage and density, through the Connecting Europe Facility and other EU financing instruments</w:t>
            </w:r>
            <w:r>
              <w:t xml:space="preserve"> the TEN-T n</w:t>
            </w:r>
            <w:r w:rsidRPr="00F25357">
              <w:t xml:space="preserve">etwork has allowed many Member </w:t>
            </w:r>
            <w:r w:rsidRPr="00F25357">
              <w:lastRenderedPageBreak/>
              <w:t>States with smaller investment capacities to steadily, albeit slowly, upgrade their networks</w:t>
            </w:r>
            <w:r>
              <w:t>;</w:t>
            </w:r>
          </w:p>
          <w:p w14:paraId="24BDD6F9" w14:textId="77777777" w:rsidR="005927EA" w:rsidRPr="00F25357" w:rsidRDefault="005927EA" w:rsidP="005927EA">
            <w:pPr>
              <w:pStyle w:val="Point123"/>
            </w:pPr>
            <w:r>
              <w:br w:type="page"/>
            </w:r>
            <w:r w:rsidRPr="00F25357">
              <w:t xml:space="preserve">BEARING IN MIND the political aim of </w:t>
            </w:r>
            <w:r>
              <w:t xml:space="preserve">a </w:t>
            </w:r>
            <w:r w:rsidRPr="00F25357">
              <w:t xml:space="preserve">climate-neutral </w:t>
            </w:r>
            <w:r>
              <w:t>economy</w:t>
            </w:r>
            <w:r w:rsidRPr="00F25357">
              <w:t xml:space="preserve">, </w:t>
            </w:r>
            <w:r w:rsidRPr="00225E29">
              <w:t>ACKNOWLEDGES that</w:t>
            </w:r>
            <w:r w:rsidRPr="00F25357">
              <w:t xml:space="preserve"> national budgets in many Member States remain strained from the previous</w:t>
            </w:r>
            <w:r>
              <w:t xml:space="preserve"> economic crisis</w:t>
            </w:r>
            <w:r w:rsidRPr="00F25357">
              <w:t xml:space="preserve"> and the </w:t>
            </w:r>
            <w:r>
              <w:t xml:space="preserve">current one related to the </w:t>
            </w:r>
            <w:r w:rsidRPr="00F25357">
              <w:t xml:space="preserve">pandemic, and that public investment in </w:t>
            </w:r>
            <w:r>
              <w:t>transport</w:t>
            </w:r>
            <w:r w:rsidRPr="00F25357">
              <w:t xml:space="preserve"> has remain</w:t>
            </w:r>
            <w:r>
              <w:t>ed</w:t>
            </w:r>
            <w:r w:rsidRPr="00F25357">
              <w:t xml:space="preserve"> barely at the level required to ensure maintenance</w:t>
            </w:r>
            <w:r>
              <w:t>;</w:t>
            </w:r>
          </w:p>
          <w:p w14:paraId="21ECCBFA" w14:textId="60D7BD4C" w:rsidR="005927EA" w:rsidRPr="00F25357" w:rsidRDefault="005927EA" w:rsidP="005927EA">
            <w:pPr>
              <w:pStyle w:val="Point123"/>
            </w:pPr>
            <w:r w:rsidRPr="00F25357">
              <w:t>STRESSES that the rail sector will need to make the best possible use of EU financing instruments. Railway transport infrastructure has been identified as the segment most in need of in</w:t>
            </w:r>
            <w:r>
              <w:t>vestment to finalise the TEN-T n</w:t>
            </w:r>
            <w:r w:rsidRPr="00F25357">
              <w:t>etwork and modernise the existing network. CALLS on Member States</w:t>
            </w:r>
            <w:r>
              <w:t>,</w:t>
            </w:r>
            <w:r w:rsidRPr="00132224">
              <w:t xml:space="preserve"> </w:t>
            </w:r>
            <w:r>
              <w:t>accordingly,</w:t>
            </w:r>
            <w:r w:rsidRPr="00F25357">
              <w:t xml:space="preserve"> to use </w:t>
            </w:r>
            <w:r>
              <w:t xml:space="preserve">the </w:t>
            </w:r>
            <w:r w:rsidRPr="00F25357">
              <w:t>resources being made availab</w:t>
            </w:r>
            <w:r>
              <w:t>le by the Recovery and Resilience</w:t>
            </w:r>
            <w:r w:rsidRPr="00F25357">
              <w:t xml:space="preserve"> Facility</w:t>
            </w:r>
            <w:r>
              <w:t xml:space="preserve"> and the Multiannual</w:t>
            </w:r>
            <w:r w:rsidRPr="00F25357">
              <w:t xml:space="preserve"> Financial Framework 2021-27 to enhance the competitiveness of the rail sector and support related investment</w:t>
            </w:r>
            <w:r>
              <w:t xml:space="preserve"> in rail infrastructure</w:t>
            </w:r>
            <w:r w:rsidR="000A3A53">
              <w:t xml:space="preserve"> and </w:t>
            </w:r>
            <w:r w:rsidR="000A3A53" w:rsidRPr="000A3A53">
              <w:rPr>
                <w:color w:val="FF0000"/>
              </w:rPr>
              <w:t>to use the funding to</w:t>
            </w:r>
            <w:r w:rsidR="000A3A53">
              <w:t xml:space="preserve">  </w:t>
            </w:r>
            <w:r w:rsidR="000A3A53" w:rsidRPr="000A3A53">
              <w:rPr>
                <w:color w:val="FF0000"/>
              </w:rPr>
              <w:t>make rail infrastructure accessible for all</w:t>
            </w:r>
            <w:r>
              <w:t>;</w:t>
            </w:r>
          </w:p>
          <w:p w14:paraId="1459EE2B" w14:textId="77777777" w:rsidR="005927EA" w:rsidRPr="00F25357" w:rsidRDefault="005927EA" w:rsidP="005927EA">
            <w:pPr>
              <w:pStyle w:val="Point123"/>
            </w:pPr>
            <w:r w:rsidRPr="00F25357">
              <w:lastRenderedPageBreak/>
              <w:t xml:space="preserve">UNDERLINES that </w:t>
            </w:r>
            <w:r>
              <w:t xml:space="preserve">systemic </w:t>
            </w:r>
            <w:r w:rsidRPr="00F25357">
              <w:t xml:space="preserve">integration with other transport modes, including maritime, inland waterways, air transport and road </w:t>
            </w:r>
            <w:r>
              <w:t xml:space="preserve">transport, </w:t>
            </w:r>
            <w:r w:rsidRPr="00F25357">
              <w:t xml:space="preserve">is essential to keep territories connected and achieve the modal shift. </w:t>
            </w:r>
            <w:r>
              <w:t>As a result</w:t>
            </w:r>
            <w:r w:rsidRPr="00F25357">
              <w:t xml:space="preserve">, an increase in intermodal transfer opportunities, enlargement of the capacity of existing transfer </w:t>
            </w:r>
            <w:r>
              <w:t xml:space="preserve">and transhipment </w:t>
            </w:r>
            <w:r w:rsidRPr="00F25357">
              <w:t>facilities, and better intermodal traffic management are necessary</w:t>
            </w:r>
            <w:r>
              <w:t>;</w:t>
            </w:r>
          </w:p>
          <w:p w14:paraId="5912B1E0" w14:textId="08AD27AF" w:rsidR="005927EA" w:rsidRPr="00F25357" w:rsidRDefault="005927EA" w:rsidP="005927EA">
            <w:pPr>
              <w:pStyle w:val="Point123"/>
            </w:pPr>
            <w:r w:rsidRPr="00F25357">
              <w:t xml:space="preserve">RECOGNISES that </w:t>
            </w:r>
            <w:r>
              <w:t>major</w:t>
            </w:r>
            <w:r w:rsidRPr="00F25357">
              <w:t xml:space="preserve"> investment</w:t>
            </w:r>
            <w:r>
              <w:t xml:space="preserve"> is required</w:t>
            </w:r>
            <w:r w:rsidRPr="00F25357">
              <w:t xml:space="preserve"> in rolling </w:t>
            </w:r>
            <w:r w:rsidRPr="00225E29">
              <w:t>stock</w:t>
            </w:r>
            <w:r>
              <w:t xml:space="preserve">, so as to make use of </w:t>
            </w:r>
            <w:r w:rsidRPr="00F25357">
              <w:t xml:space="preserve">innovations, upgrade to new technical </w:t>
            </w:r>
            <w:r>
              <w:t xml:space="preserve">specifications, increase flexibility, </w:t>
            </w:r>
            <w:r w:rsidR="000A3A53" w:rsidRPr="000A3A53">
              <w:rPr>
                <w:color w:val="FF0000"/>
              </w:rPr>
              <w:t xml:space="preserve">accessibility, </w:t>
            </w:r>
            <w:r>
              <w:t>safe</w:t>
            </w:r>
            <w:r w:rsidRPr="00F25357">
              <w:t>ty and comfort, and diversify the service offer</w:t>
            </w:r>
            <w:r>
              <w:t>;</w:t>
            </w:r>
          </w:p>
          <w:p w14:paraId="3D3EB870" w14:textId="0F4B23FE" w:rsidR="005927EA" w:rsidRPr="00C56065" w:rsidRDefault="005927EA" w:rsidP="005927EA">
            <w:pPr>
              <w:pStyle w:val="Point123"/>
            </w:pPr>
            <w:r w:rsidRPr="00F25357">
              <w:t xml:space="preserve">CALLS on the Commission to </w:t>
            </w:r>
            <w:r>
              <w:t xml:space="preserve">study and </w:t>
            </w:r>
            <w:r w:rsidRPr="00F25357">
              <w:t>propose</w:t>
            </w:r>
            <w:r>
              <w:t>, as a matter of priority,</w:t>
            </w:r>
            <w:r w:rsidRPr="00F25357">
              <w:t xml:space="preserve"> European</w:t>
            </w:r>
            <w:r>
              <w:t>-</w:t>
            </w:r>
            <w:r w:rsidRPr="00F25357">
              <w:t xml:space="preserve">level schemes to support rail operators , while also reviewing the rules for financial support offered by </w:t>
            </w:r>
            <w:r>
              <w:t>M</w:t>
            </w:r>
            <w:r w:rsidRPr="00F25357">
              <w:t xml:space="preserve">ember </w:t>
            </w:r>
            <w:r>
              <w:t>S</w:t>
            </w:r>
            <w:r w:rsidRPr="00F25357">
              <w:t>tates with a view to their simplification</w:t>
            </w:r>
            <w:r w:rsidR="000A3A53">
              <w:t xml:space="preserve"> and to </w:t>
            </w:r>
            <w:r w:rsidR="000A3A53" w:rsidRPr="000A3A53">
              <w:rPr>
                <w:color w:val="FF0000"/>
              </w:rPr>
              <w:t>propose new and revise existing legislation</w:t>
            </w:r>
            <w:r w:rsidR="000A3A53">
              <w:rPr>
                <w:color w:val="FF0000"/>
              </w:rPr>
              <w:t xml:space="preserve"> to ensure rail transport becomes more accessible for persons with disabilities so that all passengers can make a sustainable transport choice. </w:t>
            </w:r>
          </w:p>
          <w:p w14:paraId="77DE43E2" w14:textId="77777777" w:rsidR="0098141E" w:rsidRPr="00026A9A" w:rsidRDefault="0098141E" w:rsidP="00734A3B">
            <w:pPr>
              <w:spacing w:before="120" w:after="120" w:line="360" w:lineRule="auto"/>
              <w:ind w:left="567" w:hanging="567"/>
              <w:rPr>
                <w:rFonts w:cs="Arial"/>
                <w:szCs w:val="24"/>
                <w:lang w:val="en-GB"/>
              </w:rPr>
            </w:pPr>
          </w:p>
        </w:tc>
      </w:tr>
    </w:tbl>
    <w:p w14:paraId="13EE357F" w14:textId="77777777" w:rsidR="002C242B" w:rsidRPr="002C242B" w:rsidRDefault="002C242B" w:rsidP="002C242B">
      <w:pPr>
        <w:spacing w:after="0" w:line="240" w:lineRule="auto"/>
        <w:jc w:val="both"/>
        <w:rPr>
          <w:rFonts w:cs="Arial"/>
          <w:szCs w:val="24"/>
          <w:lang w:val="en-GB"/>
        </w:rPr>
      </w:pPr>
    </w:p>
    <w:p w14:paraId="63B7F075" w14:textId="61C3BB80" w:rsidR="00A9576D" w:rsidRPr="00750257" w:rsidRDefault="00A9576D" w:rsidP="00A9576D">
      <w:pPr>
        <w:pStyle w:val="Heading1"/>
        <w:pageBreakBefore/>
        <w:rPr>
          <w:lang w:val="en-GB"/>
        </w:rPr>
      </w:pPr>
      <w:bookmarkStart w:id="9" w:name="_Toc69985660"/>
      <w:r w:rsidRPr="00750257">
        <w:rPr>
          <w:lang w:val="en-GB"/>
        </w:rPr>
        <w:lastRenderedPageBreak/>
        <w:t>Document credits</w:t>
      </w:r>
      <w:bookmarkEnd w:id="9"/>
    </w:p>
    <w:p w14:paraId="2B95C88F" w14:textId="1B57EF55" w:rsidR="00A9576D" w:rsidRPr="00750257" w:rsidRDefault="00A9576D" w:rsidP="006D0B23">
      <w:pPr>
        <w:widowControl w:val="0"/>
        <w:spacing w:before="480"/>
        <w:rPr>
          <w:lang w:val="en-GB"/>
        </w:rPr>
      </w:pPr>
      <w:r w:rsidRPr="00750257">
        <w:rPr>
          <w:lang w:val="en-GB"/>
        </w:rPr>
        <w:t>This document was prepared by</w:t>
      </w:r>
      <w:r w:rsidR="00360922" w:rsidRPr="00750257">
        <w:rPr>
          <w:lang w:val="en-GB"/>
        </w:rPr>
        <w:t xml:space="preserve"> Marie Denninghaus, EDF Policy Coordinator</w:t>
      </w:r>
    </w:p>
    <w:p w14:paraId="177D1331" w14:textId="30D02CFC" w:rsidR="009277BC" w:rsidRPr="00750257" w:rsidRDefault="009277BC" w:rsidP="009277BC">
      <w:pPr>
        <w:widowControl w:val="0"/>
        <w:spacing w:before="480"/>
        <w:rPr>
          <w:lang w:val="en-GB"/>
        </w:rPr>
      </w:pPr>
      <w:r w:rsidRPr="00750257">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750257" w:rsidRDefault="00A9576D" w:rsidP="006D0B23">
      <w:pPr>
        <w:widowControl w:val="0"/>
        <w:spacing w:before="480"/>
        <w:rPr>
          <w:lang w:val="en-GB"/>
        </w:rPr>
      </w:pPr>
      <w:r w:rsidRPr="00750257">
        <w:rPr>
          <w:lang w:val="en-GB"/>
        </w:rPr>
        <w:t>The European Disability Forum</w:t>
      </w:r>
      <w:r w:rsidR="009277BC" w:rsidRPr="00750257">
        <w:rPr>
          <w:lang w:val="en-GB"/>
        </w:rPr>
        <w:br/>
        <w:t xml:space="preserve">Mundo </w:t>
      </w:r>
      <w:proofErr w:type="spellStart"/>
      <w:r w:rsidR="009277BC" w:rsidRPr="00750257">
        <w:rPr>
          <w:lang w:val="en-GB"/>
        </w:rPr>
        <w:t>Madou</w:t>
      </w:r>
      <w:proofErr w:type="spellEnd"/>
      <w:r w:rsidR="009277BC" w:rsidRPr="00750257">
        <w:rPr>
          <w:lang w:val="en-GB"/>
        </w:rPr>
        <w:br/>
      </w:r>
      <w:r w:rsidRPr="00750257">
        <w:rPr>
          <w:lang w:val="en-GB"/>
        </w:rPr>
        <w:t>Avenue des Arts 7-8</w:t>
      </w:r>
      <w:r w:rsidR="009277BC" w:rsidRPr="00750257">
        <w:rPr>
          <w:lang w:val="en-GB"/>
        </w:rPr>
        <w:br/>
        <w:t>1210 Brussels, Belgium.</w:t>
      </w:r>
    </w:p>
    <w:p w14:paraId="064BDC62" w14:textId="77777777" w:rsidR="00DF0365" w:rsidRDefault="00A10516" w:rsidP="00DF0365">
      <w:pPr>
        <w:widowControl w:val="0"/>
        <w:rPr>
          <w:lang w:val="en-GB"/>
        </w:rPr>
      </w:pPr>
      <w:hyperlink r:id="rId16" w:history="1">
        <w:r w:rsidR="00A9576D" w:rsidRPr="00750257">
          <w:rPr>
            <w:rStyle w:val="Hyperlink"/>
            <w:lang w:val="en-GB"/>
          </w:rPr>
          <w:t>www.edf-feph.org</w:t>
        </w:r>
      </w:hyperlink>
    </w:p>
    <w:p w14:paraId="7B572B14" w14:textId="1A883B03" w:rsidR="009277BC" w:rsidRDefault="00A10516" w:rsidP="00DF0365">
      <w:pPr>
        <w:widowControl w:val="0"/>
        <w:rPr>
          <w:lang w:val="en-GB"/>
        </w:rPr>
      </w:pPr>
      <w:hyperlink r:id="rId17" w:history="1">
        <w:r w:rsidR="00DF0365" w:rsidRPr="00750EB2">
          <w:rPr>
            <w:rStyle w:val="Hyperlink"/>
            <w:lang w:val="en-GB"/>
          </w:rPr>
          <w:t>info@edf-feph.org</w:t>
        </w:r>
      </w:hyperlink>
    </w:p>
    <w:p w14:paraId="774CA765" w14:textId="77777777" w:rsidR="00DF0365" w:rsidRPr="00750257" w:rsidRDefault="00DF0365" w:rsidP="00DF0365">
      <w:pPr>
        <w:widowControl w:val="0"/>
        <w:rPr>
          <w:lang w:val="en-GB"/>
        </w:rPr>
      </w:pPr>
    </w:p>
    <w:p w14:paraId="23807C83" w14:textId="06A6BD57" w:rsidR="009277BC" w:rsidRPr="00750257" w:rsidRDefault="009277BC" w:rsidP="00DF0365">
      <w:pPr>
        <w:widowControl w:val="0"/>
        <w:spacing w:after="120"/>
        <w:rPr>
          <w:lang w:val="en-GB"/>
        </w:rPr>
      </w:pPr>
      <w:r w:rsidRPr="00750257">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750257" w:rsidRDefault="009277BC" w:rsidP="009277BC">
      <w:pPr>
        <w:widowControl w:val="0"/>
        <w:spacing w:before="120"/>
        <w:jc w:val="center"/>
        <w:rPr>
          <w:lang w:val="en-GB"/>
        </w:rPr>
      </w:pPr>
      <w:r w:rsidRPr="00750257">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750257" w:rsidSect="004B54FF">
      <w:footerReference w:type="default" r:id="rId18"/>
      <w:pgSz w:w="11906" w:h="16838" w:code="9"/>
      <w:pgMar w:top="1440" w:right="1440" w:bottom="1440" w:left="1440" w:header="510" w:footer="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5456" w14:textId="77777777" w:rsidR="00EC688E" w:rsidRDefault="00EC688E" w:rsidP="00E47FF5">
      <w:pPr>
        <w:spacing w:after="0" w:line="240" w:lineRule="auto"/>
      </w:pPr>
      <w:r>
        <w:separator/>
      </w:r>
    </w:p>
  </w:endnote>
  <w:endnote w:type="continuationSeparator" w:id="0">
    <w:p w14:paraId="123F3619" w14:textId="77777777" w:rsidR="00EC688E" w:rsidRDefault="00EC688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1633DC2D" w14:textId="77777777" w:rsidR="0035057F" w:rsidRDefault="0035057F">
        <w:pPr>
          <w:pStyle w:val="Footer"/>
          <w:jc w:val="right"/>
        </w:pPr>
      </w:p>
      <w:p w14:paraId="468EE12E" w14:textId="77777777" w:rsidR="0035057F" w:rsidRDefault="0035057F">
        <w:pPr>
          <w:pStyle w:val="Footer"/>
          <w:jc w:val="right"/>
        </w:pPr>
      </w:p>
      <w:p w14:paraId="63306FAB" w14:textId="71939A2F"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B31E972" w14:textId="77777777" w:rsidR="008F55C4" w:rsidRDefault="008F55C4"/>
  <w:p w14:paraId="74EED5C1" w14:textId="77777777" w:rsidR="004C43B0" w:rsidRDefault="004C4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F7CF" w14:textId="77777777" w:rsidR="00EC688E" w:rsidRDefault="00EC688E" w:rsidP="00E47FF5">
      <w:pPr>
        <w:spacing w:after="0" w:line="240" w:lineRule="auto"/>
      </w:pPr>
      <w:r>
        <w:separator/>
      </w:r>
    </w:p>
  </w:footnote>
  <w:footnote w:type="continuationSeparator" w:id="0">
    <w:p w14:paraId="3B0C8084" w14:textId="77777777" w:rsidR="00EC688E" w:rsidRDefault="00EC688E" w:rsidP="00E47FF5">
      <w:pPr>
        <w:spacing w:after="0" w:line="240" w:lineRule="auto"/>
      </w:pPr>
      <w:r>
        <w:continuationSeparator/>
      </w:r>
    </w:p>
  </w:footnote>
  <w:footnote w:id="1">
    <w:p w14:paraId="75C394C5" w14:textId="77777777" w:rsidR="005927EA" w:rsidRPr="00F25357" w:rsidRDefault="005927EA" w:rsidP="005927EA">
      <w:pPr>
        <w:pStyle w:val="FootnoteText"/>
      </w:pPr>
      <w:r>
        <w:rPr>
          <w:rStyle w:val="FootnoteReference"/>
        </w:rPr>
        <w:footnoteRef/>
      </w:r>
      <w:r>
        <w:t xml:space="preserve"> </w:t>
      </w:r>
      <w:r w:rsidRPr="00F25357">
        <w:tab/>
        <w:t>EUCO 29/19.</w:t>
      </w:r>
    </w:p>
  </w:footnote>
  <w:footnote w:id="2">
    <w:p w14:paraId="6B2F40A0" w14:textId="77777777" w:rsidR="005927EA" w:rsidRPr="00056CA1" w:rsidRDefault="005927EA" w:rsidP="005927EA">
      <w:pPr>
        <w:pStyle w:val="FootnoteText"/>
      </w:pPr>
      <w:r>
        <w:rPr>
          <w:rStyle w:val="FootnoteReference"/>
        </w:rPr>
        <w:footnoteRef/>
      </w:r>
      <w:r>
        <w:t xml:space="preserve"> </w:t>
      </w:r>
      <w:r w:rsidRPr="00056CA1">
        <w:tab/>
        <w:t>The transport ministers of Norway and Switzerland regularly participate.</w:t>
      </w:r>
    </w:p>
  </w:footnote>
  <w:footnote w:id="3">
    <w:p w14:paraId="0ECF2C18" w14:textId="77777777" w:rsidR="005927EA" w:rsidRPr="00EE1C7F" w:rsidRDefault="005927EA" w:rsidP="005927EA">
      <w:pPr>
        <w:pStyle w:val="FootnoteText"/>
      </w:pPr>
      <w:r>
        <w:rPr>
          <w:rStyle w:val="FootnoteReference"/>
        </w:rPr>
        <w:footnoteRef/>
      </w:r>
      <w:r w:rsidRPr="00EE1C7F">
        <w:t xml:space="preserve"> </w:t>
      </w:r>
      <w:r w:rsidRPr="00EE1C7F">
        <w:tab/>
        <w:t>COM(2020) 789 final, ST 14012/20 + ADD1</w:t>
      </w:r>
      <w:r w:rsidRPr="00EE1C7F">
        <w:rPr>
          <w:lang w:eastAsia="en-GB"/>
        </w:rPr>
        <w:t>.</w:t>
      </w:r>
    </w:p>
  </w:footnote>
  <w:footnote w:id="4">
    <w:p w14:paraId="3CDB52D6" w14:textId="77777777" w:rsidR="005927EA" w:rsidRPr="00BE03D0" w:rsidRDefault="005927EA" w:rsidP="005927EA">
      <w:pPr>
        <w:pStyle w:val="FootnoteText"/>
      </w:pPr>
      <w:r>
        <w:rPr>
          <w:rStyle w:val="FootnoteReference"/>
        </w:rPr>
        <w:footnoteRef/>
      </w:r>
      <w:r w:rsidRPr="00BE03D0">
        <w:t xml:space="preserve"> </w:t>
      </w:r>
      <w:r w:rsidRPr="00BE03D0">
        <w:tab/>
        <w:t>OJ L 437, 28.12.2020, p. 108.</w:t>
      </w:r>
    </w:p>
  </w:footnote>
  <w:footnote w:id="5">
    <w:p w14:paraId="4505A579" w14:textId="77777777" w:rsidR="005927EA" w:rsidRPr="0084754E" w:rsidRDefault="005927EA" w:rsidP="005927EA">
      <w:pPr>
        <w:pStyle w:val="FootnoteText"/>
        <w:rPr>
          <w:lang w:val="nl-BE"/>
        </w:rPr>
      </w:pPr>
      <w:r>
        <w:rPr>
          <w:rStyle w:val="FootnoteReference"/>
        </w:rPr>
        <w:footnoteRef/>
      </w:r>
      <w:r w:rsidRPr="0084754E">
        <w:rPr>
          <w:lang w:val="nl-BE"/>
        </w:rPr>
        <w:t xml:space="preserve"> </w:t>
      </w:r>
      <w:r>
        <w:rPr>
          <w:lang w:val="nl-BE"/>
        </w:rPr>
        <w:tab/>
      </w:r>
      <w:r>
        <w:rPr>
          <w:lang w:val="nl-BE"/>
        </w:rPr>
        <w:t>OJ L 57, 18.2.2021, p. 17.</w:t>
      </w:r>
    </w:p>
  </w:footnote>
  <w:footnote w:id="6">
    <w:p w14:paraId="04A9E29C" w14:textId="77777777" w:rsidR="005927EA" w:rsidRPr="00F25357" w:rsidRDefault="005927EA" w:rsidP="005927EA">
      <w:pPr>
        <w:pStyle w:val="FootnoteText"/>
        <w:rPr>
          <w:lang w:val="nl-NL"/>
        </w:rPr>
      </w:pPr>
      <w:r>
        <w:rPr>
          <w:rStyle w:val="FootnoteReference"/>
        </w:rPr>
        <w:footnoteRef/>
      </w:r>
      <w:r w:rsidRPr="00F25357">
        <w:rPr>
          <w:lang w:val="nl-NL"/>
        </w:rPr>
        <w:t xml:space="preserve"> </w:t>
      </w:r>
      <w:r w:rsidRPr="00F25357">
        <w:rPr>
          <w:lang w:val="nl-NL"/>
        </w:rPr>
        <w:tab/>
      </w:r>
      <w:r w:rsidRPr="00F25357">
        <w:rPr>
          <w:lang w:val="nl-NL"/>
        </w:rPr>
        <w:t xml:space="preserve">EESC TEN/727, ST </w:t>
      </w:r>
      <w:r>
        <w:rPr>
          <w:lang w:val="nl-NL"/>
        </w:rPr>
        <w:t>76</w:t>
      </w:r>
      <w:r w:rsidRPr="00F25357">
        <w:rPr>
          <w:lang w:val="nl-NL"/>
        </w:rPr>
        <w:t>14/21.</w:t>
      </w:r>
    </w:p>
  </w:footnote>
  <w:footnote w:id="7">
    <w:p w14:paraId="04673160" w14:textId="77777777" w:rsidR="005927EA" w:rsidRPr="00201F71" w:rsidRDefault="005927EA" w:rsidP="005927EA">
      <w:pPr>
        <w:pStyle w:val="FootnoteText"/>
      </w:pPr>
      <w:r>
        <w:rPr>
          <w:rStyle w:val="FootnoteReference"/>
        </w:rPr>
        <w:footnoteRef/>
      </w:r>
      <w:r>
        <w:t xml:space="preserve"> </w:t>
      </w:r>
      <w:r>
        <w:tab/>
        <w:t>Railway provides for a low carbon footprint, low emissions, low land use, a long lifecycle of its rolling stock and it reduces congestion and increases air quality in urban areas.</w:t>
      </w:r>
    </w:p>
  </w:footnote>
  <w:footnote w:id="8">
    <w:p w14:paraId="05DDD3EB" w14:textId="77777777" w:rsidR="005927EA" w:rsidRPr="00CB4DB7" w:rsidRDefault="005927EA" w:rsidP="005927EA">
      <w:pPr>
        <w:pStyle w:val="FootnoteText"/>
        <w:rPr>
          <w:noProof/>
        </w:rPr>
      </w:pPr>
      <w:r>
        <w:rPr>
          <w:rStyle w:val="FootnoteReference"/>
        </w:rPr>
        <w:footnoteRef/>
      </w:r>
      <w:r>
        <w:t xml:space="preserve"> </w:t>
      </w:r>
      <w:r>
        <w:tab/>
        <w:t>I</w:t>
      </w:r>
      <w:r w:rsidRPr="00CB4DB7">
        <w:t>nterpretative</w:t>
      </w:r>
      <w:r w:rsidRPr="00CB4DB7">
        <w:rPr>
          <w:noProof/>
        </w:rPr>
        <w:t xml:space="preserve"> guidelines concerning Regulation (EC) No 1370/2007 on public passenger transport services by rail and by road</w:t>
      </w:r>
      <w:r>
        <w:rPr>
          <w:noProof/>
        </w:rPr>
        <w:t xml:space="preserve">, </w:t>
      </w:r>
      <w:r w:rsidRPr="00CB4DB7">
        <w:rPr>
          <w:noProof/>
        </w:rPr>
        <w:t>OJ C 92, 29.3.2014, p. 1</w:t>
      </w:r>
      <w:r>
        <w:rPr>
          <w:noProof/>
        </w:rPr>
        <w:t>.</w:t>
      </w:r>
    </w:p>
  </w:footnote>
  <w:footnote w:id="9">
    <w:p w14:paraId="2A17A003" w14:textId="77777777" w:rsidR="005927EA" w:rsidRPr="00517618" w:rsidRDefault="005927EA" w:rsidP="005927EA">
      <w:pPr>
        <w:pStyle w:val="FootnoteText"/>
      </w:pPr>
      <w:r>
        <w:rPr>
          <w:rStyle w:val="FootnoteReference"/>
        </w:rPr>
        <w:footnoteRef/>
      </w:r>
      <w:r>
        <w:tab/>
      </w:r>
      <w:r w:rsidRPr="00C84309">
        <w:rPr>
          <w:szCs w:val="24"/>
          <w:lang w:val="pt-PT"/>
        </w:rPr>
        <w:t>COM(2019)</w:t>
      </w:r>
      <w:r w:rsidRPr="00F25357">
        <w:t>640</w:t>
      </w:r>
      <w:r w:rsidRPr="00C84309">
        <w:rPr>
          <w:szCs w:val="24"/>
          <w:lang w:val="pt-PT"/>
        </w:rPr>
        <w:t xml:space="preserve"> final</w:t>
      </w:r>
      <w:r>
        <w:rPr>
          <w:szCs w:val="24"/>
          <w:lang w:val="pt-PT"/>
        </w:rPr>
        <w:t>, ST 15051/19 + ADD 1.</w:t>
      </w:r>
    </w:p>
  </w:footnote>
  <w:footnote w:id="10">
    <w:p w14:paraId="2A368744" w14:textId="77777777" w:rsidR="005927EA" w:rsidRPr="00F25357" w:rsidRDefault="005927EA" w:rsidP="005927EA">
      <w:pPr>
        <w:pStyle w:val="FootnoteText"/>
      </w:pPr>
      <w:r>
        <w:rPr>
          <w:rStyle w:val="FootnoteReference"/>
        </w:rPr>
        <w:footnoteRef/>
      </w:r>
      <w:r>
        <w:t xml:space="preserve"> </w:t>
      </w:r>
      <w:r w:rsidRPr="00F25357">
        <w:tab/>
        <w:t>EUCO 29/19.</w:t>
      </w:r>
    </w:p>
  </w:footnote>
  <w:footnote w:id="11">
    <w:p w14:paraId="08F008BC" w14:textId="77777777" w:rsidR="005927EA" w:rsidRPr="00056CA1" w:rsidRDefault="005927EA" w:rsidP="005927EA">
      <w:pPr>
        <w:pStyle w:val="FootnoteText"/>
      </w:pPr>
      <w:r>
        <w:rPr>
          <w:rStyle w:val="FootnoteReference"/>
        </w:rPr>
        <w:footnoteRef/>
      </w:r>
      <w:r>
        <w:t xml:space="preserve"> </w:t>
      </w:r>
      <w:r w:rsidRPr="00056CA1">
        <w:tab/>
        <w:t>The transport ministers of Norway and Switzerland regularly participate.</w:t>
      </w:r>
    </w:p>
  </w:footnote>
  <w:footnote w:id="12">
    <w:p w14:paraId="7B8BBD48" w14:textId="77777777" w:rsidR="005927EA" w:rsidRPr="00EE1C7F" w:rsidRDefault="005927EA" w:rsidP="005927EA">
      <w:pPr>
        <w:pStyle w:val="FootnoteText"/>
      </w:pPr>
      <w:r>
        <w:rPr>
          <w:rStyle w:val="FootnoteReference"/>
        </w:rPr>
        <w:footnoteRef/>
      </w:r>
      <w:r w:rsidRPr="00EE1C7F">
        <w:t xml:space="preserve"> </w:t>
      </w:r>
      <w:r w:rsidRPr="00EE1C7F">
        <w:tab/>
        <w:t>COM(2020) 789 final, ST 14012/20 + ADD1</w:t>
      </w:r>
      <w:r w:rsidRPr="00EE1C7F">
        <w:rPr>
          <w:lang w:eastAsia="en-GB"/>
        </w:rPr>
        <w:t>.</w:t>
      </w:r>
    </w:p>
  </w:footnote>
  <w:footnote w:id="13">
    <w:p w14:paraId="3AE95AB5" w14:textId="77777777" w:rsidR="005927EA" w:rsidRPr="00BE03D0" w:rsidRDefault="005927EA" w:rsidP="005927EA">
      <w:pPr>
        <w:pStyle w:val="FootnoteText"/>
      </w:pPr>
      <w:r>
        <w:rPr>
          <w:rStyle w:val="FootnoteReference"/>
        </w:rPr>
        <w:footnoteRef/>
      </w:r>
      <w:r w:rsidRPr="00BE03D0">
        <w:t xml:space="preserve"> </w:t>
      </w:r>
      <w:r w:rsidRPr="00BE03D0">
        <w:tab/>
        <w:t>OJ L 437, 28.12.2020, p. 108.</w:t>
      </w:r>
    </w:p>
  </w:footnote>
  <w:footnote w:id="14">
    <w:p w14:paraId="2549ACCB" w14:textId="77777777" w:rsidR="005927EA" w:rsidRPr="0084754E" w:rsidRDefault="005927EA" w:rsidP="005927EA">
      <w:pPr>
        <w:pStyle w:val="FootnoteText"/>
        <w:rPr>
          <w:lang w:val="nl-BE"/>
        </w:rPr>
      </w:pPr>
      <w:r>
        <w:rPr>
          <w:rStyle w:val="FootnoteReference"/>
        </w:rPr>
        <w:footnoteRef/>
      </w:r>
      <w:r w:rsidRPr="0084754E">
        <w:rPr>
          <w:lang w:val="nl-BE"/>
        </w:rPr>
        <w:t xml:space="preserve"> </w:t>
      </w:r>
      <w:r>
        <w:rPr>
          <w:lang w:val="nl-BE"/>
        </w:rPr>
        <w:tab/>
      </w:r>
      <w:r>
        <w:rPr>
          <w:lang w:val="nl-BE"/>
        </w:rPr>
        <w:t>OJ L 57, 18.2.2021, p. 17.</w:t>
      </w:r>
    </w:p>
  </w:footnote>
  <w:footnote w:id="15">
    <w:p w14:paraId="1676B5D3" w14:textId="77777777" w:rsidR="005927EA" w:rsidRPr="00F25357" w:rsidRDefault="005927EA" w:rsidP="005927EA">
      <w:pPr>
        <w:pStyle w:val="FootnoteText"/>
        <w:rPr>
          <w:lang w:val="nl-NL"/>
        </w:rPr>
      </w:pPr>
      <w:r>
        <w:rPr>
          <w:rStyle w:val="FootnoteReference"/>
        </w:rPr>
        <w:footnoteRef/>
      </w:r>
      <w:r w:rsidRPr="00F25357">
        <w:rPr>
          <w:lang w:val="nl-NL"/>
        </w:rPr>
        <w:t xml:space="preserve"> </w:t>
      </w:r>
      <w:r w:rsidRPr="00F25357">
        <w:rPr>
          <w:lang w:val="nl-NL"/>
        </w:rPr>
        <w:tab/>
      </w:r>
      <w:r w:rsidRPr="00F25357">
        <w:rPr>
          <w:lang w:val="nl-NL"/>
        </w:rPr>
        <w:t xml:space="preserve">EESC TEN/727, ST </w:t>
      </w:r>
      <w:r>
        <w:rPr>
          <w:lang w:val="nl-NL"/>
        </w:rPr>
        <w:t>76</w:t>
      </w:r>
      <w:r w:rsidRPr="00F25357">
        <w:rPr>
          <w:lang w:val="nl-NL"/>
        </w:rPr>
        <w:t>14/21.</w:t>
      </w:r>
    </w:p>
  </w:footnote>
  <w:footnote w:id="16">
    <w:p w14:paraId="632A1D77" w14:textId="77777777" w:rsidR="005927EA" w:rsidRPr="00201F71" w:rsidRDefault="005927EA" w:rsidP="005927EA">
      <w:pPr>
        <w:pStyle w:val="FootnoteText"/>
      </w:pPr>
      <w:r>
        <w:rPr>
          <w:rStyle w:val="FootnoteReference"/>
        </w:rPr>
        <w:footnoteRef/>
      </w:r>
      <w:r>
        <w:t xml:space="preserve"> </w:t>
      </w:r>
      <w:r>
        <w:tab/>
        <w:t>Railway provides for a low carbon footprint, low emissions, low land use, a long lifecycle of its rolling stock and it reduces congestion and increases air quality in urban areas.</w:t>
      </w:r>
    </w:p>
  </w:footnote>
  <w:footnote w:id="17">
    <w:p w14:paraId="61B958D0" w14:textId="77777777" w:rsidR="005927EA" w:rsidRPr="00CB4DB7" w:rsidRDefault="005927EA" w:rsidP="005927EA">
      <w:pPr>
        <w:pStyle w:val="FootnoteText"/>
        <w:rPr>
          <w:noProof/>
        </w:rPr>
      </w:pPr>
      <w:r>
        <w:rPr>
          <w:rStyle w:val="FootnoteReference"/>
        </w:rPr>
        <w:footnoteRef/>
      </w:r>
      <w:r>
        <w:t xml:space="preserve"> </w:t>
      </w:r>
      <w:r>
        <w:tab/>
        <w:t>I</w:t>
      </w:r>
      <w:r w:rsidRPr="00CB4DB7">
        <w:t>nterpretative</w:t>
      </w:r>
      <w:r w:rsidRPr="00CB4DB7">
        <w:rPr>
          <w:noProof/>
        </w:rPr>
        <w:t xml:space="preserve"> guidelines concerning Regulation (EC) No 1370/2007 on public passenger transport services by rail and by road</w:t>
      </w:r>
      <w:r>
        <w:rPr>
          <w:noProof/>
        </w:rPr>
        <w:t xml:space="preserve">, </w:t>
      </w:r>
      <w:r w:rsidRPr="00CB4DB7">
        <w:rPr>
          <w:noProof/>
        </w:rPr>
        <w:t>OJ C 92, 29.3.2014, p. 1</w:t>
      </w:r>
      <w:r>
        <w:rPr>
          <w:noProof/>
        </w:rPr>
        <w:t>.</w:t>
      </w:r>
    </w:p>
  </w:footnote>
  <w:footnote w:id="18">
    <w:p w14:paraId="1E9103B3" w14:textId="77777777" w:rsidR="005927EA" w:rsidRPr="00517618" w:rsidRDefault="005927EA" w:rsidP="005927EA">
      <w:pPr>
        <w:pStyle w:val="FootnoteText"/>
      </w:pPr>
      <w:r>
        <w:rPr>
          <w:rStyle w:val="FootnoteReference"/>
        </w:rPr>
        <w:footnoteRef/>
      </w:r>
      <w:r>
        <w:tab/>
      </w:r>
      <w:r w:rsidRPr="00C84309">
        <w:rPr>
          <w:szCs w:val="24"/>
          <w:lang w:val="pt-PT"/>
        </w:rPr>
        <w:t>COM(2019)</w:t>
      </w:r>
      <w:r w:rsidRPr="00F25357">
        <w:t>640</w:t>
      </w:r>
      <w:r w:rsidRPr="00C84309">
        <w:rPr>
          <w:szCs w:val="24"/>
          <w:lang w:val="pt-PT"/>
        </w:rPr>
        <w:t xml:space="preserve"> final</w:t>
      </w:r>
      <w:r>
        <w:rPr>
          <w:szCs w:val="24"/>
          <w:lang w:val="pt-PT"/>
        </w:rPr>
        <w:t>, ST 15051/19 + ADD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152"/>
    <w:multiLevelType w:val="hybridMultilevel"/>
    <w:tmpl w:val="F27E57C0"/>
    <w:lvl w:ilvl="0" w:tplc="B0DEBC26">
      <w:start w:val="5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495604"/>
    <w:multiLevelType w:val="multilevel"/>
    <w:tmpl w:val="089C9526"/>
    <w:name w:val="Points"/>
    <w:lvl w:ilvl="0">
      <w:start w:val="1"/>
      <w:numFmt w:val="decimal"/>
      <w:lvlRestart w:val="0"/>
      <w:pStyle w:val="Point123"/>
      <w:lvlText w:val="%1."/>
      <w:lvlJc w:val="left"/>
      <w:pPr>
        <w:tabs>
          <w:tab w:val="num" w:pos="567"/>
        </w:tabs>
        <w:ind w:left="567" w:hanging="567"/>
      </w:pPr>
      <w:rPr>
        <w:rFonts w:hint="default"/>
        <w:bdr w:val="none" w:sz="0" w:space="0" w:color="auto"/>
      </w:rPr>
    </w:lvl>
    <w:lvl w:ilvl="1">
      <w:start w:val="1"/>
      <w:numFmt w:val="lowerLetter"/>
      <w:pStyle w:val="Pointabc"/>
      <w:lvlText w:val="%2)"/>
      <w:lvlJc w:val="left"/>
      <w:pPr>
        <w:tabs>
          <w:tab w:val="num" w:pos="567"/>
        </w:tabs>
        <w:ind w:left="567" w:hanging="567"/>
      </w:pPr>
      <w:rPr>
        <w:rFonts w:hint="default"/>
        <w:bdr w:val="none" w:sz="0" w:space="0" w:color="auto"/>
      </w:rPr>
    </w:lvl>
    <w:lvl w:ilvl="2">
      <w:start w:val="1"/>
      <w:numFmt w:val="decimal"/>
      <w:pStyle w:val="Point1231"/>
      <w:lvlText w:val="%3."/>
      <w:lvlJc w:val="left"/>
      <w:pPr>
        <w:tabs>
          <w:tab w:val="num" w:pos="1134"/>
        </w:tabs>
        <w:ind w:left="1134" w:hanging="567"/>
      </w:pPr>
      <w:rPr>
        <w:rFonts w:hint="default"/>
        <w:bdr w:val="none" w:sz="0" w:space="0" w:color="auto"/>
      </w:rPr>
    </w:lvl>
    <w:lvl w:ilvl="3">
      <w:start w:val="1"/>
      <w:numFmt w:val="lowerLetter"/>
      <w:pStyle w:val="Pointabc1"/>
      <w:lvlText w:val="%4)"/>
      <w:lvlJc w:val="left"/>
      <w:pPr>
        <w:tabs>
          <w:tab w:val="num" w:pos="1134"/>
        </w:tabs>
        <w:ind w:left="1134" w:hanging="567"/>
      </w:pPr>
      <w:rPr>
        <w:rFonts w:hint="default"/>
        <w:bdr w:val="none" w:sz="0" w:space="0" w:color="auto"/>
      </w:rPr>
    </w:lvl>
    <w:lvl w:ilvl="4">
      <w:start w:val="1"/>
      <w:numFmt w:val="decimal"/>
      <w:pStyle w:val="Point1232"/>
      <w:lvlText w:val="%5."/>
      <w:lvlJc w:val="left"/>
      <w:pPr>
        <w:tabs>
          <w:tab w:val="num" w:pos="1701"/>
        </w:tabs>
        <w:ind w:left="1701" w:hanging="567"/>
      </w:pPr>
      <w:rPr>
        <w:rFonts w:hint="default"/>
        <w:bdr w:val="none" w:sz="0" w:space="0" w:color="auto"/>
      </w:rPr>
    </w:lvl>
    <w:lvl w:ilvl="5">
      <w:start w:val="1"/>
      <w:numFmt w:val="lowerLetter"/>
      <w:pStyle w:val="Pointabc2"/>
      <w:lvlText w:val="%6)"/>
      <w:lvlJc w:val="left"/>
      <w:pPr>
        <w:tabs>
          <w:tab w:val="num" w:pos="1701"/>
        </w:tabs>
        <w:ind w:left="1701" w:hanging="567"/>
      </w:pPr>
      <w:rPr>
        <w:rFonts w:hint="default"/>
        <w:bdr w:val="none" w:sz="0" w:space="0" w:color="auto"/>
      </w:rPr>
    </w:lvl>
    <w:lvl w:ilvl="6">
      <w:start w:val="1"/>
      <w:numFmt w:val="decimal"/>
      <w:pStyle w:val="Point1233"/>
      <w:lvlText w:val="%7."/>
      <w:lvlJc w:val="left"/>
      <w:pPr>
        <w:tabs>
          <w:tab w:val="num" w:pos="2268"/>
        </w:tabs>
        <w:ind w:left="2268" w:hanging="567"/>
      </w:pPr>
      <w:rPr>
        <w:rFonts w:hint="default"/>
        <w:bdr w:val="none" w:sz="0" w:space="0" w:color="auto"/>
      </w:rPr>
    </w:lvl>
    <w:lvl w:ilvl="7">
      <w:start w:val="1"/>
      <w:numFmt w:val="lowerLetter"/>
      <w:pStyle w:val="Pointabc3"/>
      <w:lvlText w:val="%8)"/>
      <w:lvlJc w:val="left"/>
      <w:pPr>
        <w:tabs>
          <w:tab w:val="num" w:pos="2268"/>
        </w:tabs>
        <w:ind w:left="2268" w:hanging="567"/>
      </w:pPr>
      <w:rPr>
        <w:rFonts w:hint="default"/>
        <w:bdr w:val="none" w:sz="0" w:space="0" w:color="auto"/>
      </w:rPr>
    </w:lvl>
    <w:lvl w:ilvl="8">
      <w:start w:val="1"/>
      <w:numFmt w:val="lowerLetter"/>
      <w:pStyle w:val="Pointabc4"/>
      <w:lvlText w:val="%9)"/>
      <w:lvlJc w:val="left"/>
      <w:pPr>
        <w:tabs>
          <w:tab w:val="num" w:pos="2835"/>
        </w:tabs>
        <w:ind w:left="2835" w:hanging="567"/>
      </w:pPr>
      <w:rPr>
        <w:rFonts w:hint="default"/>
        <w:bdr w:val="none" w:sz="0" w:space="0" w:color="auto"/>
      </w:rPr>
    </w:lvl>
  </w:abstractNum>
  <w:abstractNum w:abstractNumId="2" w15:restartNumberingAfterBreak="0">
    <w:nsid w:val="079B6AAE"/>
    <w:multiLevelType w:val="hybridMultilevel"/>
    <w:tmpl w:val="AA306CBE"/>
    <w:lvl w:ilvl="0" w:tplc="B0DEBC26">
      <w:start w:val="5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9226FA"/>
    <w:multiLevelType w:val="hybridMultilevel"/>
    <w:tmpl w:val="D8BA18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8F43E7"/>
    <w:multiLevelType w:val="hybridMultilevel"/>
    <w:tmpl w:val="53DC9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85FC2"/>
    <w:multiLevelType w:val="hybridMultilevel"/>
    <w:tmpl w:val="A664E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D18317F"/>
    <w:multiLevelType w:val="hybridMultilevel"/>
    <w:tmpl w:val="31A84BD2"/>
    <w:lvl w:ilvl="0" w:tplc="B0DEBC26">
      <w:start w:val="51"/>
      <w:numFmt w:val="bullet"/>
      <w:lvlText w:val="-"/>
      <w:lvlJc w:val="left"/>
      <w:pPr>
        <w:ind w:left="720" w:hanging="360"/>
      </w:pPr>
      <w:rPr>
        <w:rFonts w:ascii="Verdana" w:eastAsiaTheme="minorHAnsi" w:hAnsi="Verdana" w:cstheme="minorBidi" w:hint="default"/>
      </w:rPr>
    </w:lvl>
    <w:lvl w:ilvl="1" w:tplc="27D2FF70">
      <w:numFmt w:val="bullet"/>
      <w:lvlText w:val="•"/>
      <w:lvlJc w:val="left"/>
      <w:pPr>
        <w:ind w:left="1800" w:hanging="720"/>
      </w:pPr>
      <w:rPr>
        <w:rFonts w:ascii="Verdana" w:eastAsiaTheme="minorHAnsi" w:hAnsi="Verdana"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8B5857"/>
    <w:multiLevelType w:val="hybridMultilevel"/>
    <w:tmpl w:val="B074DB88"/>
    <w:lvl w:ilvl="0" w:tplc="080C0001">
      <w:start w:val="1"/>
      <w:numFmt w:val="bullet"/>
      <w:lvlText w:val=""/>
      <w:lvlJc w:val="left"/>
      <w:pPr>
        <w:ind w:left="720" w:hanging="360"/>
      </w:pPr>
      <w:rPr>
        <w:rFonts w:ascii="Symbol" w:hAnsi="Symbol" w:hint="default"/>
      </w:rPr>
    </w:lvl>
    <w:lvl w:ilvl="1" w:tplc="27D2FF70">
      <w:numFmt w:val="bullet"/>
      <w:lvlText w:val="•"/>
      <w:lvlJc w:val="left"/>
      <w:pPr>
        <w:ind w:left="1800" w:hanging="720"/>
      </w:pPr>
      <w:rPr>
        <w:rFonts w:ascii="Verdana" w:eastAsiaTheme="minorHAnsi" w:hAnsi="Verdana"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CA4210B"/>
    <w:multiLevelType w:val="hybridMultilevel"/>
    <w:tmpl w:val="9A8E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965BD"/>
    <w:multiLevelType w:val="hybridMultilevel"/>
    <w:tmpl w:val="85C8C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F042526"/>
    <w:multiLevelType w:val="hybridMultilevel"/>
    <w:tmpl w:val="AC28FA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7"/>
  </w:num>
  <w:num w:numId="5">
    <w:abstractNumId w:val="0"/>
  </w:num>
  <w:num w:numId="6">
    <w:abstractNumId w:val="2"/>
  </w:num>
  <w:num w:numId="7">
    <w:abstractNumId w:val="8"/>
  </w:num>
  <w:num w:numId="8">
    <w:abstractNumId w:val="6"/>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6A9A"/>
    <w:rsid w:val="00054D5A"/>
    <w:rsid w:val="00061C16"/>
    <w:rsid w:val="00096422"/>
    <w:rsid w:val="000A0852"/>
    <w:rsid w:val="000A3A53"/>
    <w:rsid w:val="000C317F"/>
    <w:rsid w:val="000D37E5"/>
    <w:rsid w:val="00177218"/>
    <w:rsid w:val="00187E62"/>
    <w:rsid w:val="001E0F08"/>
    <w:rsid w:val="0025095F"/>
    <w:rsid w:val="002601D9"/>
    <w:rsid w:val="00282B80"/>
    <w:rsid w:val="002A5083"/>
    <w:rsid w:val="002C242B"/>
    <w:rsid w:val="002F55BE"/>
    <w:rsid w:val="0035057F"/>
    <w:rsid w:val="00355289"/>
    <w:rsid w:val="00360922"/>
    <w:rsid w:val="003B4C30"/>
    <w:rsid w:val="003C78D1"/>
    <w:rsid w:val="003D1BF3"/>
    <w:rsid w:val="003E2261"/>
    <w:rsid w:val="004136FE"/>
    <w:rsid w:val="00481529"/>
    <w:rsid w:val="004A5A7B"/>
    <w:rsid w:val="004B54FF"/>
    <w:rsid w:val="004C43B0"/>
    <w:rsid w:val="00513E95"/>
    <w:rsid w:val="00541EBA"/>
    <w:rsid w:val="00555A0B"/>
    <w:rsid w:val="00573E19"/>
    <w:rsid w:val="005927EA"/>
    <w:rsid w:val="005B01F0"/>
    <w:rsid w:val="005B7C14"/>
    <w:rsid w:val="005D414D"/>
    <w:rsid w:val="00606390"/>
    <w:rsid w:val="006A6BD9"/>
    <w:rsid w:val="006C06BA"/>
    <w:rsid w:val="006C1241"/>
    <w:rsid w:val="006C1A26"/>
    <w:rsid w:val="006C653C"/>
    <w:rsid w:val="006D0B23"/>
    <w:rsid w:val="00734A3B"/>
    <w:rsid w:val="00750257"/>
    <w:rsid w:val="007852FD"/>
    <w:rsid w:val="007C0187"/>
    <w:rsid w:val="007C7CD3"/>
    <w:rsid w:val="008054A7"/>
    <w:rsid w:val="008065A5"/>
    <w:rsid w:val="00840988"/>
    <w:rsid w:val="00854A29"/>
    <w:rsid w:val="00867784"/>
    <w:rsid w:val="008D1C26"/>
    <w:rsid w:val="008F55C4"/>
    <w:rsid w:val="0090345A"/>
    <w:rsid w:val="009277BC"/>
    <w:rsid w:val="00947FC3"/>
    <w:rsid w:val="0098141E"/>
    <w:rsid w:val="00A0554C"/>
    <w:rsid w:val="00A10516"/>
    <w:rsid w:val="00A5443F"/>
    <w:rsid w:val="00A9576D"/>
    <w:rsid w:val="00AD55B8"/>
    <w:rsid w:val="00B30927"/>
    <w:rsid w:val="00B515CD"/>
    <w:rsid w:val="00B72367"/>
    <w:rsid w:val="00B941E0"/>
    <w:rsid w:val="00BF003C"/>
    <w:rsid w:val="00C91A52"/>
    <w:rsid w:val="00CD5C83"/>
    <w:rsid w:val="00CE0F94"/>
    <w:rsid w:val="00D11DAB"/>
    <w:rsid w:val="00D52168"/>
    <w:rsid w:val="00D6771C"/>
    <w:rsid w:val="00D92497"/>
    <w:rsid w:val="00DB4EAE"/>
    <w:rsid w:val="00DF0365"/>
    <w:rsid w:val="00E41423"/>
    <w:rsid w:val="00E47FF5"/>
    <w:rsid w:val="00E62CBF"/>
    <w:rsid w:val="00EA0706"/>
    <w:rsid w:val="00EB5AEF"/>
    <w:rsid w:val="00EC2C6C"/>
    <w:rsid w:val="00EC688E"/>
    <w:rsid w:val="00F01C12"/>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aliases w:val="single space,Footnote text,fn,Schriftart: 9 pt,Schriftart: 10 pt,Schriftart: 8 pt,WB-Fußnotentext"/>
    <w:basedOn w:val="Normal"/>
    <w:link w:val="FootnoteTextChar"/>
    <w:unhideWhenUsed/>
    <w:qFormat/>
    <w:rsid w:val="00840988"/>
    <w:pPr>
      <w:spacing w:after="0" w:line="240" w:lineRule="auto"/>
    </w:pPr>
    <w:rPr>
      <w:rFonts w:ascii="Arial" w:eastAsia="Times New Roman" w:hAnsi="Arial" w:cs="Times New Roman"/>
      <w:sz w:val="20"/>
      <w:szCs w:val="20"/>
      <w:lang w:val="en-GB"/>
    </w:rPr>
  </w:style>
  <w:style w:type="character" w:customStyle="1" w:styleId="FootnoteTextChar">
    <w:name w:val="Footnote Text Char"/>
    <w:aliases w:val="single space Char,Footnote text Char,fn Char,Schriftart: 9 pt Char,Schriftart: 10 pt Char,Schriftart: 8 pt Char,WB-Fußnotentext Char"/>
    <w:basedOn w:val="DefaultParagraphFont"/>
    <w:link w:val="FootnoteText"/>
    <w:rsid w:val="00840988"/>
    <w:rPr>
      <w:rFonts w:ascii="Arial" w:eastAsia="Times New Roman" w:hAnsi="Arial" w:cs="Times New Roman"/>
      <w:sz w:val="20"/>
      <w:szCs w:val="20"/>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nhideWhenUsed/>
    <w:qFormat/>
    <w:rsid w:val="00840988"/>
    <w:rPr>
      <w:vertAlign w:val="superscript"/>
    </w:rPr>
  </w:style>
  <w:style w:type="character" w:customStyle="1" w:styleId="ListParagraphChar">
    <w:name w:val="List Paragraph Char"/>
    <w:link w:val="ListParagraph"/>
    <w:uiPriority w:val="34"/>
    <w:locked/>
    <w:rsid w:val="00840988"/>
    <w:rPr>
      <w:rFonts w:ascii="Verdana" w:hAnsi="Verdana"/>
      <w:sz w:val="24"/>
    </w:rPr>
  </w:style>
  <w:style w:type="character" w:styleId="CommentReference">
    <w:name w:val="annotation reference"/>
    <w:basedOn w:val="DefaultParagraphFont"/>
    <w:uiPriority w:val="99"/>
    <w:semiHidden/>
    <w:unhideWhenUsed/>
    <w:rsid w:val="008D1C26"/>
    <w:rPr>
      <w:sz w:val="16"/>
      <w:szCs w:val="16"/>
    </w:rPr>
  </w:style>
  <w:style w:type="paragraph" w:styleId="CommentText">
    <w:name w:val="annotation text"/>
    <w:basedOn w:val="Normal"/>
    <w:link w:val="CommentTextChar"/>
    <w:uiPriority w:val="99"/>
    <w:semiHidden/>
    <w:unhideWhenUsed/>
    <w:rsid w:val="008D1C26"/>
    <w:pPr>
      <w:spacing w:line="240" w:lineRule="auto"/>
    </w:pPr>
    <w:rPr>
      <w:sz w:val="20"/>
      <w:szCs w:val="20"/>
    </w:rPr>
  </w:style>
  <w:style w:type="character" w:customStyle="1" w:styleId="CommentTextChar">
    <w:name w:val="Comment Text Char"/>
    <w:basedOn w:val="DefaultParagraphFont"/>
    <w:link w:val="CommentText"/>
    <w:uiPriority w:val="99"/>
    <w:semiHidden/>
    <w:rsid w:val="008D1C2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D1C26"/>
    <w:rPr>
      <w:b/>
      <w:bCs/>
    </w:rPr>
  </w:style>
  <w:style w:type="character" w:customStyle="1" w:styleId="CommentSubjectChar">
    <w:name w:val="Comment Subject Char"/>
    <w:basedOn w:val="CommentTextChar"/>
    <w:link w:val="CommentSubject"/>
    <w:uiPriority w:val="99"/>
    <w:semiHidden/>
    <w:rsid w:val="008D1C26"/>
    <w:rPr>
      <w:rFonts w:ascii="Verdana" w:hAnsi="Verdana"/>
      <w:b/>
      <w:bCs/>
      <w:sz w:val="20"/>
      <w:szCs w:val="20"/>
    </w:rPr>
  </w:style>
  <w:style w:type="paragraph" w:customStyle="1" w:styleId="PointManual">
    <w:name w:val="Point Manual"/>
    <w:basedOn w:val="Normal"/>
    <w:rsid w:val="00026A9A"/>
    <w:pPr>
      <w:spacing w:before="120" w:after="120" w:line="360" w:lineRule="auto"/>
      <w:ind w:left="567" w:hanging="567"/>
    </w:pPr>
    <w:rPr>
      <w:rFonts w:ascii="Times New Roman" w:hAnsi="Times New Roman" w:cs="Times New Roman"/>
      <w:lang w:val="en-GB"/>
    </w:rPr>
  </w:style>
  <w:style w:type="paragraph" w:customStyle="1" w:styleId="PointManual1">
    <w:name w:val="Point Manual (1)"/>
    <w:basedOn w:val="Normal"/>
    <w:rsid w:val="005927EA"/>
    <w:pPr>
      <w:spacing w:before="120" w:after="120" w:line="360" w:lineRule="auto"/>
      <w:ind w:left="1134" w:hanging="567"/>
    </w:pPr>
    <w:rPr>
      <w:rFonts w:ascii="Times New Roman" w:hAnsi="Times New Roman" w:cs="Times New Roman"/>
      <w:lang w:val="en-GB"/>
    </w:rPr>
  </w:style>
  <w:style w:type="paragraph" w:customStyle="1" w:styleId="Pointabc">
    <w:name w:val="Point abc"/>
    <w:basedOn w:val="Normal"/>
    <w:rsid w:val="005927EA"/>
    <w:pPr>
      <w:numPr>
        <w:ilvl w:val="1"/>
        <w:numId w:val="12"/>
      </w:numPr>
      <w:tabs>
        <w:tab w:val="clear" w:pos="567"/>
        <w:tab w:val="num" w:pos="360"/>
      </w:tabs>
      <w:spacing w:before="120" w:after="120" w:line="360" w:lineRule="auto"/>
      <w:ind w:left="0" w:firstLine="0"/>
    </w:pPr>
    <w:rPr>
      <w:rFonts w:ascii="Times New Roman" w:hAnsi="Times New Roman" w:cs="Times New Roman"/>
      <w:lang w:val="en-GB"/>
    </w:rPr>
  </w:style>
  <w:style w:type="paragraph" w:customStyle="1" w:styleId="Pointabc1">
    <w:name w:val="Point abc (1)"/>
    <w:basedOn w:val="Normal"/>
    <w:rsid w:val="005927EA"/>
    <w:pPr>
      <w:numPr>
        <w:ilvl w:val="3"/>
        <w:numId w:val="12"/>
      </w:numPr>
      <w:tabs>
        <w:tab w:val="clear" w:pos="1134"/>
        <w:tab w:val="num" w:pos="360"/>
      </w:tabs>
      <w:spacing w:before="120" w:after="120" w:line="360" w:lineRule="auto"/>
      <w:ind w:left="0" w:firstLine="0"/>
    </w:pPr>
    <w:rPr>
      <w:rFonts w:ascii="Times New Roman" w:hAnsi="Times New Roman" w:cs="Times New Roman"/>
      <w:lang w:val="en-GB"/>
    </w:rPr>
  </w:style>
  <w:style w:type="paragraph" w:customStyle="1" w:styleId="Pointabc2">
    <w:name w:val="Point abc (2)"/>
    <w:basedOn w:val="Normal"/>
    <w:rsid w:val="005927EA"/>
    <w:pPr>
      <w:numPr>
        <w:ilvl w:val="5"/>
        <w:numId w:val="12"/>
      </w:numPr>
      <w:tabs>
        <w:tab w:val="clear" w:pos="1701"/>
        <w:tab w:val="num" w:pos="360"/>
      </w:tabs>
      <w:spacing w:before="120" w:after="120" w:line="360" w:lineRule="auto"/>
      <w:ind w:left="0" w:firstLine="0"/>
    </w:pPr>
    <w:rPr>
      <w:rFonts w:ascii="Times New Roman" w:hAnsi="Times New Roman" w:cs="Times New Roman"/>
      <w:lang w:val="en-GB"/>
    </w:rPr>
  </w:style>
  <w:style w:type="paragraph" w:customStyle="1" w:styleId="Pointabc3">
    <w:name w:val="Point abc (3)"/>
    <w:basedOn w:val="Normal"/>
    <w:rsid w:val="005927EA"/>
    <w:pPr>
      <w:numPr>
        <w:ilvl w:val="7"/>
        <w:numId w:val="12"/>
      </w:numPr>
      <w:tabs>
        <w:tab w:val="clear" w:pos="2268"/>
        <w:tab w:val="num" w:pos="360"/>
      </w:tabs>
      <w:spacing w:before="120" w:after="120" w:line="360" w:lineRule="auto"/>
      <w:ind w:left="0" w:firstLine="0"/>
    </w:pPr>
    <w:rPr>
      <w:rFonts w:ascii="Times New Roman" w:hAnsi="Times New Roman" w:cs="Times New Roman"/>
      <w:lang w:val="en-GB"/>
    </w:rPr>
  </w:style>
  <w:style w:type="paragraph" w:customStyle="1" w:styleId="Pointabc4">
    <w:name w:val="Point abc (4)"/>
    <w:basedOn w:val="Normal"/>
    <w:rsid w:val="005927EA"/>
    <w:pPr>
      <w:numPr>
        <w:ilvl w:val="8"/>
        <w:numId w:val="12"/>
      </w:numPr>
      <w:tabs>
        <w:tab w:val="clear" w:pos="2835"/>
        <w:tab w:val="num" w:pos="360"/>
      </w:tabs>
      <w:spacing w:before="120" w:after="120" w:line="360" w:lineRule="auto"/>
      <w:ind w:left="0" w:firstLine="0"/>
    </w:pPr>
    <w:rPr>
      <w:rFonts w:ascii="Times New Roman" w:hAnsi="Times New Roman" w:cs="Times New Roman"/>
      <w:lang w:val="en-GB"/>
    </w:rPr>
  </w:style>
  <w:style w:type="paragraph" w:customStyle="1" w:styleId="Point123">
    <w:name w:val="Point 123"/>
    <w:basedOn w:val="Normal"/>
    <w:rsid w:val="005927EA"/>
    <w:pPr>
      <w:numPr>
        <w:numId w:val="12"/>
      </w:numPr>
      <w:spacing w:before="120" w:after="120" w:line="360" w:lineRule="auto"/>
    </w:pPr>
    <w:rPr>
      <w:rFonts w:ascii="Times New Roman" w:hAnsi="Times New Roman" w:cs="Times New Roman"/>
      <w:lang w:val="en-GB"/>
    </w:rPr>
  </w:style>
  <w:style w:type="paragraph" w:customStyle="1" w:styleId="Point1231">
    <w:name w:val="Point 123 (1)"/>
    <w:basedOn w:val="Normal"/>
    <w:rsid w:val="005927EA"/>
    <w:pPr>
      <w:numPr>
        <w:ilvl w:val="2"/>
        <w:numId w:val="12"/>
      </w:numPr>
      <w:tabs>
        <w:tab w:val="clear" w:pos="1134"/>
        <w:tab w:val="num" w:pos="360"/>
      </w:tabs>
      <w:spacing w:before="120" w:after="120" w:line="360" w:lineRule="auto"/>
      <w:ind w:left="0" w:firstLine="0"/>
    </w:pPr>
    <w:rPr>
      <w:rFonts w:ascii="Times New Roman" w:hAnsi="Times New Roman" w:cs="Times New Roman"/>
      <w:lang w:val="en-GB"/>
    </w:rPr>
  </w:style>
  <w:style w:type="paragraph" w:customStyle="1" w:styleId="Point1232">
    <w:name w:val="Point 123 (2)"/>
    <w:basedOn w:val="Normal"/>
    <w:rsid w:val="005927EA"/>
    <w:pPr>
      <w:numPr>
        <w:ilvl w:val="4"/>
        <w:numId w:val="12"/>
      </w:numPr>
      <w:tabs>
        <w:tab w:val="clear" w:pos="1701"/>
        <w:tab w:val="num" w:pos="360"/>
      </w:tabs>
      <w:spacing w:before="120" w:after="120" w:line="360" w:lineRule="auto"/>
      <w:ind w:left="0" w:firstLine="0"/>
    </w:pPr>
    <w:rPr>
      <w:rFonts w:ascii="Times New Roman" w:hAnsi="Times New Roman" w:cs="Times New Roman"/>
      <w:lang w:val="en-GB"/>
    </w:rPr>
  </w:style>
  <w:style w:type="paragraph" w:customStyle="1" w:styleId="Point1233">
    <w:name w:val="Point 123 (3)"/>
    <w:basedOn w:val="Normal"/>
    <w:rsid w:val="005927EA"/>
    <w:pPr>
      <w:numPr>
        <w:ilvl w:val="6"/>
        <w:numId w:val="12"/>
      </w:numPr>
      <w:tabs>
        <w:tab w:val="clear" w:pos="2268"/>
        <w:tab w:val="num" w:pos="360"/>
      </w:tabs>
      <w:spacing w:before="120" w:after="120" w:line="360" w:lineRule="auto"/>
      <w:ind w:left="0" w:firstLine="0"/>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edf-feph.org" TargetMode="External"/><Relationship Id="rId2" Type="http://schemas.openxmlformats.org/officeDocument/2006/relationships/numbering" Target="numbering.xml"/><Relationship Id="rId16" Type="http://schemas.openxmlformats.org/officeDocument/2006/relationships/hyperlink" Target="http://www.edf-fep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edf-feph.org"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67B9F-B382-499B-8486-1DD8F80E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4617</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marie denninghaus</cp:lastModifiedBy>
  <cp:revision>9</cp:revision>
  <dcterms:created xsi:type="dcterms:W3CDTF">2021-04-22T10:42:00Z</dcterms:created>
  <dcterms:modified xsi:type="dcterms:W3CDTF">2021-04-22T11:07:00Z</dcterms:modified>
</cp:coreProperties>
</file>