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1001614"/>
        <w:docPartObj>
          <w:docPartGallery w:val="Cover Pages"/>
          <w:docPartUnique/>
        </w:docPartObj>
      </w:sdtPr>
      <w:sdtEndPr>
        <w:rPr>
          <w:rFonts w:cs="Arial"/>
          <w:b/>
          <w:caps/>
          <w:color w:val="000000"/>
          <w:kern w:val="24"/>
          <w:u w:val="single"/>
        </w:rPr>
      </w:sdtEndPr>
      <w:sdtContent>
        <w:p w14:paraId="00914B3E" w14:textId="38CFECDD" w:rsidR="00B32328" w:rsidRDefault="00B32328" w:rsidP="00A46FB5">
          <w:pPr>
            <w:pStyle w:val="MediumGrid21"/>
          </w:pPr>
        </w:p>
        <w:p w14:paraId="475597E7" w14:textId="1C2917E2" w:rsidR="00B32328" w:rsidRDefault="00B32328" w:rsidP="00A46FB5">
          <w:pPr>
            <w:pStyle w:val="MediumGrid21"/>
            <w:rPr>
              <w:rFonts w:cs="Arial"/>
              <w:b/>
              <w:caps/>
              <w:color w:val="000000"/>
              <w:kern w:val="24"/>
              <w:u w:val="single"/>
            </w:rPr>
          </w:pPr>
          <w:r>
            <w:rPr>
              <w:noProof/>
              <w:lang w:val="fr-BE" w:eastAsia="fr-BE"/>
            </w:rPr>
            <mc:AlternateContent>
              <mc:Choice Requires="wps">
                <w:drawing>
                  <wp:anchor distT="0" distB="0" distL="114300" distR="114300" simplePos="0" relativeHeight="251656704" behindDoc="0" locked="0" layoutInCell="1" allowOverlap="1" wp14:anchorId="63264421" wp14:editId="007977D9">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12B27" w14:textId="514CAE6B" w:rsidR="006B2ABB" w:rsidRPr="00F424E7" w:rsidRDefault="006B2ABB">
                                <w:pPr>
                                  <w:pStyle w:val="NoSpacing"/>
                                  <w:jc w:val="right"/>
                                  <w:rPr>
                                    <w:rFonts w:ascii="Arial" w:hAnsi="Arial" w:cs="Arial"/>
                                    <w:color w:val="FFFFFF" w:themeColor="background1"/>
                                    <w:sz w:val="24"/>
                                    <w:szCs w:val="24"/>
                                  </w:rPr>
                                </w:pPr>
                                <w:r w:rsidRPr="00F424E7">
                                  <w:rPr>
                                    <w:rFonts w:ascii="Arial" w:hAnsi="Arial" w:cs="Arial"/>
                                    <w:color w:val="FFFFFF" w:themeColor="background1"/>
                                    <w:sz w:val="24"/>
                                    <w:szCs w:val="24"/>
                                  </w:rPr>
                                  <w:t>2019</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3264421" id="Rectangle 132" o:spid="_x0000_s1026" style="position:absolute;margin-left:-4.4pt;margin-top:0;width:46.8pt;height:77.75pt;z-index:25165670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" fillcolor="#4f81bd [3204]" stroked="f" strokeweight="2pt">
                    <v:path arrowok="t"/>
                    <o:lock v:ext="edit" aspectratio="t"/>
                    <v:textbox inset="3.6pt,,3.6pt">
                      <w:txbxContent>
                        <w:p w14:paraId="30712B27" w14:textId="514CAE6B" w:rsidR="006B2ABB" w:rsidRPr="00F424E7" w:rsidRDefault="006B2ABB">
                          <w:pPr>
                            <w:pStyle w:val="NoSpacing"/>
                            <w:jc w:val="right"/>
                            <w:rPr>
                              <w:rFonts w:ascii="Arial" w:hAnsi="Arial" w:cs="Arial"/>
                              <w:color w:val="FFFFFF" w:themeColor="background1"/>
                              <w:sz w:val="24"/>
                              <w:szCs w:val="24"/>
                            </w:rPr>
                          </w:pPr>
                          <w:r w:rsidRPr="00F424E7">
                            <w:rPr>
                              <w:rFonts w:ascii="Arial" w:hAnsi="Arial" w:cs="Arial"/>
                              <w:color w:val="FFFFFF" w:themeColor="background1"/>
                              <w:sz w:val="24"/>
                              <w:szCs w:val="24"/>
                            </w:rPr>
                            <w:t>2019</w:t>
                          </w:r>
                        </w:p>
                      </w:txbxContent>
                    </v:textbox>
                    <w10:wrap anchorx="margin" anchory="page"/>
                  </v:rect>
                </w:pict>
              </mc:Fallback>
            </mc:AlternateContent>
          </w:r>
        </w:p>
      </w:sdtContent>
    </w:sdt>
    <w:p w14:paraId="06D32F6B" w14:textId="77777777" w:rsidR="005E553C" w:rsidRDefault="005E553C" w:rsidP="00A46FB5">
      <w:pPr>
        <w:pStyle w:val="MediumGrid21"/>
        <w:rPr>
          <w:rFonts w:cs="Arial"/>
          <w:b/>
          <w:caps/>
          <w:color w:val="000000"/>
          <w:kern w:val="24"/>
          <w:u w:val="single"/>
        </w:rPr>
      </w:pPr>
    </w:p>
    <w:p w14:paraId="39B160C5" w14:textId="77777777" w:rsidR="005E553C" w:rsidRDefault="005E553C" w:rsidP="00A46FB5">
      <w:pPr>
        <w:pStyle w:val="MediumGrid21"/>
        <w:rPr>
          <w:rFonts w:cs="Arial"/>
          <w:b/>
          <w:caps/>
          <w:color w:val="000000"/>
          <w:kern w:val="24"/>
          <w:u w:val="single"/>
        </w:rPr>
      </w:pPr>
    </w:p>
    <w:p w14:paraId="64DA35F6" w14:textId="1918FF54" w:rsidR="005E553C" w:rsidRDefault="005E553C" w:rsidP="00A46FB5">
      <w:pPr>
        <w:pStyle w:val="MediumGrid21"/>
        <w:rPr>
          <w:rFonts w:cs="Arial"/>
          <w:b/>
          <w:caps/>
          <w:color w:val="000000"/>
          <w:kern w:val="24"/>
          <w:u w:val="single"/>
        </w:rPr>
      </w:pPr>
    </w:p>
    <w:p w14:paraId="6F07EE1D" w14:textId="2150DF7A" w:rsidR="003D5713" w:rsidRDefault="003D5713" w:rsidP="00A46FB5">
      <w:pPr>
        <w:pStyle w:val="MediumGrid21"/>
        <w:rPr>
          <w:rFonts w:cs="Arial"/>
          <w:b/>
          <w:caps/>
          <w:color w:val="000000"/>
          <w:kern w:val="24"/>
          <w:u w:val="single"/>
        </w:rPr>
      </w:pPr>
    </w:p>
    <w:p w14:paraId="369A047E" w14:textId="4DAB1FF4" w:rsidR="003D5713" w:rsidRDefault="003D5713" w:rsidP="00A46FB5">
      <w:pPr>
        <w:pStyle w:val="MediumGrid21"/>
        <w:rPr>
          <w:rFonts w:cs="Arial"/>
          <w:b/>
          <w:caps/>
          <w:color w:val="000000"/>
          <w:kern w:val="24"/>
          <w:u w:val="single"/>
        </w:rPr>
      </w:pPr>
    </w:p>
    <w:p w14:paraId="6D2ADB75" w14:textId="49E8EDE2" w:rsidR="00EF120F" w:rsidRDefault="00EF120F" w:rsidP="00A46FB5">
      <w:pPr>
        <w:pStyle w:val="MediumGrid21"/>
        <w:rPr>
          <w:rFonts w:cs="Arial"/>
          <w:b/>
          <w:caps/>
          <w:color w:val="000000"/>
          <w:kern w:val="24"/>
          <w:u w:val="single"/>
        </w:rPr>
      </w:pPr>
    </w:p>
    <w:p w14:paraId="07FADBF5" w14:textId="3DD50C36" w:rsidR="005D411B" w:rsidRDefault="005D411B" w:rsidP="00A46FB5">
      <w:pPr>
        <w:pStyle w:val="MediumGrid21"/>
        <w:rPr>
          <w:rFonts w:cs="Arial"/>
          <w:b/>
          <w:caps/>
          <w:color w:val="000000"/>
          <w:kern w:val="24"/>
          <w:u w:val="single"/>
        </w:rPr>
      </w:pPr>
    </w:p>
    <w:p w14:paraId="31425506" w14:textId="77777777" w:rsidR="005D411B" w:rsidRDefault="005D411B" w:rsidP="00A46FB5">
      <w:pPr>
        <w:pStyle w:val="MediumGrid21"/>
        <w:rPr>
          <w:rFonts w:cs="Arial"/>
          <w:b/>
          <w:caps/>
          <w:color w:val="000000"/>
          <w:kern w:val="24"/>
        </w:rPr>
      </w:pPr>
    </w:p>
    <w:p w14:paraId="7DE765A6" w14:textId="77777777" w:rsidR="00EF120F" w:rsidRDefault="00EF120F" w:rsidP="00A46FB5">
      <w:pPr>
        <w:pStyle w:val="MediumGrid21"/>
        <w:rPr>
          <w:rFonts w:cs="Arial"/>
          <w:b/>
          <w:caps/>
          <w:color w:val="000000"/>
          <w:kern w:val="24"/>
        </w:rPr>
      </w:pPr>
    </w:p>
    <w:p w14:paraId="7E34DFCC" w14:textId="77777777" w:rsidR="00EF120F" w:rsidRDefault="00EF120F" w:rsidP="00A46FB5">
      <w:pPr>
        <w:pStyle w:val="MediumGrid21"/>
        <w:rPr>
          <w:rFonts w:cs="Arial"/>
          <w:b/>
          <w:caps/>
          <w:color w:val="000000"/>
          <w:kern w:val="24"/>
        </w:rPr>
      </w:pPr>
    </w:p>
    <w:p w14:paraId="7B5CB84C" w14:textId="309C1D5A" w:rsidR="00EF120F" w:rsidRPr="00785D2F" w:rsidRDefault="00475BFD" w:rsidP="00A46FB5">
      <w:pPr>
        <w:pStyle w:val="MediumGrid21"/>
        <w:jc w:val="center"/>
        <w:rPr>
          <w:b/>
        </w:rPr>
      </w:pPr>
      <w:r>
        <w:rPr>
          <w:b/>
        </w:rPr>
        <w:t>APPLICATION NO</w:t>
      </w:r>
      <w:r w:rsidR="00EF120F" w:rsidRPr="00785D2F">
        <w:rPr>
          <w:b/>
        </w:rPr>
        <w:t xml:space="preserve"> 44654/18</w:t>
      </w:r>
    </w:p>
    <w:p w14:paraId="771C8186" w14:textId="3285D0D3" w:rsidR="00EF120F" w:rsidRPr="00785D2F" w:rsidRDefault="00EF120F" w:rsidP="00A46FB5">
      <w:pPr>
        <w:pStyle w:val="MediumGrid21"/>
        <w:jc w:val="center"/>
        <w:rPr>
          <w:b/>
        </w:rPr>
      </w:pPr>
    </w:p>
    <w:p w14:paraId="35EFFF4F" w14:textId="569B21A3" w:rsidR="005E553C" w:rsidRPr="00785D2F" w:rsidRDefault="00AA4520" w:rsidP="00A46FB5">
      <w:pPr>
        <w:pStyle w:val="MediumGrid21"/>
        <w:jc w:val="center"/>
        <w:rPr>
          <w:b/>
        </w:rPr>
      </w:pPr>
      <w:bookmarkStart w:id="0" w:name="To"/>
      <w:r w:rsidRPr="00785D2F">
        <w:rPr>
          <w:b/>
          <w:bCs/>
        </w:rPr>
        <w:t>CASE OF </w:t>
      </w:r>
      <w:bookmarkEnd w:id="0"/>
      <w:r w:rsidRPr="00785D2F">
        <w:rPr>
          <w:b/>
          <w:bCs/>
        </w:rPr>
        <w:t>M.C. AND A.C. v. ROMANIA</w:t>
      </w:r>
    </w:p>
    <w:p w14:paraId="53223F15" w14:textId="60DB4CEE" w:rsidR="005E553C" w:rsidRDefault="005E553C" w:rsidP="00A46FB5">
      <w:pPr>
        <w:pStyle w:val="MediumGrid21"/>
        <w:jc w:val="center"/>
      </w:pPr>
    </w:p>
    <w:p w14:paraId="58233DE5" w14:textId="78B8A455" w:rsidR="00EF120F" w:rsidRDefault="00EF120F" w:rsidP="00A46FB5">
      <w:pPr>
        <w:pStyle w:val="MediumGrid21"/>
        <w:jc w:val="center"/>
      </w:pPr>
    </w:p>
    <w:p w14:paraId="5E853CC6" w14:textId="13589DCE" w:rsidR="00EF120F" w:rsidRDefault="00EF120F" w:rsidP="00A46FB5">
      <w:pPr>
        <w:pStyle w:val="MediumGrid21"/>
        <w:jc w:val="center"/>
      </w:pPr>
    </w:p>
    <w:p w14:paraId="49AA9970" w14:textId="28BFF569" w:rsidR="00EF120F" w:rsidRDefault="00EF120F" w:rsidP="00A46FB5">
      <w:pPr>
        <w:pStyle w:val="MediumGrid21"/>
        <w:jc w:val="center"/>
      </w:pPr>
    </w:p>
    <w:p w14:paraId="67367D95" w14:textId="77777777" w:rsidR="00EF120F" w:rsidRPr="00EF120F" w:rsidRDefault="00EF120F" w:rsidP="00A46FB5">
      <w:pPr>
        <w:pStyle w:val="MediumGrid21"/>
        <w:jc w:val="center"/>
      </w:pPr>
    </w:p>
    <w:p w14:paraId="63DAEA1C" w14:textId="0AC8D8E1" w:rsidR="005E553C" w:rsidRPr="00EF120F" w:rsidRDefault="00A94C4C" w:rsidP="00A46FB5">
      <w:pPr>
        <w:pStyle w:val="MediumGrid21"/>
        <w:jc w:val="center"/>
        <w:rPr>
          <w:u w:val="single"/>
        </w:rPr>
      </w:pPr>
      <w:r>
        <w:rPr>
          <w:u w:val="single"/>
        </w:rPr>
        <w:t>WRITTEN SUBMISSION</w:t>
      </w:r>
      <w:r w:rsidR="00581734">
        <w:rPr>
          <w:u w:val="single"/>
        </w:rPr>
        <w:t xml:space="preserve"> BY</w:t>
      </w:r>
      <w:r w:rsidR="00EF120F" w:rsidRPr="00EF120F">
        <w:rPr>
          <w:u w:val="single"/>
        </w:rPr>
        <w:t>:</w:t>
      </w:r>
    </w:p>
    <w:p w14:paraId="60541A13" w14:textId="77777777" w:rsidR="005E553C" w:rsidRPr="00EF120F" w:rsidRDefault="005E553C" w:rsidP="00A46FB5">
      <w:pPr>
        <w:pStyle w:val="MediumGrid21"/>
        <w:jc w:val="center"/>
        <w:rPr>
          <w:smallCaps/>
        </w:rPr>
      </w:pPr>
    </w:p>
    <w:p w14:paraId="6B6D7892" w14:textId="310EA008" w:rsidR="00890AD0" w:rsidRPr="00EF120F" w:rsidRDefault="00890AD0" w:rsidP="00A46FB5">
      <w:pPr>
        <w:pStyle w:val="MediumGrid21"/>
        <w:jc w:val="center"/>
      </w:pPr>
    </w:p>
    <w:p w14:paraId="40609715" w14:textId="48229D4E" w:rsidR="005E553C" w:rsidRPr="00EF120F" w:rsidRDefault="005E553C" w:rsidP="00A46FB5">
      <w:pPr>
        <w:pStyle w:val="MediumGrid21"/>
        <w:jc w:val="center"/>
      </w:pPr>
      <w:r w:rsidRPr="00EF120F">
        <w:t>European Disability Forum</w:t>
      </w:r>
    </w:p>
    <w:p w14:paraId="40B7528F" w14:textId="77777777" w:rsidR="009437AA" w:rsidRPr="00EF120F" w:rsidRDefault="009437AA" w:rsidP="00A46FB5">
      <w:pPr>
        <w:pStyle w:val="MediumGrid21"/>
        <w:jc w:val="center"/>
      </w:pPr>
    </w:p>
    <w:p w14:paraId="53E6FF21" w14:textId="4FE4334A" w:rsidR="009437AA" w:rsidRPr="006A0846" w:rsidRDefault="009437AA" w:rsidP="00A46FB5">
      <w:pPr>
        <w:pStyle w:val="MediumGrid21"/>
        <w:jc w:val="center"/>
        <w:rPr>
          <w:lang w:val="it-IT"/>
        </w:rPr>
      </w:pPr>
      <w:r w:rsidRPr="006A0846">
        <w:rPr>
          <w:lang w:val="it-IT"/>
        </w:rPr>
        <w:t>Consiliul National al Dizabilitatii din Romania</w:t>
      </w:r>
    </w:p>
    <w:p w14:paraId="5FD01841" w14:textId="77777777" w:rsidR="005E553C" w:rsidRPr="006A0846" w:rsidRDefault="005E553C" w:rsidP="00A46FB5">
      <w:pPr>
        <w:pStyle w:val="MediumGrid21"/>
        <w:jc w:val="center"/>
        <w:rPr>
          <w:lang w:val="it-IT"/>
        </w:rPr>
      </w:pPr>
    </w:p>
    <w:p w14:paraId="15D70D44" w14:textId="77777777" w:rsidR="005E553C" w:rsidRPr="006A0846" w:rsidRDefault="005E553C" w:rsidP="00A46FB5">
      <w:pPr>
        <w:pStyle w:val="MediumGrid21"/>
        <w:jc w:val="center"/>
        <w:rPr>
          <w:smallCaps/>
          <w:lang w:val="it-IT"/>
        </w:rPr>
      </w:pPr>
    </w:p>
    <w:p w14:paraId="7624A44B" w14:textId="77777777" w:rsidR="005E553C" w:rsidRPr="006A0846" w:rsidRDefault="005E553C" w:rsidP="00A46FB5">
      <w:pPr>
        <w:pStyle w:val="MediumGrid21"/>
        <w:jc w:val="center"/>
        <w:rPr>
          <w:smallCaps/>
          <w:lang w:val="it-IT"/>
        </w:rPr>
      </w:pPr>
    </w:p>
    <w:p w14:paraId="76BFD318" w14:textId="77777777" w:rsidR="005E553C" w:rsidRPr="006A0846" w:rsidRDefault="005E553C" w:rsidP="00A46FB5">
      <w:pPr>
        <w:pStyle w:val="MediumGrid21"/>
        <w:jc w:val="center"/>
        <w:rPr>
          <w:lang w:val="it-IT"/>
        </w:rPr>
      </w:pPr>
    </w:p>
    <w:p w14:paraId="381237AE" w14:textId="77777777" w:rsidR="005E553C" w:rsidRPr="006A0846" w:rsidRDefault="005E553C" w:rsidP="00A46FB5">
      <w:pPr>
        <w:pStyle w:val="MediumGrid21"/>
        <w:jc w:val="center"/>
        <w:rPr>
          <w:smallCaps/>
          <w:lang w:val="it-IT"/>
        </w:rPr>
      </w:pPr>
    </w:p>
    <w:p w14:paraId="2DEEE0B5" w14:textId="1D722770" w:rsidR="005E553C" w:rsidRPr="00785D2F" w:rsidRDefault="00EF120F" w:rsidP="00A46FB5">
      <w:pPr>
        <w:pStyle w:val="MediumGrid21"/>
        <w:jc w:val="center"/>
        <w:rPr>
          <w:b/>
          <w:smallCaps/>
        </w:rPr>
      </w:pPr>
      <w:r w:rsidRPr="00785D2F">
        <w:rPr>
          <w:b/>
          <w:smallCaps/>
        </w:rPr>
        <w:t>JULY 2019</w:t>
      </w:r>
    </w:p>
    <w:p w14:paraId="402F5912" w14:textId="4271186E" w:rsidR="005E553C" w:rsidRDefault="005E553C" w:rsidP="00A46FB5">
      <w:pPr>
        <w:pStyle w:val="MediumGrid21"/>
        <w:rPr>
          <w:smallCaps/>
        </w:rPr>
      </w:pPr>
    </w:p>
    <w:p w14:paraId="07C3197E" w14:textId="62B5AEF8" w:rsidR="00E83DF2" w:rsidRDefault="00E83DF2" w:rsidP="00A46FB5">
      <w:pPr>
        <w:pStyle w:val="MediumGrid21"/>
        <w:rPr>
          <w:rFonts w:cs="Arial"/>
          <w:b/>
          <w:smallCaps/>
          <w:color w:val="000000"/>
          <w:kern w:val="24"/>
        </w:rPr>
      </w:pPr>
    </w:p>
    <w:p w14:paraId="6F0642C6" w14:textId="5E3C883C" w:rsidR="00E83DF2" w:rsidRDefault="00E83DF2" w:rsidP="00A46FB5">
      <w:pPr>
        <w:pStyle w:val="MediumGrid21"/>
        <w:rPr>
          <w:rFonts w:cs="Arial"/>
          <w:b/>
          <w:smallCaps/>
          <w:color w:val="000000"/>
          <w:kern w:val="24"/>
        </w:rPr>
      </w:pPr>
    </w:p>
    <w:p w14:paraId="53434BA0" w14:textId="57B90D32" w:rsidR="00E83DF2" w:rsidRDefault="00E83DF2" w:rsidP="00A46FB5">
      <w:pPr>
        <w:pStyle w:val="MediumGrid21"/>
        <w:rPr>
          <w:rFonts w:cs="Arial"/>
          <w:b/>
          <w:smallCaps/>
          <w:color w:val="000000"/>
          <w:kern w:val="24"/>
        </w:rPr>
      </w:pPr>
    </w:p>
    <w:p w14:paraId="713C095C" w14:textId="273FF23A" w:rsidR="00E83DF2" w:rsidRDefault="00E83DF2" w:rsidP="00A46FB5">
      <w:pPr>
        <w:pStyle w:val="MediumGrid21"/>
        <w:rPr>
          <w:rFonts w:cs="Arial"/>
          <w:b/>
          <w:smallCaps/>
          <w:color w:val="000000"/>
          <w:kern w:val="24"/>
        </w:rPr>
      </w:pPr>
    </w:p>
    <w:p w14:paraId="5B3C72CF" w14:textId="670B8C20" w:rsidR="00E83DF2" w:rsidRDefault="00E83DF2" w:rsidP="00A46FB5">
      <w:pPr>
        <w:pStyle w:val="MediumGrid21"/>
        <w:rPr>
          <w:rFonts w:cs="Arial"/>
          <w:b/>
          <w:smallCaps/>
          <w:color w:val="000000"/>
          <w:kern w:val="24"/>
        </w:rPr>
      </w:pPr>
    </w:p>
    <w:p w14:paraId="0783C141" w14:textId="2558F955" w:rsidR="00E83DF2" w:rsidRPr="00DC464B" w:rsidRDefault="00E83DF2" w:rsidP="00A46FB5">
      <w:pPr>
        <w:pStyle w:val="MediumGrid21"/>
        <w:rPr>
          <w:rFonts w:cs="Arial"/>
          <w:b/>
          <w:smallCaps/>
          <w:color w:val="000000"/>
          <w:kern w:val="24"/>
        </w:rPr>
      </w:pPr>
    </w:p>
    <w:p w14:paraId="7378CECB" w14:textId="3FF1578F" w:rsidR="005E553C" w:rsidRPr="00DC464B" w:rsidRDefault="002D16FD" w:rsidP="00A46FB5">
      <w:pPr>
        <w:pStyle w:val="MediumGrid21"/>
        <w:rPr>
          <w:rFonts w:cs="Arial"/>
          <w:b/>
          <w:color w:val="000000"/>
        </w:rPr>
      </w:pPr>
      <w:r>
        <w:rPr>
          <w:rFonts w:cs="Arial"/>
          <w:b/>
          <w:noProof/>
          <w:color w:val="000000"/>
          <w:lang w:val="fr-BE" w:eastAsia="fr-BE"/>
        </w:rPr>
        <w:drawing>
          <wp:inline distT="0" distB="0" distL="0" distR="0" wp14:anchorId="4BC0EAF4" wp14:editId="43027B51">
            <wp:extent cx="1091681" cy="1207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DF.png"/>
                    <pic:cNvPicPr/>
                  </pic:nvPicPr>
                  <pic:blipFill>
                    <a:blip r:embed="rId9"/>
                    <a:stretch>
                      <a:fillRect/>
                    </a:stretch>
                  </pic:blipFill>
                  <pic:spPr>
                    <a:xfrm>
                      <a:off x="0" y="0"/>
                      <a:ext cx="1101845" cy="1219202"/>
                    </a:xfrm>
                    <a:prstGeom prst="rect">
                      <a:avLst/>
                    </a:prstGeom>
                  </pic:spPr>
                </pic:pic>
              </a:graphicData>
            </a:graphic>
          </wp:inline>
        </w:drawing>
      </w:r>
      <w:r w:rsidR="00E83DF2">
        <w:rPr>
          <w:rFonts w:cs="Arial"/>
          <w:b/>
          <w:color w:val="000000"/>
        </w:rPr>
        <w:t xml:space="preserve">                             </w:t>
      </w:r>
      <w:r>
        <w:rPr>
          <w:rFonts w:cs="Arial"/>
          <w:b/>
          <w:noProof/>
          <w:color w:val="000000"/>
          <w:lang w:val="fr-BE" w:eastAsia="fr-BE"/>
        </w:rPr>
        <w:drawing>
          <wp:inline distT="0" distB="0" distL="0" distR="0" wp14:anchorId="16248E4A" wp14:editId="5D431238">
            <wp:extent cx="2337757" cy="1558505"/>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CNDR JPG.jpg"/>
                    <pic:cNvPicPr/>
                  </pic:nvPicPr>
                  <pic:blipFill>
                    <a:blip r:embed="rId10"/>
                    <a:stretch>
                      <a:fillRect/>
                    </a:stretch>
                  </pic:blipFill>
                  <pic:spPr>
                    <a:xfrm>
                      <a:off x="0" y="0"/>
                      <a:ext cx="2372796" cy="1581864"/>
                    </a:xfrm>
                    <a:prstGeom prst="rect">
                      <a:avLst/>
                    </a:prstGeom>
                  </pic:spPr>
                </pic:pic>
              </a:graphicData>
            </a:graphic>
          </wp:inline>
        </w:drawing>
      </w:r>
    </w:p>
    <w:p w14:paraId="7CA237FB" w14:textId="77777777" w:rsidR="005E553C" w:rsidRPr="00DC464B" w:rsidRDefault="005E553C" w:rsidP="00A46FB5">
      <w:pPr>
        <w:pStyle w:val="MediumGrid21"/>
        <w:rPr>
          <w:rFonts w:cs="Arial"/>
          <w:color w:val="000000"/>
        </w:rPr>
      </w:pPr>
    </w:p>
    <w:p w14:paraId="764A8A4C" w14:textId="5414722B" w:rsidR="005E553C" w:rsidRPr="00DC464B" w:rsidRDefault="005E553C" w:rsidP="00A46FB5">
      <w:pPr>
        <w:pStyle w:val="MediumGrid21"/>
        <w:rPr>
          <w:rFonts w:cs="Arial"/>
          <w:color w:val="000000"/>
        </w:rPr>
      </w:pPr>
    </w:p>
    <w:bookmarkStart w:id="1" w:name="_Toc13485006" w:displacedByCustomXml="next"/>
    <w:sdt>
      <w:sdtPr>
        <w:rPr>
          <w:rFonts w:eastAsiaTheme="minorEastAsia" w:cstheme="minorBidi"/>
          <w:kern w:val="0"/>
          <w:sz w:val="22"/>
          <w:szCs w:val="24"/>
          <w:lang w:eastAsia="en-US"/>
        </w:rPr>
        <w:id w:val="-2009126518"/>
        <w:docPartObj>
          <w:docPartGallery w:val="Table of Contents"/>
          <w:docPartUnique/>
        </w:docPartObj>
      </w:sdtPr>
      <w:sdtEndPr>
        <w:rPr>
          <w:b/>
          <w:bCs/>
          <w:noProof/>
        </w:rPr>
      </w:sdtEndPr>
      <w:sdtContent>
        <w:p w14:paraId="7FB3A7A7" w14:textId="77777777" w:rsidR="0012022B" w:rsidRDefault="0012022B" w:rsidP="00C577F2">
          <w:pPr>
            <w:pStyle w:val="MediumGrid21"/>
            <w:spacing w:line="276" w:lineRule="auto"/>
            <w:jc w:val="center"/>
          </w:pPr>
        </w:p>
        <w:p w14:paraId="44E5D954" w14:textId="77777777" w:rsidR="0012022B" w:rsidRDefault="0012022B" w:rsidP="00C577F2">
          <w:pPr>
            <w:pStyle w:val="MediumGrid21"/>
            <w:spacing w:line="276" w:lineRule="auto"/>
            <w:jc w:val="center"/>
          </w:pPr>
        </w:p>
        <w:p w14:paraId="207CE0C5" w14:textId="77777777" w:rsidR="0012022B" w:rsidRDefault="0012022B" w:rsidP="00C577F2">
          <w:pPr>
            <w:pStyle w:val="MediumGrid21"/>
            <w:spacing w:line="276" w:lineRule="auto"/>
            <w:jc w:val="center"/>
          </w:pPr>
        </w:p>
        <w:p w14:paraId="003A1659" w14:textId="77777777" w:rsidR="0012022B" w:rsidRDefault="0012022B" w:rsidP="00C577F2">
          <w:pPr>
            <w:pStyle w:val="MediumGrid21"/>
            <w:spacing w:line="276" w:lineRule="auto"/>
            <w:jc w:val="center"/>
          </w:pPr>
        </w:p>
        <w:p w14:paraId="3DAB30B1" w14:textId="77777777" w:rsidR="0012022B" w:rsidRDefault="0012022B" w:rsidP="00C577F2">
          <w:pPr>
            <w:pStyle w:val="MediumGrid21"/>
            <w:spacing w:line="276" w:lineRule="auto"/>
            <w:jc w:val="center"/>
          </w:pPr>
        </w:p>
        <w:p w14:paraId="5C4C88A6" w14:textId="77777777" w:rsidR="0012022B" w:rsidRDefault="0012022B" w:rsidP="00C577F2">
          <w:pPr>
            <w:pStyle w:val="MediumGrid21"/>
            <w:spacing w:line="276" w:lineRule="auto"/>
            <w:jc w:val="center"/>
          </w:pPr>
        </w:p>
        <w:p w14:paraId="22857249" w14:textId="148F6619" w:rsidR="00D45A09" w:rsidRDefault="00D45A09" w:rsidP="00C577F2">
          <w:pPr>
            <w:pStyle w:val="MediumGrid21"/>
            <w:spacing w:line="276" w:lineRule="auto"/>
            <w:jc w:val="center"/>
            <w:rPr>
              <w:b/>
              <w:sz w:val="28"/>
            </w:rPr>
          </w:pPr>
          <w:r w:rsidRPr="00D9476C">
            <w:rPr>
              <w:b/>
              <w:sz w:val="28"/>
            </w:rPr>
            <w:t>Contents</w:t>
          </w:r>
        </w:p>
        <w:p w14:paraId="5442BBC2" w14:textId="77777777" w:rsidR="00C577F2" w:rsidRPr="00D9476C" w:rsidRDefault="00C577F2" w:rsidP="00D9476C">
          <w:pPr>
            <w:pStyle w:val="MediumGrid21"/>
            <w:spacing w:line="276" w:lineRule="auto"/>
            <w:rPr>
              <w:b/>
              <w:sz w:val="28"/>
            </w:rPr>
          </w:pPr>
        </w:p>
        <w:p w14:paraId="3ABB2BC7" w14:textId="45A02468" w:rsidR="005F5F59" w:rsidRDefault="00D45A09">
          <w:pPr>
            <w:pStyle w:val="TOC1"/>
            <w:tabs>
              <w:tab w:val="left" w:pos="480"/>
              <w:tab w:val="right" w:leader="dot" w:pos="8290"/>
            </w:tabs>
            <w:rPr>
              <w:rFonts w:asciiTheme="minorHAnsi" w:hAnsiTheme="minorHAnsi"/>
              <w:noProof/>
              <w:szCs w:val="22"/>
              <w:lang w:val="fr-BE" w:eastAsia="fr-BE"/>
            </w:rPr>
          </w:pPr>
          <w:r>
            <w:fldChar w:fldCharType="begin"/>
          </w:r>
          <w:r>
            <w:instrText xml:space="preserve"> TOC \o "1-3" \h \z \u </w:instrText>
          </w:r>
          <w:r>
            <w:fldChar w:fldCharType="separate"/>
          </w:r>
          <w:hyperlink w:anchor="_Toc13737480" w:history="1">
            <w:r w:rsidR="005F5F59" w:rsidRPr="00E4000D">
              <w:rPr>
                <w:rStyle w:val="Hyperlink"/>
                <w:noProof/>
              </w:rPr>
              <w:t>I.</w:t>
            </w:r>
            <w:r w:rsidR="005F5F59">
              <w:rPr>
                <w:rFonts w:asciiTheme="minorHAnsi" w:hAnsiTheme="minorHAnsi"/>
                <w:noProof/>
                <w:szCs w:val="22"/>
                <w:lang w:val="fr-BE" w:eastAsia="fr-BE"/>
              </w:rPr>
              <w:tab/>
            </w:r>
            <w:r w:rsidR="005F5F59" w:rsidRPr="00E4000D">
              <w:rPr>
                <w:rStyle w:val="Hyperlink"/>
                <w:noProof/>
              </w:rPr>
              <w:t>Introduction</w:t>
            </w:r>
            <w:r w:rsidR="005F5F59">
              <w:rPr>
                <w:noProof/>
                <w:webHidden/>
              </w:rPr>
              <w:tab/>
            </w:r>
            <w:r w:rsidR="005F5F59">
              <w:rPr>
                <w:noProof/>
                <w:webHidden/>
              </w:rPr>
              <w:fldChar w:fldCharType="begin"/>
            </w:r>
            <w:r w:rsidR="005F5F59">
              <w:rPr>
                <w:noProof/>
                <w:webHidden/>
              </w:rPr>
              <w:instrText xml:space="preserve"> PAGEREF _Toc13737480 \h </w:instrText>
            </w:r>
            <w:r w:rsidR="005F5F59">
              <w:rPr>
                <w:noProof/>
                <w:webHidden/>
              </w:rPr>
            </w:r>
            <w:r w:rsidR="005F5F59">
              <w:rPr>
                <w:noProof/>
                <w:webHidden/>
              </w:rPr>
              <w:fldChar w:fldCharType="separate"/>
            </w:r>
            <w:r w:rsidR="005F5F59">
              <w:rPr>
                <w:noProof/>
                <w:webHidden/>
              </w:rPr>
              <w:t>2</w:t>
            </w:r>
            <w:r w:rsidR="005F5F59">
              <w:rPr>
                <w:noProof/>
                <w:webHidden/>
              </w:rPr>
              <w:fldChar w:fldCharType="end"/>
            </w:r>
          </w:hyperlink>
        </w:p>
        <w:p w14:paraId="398B39C0" w14:textId="50E5C888" w:rsidR="005F5F59" w:rsidRDefault="00916D6D">
          <w:pPr>
            <w:pStyle w:val="TOC1"/>
            <w:tabs>
              <w:tab w:val="left" w:pos="480"/>
              <w:tab w:val="right" w:leader="dot" w:pos="8290"/>
            </w:tabs>
            <w:rPr>
              <w:rFonts w:asciiTheme="minorHAnsi" w:hAnsiTheme="minorHAnsi"/>
              <w:noProof/>
              <w:szCs w:val="22"/>
              <w:lang w:val="fr-BE" w:eastAsia="fr-BE"/>
            </w:rPr>
          </w:pPr>
          <w:hyperlink w:anchor="_Toc13737481" w:history="1">
            <w:r w:rsidR="005F5F59" w:rsidRPr="00E4000D">
              <w:rPr>
                <w:rStyle w:val="Hyperlink"/>
                <w:noProof/>
              </w:rPr>
              <w:t>II.</w:t>
            </w:r>
            <w:r w:rsidR="005F5F59">
              <w:rPr>
                <w:rFonts w:asciiTheme="minorHAnsi" w:hAnsiTheme="minorHAnsi"/>
                <w:noProof/>
                <w:szCs w:val="22"/>
                <w:lang w:val="fr-BE" w:eastAsia="fr-BE"/>
              </w:rPr>
              <w:tab/>
            </w:r>
            <w:r w:rsidR="005F5F59" w:rsidRPr="00E4000D">
              <w:rPr>
                <w:rStyle w:val="Hyperlink"/>
                <w:noProof/>
              </w:rPr>
              <w:t>International standards on the rights of persons with disabilities: the United Nations Convention on the Rights of Persons with Disabilities</w:t>
            </w:r>
            <w:r w:rsidR="005F5F59">
              <w:rPr>
                <w:noProof/>
                <w:webHidden/>
              </w:rPr>
              <w:tab/>
            </w:r>
            <w:r w:rsidR="005F5F59">
              <w:rPr>
                <w:noProof/>
                <w:webHidden/>
              </w:rPr>
              <w:fldChar w:fldCharType="begin"/>
            </w:r>
            <w:r w:rsidR="005F5F59">
              <w:rPr>
                <w:noProof/>
                <w:webHidden/>
              </w:rPr>
              <w:instrText xml:space="preserve"> PAGEREF _Toc13737481 \h </w:instrText>
            </w:r>
            <w:r w:rsidR="005F5F59">
              <w:rPr>
                <w:noProof/>
                <w:webHidden/>
              </w:rPr>
            </w:r>
            <w:r w:rsidR="005F5F59">
              <w:rPr>
                <w:noProof/>
                <w:webHidden/>
              </w:rPr>
              <w:fldChar w:fldCharType="separate"/>
            </w:r>
            <w:r w:rsidR="005F5F59">
              <w:rPr>
                <w:noProof/>
                <w:webHidden/>
              </w:rPr>
              <w:t>2</w:t>
            </w:r>
            <w:r w:rsidR="005F5F59">
              <w:rPr>
                <w:noProof/>
                <w:webHidden/>
              </w:rPr>
              <w:fldChar w:fldCharType="end"/>
            </w:r>
          </w:hyperlink>
        </w:p>
        <w:p w14:paraId="2D334707" w14:textId="339BCDE7" w:rsidR="005F5F59" w:rsidRDefault="00916D6D">
          <w:pPr>
            <w:pStyle w:val="TOC1"/>
            <w:tabs>
              <w:tab w:val="left" w:pos="480"/>
              <w:tab w:val="right" w:leader="dot" w:pos="8290"/>
            </w:tabs>
            <w:rPr>
              <w:rFonts w:asciiTheme="minorHAnsi" w:hAnsiTheme="minorHAnsi"/>
              <w:noProof/>
              <w:szCs w:val="22"/>
              <w:lang w:val="fr-BE" w:eastAsia="fr-BE"/>
            </w:rPr>
          </w:pPr>
          <w:hyperlink w:anchor="_Toc13737482" w:history="1">
            <w:r w:rsidR="005F5F59" w:rsidRPr="00E4000D">
              <w:rPr>
                <w:rStyle w:val="Hyperlink"/>
                <w:noProof/>
              </w:rPr>
              <w:t>III.</w:t>
            </w:r>
            <w:r w:rsidR="005F5F59">
              <w:rPr>
                <w:rFonts w:asciiTheme="minorHAnsi" w:hAnsiTheme="minorHAnsi"/>
                <w:noProof/>
                <w:szCs w:val="22"/>
                <w:lang w:val="fr-BE" w:eastAsia="fr-BE"/>
              </w:rPr>
              <w:tab/>
            </w:r>
            <w:r w:rsidR="005F5F59" w:rsidRPr="00E4000D">
              <w:rPr>
                <w:rStyle w:val="Hyperlink"/>
                <w:noProof/>
              </w:rPr>
              <w:t>States’ obligation to prevent, prohibit and condemn bullying of persons with disabilities as a form of degrading treatment and discrimination</w:t>
            </w:r>
            <w:r w:rsidR="005F5F59">
              <w:rPr>
                <w:noProof/>
                <w:webHidden/>
              </w:rPr>
              <w:tab/>
            </w:r>
            <w:r w:rsidR="005F5F59">
              <w:rPr>
                <w:noProof/>
                <w:webHidden/>
              </w:rPr>
              <w:fldChar w:fldCharType="begin"/>
            </w:r>
            <w:r w:rsidR="005F5F59">
              <w:rPr>
                <w:noProof/>
                <w:webHidden/>
              </w:rPr>
              <w:instrText xml:space="preserve"> PAGEREF _Toc13737482 \h </w:instrText>
            </w:r>
            <w:r w:rsidR="005F5F59">
              <w:rPr>
                <w:noProof/>
                <w:webHidden/>
              </w:rPr>
            </w:r>
            <w:r w:rsidR="005F5F59">
              <w:rPr>
                <w:noProof/>
                <w:webHidden/>
              </w:rPr>
              <w:fldChar w:fldCharType="separate"/>
            </w:r>
            <w:r w:rsidR="005F5F59">
              <w:rPr>
                <w:noProof/>
                <w:webHidden/>
              </w:rPr>
              <w:t>3</w:t>
            </w:r>
            <w:r w:rsidR="005F5F59">
              <w:rPr>
                <w:noProof/>
                <w:webHidden/>
              </w:rPr>
              <w:fldChar w:fldCharType="end"/>
            </w:r>
          </w:hyperlink>
        </w:p>
        <w:p w14:paraId="2338ADF0" w14:textId="5D2DC837" w:rsidR="005F5F59" w:rsidRDefault="00916D6D">
          <w:pPr>
            <w:pStyle w:val="TOC2"/>
            <w:tabs>
              <w:tab w:val="left" w:pos="880"/>
              <w:tab w:val="right" w:leader="dot" w:pos="8290"/>
            </w:tabs>
            <w:rPr>
              <w:rFonts w:asciiTheme="minorHAnsi" w:hAnsiTheme="minorHAnsi"/>
              <w:noProof/>
              <w:szCs w:val="22"/>
              <w:lang w:val="fr-BE" w:eastAsia="fr-BE"/>
            </w:rPr>
          </w:pPr>
          <w:hyperlink w:anchor="_Toc13737483" w:history="1">
            <w:r w:rsidR="005F5F59" w:rsidRPr="00E4000D">
              <w:rPr>
                <w:rStyle w:val="Hyperlink"/>
                <w:noProof/>
                <w:lang w:val="en-GB"/>
              </w:rPr>
              <w:t>A.</w:t>
            </w:r>
            <w:r w:rsidR="005F5F59">
              <w:rPr>
                <w:rFonts w:asciiTheme="minorHAnsi" w:hAnsiTheme="minorHAnsi"/>
                <w:noProof/>
                <w:szCs w:val="22"/>
                <w:lang w:val="fr-BE" w:eastAsia="fr-BE"/>
              </w:rPr>
              <w:tab/>
            </w:r>
            <w:r w:rsidR="005F5F59" w:rsidRPr="00E4000D">
              <w:rPr>
                <w:rStyle w:val="Hyperlink"/>
                <w:noProof/>
                <w:lang w:val="en-GB"/>
              </w:rPr>
              <w:t>Recognition of bullying as a form of degrading treatment and potential violation of the right of private and family life</w:t>
            </w:r>
            <w:r w:rsidR="005F5F59">
              <w:rPr>
                <w:noProof/>
                <w:webHidden/>
              </w:rPr>
              <w:tab/>
            </w:r>
            <w:r w:rsidR="005F5F59">
              <w:rPr>
                <w:noProof/>
                <w:webHidden/>
              </w:rPr>
              <w:fldChar w:fldCharType="begin"/>
            </w:r>
            <w:r w:rsidR="005F5F59">
              <w:rPr>
                <w:noProof/>
                <w:webHidden/>
              </w:rPr>
              <w:instrText xml:space="preserve"> PAGEREF _Toc13737483 \h </w:instrText>
            </w:r>
            <w:r w:rsidR="005F5F59">
              <w:rPr>
                <w:noProof/>
                <w:webHidden/>
              </w:rPr>
            </w:r>
            <w:r w:rsidR="005F5F59">
              <w:rPr>
                <w:noProof/>
                <w:webHidden/>
              </w:rPr>
              <w:fldChar w:fldCharType="separate"/>
            </w:r>
            <w:r w:rsidR="005F5F59">
              <w:rPr>
                <w:noProof/>
                <w:webHidden/>
              </w:rPr>
              <w:t>4</w:t>
            </w:r>
            <w:r w:rsidR="005F5F59">
              <w:rPr>
                <w:noProof/>
                <w:webHidden/>
              </w:rPr>
              <w:fldChar w:fldCharType="end"/>
            </w:r>
          </w:hyperlink>
        </w:p>
        <w:p w14:paraId="50759439" w14:textId="206794C1" w:rsidR="005F5F59" w:rsidRDefault="00916D6D">
          <w:pPr>
            <w:pStyle w:val="TOC2"/>
            <w:tabs>
              <w:tab w:val="left" w:pos="880"/>
              <w:tab w:val="right" w:leader="dot" w:pos="8290"/>
            </w:tabs>
            <w:rPr>
              <w:rFonts w:asciiTheme="minorHAnsi" w:hAnsiTheme="minorHAnsi"/>
              <w:noProof/>
              <w:szCs w:val="22"/>
              <w:lang w:val="fr-BE" w:eastAsia="fr-BE"/>
            </w:rPr>
          </w:pPr>
          <w:hyperlink w:anchor="_Toc13737484" w:history="1">
            <w:r w:rsidR="005F5F59" w:rsidRPr="00E4000D">
              <w:rPr>
                <w:rStyle w:val="Hyperlink"/>
                <w:noProof/>
                <w:lang w:val="en-GB"/>
              </w:rPr>
              <w:t>B.</w:t>
            </w:r>
            <w:r w:rsidR="005F5F59">
              <w:rPr>
                <w:rFonts w:asciiTheme="minorHAnsi" w:hAnsiTheme="minorHAnsi"/>
                <w:noProof/>
                <w:szCs w:val="22"/>
                <w:lang w:val="fr-BE" w:eastAsia="fr-BE"/>
              </w:rPr>
              <w:tab/>
            </w:r>
            <w:r w:rsidR="005F5F59" w:rsidRPr="00E4000D">
              <w:rPr>
                <w:rStyle w:val="Hyperlink"/>
                <w:noProof/>
                <w:lang w:val="en-GB"/>
              </w:rPr>
              <w:t>Recognition of bullying on the ground of disability as a form of discrimination and hate crime</w:t>
            </w:r>
            <w:r w:rsidR="005F5F59">
              <w:rPr>
                <w:noProof/>
                <w:webHidden/>
              </w:rPr>
              <w:tab/>
            </w:r>
            <w:r w:rsidR="005F5F59">
              <w:rPr>
                <w:noProof/>
                <w:webHidden/>
              </w:rPr>
              <w:fldChar w:fldCharType="begin"/>
            </w:r>
            <w:r w:rsidR="005F5F59">
              <w:rPr>
                <w:noProof/>
                <w:webHidden/>
              </w:rPr>
              <w:instrText xml:space="preserve"> PAGEREF _Toc13737484 \h </w:instrText>
            </w:r>
            <w:r w:rsidR="005F5F59">
              <w:rPr>
                <w:noProof/>
                <w:webHidden/>
              </w:rPr>
            </w:r>
            <w:r w:rsidR="005F5F59">
              <w:rPr>
                <w:noProof/>
                <w:webHidden/>
              </w:rPr>
              <w:fldChar w:fldCharType="separate"/>
            </w:r>
            <w:r w:rsidR="005F5F59">
              <w:rPr>
                <w:noProof/>
                <w:webHidden/>
              </w:rPr>
              <w:t>4</w:t>
            </w:r>
            <w:r w:rsidR="005F5F59">
              <w:rPr>
                <w:noProof/>
                <w:webHidden/>
              </w:rPr>
              <w:fldChar w:fldCharType="end"/>
            </w:r>
          </w:hyperlink>
        </w:p>
        <w:p w14:paraId="49C425D9" w14:textId="7EE5FC82" w:rsidR="005F5F59" w:rsidRDefault="00916D6D">
          <w:pPr>
            <w:pStyle w:val="TOC3"/>
            <w:tabs>
              <w:tab w:val="right" w:leader="dot" w:pos="8290"/>
            </w:tabs>
            <w:rPr>
              <w:rFonts w:asciiTheme="minorHAnsi" w:hAnsiTheme="minorHAnsi"/>
              <w:noProof/>
              <w:szCs w:val="22"/>
              <w:lang w:val="fr-BE" w:eastAsia="fr-BE"/>
            </w:rPr>
          </w:pPr>
          <w:hyperlink w:anchor="_Toc13737485" w:history="1">
            <w:r w:rsidR="005F5F59" w:rsidRPr="00E4000D">
              <w:rPr>
                <w:rStyle w:val="Hyperlink"/>
                <w:noProof/>
                <w:lang w:val="en-GB"/>
              </w:rPr>
              <w:t>Duty of the Court to examine whether acts of bullying are motivated by a protected grounds</w:t>
            </w:r>
            <w:r w:rsidR="005F5F59">
              <w:rPr>
                <w:noProof/>
                <w:webHidden/>
              </w:rPr>
              <w:tab/>
            </w:r>
            <w:r w:rsidR="005F5F59">
              <w:rPr>
                <w:noProof/>
                <w:webHidden/>
              </w:rPr>
              <w:fldChar w:fldCharType="begin"/>
            </w:r>
            <w:r w:rsidR="005F5F59">
              <w:rPr>
                <w:noProof/>
                <w:webHidden/>
              </w:rPr>
              <w:instrText xml:space="preserve"> PAGEREF _Toc13737485 \h </w:instrText>
            </w:r>
            <w:r w:rsidR="005F5F59">
              <w:rPr>
                <w:noProof/>
                <w:webHidden/>
              </w:rPr>
            </w:r>
            <w:r w:rsidR="005F5F59">
              <w:rPr>
                <w:noProof/>
                <w:webHidden/>
              </w:rPr>
              <w:fldChar w:fldCharType="separate"/>
            </w:r>
            <w:r w:rsidR="005F5F59">
              <w:rPr>
                <w:noProof/>
                <w:webHidden/>
              </w:rPr>
              <w:t>4</w:t>
            </w:r>
            <w:r w:rsidR="005F5F59">
              <w:rPr>
                <w:noProof/>
                <w:webHidden/>
              </w:rPr>
              <w:fldChar w:fldCharType="end"/>
            </w:r>
          </w:hyperlink>
        </w:p>
        <w:p w14:paraId="04ECD931" w14:textId="6D14E8BD" w:rsidR="005F5F59" w:rsidRDefault="00916D6D">
          <w:pPr>
            <w:pStyle w:val="TOC3"/>
            <w:tabs>
              <w:tab w:val="right" w:leader="dot" w:pos="8290"/>
            </w:tabs>
            <w:rPr>
              <w:rFonts w:asciiTheme="minorHAnsi" w:hAnsiTheme="minorHAnsi"/>
              <w:noProof/>
              <w:szCs w:val="22"/>
              <w:lang w:val="fr-BE" w:eastAsia="fr-BE"/>
            </w:rPr>
          </w:pPr>
          <w:hyperlink w:anchor="_Toc13737486" w:history="1">
            <w:r w:rsidR="005F5F59" w:rsidRPr="00E4000D">
              <w:rPr>
                <w:rStyle w:val="Hyperlink"/>
                <w:noProof/>
              </w:rPr>
              <w:t>Bullying as a form of discrimination under international and national law</w:t>
            </w:r>
            <w:r w:rsidR="005F5F59">
              <w:rPr>
                <w:noProof/>
                <w:webHidden/>
              </w:rPr>
              <w:tab/>
            </w:r>
            <w:r w:rsidR="005F5F59">
              <w:rPr>
                <w:noProof/>
                <w:webHidden/>
              </w:rPr>
              <w:fldChar w:fldCharType="begin"/>
            </w:r>
            <w:r w:rsidR="005F5F59">
              <w:rPr>
                <w:noProof/>
                <w:webHidden/>
              </w:rPr>
              <w:instrText xml:space="preserve"> PAGEREF _Toc13737486 \h </w:instrText>
            </w:r>
            <w:r w:rsidR="005F5F59">
              <w:rPr>
                <w:noProof/>
                <w:webHidden/>
              </w:rPr>
            </w:r>
            <w:r w:rsidR="005F5F59">
              <w:rPr>
                <w:noProof/>
                <w:webHidden/>
              </w:rPr>
              <w:fldChar w:fldCharType="separate"/>
            </w:r>
            <w:r w:rsidR="005F5F59">
              <w:rPr>
                <w:noProof/>
                <w:webHidden/>
              </w:rPr>
              <w:t>5</w:t>
            </w:r>
            <w:r w:rsidR="005F5F59">
              <w:rPr>
                <w:noProof/>
                <w:webHidden/>
              </w:rPr>
              <w:fldChar w:fldCharType="end"/>
            </w:r>
          </w:hyperlink>
        </w:p>
        <w:p w14:paraId="0D54DABC" w14:textId="3E343C76" w:rsidR="005F5F59" w:rsidRDefault="00916D6D">
          <w:pPr>
            <w:pStyle w:val="TOC2"/>
            <w:tabs>
              <w:tab w:val="left" w:pos="880"/>
              <w:tab w:val="right" w:leader="dot" w:pos="8290"/>
            </w:tabs>
            <w:rPr>
              <w:rFonts w:asciiTheme="minorHAnsi" w:hAnsiTheme="minorHAnsi"/>
              <w:noProof/>
              <w:szCs w:val="22"/>
              <w:lang w:val="fr-BE" w:eastAsia="fr-BE"/>
            </w:rPr>
          </w:pPr>
          <w:hyperlink w:anchor="_Toc13737487" w:history="1">
            <w:r w:rsidR="005F5F59" w:rsidRPr="00E4000D">
              <w:rPr>
                <w:rStyle w:val="Hyperlink"/>
                <w:noProof/>
                <w:lang w:val="en-GB"/>
              </w:rPr>
              <w:t>C.</w:t>
            </w:r>
            <w:r w:rsidR="005F5F59">
              <w:rPr>
                <w:rFonts w:asciiTheme="minorHAnsi" w:hAnsiTheme="minorHAnsi"/>
                <w:noProof/>
                <w:szCs w:val="22"/>
                <w:lang w:val="fr-BE" w:eastAsia="fr-BE"/>
              </w:rPr>
              <w:tab/>
            </w:r>
            <w:r w:rsidR="005F5F59" w:rsidRPr="00E4000D">
              <w:rPr>
                <w:rStyle w:val="Hyperlink"/>
                <w:noProof/>
                <w:lang w:val="en-GB"/>
              </w:rPr>
              <w:t>Positive obligation of States to prevent, prohibit and condemn bullying and harassment</w:t>
            </w:r>
            <w:r w:rsidR="005F5F59">
              <w:rPr>
                <w:noProof/>
                <w:webHidden/>
              </w:rPr>
              <w:tab/>
            </w:r>
            <w:r w:rsidR="005F5F59">
              <w:rPr>
                <w:noProof/>
                <w:webHidden/>
              </w:rPr>
              <w:fldChar w:fldCharType="begin"/>
            </w:r>
            <w:r w:rsidR="005F5F59">
              <w:rPr>
                <w:noProof/>
                <w:webHidden/>
              </w:rPr>
              <w:instrText xml:space="preserve"> PAGEREF _Toc13737487 \h </w:instrText>
            </w:r>
            <w:r w:rsidR="005F5F59">
              <w:rPr>
                <w:noProof/>
                <w:webHidden/>
              </w:rPr>
            </w:r>
            <w:r w:rsidR="005F5F59">
              <w:rPr>
                <w:noProof/>
                <w:webHidden/>
              </w:rPr>
              <w:fldChar w:fldCharType="separate"/>
            </w:r>
            <w:r w:rsidR="005F5F59">
              <w:rPr>
                <w:noProof/>
                <w:webHidden/>
              </w:rPr>
              <w:t>6</w:t>
            </w:r>
            <w:r w:rsidR="005F5F59">
              <w:rPr>
                <w:noProof/>
                <w:webHidden/>
              </w:rPr>
              <w:fldChar w:fldCharType="end"/>
            </w:r>
          </w:hyperlink>
        </w:p>
        <w:p w14:paraId="0B581F0A" w14:textId="1E571194" w:rsidR="005F5F59" w:rsidRDefault="00916D6D">
          <w:pPr>
            <w:pStyle w:val="TOC1"/>
            <w:tabs>
              <w:tab w:val="left" w:pos="660"/>
              <w:tab w:val="right" w:leader="dot" w:pos="8290"/>
            </w:tabs>
            <w:rPr>
              <w:rFonts w:asciiTheme="minorHAnsi" w:hAnsiTheme="minorHAnsi"/>
              <w:noProof/>
              <w:szCs w:val="22"/>
              <w:lang w:val="fr-BE" w:eastAsia="fr-BE"/>
            </w:rPr>
          </w:pPr>
          <w:hyperlink w:anchor="_Toc13737488" w:history="1">
            <w:r w:rsidR="005F5F59" w:rsidRPr="00E4000D">
              <w:rPr>
                <w:rStyle w:val="Hyperlink"/>
                <w:noProof/>
              </w:rPr>
              <w:t>IV.</w:t>
            </w:r>
            <w:r w:rsidR="005F5F59">
              <w:rPr>
                <w:rFonts w:asciiTheme="minorHAnsi" w:hAnsiTheme="minorHAnsi"/>
                <w:noProof/>
                <w:szCs w:val="22"/>
                <w:lang w:val="fr-BE" w:eastAsia="fr-BE"/>
              </w:rPr>
              <w:tab/>
            </w:r>
            <w:r w:rsidR="005F5F59" w:rsidRPr="00E4000D">
              <w:rPr>
                <w:rStyle w:val="Hyperlink"/>
                <w:noProof/>
              </w:rPr>
              <w:t>States’ obligation to ensure the right to inclusive education of children with disabilities</w:t>
            </w:r>
            <w:r w:rsidR="005F5F59">
              <w:rPr>
                <w:noProof/>
                <w:webHidden/>
              </w:rPr>
              <w:tab/>
            </w:r>
            <w:r w:rsidR="005F5F59">
              <w:rPr>
                <w:noProof/>
                <w:webHidden/>
              </w:rPr>
              <w:fldChar w:fldCharType="begin"/>
            </w:r>
            <w:r w:rsidR="005F5F59">
              <w:rPr>
                <w:noProof/>
                <w:webHidden/>
              </w:rPr>
              <w:instrText xml:space="preserve"> PAGEREF _Toc13737488 \h </w:instrText>
            </w:r>
            <w:r w:rsidR="005F5F59">
              <w:rPr>
                <w:noProof/>
                <w:webHidden/>
              </w:rPr>
            </w:r>
            <w:r w:rsidR="005F5F59">
              <w:rPr>
                <w:noProof/>
                <w:webHidden/>
              </w:rPr>
              <w:fldChar w:fldCharType="separate"/>
            </w:r>
            <w:r w:rsidR="005F5F59">
              <w:rPr>
                <w:noProof/>
                <w:webHidden/>
              </w:rPr>
              <w:t>7</w:t>
            </w:r>
            <w:r w:rsidR="005F5F59">
              <w:rPr>
                <w:noProof/>
                <w:webHidden/>
              </w:rPr>
              <w:fldChar w:fldCharType="end"/>
            </w:r>
          </w:hyperlink>
        </w:p>
        <w:p w14:paraId="4EAB73B6" w14:textId="4DE4BD79" w:rsidR="005F5F59" w:rsidRDefault="00916D6D">
          <w:pPr>
            <w:pStyle w:val="TOC2"/>
            <w:tabs>
              <w:tab w:val="left" w:pos="880"/>
              <w:tab w:val="right" w:leader="dot" w:pos="8290"/>
            </w:tabs>
            <w:rPr>
              <w:rFonts w:asciiTheme="minorHAnsi" w:hAnsiTheme="minorHAnsi"/>
              <w:noProof/>
              <w:szCs w:val="22"/>
              <w:lang w:val="fr-BE" w:eastAsia="fr-BE"/>
            </w:rPr>
          </w:pPr>
          <w:hyperlink w:anchor="_Toc13737489" w:history="1">
            <w:r w:rsidR="005F5F59" w:rsidRPr="00E4000D">
              <w:rPr>
                <w:rStyle w:val="Hyperlink"/>
                <w:noProof/>
                <w:lang w:val="en-GB"/>
              </w:rPr>
              <w:t>A.</w:t>
            </w:r>
            <w:r w:rsidR="005F5F59">
              <w:rPr>
                <w:rFonts w:asciiTheme="minorHAnsi" w:hAnsiTheme="minorHAnsi"/>
                <w:noProof/>
                <w:szCs w:val="22"/>
                <w:lang w:val="fr-BE" w:eastAsia="fr-BE"/>
              </w:rPr>
              <w:tab/>
            </w:r>
            <w:r w:rsidR="005F5F59" w:rsidRPr="00E4000D">
              <w:rPr>
                <w:rStyle w:val="Hyperlink"/>
                <w:noProof/>
                <w:lang w:val="en-GB"/>
              </w:rPr>
              <w:t>Importance to combat bullying to ensure right to inclusive education of children with disabilities</w:t>
            </w:r>
            <w:r w:rsidR="005F5F59">
              <w:rPr>
                <w:noProof/>
                <w:webHidden/>
              </w:rPr>
              <w:tab/>
            </w:r>
            <w:r w:rsidR="005F5F59">
              <w:rPr>
                <w:noProof/>
                <w:webHidden/>
              </w:rPr>
              <w:fldChar w:fldCharType="begin"/>
            </w:r>
            <w:r w:rsidR="005F5F59">
              <w:rPr>
                <w:noProof/>
                <w:webHidden/>
              </w:rPr>
              <w:instrText xml:space="preserve"> PAGEREF _Toc13737489 \h </w:instrText>
            </w:r>
            <w:r w:rsidR="005F5F59">
              <w:rPr>
                <w:noProof/>
                <w:webHidden/>
              </w:rPr>
            </w:r>
            <w:r w:rsidR="005F5F59">
              <w:rPr>
                <w:noProof/>
                <w:webHidden/>
              </w:rPr>
              <w:fldChar w:fldCharType="separate"/>
            </w:r>
            <w:r w:rsidR="005F5F59">
              <w:rPr>
                <w:noProof/>
                <w:webHidden/>
              </w:rPr>
              <w:t>8</w:t>
            </w:r>
            <w:r w:rsidR="005F5F59">
              <w:rPr>
                <w:noProof/>
                <w:webHidden/>
              </w:rPr>
              <w:fldChar w:fldCharType="end"/>
            </w:r>
          </w:hyperlink>
        </w:p>
        <w:p w14:paraId="2282E5FC" w14:textId="2C91302E" w:rsidR="005F5F59" w:rsidRDefault="00916D6D">
          <w:pPr>
            <w:pStyle w:val="TOC2"/>
            <w:tabs>
              <w:tab w:val="left" w:pos="880"/>
              <w:tab w:val="right" w:leader="dot" w:pos="8290"/>
            </w:tabs>
            <w:rPr>
              <w:rFonts w:asciiTheme="minorHAnsi" w:hAnsiTheme="minorHAnsi"/>
              <w:noProof/>
              <w:szCs w:val="22"/>
              <w:lang w:val="fr-BE" w:eastAsia="fr-BE"/>
            </w:rPr>
          </w:pPr>
          <w:hyperlink w:anchor="_Toc13737490" w:history="1">
            <w:r w:rsidR="005F5F59" w:rsidRPr="00E4000D">
              <w:rPr>
                <w:rStyle w:val="Hyperlink"/>
                <w:noProof/>
                <w:lang w:val="en-GB"/>
              </w:rPr>
              <w:t>B.</w:t>
            </w:r>
            <w:r w:rsidR="005F5F59">
              <w:rPr>
                <w:rFonts w:asciiTheme="minorHAnsi" w:hAnsiTheme="minorHAnsi"/>
                <w:noProof/>
                <w:szCs w:val="22"/>
                <w:lang w:val="fr-BE" w:eastAsia="fr-BE"/>
              </w:rPr>
              <w:tab/>
            </w:r>
            <w:r w:rsidR="005F5F59" w:rsidRPr="00E4000D">
              <w:rPr>
                <w:rStyle w:val="Hyperlink"/>
                <w:noProof/>
                <w:lang w:val="en-GB"/>
              </w:rPr>
              <w:t>Additional requirements to ensure the right to inclusive education of children with psychosocial disabilities: support services and reasonable accommodations</w:t>
            </w:r>
            <w:r w:rsidR="005F5F59">
              <w:rPr>
                <w:noProof/>
                <w:webHidden/>
              </w:rPr>
              <w:tab/>
            </w:r>
            <w:r w:rsidR="005F5F59">
              <w:rPr>
                <w:noProof/>
                <w:webHidden/>
              </w:rPr>
              <w:fldChar w:fldCharType="begin"/>
            </w:r>
            <w:r w:rsidR="005F5F59">
              <w:rPr>
                <w:noProof/>
                <w:webHidden/>
              </w:rPr>
              <w:instrText xml:space="preserve"> PAGEREF _Toc13737490 \h </w:instrText>
            </w:r>
            <w:r w:rsidR="005F5F59">
              <w:rPr>
                <w:noProof/>
                <w:webHidden/>
              </w:rPr>
            </w:r>
            <w:r w:rsidR="005F5F59">
              <w:rPr>
                <w:noProof/>
                <w:webHidden/>
              </w:rPr>
              <w:fldChar w:fldCharType="separate"/>
            </w:r>
            <w:r w:rsidR="005F5F59">
              <w:rPr>
                <w:noProof/>
                <w:webHidden/>
              </w:rPr>
              <w:t>8</w:t>
            </w:r>
            <w:r w:rsidR="005F5F59">
              <w:rPr>
                <w:noProof/>
                <w:webHidden/>
              </w:rPr>
              <w:fldChar w:fldCharType="end"/>
            </w:r>
          </w:hyperlink>
        </w:p>
        <w:p w14:paraId="12BDB85C" w14:textId="14D994E9" w:rsidR="005F5F59" w:rsidRDefault="00916D6D">
          <w:pPr>
            <w:pStyle w:val="TOC3"/>
            <w:tabs>
              <w:tab w:val="right" w:leader="dot" w:pos="8290"/>
            </w:tabs>
            <w:rPr>
              <w:rFonts w:asciiTheme="minorHAnsi" w:hAnsiTheme="minorHAnsi"/>
              <w:noProof/>
              <w:szCs w:val="22"/>
              <w:lang w:val="fr-BE" w:eastAsia="fr-BE"/>
            </w:rPr>
          </w:pPr>
          <w:hyperlink w:anchor="_Toc13737491" w:history="1">
            <w:r w:rsidR="005F5F59" w:rsidRPr="00E4000D">
              <w:rPr>
                <w:rStyle w:val="Hyperlink"/>
                <w:noProof/>
                <w:lang w:val="en-GB"/>
              </w:rPr>
              <w:t>Inclusive education under international law</w:t>
            </w:r>
            <w:r w:rsidR="005F5F59">
              <w:rPr>
                <w:noProof/>
                <w:webHidden/>
              </w:rPr>
              <w:tab/>
            </w:r>
            <w:r w:rsidR="005F5F59">
              <w:rPr>
                <w:noProof/>
                <w:webHidden/>
              </w:rPr>
              <w:fldChar w:fldCharType="begin"/>
            </w:r>
            <w:r w:rsidR="005F5F59">
              <w:rPr>
                <w:noProof/>
                <w:webHidden/>
              </w:rPr>
              <w:instrText xml:space="preserve"> PAGEREF _Toc13737491 \h </w:instrText>
            </w:r>
            <w:r w:rsidR="005F5F59">
              <w:rPr>
                <w:noProof/>
                <w:webHidden/>
              </w:rPr>
            </w:r>
            <w:r w:rsidR="005F5F59">
              <w:rPr>
                <w:noProof/>
                <w:webHidden/>
              </w:rPr>
              <w:fldChar w:fldCharType="separate"/>
            </w:r>
            <w:r w:rsidR="005F5F59">
              <w:rPr>
                <w:noProof/>
                <w:webHidden/>
              </w:rPr>
              <w:t>8</w:t>
            </w:r>
            <w:r w:rsidR="005F5F59">
              <w:rPr>
                <w:noProof/>
                <w:webHidden/>
              </w:rPr>
              <w:fldChar w:fldCharType="end"/>
            </w:r>
          </w:hyperlink>
        </w:p>
        <w:p w14:paraId="135663A9" w14:textId="675E49AD" w:rsidR="005F5F59" w:rsidRDefault="00916D6D">
          <w:pPr>
            <w:pStyle w:val="TOC3"/>
            <w:tabs>
              <w:tab w:val="right" w:leader="dot" w:pos="8290"/>
            </w:tabs>
            <w:rPr>
              <w:rFonts w:asciiTheme="minorHAnsi" w:hAnsiTheme="minorHAnsi"/>
              <w:noProof/>
              <w:szCs w:val="22"/>
              <w:lang w:val="fr-BE" w:eastAsia="fr-BE"/>
            </w:rPr>
          </w:pPr>
          <w:hyperlink w:anchor="_Toc13737492" w:history="1">
            <w:r w:rsidR="005F5F59" w:rsidRPr="00E4000D">
              <w:rPr>
                <w:rStyle w:val="Hyperlink"/>
                <w:noProof/>
                <w:lang w:val="en-GB"/>
              </w:rPr>
              <w:t>Application of international standards by the European Court of Human Rights</w:t>
            </w:r>
            <w:r w:rsidR="005F5F59">
              <w:rPr>
                <w:noProof/>
                <w:webHidden/>
              </w:rPr>
              <w:tab/>
            </w:r>
            <w:r w:rsidR="005F5F59">
              <w:rPr>
                <w:noProof/>
                <w:webHidden/>
              </w:rPr>
              <w:fldChar w:fldCharType="begin"/>
            </w:r>
            <w:r w:rsidR="005F5F59">
              <w:rPr>
                <w:noProof/>
                <w:webHidden/>
              </w:rPr>
              <w:instrText xml:space="preserve"> PAGEREF _Toc13737492 \h </w:instrText>
            </w:r>
            <w:r w:rsidR="005F5F59">
              <w:rPr>
                <w:noProof/>
                <w:webHidden/>
              </w:rPr>
            </w:r>
            <w:r w:rsidR="005F5F59">
              <w:rPr>
                <w:noProof/>
                <w:webHidden/>
              </w:rPr>
              <w:fldChar w:fldCharType="separate"/>
            </w:r>
            <w:r w:rsidR="005F5F59">
              <w:rPr>
                <w:noProof/>
                <w:webHidden/>
              </w:rPr>
              <w:t>9</w:t>
            </w:r>
            <w:r w:rsidR="005F5F59">
              <w:rPr>
                <w:noProof/>
                <w:webHidden/>
              </w:rPr>
              <w:fldChar w:fldCharType="end"/>
            </w:r>
          </w:hyperlink>
        </w:p>
        <w:p w14:paraId="743A13BF" w14:textId="69E2FF55" w:rsidR="005F5F59" w:rsidRDefault="00916D6D">
          <w:pPr>
            <w:pStyle w:val="TOC1"/>
            <w:tabs>
              <w:tab w:val="left" w:pos="480"/>
              <w:tab w:val="right" w:leader="dot" w:pos="8290"/>
            </w:tabs>
            <w:rPr>
              <w:rFonts w:asciiTheme="minorHAnsi" w:hAnsiTheme="minorHAnsi"/>
              <w:noProof/>
              <w:szCs w:val="22"/>
              <w:lang w:val="fr-BE" w:eastAsia="fr-BE"/>
            </w:rPr>
          </w:pPr>
          <w:hyperlink w:anchor="_Toc13737493" w:history="1">
            <w:r w:rsidR="005F5F59" w:rsidRPr="00E4000D">
              <w:rPr>
                <w:rStyle w:val="Hyperlink"/>
                <w:noProof/>
              </w:rPr>
              <w:t>V.</w:t>
            </w:r>
            <w:r w:rsidR="005F5F59">
              <w:rPr>
                <w:rFonts w:asciiTheme="minorHAnsi" w:hAnsiTheme="minorHAnsi"/>
                <w:noProof/>
                <w:szCs w:val="22"/>
                <w:lang w:val="fr-BE" w:eastAsia="fr-BE"/>
              </w:rPr>
              <w:tab/>
            </w:r>
            <w:r w:rsidR="005F5F59" w:rsidRPr="00E4000D">
              <w:rPr>
                <w:rStyle w:val="Hyperlink"/>
                <w:noProof/>
              </w:rPr>
              <w:t>Conclusion</w:t>
            </w:r>
            <w:r w:rsidR="005F5F59">
              <w:rPr>
                <w:noProof/>
                <w:webHidden/>
              </w:rPr>
              <w:tab/>
            </w:r>
            <w:r w:rsidR="005F5F59">
              <w:rPr>
                <w:noProof/>
                <w:webHidden/>
              </w:rPr>
              <w:fldChar w:fldCharType="begin"/>
            </w:r>
            <w:r w:rsidR="005F5F59">
              <w:rPr>
                <w:noProof/>
                <w:webHidden/>
              </w:rPr>
              <w:instrText xml:space="preserve"> PAGEREF _Toc13737493 \h </w:instrText>
            </w:r>
            <w:r w:rsidR="005F5F59">
              <w:rPr>
                <w:noProof/>
                <w:webHidden/>
              </w:rPr>
            </w:r>
            <w:r w:rsidR="005F5F59">
              <w:rPr>
                <w:noProof/>
                <w:webHidden/>
              </w:rPr>
              <w:fldChar w:fldCharType="separate"/>
            </w:r>
            <w:r w:rsidR="005F5F59">
              <w:rPr>
                <w:noProof/>
                <w:webHidden/>
              </w:rPr>
              <w:t>10</w:t>
            </w:r>
            <w:r w:rsidR="005F5F59">
              <w:rPr>
                <w:noProof/>
                <w:webHidden/>
              </w:rPr>
              <w:fldChar w:fldCharType="end"/>
            </w:r>
          </w:hyperlink>
        </w:p>
        <w:p w14:paraId="73147FEB" w14:textId="3E6121E6" w:rsidR="005F5F59" w:rsidRDefault="00916D6D">
          <w:pPr>
            <w:pStyle w:val="TOC1"/>
            <w:tabs>
              <w:tab w:val="left" w:pos="660"/>
              <w:tab w:val="right" w:leader="dot" w:pos="8290"/>
            </w:tabs>
            <w:rPr>
              <w:rFonts w:asciiTheme="minorHAnsi" w:hAnsiTheme="minorHAnsi"/>
              <w:noProof/>
              <w:szCs w:val="22"/>
              <w:lang w:val="fr-BE" w:eastAsia="fr-BE"/>
            </w:rPr>
          </w:pPr>
          <w:hyperlink w:anchor="_Toc13737494" w:history="1">
            <w:r w:rsidR="005F5F59" w:rsidRPr="00E4000D">
              <w:rPr>
                <w:rStyle w:val="Hyperlink"/>
                <w:noProof/>
              </w:rPr>
              <w:t>VI.</w:t>
            </w:r>
            <w:r w:rsidR="005F5F59">
              <w:rPr>
                <w:rFonts w:asciiTheme="minorHAnsi" w:hAnsiTheme="minorHAnsi"/>
                <w:noProof/>
                <w:szCs w:val="22"/>
                <w:lang w:val="fr-BE" w:eastAsia="fr-BE"/>
              </w:rPr>
              <w:tab/>
            </w:r>
            <w:r w:rsidR="005F5F59" w:rsidRPr="00E4000D">
              <w:rPr>
                <w:rStyle w:val="Hyperlink"/>
                <w:noProof/>
              </w:rPr>
              <w:t>Annex: Statement of Interest of EDF and CNDR</w:t>
            </w:r>
            <w:r w:rsidR="005F5F59">
              <w:rPr>
                <w:noProof/>
                <w:webHidden/>
              </w:rPr>
              <w:tab/>
            </w:r>
            <w:r w:rsidR="005F5F59">
              <w:rPr>
                <w:noProof/>
                <w:webHidden/>
              </w:rPr>
              <w:fldChar w:fldCharType="begin"/>
            </w:r>
            <w:r w:rsidR="005F5F59">
              <w:rPr>
                <w:noProof/>
                <w:webHidden/>
              </w:rPr>
              <w:instrText xml:space="preserve"> PAGEREF _Toc13737494 \h </w:instrText>
            </w:r>
            <w:r w:rsidR="005F5F59">
              <w:rPr>
                <w:noProof/>
                <w:webHidden/>
              </w:rPr>
            </w:r>
            <w:r w:rsidR="005F5F59">
              <w:rPr>
                <w:noProof/>
                <w:webHidden/>
              </w:rPr>
              <w:fldChar w:fldCharType="separate"/>
            </w:r>
            <w:r w:rsidR="005F5F59">
              <w:rPr>
                <w:noProof/>
                <w:webHidden/>
              </w:rPr>
              <w:t>11</w:t>
            </w:r>
            <w:r w:rsidR="005F5F59">
              <w:rPr>
                <w:noProof/>
                <w:webHidden/>
              </w:rPr>
              <w:fldChar w:fldCharType="end"/>
            </w:r>
          </w:hyperlink>
        </w:p>
        <w:p w14:paraId="747E327C" w14:textId="3D59D7DE" w:rsidR="00D45A09" w:rsidRPr="00A34BDE" w:rsidRDefault="00D45A09" w:rsidP="00D9476C">
          <w:pPr>
            <w:spacing w:line="276" w:lineRule="auto"/>
            <w:rPr>
              <w:b/>
              <w:bCs/>
              <w:noProof/>
            </w:rPr>
          </w:pPr>
          <w:r>
            <w:rPr>
              <w:b/>
              <w:bCs/>
              <w:noProof/>
            </w:rPr>
            <w:fldChar w:fldCharType="end"/>
          </w:r>
        </w:p>
      </w:sdtContent>
    </w:sdt>
    <w:bookmarkEnd w:id="1"/>
    <w:p w14:paraId="059C1730" w14:textId="123191D1" w:rsidR="00A34BDE" w:rsidRDefault="00A34BDE" w:rsidP="00A46FB5">
      <w:pPr>
        <w:spacing w:after="240"/>
        <w:jc w:val="both"/>
        <w:rPr>
          <w:rFonts w:cs="Arial"/>
          <w:szCs w:val="22"/>
          <w:lang w:val="en-GB"/>
        </w:rPr>
      </w:pPr>
    </w:p>
    <w:p w14:paraId="3CE01C77" w14:textId="77777777" w:rsidR="00097DFC" w:rsidRDefault="00097DFC">
      <w:pPr>
        <w:rPr>
          <w:rFonts w:eastAsiaTheme="majorEastAsia" w:cstheme="majorBidi"/>
          <w:color w:val="365F91" w:themeColor="accent1" w:themeShade="BF"/>
          <w:sz w:val="26"/>
          <w:szCs w:val="32"/>
          <w:lang w:val="en-GB"/>
        </w:rPr>
      </w:pPr>
      <w:r>
        <w:br w:type="page"/>
      </w:r>
    </w:p>
    <w:p w14:paraId="12B3AE49" w14:textId="0B119725" w:rsidR="00A34BDE" w:rsidRDefault="00C577F2" w:rsidP="00C577F2">
      <w:pPr>
        <w:pStyle w:val="Heading1"/>
      </w:pPr>
      <w:bookmarkStart w:id="2" w:name="_Toc13737480"/>
      <w:r>
        <w:t>Introduction</w:t>
      </w:r>
      <w:bookmarkEnd w:id="2"/>
    </w:p>
    <w:p w14:paraId="7D9A37FE" w14:textId="628DF081" w:rsidR="00743B9C" w:rsidRPr="00305018" w:rsidRDefault="00743B9C" w:rsidP="00A46FB5">
      <w:pPr>
        <w:spacing w:after="240"/>
        <w:jc w:val="both"/>
        <w:rPr>
          <w:rFonts w:cs="Arial"/>
          <w:szCs w:val="22"/>
          <w:lang w:val="en-GB"/>
        </w:rPr>
      </w:pPr>
      <w:r w:rsidRPr="00B75C3C">
        <w:rPr>
          <w:rFonts w:cs="Arial"/>
          <w:szCs w:val="22"/>
          <w:lang w:val="en-GB"/>
        </w:rPr>
        <w:t xml:space="preserve">These written comments are submitted by </w:t>
      </w:r>
      <w:r w:rsidR="007A2C3B" w:rsidRPr="00B75C3C">
        <w:rPr>
          <w:rFonts w:cs="Arial"/>
          <w:szCs w:val="22"/>
          <w:lang w:val="en-GB"/>
        </w:rPr>
        <w:t xml:space="preserve">the European Disability Forum (EDF) and the </w:t>
      </w:r>
      <w:proofErr w:type="spellStart"/>
      <w:r w:rsidR="009437AA" w:rsidRPr="001128D1">
        <w:rPr>
          <w:rFonts w:cs="Arial"/>
          <w:szCs w:val="22"/>
        </w:rPr>
        <w:t>Consiliul</w:t>
      </w:r>
      <w:proofErr w:type="spellEnd"/>
      <w:r w:rsidR="009437AA" w:rsidRPr="001128D1">
        <w:rPr>
          <w:rFonts w:cs="Arial"/>
          <w:szCs w:val="22"/>
        </w:rPr>
        <w:t xml:space="preserve"> National al </w:t>
      </w:r>
      <w:proofErr w:type="spellStart"/>
      <w:r w:rsidR="009437AA" w:rsidRPr="001128D1">
        <w:rPr>
          <w:rFonts w:cs="Arial"/>
          <w:szCs w:val="22"/>
        </w:rPr>
        <w:t>Dizabilitatii</w:t>
      </w:r>
      <w:proofErr w:type="spellEnd"/>
      <w:r w:rsidR="009437AA" w:rsidRPr="001128D1">
        <w:rPr>
          <w:rFonts w:cs="Arial"/>
          <w:szCs w:val="22"/>
        </w:rPr>
        <w:t xml:space="preserve"> din Romania</w:t>
      </w:r>
      <w:r w:rsidR="001128D1" w:rsidRPr="001128D1">
        <w:rPr>
          <w:rFonts w:cs="Arial"/>
          <w:szCs w:val="22"/>
        </w:rPr>
        <w:t xml:space="preserve"> </w:t>
      </w:r>
      <w:r w:rsidR="009437AA" w:rsidRPr="00993F1A">
        <w:rPr>
          <w:rFonts w:cs="Arial"/>
          <w:szCs w:val="22"/>
        </w:rPr>
        <w:t>(CNDR)</w:t>
      </w:r>
      <w:r w:rsidR="00F45A68" w:rsidRPr="00B75C3C">
        <w:rPr>
          <w:rFonts w:cs="Arial"/>
          <w:szCs w:val="22"/>
          <w:lang w:val="en-GB"/>
        </w:rPr>
        <w:t xml:space="preserve">, </w:t>
      </w:r>
      <w:r w:rsidRPr="00B75C3C">
        <w:rPr>
          <w:rFonts w:cs="Arial"/>
          <w:szCs w:val="22"/>
          <w:lang w:val="en-GB"/>
        </w:rPr>
        <w:t xml:space="preserve">pursuant to leave granted by </w:t>
      </w:r>
      <w:r w:rsidR="00820871" w:rsidRPr="00B75C3C">
        <w:rPr>
          <w:rFonts w:cs="Arial"/>
          <w:szCs w:val="22"/>
          <w:lang w:val="en-GB"/>
        </w:rPr>
        <w:t>the President of the Fourth Section</w:t>
      </w:r>
      <w:r w:rsidR="00D37675" w:rsidRPr="00B75C3C">
        <w:rPr>
          <w:rFonts w:cs="Arial"/>
          <w:szCs w:val="22"/>
          <w:lang w:val="en-GB"/>
        </w:rPr>
        <w:t xml:space="preserve"> of the European Court of Human Rights</w:t>
      </w:r>
      <w:r w:rsidRPr="00B75C3C">
        <w:rPr>
          <w:rFonts w:cs="Arial"/>
          <w:szCs w:val="22"/>
          <w:lang w:val="en-GB"/>
        </w:rPr>
        <w:t xml:space="preserve"> in accordance with Rule 44(3)(a) of the Rules of Court</w:t>
      </w:r>
      <w:r w:rsidR="008F0526">
        <w:rPr>
          <w:rFonts w:cs="Arial"/>
          <w:szCs w:val="22"/>
          <w:lang w:val="en-GB"/>
        </w:rPr>
        <w:t>,</w:t>
      </w:r>
      <w:r w:rsidR="00B21F38" w:rsidRPr="00B21F38">
        <w:rPr>
          <w:rFonts w:cs="Arial"/>
          <w:szCs w:val="22"/>
          <w:lang w:val="en-GB"/>
        </w:rPr>
        <w:t xml:space="preserve"> </w:t>
      </w:r>
      <w:r w:rsidR="00B21F38" w:rsidRPr="00B75C3C">
        <w:rPr>
          <w:rFonts w:cs="Arial"/>
          <w:szCs w:val="22"/>
          <w:lang w:val="en-GB"/>
        </w:rPr>
        <w:t xml:space="preserve">on </w:t>
      </w:r>
      <w:r w:rsidR="00B21F38">
        <w:rPr>
          <w:rFonts w:cs="Arial"/>
          <w:szCs w:val="22"/>
          <w:lang w:val="en-GB"/>
        </w:rPr>
        <w:t>27 June 2019</w:t>
      </w:r>
      <w:r w:rsidRPr="00B75C3C">
        <w:rPr>
          <w:rFonts w:cs="Arial"/>
          <w:szCs w:val="22"/>
          <w:lang w:val="en-GB"/>
        </w:rPr>
        <w:t>.</w:t>
      </w:r>
      <w:r w:rsidRPr="00305018">
        <w:rPr>
          <w:rFonts w:cs="Arial"/>
          <w:szCs w:val="22"/>
          <w:lang w:val="en-GB"/>
        </w:rPr>
        <w:t xml:space="preserve"> </w:t>
      </w:r>
    </w:p>
    <w:p w14:paraId="6F9F8BF2" w14:textId="796A44E0" w:rsidR="00C9355E" w:rsidRPr="00305018" w:rsidRDefault="00C9355E" w:rsidP="00A46FB5">
      <w:pPr>
        <w:spacing w:after="240"/>
        <w:jc w:val="both"/>
        <w:rPr>
          <w:rFonts w:cs="Arial"/>
          <w:szCs w:val="22"/>
          <w:lang w:val="en-GB"/>
        </w:rPr>
      </w:pPr>
      <w:r w:rsidRPr="00305018">
        <w:rPr>
          <w:rFonts w:cs="Arial"/>
          <w:szCs w:val="22"/>
          <w:lang w:val="en-GB"/>
        </w:rPr>
        <w:t>The present case</w:t>
      </w:r>
      <w:r w:rsidR="00DB7CB2">
        <w:rPr>
          <w:rFonts w:cs="Arial"/>
          <w:szCs w:val="22"/>
          <w:lang w:val="en-GB"/>
        </w:rPr>
        <w:t xml:space="preserve"> concerns allegation of </w:t>
      </w:r>
      <w:r w:rsidR="00251909">
        <w:rPr>
          <w:rFonts w:cs="Arial"/>
          <w:szCs w:val="22"/>
          <w:lang w:val="en-GB"/>
        </w:rPr>
        <w:t>ill-treatment and bullying of a child with psychosocial disabilities at scho</w:t>
      </w:r>
      <w:r w:rsidR="00712C29">
        <w:rPr>
          <w:rFonts w:cs="Arial"/>
          <w:szCs w:val="22"/>
          <w:lang w:val="en-GB"/>
        </w:rPr>
        <w:t>ol</w:t>
      </w:r>
      <w:r w:rsidR="00380BBB">
        <w:rPr>
          <w:rFonts w:cs="Arial"/>
          <w:szCs w:val="22"/>
          <w:lang w:val="en-GB"/>
        </w:rPr>
        <w:t xml:space="preserve"> by teacher and other pupils, as well as</w:t>
      </w:r>
      <w:r w:rsidR="0069091C">
        <w:rPr>
          <w:rFonts w:cs="Arial"/>
          <w:szCs w:val="22"/>
          <w:lang w:val="en-GB"/>
        </w:rPr>
        <w:t>,</w:t>
      </w:r>
      <w:r w:rsidR="00380BBB">
        <w:rPr>
          <w:rFonts w:cs="Arial"/>
          <w:szCs w:val="22"/>
          <w:lang w:val="en-GB"/>
        </w:rPr>
        <w:t xml:space="preserve"> </w:t>
      </w:r>
      <w:r w:rsidR="0069091C">
        <w:rPr>
          <w:rFonts w:cs="Arial"/>
          <w:szCs w:val="22"/>
          <w:lang w:val="en-GB"/>
        </w:rPr>
        <w:t xml:space="preserve">more generally, the </w:t>
      </w:r>
      <w:r w:rsidR="00251909">
        <w:rPr>
          <w:rFonts w:cs="Arial"/>
          <w:szCs w:val="22"/>
          <w:lang w:val="en-GB"/>
        </w:rPr>
        <w:t>issue of access to inclusive education</w:t>
      </w:r>
      <w:r w:rsidR="00712C29">
        <w:rPr>
          <w:rFonts w:cs="Arial"/>
          <w:szCs w:val="22"/>
          <w:lang w:val="en-GB"/>
        </w:rPr>
        <w:t xml:space="preserve"> of children with disabilities</w:t>
      </w:r>
      <w:r w:rsidR="00251909">
        <w:rPr>
          <w:rFonts w:cs="Arial"/>
          <w:szCs w:val="22"/>
          <w:lang w:val="en-GB"/>
        </w:rPr>
        <w:t>. The child’s parents complained that they were blamed by the courts for having caused their son’s problem</w:t>
      </w:r>
      <w:r w:rsidR="00380BBB">
        <w:rPr>
          <w:rFonts w:cs="Arial"/>
          <w:szCs w:val="22"/>
          <w:lang w:val="en-GB"/>
        </w:rPr>
        <w:t>s</w:t>
      </w:r>
      <w:r w:rsidR="00251909">
        <w:rPr>
          <w:rFonts w:cs="Arial"/>
          <w:szCs w:val="22"/>
          <w:lang w:val="en-GB"/>
        </w:rPr>
        <w:t xml:space="preserve"> and they were pressured to remove him from the State</w:t>
      </w:r>
      <w:r w:rsidR="00B706DA">
        <w:rPr>
          <w:rFonts w:cs="Arial"/>
          <w:szCs w:val="22"/>
          <w:lang w:val="en-GB"/>
        </w:rPr>
        <w:t>’s</w:t>
      </w:r>
      <w:r w:rsidR="00251909">
        <w:rPr>
          <w:rFonts w:cs="Arial"/>
          <w:szCs w:val="22"/>
          <w:lang w:val="en-GB"/>
        </w:rPr>
        <w:t xml:space="preserve"> school.</w:t>
      </w:r>
      <w:r w:rsidR="0069091C">
        <w:rPr>
          <w:rFonts w:cs="Arial"/>
          <w:szCs w:val="22"/>
          <w:lang w:val="en-GB"/>
        </w:rPr>
        <w:t xml:space="preserve"> </w:t>
      </w:r>
    </w:p>
    <w:p w14:paraId="6607405D" w14:textId="572597AF" w:rsidR="0055750C" w:rsidRDefault="00C9355E" w:rsidP="00A46FB5">
      <w:pPr>
        <w:spacing w:after="240"/>
        <w:jc w:val="both"/>
        <w:rPr>
          <w:rFonts w:cs="Arial"/>
          <w:szCs w:val="22"/>
          <w:lang w:val="en-GB"/>
        </w:rPr>
      </w:pPr>
      <w:r w:rsidRPr="00305018">
        <w:rPr>
          <w:rFonts w:cs="Arial"/>
          <w:szCs w:val="22"/>
          <w:lang w:val="en-GB"/>
        </w:rPr>
        <w:t>This case presents the European Court of Human Rights (</w:t>
      </w:r>
      <w:r w:rsidR="00A66643" w:rsidRPr="00305018">
        <w:rPr>
          <w:rFonts w:cs="Arial"/>
          <w:szCs w:val="22"/>
          <w:lang w:val="en-GB"/>
        </w:rPr>
        <w:t>hereinafter the ‘Court’) with a new</w:t>
      </w:r>
      <w:r w:rsidRPr="00305018">
        <w:rPr>
          <w:rFonts w:cs="Arial"/>
          <w:szCs w:val="22"/>
          <w:lang w:val="en-GB"/>
        </w:rPr>
        <w:t xml:space="preserve"> opportunity to examine States’ obligations under </w:t>
      </w:r>
      <w:r w:rsidR="00DA125C" w:rsidRPr="00305018">
        <w:rPr>
          <w:rFonts w:cs="Arial"/>
          <w:szCs w:val="22"/>
          <w:lang w:val="en-GB"/>
        </w:rPr>
        <w:t xml:space="preserve">the Convention </w:t>
      </w:r>
      <w:r w:rsidRPr="00305018">
        <w:rPr>
          <w:rFonts w:cs="Arial"/>
          <w:szCs w:val="22"/>
          <w:lang w:val="en-GB"/>
        </w:rPr>
        <w:t xml:space="preserve">and the Additional Protocol No 1 (hereinafter ‘Protocol No 1’) to guarantee </w:t>
      </w:r>
      <w:r w:rsidR="00EA048A">
        <w:rPr>
          <w:rFonts w:cs="Arial"/>
          <w:szCs w:val="22"/>
          <w:lang w:val="en-GB"/>
        </w:rPr>
        <w:t xml:space="preserve">the right of every child to </w:t>
      </w:r>
      <w:r w:rsidR="00EA048A">
        <w:rPr>
          <w:rFonts w:cs="Arial"/>
          <w:i/>
          <w:szCs w:val="22"/>
          <w:lang w:val="en-GB"/>
        </w:rPr>
        <w:t xml:space="preserve">inclusive </w:t>
      </w:r>
      <w:r w:rsidR="00DA3F38">
        <w:rPr>
          <w:rFonts w:cs="Arial"/>
          <w:szCs w:val="22"/>
          <w:lang w:val="en-GB"/>
        </w:rPr>
        <w:t>education (Protocol No. 1)</w:t>
      </w:r>
      <w:r w:rsidR="002921B4">
        <w:rPr>
          <w:rFonts w:cs="Arial"/>
          <w:szCs w:val="22"/>
          <w:lang w:val="en-GB"/>
        </w:rPr>
        <w:t>,</w:t>
      </w:r>
      <w:r w:rsidR="00DA3F38">
        <w:rPr>
          <w:rFonts w:cs="Arial"/>
          <w:szCs w:val="22"/>
          <w:lang w:val="en-GB"/>
        </w:rPr>
        <w:t xml:space="preserve"> free from degrading treatment (article 3 of the Convention) and discrimination (article 14 of the Convention). </w:t>
      </w:r>
      <w:r w:rsidR="00673DD7">
        <w:rPr>
          <w:rFonts w:cs="Arial"/>
          <w:szCs w:val="22"/>
          <w:lang w:val="en-GB"/>
        </w:rPr>
        <w:t xml:space="preserve">This case allows the Court to condemn bullying as a form of </w:t>
      </w:r>
      <w:r w:rsidR="0038192E">
        <w:rPr>
          <w:rFonts w:cs="Arial"/>
          <w:szCs w:val="22"/>
          <w:lang w:val="en-GB"/>
        </w:rPr>
        <w:t>degrading treatment and discrimination</w:t>
      </w:r>
      <w:r w:rsidR="00B07050">
        <w:rPr>
          <w:rFonts w:cs="Arial"/>
          <w:szCs w:val="22"/>
          <w:lang w:val="en-GB"/>
        </w:rPr>
        <w:t xml:space="preserve"> on the grounds of disability</w:t>
      </w:r>
      <w:r w:rsidR="00B706DA">
        <w:rPr>
          <w:rFonts w:cs="Arial"/>
          <w:szCs w:val="22"/>
          <w:lang w:val="en-GB"/>
        </w:rPr>
        <w:t>,</w:t>
      </w:r>
      <w:r w:rsidR="0038192E">
        <w:rPr>
          <w:rFonts w:cs="Arial"/>
          <w:szCs w:val="22"/>
          <w:lang w:val="en-GB"/>
        </w:rPr>
        <w:t xml:space="preserve"> and to elaborate on </w:t>
      </w:r>
      <w:r w:rsidR="00515D08">
        <w:rPr>
          <w:rFonts w:cs="Arial"/>
          <w:szCs w:val="22"/>
          <w:lang w:val="en-GB"/>
        </w:rPr>
        <w:t xml:space="preserve">the </w:t>
      </w:r>
      <w:r w:rsidR="006B1BCD">
        <w:rPr>
          <w:rFonts w:cs="Arial"/>
          <w:szCs w:val="22"/>
          <w:lang w:val="en-GB"/>
        </w:rPr>
        <w:t>right to</w:t>
      </w:r>
      <w:r w:rsidR="00515D08">
        <w:rPr>
          <w:rFonts w:cs="Arial"/>
          <w:szCs w:val="22"/>
          <w:lang w:val="en-GB"/>
        </w:rPr>
        <w:t xml:space="preserve"> inclusive education</w:t>
      </w:r>
      <w:r w:rsidR="006B1BCD">
        <w:rPr>
          <w:rFonts w:cs="Arial"/>
          <w:szCs w:val="22"/>
          <w:lang w:val="en-GB"/>
        </w:rPr>
        <w:t xml:space="preserve"> of children with disabilities</w:t>
      </w:r>
      <w:r w:rsidR="0038192E">
        <w:rPr>
          <w:rFonts w:cs="Arial"/>
          <w:szCs w:val="22"/>
          <w:lang w:val="en-GB"/>
        </w:rPr>
        <w:t xml:space="preserve">. </w:t>
      </w:r>
    </w:p>
    <w:p w14:paraId="139E7C1A" w14:textId="7831608F" w:rsidR="00093CF0" w:rsidRDefault="0055750C" w:rsidP="00A46FB5">
      <w:pPr>
        <w:spacing w:after="240"/>
        <w:jc w:val="both"/>
        <w:rPr>
          <w:rFonts w:cs="Arial"/>
          <w:szCs w:val="22"/>
          <w:lang w:val="en-GB"/>
        </w:rPr>
      </w:pPr>
      <w:r w:rsidRPr="000B7D0A">
        <w:rPr>
          <w:rFonts w:cs="Arial"/>
          <w:szCs w:val="22"/>
          <w:lang w:val="en-GB"/>
        </w:rPr>
        <w:t xml:space="preserve">This submission </w:t>
      </w:r>
      <w:r w:rsidR="008B74C9">
        <w:rPr>
          <w:rFonts w:cs="Arial"/>
          <w:szCs w:val="22"/>
          <w:lang w:val="en-GB"/>
        </w:rPr>
        <w:t>aims at informing the C</w:t>
      </w:r>
      <w:r w:rsidRPr="000B7D0A">
        <w:rPr>
          <w:rFonts w:cs="Arial"/>
          <w:szCs w:val="22"/>
          <w:lang w:val="en-GB"/>
        </w:rPr>
        <w:t xml:space="preserve">ourt of </w:t>
      </w:r>
      <w:r w:rsidR="000B7D0A" w:rsidRPr="000B7D0A">
        <w:rPr>
          <w:rFonts w:cs="Arial"/>
          <w:szCs w:val="22"/>
          <w:lang w:val="en-GB"/>
        </w:rPr>
        <w:t>States’ obligations</w:t>
      </w:r>
      <w:r w:rsidR="00AD0285">
        <w:rPr>
          <w:rFonts w:cs="Arial"/>
          <w:szCs w:val="22"/>
          <w:lang w:val="en-GB"/>
        </w:rPr>
        <w:t xml:space="preserve"> </w:t>
      </w:r>
      <w:r w:rsidR="00D016CA">
        <w:rPr>
          <w:rFonts w:cs="Arial"/>
          <w:szCs w:val="22"/>
          <w:lang w:val="en-GB"/>
        </w:rPr>
        <w:t xml:space="preserve">to effectively combat bullying as a form of degrading treatment and discrimination, and to fully ensure the right to </w:t>
      </w:r>
      <w:r w:rsidR="00D016CA" w:rsidRPr="00D016CA">
        <w:rPr>
          <w:rFonts w:cs="Arial"/>
          <w:i/>
          <w:szCs w:val="22"/>
          <w:lang w:val="en-GB"/>
        </w:rPr>
        <w:t>inclusive</w:t>
      </w:r>
      <w:r w:rsidR="00D016CA">
        <w:rPr>
          <w:rFonts w:cs="Arial"/>
          <w:szCs w:val="22"/>
          <w:lang w:val="en-GB"/>
        </w:rPr>
        <w:t xml:space="preserve"> education of all children. </w:t>
      </w:r>
      <w:r w:rsidR="000563C2">
        <w:rPr>
          <w:rFonts w:cs="Arial"/>
          <w:szCs w:val="22"/>
          <w:lang w:val="en-GB"/>
        </w:rPr>
        <w:t>It refers to</w:t>
      </w:r>
      <w:r w:rsidR="00D77CDD">
        <w:rPr>
          <w:rFonts w:cs="Arial"/>
          <w:szCs w:val="22"/>
          <w:lang w:val="en-GB"/>
        </w:rPr>
        <w:t xml:space="preserve"> the</w:t>
      </w:r>
      <w:r w:rsidR="000563C2">
        <w:rPr>
          <w:rFonts w:cs="Arial"/>
          <w:szCs w:val="22"/>
          <w:lang w:val="en-GB"/>
        </w:rPr>
        <w:t xml:space="preserve"> </w:t>
      </w:r>
      <w:r w:rsidR="001C2E8E">
        <w:rPr>
          <w:rFonts w:cs="Arial"/>
          <w:szCs w:val="22"/>
          <w:lang w:val="en-GB"/>
        </w:rPr>
        <w:t xml:space="preserve">latest international human rights </w:t>
      </w:r>
      <w:r w:rsidR="000563C2">
        <w:rPr>
          <w:rFonts w:cs="Arial"/>
          <w:szCs w:val="22"/>
          <w:lang w:val="en-GB"/>
        </w:rPr>
        <w:t xml:space="preserve">standards set by the United Convention of the Rights of Persons with Disabilities </w:t>
      </w:r>
      <w:r w:rsidR="000563C2" w:rsidRPr="000563C2">
        <w:rPr>
          <w:rFonts w:cs="Arial"/>
          <w:szCs w:val="22"/>
          <w:lang w:val="en-GB"/>
        </w:rPr>
        <w:t>(hereinafter ‘CRPD’)</w:t>
      </w:r>
      <w:r w:rsidR="000563C2">
        <w:rPr>
          <w:rFonts w:cs="Arial"/>
          <w:szCs w:val="22"/>
          <w:lang w:val="en-GB"/>
        </w:rPr>
        <w:t xml:space="preserve">, </w:t>
      </w:r>
      <w:r w:rsidR="00215F90">
        <w:rPr>
          <w:rFonts w:cs="Arial"/>
          <w:szCs w:val="22"/>
          <w:lang w:val="en-GB"/>
        </w:rPr>
        <w:t>as well as</w:t>
      </w:r>
      <w:r w:rsidR="00AA3F86">
        <w:rPr>
          <w:rFonts w:cs="Arial"/>
          <w:szCs w:val="22"/>
          <w:lang w:val="en-GB"/>
        </w:rPr>
        <w:t xml:space="preserve"> </w:t>
      </w:r>
      <w:r w:rsidR="000563C2">
        <w:rPr>
          <w:rFonts w:cs="Arial"/>
          <w:szCs w:val="22"/>
          <w:lang w:val="en-GB"/>
        </w:rPr>
        <w:t>to</w:t>
      </w:r>
      <w:r w:rsidR="00AA3F86">
        <w:rPr>
          <w:rFonts w:cs="Arial"/>
          <w:szCs w:val="22"/>
          <w:lang w:val="en-GB"/>
        </w:rPr>
        <w:t xml:space="preserve"> other</w:t>
      </w:r>
      <w:r w:rsidR="000563C2">
        <w:rPr>
          <w:rFonts w:cs="Arial"/>
          <w:szCs w:val="22"/>
          <w:lang w:val="en-GB"/>
        </w:rPr>
        <w:t xml:space="preserve"> </w:t>
      </w:r>
      <w:r w:rsidR="00AA3F86">
        <w:rPr>
          <w:rFonts w:cs="Arial"/>
          <w:szCs w:val="22"/>
          <w:lang w:val="en-GB"/>
        </w:rPr>
        <w:t xml:space="preserve">international human rights treaties, </w:t>
      </w:r>
      <w:r w:rsidR="000563C2">
        <w:rPr>
          <w:rFonts w:cs="Arial"/>
          <w:szCs w:val="22"/>
          <w:lang w:val="en-GB"/>
        </w:rPr>
        <w:t xml:space="preserve">the jurisprudence of the Court, and national legislation. </w:t>
      </w:r>
    </w:p>
    <w:p w14:paraId="7472BEB3" w14:textId="181624BA" w:rsidR="00AC6716" w:rsidRPr="00A46FB5" w:rsidRDefault="00881C55" w:rsidP="00D9476C">
      <w:pPr>
        <w:pStyle w:val="Heading1"/>
      </w:pPr>
      <w:bookmarkStart w:id="3" w:name="_Toc13671823"/>
      <w:bookmarkStart w:id="4" w:name="_Toc13737481"/>
      <w:bookmarkStart w:id="5" w:name="_Toc13485007"/>
      <w:r>
        <w:t>International standards on the rights of persons with disabilities: the United Nations Convention on the Rights of Persons with Disabilities</w:t>
      </w:r>
      <w:bookmarkEnd w:id="3"/>
      <w:bookmarkEnd w:id="4"/>
      <w:r w:rsidR="00B67A29">
        <w:t xml:space="preserve"> </w:t>
      </w:r>
      <w:bookmarkEnd w:id="5"/>
    </w:p>
    <w:p w14:paraId="50422B0D" w14:textId="7BB02016" w:rsidR="00F16C78" w:rsidRPr="00A46FB5" w:rsidRDefault="00F16C78" w:rsidP="00A46FB5">
      <w:pPr>
        <w:spacing w:after="240"/>
        <w:jc w:val="both"/>
        <w:rPr>
          <w:rFonts w:cs="Arial"/>
          <w:szCs w:val="22"/>
        </w:rPr>
      </w:pPr>
      <w:r w:rsidRPr="00F16C78">
        <w:rPr>
          <w:rFonts w:cs="Arial"/>
          <w:szCs w:val="22"/>
          <w:lang w:val="en-GB"/>
        </w:rPr>
        <w:t xml:space="preserve">It has been established in </w:t>
      </w:r>
      <w:proofErr w:type="spellStart"/>
      <w:r w:rsidRPr="00F16C78">
        <w:rPr>
          <w:rFonts w:cs="Arial"/>
          <w:b/>
          <w:i/>
          <w:szCs w:val="22"/>
        </w:rPr>
        <w:t>Opuz</w:t>
      </w:r>
      <w:proofErr w:type="spellEnd"/>
      <w:r w:rsidRPr="00F16C78">
        <w:rPr>
          <w:rFonts w:cs="Arial"/>
          <w:b/>
          <w:i/>
          <w:szCs w:val="22"/>
        </w:rPr>
        <w:t xml:space="preserve"> v Turkey</w:t>
      </w:r>
      <w:r w:rsidRPr="00F16C78">
        <w:rPr>
          <w:rFonts w:cs="Arial"/>
          <w:szCs w:val="22"/>
          <w:lang w:val="en-GB"/>
        </w:rPr>
        <w:t xml:space="preserve"> that in interpreting the provisions of the Convention and the scope of the States’ obligations in specific cases, the Court will look “</w:t>
      </w:r>
      <w:r w:rsidRPr="006365D3">
        <w:rPr>
          <w:rFonts w:cs="Arial"/>
          <w:i/>
          <w:iCs/>
          <w:szCs w:val="22"/>
          <w:lang w:val="en-GB"/>
        </w:rPr>
        <w:t>for any consensus and common values emerging from the practices of European States and specialised international instruments... as well as giving heed to the evolution of norms and principles in international law</w:t>
      </w:r>
      <w:r w:rsidRPr="00F16C78">
        <w:rPr>
          <w:rFonts w:cs="Arial"/>
          <w:i/>
          <w:iCs/>
          <w:szCs w:val="22"/>
          <w:lang w:val="en-GB"/>
        </w:rPr>
        <w:t>.</w:t>
      </w:r>
      <w:r w:rsidRPr="00F16C78">
        <w:rPr>
          <w:rFonts w:cs="Arial"/>
          <w:szCs w:val="22"/>
          <w:lang w:val="en-GB"/>
        </w:rPr>
        <w:t>”</w:t>
      </w:r>
      <w:r w:rsidRPr="00F16C78">
        <w:rPr>
          <w:rFonts w:cs="Arial"/>
          <w:szCs w:val="22"/>
          <w:vertAlign w:val="superscript"/>
          <w:lang w:val="en-GB"/>
        </w:rPr>
        <w:footnoteReference w:id="1"/>
      </w:r>
      <w:r w:rsidRPr="00F16C78">
        <w:rPr>
          <w:rFonts w:cs="Arial"/>
          <w:szCs w:val="22"/>
          <w:lang w:val="en-GB"/>
        </w:rPr>
        <w:t xml:space="preserve"> It is respectfully submitted that standards enshrined in international law and accepted by consensus in European countries, should inform the Court’s interpretation in this case. </w:t>
      </w:r>
      <w:r w:rsidRPr="00F16C78">
        <w:rPr>
          <w:rFonts w:ascii="MS Gothic" w:eastAsia="MS Gothic" w:hAnsi="MS Gothic" w:cs="MS Gothic" w:hint="eastAsia"/>
          <w:szCs w:val="22"/>
          <w:lang w:val="en-GB"/>
        </w:rPr>
        <w:t> </w:t>
      </w:r>
    </w:p>
    <w:p w14:paraId="6BE06493" w14:textId="7058DC1C" w:rsidR="00BA55F3" w:rsidRPr="00305018" w:rsidRDefault="005C4A11" w:rsidP="00A46FB5">
      <w:pPr>
        <w:spacing w:after="240"/>
        <w:jc w:val="both"/>
        <w:rPr>
          <w:rFonts w:cs="Arial"/>
          <w:szCs w:val="22"/>
          <w:lang w:val="en-GB"/>
        </w:rPr>
      </w:pPr>
      <w:r w:rsidRPr="00305018">
        <w:rPr>
          <w:rFonts w:cs="Arial"/>
          <w:szCs w:val="22"/>
          <w:lang w:val="en-GB"/>
        </w:rPr>
        <w:t>In considerin</w:t>
      </w:r>
      <w:r w:rsidR="00A50351">
        <w:rPr>
          <w:rFonts w:cs="Arial"/>
          <w:szCs w:val="22"/>
          <w:lang w:val="en-GB"/>
        </w:rPr>
        <w:t>g</w:t>
      </w:r>
      <w:r w:rsidR="002B16EF">
        <w:rPr>
          <w:rFonts w:cs="Arial"/>
          <w:szCs w:val="22"/>
          <w:lang w:val="en-GB"/>
        </w:rPr>
        <w:t xml:space="preserve"> cases of alleged violation of rights</w:t>
      </w:r>
      <w:r w:rsidR="00021650">
        <w:rPr>
          <w:rFonts w:cs="Arial"/>
          <w:szCs w:val="22"/>
          <w:lang w:val="en-GB"/>
        </w:rPr>
        <w:t xml:space="preserve"> of persons, including children</w:t>
      </w:r>
      <w:r w:rsidR="002B16EF">
        <w:rPr>
          <w:rFonts w:cs="Arial"/>
          <w:szCs w:val="22"/>
          <w:lang w:val="en-GB"/>
        </w:rPr>
        <w:t xml:space="preserve"> with disabilities,</w:t>
      </w:r>
      <w:r w:rsidR="00A50351">
        <w:rPr>
          <w:rFonts w:cs="Arial"/>
          <w:szCs w:val="22"/>
          <w:lang w:val="en-GB"/>
        </w:rPr>
        <w:t xml:space="preserve"> </w:t>
      </w:r>
      <w:r w:rsidRPr="00305018">
        <w:rPr>
          <w:rFonts w:cs="Arial"/>
          <w:szCs w:val="22"/>
          <w:lang w:val="en-GB"/>
        </w:rPr>
        <w:t>the Court is</w:t>
      </w:r>
      <w:r w:rsidR="00F16C78">
        <w:rPr>
          <w:rFonts w:cs="Arial"/>
          <w:szCs w:val="22"/>
          <w:lang w:val="en-GB"/>
        </w:rPr>
        <w:t xml:space="preserve"> </w:t>
      </w:r>
      <w:r w:rsidRPr="00305018">
        <w:rPr>
          <w:rFonts w:cs="Arial"/>
          <w:szCs w:val="22"/>
          <w:lang w:val="en-GB"/>
        </w:rPr>
        <w:t xml:space="preserve">encouraged to have regard to the </w:t>
      </w:r>
      <w:r w:rsidR="002B16EF">
        <w:rPr>
          <w:rFonts w:cs="Arial"/>
          <w:szCs w:val="22"/>
          <w:lang w:val="en-GB"/>
        </w:rPr>
        <w:t>most recent</w:t>
      </w:r>
      <w:r w:rsidRPr="00305018">
        <w:rPr>
          <w:rFonts w:cs="Arial"/>
          <w:szCs w:val="22"/>
          <w:lang w:val="en-GB"/>
        </w:rPr>
        <w:t xml:space="preserve"> international standards on the human rights of persons with disabilities, </w:t>
      </w:r>
      <w:r w:rsidR="00684418">
        <w:rPr>
          <w:rFonts w:cs="Arial"/>
          <w:szCs w:val="22"/>
          <w:lang w:val="en-GB"/>
        </w:rPr>
        <w:t>in particular</w:t>
      </w:r>
      <w:r w:rsidRPr="00305018">
        <w:rPr>
          <w:rFonts w:cs="Arial"/>
          <w:szCs w:val="22"/>
          <w:lang w:val="en-GB"/>
        </w:rPr>
        <w:t xml:space="preserve"> the provisions of the </w:t>
      </w:r>
      <w:r w:rsidRPr="00C4372F">
        <w:rPr>
          <w:rFonts w:cs="Arial"/>
          <w:b/>
          <w:szCs w:val="22"/>
          <w:lang w:val="en-GB"/>
        </w:rPr>
        <w:t>United Nations Convention on the Rights of Persons with Disabilities</w:t>
      </w:r>
      <w:r w:rsidR="00021650">
        <w:rPr>
          <w:rFonts w:cs="Arial"/>
          <w:szCs w:val="22"/>
          <w:lang w:val="en-GB"/>
        </w:rPr>
        <w:t xml:space="preserve"> and its guiding principles. Its principles</w:t>
      </w:r>
      <w:r w:rsidRPr="00305018">
        <w:rPr>
          <w:rFonts w:cs="Arial"/>
          <w:szCs w:val="22"/>
          <w:lang w:val="en-GB"/>
        </w:rPr>
        <w:t xml:space="preserve"> include respect for inherent dignity, non-discrimination, full and effective participation in society, respect for difference, equality of opportunity, and accessibility.</w:t>
      </w:r>
      <w:r w:rsidRPr="00305018">
        <w:rPr>
          <w:rStyle w:val="FootnoteReference"/>
          <w:rFonts w:cs="Arial"/>
          <w:szCs w:val="22"/>
          <w:lang w:val="en-GB"/>
        </w:rPr>
        <w:footnoteReference w:id="2"/>
      </w:r>
      <w:r w:rsidR="00321D5D" w:rsidRPr="00305018">
        <w:rPr>
          <w:rFonts w:cs="Arial"/>
          <w:szCs w:val="22"/>
          <w:lang w:val="en-GB"/>
        </w:rPr>
        <w:t xml:space="preserve"> </w:t>
      </w:r>
    </w:p>
    <w:p w14:paraId="7FF565D8" w14:textId="77777777" w:rsidR="00A16366" w:rsidRDefault="00ED114E" w:rsidP="00A46FB5">
      <w:pPr>
        <w:spacing w:after="240"/>
        <w:jc w:val="both"/>
        <w:rPr>
          <w:rFonts w:cs="Arial"/>
          <w:szCs w:val="22"/>
          <w:lang w:val="en-GB"/>
        </w:rPr>
      </w:pPr>
      <w:r w:rsidRPr="00305018">
        <w:rPr>
          <w:rFonts w:cs="Arial"/>
          <w:szCs w:val="22"/>
          <w:lang w:val="en-GB"/>
        </w:rPr>
        <w:t xml:space="preserve">To date, the CRPD counts </w:t>
      </w:r>
      <w:r w:rsidR="00684418">
        <w:rPr>
          <w:rFonts w:cs="Arial"/>
          <w:szCs w:val="22"/>
          <w:lang w:val="en-GB"/>
        </w:rPr>
        <w:t>177</w:t>
      </w:r>
      <w:r w:rsidRPr="00305018">
        <w:rPr>
          <w:rFonts w:cs="Arial"/>
          <w:szCs w:val="22"/>
          <w:lang w:val="en-GB"/>
        </w:rPr>
        <w:t xml:space="preserve"> ratifications/accessions including Romania which ratified it</w:t>
      </w:r>
      <w:r w:rsidR="007D6916" w:rsidRPr="00305018">
        <w:rPr>
          <w:rFonts w:cs="Arial"/>
          <w:szCs w:val="22"/>
          <w:lang w:val="en-GB"/>
        </w:rPr>
        <w:t xml:space="preserve"> on 31 January 2011. </w:t>
      </w:r>
      <w:r w:rsidR="00684418">
        <w:rPr>
          <w:rFonts w:cs="Arial"/>
          <w:szCs w:val="22"/>
          <w:lang w:val="en-GB"/>
        </w:rPr>
        <w:t>Within the Council of Europe, 46</w:t>
      </w:r>
      <w:r w:rsidR="00684418" w:rsidRPr="00305018">
        <w:rPr>
          <w:rFonts w:cs="Arial"/>
          <w:szCs w:val="22"/>
          <w:lang w:val="en-GB"/>
        </w:rPr>
        <w:t xml:space="preserve"> of the 47 members are States parties to the CRPD.</w:t>
      </w:r>
      <w:r w:rsidR="00684418" w:rsidRPr="00305018">
        <w:rPr>
          <w:rStyle w:val="FootnoteReference"/>
          <w:rFonts w:cs="Arial"/>
          <w:szCs w:val="22"/>
          <w:lang w:val="en-GB"/>
        </w:rPr>
        <w:footnoteReference w:id="3"/>
      </w:r>
      <w:r w:rsidR="00684418" w:rsidRPr="00305018">
        <w:rPr>
          <w:rFonts w:cs="Arial"/>
          <w:szCs w:val="22"/>
          <w:lang w:val="en-GB"/>
        </w:rPr>
        <w:t xml:space="preserve"> </w:t>
      </w:r>
      <w:r w:rsidR="00A16366">
        <w:rPr>
          <w:rFonts w:cs="Arial"/>
          <w:szCs w:val="22"/>
          <w:lang w:val="en-GB"/>
        </w:rPr>
        <w:t>T</w:t>
      </w:r>
      <w:r w:rsidR="00684418">
        <w:rPr>
          <w:rFonts w:cs="Arial"/>
          <w:szCs w:val="22"/>
          <w:lang w:val="en-GB"/>
        </w:rPr>
        <w:t xml:space="preserve">he European Union and all its member states </w:t>
      </w:r>
      <w:r w:rsidRPr="00305018">
        <w:rPr>
          <w:rFonts w:cs="Arial"/>
          <w:szCs w:val="22"/>
          <w:lang w:val="en-GB"/>
        </w:rPr>
        <w:t xml:space="preserve">have </w:t>
      </w:r>
      <w:r w:rsidR="00684418">
        <w:rPr>
          <w:rFonts w:cs="Arial"/>
          <w:szCs w:val="22"/>
          <w:lang w:val="en-GB"/>
        </w:rPr>
        <w:t>ratified or acceded to the CRPD.</w:t>
      </w:r>
      <w:r w:rsidR="007D6916" w:rsidRPr="00305018">
        <w:rPr>
          <w:rStyle w:val="FootnoteReference"/>
          <w:rFonts w:cs="Arial"/>
          <w:szCs w:val="22"/>
          <w:lang w:val="en-GB"/>
        </w:rPr>
        <w:footnoteReference w:id="4"/>
      </w:r>
      <w:r w:rsidRPr="00305018">
        <w:rPr>
          <w:rFonts w:cs="Arial"/>
          <w:szCs w:val="22"/>
          <w:lang w:val="en-GB"/>
        </w:rPr>
        <w:t xml:space="preserve"> </w:t>
      </w:r>
    </w:p>
    <w:p w14:paraId="36E6D852" w14:textId="5F37293C" w:rsidR="00F16C78" w:rsidRDefault="00946060" w:rsidP="00A46FB5">
      <w:pPr>
        <w:spacing w:after="240"/>
        <w:jc w:val="both"/>
        <w:rPr>
          <w:rFonts w:cs="Arial"/>
          <w:szCs w:val="22"/>
          <w:lang w:val="en-GB"/>
        </w:rPr>
      </w:pPr>
      <w:r>
        <w:rPr>
          <w:rFonts w:cs="Arial"/>
          <w:szCs w:val="22"/>
          <w:lang w:val="en-GB"/>
        </w:rPr>
        <w:t>In 2009, t</w:t>
      </w:r>
      <w:r w:rsidR="001C0500" w:rsidRPr="00305018">
        <w:rPr>
          <w:rFonts w:cs="Arial"/>
          <w:szCs w:val="22"/>
          <w:lang w:val="en-GB"/>
        </w:rPr>
        <w:t xml:space="preserve">he Court recognised in </w:t>
      </w:r>
      <w:proofErr w:type="spellStart"/>
      <w:r w:rsidR="001C0500" w:rsidRPr="00607CC7">
        <w:rPr>
          <w:rFonts w:cs="Arial"/>
          <w:b/>
          <w:i/>
          <w:szCs w:val="22"/>
          <w:lang w:val="en-GB"/>
        </w:rPr>
        <w:t>Glor</w:t>
      </w:r>
      <w:proofErr w:type="spellEnd"/>
      <w:r w:rsidR="001C0500" w:rsidRPr="00607CC7">
        <w:rPr>
          <w:rFonts w:cs="Arial"/>
          <w:b/>
          <w:i/>
          <w:szCs w:val="22"/>
          <w:lang w:val="en-GB"/>
        </w:rPr>
        <w:t xml:space="preserve"> v</w:t>
      </w:r>
      <w:r>
        <w:rPr>
          <w:rFonts w:cs="Arial"/>
          <w:b/>
          <w:i/>
          <w:szCs w:val="22"/>
          <w:lang w:val="en-GB"/>
        </w:rPr>
        <w:t>.</w:t>
      </w:r>
      <w:r w:rsidR="001C0500" w:rsidRPr="00607CC7">
        <w:rPr>
          <w:rFonts w:cs="Arial"/>
          <w:b/>
          <w:i/>
          <w:szCs w:val="22"/>
          <w:lang w:val="en-GB"/>
        </w:rPr>
        <w:t xml:space="preserve"> Switzerland</w:t>
      </w:r>
      <w:r w:rsidR="001C0500" w:rsidRPr="00305018">
        <w:rPr>
          <w:rFonts w:cs="Arial"/>
          <w:szCs w:val="22"/>
          <w:lang w:val="en-GB"/>
        </w:rPr>
        <w:t xml:space="preserve"> that the CRPD reflects “a</w:t>
      </w:r>
      <w:r w:rsidR="00017BDF" w:rsidRPr="00305018">
        <w:rPr>
          <w:rFonts w:cs="Arial"/>
          <w:szCs w:val="22"/>
          <w:lang w:val="en-GB"/>
        </w:rPr>
        <w:t>n</w:t>
      </w:r>
      <w:r w:rsidR="001C0500" w:rsidRPr="00305018">
        <w:rPr>
          <w:rFonts w:cs="Arial"/>
          <w:szCs w:val="22"/>
          <w:lang w:val="en-GB"/>
        </w:rPr>
        <w:t xml:space="preserve"> European and worldwide consensus on the need to protect people with disabilitie</w:t>
      </w:r>
      <w:r w:rsidR="00A3061D">
        <w:rPr>
          <w:rFonts w:cs="Arial"/>
          <w:szCs w:val="22"/>
          <w:lang w:val="en-GB"/>
        </w:rPr>
        <w:t>s from discriminatory treatment.</w:t>
      </w:r>
      <w:r w:rsidR="001C0500" w:rsidRPr="00305018">
        <w:rPr>
          <w:rFonts w:cs="Arial"/>
          <w:szCs w:val="22"/>
          <w:lang w:val="en-GB"/>
        </w:rPr>
        <w:t>”</w:t>
      </w:r>
      <w:r w:rsidR="001C0500" w:rsidRPr="00305018">
        <w:rPr>
          <w:rStyle w:val="FootnoteReference"/>
          <w:rFonts w:cs="Arial"/>
          <w:szCs w:val="22"/>
          <w:lang w:val="en-GB"/>
        </w:rPr>
        <w:footnoteReference w:id="5"/>
      </w:r>
      <w:r w:rsidR="00A3061D">
        <w:rPr>
          <w:rFonts w:cs="Arial"/>
          <w:szCs w:val="22"/>
          <w:lang w:val="en-GB"/>
        </w:rPr>
        <w:t xml:space="preserve"> M</w:t>
      </w:r>
      <w:r w:rsidR="00E03033" w:rsidRPr="00305018">
        <w:rPr>
          <w:rFonts w:cs="Arial"/>
          <w:szCs w:val="22"/>
          <w:lang w:val="en-GB"/>
        </w:rPr>
        <w:t>ore recent</w:t>
      </w:r>
      <w:r w:rsidR="00A3061D">
        <w:rPr>
          <w:rFonts w:cs="Arial"/>
          <w:szCs w:val="22"/>
          <w:lang w:val="en-GB"/>
        </w:rPr>
        <w:t>ly,</w:t>
      </w:r>
      <w:r w:rsidR="00E03033" w:rsidRPr="00305018">
        <w:rPr>
          <w:rFonts w:cs="Arial"/>
          <w:szCs w:val="22"/>
          <w:lang w:val="en-GB"/>
        </w:rPr>
        <w:t xml:space="preserve"> </w:t>
      </w:r>
      <w:r w:rsidR="00A3061D">
        <w:rPr>
          <w:rFonts w:cs="Arial"/>
          <w:szCs w:val="22"/>
          <w:lang w:val="en-GB"/>
        </w:rPr>
        <w:t>in</w:t>
      </w:r>
      <w:r w:rsidR="00E03033" w:rsidRPr="00305018">
        <w:rPr>
          <w:rFonts w:cs="Arial"/>
          <w:szCs w:val="22"/>
          <w:lang w:val="en-GB"/>
        </w:rPr>
        <w:t xml:space="preserve"> </w:t>
      </w:r>
      <w:proofErr w:type="spellStart"/>
      <w:r w:rsidR="00E03033" w:rsidRPr="00607CC7">
        <w:rPr>
          <w:rFonts w:cs="Arial"/>
          <w:b/>
          <w:i/>
          <w:szCs w:val="22"/>
          <w:lang w:val="en-GB"/>
        </w:rPr>
        <w:t>Çam</w:t>
      </w:r>
      <w:proofErr w:type="spellEnd"/>
      <w:r w:rsidR="00E03033" w:rsidRPr="00607CC7">
        <w:rPr>
          <w:rFonts w:cs="Arial"/>
          <w:b/>
          <w:i/>
          <w:szCs w:val="22"/>
          <w:lang w:val="en-GB"/>
        </w:rPr>
        <w:t xml:space="preserve"> v. Turkey</w:t>
      </w:r>
      <w:r w:rsidR="009A64ED" w:rsidRPr="00305018">
        <w:rPr>
          <w:rStyle w:val="FootnoteReference"/>
          <w:rFonts w:cs="Arial"/>
          <w:szCs w:val="22"/>
          <w:lang w:val="en-GB"/>
        </w:rPr>
        <w:footnoteReference w:id="6"/>
      </w:r>
      <w:r w:rsidR="006234C8">
        <w:rPr>
          <w:rFonts w:cs="Arial"/>
          <w:b/>
          <w:i/>
          <w:szCs w:val="22"/>
          <w:lang w:val="en-GB"/>
        </w:rPr>
        <w:t xml:space="preserve"> </w:t>
      </w:r>
      <w:r w:rsidR="006234C8" w:rsidRPr="009A64ED">
        <w:rPr>
          <w:rFonts w:cs="Arial"/>
          <w:szCs w:val="22"/>
          <w:lang w:val="en-GB"/>
        </w:rPr>
        <w:t xml:space="preserve">and </w:t>
      </w:r>
      <w:proofErr w:type="spellStart"/>
      <w:r w:rsidR="003642C6" w:rsidRPr="009A64ED">
        <w:rPr>
          <w:rFonts w:cs="Arial"/>
          <w:b/>
          <w:i/>
          <w:szCs w:val="22"/>
        </w:rPr>
        <w:t>Enver</w:t>
      </w:r>
      <w:proofErr w:type="spellEnd"/>
      <w:r w:rsidR="003642C6" w:rsidRPr="009A64ED">
        <w:rPr>
          <w:rFonts w:cs="Arial"/>
          <w:b/>
          <w:i/>
          <w:szCs w:val="22"/>
        </w:rPr>
        <w:t xml:space="preserve"> </w:t>
      </w:r>
      <w:proofErr w:type="spellStart"/>
      <w:r w:rsidR="003642C6" w:rsidRPr="009A64ED">
        <w:rPr>
          <w:rFonts w:cs="Arial"/>
          <w:b/>
          <w:i/>
          <w:szCs w:val="22"/>
        </w:rPr>
        <w:t>Şahin</w:t>
      </w:r>
      <w:proofErr w:type="spellEnd"/>
      <w:r w:rsidR="003642C6" w:rsidRPr="009A64ED">
        <w:rPr>
          <w:rFonts w:cs="Arial"/>
          <w:b/>
          <w:i/>
          <w:szCs w:val="22"/>
        </w:rPr>
        <w:t xml:space="preserve"> v. Turkey</w:t>
      </w:r>
      <w:r w:rsidR="009A64ED">
        <w:rPr>
          <w:rStyle w:val="FootnoteReference"/>
          <w:rFonts w:cs="Arial"/>
          <w:b/>
          <w:i/>
          <w:szCs w:val="22"/>
        </w:rPr>
        <w:footnoteReference w:id="7"/>
      </w:r>
      <w:r w:rsidR="00A3061D" w:rsidRPr="009A64ED">
        <w:rPr>
          <w:rFonts w:cs="Arial"/>
          <w:b/>
          <w:i/>
          <w:szCs w:val="22"/>
          <w:lang w:val="en-GB"/>
        </w:rPr>
        <w:t xml:space="preserve"> </w:t>
      </w:r>
      <w:r w:rsidR="00A3061D" w:rsidRPr="009A64ED">
        <w:rPr>
          <w:rFonts w:cs="Arial"/>
          <w:szCs w:val="22"/>
          <w:lang w:val="en-GB"/>
        </w:rPr>
        <w:t>re</w:t>
      </w:r>
      <w:r w:rsidR="00A3061D" w:rsidRPr="00A3061D">
        <w:rPr>
          <w:rFonts w:cs="Arial"/>
          <w:szCs w:val="22"/>
          <w:lang w:val="en-GB"/>
        </w:rPr>
        <w:t>lated to education of persons with disabilities</w:t>
      </w:r>
      <w:r w:rsidR="00E03033" w:rsidRPr="00A3061D">
        <w:rPr>
          <w:rFonts w:cs="Arial"/>
          <w:szCs w:val="22"/>
          <w:lang w:val="en-GB"/>
        </w:rPr>
        <w:t>,</w:t>
      </w:r>
      <w:r w:rsidR="00E03033" w:rsidRPr="00305018">
        <w:rPr>
          <w:rFonts w:cs="Arial"/>
          <w:szCs w:val="22"/>
          <w:lang w:val="en-GB"/>
        </w:rPr>
        <w:t xml:space="preserve"> the Court reiterated that</w:t>
      </w:r>
      <w:r w:rsidR="00017BDF" w:rsidRPr="00305018">
        <w:rPr>
          <w:rFonts w:cs="Arial"/>
          <w:szCs w:val="22"/>
          <w:lang w:val="en-GB"/>
        </w:rPr>
        <w:t xml:space="preserve"> the Convention and Protocol No </w:t>
      </w:r>
      <w:r w:rsidR="00E03033" w:rsidRPr="00305018">
        <w:rPr>
          <w:rFonts w:cs="Arial"/>
          <w:szCs w:val="22"/>
          <w:lang w:val="en-GB"/>
        </w:rPr>
        <w:t>1 have to be interpreted in the light of relevant intern</w:t>
      </w:r>
      <w:r w:rsidR="00A3061D">
        <w:rPr>
          <w:rFonts w:cs="Arial"/>
          <w:szCs w:val="22"/>
          <w:lang w:val="en-GB"/>
        </w:rPr>
        <w:t>ational law, including the CRPD</w:t>
      </w:r>
      <w:r w:rsidR="00E03033" w:rsidRPr="00305018">
        <w:rPr>
          <w:rFonts w:cs="Arial"/>
          <w:szCs w:val="22"/>
          <w:lang w:val="en-GB"/>
        </w:rPr>
        <w:t>.</w:t>
      </w:r>
      <w:r w:rsidR="009A64ED">
        <w:rPr>
          <w:rStyle w:val="FootnoteReference"/>
          <w:rFonts w:cs="Arial"/>
          <w:szCs w:val="22"/>
          <w:lang w:val="en-GB"/>
        </w:rPr>
        <w:footnoteReference w:id="8"/>
      </w:r>
    </w:p>
    <w:p w14:paraId="63B774CA" w14:textId="33C022C8" w:rsidR="00BF4902" w:rsidRDefault="00F16C78" w:rsidP="00A46FB5">
      <w:pPr>
        <w:spacing w:after="240"/>
        <w:jc w:val="both"/>
        <w:rPr>
          <w:rFonts w:cs="Arial"/>
          <w:szCs w:val="22"/>
          <w:lang w:val="en-GB"/>
        </w:rPr>
      </w:pPr>
      <w:r>
        <w:rPr>
          <w:rFonts w:cs="Arial"/>
          <w:szCs w:val="22"/>
          <w:lang w:val="en-GB"/>
        </w:rPr>
        <w:t>In consi</w:t>
      </w:r>
      <w:r w:rsidR="0098116C">
        <w:rPr>
          <w:rFonts w:cs="Arial"/>
          <w:szCs w:val="22"/>
          <w:lang w:val="en-GB"/>
        </w:rPr>
        <w:t>deration to bullying in school,</w:t>
      </w:r>
      <w:r w:rsidRPr="00305018">
        <w:rPr>
          <w:rFonts w:cs="Arial"/>
          <w:szCs w:val="22"/>
          <w:lang w:val="en-GB"/>
        </w:rPr>
        <w:t xml:space="preserve"> </w:t>
      </w:r>
      <w:r w:rsidRPr="001641E5">
        <w:rPr>
          <w:rFonts w:cs="Arial"/>
          <w:b/>
          <w:szCs w:val="22"/>
          <w:lang w:val="en-GB"/>
        </w:rPr>
        <w:t xml:space="preserve">General Comment No 4 on </w:t>
      </w:r>
      <w:r>
        <w:rPr>
          <w:rFonts w:cs="Arial"/>
          <w:b/>
          <w:szCs w:val="22"/>
          <w:lang w:val="en-GB"/>
        </w:rPr>
        <w:t xml:space="preserve">the right to </w:t>
      </w:r>
      <w:r w:rsidR="00C83440">
        <w:rPr>
          <w:rFonts w:cs="Arial"/>
          <w:b/>
          <w:szCs w:val="22"/>
          <w:lang w:val="en-GB"/>
        </w:rPr>
        <w:t>inclusive education</w:t>
      </w:r>
      <w:r w:rsidR="00C83440" w:rsidRPr="00D016CA">
        <w:rPr>
          <w:rStyle w:val="FootnoteReference"/>
          <w:rFonts w:cs="Arial"/>
          <w:szCs w:val="22"/>
          <w:lang w:val="en-GB"/>
        </w:rPr>
        <w:footnoteReference w:id="9"/>
      </w:r>
      <w:r w:rsidRPr="00305018">
        <w:rPr>
          <w:rFonts w:cs="Arial"/>
          <w:szCs w:val="22"/>
          <w:lang w:val="en-GB"/>
        </w:rPr>
        <w:t xml:space="preserve"> </w:t>
      </w:r>
      <w:r>
        <w:rPr>
          <w:rFonts w:cs="Arial"/>
          <w:szCs w:val="22"/>
          <w:lang w:val="en-GB"/>
        </w:rPr>
        <w:t xml:space="preserve">and </w:t>
      </w:r>
      <w:r w:rsidRPr="00EE7282">
        <w:rPr>
          <w:rFonts w:cs="Arial"/>
          <w:b/>
          <w:szCs w:val="22"/>
          <w:lang w:val="en-GB"/>
        </w:rPr>
        <w:t xml:space="preserve">General Comment </w:t>
      </w:r>
      <w:r w:rsidRPr="00C83440">
        <w:rPr>
          <w:rFonts w:cs="Arial"/>
          <w:b/>
          <w:szCs w:val="22"/>
          <w:lang w:val="en-GB"/>
        </w:rPr>
        <w:t>No 6 on equality</w:t>
      </w:r>
      <w:r w:rsidR="00C83440">
        <w:rPr>
          <w:rFonts w:cs="Arial"/>
          <w:b/>
          <w:szCs w:val="22"/>
          <w:lang w:val="en-GB"/>
        </w:rPr>
        <w:t xml:space="preserve"> and non-discrimination</w:t>
      </w:r>
      <w:r w:rsidR="00C83440">
        <w:rPr>
          <w:rStyle w:val="FootnoteReference"/>
          <w:rFonts w:cs="Arial"/>
          <w:szCs w:val="22"/>
          <w:lang w:val="en-GB"/>
        </w:rPr>
        <w:footnoteReference w:id="10"/>
      </w:r>
      <w:r w:rsidR="00EE7282">
        <w:rPr>
          <w:rFonts w:cs="Arial"/>
          <w:szCs w:val="22"/>
          <w:lang w:val="en-GB"/>
        </w:rPr>
        <w:t xml:space="preserve"> adopted by</w:t>
      </w:r>
      <w:r w:rsidR="00EE7282" w:rsidRPr="00EE7282">
        <w:rPr>
          <w:rFonts w:cs="Arial"/>
          <w:szCs w:val="22"/>
          <w:lang w:val="en-GB"/>
        </w:rPr>
        <w:t xml:space="preserve"> the Committee on the Rights of Persons with Disabilities (hereinafter the ‘CRPD Committee’)</w:t>
      </w:r>
      <w:r>
        <w:rPr>
          <w:rFonts w:cs="Arial"/>
          <w:szCs w:val="22"/>
          <w:lang w:val="en-GB"/>
        </w:rPr>
        <w:t xml:space="preserve"> are</w:t>
      </w:r>
      <w:r w:rsidRPr="00305018">
        <w:rPr>
          <w:rFonts w:cs="Arial"/>
          <w:szCs w:val="22"/>
          <w:lang w:val="en-GB"/>
        </w:rPr>
        <w:t xml:space="preserve"> of particular importance</w:t>
      </w:r>
      <w:r>
        <w:rPr>
          <w:rFonts w:cs="Arial"/>
          <w:szCs w:val="22"/>
          <w:lang w:val="en-GB"/>
        </w:rPr>
        <w:t xml:space="preserve">. </w:t>
      </w:r>
    </w:p>
    <w:p w14:paraId="0FD69589" w14:textId="30D90855" w:rsidR="00573C79" w:rsidRDefault="00987301" w:rsidP="00A46FB5">
      <w:pPr>
        <w:spacing w:after="240"/>
        <w:jc w:val="both"/>
        <w:rPr>
          <w:rFonts w:cs="Arial"/>
          <w:szCs w:val="22"/>
          <w:lang w:val="en-GB"/>
        </w:rPr>
      </w:pPr>
      <w:r>
        <w:rPr>
          <w:rFonts w:cs="Arial"/>
          <w:szCs w:val="22"/>
          <w:lang w:val="en-GB"/>
        </w:rPr>
        <w:t>In addition to the CRPD, the</w:t>
      </w:r>
      <w:r w:rsidR="00573C79">
        <w:rPr>
          <w:rFonts w:cs="Arial"/>
          <w:szCs w:val="22"/>
          <w:lang w:val="en-GB"/>
        </w:rPr>
        <w:t xml:space="preserve"> </w:t>
      </w:r>
      <w:r w:rsidR="00573C79" w:rsidRPr="00BF4902">
        <w:rPr>
          <w:rFonts w:cs="Arial"/>
          <w:b/>
          <w:szCs w:val="22"/>
          <w:lang w:val="en-GB"/>
        </w:rPr>
        <w:t>United Nations Convention on the Rights of the Child</w:t>
      </w:r>
      <w:r w:rsidR="00573C79">
        <w:rPr>
          <w:rFonts w:cs="Arial"/>
          <w:szCs w:val="22"/>
          <w:lang w:val="en-GB"/>
        </w:rPr>
        <w:t xml:space="preserve"> </w:t>
      </w:r>
      <w:r w:rsidR="007048CA">
        <w:rPr>
          <w:rFonts w:cs="Arial"/>
          <w:szCs w:val="22"/>
          <w:lang w:val="en-GB"/>
        </w:rPr>
        <w:t>(hereinafter ‘CRC</w:t>
      </w:r>
      <w:r w:rsidR="007048CA" w:rsidRPr="007048CA">
        <w:rPr>
          <w:rFonts w:cs="Arial"/>
          <w:szCs w:val="22"/>
          <w:lang w:val="en-GB"/>
        </w:rPr>
        <w:t>’)</w:t>
      </w:r>
      <w:r w:rsidR="007048CA">
        <w:rPr>
          <w:rFonts w:cs="Arial"/>
          <w:szCs w:val="22"/>
          <w:lang w:val="en-GB"/>
        </w:rPr>
        <w:t xml:space="preserve"> </w:t>
      </w:r>
      <w:r w:rsidR="00D446D6">
        <w:rPr>
          <w:rFonts w:cs="Arial"/>
          <w:szCs w:val="22"/>
          <w:lang w:val="en-GB"/>
        </w:rPr>
        <w:t>also referred</w:t>
      </w:r>
      <w:r w:rsidR="00D36D38">
        <w:rPr>
          <w:rFonts w:cs="Arial"/>
          <w:szCs w:val="22"/>
          <w:lang w:val="en-GB"/>
        </w:rPr>
        <w:t xml:space="preserve"> to</w:t>
      </w:r>
      <w:r w:rsidR="00D446D6">
        <w:rPr>
          <w:rFonts w:cs="Arial"/>
          <w:szCs w:val="22"/>
          <w:lang w:val="en-GB"/>
        </w:rPr>
        <w:t xml:space="preserve"> in this submission is ratified by 196 s</w:t>
      </w:r>
      <w:r w:rsidR="007048CA">
        <w:rPr>
          <w:rFonts w:cs="Arial"/>
          <w:szCs w:val="22"/>
          <w:lang w:val="en-GB"/>
        </w:rPr>
        <w:t xml:space="preserve">tates. </w:t>
      </w:r>
      <w:r w:rsidR="00BF4902">
        <w:rPr>
          <w:rFonts w:cs="Arial"/>
          <w:szCs w:val="22"/>
          <w:lang w:val="en-GB"/>
        </w:rPr>
        <w:t>A</w:t>
      </w:r>
      <w:r w:rsidR="007048CA">
        <w:rPr>
          <w:rFonts w:cs="Arial"/>
          <w:szCs w:val="22"/>
          <w:lang w:val="en-GB"/>
        </w:rPr>
        <w:t>ll member states of the Council of Europe</w:t>
      </w:r>
      <w:r w:rsidR="00BF4902">
        <w:rPr>
          <w:rFonts w:cs="Arial"/>
          <w:szCs w:val="22"/>
          <w:lang w:val="en-GB"/>
        </w:rPr>
        <w:t xml:space="preserve"> ratified/acceded</w:t>
      </w:r>
      <w:r w:rsidR="002029A1">
        <w:rPr>
          <w:rFonts w:cs="Arial"/>
          <w:szCs w:val="22"/>
          <w:lang w:val="en-GB"/>
        </w:rPr>
        <w:t xml:space="preserve"> to</w:t>
      </w:r>
      <w:r w:rsidR="00BF4902">
        <w:rPr>
          <w:rFonts w:cs="Arial"/>
          <w:szCs w:val="22"/>
          <w:lang w:val="en-GB"/>
        </w:rPr>
        <w:t xml:space="preserve"> the CRC</w:t>
      </w:r>
      <w:r w:rsidR="007048CA">
        <w:rPr>
          <w:rFonts w:cs="Arial"/>
          <w:szCs w:val="22"/>
          <w:lang w:val="en-GB"/>
        </w:rPr>
        <w:t xml:space="preserve">. </w:t>
      </w:r>
    </w:p>
    <w:p w14:paraId="701590F0" w14:textId="4EE7E413" w:rsidR="00B67A29" w:rsidRPr="00A46FB5" w:rsidRDefault="003B0573" w:rsidP="00D9476C">
      <w:pPr>
        <w:pStyle w:val="Heading1"/>
      </w:pPr>
      <w:bookmarkStart w:id="6" w:name="_Toc13485008"/>
      <w:bookmarkStart w:id="7" w:name="_Toc13671824"/>
      <w:bookmarkStart w:id="8" w:name="_Toc13737482"/>
      <w:r>
        <w:t>States’</w:t>
      </w:r>
      <w:r w:rsidR="00C76ADE">
        <w:t xml:space="preserve"> obligation</w:t>
      </w:r>
      <w:r>
        <w:t xml:space="preserve"> to</w:t>
      </w:r>
      <w:r w:rsidR="00731650">
        <w:t xml:space="preserve"> prevent,</w:t>
      </w:r>
      <w:r>
        <w:t xml:space="preserve"> prohibit and condemn bullying</w:t>
      </w:r>
      <w:r w:rsidR="002D5AF5">
        <w:t xml:space="preserve"> of persons with disabilities</w:t>
      </w:r>
      <w:r w:rsidR="00F06F4B">
        <w:t xml:space="preserve"> as</w:t>
      </w:r>
      <w:r w:rsidR="00731650">
        <w:t xml:space="preserve"> a</w:t>
      </w:r>
      <w:r w:rsidR="00F06F4B">
        <w:t xml:space="preserve"> </w:t>
      </w:r>
      <w:r>
        <w:t>form of degrading treatment</w:t>
      </w:r>
      <w:bookmarkEnd w:id="6"/>
      <w:r>
        <w:t xml:space="preserve"> </w:t>
      </w:r>
      <w:r w:rsidR="00FA0695">
        <w:t>and discrimination</w:t>
      </w:r>
      <w:bookmarkEnd w:id="7"/>
      <w:bookmarkEnd w:id="8"/>
    </w:p>
    <w:p w14:paraId="5D66C97E" w14:textId="1A0412E5" w:rsidR="00F06F4B" w:rsidRDefault="00F06F4B" w:rsidP="00A46FB5">
      <w:pPr>
        <w:spacing w:after="240"/>
        <w:jc w:val="both"/>
        <w:rPr>
          <w:rFonts w:cs="Arial"/>
          <w:szCs w:val="22"/>
          <w:lang w:val="en-GB"/>
        </w:rPr>
      </w:pPr>
      <w:r>
        <w:rPr>
          <w:rFonts w:cs="Arial"/>
          <w:szCs w:val="22"/>
          <w:lang w:val="en-GB"/>
        </w:rPr>
        <w:t>Bullying is def</w:t>
      </w:r>
      <w:r w:rsidR="00A46FB5">
        <w:rPr>
          <w:rFonts w:cs="Arial"/>
          <w:szCs w:val="22"/>
          <w:lang w:val="en-GB"/>
        </w:rPr>
        <w:t xml:space="preserve">ined by the United Nations as: </w:t>
      </w:r>
    </w:p>
    <w:p w14:paraId="5DBC7094" w14:textId="5ECF2211" w:rsidR="00F06F4B" w:rsidRPr="00A46FB5" w:rsidRDefault="00F06F4B" w:rsidP="00A46FB5">
      <w:pPr>
        <w:spacing w:after="240"/>
        <w:ind w:left="720"/>
        <w:jc w:val="both"/>
        <w:rPr>
          <w:rFonts w:cs="Arial"/>
          <w:szCs w:val="22"/>
        </w:rPr>
      </w:pPr>
      <w:r>
        <w:rPr>
          <w:rFonts w:cs="Arial"/>
          <w:szCs w:val="22"/>
          <w:lang w:val="en-GB"/>
        </w:rPr>
        <w:t>‘</w:t>
      </w:r>
      <w:r w:rsidRPr="00F06F4B">
        <w:rPr>
          <w:rFonts w:cs="Arial"/>
          <w:szCs w:val="22"/>
        </w:rPr>
        <w:t xml:space="preserve">intentional and aggressive </w:t>
      </w:r>
      <w:proofErr w:type="spellStart"/>
      <w:r w:rsidRPr="00F06F4B">
        <w:rPr>
          <w:rFonts w:cs="Arial"/>
          <w:szCs w:val="22"/>
        </w:rPr>
        <w:t>behaviour</w:t>
      </w:r>
      <w:proofErr w:type="spellEnd"/>
      <w:r w:rsidRPr="00F06F4B">
        <w:rPr>
          <w:rFonts w:cs="Arial"/>
          <w:szCs w:val="22"/>
        </w:rPr>
        <w:t xml:space="preserve"> occurring repeatedly against a victim where there is a real or perceived power imbalance, and where the victim feels vulnerable and powerless to defend himself or herself. The unwanted </w:t>
      </w:r>
      <w:proofErr w:type="spellStart"/>
      <w:r w:rsidRPr="00F06F4B">
        <w:rPr>
          <w:rFonts w:cs="Arial"/>
          <w:szCs w:val="22"/>
        </w:rPr>
        <w:t>behaviour</w:t>
      </w:r>
      <w:proofErr w:type="spellEnd"/>
      <w:r w:rsidRPr="00F06F4B">
        <w:rPr>
          <w:rFonts w:cs="Arial"/>
          <w:szCs w:val="22"/>
        </w:rPr>
        <w:t xml:space="preserve"> is hurtful: it can be physical, including hitting, kicking and the destruction of property; verbal, such as teasing, insults and threats; or relational, through the spreading of </w:t>
      </w:r>
      <w:proofErr w:type="spellStart"/>
      <w:r w:rsidRPr="00F06F4B">
        <w:rPr>
          <w:rFonts w:cs="Arial"/>
          <w:szCs w:val="22"/>
        </w:rPr>
        <w:t>rumours</w:t>
      </w:r>
      <w:proofErr w:type="spellEnd"/>
      <w:r w:rsidRPr="00F06F4B">
        <w:rPr>
          <w:rFonts w:cs="Arial"/>
          <w:szCs w:val="22"/>
        </w:rPr>
        <w:t xml:space="preserve"> and exclusion from a group.</w:t>
      </w:r>
      <w:r>
        <w:rPr>
          <w:rFonts w:cs="Arial"/>
          <w:szCs w:val="22"/>
        </w:rPr>
        <w:t>’</w:t>
      </w:r>
      <w:r>
        <w:rPr>
          <w:rStyle w:val="FootnoteReference"/>
          <w:rFonts w:cs="Arial"/>
          <w:szCs w:val="22"/>
        </w:rPr>
        <w:footnoteReference w:id="11"/>
      </w:r>
    </w:p>
    <w:p w14:paraId="603AA2F1" w14:textId="0EC3E52E" w:rsidR="00F06F4B" w:rsidRDefault="00544A8D" w:rsidP="00A46FB5">
      <w:pPr>
        <w:spacing w:after="240"/>
        <w:jc w:val="both"/>
        <w:rPr>
          <w:rFonts w:cs="Arial"/>
          <w:szCs w:val="22"/>
          <w:lang w:val="en-GB"/>
        </w:rPr>
      </w:pPr>
      <w:r>
        <w:rPr>
          <w:rFonts w:cs="Arial"/>
          <w:szCs w:val="22"/>
          <w:lang w:val="en-GB"/>
        </w:rPr>
        <w:t>Bullying</w:t>
      </w:r>
      <w:r w:rsidR="00A77999">
        <w:rPr>
          <w:rFonts w:cs="Arial"/>
          <w:szCs w:val="22"/>
          <w:lang w:val="en-GB"/>
        </w:rPr>
        <w:t xml:space="preserve"> affects millions of children worldwide. Children from marginalised groups, in particular children with disabilities</w:t>
      </w:r>
      <w:r w:rsidR="000A0E25">
        <w:rPr>
          <w:rFonts w:cs="Arial"/>
          <w:szCs w:val="22"/>
          <w:lang w:val="en-GB"/>
        </w:rPr>
        <w:t>,</w:t>
      </w:r>
      <w:r w:rsidR="00A77999">
        <w:rPr>
          <w:rFonts w:cs="Arial"/>
          <w:szCs w:val="22"/>
          <w:lang w:val="en-GB"/>
        </w:rPr>
        <w:t xml:space="preserve"> are at higher risks </w:t>
      </w:r>
      <w:r w:rsidR="00F11329">
        <w:rPr>
          <w:rFonts w:cs="Arial"/>
          <w:szCs w:val="22"/>
          <w:lang w:val="en-GB"/>
        </w:rPr>
        <w:t>of</w:t>
      </w:r>
      <w:r w:rsidR="00A77999">
        <w:rPr>
          <w:rFonts w:cs="Arial"/>
          <w:szCs w:val="22"/>
          <w:lang w:val="en-GB"/>
        </w:rPr>
        <w:t xml:space="preserve"> </w:t>
      </w:r>
      <w:r w:rsidR="001E59A4">
        <w:rPr>
          <w:rFonts w:cs="Arial"/>
          <w:szCs w:val="22"/>
          <w:lang w:val="en-GB"/>
        </w:rPr>
        <w:t xml:space="preserve">violence and harassment, including </w:t>
      </w:r>
      <w:r w:rsidR="00A77999">
        <w:rPr>
          <w:rFonts w:cs="Arial"/>
          <w:szCs w:val="22"/>
          <w:lang w:val="en-GB"/>
        </w:rPr>
        <w:t>bullying.</w:t>
      </w:r>
      <w:r w:rsidR="001E59A4">
        <w:rPr>
          <w:rStyle w:val="FootnoteReference"/>
          <w:rFonts w:cs="Arial"/>
          <w:szCs w:val="22"/>
          <w:lang w:val="en-GB"/>
        </w:rPr>
        <w:footnoteReference w:id="12"/>
      </w:r>
      <w:r w:rsidR="00A77999">
        <w:rPr>
          <w:rFonts w:cs="Arial"/>
          <w:szCs w:val="22"/>
          <w:lang w:val="en-GB"/>
        </w:rPr>
        <w:t xml:space="preserve"> </w:t>
      </w:r>
      <w:r w:rsidR="00F11329">
        <w:rPr>
          <w:rFonts w:cs="Arial"/>
          <w:szCs w:val="22"/>
          <w:lang w:val="en-GB"/>
        </w:rPr>
        <w:t>Children with psychosocial</w:t>
      </w:r>
      <w:r w:rsidR="00AA6725">
        <w:rPr>
          <w:rStyle w:val="FootnoteReference"/>
          <w:rFonts w:cs="Arial"/>
          <w:szCs w:val="22"/>
          <w:lang w:val="en-GB"/>
        </w:rPr>
        <w:footnoteReference w:id="13"/>
      </w:r>
      <w:r w:rsidR="00F11329">
        <w:rPr>
          <w:rFonts w:cs="Arial"/>
          <w:szCs w:val="22"/>
          <w:lang w:val="en-GB"/>
        </w:rPr>
        <w:t xml:space="preserve"> or intellectual disabilities </w:t>
      </w:r>
      <w:r w:rsidR="00A4260C">
        <w:rPr>
          <w:rFonts w:cs="Arial"/>
          <w:szCs w:val="22"/>
          <w:lang w:val="en-GB"/>
        </w:rPr>
        <w:t>often</w:t>
      </w:r>
      <w:r w:rsidR="006B0CBE">
        <w:rPr>
          <w:rFonts w:cs="Arial"/>
          <w:szCs w:val="22"/>
          <w:lang w:val="en-GB"/>
        </w:rPr>
        <w:t xml:space="preserve"> face even more severely the negative impact of bullying, ill-treatment and harassment. </w:t>
      </w:r>
    </w:p>
    <w:p w14:paraId="591BE5A6" w14:textId="2C33A213" w:rsidR="00B077F0" w:rsidRDefault="00B077F0" w:rsidP="00A46FB5">
      <w:pPr>
        <w:spacing w:after="240"/>
        <w:jc w:val="both"/>
        <w:rPr>
          <w:rFonts w:cs="Arial"/>
          <w:szCs w:val="22"/>
          <w:lang w:val="en-GB"/>
        </w:rPr>
      </w:pPr>
    </w:p>
    <w:p w14:paraId="5837473C" w14:textId="5E73E4A8" w:rsidR="00535B74" w:rsidRDefault="00B077F0" w:rsidP="00A46FB5">
      <w:pPr>
        <w:spacing w:after="240"/>
        <w:jc w:val="both"/>
        <w:rPr>
          <w:rFonts w:cs="Arial"/>
          <w:szCs w:val="22"/>
          <w:lang w:val="en-GB"/>
        </w:rPr>
      </w:pPr>
      <w:r>
        <w:rPr>
          <w:rFonts w:cs="Arial"/>
          <w:szCs w:val="22"/>
          <w:lang w:val="en-GB"/>
        </w:rPr>
        <w:t>T</w:t>
      </w:r>
      <w:r w:rsidR="008C565D">
        <w:rPr>
          <w:rFonts w:cs="Arial"/>
          <w:szCs w:val="22"/>
          <w:lang w:val="en-GB"/>
        </w:rPr>
        <w:t xml:space="preserve">he </w:t>
      </w:r>
      <w:r w:rsidR="008C565D" w:rsidRPr="002F4417">
        <w:rPr>
          <w:rFonts w:cs="Arial"/>
          <w:b/>
          <w:szCs w:val="22"/>
          <w:lang w:val="en-GB"/>
        </w:rPr>
        <w:t xml:space="preserve">Council of Europe </w:t>
      </w:r>
      <w:r w:rsidR="002F4417" w:rsidRPr="002F4417">
        <w:rPr>
          <w:rFonts w:cs="Arial"/>
          <w:b/>
          <w:szCs w:val="22"/>
          <w:lang w:val="en-GB"/>
        </w:rPr>
        <w:t>Strategy on the Rights of the Child 2016-2021</w:t>
      </w:r>
      <w:r w:rsidR="002F4417">
        <w:rPr>
          <w:rFonts w:cs="Arial"/>
          <w:szCs w:val="22"/>
          <w:lang w:val="en-GB"/>
        </w:rPr>
        <w:t xml:space="preserve"> </w:t>
      </w:r>
      <w:r w:rsidR="0089630F">
        <w:rPr>
          <w:rFonts w:cs="Arial"/>
          <w:szCs w:val="22"/>
          <w:lang w:val="en-GB"/>
        </w:rPr>
        <w:t>highlighted</w:t>
      </w:r>
      <w:r w:rsidR="008C565D">
        <w:rPr>
          <w:rFonts w:cs="Arial"/>
          <w:szCs w:val="22"/>
          <w:lang w:val="en-GB"/>
        </w:rPr>
        <w:t xml:space="preserve"> the importance to tackle</w:t>
      </w:r>
      <w:r>
        <w:rPr>
          <w:rFonts w:cs="Arial"/>
          <w:szCs w:val="22"/>
          <w:lang w:val="en-GB"/>
        </w:rPr>
        <w:t xml:space="preserve"> bullying, cyber-bullying and harassment at school. </w:t>
      </w:r>
      <w:r w:rsidR="004712F1">
        <w:rPr>
          <w:rFonts w:cs="Arial"/>
          <w:szCs w:val="22"/>
          <w:lang w:val="en-GB"/>
        </w:rPr>
        <w:t>At the international level, the CRPD Committee</w:t>
      </w:r>
      <w:r w:rsidR="002F4417">
        <w:rPr>
          <w:rFonts w:cs="Arial"/>
          <w:szCs w:val="22"/>
          <w:lang w:val="en-GB"/>
        </w:rPr>
        <w:t>,</w:t>
      </w:r>
      <w:r w:rsidR="002F4417">
        <w:rPr>
          <w:rStyle w:val="FootnoteReference"/>
          <w:rFonts w:cs="Arial"/>
          <w:szCs w:val="22"/>
          <w:lang w:val="en-GB"/>
        </w:rPr>
        <w:footnoteReference w:id="14"/>
      </w:r>
      <w:r w:rsidR="002F4417">
        <w:rPr>
          <w:rFonts w:cs="Arial"/>
          <w:szCs w:val="22"/>
          <w:lang w:val="en-GB"/>
        </w:rPr>
        <w:t xml:space="preserve"> </w:t>
      </w:r>
      <w:r w:rsidR="004712F1">
        <w:rPr>
          <w:rFonts w:cs="Arial"/>
          <w:szCs w:val="22"/>
          <w:lang w:val="en-GB"/>
        </w:rPr>
        <w:t>the CRC Committee</w:t>
      </w:r>
      <w:r w:rsidR="002F4417">
        <w:rPr>
          <w:rStyle w:val="FootnoteReference"/>
          <w:rFonts w:cs="Arial"/>
          <w:szCs w:val="22"/>
          <w:lang w:val="en-GB"/>
        </w:rPr>
        <w:footnoteReference w:id="15"/>
      </w:r>
      <w:r w:rsidR="002F4417">
        <w:rPr>
          <w:rFonts w:cs="Arial"/>
          <w:szCs w:val="22"/>
          <w:lang w:val="en-GB"/>
        </w:rPr>
        <w:t xml:space="preserve"> and the UN Committee on Elimination of Discrimination Against Women (therein</w:t>
      </w:r>
      <w:r w:rsidR="00AC7422">
        <w:rPr>
          <w:rFonts w:cs="Arial"/>
          <w:szCs w:val="22"/>
          <w:lang w:val="en-GB"/>
        </w:rPr>
        <w:t>after</w:t>
      </w:r>
      <w:r w:rsidR="002F4417">
        <w:rPr>
          <w:rFonts w:cs="Arial"/>
          <w:szCs w:val="22"/>
          <w:lang w:val="en-GB"/>
        </w:rPr>
        <w:t xml:space="preserve"> ‘CEDAW Committee’)</w:t>
      </w:r>
      <w:r w:rsidR="002F4417">
        <w:rPr>
          <w:rStyle w:val="FootnoteReference"/>
          <w:rFonts w:cs="Arial"/>
          <w:szCs w:val="22"/>
          <w:lang w:val="en-GB"/>
        </w:rPr>
        <w:footnoteReference w:id="16"/>
      </w:r>
      <w:r w:rsidR="004712F1">
        <w:rPr>
          <w:rFonts w:cs="Arial"/>
          <w:szCs w:val="22"/>
          <w:lang w:val="en-GB"/>
        </w:rPr>
        <w:t xml:space="preserve"> </w:t>
      </w:r>
      <w:r w:rsidR="005F0F53">
        <w:rPr>
          <w:rFonts w:cs="Arial"/>
          <w:szCs w:val="22"/>
          <w:lang w:val="en-GB"/>
        </w:rPr>
        <w:t>addressed bullying in their general comments and recommendations to States.</w:t>
      </w:r>
      <w:r w:rsidR="00F217F2">
        <w:rPr>
          <w:rFonts w:cs="Arial"/>
          <w:szCs w:val="22"/>
          <w:lang w:val="en-GB"/>
        </w:rPr>
        <w:t xml:space="preserve"> </w:t>
      </w:r>
      <w:r w:rsidR="00535B74">
        <w:rPr>
          <w:rFonts w:cs="Arial"/>
          <w:szCs w:val="22"/>
          <w:lang w:val="en-GB"/>
        </w:rPr>
        <w:t>T</w:t>
      </w:r>
      <w:r w:rsidR="00535B74" w:rsidRPr="00535B74">
        <w:rPr>
          <w:rFonts w:cs="Arial"/>
          <w:szCs w:val="22"/>
          <w:lang w:val="en-GB"/>
        </w:rPr>
        <w:t>he 2030 Agenda for Sustainable Development</w:t>
      </w:r>
      <w:r w:rsidR="00F217F2">
        <w:rPr>
          <w:rFonts w:cs="Arial"/>
          <w:szCs w:val="22"/>
          <w:lang w:val="en-GB"/>
        </w:rPr>
        <w:t xml:space="preserve"> </w:t>
      </w:r>
      <w:r w:rsidR="00E531B7">
        <w:rPr>
          <w:rFonts w:cs="Arial"/>
          <w:szCs w:val="22"/>
          <w:lang w:val="en-GB"/>
        </w:rPr>
        <w:t xml:space="preserve">set a specific </w:t>
      </w:r>
      <w:r w:rsidR="00F217F2">
        <w:rPr>
          <w:rFonts w:cs="Arial"/>
          <w:szCs w:val="22"/>
          <w:lang w:val="en-GB"/>
        </w:rPr>
        <w:t>target</w:t>
      </w:r>
      <w:r w:rsidR="00E531B7">
        <w:rPr>
          <w:rFonts w:cs="Arial"/>
          <w:szCs w:val="22"/>
          <w:lang w:val="en-GB"/>
        </w:rPr>
        <w:t xml:space="preserve"> to</w:t>
      </w:r>
      <w:r w:rsidR="00E531B7">
        <w:rPr>
          <w:rFonts w:cs="Arial"/>
          <w:szCs w:val="22"/>
        </w:rPr>
        <w:t xml:space="preserve"> e</w:t>
      </w:r>
      <w:r w:rsidR="00E531B7" w:rsidRPr="00E531B7">
        <w:rPr>
          <w:rFonts w:cs="Arial"/>
          <w:szCs w:val="22"/>
        </w:rPr>
        <w:t>nd abuse, exploitation, trafficking and all forms of violence against and torture of children</w:t>
      </w:r>
      <w:r w:rsidR="00F217F2">
        <w:rPr>
          <w:rFonts w:cs="Arial"/>
          <w:szCs w:val="22"/>
        </w:rPr>
        <w:t>,</w:t>
      </w:r>
      <w:r w:rsidR="00E531B7">
        <w:rPr>
          <w:rStyle w:val="FootnoteReference"/>
          <w:rFonts w:cs="Arial"/>
          <w:szCs w:val="22"/>
          <w:lang w:val="en-GB"/>
        </w:rPr>
        <w:footnoteReference w:id="17"/>
      </w:r>
      <w:r w:rsidR="00F217F2">
        <w:rPr>
          <w:rFonts w:cs="Arial"/>
          <w:szCs w:val="22"/>
          <w:lang w:val="en-GB"/>
        </w:rPr>
        <w:t xml:space="preserve"> under which falls bullying.</w:t>
      </w:r>
      <w:r w:rsidR="00F217F2">
        <w:rPr>
          <w:rStyle w:val="FootnoteReference"/>
          <w:rFonts w:cs="Arial"/>
          <w:szCs w:val="22"/>
          <w:lang w:val="en-GB"/>
        </w:rPr>
        <w:footnoteReference w:id="18"/>
      </w:r>
      <w:r w:rsidR="00E531B7">
        <w:rPr>
          <w:rFonts w:cs="Arial"/>
          <w:szCs w:val="22"/>
          <w:lang w:val="en-GB"/>
        </w:rPr>
        <w:t xml:space="preserve">  </w:t>
      </w:r>
    </w:p>
    <w:p w14:paraId="550A3781" w14:textId="51763B7B" w:rsidR="007870B6" w:rsidRPr="00A46FB5" w:rsidRDefault="00BF07E1" w:rsidP="00A46FB5">
      <w:pPr>
        <w:pStyle w:val="Heading2"/>
        <w:numPr>
          <w:ilvl w:val="0"/>
          <w:numId w:val="14"/>
        </w:numPr>
        <w:spacing w:after="240"/>
        <w:rPr>
          <w:lang w:val="en-GB"/>
        </w:rPr>
      </w:pPr>
      <w:bookmarkStart w:id="9" w:name="_Toc13671825"/>
      <w:bookmarkStart w:id="10" w:name="_Toc13737483"/>
      <w:r>
        <w:rPr>
          <w:lang w:val="en-GB"/>
        </w:rPr>
        <w:t>Recognition of b</w:t>
      </w:r>
      <w:r w:rsidR="00032D11">
        <w:rPr>
          <w:lang w:val="en-GB"/>
        </w:rPr>
        <w:t>ullying</w:t>
      </w:r>
      <w:r w:rsidR="00C65B4D">
        <w:rPr>
          <w:lang w:val="en-GB"/>
        </w:rPr>
        <w:t xml:space="preserve"> </w:t>
      </w:r>
      <w:r w:rsidR="00FD4364">
        <w:rPr>
          <w:lang w:val="en-GB"/>
        </w:rPr>
        <w:t>as a</w:t>
      </w:r>
      <w:r w:rsidR="00032D11">
        <w:rPr>
          <w:lang w:val="en-GB"/>
        </w:rPr>
        <w:t xml:space="preserve"> form of degrading treatment </w:t>
      </w:r>
      <w:r w:rsidR="00FD4364">
        <w:rPr>
          <w:lang w:val="en-GB"/>
        </w:rPr>
        <w:t>and potential violation of the right of private and family life</w:t>
      </w:r>
      <w:bookmarkEnd w:id="9"/>
      <w:bookmarkEnd w:id="10"/>
      <w:r w:rsidR="00FD4364">
        <w:rPr>
          <w:lang w:val="en-GB"/>
        </w:rPr>
        <w:t xml:space="preserve"> </w:t>
      </w:r>
    </w:p>
    <w:p w14:paraId="54979F29" w14:textId="325E5D01" w:rsidR="00FD4364" w:rsidRDefault="0089630F" w:rsidP="00A46FB5">
      <w:pPr>
        <w:spacing w:after="240"/>
        <w:jc w:val="both"/>
        <w:rPr>
          <w:rFonts w:cs="Arial"/>
          <w:bCs/>
          <w:szCs w:val="22"/>
        </w:rPr>
      </w:pPr>
      <w:r>
        <w:rPr>
          <w:rFonts w:cs="Arial"/>
          <w:szCs w:val="22"/>
          <w:lang w:val="en-GB"/>
        </w:rPr>
        <w:t xml:space="preserve">The Court </w:t>
      </w:r>
      <w:r w:rsidR="003F7622">
        <w:rPr>
          <w:rFonts w:cs="Arial"/>
          <w:szCs w:val="22"/>
          <w:lang w:val="en-GB"/>
        </w:rPr>
        <w:t>recognises</w:t>
      </w:r>
      <w:r>
        <w:rPr>
          <w:rFonts w:cs="Arial"/>
          <w:szCs w:val="22"/>
          <w:lang w:val="en-GB"/>
        </w:rPr>
        <w:t xml:space="preserve"> that frequent harassment may qualify as degrading treatment falling within the scope of article 3 of</w:t>
      </w:r>
      <w:r w:rsidR="006F3D31">
        <w:rPr>
          <w:rFonts w:cs="Arial"/>
          <w:szCs w:val="22"/>
          <w:lang w:val="en-GB"/>
        </w:rPr>
        <w:t xml:space="preserve"> the Convention. In the case </w:t>
      </w:r>
      <w:proofErr w:type="spellStart"/>
      <w:r w:rsidRPr="0089630F">
        <w:rPr>
          <w:rFonts w:cs="Arial"/>
          <w:b/>
          <w:bCs/>
          <w:i/>
          <w:szCs w:val="22"/>
        </w:rPr>
        <w:t>Đorđević</w:t>
      </w:r>
      <w:proofErr w:type="spellEnd"/>
      <w:r w:rsidRPr="0089630F">
        <w:rPr>
          <w:rFonts w:cs="Arial"/>
          <w:b/>
          <w:bCs/>
          <w:i/>
          <w:szCs w:val="22"/>
        </w:rPr>
        <w:t xml:space="preserve"> v. Croatia</w:t>
      </w:r>
      <w:r>
        <w:rPr>
          <w:rFonts w:cs="Arial"/>
          <w:bCs/>
          <w:szCs w:val="22"/>
        </w:rPr>
        <w:t xml:space="preserve">, the Court </w:t>
      </w:r>
      <w:r w:rsidR="00FD4364">
        <w:rPr>
          <w:rFonts w:cs="Arial"/>
          <w:bCs/>
          <w:szCs w:val="22"/>
        </w:rPr>
        <w:t>ruled</w:t>
      </w:r>
      <w:r w:rsidR="005A4F1E">
        <w:rPr>
          <w:rFonts w:cs="Arial"/>
          <w:bCs/>
          <w:szCs w:val="22"/>
        </w:rPr>
        <w:t xml:space="preserve"> </w:t>
      </w:r>
      <w:r>
        <w:rPr>
          <w:rFonts w:cs="Arial"/>
          <w:bCs/>
          <w:szCs w:val="22"/>
        </w:rPr>
        <w:t xml:space="preserve">that the harassment </w:t>
      </w:r>
      <w:r w:rsidR="00FD4364">
        <w:rPr>
          <w:rFonts w:cs="Arial"/>
          <w:bCs/>
          <w:szCs w:val="22"/>
        </w:rPr>
        <w:t xml:space="preserve">faced by a </w:t>
      </w:r>
      <w:r w:rsidR="00854090">
        <w:rPr>
          <w:rFonts w:cs="Arial"/>
          <w:bCs/>
          <w:szCs w:val="22"/>
        </w:rPr>
        <w:t>person</w:t>
      </w:r>
      <w:r w:rsidR="00FD4364">
        <w:rPr>
          <w:rFonts w:cs="Arial"/>
          <w:bCs/>
          <w:szCs w:val="22"/>
        </w:rPr>
        <w:t xml:space="preserve"> with intellectual and physical disabilities</w:t>
      </w:r>
      <w:r w:rsidR="00C36331">
        <w:rPr>
          <w:rFonts w:cs="Arial"/>
          <w:bCs/>
          <w:szCs w:val="22"/>
        </w:rPr>
        <w:t xml:space="preserve"> </w:t>
      </w:r>
      <w:r>
        <w:rPr>
          <w:rFonts w:cs="Arial"/>
          <w:bCs/>
          <w:szCs w:val="22"/>
        </w:rPr>
        <w:t>“</w:t>
      </w:r>
      <w:r w:rsidRPr="0089630F">
        <w:rPr>
          <w:rFonts w:cs="Arial"/>
          <w:bCs/>
          <w:szCs w:val="22"/>
        </w:rPr>
        <w:t>which on at least one occasion also caused him physical injuries, combined with feelings of fear and helplessness – was sufficiently serious to reach the level of severity required to fall within the scope of Article 3 of the Convention</w:t>
      </w:r>
      <w:r>
        <w:rPr>
          <w:rFonts w:cs="Arial"/>
          <w:bCs/>
          <w:szCs w:val="22"/>
        </w:rPr>
        <w:t>.”</w:t>
      </w:r>
      <w:r>
        <w:rPr>
          <w:rStyle w:val="FootnoteReference"/>
          <w:rFonts w:cs="Arial"/>
          <w:bCs/>
          <w:szCs w:val="22"/>
        </w:rPr>
        <w:footnoteReference w:id="19"/>
      </w:r>
      <w:r w:rsidR="00A46FB5">
        <w:rPr>
          <w:rFonts w:cs="Arial"/>
          <w:bCs/>
          <w:szCs w:val="22"/>
        </w:rPr>
        <w:t xml:space="preserve"> </w:t>
      </w:r>
    </w:p>
    <w:p w14:paraId="6446996B" w14:textId="0A674F9C" w:rsidR="003D79F3" w:rsidRPr="00A46FB5" w:rsidRDefault="003F7622" w:rsidP="00A46FB5">
      <w:pPr>
        <w:spacing w:after="240"/>
        <w:jc w:val="both"/>
        <w:rPr>
          <w:rFonts w:cs="Arial"/>
          <w:bCs/>
          <w:szCs w:val="22"/>
        </w:rPr>
      </w:pPr>
      <w:r>
        <w:rPr>
          <w:rFonts w:cs="Arial"/>
          <w:bCs/>
          <w:szCs w:val="22"/>
        </w:rPr>
        <w:t xml:space="preserve">In addition, </w:t>
      </w:r>
      <w:r w:rsidR="000D4100">
        <w:rPr>
          <w:rFonts w:cs="Arial"/>
          <w:bCs/>
          <w:szCs w:val="22"/>
        </w:rPr>
        <w:t xml:space="preserve">bullying may also negatively impact the right of private and family life of the victim and/or his direct relatives. In </w:t>
      </w:r>
      <w:proofErr w:type="spellStart"/>
      <w:r w:rsidR="000D4100" w:rsidRPr="000D4100">
        <w:rPr>
          <w:rFonts w:cs="Arial"/>
          <w:b/>
          <w:bCs/>
          <w:i/>
          <w:szCs w:val="22"/>
        </w:rPr>
        <w:t>Đorđević</w:t>
      </w:r>
      <w:proofErr w:type="spellEnd"/>
      <w:r w:rsidR="000D4100" w:rsidRPr="000D4100">
        <w:rPr>
          <w:rFonts w:cs="Arial"/>
          <w:b/>
          <w:bCs/>
          <w:i/>
          <w:szCs w:val="22"/>
        </w:rPr>
        <w:t xml:space="preserve"> v. Croatia</w:t>
      </w:r>
      <w:r w:rsidR="000D4100">
        <w:rPr>
          <w:rFonts w:cs="Arial"/>
          <w:bCs/>
          <w:szCs w:val="22"/>
        </w:rPr>
        <w:t>, the Court reiterated that “</w:t>
      </w:r>
      <w:r w:rsidR="000D4100" w:rsidRPr="000D4100">
        <w:rPr>
          <w:rFonts w:cs="Arial"/>
          <w:bCs/>
          <w:szCs w:val="22"/>
        </w:rPr>
        <w:t>the concept of private life includes a pe</w:t>
      </w:r>
      <w:r w:rsidR="000D4100">
        <w:rPr>
          <w:rFonts w:cs="Arial"/>
          <w:bCs/>
          <w:szCs w:val="22"/>
        </w:rPr>
        <w:t xml:space="preserve">rson’s psychological integrity” and ruled that </w:t>
      </w:r>
      <w:r w:rsidR="00FD4364">
        <w:rPr>
          <w:rFonts w:cs="Arial"/>
          <w:bCs/>
          <w:szCs w:val="22"/>
        </w:rPr>
        <w:t xml:space="preserve">the ongoing harassment had affected </w:t>
      </w:r>
      <w:r w:rsidR="00854090">
        <w:rPr>
          <w:rFonts w:cs="Arial"/>
          <w:bCs/>
          <w:szCs w:val="22"/>
        </w:rPr>
        <w:t>his and his mother’s right to</w:t>
      </w:r>
      <w:r w:rsidR="00FD4364" w:rsidRPr="00FD4364">
        <w:rPr>
          <w:rFonts w:cs="Arial"/>
          <w:bCs/>
          <w:szCs w:val="22"/>
        </w:rPr>
        <w:t xml:space="preserve"> private and family life</w:t>
      </w:r>
      <w:r w:rsidR="00FD4364">
        <w:rPr>
          <w:rFonts w:cs="Arial"/>
          <w:bCs/>
          <w:szCs w:val="22"/>
        </w:rPr>
        <w:t xml:space="preserve"> </w:t>
      </w:r>
      <w:r w:rsidR="00854090">
        <w:rPr>
          <w:rFonts w:cs="Arial"/>
          <w:bCs/>
          <w:szCs w:val="22"/>
        </w:rPr>
        <w:t>which</w:t>
      </w:r>
      <w:r w:rsidR="00FD4364">
        <w:rPr>
          <w:rFonts w:cs="Arial"/>
          <w:bCs/>
          <w:szCs w:val="22"/>
        </w:rPr>
        <w:t xml:space="preserve"> constituted a violation of article 8 of the Convention.</w:t>
      </w:r>
      <w:r w:rsidR="005565AE">
        <w:rPr>
          <w:rStyle w:val="FootnoteReference"/>
          <w:rFonts w:cs="Arial"/>
          <w:bCs/>
          <w:szCs w:val="22"/>
        </w:rPr>
        <w:footnoteReference w:id="20"/>
      </w:r>
      <w:r w:rsidR="00FD4364">
        <w:rPr>
          <w:rFonts w:cs="Arial"/>
          <w:bCs/>
          <w:szCs w:val="22"/>
        </w:rPr>
        <w:t xml:space="preserve"> </w:t>
      </w:r>
    </w:p>
    <w:p w14:paraId="543681ED" w14:textId="30BA8DB7" w:rsidR="00B0215E" w:rsidRPr="00A46FB5" w:rsidRDefault="00B0215E" w:rsidP="00A46FB5">
      <w:pPr>
        <w:spacing w:after="240"/>
        <w:jc w:val="both"/>
        <w:rPr>
          <w:rFonts w:cs="Arial"/>
          <w:bCs/>
          <w:szCs w:val="22"/>
          <w:lang w:val="en-GB"/>
        </w:rPr>
      </w:pPr>
      <w:r w:rsidRPr="00B0215E">
        <w:rPr>
          <w:rFonts w:cs="Arial"/>
          <w:szCs w:val="22"/>
          <w:lang w:val="en-GB"/>
        </w:rPr>
        <w:t xml:space="preserve">The CRC Committee in its </w:t>
      </w:r>
      <w:r w:rsidRPr="00B0215E">
        <w:rPr>
          <w:rFonts w:cs="Arial"/>
          <w:b/>
          <w:szCs w:val="22"/>
          <w:lang w:val="en-GB"/>
        </w:rPr>
        <w:t>General Comment No.</w:t>
      </w:r>
      <w:r w:rsidRPr="00B0215E">
        <w:rPr>
          <w:rFonts w:cs="Arial"/>
          <w:szCs w:val="22"/>
          <w:lang w:val="en-GB"/>
        </w:rPr>
        <w:t xml:space="preserve"> </w:t>
      </w:r>
      <w:r w:rsidRPr="00B0215E">
        <w:rPr>
          <w:rFonts w:cs="Arial"/>
          <w:b/>
          <w:bCs/>
          <w:szCs w:val="22"/>
          <w:lang w:val="en-GB"/>
        </w:rPr>
        <w:t>13 (2011)</w:t>
      </w:r>
      <w:r>
        <w:rPr>
          <w:rFonts w:cs="Arial"/>
          <w:b/>
          <w:bCs/>
          <w:szCs w:val="22"/>
          <w:lang w:val="en-GB"/>
        </w:rPr>
        <w:t xml:space="preserve"> on t</w:t>
      </w:r>
      <w:r w:rsidRPr="00B0215E">
        <w:rPr>
          <w:rFonts w:cs="Arial"/>
          <w:b/>
          <w:bCs/>
          <w:szCs w:val="22"/>
          <w:lang w:val="en-GB"/>
        </w:rPr>
        <w:t>he right of the child to freedom from all forms of violence</w:t>
      </w:r>
      <w:r>
        <w:rPr>
          <w:rFonts w:cs="Arial"/>
          <w:b/>
          <w:bCs/>
          <w:szCs w:val="22"/>
          <w:lang w:val="en-GB"/>
        </w:rPr>
        <w:t xml:space="preserve"> </w:t>
      </w:r>
      <w:r w:rsidR="00407510">
        <w:rPr>
          <w:rFonts w:cs="Arial"/>
          <w:bCs/>
          <w:szCs w:val="22"/>
          <w:lang w:val="en-GB"/>
        </w:rPr>
        <w:t>classifies</w:t>
      </w:r>
      <w:r w:rsidR="00320B5A">
        <w:rPr>
          <w:rFonts w:cs="Arial"/>
          <w:bCs/>
          <w:szCs w:val="22"/>
          <w:lang w:val="en-GB"/>
        </w:rPr>
        <w:t xml:space="preserve"> bullying both </w:t>
      </w:r>
      <w:r w:rsidR="004F51F1">
        <w:rPr>
          <w:rFonts w:cs="Arial"/>
          <w:bCs/>
          <w:szCs w:val="22"/>
          <w:lang w:val="en-GB"/>
        </w:rPr>
        <w:t>as mental</w:t>
      </w:r>
      <w:r w:rsidR="00320B5A">
        <w:rPr>
          <w:rStyle w:val="FootnoteReference"/>
          <w:rFonts w:cs="Arial"/>
          <w:bCs/>
          <w:szCs w:val="22"/>
          <w:lang w:val="en-GB"/>
        </w:rPr>
        <w:footnoteReference w:id="21"/>
      </w:r>
      <w:r w:rsidR="004F51F1">
        <w:rPr>
          <w:rFonts w:cs="Arial"/>
          <w:bCs/>
          <w:szCs w:val="22"/>
          <w:lang w:val="en-GB"/>
        </w:rPr>
        <w:t xml:space="preserve"> </w:t>
      </w:r>
      <w:r w:rsidR="00320B5A">
        <w:rPr>
          <w:rFonts w:cs="Arial"/>
          <w:bCs/>
          <w:szCs w:val="22"/>
          <w:lang w:val="en-GB"/>
        </w:rPr>
        <w:t xml:space="preserve">and physical </w:t>
      </w:r>
      <w:r w:rsidR="004F51F1">
        <w:rPr>
          <w:rFonts w:cs="Arial"/>
          <w:bCs/>
          <w:szCs w:val="22"/>
          <w:lang w:val="en-GB"/>
        </w:rPr>
        <w:t>violence</w:t>
      </w:r>
      <w:r w:rsidR="00320B5A">
        <w:rPr>
          <w:rFonts w:cs="Arial"/>
          <w:bCs/>
          <w:szCs w:val="22"/>
          <w:lang w:val="en-GB"/>
        </w:rPr>
        <w:t>.</w:t>
      </w:r>
      <w:r w:rsidR="00320B5A">
        <w:rPr>
          <w:rStyle w:val="FootnoteReference"/>
          <w:rFonts w:cs="Arial"/>
          <w:bCs/>
          <w:szCs w:val="22"/>
          <w:lang w:val="en-GB"/>
        </w:rPr>
        <w:footnoteReference w:id="22"/>
      </w:r>
      <w:r w:rsidR="004F51F1">
        <w:rPr>
          <w:rFonts w:cs="Arial"/>
          <w:bCs/>
          <w:szCs w:val="22"/>
          <w:lang w:val="en-GB"/>
        </w:rPr>
        <w:t xml:space="preserve"> </w:t>
      </w:r>
    </w:p>
    <w:p w14:paraId="09E0D0B8" w14:textId="55F54EE5" w:rsidR="003D79F3" w:rsidRPr="00A46FB5" w:rsidRDefault="00BF07E1" w:rsidP="00A46FB5">
      <w:pPr>
        <w:pStyle w:val="Heading2"/>
        <w:numPr>
          <w:ilvl w:val="0"/>
          <w:numId w:val="14"/>
        </w:numPr>
        <w:spacing w:after="240"/>
        <w:rPr>
          <w:lang w:val="en-GB"/>
        </w:rPr>
      </w:pPr>
      <w:bookmarkStart w:id="11" w:name="_Toc13671826"/>
      <w:bookmarkStart w:id="12" w:name="_Toc13737484"/>
      <w:r>
        <w:rPr>
          <w:lang w:val="en-GB"/>
        </w:rPr>
        <w:t>Recognition of b</w:t>
      </w:r>
      <w:r w:rsidR="00C65B4D" w:rsidRPr="00C65B4D">
        <w:rPr>
          <w:lang w:val="en-GB"/>
        </w:rPr>
        <w:t>ullying</w:t>
      </w:r>
      <w:r w:rsidR="00255942">
        <w:rPr>
          <w:lang w:val="en-GB"/>
        </w:rPr>
        <w:t xml:space="preserve"> </w:t>
      </w:r>
      <w:r>
        <w:rPr>
          <w:lang w:val="en-GB"/>
        </w:rPr>
        <w:t xml:space="preserve">on the ground of disability </w:t>
      </w:r>
      <w:r w:rsidR="00255942">
        <w:rPr>
          <w:lang w:val="en-GB"/>
        </w:rPr>
        <w:t>as a</w:t>
      </w:r>
      <w:r w:rsidR="00C65B4D" w:rsidRPr="00C65B4D">
        <w:rPr>
          <w:lang w:val="en-GB"/>
        </w:rPr>
        <w:t xml:space="preserve"> </w:t>
      </w:r>
      <w:r w:rsidR="009B4E76">
        <w:rPr>
          <w:lang w:val="en-GB"/>
        </w:rPr>
        <w:t>f</w:t>
      </w:r>
      <w:r w:rsidR="00EF0616">
        <w:rPr>
          <w:lang w:val="en-GB"/>
        </w:rPr>
        <w:t>or</w:t>
      </w:r>
      <w:r w:rsidR="003D79F3">
        <w:rPr>
          <w:lang w:val="en-GB"/>
        </w:rPr>
        <w:t xml:space="preserve">m of discrimination </w:t>
      </w:r>
      <w:r w:rsidR="005C4FBE">
        <w:rPr>
          <w:lang w:val="en-GB"/>
        </w:rPr>
        <w:t>and hate crime</w:t>
      </w:r>
      <w:bookmarkEnd w:id="11"/>
      <w:bookmarkEnd w:id="12"/>
    </w:p>
    <w:p w14:paraId="4F578B7C" w14:textId="50005804" w:rsidR="00E21A54" w:rsidRPr="00A46FB5" w:rsidRDefault="00547A3F" w:rsidP="00A46FB5">
      <w:pPr>
        <w:pStyle w:val="Heading3"/>
        <w:spacing w:after="240"/>
        <w:rPr>
          <w:lang w:val="en-GB"/>
        </w:rPr>
      </w:pPr>
      <w:bookmarkStart w:id="13" w:name="_Toc13671827"/>
      <w:bookmarkStart w:id="14" w:name="_Toc13737485"/>
      <w:r>
        <w:rPr>
          <w:lang w:val="en-GB"/>
        </w:rPr>
        <w:t>Duty of the C</w:t>
      </w:r>
      <w:r w:rsidR="00E21A54" w:rsidRPr="00E21A54">
        <w:rPr>
          <w:lang w:val="en-GB"/>
        </w:rPr>
        <w:t>ourt to examine whether acts of bullying are motivated by a protected ground</w:t>
      </w:r>
      <w:r w:rsidR="004018EE">
        <w:rPr>
          <w:lang w:val="en-GB"/>
        </w:rPr>
        <w:t>s</w:t>
      </w:r>
      <w:bookmarkEnd w:id="13"/>
      <w:bookmarkEnd w:id="14"/>
      <w:r w:rsidR="00E21A54" w:rsidRPr="00E21A54">
        <w:rPr>
          <w:lang w:val="en-GB"/>
        </w:rPr>
        <w:t xml:space="preserve"> </w:t>
      </w:r>
    </w:p>
    <w:p w14:paraId="2AF397FC" w14:textId="3022DA6C" w:rsidR="00E9366F" w:rsidRDefault="002D2DC3" w:rsidP="00A46FB5">
      <w:pPr>
        <w:spacing w:after="240"/>
        <w:jc w:val="both"/>
        <w:rPr>
          <w:rFonts w:cs="Arial"/>
          <w:szCs w:val="22"/>
        </w:rPr>
      </w:pPr>
      <w:r>
        <w:rPr>
          <w:rFonts w:cs="Arial"/>
          <w:szCs w:val="22"/>
        </w:rPr>
        <w:t xml:space="preserve">When examining </w:t>
      </w:r>
      <w:r w:rsidR="00487D20">
        <w:rPr>
          <w:rFonts w:cs="Arial"/>
          <w:szCs w:val="22"/>
        </w:rPr>
        <w:t>alleged violations of the rights of</w:t>
      </w:r>
      <w:r>
        <w:rPr>
          <w:rFonts w:cs="Arial"/>
          <w:szCs w:val="22"/>
        </w:rPr>
        <w:t xml:space="preserve"> persons with disabilities, the Court often considers whether the </w:t>
      </w:r>
      <w:proofErr w:type="spellStart"/>
      <w:r w:rsidR="002F6ED4">
        <w:rPr>
          <w:rFonts w:cs="Arial"/>
          <w:szCs w:val="22"/>
        </w:rPr>
        <w:t>behaviour</w:t>
      </w:r>
      <w:proofErr w:type="spellEnd"/>
      <w:r w:rsidR="002F6ED4">
        <w:rPr>
          <w:rFonts w:cs="Arial"/>
          <w:szCs w:val="22"/>
        </w:rPr>
        <w:t xml:space="preserve"> against the victim is based on his or her disability</w:t>
      </w:r>
      <w:r w:rsidR="0058182C">
        <w:rPr>
          <w:rFonts w:cs="Arial"/>
          <w:szCs w:val="22"/>
        </w:rPr>
        <w:t>, and thus constitutes a form of discrimination</w:t>
      </w:r>
      <w:r w:rsidR="002F6ED4">
        <w:rPr>
          <w:rFonts w:cs="Arial"/>
          <w:szCs w:val="22"/>
        </w:rPr>
        <w:t xml:space="preserve"> (for instance see </w:t>
      </w:r>
      <w:proofErr w:type="spellStart"/>
      <w:r w:rsidR="002F6ED4" w:rsidRPr="002F6ED4">
        <w:rPr>
          <w:rFonts w:cs="Arial"/>
          <w:b/>
          <w:bCs/>
          <w:i/>
          <w:szCs w:val="22"/>
        </w:rPr>
        <w:t>Guberina</w:t>
      </w:r>
      <w:proofErr w:type="spellEnd"/>
      <w:r w:rsidR="002F6ED4" w:rsidRPr="002F6ED4">
        <w:rPr>
          <w:rFonts w:cs="Arial"/>
          <w:b/>
          <w:bCs/>
          <w:i/>
          <w:szCs w:val="22"/>
        </w:rPr>
        <w:t xml:space="preserve"> v. Croatia</w:t>
      </w:r>
      <w:r w:rsidR="00006502">
        <w:rPr>
          <w:rStyle w:val="FootnoteReference"/>
          <w:rFonts w:cs="Arial"/>
          <w:b/>
          <w:bCs/>
          <w:i/>
          <w:szCs w:val="22"/>
        </w:rPr>
        <w:footnoteReference w:id="23"/>
      </w:r>
      <w:r w:rsidR="002F6ED4">
        <w:rPr>
          <w:rFonts w:cs="Arial"/>
          <w:b/>
          <w:bCs/>
          <w:szCs w:val="22"/>
        </w:rPr>
        <w:t xml:space="preserve"> </w:t>
      </w:r>
      <w:r w:rsidR="002F6ED4">
        <w:rPr>
          <w:rFonts w:cs="Arial"/>
          <w:bCs/>
          <w:szCs w:val="22"/>
        </w:rPr>
        <w:t>and</w:t>
      </w:r>
      <w:r w:rsidR="002F6ED4">
        <w:rPr>
          <w:rFonts w:cs="Arial"/>
          <w:szCs w:val="22"/>
        </w:rPr>
        <w:t xml:space="preserve"> </w:t>
      </w:r>
      <w:proofErr w:type="spellStart"/>
      <w:r w:rsidR="002F6ED4" w:rsidRPr="002F6ED4">
        <w:rPr>
          <w:rFonts w:cs="Arial"/>
          <w:b/>
          <w:bCs/>
          <w:i/>
          <w:szCs w:val="22"/>
        </w:rPr>
        <w:t>Đorđević</w:t>
      </w:r>
      <w:proofErr w:type="spellEnd"/>
      <w:r w:rsidR="002F6ED4" w:rsidRPr="002F6ED4">
        <w:rPr>
          <w:rFonts w:cs="Arial"/>
          <w:b/>
          <w:bCs/>
          <w:i/>
          <w:szCs w:val="22"/>
        </w:rPr>
        <w:t xml:space="preserve"> v. Croatia</w:t>
      </w:r>
      <w:r w:rsidR="002F6ED4">
        <w:rPr>
          <w:rFonts w:cs="Arial"/>
          <w:szCs w:val="22"/>
          <w:lang w:val="en-GB"/>
        </w:rPr>
        <w:t>)</w:t>
      </w:r>
      <w:r w:rsidR="002F6ED4">
        <w:rPr>
          <w:rFonts w:cs="Arial"/>
          <w:szCs w:val="22"/>
        </w:rPr>
        <w:t xml:space="preserve">. </w:t>
      </w:r>
      <w:r w:rsidR="002F6ED4">
        <w:rPr>
          <w:rFonts w:cs="Arial"/>
          <w:szCs w:val="22"/>
          <w:lang w:val="en-GB"/>
        </w:rPr>
        <w:t>T</w:t>
      </w:r>
      <w:r w:rsidR="00E655D6">
        <w:rPr>
          <w:rFonts w:cs="Arial"/>
          <w:szCs w:val="22"/>
          <w:lang w:val="en-GB"/>
        </w:rPr>
        <w:t>he Court stated at multiple occasion</w:t>
      </w:r>
      <w:r w:rsidR="00FE63BD">
        <w:rPr>
          <w:rFonts w:cs="Arial"/>
          <w:szCs w:val="22"/>
          <w:lang w:val="en-GB"/>
        </w:rPr>
        <w:t>s</w:t>
      </w:r>
      <w:r w:rsidR="00E655D6">
        <w:rPr>
          <w:rFonts w:cs="Arial"/>
          <w:szCs w:val="22"/>
          <w:lang w:val="en-GB"/>
        </w:rPr>
        <w:t xml:space="preserve"> that </w:t>
      </w:r>
      <w:r w:rsidR="002F6ED4">
        <w:rPr>
          <w:rFonts w:cs="Arial"/>
          <w:szCs w:val="22"/>
          <w:lang w:val="en-GB"/>
        </w:rPr>
        <w:t>article 14 of the Convention</w:t>
      </w:r>
      <w:r w:rsidR="00E655D6">
        <w:rPr>
          <w:rFonts w:cs="Arial"/>
          <w:szCs w:val="22"/>
          <w:lang w:val="en-GB"/>
        </w:rPr>
        <w:t xml:space="preserve"> “</w:t>
      </w:r>
      <w:r w:rsidR="00E655D6" w:rsidRPr="00E655D6">
        <w:rPr>
          <w:rFonts w:cs="Arial"/>
          <w:szCs w:val="22"/>
        </w:rPr>
        <w:t>plays an important</w:t>
      </w:r>
      <w:r w:rsidR="005E41FC">
        <w:rPr>
          <w:rFonts w:cs="Arial"/>
          <w:szCs w:val="22"/>
        </w:rPr>
        <w:t xml:space="preserve"> </w:t>
      </w:r>
      <w:r w:rsidR="00E655D6" w:rsidRPr="00E655D6">
        <w:rPr>
          <w:rFonts w:cs="Arial"/>
          <w:szCs w:val="22"/>
        </w:rPr>
        <w:t>role by complementing the other provisions of the Convention and its Protocols, since it protects individuals placed in similar situations from any discrimination in the enjoyment of the rights set forth in those other provisions</w:t>
      </w:r>
      <w:r w:rsidR="00E655D6">
        <w:rPr>
          <w:rFonts w:cs="Arial"/>
          <w:szCs w:val="22"/>
        </w:rPr>
        <w:t>.”</w:t>
      </w:r>
      <w:r w:rsidR="00E655D6">
        <w:rPr>
          <w:rStyle w:val="FootnoteReference"/>
          <w:rFonts w:cs="Arial"/>
          <w:szCs w:val="22"/>
        </w:rPr>
        <w:footnoteReference w:id="24"/>
      </w:r>
      <w:r>
        <w:rPr>
          <w:rFonts w:cs="Arial"/>
          <w:szCs w:val="22"/>
        </w:rPr>
        <w:t xml:space="preserve"> </w:t>
      </w:r>
      <w:r w:rsidR="002F6ED4">
        <w:rPr>
          <w:rFonts w:cs="Arial"/>
          <w:szCs w:val="22"/>
        </w:rPr>
        <w:t xml:space="preserve">It is also important to recall that the Court </w:t>
      </w:r>
      <w:proofErr w:type="spellStart"/>
      <w:r w:rsidR="002F6ED4">
        <w:rPr>
          <w:rFonts w:cs="Arial"/>
          <w:szCs w:val="22"/>
        </w:rPr>
        <w:t>recognises</w:t>
      </w:r>
      <w:proofErr w:type="spellEnd"/>
      <w:r w:rsidR="002F6ED4">
        <w:rPr>
          <w:rFonts w:cs="Arial"/>
          <w:szCs w:val="22"/>
        </w:rPr>
        <w:t xml:space="preserve"> that “e</w:t>
      </w:r>
      <w:r w:rsidR="002F6ED4" w:rsidRPr="002F6ED4">
        <w:rPr>
          <w:rFonts w:cs="Arial"/>
          <w:szCs w:val="22"/>
        </w:rPr>
        <w:t>ven in a situation where the substantive provision is not applicable, Article 14 may still be applicable</w:t>
      </w:r>
      <w:r w:rsidR="002F6ED4">
        <w:rPr>
          <w:rFonts w:cs="Arial"/>
          <w:szCs w:val="22"/>
        </w:rPr>
        <w:t>.”</w:t>
      </w:r>
      <w:r w:rsidR="002F6ED4">
        <w:rPr>
          <w:rStyle w:val="FootnoteReference"/>
          <w:rFonts w:cs="Arial"/>
          <w:szCs w:val="22"/>
        </w:rPr>
        <w:footnoteReference w:id="25"/>
      </w:r>
    </w:p>
    <w:p w14:paraId="1CB584C7" w14:textId="75773944" w:rsidR="00E9366F" w:rsidRDefault="000F0F68" w:rsidP="00A46FB5">
      <w:pPr>
        <w:spacing w:after="240"/>
        <w:jc w:val="both"/>
        <w:rPr>
          <w:rFonts w:cs="Arial"/>
          <w:szCs w:val="22"/>
        </w:rPr>
      </w:pPr>
      <w:r>
        <w:rPr>
          <w:rFonts w:cs="Arial"/>
          <w:szCs w:val="22"/>
        </w:rPr>
        <w:t>Regarding the margin of appreciation of the State,</w:t>
      </w:r>
      <w:r w:rsidR="00E9366F">
        <w:rPr>
          <w:rFonts w:cs="Arial"/>
          <w:szCs w:val="22"/>
        </w:rPr>
        <w:t xml:space="preserve"> the Court stressed</w:t>
      </w:r>
      <w:r>
        <w:rPr>
          <w:rFonts w:cs="Arial"/>
          <w:szCs w:val="22"/>
        </w:rPr>
        <w:t xml:space="preserve"> in </w:t>
      </w:r>
      <w:proofErr w:type="spellStart"/>
      <w:r w:rsidRPr="00006502">
        <w:rPr>
          <w:rFonts w:cs="Arial"/>
          <w:b/>
          <w:bCs/>
          <w:i/>
          <w:szCs w:val="22"/>
        </w:rPr>
        <w:t>Guberina</w:t>
      </w:r>
      <w:proofErr w:type="spellEnd"/>
      <w:r w:rsidRPr="00006502">
        <w:rPr>
          <w:rFonts w:cs="Arial"/>
          <w:b/>
          <w:bCs/>
          <w:i/>
          <w:szCs w:val="22"/>
        </w:rPr>
        <w:t xml:space="preserve"> v. Croatia</w:t>
      </w:r>
      <w:r>
        <w:rPr>
          <w:rFonts w:cs="Arial"/>
          <w:szCs w:val="22"/>
        </w:rPr>
        <w:t xml:space="preserve"> </w:t>
      </w:r>
      <w:r w:rsidR="00A46FB5">
        <w:rPr>
          <w:rFonts w:cs="Arial"/>
          <w:szCs w:val="22"/>
        </w:rPr>
        <w:t xml:space="preserve">that: </w:t>
      </w:r>
    </w:p>
    <w:p w14:paraId="75E15D19" w14:textId="1E7DD953" w:rsidR="002F6ED4" w:rsidRPr="002F6ED4" w:rsidRDefault="00E9366F" w:rsidP="00A46FB5">
      <w:pPr>
        <w:spacing w:after="240"/>
        <w:ind w:left="720"/>
        <w:jc w:val="both"/>
        <w:rPr>
          <w:rFonts w:cs="Arial"/>
          <w:szCs w:val="22"/>
          <w:lang w:val="en-GB"/>
        </w:rPr>
      </w:pPr>
      <w:r w:rsidRPr="000F0F68">
        <w:rPr>
          <w:rFonts w:cs="Arial"/>
          <w:b/>
          <w:szCs w:val="22"/>
        </w:rPr>
        <w:t>if a restriction on fundamental rights applies to a particularly vulnerable group in society that has suffered considerable discrimination in the past, then the State’s margin of appreciation is substantially narrower</w:t>
      </w:r>
      <w:r w:rsidRPr="00E9366F">
        <w:rPr>
          <w:rFonts w:cs="Arial"/>
          <w:szCs w:val="22"/>
        </w:rPr>
        <w:t xml:space="preserve"> and it must have very weighty reasons for the restrictions in question. The reason for this approach, which questions certain classifications</w:t>
      </w:r>
      <w:r w:rsidR="00A759B3">
        <w:rPr>
          <w:rFonts w:cs="Arial"/>
          <w:szCs w:val="22"/>
        </w:rPr>
        <w:t xml:space="preserve"> </w:t>
      </w:r>
      <w:r w:rsidRPr="00E9366F">
        <w:rPr>
          <w:rFonts w:cs="Arial"/>
          <w:i/>
          <w:iCs/>
          <w:szCs w:val="22"/>
        </w:rPr>
        <w:t>per se</w:t>
      </w:r>
      <w:r w:rsidRPr="00E9366F">
        <w:rPr>
          <w:rFonts w:cs="Arial"/>
          <w:szCs w:val="22"/>
        </w:rPr>
        <w:t xml:space="preserve">, is that such groups were historically subject to prejudice with lasting consequences, resulting in their social exclusion. Such prejudice could entail legislative stereotyping which prohibits the </w:t>
      </w:r>
      <w:proofErr w:type="spellStart"/>
      <w:r w:rsidRPr="00E9366F">
        <w:rPr>
          <w:rFonts w:cs="Arial"/>
          <w:szCs w:val="22"/>
        </w:rPr>
        <w:t>individualised</w:t>
      </w:r>
      <w:proofErr w:type="spellEnd"/>
      <w:r w:rsidRPr="00E9366F">
        <w:rPr>
          <w:rFonts w:cs="Arial"/>
          <w:szCs w:val="22"/>
        </w:rPr>
        <w:t xml:space="preserve"> evaluation of their capacities and needs. The Court has already identified a number of such vulnerable groups that suffered different treatment on account of their characteristic or status, including </w:t>
      </w:r>
      <w:r w:rsidRPr="000F0F68">
        <w:rPr>
          <w:rFonts w:cs="Arial"/>
          <w:b/>
          <w:szCs w:val="22"/>
        </w:rPr>
        <w:t>disability</w:t>
      </w:r>
      <w:r w:rsidRPr="00E9366F">
        <w:rPr>
          <w:rFonts w:cs="Arial"/>
          <w:szCs w:val="22"/>
        </w:rPr>
        <w:t xml:space="preserve"> (see </w:t>
      </w:r>
      <w:proofErr w:type="spellStart"/>
      <w:r w:rsidRPr="00E9366F">
        <w:rPr>
          <w:rFonts w:cs="Arial"/>
          <w:i/>
          <w:iCs/>
          <w:szCs w:val="22"/>
        </w:rPr>
        <w:t>Glor</w:t>
      </w:r>
      <w:proofErr w:type="spellEnd"/>
      <w:r w:rsidRPr="00E9366F">
        <w:rPr>
          <w:rFonts w:cs="Arial"/>
          <w:szCs w:val="22"/>
        </w:rPr>
        <w:t>, cited above, § 84;</w:t>
      </w:r>
      <w:r w:rsidRPr="00E9366F">
        <w:rPr>
          <w:rFonts w:cs="Arial"/>
          <w:i/>
          <w:iCs/>
          <w:szCs w:val="22"/>
        </w:rPr>
        <w:t> </w:t>
      </w:r>
      <w:proofErr w:type="spellStart"/>
      <w:r w:rsidRPr="00E9366F">
        <w:rPr>
          <w:rFonts w:cs="Arial"/>
          <w:i/>
          <w:iCs/>
          <w:szCs w:val="22"/>
        </w:rPr>
        <w:t>Alajos</w:t>
      </w:r>
      <w:proofErr w:type="spellEnd"/>
      <w:r w:rsidRPr="00E9366F">
        <w:rPr>
          <w:rFonts w:cs="Arial"/>
          <w:i/>
          <w:iCs/>
          <w:szCs w:val="22"/>
        </w:rPr>
        <w:t xml:space="preserve"> Kiss v. Hungary</w:t>
      </w:r>
      <w:r w:rsidRPr="00E9366F">
        <w:rPr>
          <w:rFonts w:cs="Arial"/>
          <w:szCs w:val="22"/>
        </w:rPr>
        <w:t>, no.</w:t>
      </w:r>
      <w:hyperlink r:id="rId11" w:anchor="{%22appno%22:[%2238832/06%22]}" w:tgtFrame="_blank" w:history="1">
        <w:r w:rsidRPr="00E9366F">
          <w:rPr>
            <w:rStyle w:val="Hyperlink"/>
            <w:rFonts w:cs="Arial"/>
            <w:szCs w:val="22"/>
          </w:rPr>
          <w:t>38832/06</w:t>
        </w:r>
      </w:hyperlink>
      <w:r w:rsidRPr="00E9366F">
        <w:rPr>
          <w:rFonts w:cs="Arial"/>
          <w:szCs w:val="22"/>
        </w:rPr>
        <w:t>, § 42, 20 May 2010; and </w:t>
      </w:r>
      <w:proofErr w:type="spellStart"/>
      <w:r w:rsidRPr="00E9366F">
        <w:rPr>
          <w:rFonts w:cs="Arial"/>
          <w:i/>
          <w:iCs/>
          <w:szCs w:val="22"/>
        </w:rPr>
        <w:t>Kiyutin</w:t>
      </w:r>
      <w:proofErr w:type="spellEnd"/>
      <w:r w:rsidRPr="00E9366F">
        <w:rPr>
          <w:rFonts w:cs="Arial"/>
          <w:i/>
          <w:iCs/>
          <w:szCs w:val="22"/>
        </w:rPr>
        <w:t xml:space="preserve"> v. Russia</w:t>
      </w:r>
      <w:r w:rsidRPr="00E9366F">
        <w:rPr>
          <w:rFonts w:cs="Arial"/>
          <w:szCs w:val="22"/>
        </w:rPr>
        <w:t>, no. </w:t>
      </w:r>
      <w:hyperlink r:id="rId12" w:anchor="{%22appno%22:[%222700/10%22]}" w:tgtFrame="_blank" w:history="1">
        <w:r w:rsidRPr="00E9366F">
          <w:rPr>
            <w:rStyle w:val="Hyperlink"/>
            <w:rFonts w:cs="Arial"/>
            <w:szCs w:val="22"/>
          </w:rPr>
          <w:t>2700/10</w:t>
        </w:r>
      </w:hyperlink>
      <w:r w:rsidRPr="00E9366F">
        <w:rPr>
          <w:rFonts w:cs="Arial"/>
          <w:szCs w:val="22"/>
        </w:rPr>
        <w:t xml:space="preserve">, § 63, ECHR 2011). Moreover, </w:t>
      </w:r>
      <w:r w:rsidRPr="000F0F68">
        <w:rPr>
          <w:rFonts w:cs="Arial"/>
          <w:b/>
          <w:szCs w:val="22"/>
        </w:rPr>
        <w:t>with regard to all actions concerning children with disabilities the best interest of the child must be a primary consideration</w:t>
      </w:r>
      <w:r w:rsidRPr="00E9366F">
        <w:rPr>
          <w:rFonts w:cs="Arial"/>
          <w:szCs w:val="22"/>
        </w:rPr>
        <w:t xml:space="preserve"> (see paragraph 34 above; Article 7(2) CRPD). In any case, however, irrespective of the scope of the State’s margin of appreciation the final decision as to the observance of the Convention’s requirements rests with the Court (see, </w:t>
      </w:r>
      <w:r w:rsidRPr="00E9366F">
        <w:rPr>
          <w:rFonts w:cs="Arial"/>
          <w:i/>
          <w:iCs/>
          <w:szCs w:val="22"/>
        </w:rPr>
        <w:t>inter alia</w:t>
      </w:r>
      <w:r w:rsidRPr="00E9366F">
        <w:rPr>
          <w:rFonts w:cs="Arial"/>
          <w:szCs w:val="22"/>
        </w:rPr>
        <w:t>, </w:t>
      </w:r>
      <w:r w:rsidRPr="00E9366F">
        <w:rPr>
          <w:rFonts w:cs="Arial"/>
          <w:i/>
          <w:iCs/>
          <w:szCs w:val="22"/>
        </w:rPr>
        <w:t xml:space="preserve">Konstantin </w:t>
      </w:r>
      <w:proofErr w:type="spellStart"/>
      <w:r w:rsidRPr="00E9366F">
        <w:rPr>
          <w:rFonts w:cs="Arial"/>
          <w:i/>
          <w:iCs/>
          <w:szCs w:val="22"/>
        </w:rPr>
        <w:t>Markin</w:t>
      </w:r>
      <w:proofErr w:type="spellEnd"/>
      <w:r w:rsidRPr="00E9366F">
        <w:rPr>
          <w:rFonts w:cs="Arial"/>
          <w:i/>
          <w:iCs/>
          <w:szCs w:val="22"/>
        </w:rPr>
        <w:t xml:space="preserve"> v. Russia </w:t>
      </w:r>
      <w:r w:rsidRPr="00E9366F">
        <w:rPr>
          <w:rFonts w:cs="Arial"/>
          <w:szCs w:val="22"/>
        </w:rPr>
        <w:t>[GC], no. </w:t>
      </w:r>
      <w:hyperlink r:id="rId13" w:anchor="{%22appno%22:[%2230078/06%22]}" w:tgtFrame="_blank" w:history="1">
        <w:r w:rsidRPr="00E9366F">
          <w:rPr>
            <w:rStyle w:val="Hyperlink"/>
            <w:rFonts w:cs="Arial"/>
            <w:szCs w:val="22"/>
          </w:rPr>
          <w:t>30078/06</w:t>
        </w:r>
      </w:hyperlink>
      <w:r w:rsidRPr="00E9366F">
        <w:rPr>
          <w:rFonts w:cs="Arial"/>
          <w:szCs w:val="22"/>
        </w:rPr>
        <w:t>, § 126, ECHR 2012 (extracts)).</w:t>
      </w:r>
      <w:r w:rsidR="00006502">
        <w:rPr>
          <w:rStyle w:val="FootnoteReference"/>
          <w:rFonts w:cs="Arial"/>
          <w:szCs w:val="22"/>
        </w:rPr>
        <w:footnoteReference w:id="26"/>
      </w:r>
    </w:p>
    <w:p w14:paraId="46A73CE6" w14:textId="1D44B0F6" w:rsidR="00A07455" w:rsidRPr="00A46FB5" w:rsidRDefault="005356F5" w:rsidP="00A46FB5">
      <w:pPr>
        <w:pStyle w:val="Heading3"/>
        <w:spacing w:after="240"/>
      </w:pPr>
      <w:bookmarkStart w:id="15" w:name="_Toc13671828"/>
      <w:bookmarkStart w:id="16" w:name="_Toc13737486"/>
      <w:r>
        <w:t>Bullying</w:t>
      </w:r>
      <w:r w:rsidR="00F62A9D">
        <w:t xml:space="preserve"> as a form of discrimination</w:t>
      </w:r>
      <w:r>
        <w:t xml:space="preserve"> under </w:t>
      </w:r>
      <w:r w:rsidR="007054FE">
        <w:t>international</w:t>
      </w:r>
      <w:r w:rsidR="008D10E9">
        <w:t xml:space="preserve"> and national</w:t>
      </w:r>
      <w:r>
        <w:t xml:space="preserve"> law</w:t>
      </w:r>
      <w:bookmarkEnd w:id="15"/>
      <w:bookmarkEnd w:id="16"/>
    </w:p>
    <w:p w14:paraId="1BCD3C0F" w14:textId="06E8D9F1" w:rsidR="002B7205" w:rsidRDefault="009A696E" w:rsidP="00A46FB5">
      <w:pPr>
        <w:spacing w:after="240"/>
        <w:jc w:val="both"/>
        <w:rPr>
          <w:rFonts w:cs="Arial"/>
          <w:szCs w:val="22"/>
          <w:lang w:val="en-GB"/>
        </w:rPr>
      </w:pPr>
      <w:r>
        <w:rPr>
          <w:rFonts w:cs="Arial"/>
          <w:szCs w:val="22"/>
          <w:lang w:val="en-GB"/>
        </w:rPr>
        <w:t>E</w:t>
      </w:r>
      <w:r w:rsidR="00536FA1">
        <w:rPr>
          <w:rFonts w:cs="Arial"/>
          <w:szCs w:val="22"/>
          <w:lang w:val="en-GB"/>
        </w:rPr>
        <w:t>quality and non-discrimination are fundamental</w:t>
      </w:r>
      <w:r>
        <w:rPr>
          <w:rFonts w:cs="Arial"/>
          <w:szCs w:val="22"/>
          <w:lang w:val="en-GB"/>
        </w:rPr>
        <w:t xml:space="preserve"> principles enshrined in</w:t>
      </w:r>
      <w:r w:rsidR="00536FA1">
        <w:rPr>
          <w:rFonts w:cs="Arial"/>
          <w:szCs w:val="22"/>
          <w:lang w:val="en-GB"/>
        </w:rPr>
        <w:t xml:space="preserve"> the Convention on the Rights of Persons with Disabilities. The </w:t>
      </w:r>
      <w:r w:rsidR="00536FA1" w:rsidRPr="004F0AA1">
        <w:rPr>
          <w:rFonts w:cs="Arial"/>
          <w:b/>
          <w:szCs w:val="22"/>
          <w:lang w:val="en-GB"/>
        </w:rPr>
        <w:t>CRPD Committee’s</w:t>
      </w:r>
      <w:r w:rsidR="00536FA1">
        <w:rPr>
          <w:rFonts w:cs="Arial"/>
          <w:szCs w:val="22"/>
          <w:lang w:val="en-GB"/>
        </w:rPr>
        <w:t xml:space="preserve"> </w:t>
      </w:r>
      <w:r w:rsidR="00536FA1" w:rsidRPr="00CF25B2">
        <w:rPr>
          <w:rFonts w:cs="Arial"/>
          <w:b/>
          <w:szCs w:val="22"/>
          <w:lang w:val="en-GB"/>
        </w:rPr>
        <w:t>General Comment No. 5 on equality and non-discrimination</w:t>
      </w:r>
      <w:r w:rsidR="00C92AC0">
        <w:rPr>
          <w:rFonts w:cs="Arial"/>
          <w:szCs w:val="22"/>
          <w:lang w:val="en-GB"/>
        </w:rPr>
        <w:t>, that elaborates on Article 5 of the CRPD on the right to equality and non-discrimination,</w:t>
      </w:r>
      <w:r w:rsidR="00536FA1">
        <w:rPr>
          <w:rFonts w:cs="Arial"/>
          <w:szCs w:val="22"/>
          <w:lang w:val="en-GB"/>
        </w:rPr>
        <w:t xml:space="preserve"> recognises bullying</w:t>
      </w:r>
      <w:r w:rsidR="0045365E">
        <w:rPr>
          <w:rFonts w:cs="Arial"/>
          <w:szCs w:val="22"/>
          <w:lang w:val="en-GB"/>
        </w:rPr>
        <w:t xml:space="preserve"> of persons with disabilities</w:t>
      </w:r>
      <w:r w:rsidR="00536FA1">
        <w:rPr>
          <w:rFonts w:cs="Arial"/>
          <w:szCs w:val="22"/>
          <w:lang w:val="en-GB"/>
        </w:rPr>
        <w:t xml:space="preserve"> as a form of discrimination, falling under harassment. </w:t>
      </w:r>
      <w:r w:rsidR="00C92AC0">
        <w:rPr>
          <w:rFonts w:cs="Arial"/>
          <w:szCs w:val="22"/>
          <w:lang w:val="en-GB"/>
        </w:rPr>
        <w:t>In addition, the</w:t>
      </w:r>
      <w:r w:rsidR="00536FA1">
        <w:rPr>
          <w:rFonts w:cs="Arial"/>
          <w:szCs w:val="22"/>
          <w:lang w:val="en-GB"/>
        </w:rPr>
        <w:t xml:space="preserve"> Committee </w:t>
      </w:r>
      <w:r w:rsidR="00E36AB0">
        <w:rPr>
          <w:rFonts w:cs="Arial"/>
          <w:szCs w:val="22"/>
          <w:lang w:val="en-GB"/>
        </w:rPr>
        <w:t>emphasises</w:t>
      </w:r>
      <w:r w:rsidR="00536FA1">
        <w:rPr>
          <w:rFonts w:cs="Arial"/>
          <w:szCs w:val="22"/>
          <w:lang w:val="en-GB"/>
        </w:rPr>
        <w:t xml:space="preserve"> that bullying, cyberbullying and cyberhate “</w:t>
      </w:r>
      <w:r w:rsidR="00536FA1" w:rsidRPr="00536FA1">
        <w:rPr>
          <w:rFonts w:cs="Arial"/>
          <w:szCs w:val="22"/>
          <w:lang w:val="en-GB"/>
        </w:rPr>
        <w:t>constitute particularly violent a</w:t>
      </w:r>
      <w:r w:rsidR="00C92AC0">
        <w:rPr>
          <w:rFonts w:cs="Arial"/>
          <w:szCs w:val="22"/>
          <w:lang w:val="en-GB"/>
        </w:rPr>
        <w:t>nd harmful forms of hate crimes.”</w:t>
      </w:r>
      <w:r w:rsidR="00536FA1">
        <w:rPr>
          <w:rStyle w:val="FootnoteReference"/>
          <w:rFonts w:cs="Arial"/>
          <w:szCs w:val="22"/>
          <w:lang w:val="en-GB"/>
        </w:rPr>
        <w:footnoteReference w:id="27"/>
      </w:r>
      <w:r w:rsidR="00A07455">
        <w:rPr>
          <w:rFonts w:cs="Arial"/>
          <w:szCs w:val="22"/>
          <w:lang w:val="en-GB"/>
        </w:rPr>
        <w:t xml:space="preserve"> </w:t>
      </w:r>
      <w:r w:rsidR="003B4B3B">
        <w:rPr>
          <w:rFonts w:cs="Arial"/>
          <w:szCs w:val="22"/>
          <w:lang w:val="en-GB"/>
        </w:rPr>
        <w:t>Consequently, b</w:t>
      </w:r>
      <w:r w:rsidR="00A07455">
        <w:rPr>
          <w:rFonts w:cs="Arial"/>
          <w:szCs w:val="22"/>
          <w:lang w:val="en-GB"/>
        </w:rPr>
        <w:t>ullying</w:t>
      </w:r>
      <w:r w:rsidR="003B4B3B">
        <w:rPr>
          <w:rFonts w:cs="Arial"/>
          <w:szCs w:val="22"/>
          <w:lang w:val="en-GB"/>
        </w:rPr>
        <w:t xml:space="preserve"> of persons with disabilities</w:t>
      </w:r>
      <w:r w:rsidR="00A07455">
        <w:rPr>
          <w:rFonts w:cs="Arial"/>
          <w:szCs w:val="22"/>
          <w:lang w:val="en-GB"/>
        </w:rPr>
        <w:t xml:space="preserve"> should be combatted as a form of discrimination and </w:t>
      </w:r>
      <w:r w:rsidR="003B4B3B">
        <w:rPr>
          <w:rFonts w:cs="Arial"/>
          <w:szCs w:val="22"/>
          <w:lang w:val="en-GB"/>
        </w:rPr>
        <w:t>violence against a marginalised group</w:t>
      </w:r>
      <w:r w:rsidR="009A068C">
        <w:rPr>
          <w:rFonts w:cs="Arial"/>
          <w:szCs w:val="22"/>
          <w:lang w:val="en-GB"/>
        </w:rPr>
        <w:t>,</w:t>
      </w:r>
      <w:r w:rsidR="00450918">
        <w:rPr>
          <w:rFonts w:cs="Arial"/>
          <w:szCs w:val="22"/>
          <w:lang w:val="en-GB"/>
        </w:rPr>
        <w:t xml:space="preserve"> constituting hate crime</w:t>
      </w:r>
      <w:r w:rsidR="003B4B3B">
        <w:rPr>
          <w:rFonts w:cs="Arial"/>
          <w:szCs w:val="22"/>
          <w:lang w:val="en-GB"/>
        </w:rPr>
        <w:t xml:space="preserve">. </w:t>
      </w:r>
    </w:p>
    <w:p w14:paraId="3EA7DDD4" w14:textId="26F06155" w:rsidR="00B077F0" w:rsidRDefault="00450918" w:rsidP="00A46FB5">
      <w:pPr>
        <w:spacing w:after="240"/>
        <w:jc w:val="both"/>
        <w:rPr>
          <w:rFonts w:cs="Arial"/>
          <w:szCs w:val="22"/>
          <w:lang w:val="en-GB"/>
        </w:rPr>
      </w:pPr>
      <w:r>
        <w:rPr>
          <w:rFonts w:cs="Arial"/>
          <w:szCs w:val="22"/>
          <w:lang w:val="en-GB"/>
        </w:rPr>
        <w:t>In</w:t>
      </w:r>
      <w:r w:rsidR="00525758">
        <w:rPr>
          <w:rFonts w:cs="Arial"/>
          <w:szCs w:val="22"/>
          <w:lang w:val="en-GB"/>
        </w:rPr>
        <w:t xml:space="preserve"> its </w:t>
      </w:r>
      <w:r w:rsidR="00525758" w:rsidRPr="00525758">
        <w:rPr>
          <w:rFonts w:cs="Arial"/>
          <w:b/>
          <w:szCs w:val="22"/>
          <w:lang w:val="en-GB"/>
        </w:rPr>
        <w:t>General Comment No 13</w:t>
      </w:r>
      <w:r w:rsidR="00525758" w:rsidRPr="00525758">
        <w:rPr>
          <w:b/>
        </w:rPr>
        <w:t xml:space="preserve"> </w:t>
      </w:r>
      <w:r w:rsidR="00525758" w:rsidRPr="00525758">
        <w:rPr>
          <w:rFonts w:cs="Arial"/>
          <w:b/>
          <w:szCs w:val="22"/>
        </w:rPr>
        <w:t>on the right of the child to freedom from all forms of violence</w:t>
      </w:r>
      <w:r w:rsidR="002B7205">
        <w:rPr>
          <w:rFonts w:cs="Arial"/>
          <w:szCs w:val="22"/>
          <w:lang w:val="en-GB"/>
        </w:rPr>
        <w:t xml:space="preserve">, </w:t>
      </w:r>
      <w:r>
        <w:rPr>
          <w:rFonts w:cs="Arial"/>
          <w:szCs w:val="22"/>
          <w:lang w:val="en-GB"/>
        </w:rPr>
        <w:t xml:space="preserve">the CRC Committee </w:t>
      </w:r>
      <w:r w:rsidR="004E55C7">
        <w:rPr>
          <w:rFonts w:cs="Arial"/>
          <w:szCs w:val="22"/>
          <w:lang w:val="en-GB"/>
        </w:rPr>
        <w:t>stresses</w:t>
      </w:r>
      <w:r>
        <w:rPr>
          <w:rFonts w:cs="Arial"/>
          <w:szCs w:val="22"/>
          <w:lang w:val="en-GB"/>
        </w:rPr>
        <w:t xml:space="preserve"> </w:t>
      </w:r>
      <w:r w:rsidR="002B7205">
        <w:rPr>
          <w:rFonts w:cs="Arial"/>
          <w:szCs w:val="22"/>
          <w:lang w:val="en-GB"/>
        </w:rPr>
        <w:t xml:space="preserve">that risks factors such as “discrimination and marginalisation” may put some category of children </w:t>
      </w:r>
      <w:r w:rsidR="00061366">
        <w:rPr>
          <w:rFonts w:cs="Arial"/>
          <w:szCs w:val="22"/>
          <w:lang w:val="en-GB"/>
        </w:rPr>
        <w:t xml:space="preserve">at higher </w:t>
      </w:r>
      <w:r w:rsidR="008633E2">
        <w:rPr>
          <w:rFonts w:cs="Arial"/>
          <w:szCs w:val="22"/>
          <w:lang w:val="en-GB"/>
        </w:rPr>
        <w:t xml:space="preserve">risk </w:t>
      </w:r>
      <w:r w:rsidR="00061366">
        <w:rPr>
          <w:rFonts w:cs="Arial"/>
          <w:szCs w:val="22"/>
          <w:lang w:val="en-GB"/>
        </w:rPr>
        <w:t>of violence,</w:t>
      </w:r>
      <w:r w:rsidR="002B7205">
        <w:rPr>
          <w:rStyle w:val="FootnoteReference"/>
          <w:rFonts w:cs="Arial"/>
          <w:szCs w:val="22"/>
          <w:lang w:val="en-GB"/>
        </w:rPr>
        <w:footnoteReference w:id="28"/>
      </w:r>
      <w:r w:rsidR="00061366">
        <w:rPr>
          <w:rFonts w:cs="Arial"/>
          <w:szCs w:val="22"/>
          <w:lang w:val="en-GB"/>
        </w:rPr>
        <w:t xml:space="preserve"> including bullying.</w:t>
      </w:r>
      <w:r w:rsidR="0066028E">
        <w:rPr>
          <w:rStyle w:val="FootnoteReference"/>
          <w:rFonts w:cs="Arial"/>
          <w:szCs w:val="22"/>
          <w:lang w:val="en-GB"/>
        </w:rPr>
        <w:footnoteReference w:id="29"/>
      </w:r>
    </w:p>
    <w:p w14:paraId="3031151B" w14:textId="63CA2EA9" w:rsidR="008D10E9" w:rsidRDefault="004777FD" w:rsidP="00A46FB5">
      <w:pPr>
        <w:spacing w:after="240"/>
        <w:jc w:val="both"/>
        <w:rPr>
          <w:rFonts w:cs="Arial"/>
          <w:szCs w:val="22"/>
          <w:lang w:val="en-GB"/>
        </w:rPr>
      </w:pPr>
      <w:r>
        <w:rPr>
          <w:rFonts w:cs="Arial"/>
          <w:szCs w:val="22"/>
          <w:lang w:val="en-GB"/>
        </w:rPr>
        <w:t>Similarly,</w:t>
      </w:r>
      <w:r w:rsidR="00E96F6E">
        <w:rPr>
          <w:rFonts w:cs="Arial"/>
          <w:szCs w:val="22"/>
          <w:lang w:val="en-GB"/>
        </w:rPr>
        <w:t xml:space="preserve"> </w:t>
      </w:r>
      <w:r w:rsidR="00EA30BB">
        <w:rPr>
          <w:rFonts w:cs="Arial"/>
          <w:szCs w:val="22"/>
          <w:lang w:val="en-GB"/>
        </w:rPr>
        <w:t xml:space="preserve">as </w:t>
      </w:r>
      <w:r w:rsidR="00E96F6E">
        <w:rPr>
          <w:rFonts w:cs="Arial"/>
          <w:szCs w:val="22"/>
          <w:lang w:val="en-GB"/>
        </w:rPr>
        <w:t>under the CRPD, the</w:t>
      </w:r>
      <w:r w:rsidR="008D10E9">
        <w:rPr>
          <w:rFonts w:cs="Arial"/>
          <w:szCs w:val="22"/>
          <w:lang w:val="en-GB"/>
        </w:rPr>
        <w:t xml:space="preserve"> </w:t>
      </w:r>
      <w:r w:rsidR="008D10E9" w:rsidRPr="008D10E9">
        <w:rPr>
          <w:rFonts w:cs="Arial"/>
          <w:b/>
          <w:szCs w:val="22"/>
          <w:lang w:val="en-GB"/>
        </w:rPr>
        <w:t>U</w:t>
      </w:r>
      <w:r w:rsidR="00E96F6E">
        <w:rPr>
          <w:rFonts w:cs="Arial"/>
          <w:b/>
          <w:szCs w:val="22"/>
          <w:lang w:val="en-GB"/>
        </w:rPr>
        <w:t xml:space="preserve">nited </w:t>
      </w:r>
      <w:r w:rsidR="008D10E9" w:rsidRPr="008D10E9">
        <w:rPr>
          <w:rFonts w:cs="Arial"/>
          <w:b/>
          <w:szCs w:val="22"/>
          <w:lang w:val="en-GB"/>
        </w:rPr>
        <w:t>K</w:t>
      </w:r>
      <w:r w:rsidR="00E96F6E">
        <w:rPr>
          <w:rFonts w:cs="Arial"/>
          <w:b/>
          <w:szCs w:val="22"/>
          <w:lang w:val="en-GB"/>
        </w:rPr>
        <w:t>ingdom</w:t>
      </w:r>
      <w:r w:rsidR="00345900">
        <w:rPr>
          <w:rFonts w:cs="Arial"/>
          <w:szCs w:val="22"/>
          <w:lang w:val="en-GB"/>
        </w:rPr>
        <w:t xml:space="preserve"> recognises</w:t>
      </w:r>
      <w:r w:rsidR="00E96F6E">
        <w:rPr>
          <w:rFonts w:cs="Arial"/>
          <w:szCs w:val="22"/>
          <w:lang w:val="en-GB"/>
        </w:rPr>
        <w:t xml:space="preserve"> that</w:t>
      </w:r>
      <w:r w:rsidR="008D10E9">
        <w:rPr>
          <w:rFonts w:cs="Arial"/>
          <w:szCs w:val="22"/>
          <w:lang w:val="en-GB"/>
        </w:rPr>
        <w:t xml:space="preserve"> </w:t>
      </w:r>
      <w:r w:rsidR="004F5298">
        <w:rPr>
          <w:rFonts w:cs="Arial"/>
          <w:szCs w:val="22"/>
          <w:lang w:val="en-GB"/>
        </w:rPr>
        <w:t>when</w:t>
      </w:r>
      <w:r w:rsidR="008D10E9">
        <w:rPr>
          <w:rFonts w:cs="Arial"/>
          <w:szCs w:val="22"/>
          <w:lang w:val="en-GB"/>
        </w:rPr>
        <w:t xml:space="preserve"> bullying</w:t>
      </w:r>
      <w:r w:rsidR="004F5298">
        <w:rPr>
          <w:rFonts w:cs="Arial"/>
          <w:szCs w:val="22"/>
          <w:lang w:val="en-GB"/>
        </w:rPr>
        <w:t xml:space="preserve"> is</w:t>
      </w:r>
      <w:r w:rsidR="008D10E9">
        <w:rPr>
          <w:rFonts w:cs="Arial"/>
          <w:szCs w:val="22"/>
          <w:lang w:val="en-GB"/>
        </w:rPr>
        <w:t xml:space="preserve"> “</w:t>
      </w:r>
      <w:r w:rsidR="008D10E9" w:rsidRPr="008D10E9">
        <w:rPr>
          <w:rFonts w:cs="Arial"/>
          <w:szCs w:val="22"/>
        </w:rPr>
        <w:t>linked to a protected characteristic that violates someone’s dignity or creates an offensive environment for them</w:t>
      </w:r>
      <w:r w:rsidR="008D10E9">
        <w:rPr>
          <w:rFonts w:cs="Arial"/>
          <w:szCs w:val="22"/>
        </w:rPr>
        <w:t>”</w:t>
      </w:r>
      <w:r w:rsidR="004F5298">
        <w:rPr>
          <w:rFonts w:cs="Arial"/>
          <w:szCs w:val="22"/>
        </w:rPr>
        <w:t xml:space="preserve"> it then</w:t>
      </w:r>
      <w:r w:rsidR="008D10E9">
        <w:rPr>
          <w:rFonts w:cs="Arial"/>
          <w:szCs w:val="22"/>
        </w:rPr>
        <w:t xml:space="preserve"> falls under harassment, and thus is a form of discrimination.</w:t>
      </w:r>
      <w:r w:rsidR="008D10E9">
        <w:rPr>
          <w:rStyle w:val="FootnoteReference"/>
          <w:rFonts w:cs="Arial"/>
          <w:szCs w:val="22"/>
        </w:rPr>
        <w:footnoteReference w:id="30"/>
      </w:r>
      <w:r w:rsidR="008D10E9">
        <w:rPr>
          <w:rFonts w:cs="Arial"/>
          <w:szCs w:val="22"/>
        </w:rPr>
        <w:t xml:space="preserve"> </w:t>
      </w:r>
    </w:p>
    <w:p w14:paraId="68EC0D6F" w14:textId="7570BD10" w:rsidR="00B31D53" w:rsidRPr="00A46FB5" w:rsidRDefault="00194E1B" w:rsidP="00A46FB5">
      <w:pPr>
        <w:pStyle w:val="Heading2"/>
        <w:numPr>
          <w:ilvl w:val="0"/>
          <w:numId w:val="14"/>
        </w:numPr>
        <w:spacing w:after="240"/>
        <w:rPr>
          <w:lang w:val="en-GB"/>
        </w:rPr>
      </w:pPr>
      <w:bookmarkStart w:id="17" w:name="_Toc13671829"/>
      <w:bookmarkStart w:id="18" w:name="_Toc13737487"/>
      <w:r>
        <w:rPr>
          <w:lang w:val="en-GB"/>
        </w:rPr>
        <w:t>Positive obligation</w:t>
      </w:r>
      <w:r w:rsidR="00C65B4D">
        <w:rPr>
          <w:lang w:val="en-GB"/>
        </w:rPr>
        <w:t xml:space="preserve"> of States to prevent, prohibit and condemn bullying</w:t>
      </w:r>
      <w:r w:rsidR="002D77DE">
        <w:rPr>
          <w:lang w:val="en-GB"/>
        </w:rPr>
        <w:t xml:space="preserve"> and harassment</w:t>
      </w:r>
      <w:bookmarkEnd w:id="17"/>
      <w:bookmarkEnd w:id="18"/>
      <w:r w:rsidR="002D77DE">
        <w:rPr>
          <w:lang w:val="en-GB"/>
        </w:rPr>
        <w:t xml:space="preserve"> </w:t>
      </w:r>
    </w:p>
    <w:p w14:paraId="41A07A01" w14:textId="3DF02ADF" w:rsidR="00C95012" w:rsidRDefault="0003683C" w:rsidP="00A46FB5">
      <w:pPr>
        <w:spacing w:after="240"/>
        <w:jc w:val="both"/>
        <w:rPr>
          <w:rFonts w:cs="Arial"/>
          <w:szCs w:val="22"/>
        </w:rPr>
      </w:pPr>
      <w:r>
        <w:rPr>
          <w:rFonts w:cs="Arial"/>
          <w:szCs w:val="22"/>
          <w:lang w:val="en-GB"/>
        </w:rPr>
        <w:t xml:space="preserve">The Court recognises the positive obligation of States to prevent, prohibit and condemn </w:t>
      </w:r>
      <w:r w:rsidR="00EF2FB3">
        <w:rPr>
          <w:rFonts w:cs="Arial"/>
          <w:szCs w:val="22"/>
          <w:lang w:val="en-GB"/>
        </w:rPr>
        <w:t xml:space="preserve">bullying and </w:t>
      </w:r>
      <w:r>
        <w:rPr>
          <w:rFonts w:cs="Arial"/>
          <w:szCs w:val="22"/>
          <w:lang w:val="en-GB"/>
        </w:rPr>
        <w:t xml:space="preserve">harassment. In the case </w:t>
      </w:r>
      <w:proofErr w:type="spellStart"/>
      <w:r w:rsidRPr="0003683C">
        <w:rPr>
          <w:rFonts w:cs="Arial"/>
          <w:b/>
          <w:i/>
          <w:szCs w:val="22"/>
        </w:rPr>
        <w:t>Király</w:t>
      </w:r>
      <w:proofErr w:type="spellEnd"/>
      <w:r w:rsidRPr="0003683C">
        <w:rPr>
          <w:rFonts w:cs="Arial"/>
          <w:b/>
          <w:i/>
          <w:szCs w:val="22"/>
        </w:rPr>
        <w:t xml:space="preserve"> and </w:t>
      </w:r>
      <w:proofErr w:type="spellStart"/>
      <w:r w:rsidRPr="0003683C">
        <w:rPr>
          <w:rFonts w:cs="Arial"/>
          <w:b/>
          <w:i/>
          <w:szCs w:val="22"/>
        </w:rPr>
        <w:t>Dömötör</w:t>
      </w:r>
      <w:proofErr w:type="spellEnd"/>
      <w:r w:rsidRPr="0003683C">
        <w:rPr>
          <w:rFonts w:cs="Arial"/>
          <w:b/>
          <w:i/>
          <w:szCs w:val="22"/>
        </w:rPr>
        <w:t xml:space="preserve"> v. Hungary</w:t>
      </w:r>
      <w:r>
        <w:rPr>
          <w:rFonts w:cs="Arial"/>
          <w:szCs w:val="22"/>
        </w:rPr>
        <w:t>, the Court stated that the government “</w:t>
      </w:r>
      <w:r w:rsidRPr="0003683C">
        <w:rPr>
          <w:rFonts w:cs="Arial"/>
          <w:szCs w:val="22"/>
        </w:rPr>
        <w:t>should afford effective protection against harassment, threats and verbal abuse</w:t>
      </w:r>
      <w:r>
        <w:rPr>
          <w:rFonts w:cs="Arial"/>
          <w:szCs w:val="22"/>
        </w:rPr>
        <w:t>.”</w:t>
      </w:r>
      <w:r>
        <w:rPr>
          <w:rStyle w:val="FootnoteReference"/>
          <w:rFonts w:cs="Arial"/>
          <w:szCs w:val="22"/>
        </w:rPr>
        <w:footnoteReference w:id="31"/>
      </w:r>
      <w:r w:rsidR="007F609F">
        <w:rPr>
          <w:rFonts w:cs="Arial"/>
          <w:szCs w:val="22"/>
        </w:rPr>
        <w:t xml:space="preserve"> </w:t>
      </w:r>
      <w:r w:rsidR="00C95012">
        <w:rPr>
          <w:rFonts w:cs="Arial"/>
          <w:szCs w:val="22"/>
        </w:rPr>
        <w:t xml:space="preserve">In </w:t>
      </w:r>
      <w:r w:rsidR="00C95012" w:rsidRPr="003C40C2">
        <w:rPr>
          <w:rFonts w:cs="Arial"/>
          <w:b/>
          <w:i/>
          <w:szCs w:val="22"/>
        </w:rPr>
        <w:t>O’Keeffe v. Ireland</w:t>
      </w:r>
      <w:r w:rsidR="00055F85">
        <w:rPr>
          <w:rFonts w:cs="Arial"/>
          <w:szCs w:val="22"/>
        </w:rPr>
        <w:t>, the Court ruled that having regarding to “</w:t>
      </w:r>
      <w:r w:rsidR="003745E5">
        <w:rPr>
          <w:rFonts w:cs="Arial"/>
          <w:szCs w:val="22"/>
        </w:rPr>
        <w:t xml:space="preserve">the </w:t>
      </w:r>
      <w:r w:rsidR="00055F85" w:rsidRPr="00055F85">
        <w:rPr>
          <w:rFonts w:cs="Arial"/>
          <w:szCs w:val="22"/>
        </w:rPr>
        <w:t xml:space="preserve">particularly vulnerable nature of children, it is an inherent obligation of government to ensure their protection from </w:t>
      </w:r>
      <w:r w:rsidR="003745E5" w:rsidRPr="00055F85">
        <w:rPr>
          <w:rFonts w:cs="Arial"/>
          <w:szCs w:val="22"/>
        </w:rPr>
        <w:t>ill-treatment</w:t>
      </w:r>
      <w:r w:rsidR="00055F85" w:rsidRPr="00055F85">
        <w:rPr>
          <w:rFonts w:cs="Arial"/>
          <w:szCs w:val="22"/>
        </w:rPr>
        <w:t>, especially in a primary education context, through the adoption, as necessary, of special measures and safeguards.</w:t>
      </w:r>
      <w:r w:rsidR="003745E5">
        <w:rPr>
          <w:rFonts w:cs="Arial"/>
          <w:szCs w:val="22"/>
        </w:rPr>
        <w:t>”</w:t>
      </w:r>
      <w:r w:rsidR="003745E5">
        <w:rPr>
          <w:rStyle w:val="FootnoteReference"/>
          <w:rFonts w:cs="Arial"/>
          <w:szCs w:val="22"/>
        </w:rPr>
        <w:footnoteReference w:id="32"/>
      </w:r>
    </w:p>
    <w:p w14:paraId="33107169" w14:textId="3BEFCE9E" w:rsidR="008852FD" w:rsidRDefault="007F609F" w:rsidP="00A46FB5">
      <w:pPr>
        <w:spacing w:after="240"/>
        <w:jc w:val="both"/>
        <w:rPr>
          <w:rFonts w:cs="Arial"/>
          <w:bCs/>
          <w:szCs w:val="22"/>
        </w:rPr>
      </w:pPr>
      <w:r>
        <w:rPr>
          <w:rFonts w:cs="Arial"/>
          <w:szCs w:val="22"/>
        </w:rPr>
        <w:t xml:space="preserve">In </w:t>
      </w:r>
      <w:proofErr w:type="spellStart"/>
      <w:r w:rsidRPr="007F609F">
        <w:rPr>
          <w:rFonts w:cs="Arial"/>
          <w:b/>
          <w:bCs/>
          <w:i/>
          <w:szCs w:val="22"/>
        </w:rPr>
        <w:t>Đorđević</w:t>
      </w:r>
      <w:proofErr w:type="spellEnd"/>
      <w:r w:rsidRPr="007F609F">
        <w:rPr>
          <w:rFonts w:cs="Arial"/>
          <w:b/>
          <w:bCs/>
          <w:i/>
          <w:szCs w:val="22"/>
        </w:rPr>
        <w:t xml:space="preserve"> v. Croatia</w:t>
      </w:r>
      <w:r w:rsidR="003C40C2">
        <w:rPr>
          <w:rFonts w:cs="Arial"/>
          <w:bCs/>
          <w:szCs w:val="22"/>
        </w:rPr>
        <w:t xml:space="preserve">, the Court </w:t>
      </w:r>
      <w:r w:rsidR="00D0099A">
        <w:rPr>
          <w:rFonts w:cs="Arial"/>
          <w:bCs/>
          <w:szCs w:val="22"/>
        </w:rPr>
        <w:t>reiterated that States are required “</w:t>
      </w:r>
      <w:r w:rsidR="00D0099A" w:rsidRPr="00D0099A">
        <w:rPr>
          <w:rFonts w:cs="Arial"/>
          <w:bCs/>
          <w:szCs w:val="22"/>
        </w:rPr>
        <w:t>to take measures designed to ensure that individuals within their jurisdiction are not subjected to torture or inhuman or degrading treatment or punishmen</w:t>
      </w:r>
      <w:r w:rsidR="00D0099A">
        <w:rPr>
          <w:rFonts w:cs="Arial"/>
          <w:bCs/>
          <w:szCs w:val="22"/>
        </w:rPr>
        <w:t xml:space="preserve">t, including such ill-treatment </w:t>
      </w:r>
      <w:r w:rsidR="00D0099A" w:rsidRPr="00D0099A">
        <w:rPr>
          <w:rFonts w:cs="Arial"/>
          <w:bCs/>
          <w:szCs w:val="22"/>
        </w:rPr>
        <w:t>administered by private individuals</w:t>
      </w:r>
      <w:r w:rsidR="00D0099A">
        <w:rPr>
          <w:rFonts w:cs="Arial"/>
          <w:bCs/>
          <w:szCs w:val="22"/>
        </w:rPr>
        <w:t>”</w:t>
      </w:r>
      <w:r w:rsidR="003745E5">
        <w:rPr>
          <w:rFonts w:cs="Arial"/>
          <w:bCs/>
          <w:szCs w:val="22"/>
        </w:rPr>
        <w:t>, including in cases of ill-treatment inflicted by non-State parties</w:t>
      </w:r>
      <w:r w:rsidR="00D0099A">
        <w:rPr>
          <w:rFonts w:cs="Arial"/>
          <w:bCs/>
          <w:szCs w:val="22"/>
        </w:rPr>
        <w:t>.</w:t>
      </w:r>
      <w:r w:rsidR="00D0099A">
        <w:rPr>
          <w:rStyle w:val="FootnoteReference"/>
          <w:rFonts w:cs="Arial"/>
          <w:bCs/>
          <w:szCs w:val="22"/>
        </w:rPr>
        <w:footnoteReference w:id="33"/>
      </w:r>
      <w:r w:rsidR="007644F6">
        <w:rPr>
          <w:rFonts w:cs="Arial"/>
          <w:bCs/>
          <w:szCs w:val="22"/>
        </w:rPr>
        <w:t xml:space="preserve"> In addition, the Court stressed that the measures adopted “</w:t>
      </w:r>
      <w:r w:rsidR="007644F6" w:rsidRPr="007644F6">
        <w:rPr>
          <w:rFonts w:cs="Arial"/>
          <w:bCs/>
          <w:szCs w:val="22"/>
        </w:rPr>
        <w:t xml:space="preserve">should provide </w:t>
      </w:r>
      <w:r w:rsidR="007644F6" w:rsidRPr="007644F6">
        <w:rPr>
          <w:rFonts w:cs="Arial"/>
          <w:b/>
          <w:bCs/>
          <w:szCs w:val="22"/>
        </w:rPr>
        <w:t>effective protection, in particular, of children and other vulnerable persons</w:t>
      </w:r>
      <w:r w:rsidR="007644F6" w:rsidRPr="007644F6">
        <w:rPr>
          <w:rFonts w:cs="Arial"/>
          <w:bCs/>
          <w:szCs w:val="22"/>
        </w:rPr>
        <w:t>, and include reasonable steps to prevent ill-treatment of which the authorities had or ought to have had knowledge</w:t>
      </w:r>
      <w:r w:rsidR="007644F6">
        <w:rPr>
          <w:rFonts w:cs="Arial"/>
          <w:bCs/>
          <w:szCs w:val="22"/>
        </w:rPr>
        <w:t>.”</w:t>
      </w:r>
      <w:r w:rsidR="00AD3AE6">
        <w:rPr>
          <w:rStyle w:val="FootnoteReference"/>
          <w:rFonts w:cs="Arial"/>
          <w:bCs/>
          <w:szCs w:val="22"/>
        </w:rPr>
        <w:footnoteReference w:id="34"/>
      </w:r>
      <w:r w:rsidR="001D0A1A">
        <w:rPr>
          <w:rFonts w:cs="Arial"/>
          <w:bCs/>
          <w:szCs w:val="22"/>
        </w:rPr>
        <w:t xml:space="preserve"> </w:t>
      </w:r>
    </w:p>
    <w:p w14:paraId="7F9E6DAB" w14:textId="4D4DAB9A" w:rsidR="00C65D41" w:rsidRDefault="002C6C9F" w:rsidP="00A46FB5">
      <w:pPr>
        <w:spacing w:after="240"/>
        <w:jc w:val="both"/>
        <w:rPr>
          <w:rFonts w:cs="Arial"/>
          <w:bCs/>
          <w:szCs w:val="22"/>
        </w:rPr>
      </w:pPr>
      <w:r>
        <w:rPr>
          <w:rFonts w:cs="Arial"/>
          <w:bCs/>
          <w:szCs w:val="22"/>
        </w:rPr>
        <w:t>At the international level, both</w:t>
      </w:r>
      <w:r w:rsidR="00C962F3">
        <w:rPr>
          <w:rFonts w:cs="Arial"/>
          <w:bCs/>
          <w:szCs w:val="22"/>
        </w:rPr>
        <w:t xml:space="preserve"> the </w:t>
      </w:r>
      <w:r w:rsidR="00C962F3" w:rsidRPr="003574C2">
        <w:rPr>
          <w:rFonts w:cs="Arial"/>
          <w:b/>
          <w:bCs/>
          <w:szCs w:val="22"/>
        </w:rPr>
        <w:t>CRPD and the CRC Committees</w:t>
      </w:r>
      <w:r w:rsidR="00C962F3">
        <w:rPr>
          <w:rFonts w:cs="Arial"/>
          <w:bCs/>
          <w:szCs w:val="22"/>
        </w:rPr>
        <w:t xml:space="preserve"> called States to adopt </w:t>
      </w:r>
      <w:r w:rsidR="003673BD">
        <w:rPr>
          <w:rFonts w:cs="Arial"/>
          <w:bCs/>
          <w:szCs w:val="22"/>
        </w:rPr>
        <w:t>measures to prevent and combat bullying.</w:t>
      </w:r>
      <w:r w:rsidR="00C60D67">
        <w:rPr>
          <w:rStyle w:val="FootnoteReference"/>
          <w:rFonts w:cs="Arial"/>
          <w:bCs/>
          <w:szCs w:val="22"/>
        </w:rPr>
        <w:footnoteReference w:id="35"/>
      </w:r>
      <w:r w:rsidR="003673BD">
        <w:rPr>
          <w:rFonts w:cs="Arial"/>
          <w:bCs/>
          <w:szCs w:val="22"/>
        </w:rPr>
        <w:t xml:space="preserve"> </w:t>
      </w:r>
      <w:r w:rsidR="00E1065D">
        <w:rPr>
          <w:rFonts w:cs="Arial"/>
          <w:bCs/>
          <w:szCs w:val="22"/>
        </w:rPr>
        <w:t>For instance, the CRPD Committee recomm</w:t>
      </w:r>
      <w:r w:rsidR="00444C5A">
        <w:rPr>
          <w:rFonts w:cs="Arial"/>
          <w:bCs/>
          <w:szCs w:val="22"/>
        </w:rPr>
        <w:t xml:space="preserve">ended that States strengthen </w:t>
      </w:r>
      <w:r w:rsidR="00444C5A" w:rsidRPr="00444C5A">
        <w:rPr>
          <w:rFonts w:cs="Arial"/>
          <w:bCs/>
          <w:szCs w:val="22"/>
        </w:rPr>
        <w:t>measures to prevent bullying, hate speech and hate crime against children with disabilities</w:t>
      </w:r>
      <w:r w:rsidR="00444C5A">
        <w:rPr>
          <w:rStyle w:val="FootnoteReference"/>
          <w:rFonts w:cs="Arial"/>
          <w:bCs/>
          <w:szCs w:val="22"/>
        </w:rPr>
        <w:footnoteReference w:id="36"/>
      </w:r>
      <w:r w:rsidR="00444C5A">
        <w:rPr>
          <w:rFonts w:cs="Arial"/>
          <w:bCs/>
          <w:szCs w:val="22"/>
        </w:rPr>
        <w:t xml:space="preserve"> and </w:t>
      </w:r>
      <w:r w:rsidR="00444C5A" w:rsidRPr="00444C5A">
        <w:rPr>
          <w:rFonts w:cs="Arial"/>
          <w:bCs/>
          <w:szCs w:val="22"/>
        </w:rPr>
        <w:t xml:space="preserve">implement anti-bullying </w:t>
      </w:r>
      <w:proofErr w:type="spellStart"/>
      <w:r w:rsidR="00444C5A" w:rsidRPr="00444C5A">
        <w:rPr>
          <w:rFonts w:cs="Arial"/>
          <w:bCs/>
          <w:szCs w:val="22"/>
        </w:rPr>
        <w:t>programmes</w:t>
      </w:r>
      <w:proofErr w:type="spellEnd"/>
      <w:r w:rsidR="00C60D67">
        <w:rPr>
          <w:rFonts w:cs="Arial"/>
          <w:bCs/>
          <w:szCs w:val="22"/>
        </w:rPr>
        <w:t>.</w:t>
      </w:r>
      <w:r w:rsidR="00444C5A">
        <w:rPr>
          <w:rStyle w:val="FootnoteReference"/>
          <w:rFonts w:cs="Arial"/>
          <w:bCs/>
          <w:szCs w:val="22"/>
        </w:rPr>
        <w:footnoteReference w:id="37"/>
      </w:r>
      <w:r w:rsidR="00C60D67" w:rsidRPr="00C60D67">
        <w:rPr>
          <w:rFonts w:cs="Arial"/>
          <w:bCs/>
          <w:szCs w:val="22"/>
        </w:rPr>
        <w:t xml:space="preserve"> </w:t>
      </w:r>
      <w:r w:rsidR="00C60D67" w:rsidRPr="00D34765">
        <w:rPr>
          <w:rFonts w:cs="Arial"/>
          <w:bCs/>
          <w:szCs w:val="22"/>
          <w:u w:val="single"/>
        </w:rPr>
        <w:t xml:space="preserve">In 2017, the CRC Committee specifically </w:t>
      </w:r>
      <w:r w:rsidR="007B2171">
        <w:rPr>
          <w:rFonts w:cs="Arial"/>
          <w:bCs/>
          <w:szCs w:val="22"/>
          <w:u w:val="single"/>
        </w:rPr>
        <w:t>called</w:t>
      </w:r>
      <w:r w:rsidR="00C60D67" w:rsidRPr="00D34765">
        <w:rPr>
          <w:rFonts w:cs="Arial"/>
          <w:bCs/>
          <w:szCs w:val="22"/>
          <w:u w:val="single"/>
        </w:rPr>
        <w:t xml:space="preserve"> Romania to “take necessary nationwide measures for awareness-raising, prevention and intervention in the cases of school violence and bullying, involving the training of professionals, parents and children.”</w:t>
      </w:r>
      <w:r w:rsidR="00C60D67">
        <w:rPr>
          <w:rStyle w:val="FootnoteReference"/>
          <w:rFonts w:cs="Arial"/>
          <w:bCs/>
          <w:szCs w:val="22"/>
        </w:rPr>
        <w:footnoteReference w:id="38"/>
      </w:r>
    </w:p>
    <w:p w14:paraId="0EB3A42C" w14:textId="5036C3B6" w:rsidR="00B70505" w:rsidRDefault="00C962F3" w:rsidP="00A46FB5">
      <w:pPr>
        <w:spacing w:after="240"/>
        <w:jc w:val="both"/>
        <w:rPr>
          <w:rFonts w:cs="Arial"/>
          <w:szCs w:val="22"/>
          <w:lang w:val="en-GB"/>
        </w:rPr>
      </w:pPr>
      <w:r>
        <w:rPr>
          <w:rFonts w:cs="Arial"/>
          <w:szCs w:val="22"/>
          <w:lang w:val="en-GB"/>
        </w:rPr>
        <w:t>At the European level, the</w:t>
      </w:r>
      <w:r w:rsidR="00B70505">
        <w:rPr>
          <w:rFonts w:cs="Arial"/>
          <w:szCs w:val="22"/>
          <w:lang w:val="en-GB"/>
        </w:rPr>
        <w:t xml:space="preserve"> </w:t>
      </w:r>
      <w:r w:rsidR="00B70505" w:rsidRPr="00A63840">
        <w:rPr>
          <w:rFonts w:cs="Arial"/>
          <w:b/>
          <w:szCs w:val="22"/>
          <w:lang w:val="en-GB"/>
        </w:rPr>
        <w:t>Council of Europe Charter on Education for Democratic Citizenship and Human Rights</w:t>
      </w:r>
      <w:r w:rsidR="004D1FBC">
        <w:rPr>
          <w:rFonts w:cs="Arial"/>
          <w:szCs w:val="22"/>
          <w:lang w:val="en-GB"/>
        </w:rPr>
        <w:t xml:space="preserve"> </w:t>
      </w:r>
      <w:r w:rsidR="00B70505" w:rsidRPr="00B077F0">
        <w:rPr>
          <w:rFonts w:cs="Arial"/>
          <w:szCs w:val="22"/>
          <w:lang w:val="en-GB"/>
        </w:rPr>
        <w:t>which all 47 member states of the</w:t>
      </w:r>
      <w:r w:rsidR="00B70505">
        <w:rPr>
          <w:rFonts w:cs="Arial"/>
          <w:szCs w:val="22"/>
          <w:lang w:val="en-GB"/>
        </w:rPr>
        <w:t xml:space="preserve"> Council of Europe adopted</w:t>
      </w:r>
      <w:r w:rsidR="00D20847">
        <w:rPr>
          <w:rFonts w:cs="Arial"/>
          <w:szCs w:val="22"/>
          <w:lang w:val="en-GB"/>
        </w:rPr>
        <w:t>,</w:t>
      </w:r>
      <w:r w:rsidR="00B70505">
        <w:rPr>
          <w:rFonts w:cs="Arial"/>
          <w:szCs w:val="22"/>
          <w:lang w:val="en-GB"/>
        </w:rPr>
        <w:t xml:space="preserve"> </w:t>
      </w:r>
      <w:r w:rsidR="00D20847">
        <w:rPr>
          <w:rFonts w:cs="Arial"/>
          <w:szCs w:val="22"/>
          <w:lang w:val="en-GB"/>
        </w:rPr>
        <w:t>identified</w:t>
      </w:r>
      <w:r w:rsidR="00B70505">
        <w:rPr>
          <w:rFonts w:cs="Arial"/>
          <w:szCs w:val="22"/>
          <w:lang w:val="en-GB"/>
        </w:rPr>
        <w:t xml:space="preserve"> bullying as a form of violence and d</w:t>
      </w:r>
      <w:r w:rsidR="00E97BAF">
        <w:rPr>
          <w:rFonts w:cs="Arial"/>
          <w:szCs w:val="22"/>
          <w:lang w:val="en-GB"/>
        </w:rPr>
        <w:t>iscrimination. Consequently, the Council of Europe recommended</w:t>
      </w:r>
      <w:r w:rsidR="00B70505">
        <w:rPr>
          <w:rFonts w:cs="Arial"/>
          <w:szCs w:val="22"/>
          <w:lang w:val="en-GB"/>
        </w:rPr>
        <w:t xml:space="preserve"> all members states to “</w:t>
      </w:r>
      <w:r w:rsidR="00B70505" w:rsidRPr="00C5403A">
        <w:rPr>
          <w:rFonts w:cs="Arial"/>
          <w:szCs w:val="22"/>
          <w:lang w:val="en-GB"/>
        </w:rPr>
        <w:t>combat all forms of discrimination and violence, especially bullying and harassment</w:t>
      </w:r>
      <w:r w:rsidR="00B70505">
        <w:rPr>
          <w:rFonts w:cs="Arial"/>
          <w:szCs w:val="22"/>
          <w:lang w:val="en-GB"/>
        </w:rPr>
        <w:t>.”</w:t>
      </w:r>
      <w:r w:rsidR="00B70505">
        <w:rPr>
          <w:rStyle w:val="FootnoteReference"/>
          <w:rFonts w:cs="Arial"/>
          <w:szCs w:val="22"/>
          <w:lang w:val="en-GB"/>
        </w:rPr>
        <w:footnoteReference w:id="39"/>
      </w:r>
    </w:p>
    <w:p w14:paraId="5CA52210" w14:textId="38776C23" w:rsidR="00453C24" w:rsidRDefault="00087FB0" w:rsidP="00A46FB5">
      <w:pPr>
        <w:spacing w:after="240"/>
        <w:jc w:val="both"/>
        <w:rPr>
          <w:rFonts w:cs="Arial"/>
          <w:szCs w:val="22"/>
          <w:lang w:val="en-GB"/>
        </w:rPr>
      </w:pPr>
      <w:r>
        <w:rPr>
          <w:rFonts w:cs="Arial"/>
          <w:szCs w:val="22"/>
          <w:lang w:val="en-GB"/>
        </w:rPr>
        <w:t>In a case of 2009,</w:t>
      </w:r>
      <w:r w:rsidR="00453C24">
        <w:rPr>
          <w:rFonts w:cs="Arial"/>
          <w:szCs w:val="22"/>
          <w:lang w:val="en-GB"/>
        </w:rPr>
        <w:t xml:space="preserve"> </w:t>
      </w:r>
      <w:r>
        <w:rPr>
          <w:rFonts w:cs="Arial"/>
          <w:szCs w:val="22"/>
          <w:lang w:val="en-GB"/>
        </w:rPr>
        <w:t xml:space="preserve">a </w:t>
      </w:r>
      <w:r w:rsidRPr="00087FB0">
        <w:rPr>
          <w:rFonts w:cs="Arial"/>
          <w:b/>
          <w:szCs w:val="22"/>
          <w:lang w:val="en-GB"/>
        </w:rPr>
        <w:t>French court</w:t>
      </w:r>
      <w:r>
        <w:rPr>
          <w:rFonts w:cs="Arial"/>
          <w:szCs w:val="22"/>
          <w:lang w:val="en-GB"/>
        </w:rPr>
        <w:t xml:space="preserve"> recognised that t</w:t>
      </w:r>
      <w:r w:rsidR="00F40E57">
        <w:rPr>
          <w:rFonts w:cs="Arial"/>
          <w:szCs w:val="22"/>
          <w:lang w:val="en-GB"/>
        </w:rPr>
        <w:t xml:space="preserve">he lack of actions taken by the school </w:t>
      </w:r>
      <w:r w:rsidR="004E36CF">
        <w:rPr>
          <w:rFonts w:cs="Arial"/>
          <w:szCs w:val="22"/>
          <w:lang w:val="en-GB"/>
        </w:rPr>
        <w:t>to combat bullying engaged</w:t>
      </w:r>
      <w:r w:rsidR="00F40E57">
        <w:rPr>
          <w:rFonts w:cs="Arial"/>
          <w:szCs w:val="22"/>
          <w:lang w:val="en-GB"/>
        </w:rPr>
        <w:t xml:space="preserve"> the responsibility </w:t>
      </w:r>
      <w:r w:rsidR="00104E6D">
        <w:rPr>
          <w:rFonts w:cs="Arial"/>
          <w:szCs w:val="22"/>
          <w:lang w:val="en-GB"/>
        </w:rPr>
        <w:t xml:space="preserve">of the French </w:t>
      </w:r>
      <w:r>
        <w:rPr>
          <w:rFonts w:cs="Arial"/>
          <w:szCs w:val="22"/>
          <w:lang w:val="en-GB"/>
        </w:rPr>
        <w:t>government. Bullying at school was also recognised as</w:t>
      </w:r>
      <w:r w:rsidRPr="00087FB0">
        <w:rPr>
          <w:rFonts w:cs="Arial"/>
          <w:szCs w:val="22"/>
          <w:lang w:val="en-GB"/>
        </w:rPr>
        <w:t xml:space="preserve"> fall</w:t>
      </w:r>
      <w:r>
        <w:rPr>
          <w:rFonts w:cs="Arial"/>
          <w:szCs w:val="22"/>
          <w:lang w:val="en-GB"/>
        </w:rPr>
        <w:t>ing</w:t>
      </w:r>
      <w:r w:rsidRPr="00087FB0">
        <w:rPr>
          <w:rFonts w:cs="Arial"/>
          <w:szCs w:val="22"/>
          <w:lang w:val="en-GB"/>
        </w:rPr>
        <w:t xml:space="preserve"> within the scope of the legislation on harassment in the field of employment prohibited by article 222-33-2 of the Penal Code</w:t>
      </w:r>
      <w:r w:rsidR="00F40E57">
        <w:rPr>
          <w:rFonts w:cs="Arial"/>
          <w:szCs w:val="22"/>
          <w:lang w:val="en-GB"/>
        </w:rPr>
        <w:t>.</w:t>
      </w:r>
      <w:r w:rsidR="00F40E57">
        <w:rPr>
          <w:rStyle w:val="FootnoteReference"/>
          <w:rFonts w:cs="Arial"/>
          <w:szCs w:val="22"/>
          <w:lang w:val="en-GB"/>
        </w:rPr>
        <w:footnoteReference w:id="40"/>
      </w:r>
      <w:r w:rsidR="00F40E57">
        <w:rPr>
          <w:rFonts w:cs="Arial"/>
          <w:szCs w:val="22"/>
          <w:lang w:val="en-GB"/>
        </w:rPr>
        <w:t xml:space="preserve"> </w:t>
      </w:r>
      <w:r w:rsidR="00BB1DA1">
        <w:rPr>
          <w:rFonts w:cs="Arial"/>
          <w:szCs w:val="22"/>
          <w:lang w:val="en-GB"/>
        </w:rPr>
        <w:t>Similarly in</w:t>
      </w:r>
      <w:r w:rsidR="00721A2C">
        <w:rPr>
          <w:rFonts w:cs="Arial"/>
          <w:szCs w:val="22"/>
          <w:lang w:val="en-GB"/>
        </w:rPr>
        <w:t xml:space="preserve"> </w:t>
      </w:r>
      <w:r w:rsidR="00721A2C" w:rsidRPr="00087FB0">
        <w:rPr>
          <w:rFonts w:cs="Arial"/>
          <w:b/>
          <w:szCs w:val="22"/>
          <w:lang w:val="en-GB"/>
        </w:rPr>
        <w:t>Belgium</w:t>
      </w:r>
      <w:r w:rsidR="00721A2C">
        <w:rPr>
          <w:rFonts w:cs="Arial"/>
          <w:szCs w:val="22"/>
          <w:lang w:val="en-GB"/>
        </w:rPr>
        <w:t>, bullying is also considered</w:t>
      </w:r>
      <w:r>
        <w:rPr>
          <w:rFonts w:cs="Arial"/>
          <w:szCs w:val="22"/>
          <w:lang w:val="en-GB"/>
        </w:rPr>
        <w:t xml:space="preserve"> to fall</w:t>
      </w:r>
      <w:r w:rsidR="00721A2C">
        <w:rPr>
          <w:rFonts w:cs="Arial"/>
          <w:szCs w:val="22"/>
          <w:lang w:val="en-GB"/>
        </w:rPr>
        <w:t xml:space="preserve"> under harassment legislation in the Penal Code.</w:t>
      </w:r>
      <w:r w:rsidR="00721A2C">
        <w:rPr>
          <w:rStyle w:val="FootnoteReference"/>
          <w:rFonts w:cs="Arial"/>
          <w:szCs w:val="22"/>
          <w:lang w:val="en-GB"/>
        </w:rPr>
        <w:footnoteReference w:id="41"/>
      </w:r>
      <w:r w:rsidR="00E93F9E">
        <w:rPr>
          <w:rFonts w:cs="Arial"/>
          <w:szCs w:val="22"/>
          <w:lang w:val="en-GB"/>
        </w:rPr>
        <w:t xml:space="preserve"> In addition to prohibition of bullying, many European countries adopted policies in school and helpline to support children and adolescents victim of bullying. </w:t>
      </w:r>
    </w:p>
    <w:p w14:paraId="47DBA98D" w14:textId="3896C238" w:rsidR="00B67A29" w:rsidRPr="00A46FB5" w:rsidRDefault="00C76ADE" w:rsidP="00D9476C">
      <w:pPr>
        <w:pStyle w:val="Heading1"/>
      </w:pPr>
      <w:bookmarkStart w:id="19" w:name="_Toc13485009"/>
      <w:bookmarkStart w:id="20" w:name="_Toc13671830"/>
      <w:bookmarkStart w:id="21" w:name="_Toc13737488"/>
      <w:r w:rsidRPr="00E75893">
        <w:t xml:space="preserve">States’ obligation to ensure the right to inclusive education </w:t>
      </w:r>
      <w:r w:rsidR="004347B4" w:rsidRPr="00E75893">
        <w:t>of children with disabilities</w:t>
      </w:r>
      <w:bookmarkEnd w:id="19"/>
      <w:bookmarkEnd w:id="20"/>
      <w:bookmarkEnd w:id="21"/>
      <w:r w:rsidR="004347B4" w:rsidRPr="00E75893">
        <w:t xml:space="preserve"> </w:t>
      </w:r>
    </w:p>
    <w:p w14:paraId="0ABACF5A" w14:textId="62CB3254" w:rsidR="00C665A0" w:rsidRPr="00D81929" w:rsidRDefault="00C665A0" w:rsidP="00A46FB5">
      <w:pPr>
        <w:spacing w:after="240"/>
        <w:jc w:val="both"/>
        <w:rPr>
          <w:rFonts w:cs="Arial"/>
          <w:szCs w:val="22"/>
          <w:lang w:val="en-GB"/>
        </w:rPr>
      </w:pPr>
      <w:r w:rsidRPr="00D81929">
        <w:rPr>
          <w:rFonts w:cs="Arial"/>
          <w:szCs w:val="22"/>
          <w:lang w:val="en-GB"/>
        </w:rPr>
        <w:t>The right to education has been widely recognised in international and regional human rights instruments since the Universal Declaration of Human Rights.</w:t>
      </w:r>
      <w:r w:rsidRPr="00D81929">
        <w:rPr>
          <w:rStyle w:val="FootnoteReference"/>
          <w:rFonts w:cs="Arial"/>
          <w:szCs w:val="22"/>
          <w:lang w:val="en-GB"/>
        </w:rPr>
        <w:footnoteReference w:id="42"/>
      </w:r>
      <w:r w:rsidRPr="00D81929">
        <w:rPr>
          <w:rFonts w:cs="Arial"/>
          <w:szCs w:val="22"/>
          <w:lang w:val="en-GB"/>
        </w:rPr>
        <w:t xml:space="preserve"> The U</w:t>
      </w:r>
      <w:r w:rsidR="001960FE">
        <w:rPr>
          <w:rFonts w:cs="Arial"/>
          <w:szCs w:val="22"/>
          <w:lang w:val="en-GB"/>
        </w:rPr>
        <w:t xml:space="preserve">nited </w:t>
      </w:r>
      <w:r w:rsidRPr="00D81929">
        <w:rPr>
          <w:rFonts w:cs="Arial"/>
          <w:szCs w:val="22"/>
          <w:lang w:val="en-GB"/>
        </w:rPr>
        <w:t>N</w:t>
      </w:r>
      <w:r w:rsidR="001960FE">
        <w:rPr>
          <w:rFonts w:cs="Arial"/>
          <w:szCs w:val="22"/>
          <w:lang w:val="en-GB"/>
        </w:rPr>
        <w:t>ations</w:t>
      </w:r>
      <w:r w:rsidRPr="00D81929">
        <w:rPr>
          <w:rFonts w:cs="Arial"/>
          <w:szCs w:val="22"/>
          <w:lang w:val="en-GB"/>
        </w:rPr>
        <w:t xml:space="preserve"> Committee on Econo</w:t>
      </w:r>
      <w:r w:rsidR="001960FE">
        <w:rPr>
          <w:rFonts w:cs="Arial"/>
          <w:szCs w:val="22"/>
          <w:lang w:val="en-GB"/>
        </w:rPr>
        <w:t xml:space="preserve">mic, Social and Cultural Rights </w:t>
      </w:r>
      <w:r w:rsidRPr="00D81929">
        <w:rPr>
          <w:rFonts w:cs="Arial"/>
          <w:szCs w:val="22"/>
          <w:lang w:val="en-GB"/>
        </w:rPr>
        <w:t>elaborated on the main components of this right: availability, accessibility, adaptability and quality.</w:t>
      </w:r>
      <w:r w:rsidRPr="00D81929">
        <w:rPr>
          <w:rStyle w:val="FootnoteReference"/>
          <w:rFonts w:cs="Arial"/>
          <w:szCs w:val="22"/>
          <w:lang w:val="en-GB"/>
        </w:rPr>
        <w:footnoteReference w:id="43"/>
      </w:r>
      <w:r w:rsidRPr="00D81929">
        <w:rPr>
          <w:rFonts w:cs="Arial"/>
          <w:szCs w:val="22"/>
          <w:lang w:val="en-GB"/>
        </w:rPr>
        <w:t xml:space="preserve"> Accessibility includes geographical accessibility, affordability and non-discrimination in the exercise of the right to education.</w:t>
      </w:r>
      <w:r w:rsidRPr="00D81929">
        <w:rPr>
          <w:rStyle w:val="FootnoteReference"/>
          <w:rFonts w:cs="Arial"/>
          <w:szCs w:val="22"/>
          <w:lang w:val="en-GB"/>
        </w:rPr>
        <w:footnoteReference w:id="44"/>
      </w:r>
      <w:r w:rsidR="00A46FB5">
        <w:rPr>
          <w:rFonts w:cs="Arial"/>
          <w:szCs w:val="22"/>
          <w:lang w:val="en-GB"/>
        </w:rPr>
        <w:t xml:space="preserve"> </w:t>
      </w:r>
    </w:p>
    <w:p w14:paraId="24E4F517" w14:textId="30C443DF" w:rsidR="00471345" w:rsidRDefault="00C665A0" w:rsidP="00A46FB5">
      <w:pPr>
        <w:spacing w:after="240"/>
        <w:jc w:val="both"/>
        <w:rPr>
          <w:rFonts w:cs="Arial"/>
          <w:szCs w:val="22"/>
          <w:lang w:val="en-GB"/>
        </w:rPr>
      </w:pPr>
      <w:r w:rsidRPr="00D81929">
        <w:rPr>
          <w:rFonts w:cs="Arial"/>
          <w:szCs w:val="22"/>
          <w:lang w:val="en-GB"/>
        </w:rPr>
        <w:t>Despite this recognition, persons with disabilities continue to be denied the right to education</w:t>
      </w:r>
      <w:r w:rsidRPr="00D81929">
        <w:rPr>
          <w:rStyle w:val="FootnoteReference"/>
          <w:rFonts w:cs="Arial"/>
          <w:szCs w:val="22"/>
          <w:lang w:val="en-GB"/>
        </w:rPr>
        <w:footnoteReference w:id="45"/>
      </w:r>
      <w:r w:rsidRPr="00D81929">
        <w:rPr>
          <w:rFonts w:cs="Arial"/>
          <w:szCs w:val="22"/>
          <w:lang w:val="en-GB"/>
        </w:rPr>
        <w:t xml:space="preserve"> and have generally a lower level of educational attainment than the rest of the population. </w:t>
      </w:r>
      <w:r w:rsidR="004E761D">
        <w:rPr>
          <w:rFonts w:cs="Arial"/>
          <w:szCs w:val="22"/>
          <w:lang w:val="en-GB"/>
        </w:rPr>
        <w:t>In some countries, discrimination against children with psychosocial and</w:t>
      </w:r>
      <w:r w:rsidR="00452E8E">
        <w:rPr>
          <w:rFonts w:cs="Arial"/>
          <w:szCs w:val="22"/>
          <w:lang w:val="en-GB"/>
        </w:rPr>
        <w:t>/or</w:t>
      </w:r>
      <w:r w:rsidR="004E761D">
        <w:rPr>
          <w:rFonts w:cs="Arial"/>
          <w:szCs w:val="22"/>
          <w:lang w:val="en-GB"/>
        </w:rPr>
        <w:t xml:space="preserve"> intellectual disabilities particularly hinder their access to education.</w:t>
      </w:r>
      <w:r w:rsidR="004E761D">
        <w:rPr>
          <w:rStyle w:val="FootnoteReference"/>
          <w:rFonts w:cs="Arial"/>
          <w:szCs w:val="22"/>
          <w:lang w:val="en-GB"/>
        </w:rPr>
        <w:footnoteReference w:id="46"/>
      </w:r>
      <w:r w:rsidR="004E761D">
        <w:rPr>
          <w:rFonts w:cs="Arial"/>
          <w:szCs w:val="22"/>
          <w:lang w:val="en-GB"/>
        </w:rPr>
        <w:t xml:space="preserve"> </w:t>
      </w:r>
      <w:r w:rsidRPr="00D81929">
        <w:rPr>
          <w:rFonts w:cs="Arial"/>
          <w:szCs w:val="22"/>
          <w:lang w:val="en-GB"/>
        </w:rPr>
        <w:t>This leads to lower participation rates in employment</w:t>
      </w:r>
      <w:r w:rsidR="008E0FB2">
        <w:rPr>
          <w:rFonts w:cs="Arial"/>
          <w:szCs w:val="22"/>
          <w:lang w:val="en-GB"/>
        </w:rPr>
        <w:t>,</w:t>
      </w:r>
      <w:r w:rsidRPr="00D81929">
        <w:rPr>
          <w:rFonts w:cs="Arial"/>
          <w:szCs w:val="22"/>
          <w:lang w:val="en-GB"/>
        </w:rPr>
        <w:t xml:space="preserve"> as well as hi</w:t>
      </w:r>
      <w:r>
        <w:rPr>
          <w:rFonts w:cs="Arial"/>
          <w:szCs w:val="22"/>
          <w:lang w:val="en-GB"/>
        </w:rPr>
        <w:t>gher levels of unemployment.</w:t>
      </w:r>
      <w:r w:rsidRPr="00D81929">
        <w:rPr>
          <w:rStyle w:val="FootnoteReference"/>
          <w:rFonts w:cs="Arial"/>
          <w:szCs w:val="22"/>
          <w:lang w:val="en-GB"/>
        </w:rPr>
        <w:footnoteReference w:id="47"/>
      </w:r>
      <w:r w:rsidRPr="00D81929">
        <w:rPr>
          <w:rFonts w:cs="Arial"/>
          <w:szCs w:val="22"/>
          <w:lang w:val="en-GB"/>
        </w:rPr>
        <w:t xml:space="preserve"> Recent development in international law, in particular</w:t>
      </w:r>
      <w:r w:rsidR="00452E8E">
        <w:rPr>
          <w:rFonts w:cs="Arial"/>
          <w:szCs w:val="22"/>
          <w:lang w:val="en-GB"/>
        </w:rPr>
        <w:t>,</w:t>
      </w:r>
      <w:r>
        <w:rPr>
          <w:rFonts w:cs="Arial"/>
          <w:szCs w:val="22"/>
          <w:lang w:val="en-GB"/>
        </w:rPr>
        <w:t xml:space="preserve"> </w:t>
      </w:r>
      <w:r w:rsidRPr="00D81929">
        <w:rPr>
          <w:rFonts w:cs="Arial"/>
          <w:szCs w:val="22"/>
          <w:lang w:val="en-GB"/>
        </w:rPr>
        <w:t xml:space="preserve">the </w:t>
      </w:r>
      <w:r w:rsidRPr="00452E8E">
        <w:rPr>
          <w:rFonts w:cs="Arial"/>
          <w:b/>
          <w:szCs w:val="22"/>
          <w:lang w:val="en-GB"/>
        </w:rPr>
        <w:t>CRPD Article 24</w:t>
      </w:r>
      <w:r>
        <w:rPr>
          <w:rFonts w:cs="Arial"/>
          <w:szCs w:val="22"/>
          <w:lang w:val="en-GB"/>
        </w:rPr>
        <w:t xml:space="preserve"> and the </w:t>
      </w:r>
      <w:r w:rsidR="00452E8E">
        <w:rPr>
          <w:rFonts w:cs="Arial"/>
          <w:b/>
          <w:szCs w:val="22"/>
          <w:lang w:val="en-GB"/>
        </w:rPr>
        <w:t>CRPD Committee’</w:t>
      </w:r>
      <w:r w:rsidRPr="00452E8E">
        <w:rPr>
          <w:rFonts w:cs="Arial"/>
          <w:b/>
          <w:szCs w:val="22"/>
          <w:lang w:val="en-GB"/>
        </w:rPr>
        <w:t>s General Comment No 4</w:t>
      </w:r>
      <w:r w:rsidRPr="00D81929">
        <w:rPr>
          <w:rFonts w:cs="Arial"/>
          <w:szCs w:val="22"/>
          <w:lang w:val="en-GB"/>
        </w:rPr>
        <w:t xml:space="preserve"> clarify States’ obligation</w:t>
      </w:r>
      <w:r>
        <w:rPr>
          <w:rFonts w:cs="Arial"/>
          <w:szCs w:val="22"/>
          <w:lang w:val="en-GB"/>
        </w:rPr>
        <w:t>s</w:t>
      </w:r>
      <w:r w:rsidRPr="00D81929">
        <w:rPr>
          <w:rFonts w:cs="Arial"/>
          <w:szCs w:val="22"/>
          <w:lang w:val="en-GB"/>
        </w:rPr>
        <w:t xml:space="preserve"> to ensure the right to inclusive education to persons with disabilities.</w:t>
      </w:r>
      <w:r w:rsidR="00471345">
        <w:rPr>
          <w:rFonts w:cs="Arial"/>
          <w:szCs w:val="22"/>
          <w:lang w:val="en-GB"/>
        </w:rPr>
        <w:t xml:space="preserve"> Combatting discrimination, including bullying, and providing reasonable accommodation to all learners with disabilities is crucial </w:t>
      </w:r>
      <w:r w:rsidR="00452E8E">
        <w:rPr>
          <w:rFonts w:cs="Arial"/>
          <w:szCs w:val="22"/>
          <w:lang w:val="en-GB"/>
        </w:rPr>
        <w:t>in ensuring the right</w:t>
      </w:r>
      <w:r w:rsidR="00471345">
        <w:rPr>
          <w:rFonts w:cs="Arial"/>
          <w:szCs w:val="22"/>
          <w:lang w:val="en-GB"/>
        </w:rPr>
        <w:t xml:space="preserve"> to inclusive education of all children.</w:t>
      </w:r>
    </w:p>
    <w:p w14:paraId="746C969A" w14:textId="003DB0CA" w:rsidR="008C5C5A" w:rsidRDefault="00690FCC" w:rsidP="00A46FB5">
      <w:pPr>
        <w:spacing w:after="240"/>
        <w:jc w:val="both"/>
        <w:rPr>
          <w:rFonts w:cs="Arial"/>
          <w:szCs w:val="22"/>
          <w:lang w:val="en-GB"/>
        </w:rPr>
      </w:pPr>
      <w:r>
        <w:rPr>
          <w:rFonts w:cs="Arial"/>
          <w:szCs w:val="22"/>
          <w:lang w:val="en-GB"/>
        </w:rPr>
        <w:t xml:space="preserve">In its case </w:t>
      </w:r>
      <w:proofErr w:type="spellStart"/>
      <w:r w:rsidR="006937F7" w:rsidRPr="006937F7">
        <w:rPr>
          <w:rFonts w:cs="Arial"/>
          <w:b/>
          <w:bCs/>
          <w:i/>
          <w:szCs w:val="22"/>
        </w:rPr>
        <w:t>Çam</w:t>
      </w:r>
      <w:proofErr w:type="spellEnd"/>
      <w:r w:rsidRPr="006937F7">
        <w:rPr>
          <w:rFonts w:cs="Arial"/>
          <w:b/>
          <w:i/>
          <w:szCs w:val="22"/>
          <w:lang w:val="en-GB"/>
        </w:rPr>
        <w:t xml:space="preserve"> v Turkey</w:t>
      </w:r>
      <w:r>
        <w:rPr>
          <w:rFonts w:cs="Arial"/>
          <w:szCs w:val="22"/>
          <w:lang w:val="en-GB"/>
        </w:rPr>
        <w:t>, the</w:t>
      </w:r>
      <w:r w:rsidR="008C5C5A">
        <w:rPr>
          <w:rFonts w:cs="Arial"/>
          <w:szCs w:val="22"/>
          <w:lang w:val="en-GB"/>
        </w:rPr>
        <w:t xml:space="preserve"> Court</w:t>
      </w:r>
      <w:r w:rsidR="00263438">
        <w:rPr>
          <w:rFonts w:cs="Arial"/>
          <w:szCs w:val="22"/>
          <w:lang w:val="en-GB"/>
        </w:rPr>
        <w:t xml:space="preserve"> particularly</w:t>
      </w:r>
      <w:r w:rsidR="00BE0844">
        <w:rPr>
          <w:rFonts w:cs="Arial"/>
          <w:szCs w:val="22"/>
        </w:rPr>
        <w:t xml:space="preserve"> </w:t>
      </w:r>
      <w:r w:rsidR="00870D55">
        <w:rPr>
          <w:rFonts w:cs="Arial"/>
          <w:szCs w:val="22"/>
        </w:rPr>
        <w:t>stressed</w:t>
      </w:r>
      <w:r w:rsidR="008C5C5A" w:rsidRPr="008C5C5A">
        <w:rPr>
          <w:rFonts w:cs="Arial"/>
          <w:szCs w:val="22"/>
        </w:rPr>
        <w:t xml:space="preserve"> </w:t>
      </w:r>
      <w:r>
        <w:rPr>
          <w:rFonts w:cs="Arial"/>
          <w:szCs w:val="22"/>
        </w:rPr>
        <w:t>“</w:t>
      </w:r>
      <w:r w:rsidR="008C5C5A" w:rsidRPr="008C5C5A">
        <w:rPr>
          <w:rFonts w:cs="Arial"/>
          <w:szCs w:val="22"/>
        </w:rPr>
        <w:t>the importance of the fundamental principles of universality and non-discrimination in the exercise of the right to education, which are enshrined in many international texts</w:t>
      </w:r>
      <w:r>
        <w:rPr>
          <w:rFonts w:cs="Arial"/>
          <w:szCs w:val="22"/>
        </w:rPr>
        <w:t xml:space="preserve">” </w:t>
      </w:r>
      <w:proofErr w:type="spellStart"/>
      <w:r w:rsidR="00870D55">
        <w:rPr>
          <w:rFonts w:cs="Arial"/>
          <w:szCs w:val="22"/>
        </w:rPr>
        <w:t>emphasising</w:t>
      </w:r>
      <w:proofErr w:type="spellEnd"/>
      <w:r>
        <w:rPr>
          <w:rFonts w:cs="Arial"/>
          <w:szCs w:val="22"/>
        </w:rPr>
        <w:t xml:space="preserve"> that “</w:t>
      </w:r>
      <w:r w:rsidRPr="00690FCC">
        <w:rPr>
          <w:rFonts w:cs="Arial"/>
          <w:szCs w:val="22"/>
        </w:rPr>
        <w:t xml:space="preserve">those international instruments have </w:t>
      </w:r>
      <w:proofErr w:type="spellStart"/>
      <w:r w:rsidRPr="00690FCC">
        <w:rPr>
          <w:rFonts w:cs="Arial"/>
          <w:szCs w:val="22"/>
        </w:rPr>
        <w:t>recognised</w:t>
      </w:r>
      <w:proofErr w:type="spellEnd"/>
      <w:r w:rsidRPr="00690FCC">
        <w:rPr>
          <w:rFonts w:cs="Arial"/>
          <w:szCs w:val="22"/>
        </w:rPr>
        <w:t xml:space="preserve"> inclusive education as the most appropriate means of guaranteeing the aforementioned fundamental principles</w:t>
      </w:r>
      <w:r>
        <w:rPr>
          <w:rFonts w:cs="Arial"/>
          <w:szCs w:val="22"/>
        </w:rPr>
        <w:t>.”</w:t>
      </w:r>
      <w:r>
        <w:rPr>
          <w:rStyle w:val="FootnoteReference"/>
          <w:rFonts w:cs="Arial"/>
          <w:szCs w:val="22"/>
        </w:rPr>
        <w:footnoteReference w:id="48"/>
      </w:r>
    </w:p>
    <w:p w14:paraId="4EF29123" w14:textId="3E538368" w:rsidR="00C665A0" w:rsidRDefault="00C665A0" w:rsidP="00A46FB5">
      <w:pPr>
        <w:spacing w:after="240"/>
        <w:jc w:val="both"/>
        <w:rPr>
          <w:rFonts w:cs="Arial"/>
          <w:szCs w:val="22"/>
          <w:lang w:val="en-GB"/>
        </w:rPr>
      </w:pPr>
      <w:r>
        <w:rPr>
          <w:rFonts w:cs="Arial"/>
          <w:szCs w:val="22"/>
          <w:lang w:val="en-GB"/>
        </w:rPr>
        <w:t xml:space="preserve">Inclusive education has also found great support in </w:t>
      </w:r>
      <w:r w:rsidRPr="00D81929">
        <w:rPr>
          <w:rFonts w:cs="Arial"/>
          <w:szCs w:val="22"/>
          <w:lang w:val="en-GB"/>
        </w:rPr>
        <w:t xml:space="preserve">the adoption the </w:t>
      </w:r>
      <w:r w:rsidRPr="001C52A9">
        <w:rPr>
          <w:rFonts w:cs="Arial"/>
          <w:b/>
          <w:szCs w:val="22"/>
          <w:lang w:val="en-GB"/>
        </w:rPr>
        <w:t>2030 Agenda for Sustainable Development</w:t>
      </w:r>
      <w:r w:rsidRPr="00D81929">
        <w:rPr>
          <w:rStyle w:val="FootnoteReference"/>
          <w:rFonts w:cs="Arial"/>
          <w:szCs w:val="22"/>
          <w:lang w:val="en-GB"/>
        </w:rPr>
        <w:footnoteReference w:id="49"/>
      </w:r>
      <w:r>
        <w:rPr>
          <w:rFonts w:cs="Arial"/>
          <w:szCs w:val="22"/>
          <w:lang w:val="en-GB"/>
        </w:rPr>
        <w:t xml:space="preserve"> and</w:t>
      </w:r>
      <w:r w:rsidRPr="00D81929">
        <w:rPr>
          <w:rFonts w:cs="Arial"/>
          <w:szCs w:val="22"/>
          <w:lang w:val="en-GB"/>
        </w:rPr>
        <w:t xml:space="preserve"> </w:t>
      </w:r>
      <w:r>
        <w:rPr>
          <w:rFonts w:cs="Arial"/>
          <w:szCs w:val="22"/>
          <w:lang w:val="en-GB"/>
        </w:rPr>
        <w:t>in the</w:t>
      </w:r>
      <w:r w:rsidRPr="00D81929">
        <w:rPr>
          <w:rFonts w:cs="Arial"/>
          <w:szCs w:val="22"/>
          <w:lang w:val="en-GB"/>
        </w:rPr>
        <w:t xml:space="preserve"> </w:t>
      </w:r>
      <w:r w:rsidRPr="001C52A9">
        <w:rPr>
          <w:rFonts w:cs="Arial"/>
          <w:b/>
          <w:szCs w:val="22"/>
          <w:lang w:val="en-GB"/>
        </w:rPr>
        <w:t>Education 2030 Incheon Declaration and Framework for Action</w:t>
      </w:r>
      <w:r>
        <w:rPr>
          <w:rFonts w:cs="Arial"/>
          <w:szCs w:val="22"/>
          <w:lang w:val="en-GB"/>
        </w:rPr>
        <w:t>.</w:t>
      </w:r>
      <w:r>
        <w:rPr>
          <w:rStyle w:val="FootnoteReference"/>
          <w:rFonts w:cs="Arial"/>
          <w:szCs w:val="22"/>
          <w:lang w:val="en-GB"/>
        </w:rPr>
        <w:footnoteReference w:id="50"/>
      </w:r>
      <w:r w:rsidR="00A46FB5">
        <w:rPr>
          <w:rFonts w:cs="Arial"/>
          <w:szCs w:val="22"/>
          <w:lang w:val="en-GB"/>
        </w:rPr>
        <w:t xml:space="preserve"> </w:t>
      </w:r>
    </w:p>
    <w:p w14:paraId="0FB91E14" w14:textId="771653D0" w:rsidR="002B6002" w:rsidRDefault="0097426F" w:rsidP="00DB5606">
      <w:pPr>
        <w:pStyle w:val="Heading2"/>
        <w:numPr>
          <w:ilvl w:val="0"/>
          <w:numId w:val="15"/>
        </w:numPr>
        <w:spacing w:after="240"/>
        <w:rPr>
          <w:lang w:val="en-GB"/>
        </w:rPr>
      </w:pPr>
      <w:bookmarkStart w:id="22" w:name="_Toc13671831"/>
      <w:bookmarkStart w:id="23" w:name="_Toc13737489"/>
      <w:r>
        <w:rPr>
          <w:lang w:val="en-GB"/>
        </w:rPr>
        <w:t>Importance to combat</w:t>
      </w:r>
      <w:r w:rsidR="003C362D">
        <w:rPr>
          <w:lang w:val="en-GB"/>
        </w:rPr>
        <w:t xml:space="preserve"> bullying to ensure right to </w:t>
      </w:r>
      <w:r w:rsidR="00141EA9">
        <w:rPr>
          <w:lang w:val="en-GB"/>
        </w:rPr>
        <w:t xml:space="preserve">inclusive </w:t>
      </w:r>
      <w:r w:rsidR="003C362D">
        <w:rPr>
          <w:lang w:val="en-GB"/>
        </w:rPr>
        <w:t xml:space="preserve">education </w:t>
      </w:r>
      <w:r>
        <w:rPr>
          <w:lang w:val="en-GB"/>
        </w:rPr>
        <w:t>of children with disabilities</w:t>
      </w:r>
      <w:bookmarkEnd w:id="22"/>
      <w:bookmarkEnd w:id="23"/>
    </w:p>
    <w:p w14:paraId="14FED3AB" w14:textId="33059300" w:rsidR="00222E83" w:rsidRDefault="007F7C6F" w:rsidP="00A46FB5">
      <w:pPr>
        <w:spacing w:after="240"/>
        <w:jc w:val="both"/>
        <w:rPr>
          <w:rFonts w:cs="Arial"/>
          <w:szCs w:val="22"/>
          <w:lang w:val="en-GB"/>
        </w:rPr>
      </w:pPr>
      <w:r>
        <w:rPr>
          <w:rFonts w:cs="Arial"/>
          <w:szCs w:val="22"/>
          <w:lang w:val="en-GB"/>
        </w:rPr>
        <w:t xml:space="preserve">In its </w:t>
      </w:r>
      <w:r w:rsidR="00555BBF">
        <w:rPr>
          <w:rFonts w:cs="Arial"/>
          <w:b/>
          <w:szCs w:val="22"/>
          <w:lang w:val="en-GB"/>
        </w:rPr>
        <w:t>General C</w:t>
      </w:r>
      <w:r w:rsidRPr="007F7C6F">
        <w:rPr>
          <w:rFonts w:cs="Arial"/>
          <w:b/>
          <w:szCs w:val="22"/>
          <w:lang w:val="en-GB"/>
        </w:rPr>
        <w:t>omment No. 4 on the right to inclusive education</w:t>
      </w:r>
      <w:r>
        <w:rPr>
          <w:rFonts w:cs="Arial"/>
          <w:szCs w:val="22"/>
          <w:lang w:val="en-GB"/>
        </w:rPr>
        <w:t xml:space="preserve">, the CRPD Committee </w:t>
      </w:r>
      <w:r w:rsidR="00AF77A3">
        <w:rPr>
          <w:rFonts w:cs="Arial"/>
          <w:szCs w:val="22"/>
          <w:lang w:val="en-GB"/>
        </w:rPr>
        <w:t>recognise the</w:t>
      </w:r>
      <w:r w:rsidR="007D3D69">
        <w:rPr>
          <w:rFonts w:cs="Arial"/>
          <w:szCs w:val="22"/>
          <w:lang w:val="en-GB"/>
        </w:rPr>
        <w:t xml:space="preserve"> </w:t>
      </w:r>
      <w:r w:rsidR="007D3D69" w:rsidRPr="00AF77A3">
        <w:rPr>
          <w:rFonts w:cs="Arial"/>
          <w:i/>
          <w:szCs w:val="22"/>
          <w:lang w:val="en-GB"/>
        </w:rPr>
        <w:t>respect and value of diversity</w:t>
      </w:r>
      <w:r w:rsidR="007D3D69">
        <w:rPr>
          <w:rFonts w:cs="Arial"/>
          <w:szCs w:val="22"/>
          <w:lang w:val="en-GB"/>
        </w:rPr>
        <w:t xml:space="preserve"> as a co</w:t>
      </w:r>
      <w:r w:rsidR="00AF77A3">
        <w:rPr>
          <w:rFonts w:cs="Arial"/>
          <w:szCs w:val="22"/>
          <w:lang w:val="en-GB"/>
        </w:rPr>
        <w:t>re feature of inclusive education. Under this feature,</w:t>
      </w:r>
      <w:r w:rsidR="007D3D69">
        <w:rPr>
          <w:rFonts w:cs="Arial"/>
          <w:szCs w:val="22"/>
          <w:lang w:val="en-GB"/>
        </w:rPr>
        <w:t xml:space="preserve"> </w:t>
      </w:r>
      <w:r w:rsidR="008B354E">
        <w:rPr>
          <w:rFonts w:cs="Arial"/>
          <w:szCs w:val="22"/>
          <w:lang w:val="en-GB"/>
        </w:rPr>
        <w:t xml:space="preserve">it notes that </w:t>
      </w:r>
      <w:r w:rsidR="007D3D69">
        <w:rPr>
          <w:rFonts w:cs="Arial"/>
          <w:szCs w:val="22"/>
          <w:lang w:val="en-GB"/>
        </w:rPr>
        <w:t>e</w:t>
      </w:r>
      <w:r w:rsidR="007D3D69" w:rsidRPr="007D3D69">
        <w:rPr>
          <w:rFonts w:cs="Arial"/>
          <w:szCs w:val="22"/>
          <w:lang w:val="en-GB"/>
        </w:rPr>
        <w:t>ffective measures t</w:t>
      </w:r>
      <w:r w:rsidR="00AF77A3">
        <w:rPr>
          <w:rFonts w:cs="Arial"/>
          <w:szCs w:val="22"/>
          <w:lang w:val="en-GB"/>
        </w:rPr>
        <w:t>o prevent abuse and bullying must be</w:t>
      </w:r>
      <w:r w:rsidR="007D3D69" w:rsidRPr="007D3D69">
        <w:rPr>
          <w:rFonts w:cs="Arial"/>
          <w:szCs w:val="22"/>
          <w:lang w:val="en-GB"/>
        </w:rPr>
        <w:t xml:space="preserve"> in place</w:t>
      </w:r>
      <w:r w:rsidR="00AF77A3">
        <w:rPr>
          <w:rFonts w:cs="Arial"/>
          <w:szCs w:val="22"/>
          <w:lang w:val="en-GB"/>
        </w:rPr>
        <w:t>.</w:t>
      </w:r>
      <w:r w:rsidR="007D3D69">
        <w:rPr>
          <w:rStyle w:val="FootnoteReference"/>
          <w:rFonts w:cs="Arial"/>
          <w:szCs w:val="22"/>
          <w:lang w:val="en-GB"/>
        </w:rPr>
        <w:footnoteReference w:id="51"/>
      </w:r>
    </w:p>
    <w:p w14:paraId="6861AB5F" w14:textId="128A061A" w:rsidR="00651DDC" w:rsidRDefault="008B354E" w:rsidP="00A46FB5">
      <w:pPr>
        <w:spacing w:after="240"/>
        <w:jc w:val="both"/>
        <w:rPr>
          <w:rFonts w:cs="Arial"/>
          <w:szCs w:val="22"/>
          <w:lang w:val="en-GB"/>
        </w:rPr>
      </w:pPr>
      <w:r>
        <w:rPr>
          <w:rFonts w:cs="Arial"/>
          <w:szCs w:val="22"/>
          <w:lang w:val="en-GB"/>
        </w:rPr>
        <w:t xml:space="preserve">The CRPD Committee </w:t>
      </w:r>
      <w:r w:rsidR="00142BEB">
        <w:rPr>
          <w:rFonts w:cs="Arial"/>
          <w:szCs w:val="22"/>
          <w:lang w:val="en-GB"/>
        </w:rPr>
        <w:t>emphasised on</w:t>
      </w:r>
      <w:r w:rsidR="00651DDC">
        <w:rPr>
          <w:rFonts w:cs="Arial"/>
          <w:szCs w:val="22"/>
          <w:lang w:val="en-GB"/>
        </w:rPr>
        <w:t xml:space="preserve"> the relationship </w:t>
      </w:r>
      <w:r>
        <w:rPr>
          <w:rFonts w:cs="Arial"/>
          <w:szCs w:val="22"/>
          <w:lang w:val="en-GB"/>
        </w:rPr>
        <w:t xml:space="preserve">between </w:t>
      </w:r>
      <w:r w:rsidR="00651DDC">
        <w:rPr>
          <w:rFonts w:cs="Arial"/>
          <w:szCs w:val="22"/>
          <w:lang w:val="en-GB"/>
        </w:rPr>
        <w:t xml:space="preserve">protection from </w:t>
      </w:r>
      <w:r>
        <w:rPr>
          <w:rFonts w:cs="Arial"/>
          <w:szCs w:val="22"/>
          <w:lang w:val="en-GB"/>
        </w:rPr>
        <w:t>violence and the right to inclusive education. Because persons with disabilities are at a higher risk of violence and abuse, “</w:t>
      </w:r>
      <w:r w:rsidRPr="008B354E">
        <w:rPr>
          <w:rFonts w:cs="Arial"/>
          <w:szCs w:val="22"/>
          <w:lang w:val="en-GB"/>
        </w:rPr>
        <w:t>including physical and humiliating punishments by educational personnel, for example through the use of restraints and seclusion and bullying by o</w:t>
      </w:r>
      <w:r>
        <w:rPr>
          <w:rFonts w:cs="Arial"/>
          <w:szCs w:val="22"/>
          <w:lang w:val="en-GB"/>
        </w:rPr>
        <w:t xml:space="preserve">thers </w:t>
      </w:r>
      <w:r w:rsidRPr="00393073">
        <w:rPr>
          <w:rFonts w:cs="Arial"/>
          <w:szCs w:val="22"/>
          <w:lang w:val="en-GB"/>
        </w:rPr>
        <w:t xml:space="preserve">in and </w:t>
      </w:r>
      <w:proofErr w:type="spellStart"/>
      <w:r w:rsidRPr="00393073">
        <w:rPr>
          <w:rFonts w:cs="Arial"/>
          <w:szCs w:val="22"/>
          <w:lang w:val="en-GB"/>
        </w:rPr>
        <w:t>en</w:t>
      </w:r>
      <w:proofErr w:type="spellEnd"/>
      <w:r w:rsidRPr="00393073">
        <w:rPr>
          <w:rFonts w:cs="Arial"/>
          <w:szCs w:val="22"/>
          <w:lang w:val="en-GB"/>
        </w:rPr>
        <w:t xml:space="preserve"> route to school</w:t>
      </w:r>
      <w:r>
        <w:rPr>
          <w:rFonts w:cs="Arial"/>
          <w:szCs w:val="22"/>
          <w:lang w:val="en-GB"/>
        </w:rPr>
        <w:t xml:space="preserve">,” </w:t>
      </w:r>
      <w:r w:rsidRPr="008B354E">
        <w:rPr>
          <w:rFonts w:cs="Arial"/>
          <w:szCs w:val="22"/>
          <w:lang w:val="en-GB"/>
        </w:rPr>
        <w:t>States are required to take all appropriate measures to provide protection from and prevent all forms of exploitation, violence and abuse</w:t>
      </w:r>
      <w:r w:rsidR="00651DDC">
        <w:rPr>
          <w:rFonts w:cs="Arial"/>
          <w:szCs w:val="22"/>
          <w:lang w:val="en-GB"/>
        </w:rPr>
        <w:t xml:space="preserve"> of </w:t>
      </w:r>
      <w:r w:rsidR="00D7040B">
        <w:rPr>
          <w:rFonts w:cs="Arial"/>
          <w:szCs w:val="22"/>
          <w:lang w:val="en-GB"/>
        </w:rPr>
        <w:t xml:space="preserve">learners </w:t>
      </w:r>
      <w:r w:rsidR="00651DDC">
        <w:rPr>
          <w:rFonts w:cs="Arial"/>
          <w:szCs w:val="22"/>
          <w:lang w:val="en-GB"/>
        </w:rPr>
        <w:t>with disabilities</w:t>
      </w:r>
      <w:r>
        <w:rPr>
          <w:rFonts w:cs="Arial"/>
          <w:szCs w:val="22"/>
          <w:lang w:val="en-GB"/>
        </w:rPr>
        <w:t>.</w:t>
      </w:r>
      <w:r>
        <w:rPr>
          <w:rStyle w:val="FootnoteReference"/>
          <w:rFonts w:cs="Arial"/>
          <w:szCs w:val="22"/>
          <w:lang w:val="en-GB"/>
        </w:rPr>
        <w:footnoteReference w:id="52"/>
      </w:r>
      <w:r>
        <w:rPr>
          <w:rFonts w:cs="Arial"/>
          <w:szCs w:val="22"/>
          <w:lang w:val="en-GB"/>
        </w:rPr>
        <w:t xml:space="preserve"> </w:t>
      </w:r>
    </w:p>
    <w:p w14:paraId="13DDE40E" w14:textId="05731046" w:rsidR="008B354E" w:rsidRPr="003F5BE0" w:rsidRDefault="00651DDC" w:rsidP="00A46FB5">
      <w:pPr>
        <w:spacing w:after="240"/>
        <w:jc w:val="both"/>
        <w:rPr>
          <w:rFonts w:cs="Arial"/>
          <w:szCs w:val="22"/>
          <w:lang w:val="en-GB"/>
        </w:rPr>
      </w:pPr>
      <w:r>
        <w:rPr>
          <w:rFonts w:cs="Arial"/>
          <w:szCs w:val="22"/>
          <w:lang w:val="en-GB"/>
        </w:rPr>
        <w:t>In addition, G</w:t>
      </w:r>
      <w:r w:rsidR="00E91C2D">
        <w:rPr>
          <w:rFonts w:cs="Arial"/>
          <w:szCs w:val="22"/>
          <w:lang w:val="en-GB"/>
        </w:rPr>
        <w:t>eneral Comment No.</w:t>
      </w:r>
      <w:r w:rsidR="004E77CB">
        <w:rPr>
          <w:rFonts w:cs="Arial"/>
          <w:szCs w:val="22"/>
          <w:lang w:val="en-GB"/>
        </w:rPr>
        <w:t xml:space="preserve"> 4</w:t>
      </w:r>
      <w:r w:rsidR="00E91C2D">
        <w:rPr>
          <w:rFonts w:cs="Arial"/>
          <w:szCs w:val="22"/>
          <w:lang w:val="en-GB"/>
        </w:rPr>
        <w:t xml:space="preserve"> </w:t>
      </w:r>
      <w:r w:rsidR="0093361F">
        <w:rPr>
          <w:rFonts w:cs="Arial"/>
          <w:szCs w:val="22"/>
          <w:lang w:val="en-GB"/>
        </w:rPr>
        <w:t>indicates</w:t>
      </w:r>
      <w:r w:rsidR="00E91C2D">
        <w:rPr>
          <w:rFonts w:cs="Arial"/>
          <w:szCs w:val="22"/>
          <w:lang w:val="en-GB"/>
        </w:rPr>
        <w:t xml:space="preserve"> </w:t>
      </w:r>
      <w:r w:rsidR="00190C01">
        <w:rPr>
          <w:rFonts w:cs="Arial"/>
          <w:szCs w:val="22"/>
          <w:lang w:val="en-GB"/>
        </w:rPr>
        <w:t xml:space="preserve">the importance of </w:t>
      </w:r>
      <w:r w:rsidR="00190C01" w:rsidRPr="00190C01">
        <w:rPr>
          <w:rFonts w:cs="Arial"/>
          <w:szCs w:val="22"/>
          <w:lang w:val="en-GB"/>
        </w:rPr>
        <w:t>implementing awareness-raising initiatives to address stigma and discrimination, in particular bullying in educational settings</w:t>
      </w:r>
      <w:r w:rsidR="00393073">
        <w:rPr>
          <w:rFonts w:cs="Arial"/>
          <w:szCs w:val="22"/>
          <w:lang w:val="en-GB"/>
        </w:rPr>
        <w:t>.</w:t>
      </w:r>
      <w:r w:rsidR="00E91C2D">
        <w:rPr>
          <w:rStyle w:val="FootnoteReference"/>
          <w:rFonts w:cs="Arial"/>
          <w:szCs w:val="22"/>
          <w:lang w:val="en-GB"/>
        </w:rPr>
        <w:footnoteReference w:id="53"/>
      </w:r>
      <w:r w:rsidR="00E91C2D">
        <w:rPr>
          <w:rFonts w:cs="Arial"/>
          <w:szCs w:val="22"/>
          <w:lang w:val="en-GB"/>
        </w:rPr>
        <w:t xml:space="preserve"> </w:t>
      </w:r>
      <w:r w:rsidR="00393073">
        <w:rPr>
          <w:rFonts w:cs="Arial"/>
          <w:szCs w:val="22"/>
          <w:lang w:val="en-GB"/>
        </w:rPr>
        <w:t>P</w:t>
      </w:r>
      <w:r w:rsidR="003F5BE0">
        <w:rPr>
          <w:rFonts w:cs="Arial"/>
          <w:szCs w:val="22"/>
          <w:lang w:val="en-GB"/>
        </w:rPr>
        <w:t xml:space="preserve">upils with disabilities themselves should be involved </w:t>
      </w:r>
      <w:r w:rsidR="003F5BE0" w:rsidRPr="003F5BE0">
        <w:rPr>
          <w:rFonts w:cs="Arial"/>
          <w:szCs w:val="22"/>
          <w:lang w:val="en-GB"/>
        </w:rPr>
        <w:t>in the development of policies, including accessible protection mechanisms, to address dis</w:t>
      </w:r>
      <w:r w:rsidR="003F5BE0">
        <w:rPr>
          <w:rFonts w:cs="Arial"/>
          <w:szCs w:val="22"/>
          <w:lang w:val="en-GB"/>
        </w:rPr>
        <w:t>ciplinary measures and bullying.</w:t>
      </w:r>
      <w:r w:rsidR="003F5BE0">
        <w:rPr>
          <w:rStyle w:val="FootnoteReference"/>
          <w:rFonts w:cs="Arial"/>
          <w:szCs w:val="22"/>
          <w:lang w:val="en-GB"/>
        </w:rPr>
        <w:footnoteReference w:id="54"/>
      </w:r>
    </w:p>
    <w:p w14:paraId="6A824913" w14:textId="4734EFC2" w:rsidR="006B0435" w:rsidRPr="00A46FB5" w:rsidRDefault="003C362D" w:rsidP="00DB5606">
      <w:pPr>
        <w:pStyle w:val="Heading2"/>
        <w:numPr>
          <w:ilvl w:val="0"/>
          <w:numId w:val="15"/>
        </w:numPr>
        <w:spacing w:after="240"/>
        <w:rPr>
          <w:lang w:val="en-GB"/>
        </w:rPr>
      </w:pPr>
      <w:bookmarkStart w:id="24" w:name="_Toc13671832"/>
      <w:bookmarkStart w:id="25" w:name="_Toc13737490"/>
      <w:r>
        <w:rPr>
          <w:lang w:val="en-GB"/>
        </w:rPr>
        <w:t>Additional requirements to ensure</w:t>
      </w:r>
      <w:r w:rsidR="006D1F42">
        <w:rPr>
          <w:lang w:val="en-GB"/>
        </w:rPr>
        <w:t xml:space="preserve"> the</w:t>
      </w:r>
      <w:r>
        <w:rPr>
          <w:lang w:val="en-GB"/>
        </w:rPr>
        <w:t xml:space="preserve"> right to</w:t>
      </w:r>
      <w:r w:rsidR="006365D3">
        <w:rPr>
          <w:lang w:val="en-GB"/>
        </w:rPr>
        <w:t xml:space="preserve"> </w:t>
      </w:r>
      <w:r w:rsidR="006365D3" w:rsidRPr="00141EA9">
        <w:rPr>
          <w:lang w:val="en-GB"/>
        </w:rPr>
        <w:t>inclusive</w:t>
      </w:r>
      <w:r>
        <w:rPr>
          <w:lang w:val="en-GB"/>
        </w:rPr>
        <w:t xml:space="preserve"> education of children with psychosocial disabilitie</w:t>
      </w:r>
      <w:r w:rsidR="009737E2">
        <w:rPr>
          <w:lang w:val="en-GB"/>
        </w:rPr>
        <w:t>s: support services and reasonable accommodations</w:t>
      </w:r>
      <w:bookmarkEnd w:id="24"/>
      <w:bookmarkEnd w:id="25"/>
      <w:r w:rsidR="009737E2">
        <w:rPr>
          <w:lang w:val="en-GB"/>
        </w:rPr>
        <w:t xml:space="preserve"> </w:t>
      </w:r>
    </w:p>
    <w:p w14:paraId="1B9CCF5E" w14:textId="5E69B71A" w:rsidR="00FB7C05" w:rsidRDefault="00AD1111" w:rsidP="00FB7C05">
      <w:pPr>
        <w:pStyle w:val="Heading3"/>
        <w:spacing w:after="240"/>
        <w:rPr>
          <w:lang w:val="en-GB"/>
        </w:rPr>
      </w:pPr>
      <w:bookmarkStart w:id="26" w:name="_Toc13737491"/>
      <w:r>
        <w:rPr>
          <w:lang w:val="en-GB"/>
        </w:rPr>
        <w:t>Inclusive education under international law</w:t>
      </w:r>
      <w:bookmarkEnd w:id="26"/>
    </w:p>
    <w:p w14:paraId="6D8F551E" w14:textId="1966027A" w:rsidR="00BA16BD" w:rsidRDefault="000171EF" w:rsidP="00A46FB5">
      <w:pPr>
        <w:spacing w:after="240"/>
        <w:jc w:val="both"/>
        <w:rPr>
          <w:rFonts w:cs="Arial"/>
          <w:szCs w:val="22"/>
          <w:lang w:val="en-GB"/>
        </w:rPr>
      </w:pPr>
      <w:r w:rsidRPr="006579D7">
        <w:rPr>
          <w:rFonts w:cs="Arial"/>
          <w:b/>
          <w:szCs w:val="22"/>
          <w:lang w:val="en-GB"/>
        </w:rPr>
        <w:t>Article</w:t>
      </w:r>
      <w:r w:rsidR="00BA16BD" w:rsidRPr="006579D7">
        <w:rPr>
          <w:rFonts w:cs="Arial"/>
          <w:b/>
          <w:szCs w:val="22"/>
          <w:lang w:val="en-GB"/>
        </w:rPr>
        <w:t xml:space="preserve"> 24</w:t>
      </w:r>
      <w:r w:rsidR="00B51616" w:rsidRPr="006579D7">
        <w:rPr>
          <w:rFonts w:cs="Arial"/>
          <w:b/>
          <w:szCs w:val="22"/>
          <w:lang w:val="en-GB"/>
        </w:rPr>
        <w:t xml:space="preserve"> of the</w:t>
      </w:r>
      <w:r w:rsidR="00BA16BD" w:rsidRPr="006579D7">
        <w:rPr>
          <w:rFonts w:cs="Arial"/>
          <w:b/>
          <w:szCs w:val="22"/>
          <w:lang w:val="en-GB"/>
        </w:rPr>
        <w:t xml:space="preserve"> CRPD</w:t>
      </w:r>
      <w:r w:rsidR="00BA16BD" w:rsidRPr="00446D2E">
        <w:rPr>
          <w:rFonts w:cs="Arial"/>
          <w:szCs w:val="22"/>
          <w:lang w:val="en-GB"/>
        </w:rPr>
        <w:t xml:space="preserve"> </w:t>
      </w:r>
      <w:r w:rsidRPr="00446D2E">
        <w:rPr>
          <w:rFonts w:cs="Arial"/>
          <w:szCs w:val="22"/>
          <w:lang w:val="en-GB"/>
        </w:rPr>
        <w:t xml:space="preserve">requires </w:t>
      </w:r>
      <w:r w:rsidR="00980B6C">
        <w:rPr>
          <w:rFonts w:cs="Arial"/>
          <w:szCs w:val="22"/>
          <w:lang w:val="en-GB"/>
        </w:rPr>
        <w:t>State</w:t>
      </w:r>
      <w:r w:rsidR="00247E02">
        <w:rPr>
          <w:rFonts w:cs="Arial"/>
          <w:szCs w:val="22"/>
          <w:lang w:val="en-GB"/>
        </w:rPr>
        <w:t>s</w:t>
      </w:r>
      <w:r w:rsidR="00980B6C">
        <w:rPr>
          <w:rFonts w:cs="Arial"/>
          <w:szCs w:val="22"/>
          <w:lang w:val="en-GB"/>
        </w:rPr>
        <w:t xml:space="preserve"> parties</w:t>
      </w:r>
      <w:r w:rsidRPr="00446D2E">
        <w:rPr>
          <w:rFonts w:cs="Arial"/>
          <w:szCs w:val="22"/>
          <w:lang w:val="en-GB"/>
        </w:rPr>
        <w:t xml:space="preserve"> to “ensure an </w:t>
      </w:r>
      <w:r w:rsidRPr="00023A1F">
        <w:rPr>
          <w:rFonts w:cs="Arial"/>
          <w:b/>
          <w:i/>
          <w:szCs w:val="22"/>
          <w:lang w:val="en-GB"/>
        </w:rPr>
        <w:t>inclusive</w:t>
      </w:r>
      <w:r w:rsidRPr="00446D2E">
        <w:rPr>
          <w:rFonts w:cs="Arial"/>
          <w:szCs w:val="22"/>
          <w:lang w:val="en-GB"/>
        </w:rPr>
        <w:t xml:space="preserve"> education system at all levels and lifelong learning”</w:t>
      </w:r>
      <w:r w:rsidR="005E5B8A" w:rsidRPr="00446D2E">
        <w:rPr>
          <w:rFonts w:cs="Arial"/>
          <w:szCs w:val="22"/>
          <w:lang w:val="en-GB"/>
        </w:rPr>
        <w:t xml:space="preserve"> without discrimination and on the basis of equal opportunity.</w:t>
      </w:r>
      <w:r w:rsidRPr="00446D2E">
        <w:rPr>
          <w:rStyle w:val="FootnoteReference"/>
          <w:rFonts w:cs="Arial"/>
          <w:szCs w:val="22"/>
          <w:lang w:val="en-GB"/>
        </w:rPr>
        <w:footnoteReference w:id="55"/>
      </w:r>
      <w:r w:rsidR="004E77CB">
        <w:rPr>
          <w:rFonts w:cs="Arial"/>
          <w:szCs w:val="22"/>
          <w:lang w:val="en-GB"/>
        </w:rPr>
        <w:t xml:space="preserve"> Children with disabilities </w:t>
      </w:r>
      <w:r w:rsidR="0034544B">
        <w:rPr>
          <w:rFonts w:cs="Arial"/>
          <w:szCs w:val="22"/>
          <w:lang w:val="en-GB"/>
        </w:rPr>
        <w:t>are often</w:t>
      </w:r>
      <w:r w:rsidR="004E77CB">
        <w:rPr>
          <w:rFonts w:cs="Arial"/>
          <w:szCs w:val="22"/>
          <w:lang w:val="en-GB"/>
        </w:rPr>
        <w:t xml:space="preserve"> excluded from</w:t>
      </w:r>
      <w:r w:rsidR="00FB71D6">
        <w:rPr>
          <w:rFonts w:cs="Arial"/>
          <w:szCs w:val="22"/>
          <w:lang w:val="en-GB"/>
        </w:rPr>
        <w:t xml:space="preserve"> </w:t>
      </w:r>
      <w:r w:rsidR="0034544B">
        <w:rPr>
          <w:rFonts w:cs="Arial"/>
          <w:szCs w:val="22"/>
          <w:lang w:val="en-GB"/>
        </w:rPr>
        <w:t xml:space="preserve">inclusive </w:t>
      </w:r>
      <w:r w:rsidR="00FB71D6">
        <w:rPr>
          <w:rFonts w:cs="Arial"/>
          <w:szCs w:val="22"/>
          <w:lang w:val="en-GB"/>
        </w:rPr>
        <w:t>education due</w:t>
      </w:r>
      <w:r w:rsidR="004E77CB">
        <w:rPr>
          <w:rFonts w:cs="Arial"/>
          <w:szCs w:val="22"/>
          <w:lang w:val="en-GB"/>
        </w:rPr>
        <w:t xml:space="preserve"> a variety of factors, </w:t>
      </w:r>
      <w:r w:rsidR="00FB71D6">
        <w:rPr>
          <w:rFonts w:cs="Arial"/>
          <w:szCs w:val="22"/>
          <w:lang w:val="en-GB"/>
        </w:rPr>
        <w:t xml:space="preserve">including lack of support and reasonable accommodation. </w:t>
      </w:r>
      <w:r w:rsidR="006579D7">
        <w:rPr>
          <w:rFonts w:cs="Arial"/>
          <w:szCs w:val="22"/>
          <w:lang w:val="en-GB"/>
        </w:rPr>
        <w:t>This may</w:t>
      </w:r>
      <w:r w:rsidR="0034544B">
        <w:rPr>
          <w:rFonts w:cs="Arial"/>
          <w:szCs w:val="22"/>
          <w:lang w:val="en-GB"/>
        </w:rPr>
        <w:t>,</w:t>
      </w:r>
      <w:r w:rsidR="006579D7">
        <w:rPr>
          <w:rFonts w:cs="Arial"/>
          <w:szCs w:val="22"/>
          <w:lang w:val="en-GB"/>
        </w:rPr>
        <w:t xml:space="preserve"> as a consequence</w:t>
      </w:r>
      <w:r w:rsidR="0034544B">
        <w:rPr>
          <w:rFonts w:cs="Arial"/>
          <w:szCs w:val="22"/>
          <w:lang w:val="en-GB"/>
        </w:rPr>
        <w:t>,</w:t>
      </w:r>
      <w:r w:rsidR="006579D7">
        <w:rPr>
          <w:rFonts w:cs="Arial"/>
          <w:szCs w:val="22"/>
          <w:lang w:val="en-GB"/>
        </w:rPr>
        <w:t xml:space="preserve"> put the child in a difficult situation, and even more prone to viola</w:t>
      </w:r>
      <w:r w:rsidR="00B41D4C">
        <w:rPr>
          <w:rFonts w:cs="Arial"/>
          <w:szCs w:val="22"/>
          <w:lang w:val="en-GB"/>
        </w:rPr>
        <w:t xml:space="preserve">tion of his or her rights, </w:t>
      </w:r>
      <w:r w:rsidR="006859AA">
        <w:rPr>
          <w:rFonts w:cs="Arial"/>
          <w:szCs w:val="22"/>
          <w:lang w:val="en-GB"/>
        </w:rPr>
        <w:t>including to</w:t>
      </w:r>
      <w:r w:rsidR="006579D7">
        <w:rPr>
          <w:rFonts w:cs="Arial"/>
          <w:szCs w:val="22"/>
          <w:lang w:val="en-GB"/>
        </w:rPr>
        <w:t xml:space="preserve"> bullying</w:t>
      </w:r>
      <w:r w:rsidR="00A241FC">
        <w:rPr>
          <w:rFonts w:cs="Arial"/>
          <w:szCs w:val="22"/>
          <w:lang w:val="en-GB"/>
        </w:rPr>
        <w:t xml:space="preserve"> by other classmates and/or school staff</w:t>
      </w:r>
      <w:r w:rsidR="001B2584">
        <w:rPr>
          <w:rFonts w:cs="Arial"/>
          <w:szCs w:val="22"/>
          <w:lang w:val="en-GB"/>
        </w:rPr>
        <w:t>.</w:t>
      </w:r>
    </w:p>
    <w:p w14:paraId="3377B165" w14:textId="0AD0BE83" w:rsidR="00341D97" w:rsidRDefault="00341D97" w:rsidP="00A46FB5">
      <w:pPr>
        <w:spacing w:after="240"/>
        <w:jc w:val="both"/>
        <w:rPr>
          <w:rFonts w:cs="Arial"/>
          <w:szCs w:val="22"/>
          <w:lang w:val="en-GB"/>
        </w:rPr>
      </w:pPr>
      <w:r>
        <w:rPr>
          <w:rFonts w:cs="Arial"/>
          <w:szCs w:val="22"/>
          <w:lang w:val="en-GB"/>
        </w:rPr>
        <w:t xml:space="preserve">In its recommendations to States, the CRPD Committee stressed that governments must ensure and enforce a </w:t>
      </w:r>
      <w:r w:rsidRPr="00341D97">
        <w:rPr>
          <w:rFonts w:cs="Arial"/>
          <w:b/>
          <w:szCs w:val="22"/>
          <w:lang w:val="en-GB"/>
        </w:rPr>
        <w:t>non-rejection policy</w:t>
      </w:r>
      <w:r>
        <w:rPr>
          <w:rFonts w:cs="Arial"/>
          <w:szCs w:val="22"/>
          <w:lang w:val="en-GB"/>
        </w:rPr>
        <w:t xml:space="preserve"> </w:t>
      </w:r>
      <w:r w:rsidRPr="00341D97">
        <w:rPr>
          <w:rFonts w:cs="Arial"/>
          <w:szCs w:val="22"/>
          <w:lang w:val="en-GB"/>
        </w:rPr>
        <w:t xml:space="preserve">and </w:t>
      </w:r>
      <w:r w:rsidR="00DF59B2" w:rsidRPr="00341D97">
        <w:rPr>
          <w:rFonts w:cs="Arial"/>
          <w:szCs w:val="22"/>
          <w:lang w:val="en-GB"/>
        </w:rPr>
        <w:t>guarantee</w:t>
      </w:r>
      <w:r w:rsidRPr="00341D97">
        <w:rPr>
          <w:rFonts w:cs="Arial"/>
          <w:szCs w:val="22"/>
          <w:lang w:val="en-GB"/>
        </w:rPr>
        <w:t xml:space="preserve"> quality inclusive education for all students with disabilities.</w:t>
      </w:r>
      <w:r>
        <w:rPr>
          <w:rStyle w:val="FootnoteReference"/>
          <w:rFonts w:cs="Arial"/>
          <w:szCs w:val="22"/>
          <w:lang w:val="en-GB"/>
        </w:rPr>
        <w:footnoteReference w:id="56"/>
      </w:r>
      <w:r w:rsidR="00A9677E">
        <w:rPr>
          <w:rFonts w:cs="Arial"/>
          <w:szCs w:val="22"/>
          <w:lang w:val="en-GB"/>
        </w:rPr>
        <w:t xml:space="preserve"> The CRPD Committee also emphasises that “</w:t>
      </w:r>
      <w:r w:rsidR="00A9677E" w:rsidRPr="00A9677E">
        <w:rPr>
          <w:rFonts w:cs="Arial"/>
          <w:szCs w:val="22"/>
          <w:lang w:val="en-GB"/>
        </w:rPr>
        <w:t>the exclusion of persons with disabilities from the general education system should be prohibited, including through any legislative or regulatory provisions that limit their inclusion on the basis of their impairment or the degree of that impairment, such as by conditioning inclusion on the extent of the potential of the individual or by alleging a disproportionate and undue burden to evade the obligation to provide reasonable accommodation.”</w:t>
      </w:r>
      <w:r w:rsidR="00A9677E" w:rsidRPr="00A9677E">
        <w:rPr>
          <w:rFonts w:cs="Arial"/>
          <w:szCs w:val="22"/>
          <w:vertAlign w:val="superscript"/>
          <w:lang w:val="en-GB"/>
        </w:rPr>
        <w:footnoteReference w:id="57"/>
      </w:r>
    </w:p>
    <w:p w14:paraId="7B3D0C9E" w14:textId="23A5B7DC" w:rsidR="009B7814" w:rsidRDefault="00341D97" w:rsidP="00B62984">
      <w:pPr>
        <w:spacing w:after="240"/>
        <w:jc w:val="both"/>
        <w:rPr>
          <w:rFonts w:cs="Arial"/>
          <w:szCs w:val="22"/>
          <w:lang w:val="en-GB"/>
        </w:rPr>
      </w:pPr>
      <w:r>
        <w:rPr>
          <w:rFonts w:cs="Arial"/>
          <w:szCs w:val="22"/>
          <w:lang w:val="en-GB"/>
        </w:rPr>
        <w:t xml:space="preserve">In addition, </w:t>
      </w:r>
      <w:r w:rsidR="00A9677E">
        <w:rPr>
          <w:rFonts w:cs="Arial"/>
          <w:szCs w:val="22"/>
          <w:lang w:val="en-GB"/>
        </w:rPr>
        <w:t xml:space="preserve">in order to ensure inclusive education </w:t>
      </w:r>
      <w:r w:rsidR="00912255" w:rsidRPr="00446D2E">
        <w:rPr>
          <w:rFonts w:cs="Arial"/>
          <w:szCs w:val="22"/>
          <w:lang w:val="en-GB"/>
        </w:rPr>
        <w:t>States must adopt measures</w:t>
      </w:r>
      <w:r w:rsidR="00DE2DCB" w:rsidRPr="00DE2DCB">
        <w:rPr>
          <w:rFonts w:cs="Arial"/>
          <w:szCs w:val="22"/>
          <w:lang w:val="en-GB"/>
        </w:rPr>
        <w:t>, including through non-discrimination legislation binding on private as well as public bodies</w:t>
      </w:r>
      <w:r w:rsidR="00DE2DCB">
        <w:rPr>
          <w:rFonts w:cs="Arial"/>
          <w:szCs w:val="22"/>
          <w:lang w:val="en-GB"/>
        </w:rPr>
        <w:t>,</w:t>
      </w:r>
      <w:r w:rsidR="00912255" w:rsidRPr="00446D2E">
        <w:rPr>
          <w:rFonts w:cs="Arial"/>
          <w:szCs w:val="22"/>
          <w:lang w:val="en-GB"/>
        </w:rPr>
        <w:t xml:space="preserve"> to </w:t>
      </w:r>
      <w:r w:rsidR="005500DF" w:rsidRPr="00446D2E">
        <w:rPr>
          <w:rFonts w:cs="Arial"/>
          <w:szCs w:val="22"/>
          <w:lang w:val="en-GB"/>
        </w:rPr>
        <w:t>guarantee</w:t>
      </w:r>
      <w:r w:rsidR="00912255" w:rsidRPr="00446D2E">
        <w:rPr>
          <w:rFonts w:cs="Arial"/>
          <w:szCs w:val="22"/>
          <w:lang w:val="en-GB"/>
        </w:rPr>
        <w:t xml:space="preserve"> that </w:t>
      </w:r>
      <w:r w:rsidR="00912255" w:rsidRPr="00DA16BF">
        <w:rPr>
          <w:rFonts w:cs="Arial"/>
          <w:b/>
          <w:szCs w:val="22"/>
          <w:lang w:val="en-GB"/>
        </w:rPr>
        <w:t>accessibility</w:t>
      </w:r>
      <w:r w:rsidR="00DE2DCB" w:rsidRPr="00DA16BF">
        <w:rPr>
          <w:rFonts w:cs="Arial"/>
          <w:b/>
          <w:szCs w:val="22"/>
          <w:lang w:val="en-GB"/>
        </w:rPr>
        <w:t xml:space="preserve">, </w:t>
      </w:r>
      <w:r w:rsidR="005500DF" w:rsidRPr="00DA16BF">
        <w:rPr>
          <w:rFonts w:cs="Arial"/>
          <w:b/>
          <w:szCs w:val="22"/>
          <w:lang w:val="en-GB"/>
        </w:rPr>
        <w:t>support services</w:t>
      </w:r>
      <w:r w:rsidR="00DE2DCB" w:rsidRPr="00DA16BF">
        <w:rPr>
          <w:rStyle w:val="FootnoteReference"/>
          <w:rFonts w:cs="Arial"/>
          <w:b/>
          <w:szCs w:val="22"/>
          <w:lang w:val="en-GB"/>
        </w:rPr>
        <w:footnoteReference w:id="58"/>
      </w:r>
      <w:r w:rsidR="00DE2DCB" w:rsidRPr="00DA16BF">
        <w:rPr>
          <w:rFonts w:cs="Arial"/>
          <w:b/>
          <w:szCs w:val="22"/>
          <w:lang w:val="en-GB"/>
        </w:rPr>
        <w:t xml:space="preserve"> and reasonable accommodation</w:t>
      </w:r>
      <w:r w:rsidR="00DE2DCB" w:rsidRPr="00446D2E">
        <w:rPr>
          <w:rStyle w:val="FootnoteReference"/>
          <w:rFonts w:cs="Arial"/>
          <w:szCs w:val="22"/>
          <w:lang w:val="en-GB"/>
        </w:rPr>
        <w:footnoteReference w:id="59"/>
      </w:r>
      <w:r w:rsidR="00DE2DCB" w:rsidRPr="00446D2E">
        <w:rPr>
          <w:rFonts w:cs="Arial"/>
          <w:szCs w:val="22"/>
          <w:lang w:val="en-GB"/>
        </w:rPr>
        <w:t xml:space="preserve"> </w:t>
      </w:r>
      <w:r w:rsidR="00DE2DCB" w:rsidRPr="00DE2DCB">
        <w:rPr>
          <w:rFonts w:cs="Arial"/>
          <w:szCs w:val="22"/>
          <w:lang w:val="en-GB"/>
        </w:rPr>
        <w:t>are provided to learners with disabilities</w:t>
      </w:r>
      <w:r w:rsidR="00B01388">
        <w:rPr>
          <w:rFonts w:cs="Arial"/>
          <w:szCs w:val="22"/>
          <w:lang w:val="en-GB"/>
        </w:rPr>
        <w:t xml:space="preserve">. </w:t>
      </w:r>
      <w:r w:rsidR="00DE2DCB">
        <w:rPr>
          <w:rFonts w:cs="Arial"/>
          <w:szCs w:val="22"/>
          <w:lang w:val="en-GB"/>
        </w:rPr>
        <w:t xml:space="preserve">All reasonable </w:t>
      </w:r>
      <w:r w:rsidR="006B2ABB">
        <w:rPr>
          <w:rFonts w:cs="Arial"/>
          <w:szCs w:val="22"/>
          <w:lang w:val="en-GB"/>
        </w:rPr>
        <w:t>accommodation measures</w:t>
      </w:r>
      <w:r w:rsidR="00DE2DCB">
        <w:rPr>
          <w:rFonts w:cs="Arial"/>
          <w:szCs w:val="22"/>
          <w:lang w:val="en-GB"/>
        </w:rPr>
        <w:t xml:space="preserve"> </w:t>
      </w:r>
      <w:r w:rsidR="009737E2" w:rsidRPr="00446D2E">
        <w:rPr>
          <w:rFonts w:cs="Arial"/>
          <w:szCs w:val="22"/>
          <w:lang w:val="en-GB"/>
        </w:rPr>
        <w:t xml:space="preserve">provided to remove barriers encountered by a specific </w:t>
      </w:r>
      <w:r w:rsidR="009737E2">
        <w:rPr>
          <w:rFonts w:cs="Arial"/>
          <w:szCs w:val="22"/>
          <w:lang w:val="en-GB"/>
        </w:rPr>
        <w:t>student with disabilities</w:t>
      </w:r>
      <w:r w:rsidR="00DE2DCB">
        <w:rPr>
          <w:rFonts w:cs="Arial"/>
          <w:szCs w:val="22"/>
          <w:lang w:val="en-GB"/>
        </w:rPr>
        <w:t xml:space="preserve"> must be </w:t>
      </w:r>
      <w:r w:rsidR="009737E2">
        <w:rPr>
          <w:rFonts w:cs="Arial"/>
          <w:szCs w:val="22"/>
          <w:lang w:val="en-GB"/>
        </w:rPr>
        <w:t>free of cost</w:t>
      </w:r>
      <w:r w:rsidR="00583305">
        <w:rPr>
          <w:rFonts w:cs="Arial"/>
          <w:szCs w:val="22"/>
          <w:lang w:val="en-GB"/>
        </w:rPr>
        <w:t>.</w:t>
      </w:r>
      <w:r w:rsidR="009737E2" w:rsidRPr="00446D2E">
        <w:rPr>
          <w:rStyle w:val="FootnoteReference"/>
          <w:rFonts w:cs="Arial"/>
          <w:szCs w:val="22"/>
          <w:lang w:val="en-GB"/>
        </w:rPr>
        <w:footnoteReference w:id="60"/>
      </w:r>
      <w:r w:rsidR="00583305">
        <w:rPr>
          <w:rFonts w:cs="Arial"/>
          <w:szCs w:val="22"/>
          <w:lang w:val="en-GB"/>
        </w:rPr>
        <w:t xml:space="preserve"> The</w:t>
      </w:r>
      <w:r w:rsidR="007C041A">
        <w:rPr>
          <w:rFonts w:cs="Arial"/>
          <w:szCs w:val="22"/>
          <w:lang w:val="en-GB"/>
        </w:rPr>
        <w:t xml:space="preserve"> </w:t>
      </w:r>
      <w:r w:rsidR="007C041A" w:rsidRPr="007C041A">
        <w:rPr>
          <w:rFonts w:cs="Arial"/>
          <w:szCs w:val="22"/>
          <w:lang w:val="en-GB"/>
        </w:rPr>
        <w:t>denial of reasonable accommodation constitutes a form of discrimination</w:t>
      </w:r>
      <w:r w:rsidR="00455329">
        <w:rPr>
          <w:rFonts w:cs="Arial"/>
          <w:szCs w:val="22"/>
          <w:lang w:val="en-GB"/>
        </w:rPr>
        <w:t>.</w:t>
      </w:r>
      <w:r w:rsidR="00455329">
        <w:rPr>
          <w:rStyle w:val="FootnoteReference"/>
          <w:rFonts w:cs="Arial"/>
          <w:szCs w:val="22"/>
          <w:lang w:val="en-GB"/>
        </w:rPr>
        <w:footnoteReference w:id="61"/>
      </w:r>
      <w:r w:rsidR="00FE364D">
        <w:rPr>
          <w:rFonts w:cs="Arial"/>
          <w:szCs w:val="22"/>
          <w:lang w:val="en-GB"/>
        </w:rPr>
        <w:t xml:space="preserve"> </w:t>
      </w:r>
      <w:r w:rsidR="002327B8" w:rsidRPr="00446D2E">
        <w:rPr>
          <w:rFonts w:cs="Arial"/>
          <w:szCs w:val="22"/>
          <w:lang w:val="en-GB"/>
        </w:rPr>
        <w:t xml:space="preserve">The CRPD Committee stressed that </w:t>
      </w:r>
      <w:r w:rsidR="002327B8" w:rsidRPr="002D7A3D">
        <w:rPr>
          <w:rFonts w:cs="Arial"/>
          <w:i/>
          <w:szCs w:val="22"/>
          <w:lang w:val="en-GB"/>
        </w:rPr>
        <w:t>reasonableness</w:t>
      </w:r>
      <w:r w:rsidR="002D7A3D">
        <w:rPr>
          <w:rFonts w:cs="Arial"/>
          <w:szCs w:val="22"/>
          <w:lang w:val="en-GB"/>
        </w:rPr>
        <w:t xml:space="preserve"> of the measures </w:t>
      </w:r>
      <w:r w:rsidR="002327B8" w:rsidRPr="00446D2E">
        <w:rPr>
          <w:rFonts w:cs="Arial"/>
          <w:szCs w:val="22"/>
          <w:lang w:val="en-GB"/>
        </w:rPr>
        <w:t>is “the result of a contextual test that involves an analysis of the relevance and the effectiveness of the accommodation and the expected goal of countering discrimination”</w:t>
      </w:r>
      <w:r w:rsidR="00FE4B2B">
        <w:rPr>
          <w:rFonts w:cs="Arial"/>
          <w:szCs w:val="22"/>
          <w:lang w:val="en-GB"/>
        </w:rPr>
        <w:t>.</w:t>
      </w:r>
      <w:r w:rsidR="002327B8" w:rsidRPr="00446D2E">
        <w:rPr>
          <w:rStyle w:val="FootnoteReference"/>
          <w:rFonts w:cs="Arial"/>
          <w:szCs w:val="22"/>
          <w:lang w:val="en-GB"/>
        </w:rPr>
        <w:footnoteReference w:id="62"/>
      </w:r>
      <w:r w:rsidR="000B7B2C" w:rsidRPr="00446D2E">
        <w:rPr>
          <w:rFonts w:cs="Arial"/>
          <w:szCs w:val="22"/>
          <w:lang w:val="en-GB"/>
        </w:rPr>
        <w:t xml:space="preserve"> </w:t>
      </w:r>
      <w:r w:rsidR="0073562B">
        <w:rPr>
          <w:rFonts w:cs="Arial"/>
          <w:szCs w:val="22"/>
          <w:lang w:val="en-GB"/>
        </w:rPr>
        <w:t>Availability of resourc</w:t>
      </w:r>
      <w:r w:rsidR="000B7B2C" w:rsidRPr="00446D2E">
        <w:rPr>
          <w:rFonts w:cs="Arial"/>
          <w:szCs w:val="22"/>
          <w:lang w:val="en-GB"/>
        </w:rPr>
        <w:t>es and financial implication of the measures</w:t>
      </w:r>
      <w:r w:rsidR="0073562B">
        <w:rPr>
          <w:rFonts w:cs="Arial"/>
          <w:szCs w:val="22"/>
          <w:lang w:val="en-GB"/>
        </w:rPr>
        <w:t xml:space="preserve"> are taken into consideration.</w:t>
      </w:r>
      <w:r w:rsidR="000B7B2C" w:rsidRPr="00446D2E">
        <w:rPr>
          <w:rStyle w:val="FootnoteReference"/>
          <w:rFonts w:cs="Arial"/>
          <w:szCs w:val="22"/>
          <w:lang w:val="en-GB"/>
        </w:rPr>
        <w:footnoteReference w:id="63"/>
      </w:r>
      <w:r w:rsidR="0073562B">
        <w:rPr>
          <w:rFonts w:cs="Arial"/>
          <w:szCs w:val="22"/>
          <w:lang w:val="en-GB"/>
        </w:rPr>
        <w:t xml:space="preserve"> </w:t>
      </w:r>
      <w:r w:rsidR="00B62984">
        <w:rPr>
          <w:rFonts w:cs="Arial"/>
          <w:szCs w:val="22"/>
        </w:rPr>
        <w:t>Reasonable accommodation measures</w:t>
      </w:r>
      <w:r w:rsidR="00FE364D">
        <w:rPr>
          <w:rFonts w:cs="Arial"/>
          <w:szCs w:val="22"/>
        </w:rPr>
        <w:t xml:space="preserve"> are enforceable from the moment a request has been made.</w:t>
      </w:r>
      <w:r w:rsidR="00FE364D">
        <w:rPr>
          <w:rStyle w:val="FootnoteReference"/>
          <w:rFonts w:cs="Arial"/>
          <w:szCs w:val="22"/>
        </w:rPr>
        <w:footnoteReference w:id="64"/>
      </w:r>
    </w:p>
    <w:p w14:paraId="102E1904" w14:textId="4535E8EA" w:rsidR="00263438" w:rsidRDefault="00107890" w:rsidP="00263438">
      <w:pPr>
        <w:spacing w:after="240"/>
        <w:jc w:val="both"/>
        <w:rPr>
          <w:rFonts w:cs="Arial"/>
          <w:szCs w:val="22"/>
          <w:lang w:val="en-GB"/>
        </w:rPr>
      </w:pPr>
      <w:r>
        <w:rPr>
          <w:rFonts w:cs="Arial"/>
          <w:szCs w:val="22"/>
          <w:lang w:val="en-GB"/>
        </w:rPr>
        <w:t xml:space="preserve">Supported teachers, properly trained for inclusive education, </w:t>
      </w:r>
      <w:r w:rsidR="009B7814">
        <w:rPr>
          <w:rFonts w:cs="Arial"/>
          <w:szCs w:val="22"/>
          <w:lang w:val="en-GB"/>
        </w:rPr>
        <w:t>are</w:t>
      </w:r>
      <w:r w:rsidR="00B62984">
        <w:rPr>
          <w:rFonts w:cs="Arial"/>
          <w:szCs w:val="22"/>
          <w:lang w:val="en-GB"/>
        </w:rPr>
        <w:t xml:space="preserve"> also</w:t>
      </w:r>
      <w:r w:rsidR="009B7814">
        <w:rPr>
          <w:rFonts w:cs="Arial"/>
          <w:szCs w:val="22"/>
          <w:lang w:val="en-GB"/>
        </w:rPr>
        <w:t xml:space="preserve"> part of the core features of inclusive education.</w:t>
      </w:r>
      <w:r w:rsidR="009B7814">
        <w:rPr>
          <w:rStyle w:val="FootnoteReference"/>
          <w:rFonts w:cs="Arial"/>
          <w:szCs w:val="22"/>
          <w:lang w:val="en-GB"/>
        </w:rPr>
        <w:footnoteReference w:id="65"/>
      </w:r>
      <w:r w:rsidR="009B7814">
        <w:rPr>
          <w:rFonts w:cs="Arial"/>
          <w:szCs w:val="22"/>
          <w:lang w:val="en-GB"/>
        </w:rPr>
        <w:t xml:space="preserve"> Teacher</w:t>
      </w:r>
      <w:r w:rsidR="00E625EE">
        <w:rPr>
          <w:rFonts w:cs="Arial"/>
          <w:szCs w:val="22"/>
          <w:lang w:val="en-GB"/>
        </w:rPr>
        <w:t>s and other staff working in education settings must receive adequate training to ensure quality education of students with disab</w:t>
      </w:r>
      <w:r w:rsidR="00F25CBB">
        <w:rPr>
          <w:rFonts w:cs="Arial"/>
          <w:szCs w:val="22"/>
          <w:lang w:val="en-GB"/>
        </w:rPr>
        <w:t>ilities.</w:t>
      </w:r>
      <w:r w:rsidR="002D7CB6" w:rsidRPr="00446D2E">
        <w:rPr>
          <w:rStyle w:val="FootnoteReference"/>
          <w:rFonts w:cs="Arial"/>
          <w:szCs w:val="22"/>
          <w:lang w:val="en-GB"/>
        </w:rPr>
        <w:footnoteReference w:id="66"/>
      </w:r>
      <w:r>
        <w:rPr>
          <w:rFonts w:cs="Arial"/>
          <w:szCs w:val="22"/>
          <w:lang w:val="en-GB"/>
        </w:rPr>
        <w:t xml:space="preserve"> </w:t>
      </w:r>
      <w:r w:rsidR="008A4B41">
        <w:rPr>
          <w:rFonts w:cs="Arial"/>
          <w:szCs w:val="22"/>
          <w:lang w:val="en-GB"/>
        </w:rPr>
        <w:t>Furthermore</w:t>
      </w:r>
      <w:r>
        <w:rPr>
          <w:rFonts w:cs="Arial"/>
          <w:szCs w:val="22"/>
          <w:lang w:val="en-GB"/>
        </w:rPr>
        <w:t xml:space="preserve">, a key obligation to ensure inclusive education </w:t>
      </w:r>
      <w:r w:rsidR="008A4B41">
        <w:rPr>
          <w:rFonts w:cs="Arial"/>
          <w:szCs w:val="22"/>
          <w:lang w:val="en-GB"/>
        </w:rPr>
        <w:t>i</w:t>
      </w:r>
      <w:r>
        <w:rPr>
          <w:rFonts w:cs="Arial"/>
          <w:szCs w:val="22"/>
          <w:lang w:val="en-GB"/>
        </w:rPr>
        <w:t xml:space="preserve">s the provision of </w:t>
      </w:r>
      <w:r w:rsidRPr="00107890">
        <w:rPr>
          <w:rFonts w:cs="Arial"/>
          <w:szCs w:val="22"/>
          <w:lang w:val="en-GB"/>
        </w:rPr>
        <w:t>ade</w:t>
      </w:r>
      <w:r w:rsidR="00E87900">
        <w:rPr>
          <w:rFonts w:cs="Arial"/>
          <w:szCs w:val="22"/>
          <w:lang w:val="en-GB"/>
        </w:rPr>
        <w:t>quate, continuous and personalis</w:t>
      </w:r>
      <w:r w:rsidRPr="00107890">
        <w:rPr>
          <w:rFonts w:cs="Arial"/>
          <w:szCs w:val="22"/>
          <w:lang w:val="en-GB"/>
        </w:rPr>
        <w:t>ed support</w:t>
      </w:r>
      <w:r>
        <w:rPr>
          <w:rFonts w:cs="Arial"/>
          <w:szCs w:val="22"/>
          <w:lang w:val="en-GB"/>
        </w:rPr>
        <w:t>.</w:t>
      </w:r>
      <w:r>
        <w:rPr>
          <w:rStyle w:val="FootnoteReference"/>
          <w:rFonts w:cs="Arial"/>
          <w:szCs w:val="22"/>
          <w:lang w:val="en-GB"/>
        </w:rPr>
        <w:footnoteReference w:id="67"/>
      </w:r>
      <w:r>
        <w:rPr>
          <w:rFonts w:cs="Arial"/>
          <w:szCs w:val="22"/>
          <w:lang w:val="en-GB"/>
        </w:rPr>
        <w:t xml:space="preserve"> </w:t>
      </w:r>
    </w:p>
    <w:p w14:paraId="594866D1" w14:textId="0B4BF65E" w:rsidR="008B1E62" w:rsidRDefault="006B19A8" w:rsidP="008B1E62">
      <w:pPr>
        <w:pStyle w:val="Heading3"/>
        <w:spacing w:after="240"/>
        <w:rPr>
          <w:lang w:val="en-GB"/>
        </w:rPr>
      </w:pPr>
      <w:bookmarkStart w:id="27" w:name="_Toc13737492"/>
      <w:r>
        <w:rPr>
          <w:lang w:val="en-GB"/>
        </w:rPr>
        <w:t>Application of international standards by the</w:t>
      </w:r>
      <w:r w:rsidR="006E2E67">
        <w:rPr>
          <w:lang w:val="en-GB"/>
        </w:rPr>
        <w:t xml:space="preserve"> European Court of Human Rights</w:t>
      </w:r>
      <w:bookmarkEnd w:id="27"/>
    </w:p>
    <w:p w14:paraId="7F195220" w14:textId="20D2CCB0" w:rsidR="00650F6B" w:rsidRPr="00650F6B" w:rsidRDefault="00175CC5" w:rsidP="00263438">
      <w:pPr>
        <w:spacing w:after="240"/>
        <w:jc w:val="both"/>
        <w:rPr>
          <w:rFonts w:cs="Arial"/>
          <w:szCs w:val="22"/>
        </w:rPr>
      </w:pPr>
      <w:r>
        <w:rPr>
          <w:rFonts w:cs="Arial"/>
          <w:szCs w:val="22"/>
        </w:rPr>
        <w:t>The obligation to provide</w:t>
      </w:r>
      <w:r w:rsidR="00650F6B">
        <w:rPr>
          <w:rFonts w:cs="Arial"/>
          <w:szCs w:val="22"/>
        </w:rPr>
        <w:t xml:space="preserve"> reasonable accommodation </w:t>
      </w:r>
      <w:r>
        <w:rPr>
          <w:rFonts w:cs="Arial"/>
          <w:szCs w:val="22"/>
        </w:rPr>
        <w:t xml:space="preserve">and support services to learners with disabilities, as </w:t>
      </w:r>
      <w:r w:rsidR="00650F6B">
        <w:rPr>
          <w:rFonts w:cs="Arial"/>
          <w:szCs w:val="22"/>
        </w:rPr>
        <w:t>enshrined in the CRPD</w:t>
      </w:r>
      <w:r>
        <w:rPr>
          <w:rFonts w:cs="Arial"/>
          <w:szCs w:val="22"/>
        </w:rPr>
        <w:t>,</w:t>
      </w:r>
      <w:r w:rsidR="00650F6B">
        <w:rPr>
          <w:rFonts w:cs="Arial"/>
          <w:szCs w:val="22"/>
        </w:rPr>
        <w:t xml:space="preserve"> </w:t>
      </w:r>
      <w:r w:rsidR="00650F6B" w:rsidRPr="00B62984">
        <w:rPr>
          <w:rFonts w:cs="Arial"/>
          <w:szCs w:val="22"/>
        </w:rPr>
        <w:t xml:space="preserve">is in line with the Court’s approach that failing to treat differently persons who are in significantly different situations contradicts the right to equality and non-discrimination (see </w:t>
      </w:r>
      <w:proofErr w:type="spellStart"/>
      <w:r w:rsidR="00650F6B" w:rsidRPr="00B62984">
        <w:rPr>
          <w:rFonts w:cs="Arial"/>
          <w:b/>
          <w:i/>
          <w:iCs/>
          <w:szCs w:val="22"/>
        </w:rPr>
        <w:t>Thlimmenos</w:t>
      </w:r>
      <w:proofErr w:type="spellEnd"/>
      <w:r w:rsidR="00650F6B" w:rsidRPr="00B62984">
        <w:rPr>
          <w:rFonts w:cs="Arial"/>
          <w:b/>
          <w:i/>
          <w:iCs/>
          <w:szCs w:val="22"/>
        </w:rPr>
        <w:t xml:space="preserve"> v Greece</w:t>
      </w:r>
      <w:r w:rsidR="00650F6B" w:rsidRPr="00B62984">
        <w:rPr>
          <w:rFonts w:cs="Arial"/>
          <w:i/>
          <w:iCs/>
          <w:szCs w:val="22"/>
        </w:rPr>
        <w:t xml:space="preserve"> </w:t>
      </w:r>
      <w:r w:rsidR="00650F6B" w:rsidRPr="00B62984">
        <w:rPr>
          <w:rFonts w:cs="Arial"/>
          <w:iCs/>
          <w:szCs w:val="22"/>
        </w:rPr>
        <w:t>case</w:t>
      </w:r>
      <w:r w:rsidR="00650F6B" w:rsidRPr="00B62984">
        <w:rPr>
          <w:rFonts w:cs="Arial"/>
          <w:szCs w:val="22"/>
        </w:rPr>
        <w:t>).</w:t>
      </w:r>
      <w:r w:rsidR="00650F6B" w:rsidRPr="00B62984">
        <w:rPr>
          <w:rFonts w:cs="Arial"/>
          <w:szCs w:val="22"/>
          <w:vertAlign w:val="superscript"/>
        </w:rPr>
        <w:footnoteReference w:id="68"/>
      </w:r>
      <w:r w:rsidR="00650F6B">
        <w:rPr>
          <w:rFonts w:cs="Arial"/>
          <w:szCs w:val="22"/>
        </w:rPr>
        <w:t xml:space="preserve"> </w:t>
      </w:r>
      <w:r w:rsidR="00650F6B" w:rsidRPr="00B62984">
        <w:rPr>
          <w:rFonts w:cs="Arial"/>
          <w:szCs w:val="22"/>
        </w:rPr>
        <w:t xml:space="preserve">This approach has also been adopted by the </w:t>
      </w:r>
      <w:r w:rsidR="00650F6B" w:rsidRPr="0022645A">
        <w:rPr>
          <w:rFonts w:cs="Arial"/>
          <w:szCs w:val="22"/>
        </w:rPr>
        <w:t>European Committee of Social Rights</w:t>
      </w:r>
      <w:r w:rsidR="00650F6B" w:rsidRPr="00B62984">
        <w:rPr>
          <w:rFonts w:cs="Arial"/>
          <w:szCs w:val="22"/>
        </w:rPr>
        <w:t xml:space="preserve"> which affirmed that “discrimination may arise by failing to take adequate steps to ensure that the rights and collective advantages that are open to all are genuinely accessible by and to all.”</w:t>
      </w:r>
      <w:r w:rsidR="00650F6B" w:rsidRPr="00B62984">
        <w:rPr>
          <w:rFonts w:cs="Arial"/>
          <w:szCs w:val="22"/>
          <w:vertAlign w:val="superscript"/>
        </w:rPr>
        <w:footnoteReference w:id="69"/>
      </w:r>
      <w:r w:rsidR="00650F6B" w:rsidRPr="00B62984">
        <w:rPr>
          <w:rFonts w:cs="Arial"/>
          <w:szCs w:val="22"/>
        </w:rPr>
        <w:t xml:space="preserve"> </w:t>
      </w:r>
    </w:p>
    <w:p w14:paraId="50D1A24B" w14:textId="348424B2" w:rsidR="000954CE" w:rsidRDefault="00650F6B" w:rsidP="00263438">
      <w:pPr>
        <w:spacing w:after="240"/>
        <w:jc w:val="both"/>
        <w:rPr>
          <w:rFonts w:cs="Arial"/>
          <w:szCs w:val="22"/>
        </w:rPr>
      </w:pPr>
      <w:r>
        <w:rPr>
          <w:rFonts w:cs="Arial"/>
          <w:szCs w:val="22"/>
          <w:lang w:val="en-GB"/>
        </w:rPr>
        <w:t>In its jurisprudence, the</w:t>
      </w:r>
      <w:r w:rsidR="00263438">
        <w:rPr>
          <w:rFonts w:cs="Arial"/>
          <w:szCs w:val="22"/>
          <w:lang w:val="en-GB"/>
        </w:rPr>
        <w:t xml:space="preserve"> Court assessed that</w:t>
      </w:r>
      <w:r>
        <w:rPr>
          <w:rFonts w:cs="Arial"/>
          <w:szCs w:val="22"/>
          <w:lang w:val="en-GB"/>
        </w:rPr>
        <w:t xml:space="preserve"> while</w:t>
      </w:r>
      <w:r w:rsidR="00263438">
        <w:rPr>
          <w:rFonts w:cs="Arial"/>
          <w:szCs w:val="22"/>
          <w:lang w:val="en-GB"/>
        </w:rPr>
        <w:t xml:space="preserve"> “</w:t>
      </w:r>
      <w:r w:rsidR="00263438" w:rsidRPr="00263438">
        <w:rPr>
          <w:rFonts w:cs="Arial"/>
          <w:szCs w:val="22"/>
        </w:rPr>
        <w:t>it is not its task to define the resources to be implemented in order to meet the educational needs of children with disabilities</w:t>
      </w:r>
      <w:r w:rsidR="00263438">
        <w:rPr>
          <w:rFonts w:cs="Arial"/>
          <w:szCs w:val="22"/>
        </w:rPr>
        <w:t xml:space="preserve">, […] </w:t>
      </w:r>
      <w:r w:rsidR="00263438" w:rsidRPr="00263438">
        <w:rPr>
          <w:rFonts w:cs="Arial"/>
          <w:szCs w:val="22"/>
        </w:rPr>
        <w:t>it is important for the States to be particularly careful in making their choices in this sphere, having regard to the impact of the latter on children with disabilities, whose particular vulnerability cannot be overlooked</w:t>
      </w:r>
      <w:r w:rsidR="00811E40">
        <w:rPr>
          <w:rFonts w:cs="Arial"/>
          <w:szCs w:val="22"/>
        </w:rPr>
        <w:t xml:space="preserve"> (</w:t>
      </w:r>
      <w:proofErr w:type="spellStart"/>
      <w:r w:rsidR="00811E40" w:rsidRPr="00263438">
        <w:rPr>
          <w:rFonts w:cs="Arial"/>
          <w:b/>
          <w:bCs/>
          <w:i/>
          <w:szCs w:val="22"/>
        </w:rPr>
        <w:t>Çam</w:t>
      </w:r>
      <w:proofErr w:type="spellEnd"/>
      <w:r w:rsidR="00811E40" w:rsidRPr="00263438">
        <w:rPr>
          <w:rFonts w:cs="Arial"/>
          <w:b/>
          <w:i/>
          <w:szCs w:val="22"/>
          <w:lang w:val="en-GB"/>
        </w:rPr>
        <w:t xml:space="preserve"> v Turkey</w:t>
      </w:r>
      <w:r w:rsidR="00811E40">
        <w:rPr>
          <w:rFonts w:cs="Arial"/>
          <w:szCs w:val="22"/>
        </w:rPr>
        <w:t>).</w:t>
      </w:r>
      <w:r w:rsidR="00263438">
        <w:rPr>
          <w:rFonts w:cs="Arial"/>
          <w:szCs w:val="22"/>
        </w:rPr>
        <w:t>”</w:t>
      </w:r>
      <w:r w:rsidR="0068626E">
        <w:rPr>
          <w:rStyle w:val="FootnoteReference"/>
          <w:rFonts w:cs="Arial"/>
          <w:szCs w:val="22"/>
        </w:rPr>
        <w:footnoteReference w:id="70"/>
      </w:r>
      <w:r w:rsidR="00263438">
        <w:rPr>
          <w:rFonts w:cs="Arial"/>
          <w:szCs w:val="22"/>
        </w:rPr>
        <w:t xml:space="preserve"> </w:t>
      </w:r>
      <w:r w:rsidR="00970433">
        <w:rPr>
          <w:rFonts w:cs="Arial"/>
          <w:szCs w:val="22"/>
        </w:rPr>
        <w:t xml:space="preserve">In </w:t>
      </w:r>
      <w:r w:rsidR="007A4D40">
        <w:rPr>
          <w:rFonts w:cs="Arial"/>
          <w:szCs w:val="22"/>
        </w:rPr>
        <w:t xml:space="preserve">the case </w:t>
      </w:r>
      <w:proofErr w:type="spellStart"/>
      <w:r w:rsidR="00970433" w:rsidRPr="00970433">
        <w:rPr>
          <w:rFonts w:cs="Arial"/>
          <w:b/>
          <w:i/>
          <w:szCs w:val="22"/>
        </w:rPr>
        <w:t>Enver</w:t>
      </w:r>
      <w:proofErr w:type="spellEnd"/>
      <w:r w:rsidR="00970433" w:rsidRPr="00970433">
        <w:rPr>
          <w:rFonts w:cs="Arial"/>
          <w:b/>
          <w:i/>
          <w:szCs w:val="22"/>
        </w:rPr>
        <w:t xml:space="preserve"> </w:t>
      </w:r>
      <w:proofErr w:type="spellStart"/>
      <w:r w:rsidR="00970433" w:rsidRPr="00970433">
        <w:rPr>
          <w:rFonts w:cs="Arial"/>
          <w:b/>
          <w:i/>
          <w:szCs w:val="22"/>
        </w:rPr>
        <w:t>Şahin</w:t>
      </w:r>
      <w:proofErr w:type="spellEnd"/>
      <w:r w:rsidR="00970433" w:rsidRPr="00970433">
        <w:rPr>
          <w:rFonts w:cs="Arial"/>
          <w:b/>
          <w:i/>
          <w:szCs w:val="22"/>
        </w:rPr>
        <w:t xml:space="preserve"> v. Turkey</w:t>
      </w:r>
      <w:r w:rsidR="00492F31">
        <w:rPr>
          <w:rFonts w:cs="Arial"/>
          <w:szCs w:val="22"/>
        </w:rPr>
        <w:t xml:space="preserve">, the Court </w:t>
      </w:r>
      <w:proofErr w:type="spellStart"/>
      <w:r w:rsidR="00811E40">
        <w:rPr>
          <w:rFonts w:cs="Arial"/>
          <w:szCs w:val="22"/>
        </w:rPr>
        <w:t>emphasised</w:t>
      </w:r>
      <w:proofErr w:type="spellEnd"/>
      <w:r w:rsidR="00970433">
        <w:rPr>
          <w:rFonts w:cs="Arial"/>
          <w:szCs w:val="22"/>
        </w:rPr>
        <w:t xml:space="preserve"> that when States define reasonable accommodations, they should “</w:t>
      </w:r>
      <w:r w:rsidR="00970433" w:rsidRPr="00970433">
        <w:rPr>
          <w:rFonts w:cs="Arial"/>
          <w:szCs w:val="22"/>
        </w:rPr>
        <w:t>take great care with the choices they make in this sphere, in view of the impact of those choices on persons with disabilities, whose particular vulnerability cannot be ignored</w:t>
      </w:r>
      <w:r w:rsidR="00970433">
        <w:rPr>
          <w:rFonts w:cs="Arial"/>
          <w:szCs w:val="22"/>
        </w:rPr>
        <w:t>.”</w:t>
      </w:r>
      <w:r w:rsidR="00970433">
        <w:rPr>
          <w:rStyle w:val="FootnoteReference"/>
          <w:rFonts w:cs="Arial"/>
          <w:szCs w:val="22"/>
        </w:rPr>
        <w:footnoteReference w:id="71"/>
      </w:r>
      <w:r w:rsidR="00970433">
        <w:rPr>
          <w:rFonts w:cs="Arial"/>
          <w:szCs w:val="22"/>
        </w:rPr>
        <w:t xml:space="preserve"> The Court </w:t>
      </w:r>
      <w:r w:rsidR="00FD5767">
        <w:rPr>
          <w:rFonts w:cs="Arial"/>
          <w:szCs w:val="22"/>
        </w:rPr>
        <w:t>had also</w:t>
      </w:r>
      <w:r w:rsidR="00EE0024">
        <w:rPr>
          <w:rFonts w:cs="Arial"/>
          <w:szCs w:val="22"/>
        </w:rPr>
        <w:t xml:space="preserve"> </w:t>
      </w:r>
      <w:proofErr w:type="spellStart"/>
      <w:r w:rsidR="00EE0024">
        <w:rPr>
          <w:rFonts w:cs="Arial"/>
          <w:szCs w:val="22"/>
        </w:rPr>
        <w:t>recognised</w:t>
      </w:r>
      <w:proofErr w:type="spellEnd"/>
      <w:r w:rsidR="00EE0024">
        <w:rPr>
          <w:rFonts w:cs="Arial"/>
          <w:szCs w:val="22"/>
        </w:rPr>
        <w:t xml:space="preserve"> </w:t>
      </w:r>
      <w:r w:rsidR="00263438">
        <w:rPr>
          <w:rFonts w:cs="Arial"/>
          <w:szCs w:val="22"/>
        </w:rPr>
        <w:t>that “</w:t>
      </w:r>
      <w:r w:rsidR="00263438" w:rsidRPr="00263438">
        <w:rPr>
          <w:rFonts w:cs="Arial"/>
          <w:szCs w:val="22"/>
        </w:rPr>
        <w:t>discrimination on grounds of disability also covers refusal to make reasonable accommodation</w:t>
      </w:r>
      <w:r w:rsidR="00263438">
        <w:rPr>
          <w:rFonts w:cs="Arial"/>
          <w:szCs w:val="22"/>
        </w:rPr>
        <w:t>.”</w:t>
      </w:r>
      <w:r w:rsidR="00263438">
        <w:rPr>
          <w:rStyle w:val="FootnoteReference"/>
          <w:rFonts w:cs="Arial"/>
          <w:szCs w:val="22"/>
        </w:rPr>
        <w:footnoteReference w:id="72"/>
      </w:r>
    </w:p>
    <w:p w14:paraId="205F7C73" w14:textId="122F000D" w:rsidR="00346BD4" w:rsidRPr="00DD5FC5" w:rsidRDefault="00346BD4" w:rsidP="00346BD4">
      <w:pPr>
        <w:pStyle w:val="Heading1"/>
      </w:pPr>
      <w:bookmarkStart w:id="28" w:name="_Toc13485010"/>
      <w:bookmarkStart w:id="29" w:name="_Toc13671834"/>
      <w:bookmarkStart w:id="30" w:name="_Toc13737493"/>
      <w:r w:rsidRPr="0086116B">
        <w:t>C</w:t>
      </w:r>
      <w:bookmarkEnd w:id="28"/>
      <w:r w:rsidR="007E034F">
        <w:t>onclusion</w:t>
      </w:r>
      <w:bookmarkEnd w:id="29"/>
      <w:bookmarkEnd w:id="30"/>
    </w:p>
    <w:p w14:paraId="600835D0" w14:textId="0E9505CF" w:rsidR="00273BDF" w:rsidRDefault="00256013" w:rsidP="00EF52C0">
      <w:pPr>
        <w:pStyle w:val="MediumGrid21"/>
        <w:spacing w:after="240"/>
        <w:jc w:val="both"/>
        <w:rPr>
          <w:sz w:val="22"/>
          <w:lang w:val="en-GB"/>
        </w:rPr>
      </w:pPr>
      <w:r>
        <w:rPr>
          <w:sz w:val="22"/>
          <w:lang w:val="en-GB"/>
        </w:rPr>
        <w:t xml:space="preserve">This written submission </w:t>
      </w:r>
      <w:r w:rsidR="006408E4">
        <w:rPr>
          <w:sz w:val="22"/>
          <w:lang w:val="en-GB"/>
        </w:rPr>
        <w:t xml:space="preserve">aims at </w:t>
      </w:r>
      <w:r>
        <w:rPr>
          <w:sz w:val="22"/>
          <w:lang w:val="en-GB"/>
        </w:rPr>
        <w:t>highlight</w:t>
      </w:r>
      <w:r w:rsidR="006408E4">
        <w:rPr>
          <w:sz w:val="22"/>
          <w:lang w:val="en-GB"/>
        </w:rPr>
        <w:t>ing how</w:t>
      </w:r>
      <w:r>
        <w:rPr>
          <w:sz w:val="22"/>
          <w:lang w:val="en-GB"/>
        </w:rPr>
        <w:t>, in line with the most recent international human rights standards and the Court’s jurisprudence, States</w:t>
      </w:r>
      <w:r w:rsidR="006408E4">
        <w:rPr>
          <w:sz w:val="22"/>
          <w:lang w:val="en-GB"/>
        </w:rPr>
        <w:t xml:space="preserve"> Parties</w:t>
      </w:r>
      <w:r>
        <w:rPr>
          <w:sz w:val="22"/>
          <w:lang w:val="en-GB"/>
        </w:rPr>
        <w:t xml:space="preserve"> have a duty to prevent, prohibit and condemn bullying of pupils with disabilities as a form of degrading treatment and discrimination on the ground of disability. </w:t>
      </w:r>
      <w:r w:rsidR="00305186">
        <w:rPr>
          <w:sz w:val="22"/>
          <w:lang w:val="en-GB"/>
        </w:rPr>
        <w:t>This obligatio</w:t>
      </w:r>
      <w:r w:rsidR="004D610B">
        <w:rPr>
          <w:sz w:val="22"/>
          <w:lang w:val="en-GB"/>
        </w:rPr>
        <w:t>n is also linked to the right to inclusive education that</w:t>
      </w:r>
      <w:r w:rsidR="00C226FB">
        <w:rPr>
          <w:sz w:val="22"/>
          <w:lang w:val="en-GB"/>
        </w:rPr>
        <w:t>,</w:t>
      </w:r>
      <w:r w:rsidR="004D610B">
        <w:rPr>
          <w:sz w:val="22"/>
          <w:lang w:val="en-GB"/>
        </w:rPr>
        <w:t xml:space="preserve"> </w:t>
      </w:r>
      <w:r w:rsidR="00C226FB">
        <w:rPr>
          <w:sz w:val="22"/>
          <w:lang w:val="en-GB"/>
        </w:rPr>
        <w:t xml:space="preserve">in addition, </w:t>
      </w:r>
      <w:r w:rsidR="00305186">
        <w:rPr>
          <w:sz w:val="22"/>
          <w:lang w:val="en-GB"/>
        </w:rPr>
        <w:t>requires States to adopt necessary measures to ensure that accessibility, reasonable accommodation and support services are fully provided to</w:t>
      </w:r>
      <w:r w:rsidR="00C226FB">
        <w:rPr>
          <w:sz w:val="22"/>
          <w:lang w:val="en-GB"/>
        </w:rPr>
        <w:t xml:space="preserve"> all</w:t>
      </w:r>
      <w:r w:rsidR="00305186">
        <w:rPr>
          <w:sz w:val="22"/>
          <w:lang w:val="en-GB"/>
        </w:rPr>
        <w:t xml:space="preserve"> learners with disabilities. </w:t>
      </w:r>
    </w:p>
    <w:p w14:paraId="767450C8" w14:textId="2CD1C298" w:rsidR="00A126B8" w:rsidRPr="00EF52C0" w:rsidRDefault="00346BD4" w:rsidP="00EF52C0">
      <w:pPr>
        <w:pStyle w:val="MediumGrid21"/>
        <w:spacing w:after="240"/>
        <w:jc w:val="both"/>
        <w:rPr>
          <w:sz w:val="22"/>
          <w:lang w:val="en-GB"/>
        </w:rPr>
      </w:pPr>
      <w:r w:rsidRPr="0075436F">
        <w:rPr>
          <w:sz w:val="22"/>
          <w:lang w:val="en-GB"/>
        </w:rPr>
        <w:t>C</w:t>
      </w:r>
      <w:r w:rsidR="00305186">
        <w:rPr>
          <w:sz w:val="22"/>
          <w:lang w:val="en-GB"/>
        </w:rPr>
        <w:t xml:space="preserve">onsequently, </w:t>
      </w:r>
      <w:r w:rsidR="006408E4">
        <w:rPr>
          <w:sz w:val="22"/>
          <w:lang w:val="en-GB"/>
        </w:rPr>
        <w:t>in line</w:t>
      </w:r>
      <w:r w:rsidR="006408E4" w:rsidRPr="0075436F">
        <w:rPr>
          <w:sz w:val="22"/>
          <w:lang w:val="en-GB"/>
        </w:rPr>
        <w:t xml:space="preserve"> </w:t>
      </w:r>
      <w:r w:rsidRPr="0075436F">
        <w:rPr>
          <w:sz w:val="22"/>
          <w:lang w:val="en-GB"/>
        </w:rPr>
        <w:t>with established jurisprudence on the rights of persons with disabilities and the growing trend across Europe to adopt positive measures to ensure</w:t>
      </w:r>
      <w:r w:rsidR="00FF6078">
        <w:rPr>
          <w:sz w:val="22"/>
          <w:lang w:val="en-GB"/>
        </w:rPr>
        <w:t xml:space="preserve"> the</w:t>
      </w:r>
      <w:r w:rsidRPr="0075436F">
        <w:rPr>
          <w:sz w:val="22"/>
          <w:lang w:val="en-GB"/>
        </w:rPr>
        <w:t xml:space="preserve"> equal </w:t>
      </w:r>
      <w:r w:rsidR="00FF6078">
        <w:rPr>
          <w:sz w:val="22"/>
          <w:lang w:val="en-GB"/>
        </w:rPr>
        <w:t>access to</w:t>
      </w:r>
      <w:r w:rsidR="00ED2D08">
        <w:rPr>
          <w:sz w:val="22"/>
          <w:lang w:val="en-GB"/>
        </w:rPr>
        <w:t xml:space="preserve"> inclusive</w:t>
      </w:r>
      <w:r w:rsidRPr="0075436F">
        <w:rPr>
          <w:sz w:val="22"/>
          <w:lang w:val="en-GB"/>
        </w:rPr>
        <w:t xml:space="preserve"> education</w:t>
      </w:r>
      <w:r w:rsidR="00FF6078">
        <w:rPr>
          <w:sz w:val="22"/>
          <w:lang w:val="en-GB"/>
        </w:rPr>
        <w:t xml:space="preserve"> of learners with disabilities</w:t>
      </w:r>
      <w:r w:rsidRPr="0075436F">
        <w:rPr>
          <w:sz w:val="22"/>
          <w:lang w:val="en-GB"/>
        </w:rPr>
        <w:t>,</w:t>
      </w:r>
      <w:r w:rsidR="00701257" w:rsidRPr="0075436F">
        <w:rPr>
          <w:sz w:val="22"/>
          <w:lang w:val="en-GB"/>
        </w:rPr>
        <w:t xml:space="preserve"> </w:t>
      </w:r>
      <w:r w:rsidR="00701257" w:rsidRPr="00BE181A">
        <w:rPr>
          <w:rFonts w:cs="Arial"/>
          <w:sz w:val="22"/>
          <w:lang w:val="en-GB"/>
        </w:rPr>
        <w:t>the European Disability Forum and the National Council of Persons with Disability of Romania</w:t>
      </w:r>
      <w:r w:rsidRPr="00BE181A">
        <w:rPr>
          <w:sz w:val="22"/>
          <w:lang w:val="en-GB"/>
        </w:rPr>
        <w:t xml:space="preserve"> </w:t>
      </w:r>
      <w:r w:rsidR="00701257" w:rsidRPr="00BE181A">
        <w:rPr>
          <w:sz w:val="22"/>
          <w:lang w:val="en-GB"/>
        </w:rPr>
        <w:t xml:space="preserve">encourage the Court </w:t>
      </w:r>
      <w:r w:rsidRPr="00BE181A">
        <w:rPr>
          <w:sz w:val="22"/>
          <w:lang w:val="en-GB"/>
        </w:rPr>
        <w:t>to enhance the protec</w:t>
      </w:r>
      <w:r w:rsidR="009954CE" w:rsidRPr="00BE181A">
        <w:rPr>
          <w:sz w:val="22"/>
          <w:lang w:val="en-GB"/>
        </w:rPr>
        <w:t>tion of the right to</w:t>
      </w:r>
      <w:r w:rsidR="00ED2D08" w:rsidRPr="00BE181A">
        <w:rPr>
          <w:sz w:val="22"/>
          <w:lang w:val="en-GB"/>
        </w:rPr>
        <w:t xml:space="preserve"> inclusive</w:t>
      </w:r>
      <w:r w:rsidR="009954CE" w:rsidRPr="00BE181A">
        <w:rPr>
          <w:sz w:val="22"/>
          <w:lang w:val="en-GB"/>
        </w:rPr>
        <w:t xml:space="preserve"> education</w:t>
      </w:r>
      <w:r w:rsidRPr="00BE181A">
        <w:rPr>
          <w:sz w:val="22"/>
          <w:lang w:val="en-GB"/>
        </w:rPr>
        <w:t>, together wit</w:t>
      </w:r>
      <w:r w:rsidR="000D5676" w:rsidRPr="00BE181A">
        <w:rPr>
          <w:sz w:val="22"/>
          <w:lang w:val="en-GB"/>
        </w:rPr>
        <w:t>h the right to equality and non-</w:t>
      </w:r>
      <w:r w:rsidRPr="00BE181A">
        <w:rPr>
          <w:sz w:val="22"/>
          <w:lang w:val="en-GB"/>
        </w:rPr>
        <w:t>discrimination</w:t>
      </w:r>
      <w:r w:rsidR="00DD5FC5" w:rsidRPr="00BE181A">
        <w:rPr>
          <w:sz w:val="22"/>
          <w:lang w:val="en-GB"/>
        </w:rPr>
        <w:t>, and protection against violence</w:t>
      </w:r>
      <w:r w:rsidR="001C72DB" w:rsidRPr="00BE181A">
        <w:rPr>
          <w:sz w:val="22"/>
          <w:lang w:val="en-GB"/>
        </w:rPr>
        <w:t xml:space="preserve"> and ill-treatment</w:t>
      </w:r>
      <w:r w:rsidR="00EF52C0" w:rsidRPr="00BE181A">
        <w:rPr>
          <w:sz w:val="22"/>
          <w:lang w:val="en-GB"/>
        </w:rPr>
        <w:t>.</w:t>
      </w:r>
      <w:r w:rsidR="00273BDF" w:rsidRPr="00BE181A">
        <w:rPr>
          <w:sz w:val="22"/>
          <w:lang w:val="en-GB"/>
        </w:rPr>
        <w:t xml:space="preserve"> </w:t>
      </w:r>
      <w:r w:rsidR="00EF52C0" w:rsidRPr="00BE181A">
        <w:rPr>
          <w:b/>
          <w:sz w:val="22"/>
          <w:lang w:val="en-GB"/>
        </w:rPr>
        <w:t xml:space="preserve">We call </w:t>
      </w:r>
      <w:r w:rsidR="006408E4">
        <w:rPr>
          <w:b/>
          <w:sz w:val="22"/>
          <w:lang w:val="en-GB"/>
        </w:rPr>
        <w:t xml:space="preserve">on </w:t>
      </w:r>
      <w:r w:rsidR="00EF52C0" w:rsidRPr="00BE181A">
        <w:rPr>
          <w:b/>
          <w:sz w:val="22"/>
          <w:lang w:val="en-GB"/>
        </w:rPr>
        <w:t xml:space="preserve">the Court to address </w:t>
      </w:r>
      <w:r w:rsidR="00273BDF" w:rsidRPr="00BE181A">
        <w:rPr>
          <w:b/>
          <w:sz w:val="22"/>
          <w:lang w:val="en-GB"/>
        </w:rPr>
        <w:t>any</w:t>
      </w:r>
      <w:r w:rsidR="00EF52C0" w:rsidRPr="00BE181A">
        <w:rPr>
          <w:b/>
          <w:sz w:val="22"/>
          <w:lang w:val="en-GB"/>
        </w:rPr>
        <w:t xml:space="preserve"> </w:t>
      </w:r>
      <w:r w:rsidRPr="00BE181A">
        <w:rPr>
          <w:b/>
          <w:sz w:val="22"/>
          <w:lang w:val="en-GB"/>
        </w:rPr>
        <w:t>failure</w:t>
      </w:r>
      <w:r w:rsidR="00273BDF" w:rsidRPr="00BE181A">
        <w:rPr>
          <w:b/>
          <w:sz w:val="22"/>
          <w:lang w:val="en-GB"/>
        </w:rPr>
        <w:t xml:space="preserve"> of States parties</w:t>
      </w:r>
      <w:r w:rsidRPr="00BE181A">
        <w:rPr>
          <w:b/>
          <w:sz w:val="22"/>
          <w:lang w:val="en-GB"/>
        </w:rPr>
        <w:t xml:space="preserve"> to ensure </w:t>
      </w:r>
      <w:r w:rsidR="00EF52C0" w:rsidRPr="00BE181A">
        <w:rPr>
          <w:b/>
          <w:sz w:val="22"/>
          <w:lang w:val="en-GB"/>
        </w:rPr>
        <w:t xml:space="preserve">inclusive education </w:t>
      </w:r>
      <w:r w:rsidR="00DD5FC5" w:rsidRPr="00BE181A">
        <w:rPr>
          <w:b/>
          <w:sz w:val="22"/>
          <w:lang w:val="en-GB"/>
        </w:rPr>
        <w:t xml:space="preserve">and </w:t>
      </w:r>
      <w:r w:rsidR="006408E4">
        <w:rPr>
          <w:b/>
          <w:sz w:val="22"/>
          <w:lang w:val="en-GB"/>
        </w:rPr>
        <w:t>to protect</w:t>
      </w:r>
      <w:r w:rsidR="006408E4" w:rsidRPr="00BE181A">
        <w:rPr>
          <w:b/>
          <w:sz w:val="22"/>
          <w:lang w:val="en-GB"/>
        </w:rPr>
        <w:t xml:space="preserve"> pupils with disabilities </w:t>
      </w:r>
      <w:r w:rsidR="006408E4">
        <w:rPr>
          <w:b/>
          <w:sz w:val="22"/>
          <w:lang w:val="en-GB"/>
        </w:rPr>
        <w:t>from</w:t>
      </w:r>
      <w:r w:rsidR="006408E4" w:rsidRPr="00BE181A">
        <w:rPr>
          <w:b/>
          <w:sz w:val="22"/>
          <w:lang w:val="en-GB"/>
        </w:rPr>
        <w:t xml:space="preserve"> </w:t>
      </w:r>
      <w:r w:rsidR="00DD5FC5" w:rsidRPr="00BE181A">
        <w:rPr>
          <w:b/>
          <w:sz w:val="22"/>
          <w:lang w:val="en-GB"/>
        </w:rPr>
        <w:t>degrading treatment and harassment</w:t>
      </w:r>
      <w:r w:rsidR="00FF6078" w:rsidRPr="00BE181A">
        <w:rPr>
          <w:b/>
          <w:sz w:val="22"/>
          <w:lang w:val="en-GB"/>
        </w:rPr>
        <w:t xml:space="preserve"> .</w:t>
      </w:r>
      <w:r w:rsidR="00FF6078">
        <w:rPr>
          <w:sz w:val="22"/>
          <w:lang w:val="en-GB"/>
        </w:rPr>
        <w:t xml:space="preserve"> </w:t>
      </w:r>
    </w:p>
    <w:p w14:paraId="182C9D91" w14:textId="43EC649E" w:rsidR="006B3A44" w:rsidRDefault="006B3A44" w:rsidP="00010AB7">
      <w:pPr>
        <w:jc w:val="both"/>
        <w:rPr>
          <w:rFonts w:cs="Arial"/>
          <w:szCs w:val="22"/>
          <w:lang w:val="en-GB"/>
        </w:rPr>
      </w:pPr>
    </w:p>
    <w:p w14:paraId="5EDCD158" w14:textId="1DF71A06" w:rsidR="0092595F" w:rsidRDefault="0092595F" w:rsidP="00010AB7">
      <w:pPr>
        <w:jc w:val="both"/>
        <w:rPr>
          <w:rFonts w:cs="Arial"/>
          <w:szCs w:val="22"/>
          <w:lang w:val="en-GB"/>
        </w:rPr>
      </w:pPr>
    </w:p>
    <w:p w14:paraId="2BAE2CA0" w14:textId="619A19A6" w:rsidR="0092595F" w:rsidRDefault="0092595F" w:rsidP="00010AB7">
      <w:pPr>
        <w:jc w:val="both"/>
        <w:rPr>
          <w:rFonts w:cs="Arial"/>
          <w:szCs w:val="22"/>
          <w:lang w:val="en-GB"/>
        </w:rPr>
      </w:pPr>
    </w:p>
    <w:p w14:paraId="6FD6D3A3" w14:textId="2FA009D1" w:rsidR="0092595F" w:rsidRDefault="0092595F" w:rsidP="00010AB7">
      <w:pPr>
        <w:jc w:val="both"/>
        <w:rPr>
          <w:rFonts w:cs="Arial"/>
          <w:szCs w:val="22"/>
          <w:lang w:val="en-GB"/>
        </w:rPr>
      </w:pPr>
    </w:p>
    <w:p w14:paraId="29A560CF" w14:textId="4E8615D0" w:rsidR="0092595F" w:rsidRDefault="0092595F" w:rsidP="00010AB7">
      <w:pPr>
        <w:jc w:val="both"/>
        <w:rPr>
          <w:rFonts w:cs="Arial"/>
          <w:szCs w:val="22"/>
          <w:lang w:val="en-GB"/>
        </w:rPr>
      </w:pPr>
    </w:p>
    <w:p w14:paraId="08FFB2D8" w14:textId="44CC9B1B" w:rsidR="0092595F" w:rsidRDefault="0092595F" w:rsidP="00010AB7">
      <w:pPr>
        <w:jc w:val="both"/>
        <w:rPr>
          <w:rFonts w:cs="Arial"/>
          <w:szCs w:val="22"/>
          <w:lang w:val="en-GB"/>
        </w:rPr>
      </w:pPr>
    </w:p>
    <w:p w14:paraId="78673385" w14:textId="34F79DAE" w:rsidR="0092595F" w:rsidRDefault="0092595F" w:rsidP="00010AB7">
      <w:pPr>
        <w:jc w:val="both"/>
        <w:rPr>
          <w:rFonts w:cs="Arial"/>
          <w:szCs w:val="22"/>
          <w:lang w:val="en-GB"/>
        </w:rPr>
      </w:pPr>
    </w:p>
    <w:p w14:paraId="1A68F262" w14:textId="45B2D2F7" w:rsidR="0092595F" w:rsidRDefault="0092595F" w:rsidP="00010AB7">
      <w:pPr>
        <w:jc w:val="both"/>
        <w:rPr>
          <w:rFonts w:cs="Arial"/>
          <w:szCs w:val="22"/>
          <w:lang w:val="en-GB"/>
        </w:rPr>
      </w:pPr>
    </w:p>
    <w:p w14:paraId="78542B9D" w14:textId="44120EFC" w:rsidR="0092595F" w:rsidRDefault="0092595F" w:rsidP="00010AB7">
      <w:pPr>
        <w:jc w:val="both"/>
        <w:rPr>
          <w:rFonts w:cs="Arial"/>
          <w:szCs w:val="22"/>
          <w:lang w:val="en-GB"/>
        </w:rPr>
      </w:pPr>
    </w:p>
    <w:p w14:paraId="03D5B1E4" w14:textId="7CC1D511" w:rsidR="0092595F" w:rsidRDefault="0092595F" w:rsidP="00010AB7">
      <w:pPr>
        <w:jc w:val="both"/>
        <w:rPr>
          <w:rFonts w:cs="Arial"/>
          <w:szCs w:val="22"/>
          <w:lang w:val="en-GB"/>
        </w:rPr>
      </w:pPr>
    </w:p>
    <w:p w14:paraId="685F1C2C" w14:textId="3E4CE80B" w:rsidR="0092595F" w:rsidRDefault="0092595F" w:rsidP="00010AB7">
      <w:pPr>
        <w:jc w:val="both"/>
        <w:rPr>
          <w:rFonts w:cs="Arial"/>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92595F" w:rsidRPr="00C1584F" w14:paraId="6A8658C9" w14:textId="77777777" w:rsidTr="006B2ABB">
        <w:trPr>
          <w:trHeight w:val="3344"/>
        </w:trPr>
        <w:tc>
          <w:tcPr>
            <w:tcW w:w="4145" w:type="dxa"/>
          </w:tcPr>
          <w:p w14:paraId="2A130967" w14:textId="77777777" w:rsidR="0092595F" w:rsidRPr="0092595F" w:rsidRDefault="0092595F" w:rsidP="006B2ABB">
            <w:pPr>
              <w:rPr>
                <w:rFonts w:cs="Arial"/>
                <w:b/>
              </w:rPr>
            </w:pPr>
            <w:r w:rsidRPr="0092595F">
              <w:rPr>
                <w:rFonts w:cs="Arial"/>
                <w:b/>
              </w:rPr>
              <w:t>EUROPEAN DISABILITY FORUM</w:t>
            </w:r>
          </w:p>
          <w:p w14:paraId="375C7708" w14:textId="77777777" w:rsidR="0092595F" w:rsidRPr="0092595F" w:rsidRDefault="0092595F" w:rsidP="006B2ABB">
            <w:pPr>
              <w:rPr>
                <w:rFonts w:cs="Arial"/>
              </w:rPr>
            </w:pPr>
            <w:r w:rsidRPr="0092595F">
              <w:rPr>
                <w:rFonts w:cs="Arial"/>
              </w:rPr>
              <w:t xml:space="preserve">Square de </w:t>
            </w:r>
            <w:proofErr w:type="spellStart"/>
            <w:r w:rsidRPr="0092595F">
              <w:rPr>
                <w:rFonts w:cs="Arial"/>
              </w:rPr>
              <w:t>Meeûs</w:t>
            </w:r>
            <w:proofErr w:type="spellEnd"/>
            <w:r w:rsidRPr="0092595F">
              <w:rPr>
                <w:rFonts w:cs="Arial"/>
              </w:rPr>
              <w:t xml:space="preserve"> 35</w:t>
            </w:r>
          </w:p>
          <w:p w14:paraId="714F33BD" w14:textId="77777777" w:rsidR="0092595F" w:rsidRPr="0092595F" w:rsidRDefault="0092595F" w:rsidP="006B2ABB">
            <w:pPr>
              <w:rPr>
                <w:rFonts w:cs="Arial"/>
                <w:lang w:val="nl-BE"/>
              </w:rPr>
            </w:pPr>
            <w:r w:rsidRPr="0092595F">
              <w:rPr>
                <w:rFonts w:cs="Arial"/>
                <w:lang w:val="nl-BE"/>
              </w:rPr>
              <w:t xml:space="preserve">B-1000 Brussels </w:t>
            </w:r>
          </w:p>
          <w:p w14:paraId="0680BE98" w14:textId="77777777" w:rsidR="0092595F" w:rsidRPr="0092595F" w:rsidRDefault="0092595F" w:rsidP="006B2ABB">
            <w:pPr>
              <w:rPr>
                <w:rFonts w:cs="Arial"/>
                <w:lang w:val="nl-BE"/>
              </w:rPr>
            </w:pPr>
            <w:r w:rsidRPr="0092595F">
              <w:rPr>
                <w:rFonts w:cs="Arial"/>
                <w:lang w:val="nl-BE"/>
              </w:rPr>
              <w:t>Belgium</w:t>
            </w:r>
          </w:p>
          <w:p w14:paraId="141C741C" w14:textId="77777777" w:rsidR="0092595F" w:rsidRPr="0092595F" w:rsidRDefault="0092595F" w:rsidP="006B2ABB">
            <w:pPr>
              <w:rPr>
                <w:rFonts w:cs="Arial"/>
                <w:lang w:val="nl-BE"/>
              </w:rPr>
            </w:pPr>
            <w:r w:rsidRPr="0092595F">
              <w:rPr>
                <w:rFonts w:cs="Arial"/>
                <w:lang w:val="nl-BE"/>
              </w:rPr>
              <w:t>+32 2 282 4602</w:t>
            </w:r>
          </w:p>
          <w:p w14:paraId="229F1411" w14:textId="77777777" w:rsidR="0092595F" w:rsidRPr="0092595F" w:rsidRDefault="006408E4" w:rsidP="006B2ABB">
            <w:pPr>
              <w:rPr>
                <w:rFonts w:cs="Arial"/>
                <w:lang w:val="nl-BE"/>
              </w:rPr>
            </w:pPr>
            <w:r>
              <w:fldChar w:fldCharType="begin"/>
            </w:r>
            <w:r w:rsidRPr="00916D6D">
              <w:rPr>
                <w:lang w:val="en-GB"/>
              </w:rPr>
              <w:instrText xml:space="preserve"> HYPERLINK "http://www.edf-feph.org" </w:instrText>
            </w:r>
            <w:r>
              <w:fldChar w:fldCharType="separate"/>
            </w:r>
            <w:r w:rsidR="0092595F" w:rsidRPr="0092595F">
              <w:rPr>
                <w:rStyle w:val="Hyperlink"/>
                <w:rFonts w:cs="Arial"/>
                <w:lang w:val="nl-BE"/>
              </w:rPr>
              <w:t>www.edf-feph.org</w:t>
            </w:r>
            <w:r>
              <w:rPr>
                <w:rStyle w:val="Hyperlink"/>
                <w:rFonts w:cs="Arial"/>
                <w:lang w:val="nl-BE"/>
              </w:rPr>
              <w:fldChar w:fldCharType="end"/>
            </w:r>
            <w:r w:rsidR="0092595F" w:rsidRPr="0092595F">
              <w:rPr>
                <w:rFonts w:cs="Arial"/>
                <w:lang w:val="nl-BE"/>
              </w:rPr>
              <w:t xml:space="preserve"> </w:t>
            </w:r>
          </w:p>
          <w:p w14:paraId="4BD18500" w14:textId="77777777" w:rsidR="0092595F" w:rsidRPr="0092595F" w:rsidRDefault="0092595F" w:rsidP="006B2ABB">
            <w:pPr>
              <w:rPr>
                <w:rFonts w:cs="Arial"/>
                <w:lang w:val="nl-BE"/>
              </w:rPr>
            </w:pPr>
          </w:p>
          <w:p w14:paraId="3FE82D03" w14:textId="77777777" w:rsidR="0092595F" w:rsidRPr="0092595F" w:rsidRDefault="0092595F" w:rsidP="006B2ABB">
            <w:pPr>
              <w:rPr>
                <w:rFonts w:cs="Arial"/>
                <w:lang w:val="nl-BE"/>
              </w:rPr>
            </w:pPr>
            <w:r w:rsidRPr="0092595F">
              <w:rPr>
                <w:rFonts w:cs="Arial"/>
                <w:lang w:val="nl-BE"/>
              </w:rPr>
              <w:t>Yannis Vardakastanis</w:t>
            </w:r>
          </w:p>
          <w:p w14:paraId="4913A807" w14:textId="77777777" w:rsidR="0092595F" w:rsidRPr="0092595F" w:rsidRDefault="0092595F" w:rsidP="006B2ABB">
            <w:pPr>
              <w:rPr>
                <w:rFonts w:cs="Arial"/>
                <w:lang w:val="nl-BE"/>
              </w:rPr>
            </w:pPr>
            <w:r w:rsidRPr="0092595F">
              <w:rPr>
                <w:rFonts w:cs="Arial"/>
                <w:lang w:val="nl-BE"/>
              </w:rPr>
              <w:t>President</w:t>
            </w:r>
          </w:p>
          <w:p w14:paraId="1221E984" w14:textId="77777777" w:rsidR="0092595F" w:rsidRPr="0092595F" w:rsidRDefault="0092595F" w:rsidP="006B2ABB">
            <w:pPr>
              <w:rPr>
                <w:rFonts w:cs="Arial"/>
                <w:lang w:val="nl-BE"/>
              </w:rPr>
            </w:pPr>
          </w:p>
          <w:p w14:paraId="3A081FAE" w14:textId="77777777" w:rsidR="0092595F" w:rsidRPr="0092595F" w:rsidRDefault="0092595F" w:rsidP="006B2ABB">
            <w:pPr>
              <w:rPr>
                <w:rFonts w:cs="Arial"/>
                <w:lang w:val="nl-BE"/>
              </w:rPr>
            </w:pPr>
            <w:r w:rsidRPr="0092595F">
              <w:rPr>
                <w:rFonts w:cs="Arial"/>
                <w:lang w:val="nl-BE"/>
              </w:rPr>
              <w:t>An-Sofie Leenknecht</w:t>
            </w:r>
          </w:p>
          <w:p w14:paraId="64B42EED" w14:textId="77777777" w:rsidR="0092595F" w:rsidRPr="0092595F" w:rsidRDefault="0092595F" w:rsidP="006B2ABB">
            <w:pPr>
              <w:rPr>
                <w:rFonts w:cs="Arial"/>
              </w:rPr>
            </w:pPr>
            <w:r w:rsidRPr="0092595F">
              <w:rPr>
                <w:rFonts w:cs="Arial"/>
              </w:rPr>
              <w:t xml:space="preserve">Human Rights Coordinator </w:t>
            </w:r>
          </w:p>
          <w:p w14:paraId="6F791655" w14:textId="77777777" w:rsidR="0092595F" w:rsidRPr="0092595F" w:rsidRDefault="00916D6D" w:rsidP="006B2ABB">
            <w:pPr>
              <w:rPr>
                <w:rFonts w:cs="Arial"/>
              </w:rPr>
            </w:pPr>
            <w:hyperlink r:id="rId14" w:history="1">
              <w:r w:rsidR="0092595F" w:rsidRPr="0092595F">
                <w:rPr>
                  <w:rStyle w:val="Hyperlink"/>
                  <w:rFonts w:cs="Arial"/>
                </w:rPr>
                <w:t>Ansofie.Leenknecht@edf-feph.org</w:t>
              </w:r>
            </w:hyperlink>
            <w:r w:rsidR="0092595F" w:rsidRPr="0092595F">
              <w:rPr>
                <w:rFonts w:cs="Arial"/>
              </w:rPr>
              <w:t xml:space="preserve"> </w:t>
            </w:r>
          </w:p>
          <w:p w14:paraId="135AABB9" w14:textId="77777777" w:rsidR="0092595F" w:rsidRPr="0092595F" w:rsidRDefault="0092595F" w:rsidP="006B2ABB">
            <w:pPr>
              <w:rPr>
                <w:rFonts w:cs="Arial"/>
              </w:rPr>
            </w:pPr>
          </w:p>
          <w:p w14:paraId="187AA0F7" w14:textId="77777777" w:rsidR="0092595F" w:rsidRPr="0092595F" w:rsidRDefault="0092595F" w:rsidP="006B2ABB">
            <w:pPr>
              <w:rPr>
                <w:rFonts w:cs="Arial"/>
              </w:rPr>
            </w:pPr>
            <w:r w:rsidRPr="0092595F">
              <w:rPr>
                <w:rFonts w:cs="Arial"/>
              </w:rPr>
              <w:t xml:space="preserve">Marine Uldry </w:t>
            </w:r>
          </w:p>
          <w:p w14:paraId="337DE585" w14:textId="77777777" w:rsidR="0092595F" w:rsidRPr="0092595F" w:rsidRDefault="0092595F" w:rsidP="006B2ABB">
            <w:pPr>
              <w:rPr>
                <w:rFonts w:cs="Arial"/>
              </w:rPr>
            </w:pPr>
            <w:r w:rsidRPr="0092595F">
              <w:rPr>
                <w:rFonts w:cs="Arial"/>
              </w:rPr>
              <w:t xml:space="preserve">Human Rights Officer </w:t>
            </w:r>
          </w:p>
          <w:p w14:paraId="7FDAE539" w14:textId="77777777" w:rsidR="0092595F" w:rsidRPr="0092595F" w:rsidRDefault="00916D6D" w:rsidP="006B2ABB">
            <w:pPr>
              <w:rPr>
                <w:rFonts w:cs="Arial"/>
              </w:rPr>
            </w:pPr>
            <w:hyperlink r:id="rId15" w:history="1">
              <w:r w:rsidR="0092595F" w:rsidRPr="0092595F">
                <w:rPr>
                  <w:rStyle w:val="Hyperlink"/>
                  <w:rFonts w:cs="Arial"/>
                </w:rPr>
                <w:t>Marine.Uldry@edf-feph.org</w:t>
              </w:r>
            </w:hyperlink>
            <w:r w:rsidR="0092595F" w:rsidRPr="0092595F">
              <w:rPr>
                <w:rFonts w:cs="Arial"/>
              </w:rPr>
              <w:t xml:space="preserve"> </w:t>
            </w:r>
          </w:p>
        </w:tc>
        <w:tc>
          <w:tcPr>
            <w:tcW w:w="4145" w:type="dxa"/>
          </w:tcPr>
          <w:p w14:paraId="0B98A79B" w14:textId="77777777" w:rsidR="0092595F" w:rsidRPr="006A0846" w:rsidRDefault="0092595F" w:rsidP="006B2ABB">
            <w:pPr>
              <w:rPr>
                <w:rFonts w:cs="Arial"/>
                <w:b/>
                <w:lang w:val="it-IT"/>
              </w:rPr>
            </w:pPr>
            <w:r w:rsidRPr="006A0846">
              <w:rPr>
                <w:rFonts w:cs="Arial"/>
                <w:b/>
                <w:lang w:val="it-IT"/>
              </w:rPr>
              <w:t xml:space="preserve">CONSILIUL NATIONAL AL </w:t>
            </w:r>
          </w:p>
          <w:p w14:paraId="7A62AE5C" w14:textId="77777777" w:rsidR="0092595F" w:rsidRPr="006A0846" w:rsidRDefault="0092595F" w:rsidP="006B2ABB">
            <w:pPr>
              <w:rPr>
                <w:rFonts w:cs="Arial"/>
                <w:b/>
                <w:lang w:val="it-IT"/>
              </w:rPr>
            </w:pPr>
            <w:r w:rsidRPr="006A0846">
              <w:rPr>
                <w:rFonts w:cs="Arial"/>
                <w:b/>
                <w:lang w:val="it-IT"/>
              </w:rPr>
              <w:t xml:space="preserve">DIZABILITATII DIN ROMANIA </w:t>
            </w:r>
          </w:p>
          <w:p w14:paraId="36C80372" w14:textId="77777777" w:rsidR="0092595F" w:rsidRPr="006A0846" w:rsidRDefault="0092595F" w:rsidP="006B2ABB">
            <w:pPr>
              <w:rPr>
                <w:rFonts w:cs="Arial"/>
                <w:lang w:val="it-IT"/>
              </w:rPr>
            </w:pPr>
            <w:r w:rsidRPr="006A0846">
              <w:rPr>
                <w:rFonts w:cs="Arial"/>
                <w:lang w:val="it-IT"/>
              </w:rPr>
              <w:t>Str. Cauzasi, nr. 26</w:t>
            </w:r>
          </w:p>
          <w:p w14:paraId="3239085A" w14:textId="77777777" w:rsidR="0092595F" w:rsidRPr="006A0846" w:rsidRDefault="0092595F" w:rsidP="006B2ABB">
            <w:pPr>
              <w:rPr>
                <w:rFonts w:cs="Arial"/>
                <w:lang w:val="it-IT"/>
              </w:rPr>
            </w:pPr>
            <w:r w:rsidRPr="006A0846">
              <w:rPr>
                <w:rFonts w:cs="Arial"/>
                <w:lang w:val="it-IT"/>
              </w:rPr>
              <w:t xml:space="preserve">Bucuresti, Sector 3, Romania </w:t>
            </w:r>
          </w:p>
          <w:p w14:paraId="510239AA" w14:textId="77777777" w:rsidR="0092595F" w:rsidRPr="006A0846" w:rsidRDefault="0092595F" w:rsidP="006B2ABB">
            <w:pPr>
              <w:rPr>
                <w:rFonts w:cs="Arial"/>
                <w:lang w:val="it-IT"/>
              </w:rPr>
            </w:pPr>
          </w:p>
          <w:p w14:paraId="5D6B07D9" w14:textId="77777777" w:rsidR="0092595F" w:rsidRPr="006A0846" w:rsidRDefault="0092595F" w:rsidP="006B2ABB">
            <w:pPr>
              <w:rPr>
                <w:rFonts w:cs="Arial"/>
                <w:lang w:val="it-IT"/>
              </w:rPr>
            </w:pPr>
            <w:r w:rsidRPr="006A0846">
              <w:rPr>
                <w:rFonts w:cs="Arial"/>
                <w:lang w:val="it-IT"/>
              </w:rPr>
              <w:t xml:space="preserve">Daniela Tontsch' </w:t>
            </w:r>
          </w:p>
          <w:p w14:paraId="6E18E88B" w14:textId="77777777" w:rsidR="0092595F" w:rsidRPr="0092595F" w:rsidRDefault="0092595F" w:rsidP="006B2ABB">
            <w:pPr>
              <w:rPr>
                <w:rFonts w:cs="Arial"/>
                <w:lang w:val="en"/>
              </w:rPr>
            </w:pPr>
            <w:r w:rsidRPr="0092595F">
              <w:rPr>
                <w:rFonts w:cs="Arial"/>
                <w:lang w:val="en"/>
              </w:rPr>
              <w:t xml:space="preserve">President </w:t>
            </w:r>
          </w:p>
          <w:p w14:paraId="4C9E1F18" w14:textId="77777777" w:rsidR="0092595F" w:rsidRPr="0092595F" w:rsidRDefault="00916D6D" w:rsidP="006B2ABB">
            <w:pPr>
              <w:rPr>
                <w:rFonts w:cs="Arial"/>
                <w:lang w:val="en-GB"/>
              </w:rPr>
            </w:pPr>
            <w:hyperlink r:id="rId16" w:history="1">
              <w:r w:rsidR="0092595F" w:rsidRPr="0092595F">
                <w:rPr>
                  <w:rStyle w:val="Hyperlink"/>
                  <w:rFonts w:cs="Arial"/>
                  <w:lang w:val="en"/>
                </w:rPr>
                <w:t>danielatontsch@yahoo.com</w:t>
              </w:r>
            </w:hyperlink>
          </w:p>
          <w:p w14:paraId="691BCCA2" w14:textId="77777777" w:rsidR="0092595F" w:rsidRPr="0092595F" w:rsidRDefault="0092595F" w:rsidP="006B2ABB">
            <w:pPr>
              <w:rPr>
                <w:rFonts w:cs="Arial"/>
                <w:lang w:val="en-GB"/>
              </w:rPr>
            </w:pPr>
          </w:p>
        </w:tc>
      </w:tr>
    </w:tbl>
    <w:p w14:paraId="62DEAAEA" w14:textId="4BD9A845" w:rsidR="007B7237" w:rsidRDefault="007B7237">
      <w:pPr>
        <w:rPr>
          <w:rFonts w:cs="Arial"/>
          <w:b/>
          <w:szCs w:val="22"/>
          <w:lang w:val="en-GB"/>
        </w:rPr>
      </w:pPr>
      <w:bookmarkStart w:id="31" w:name="_GoBack"/>
      <w:bookmarkEnd w:id="31"/>
    </w:p>
    <w:p w14:paraId="5D428043" w14:textId="08FBBB21" w:rsidR="007B7237" w:rsidRPr="00C03D6A" w:rsidRDefault="007E034F" w:rsidP="00C03D6A">
      <w:pPr>
        <w:pStyle w:val="Heading1"/>
      </w:pPr>
      <w:bookmarkStart w:id="32" w:name="_Toc13671835"/>
      <w:bookmarkStart w:id="33" w:name="_Toc13737494"/>
      <w:r>
        <w:t>Annex</w:t>
      </w:r>
      <w:r w:rsidR="00315AA8">
        <w:t xml:space="preserve">: </w:t>
      </w:r>
      <w:bookmarkStart w:id="34" w:name="_Toc13485012"/>
      <w:r w:rsidR="007B7237" w:rsidRPr="00161911">
        <w:t>Statement of Interest of EDF and CNDR</w:t>
      </w:r>
      <w:bookmarkEnd w:id="34"/>
      <w:bookmarkEnd w:id="32"/>
      <w:bookmarkEnd w:id="33"/>
    </w:p>
    <w:p w14:paraId="1C982002" w14:textId="500ED61D" w:rsidR="000C1AA0" w:rsidRPr="006A5D50" w:rsidRDefault="007B7237" w:rsidP="00C03D6A">
      <w:pPr>
        <w:pStyle w:val="BodyText"/>
        <w:spacing w:after="240"/>
        <w:jc w:val="both"/>
        <w:rPr>
          <w:rFonts w:ascii="Arial" w:hAnsi="Arial" w:cs="Arial"/>
          <w:sz w:val="22"/>
          <w:szCs w:val="22"/>
        </w:rPr>
      </w:pPr>
      <w:r w:rsidRPr="006A5D50">
        <w:rPr>
          <w:rFonts w:ascii="Arial" w:hAnsi="Arial"/>
          <w:sz w:val="22"/>
          <w:szCs w:val="22"/>
        </w:rPr>
        <w:t xml:space="preserve">The European Disability Forum (EDF) is the independent European umbrella </w:t>
      </w:r>
      <w:proofErr w:type="spellStart"/>
      <w:r w:rsidRPr="006A5D50">
        <w:rPr>
          <w:rFonts w:ascii="Arial" w:hAnsi="Arial"/>
          <w:sz w:val="22"/>
          <w:szCs w:val="22"/>
        </w:rPr>
        <w:t>organisation</w:t>
      </w:r>
      <w:proofErr w:type="spellEnd"/>
      <w:r w:rsidRPr="006A5D50">
        <w:rPr>
          <w:rFonts w:ascii="Arial" w:hAnsi="Arial"/>
          <w:sz w:val="22"/>
          <w:szCs w:val="22"/>
        </w:rPr>
        <w:t xml:space="preserve"> </w:t>
      </w:r>
      <w:r w:rsidR="000C1AA0" w:rsidRPr="006A5D50">
        <w:rPr>
          <w:rFonts w:ascii="Arial" w:hAnsi="Arial"/>
          <w:sz w:val="22"/>
          <w:szCs w:val="22"/>
        </w:rPr>
        <w:t>of persons with disabilities defending the interests of more than</w:t>
      </w:r>
      <w:r w:rsidRPr="006A5D50">
        <w:rPr>
          <w:rFonts w:ascii="Arial" w:hAnsi="Arial"/>
          <w:sz w:val="22"/>
          <w:szCs w:val="22"/>
        </w:rPr>
        <w:t xml:space="preserve"> 80 million </w:t>
      </w:r>
      <w:r w:rsidR="000C1AA0" w:rsidRPr="006A5D50">
        <w:rPr>
          <w:rFonts w:ascii="Arial" w:hAnsi="Arial"/>
          <w:sz w:val="22"/>
          <w:szCs w:val="22"/>
        </w:rPr>
        <w:t>persons with disabilities in Europe</w:t>
      </w:r>
      <w:r w:rsidRPr="006A5D50">
        <w:rPr>
          <w:rFonts w:ascii="Arial" w:hAnsi="Arial"/>
          <w:sz w:val="22"/>
          <w:szCs w:val="22"/>
        </w:rPr>
        <w:t xml:space="preserve">. EDF is the only European pan-disability platform run by persons with disabilities and their families. Created in 1996 by its member </w:t>
      </w:r>
      <w:proofErr w:type="spellStart"/>
      <w:r w:rsidRPr="006A5D50">
        <w:rPr>
          <w:rFonts w:ascii="Arial" w:hAnsi="Arial"/>
          <w:sz w:val="22"/>
          <w:szCs w:val="22"/>
        </w:rPr>
        <w:t>organisations</w:t>
      </w:r>
      <w:proofErr w:type="spellEnd"/>
      <w:r w:rsidRPr="006A5D50">
        <w:rPr>
          <w:rFonts w:ascii="Arial" w:hAnsi="Arial"/>
          <w:sz w:val="22"/>
          <w:szCs w:val="22"/>
        </w:rPr>
        <w:t xml:space="preserve">, EDF ensures that decisions concerning persons with disabilities are taken with </w:t>
      </w:r>
      <w:r w:rsidRPr="006A5D50">
        <w:rPr>
          <w:rFonts w:ascii="Arial" w:hAnsi="Arial" w:cs="Arial"/>
          <w:sz w:val="22"/>
          <w:szCs w:val="22"/>
        </w:rPr>
        <w:t xml:space="preserve">and by persons with disabilities. </w:t>
      </w:r>
      <w:r w:rsidR="000C1AA0" w:rsidRPr="006A5D50">
        <w:rPr>
          <w:rFonts w:ascii="Arial" w:hAnsi="Arial" w:cs="Arial"/>
          <w:sz w:val="22"/>
          <w:szCs w:val="22"/>
        </w:rPr>
        <w:t xml:space="preserve">It is a member of the International Disability Alliance. </w:t>
      </w:r>
    </w:p>
    <w:p w14:paraId="72D700F5" w14:textId="2EB9DC3F" w:rsidR="007B7237" w:rsidRPr="00C03D6A" w:rsidRDefault="007B7237" w:rsidP="00C03D6A">
      <w:pPr>
        <w:pStyle w:val="BodyText"/>
        <w:spacing w:after="240"/>
        <w:jc w:val="both"/>
        <w:rPr>
          <w:rFonts w:ascii="Arial" w:hAnsi="Arial" w:cs="Arial"/>
          <w:sz w:val="22"/>
          <w:szCs w:val="22"/>
        </w:rPr>
      </w:pPr>
      <w:r w:rsidRPr="006A5D50">
        <w:rPr>
          <w:rFonts w:ascii="Arial" w:hAnsi="Arial" w:cs="Arial"/>
          <w:sz w:val="22"/>
          <w:szCs w:val="22"/>
        </w:rPr>
        <w:t>The</w:t>
      </w:r>
      <w:r w:rsidR="000C1AA0" w:rsidRPr="006A5D50">
        <w:rPr>
          <w:rFonts w:ascii="Arial" w:hAnsi="Arial" w:cs="Arial"/>
          <w:sz w:val="22"/>
          <w:szCs w:val="22"/>
        </w:rPr>
        <w:t xml:space="preserve"> </w:t>
      </w:r>
      <w:proofErr w:type="spellStart"/>
      <w:r w:rsidR="009437AA" w:rsidRPr="006A5D50">
        <w:rPr>
          <w:rFonts w:ascii="Arial" w:hAnsi="Arial" w:cs="Arial"/>
          <w:sz w:val="22"/>
          <w:szCs w:val="22"/>
        </w:rPr>
        <w:t>Consiliul</w:t>
      </w:r>
      <w:proofErr w:type="spellEnd"/>
      <w:r w:rsidR="009437AA" w:rsidRPr="006A5D50">
        <w:rPr>
          <w:rFonts w:ascii="Arial" w:hAnsi="Arial" w:cs="Arial"/>
          <w:sz w:val="22"/>
          <w:szCs w:val="22"/>
        </w:rPr>
        <w:t xml:space="preserve"> National al </w:t>
      </w:r>
      <w:proofErr w:type="spellStart"/>
      <w:r w:rsidR="009437AA" w:rsidRPr="006A5D50">
        <w:rPr>
          <w:rFonts w:ascii="Arial" w:hAnsi="Arial" w:cs="Arial"/>
          <w:sz w:val="22"/>
          <w:szCs w:val="22"/>
        </w:rPr>
        <w:t>Dizabilitatii</w:t>
      </w:r>
      <w:proofErr w:type="spellEnd"/>
      <w:r w:rsidR="009437AA" w:rsidRPr="006A5D50">
        <w:rPr>
          <w:rFonts w:ascii="Arial" w:hAnsi="Arial" w:cs="Arial"/>
          <w:sz w:val="22"/>
          <w:szCs w:val="22"/>
        </w:rPr>
        <w:t xml:space="preserve"> din Romania </w:t>
      </w:r>
      <w:r w:rsidR="000C1AA0" w:rsidRPr="006A5D50">
        <w:rPr>
          <w:rFonts w:ascii="Arial" w:hAnsi="Arial" w:cs="Arial"/>
          <w:sz w:val="22"/>
          <w:szCs w:val="22"/>
        </w:rPr>
        <w:t>(</w:t>
      </w:r>
      <w:r w:rsidRPr="006A5D50">
        <w:rPr>
          <w:rFonts w:ascii="Arial" w:hAnsi="Arial" w:cs="Arial"/>
          <w:sz w:val="22"/>
          <w:szCs w:val="22"/>
        </w:rPr>
        <w:t>CNDR</w:t>
      </w:r>
      <w:r w:rsidR="000C1AA0" w:rsidRPr="006A5D50">
        <w:rPr>
          <w:rFonts w:ascii="Arial" w:hAnsi="Arial" w:cs="Arial"/>
          <w:sz w:val="22"/>
          <w:szCs w:val="22"/>
        </w:rPr>
        <w:t>)</w:t>
      </w:r>
      <w:r w:rsidRPr="006A5D50">
        <w:rPr>
          <w:rFonts w:ascii="Arial" w:hAnsi="Arial" w:cs="Arial"/>
          <w:sz w:val="22"/>
          <w:szCs w:val="22"/>
        </w:rPr>
        <w:t xml:space="preserve"> is the member of the EDF at</w:t>
      </w:r>
      <w:r w:rsidR="00C03D6A">
        <w:rPr>
          <w:rFonts w:ascii="Arial" w:hAnsi="Arial" w:cs="Arial"/>
          <w:sz w:val="22"/>
          <w:szCs w:val="22"/>
        </w:rPr>
        <w:t xml:space="preserve"> the national level in Romania.</w:t>
      </w:r>
    </w:p>
    <w:p w14:paraId="4159F261" w14:textId="141C0444" w:rsidR="007B7237" w:rsidRPr="006A5D50" w:rsidRDefault="00C03D6A" w:rsidP="00C03D6A">
      <w:pPr>
        <w:spacing w:after="240"/>
        <w:jc w:val="both"/>
        <w:rPr>
          <w:szCs w:val="22"/>
        </w:rPr>
      </w:pPr>
      <w:r>
        <w:rPr>
          <w:szCs w:val="22"/>
        </w:rPr>
        <w:t>EDF ad</w:t>
      </w:r>
      <w:r w:rsidR="007B7237" w:rsidRPr="006A5D50">
        <w:rPr>
          <w:szCs w:val="22"/>
        </w:rPr>
        <w:t>vocate</w:t>
      </w:r>
      <w:r w:rsidR="005D04C5" w:rsidRPr="006A5D50">
        <w:rPr>
          <w:szCs w:val="22"/>
        </w:rPr>
        <w:t>s</w:t>
      </w:r>
      <w:r w:rsidR="007B7237" w:rsidRPr="006A5D50">
        <w:rPr>
          <w:szCs w:val="22"/>
        </w:rPr>
        <w:t xml:space="preserve"> for the rights of persons with disabilities on the national, regional and international planes,</w:t>
      </w:r>
      <w:r w:rsidR="000C1AA0" w:rsidRPr="006A5D50">
        <w:rPr>
          <w:szCs w:val="22"/>
        </w:rPr>
        <w:t xml:space="preserve"> including before the Court. The </w:t>
      </w:r>
      <w:proofErr w:type="spellStart"/>
      <w:r w:rsidR="000C1AA0" w:rsidRPr="006A5D50">
        <w:rPr>
          <w:szCs w:val="22"/>
        </w:rPr>
        <w:t>organisation</w:t>
      </w:r>
      <w:proofErr w:type="spellEnd"/>
      <w:r w:rsidR="007B7237" w:rsidRPr="006A5D50">
        <w:rPr>
          <w:szCs w:val="22"/>
        </w:rPr>
        <w:t xml:space="preserve"> has previously submitted third party interventions to the Court in </w:t>
      </w:r>
      <w:proofErr w:type="spellStart"/>
      <w:r w:rsidR="007B7237" w:rsidRPr="006A5D50">
        <w:rPr>
          <w:i/>
          <w:szCs w:val="22"/>
        </w:rPr>
        <w:t>Dordevic</w:t>
      </w:r>
      <w:proofErr w:type="spellEnd"/>
      <w:r w:rsidR="007B7237" w:rsidRPr="006A5D50">
        <w:rPr>
          <w:i/>
          <w:szCs w:val="22"/>
        </w:rPr>
        <w:t xml:space="preserve"> v Croatia</w:t>
      </w:r>
      <w:r w:rsidR="007B7237" w:rsidRPr="006A5D50">
        <w:rPr>
          <w:szCs w:val="22"/>
        </w:rPr>
        <w:t xml:space="preserve"> (Application No 41526/10), </w:t>
      </w:r>
      <w:proofErr w:type="spellStart"/>
      <w:r w:rsidR="007B7237" w:rsidRPr="006A5D50">
        <w:rPr>
          <w:i/>
          <w:szCs w:val="22"/>
        </w:rPr>
        <w:t>Gauer</w:t>
      </w:r>
      <w:proofErr w:type="spellEnd"/>
      <w:r w:rsidR="007B7237" w:rsidRPr="006A5D50">
        <w:rPr>
          <w:i/>
          <w:szCs w:val="22"/>
        </w:rPr>
        <w:t xml:space="preserve"> and Others v France</w:t>
      </w:r>
      <w:r w:rsidR="007B7237" w:rsidRPr="006A5D50">
        <w:rPr>
          <w:szCs w:val="22"/>
        </w:rPr>
        <w:t xml:space="preserve"> (Application no 61521/08), </w:t>
      </w:r>
      <w:r w:rsidR="007B7237" w:rsidRPr="006A5D50">
        <w:rPr>
          <w:i/>
          <w:szCs w:val="22"/>
        </w:rPr>
        <w:t>DG v Poland</w:t>
      </w:r>
      <w:r w:rsidR="007B7237" w:rsidRPr="006A5D50">
        <w:rPr>
          <w:szCs w:val="22"/>
        </w:rPr>
        <w:t xml:space="preserve"> (Application no. 45705/07) of which the two latter were submitted jointly with IDA and other NGOs.  EDF </w:t>
      </w:r>
      <w:r w:rsidR="0074647C" w:rsidRPr="006A5D50">
        <w:rPr>
          <w:szCs w:val="22"/>
        </w:rPr>
        <w:t xml:space="preserve">has </w:t>
      </w:r>
      <w:r w:rsidR="007B7237" w:rsidRPr="006A5D50">
        <w:rPr>
          <w:szCs w:val="22"/>
        </w:rPr>
        <w:t>also jointly intervened</w:t>
      </w:r>
      <w:r w:rsidR="0074647C" w:rsidRPr="006A5D50">
        <w:rPr>
          <w:szCs w:val="22"/>
        </w:rPr>
        <w:t xml:space="preserve"> with the International Disability Alliance</w:t>
      </w:r>
      <w:r w:rsidR="007B7237" w:rsidRPr="006A5D50">
        <w:rPr>
          <w:szCs w:val="22"/>
        </w:rPr>
        <w:t xml:space="preserve"> in </w:t>
      </w:r>
      <w:r w:rsidR="007B7237" w:rsidRPr="006A5D50">
        <w:rPr>
          <w:i/>
          <w:szCs w:val="22"/>
        </w:rPr>
        <w:t>HP v Denmark (</w:t>
      </w:r>
      <w:r w:rsidR="007B7237" w:rsidRPr="006A5D50">
        <w:rPr>
          <w:szCs w:val="22"/>
        </w:rPr>
        <w:t xml:space="preserve">Application no 55607/09), </w:t>
      </w:r>
      <w:proofErr w:type="spellStart"/>
      <w:r w:rsidR="007B7237" w:rsidRPr="006A5D50">
        <w:rPr>
          <w:i/>
          <w:szCs w:val="22"/>
        </w:rPr>
        <w:t>Guberina</w:t>
      </w:r>
      <w:proofErr w:type="spellEnd"/>
      <w:r w:rsidR="007B7237" w:rsidRPr="006A5D50">
        <w:rPr>
          <w:i/>
          <w:szCs w:val="22"/>
        </w:rPr>
        <w:t xml:space="preserve"> v Croatia </w:t>
      </w:r>
      <w:r w:rsidR="007B7237" w:rsidRPr="006A5D50">
        <w:rPr>
          <w:szCs w:val="22"/>
        </w:rPr>
        <w:t xml:space="preserve">(Application no 23682/13), </w:t>
      </w:r>
      <w:proofErr w:type="spellStart"/>
      <w:r w:rsidR="007B7237" w:rsidRPr="006A5D50">
        <w:rPr>
          <w:szCs w:val="22"/>
        </w:rPr>
        <w:t>Mihailovs</w:t>
      </w:r>
      <w:proofErr w:type="spellEnd"/>
      <w:r w:rsidR="007B7237" w:rsidRPr="006A5D50">
        <w:rPr>
          <w:i/>
          <w:szCs w:val="22"/>
        </w:rPr>
        <w:t xml:space="preserve"> v Latvia</w:t>
      </w:r>
      <w:r w:rsidR="007B7237" w:rsidRPr="006A5D50">
        <w:rPr>
          <w:szCs w:val="22"/>
        </w:rPr>
        <w:t xml:space="preserve"> (Application no 35939/10),</w:t>
      </w:r>
      <w:r w:rsidR="007B7237" w:rsidRPr="006A5D50">
        <w:rPr>
          <w:szCs w:val="22"/>
          <w:lang w:val="en-GB"/>
        </w:rPr>
        <w:t xml:space="preserve"> </w:t>
      </w:r>
      <w:proofErr w:type="spellStart"/>
      <w:r w:rsidR="007B7237" w:rsidRPr="006A5D50">
        <w:rPr>
          <w:i/>
          <w:szCs w:val="22"/>
        </w:rPr>
        <w:t>Semikhvostov</w:t>
      </w:r>
      <w:proofErr w:type="spellEnd"/>
      <w:r w:rsidR="007B7237" w:rsidRPr="006A5D50">
        <w:rPr>
          <w:i/>
          <w:szCs w:val="22"/>
        </w:rPr>
        <w:t xml:space="preserve"> v Russia</w:t>
      </w:r>
      <w:r w:rsidR="007B7237" w:rsidRPr="006A5D50">
        <w:rPr>
          <w:szCs w:val="22"/>
        </w:rPr>
        <w:t xml:space="preserve"> (Application no 2689/12), </w:t>
      </w:r>
      <w:proofErr w:type="spellStart"/>
      <w:r w:rsidR="007B7237" w:rsidRPr="006A5D50">
        <w:rPr>
          <w:i/>
          <w:szCs w:val="22"/>
        </w:rPr>
        <w:t>Koroviny</w:t>
      </w:r>
      <w:proofErr w:type="spellEnd"/>
      <w:r w:rsidR="007B7237" w:rsidRPr="006A5D50">
        <w:rPr>
          <w:i/>
          <w:szCs w:val="22"/>
        </w:rPr>
        <w:t xml:space="preserve"> v Russia</w:t>
      </w:r>
      <w:r w:rsidR="007B7237" w:rsidRPr="006A5D50">
        <w:rPr>
          <w:szCs w:val="22"/>
        </w:rPr>
        <w:t xml:space="preserve"> (Application no 31974/11), </w:t>
      </w:r>
      <w:proofErr w:type="spellStart"/>
      <w:r w:rsidR="007B7237" w:rsidRPr="006A5D50">
        <w:rPr>
          <w:i/>
          <w:szCs w:val="22"/>
        </w:rPr>
        <w:t>Stankov</w:t>
      </w:r>
      <w:proofErr w:type="spellEnd"/>
      <w:r w:rsidR="007B7237" w:rsidRPr="006A5D50">
        <w:rPr>
          <w:i/>
          <w:szCs w:val="22"/>
        </w:rPr>
        <w:t xml:space="preserve"> v Bulgaria</w:t>
      </w:r>
      <w:r w:rsidR="007B7237" w:rsidRPr="006A5D50">
        <w:rPr>
          <w:szCs w:val="22"/>
        </w:rPr>
        <w:t xml:space="preserve"> (Application no 25820/07)</w:t>
      </w:r>
      <w:r w:rsidR="000C1AA0" w:rsidRPr="006A5D50">
        <w:rPr>
          <w:szCs w:val="22"/>
        </w:rPr>
        <w:t xml:space="preserve">, </w:t>
      </w:r>
      <w:proofErr w:type="spellStart"/>
      <w:r w:rsidR="000C1AA0" w:rsidRPr="006A5D50">
        <w:rPr>
          <w:i/>
          <w:szCs w:val="22"/>
        </w:rPr>
        <w:t>Stoian</w:t>
      </w:r>
      <w:proofErr w:type="spellEnd"/>
      <w:r w:rsidR="000C1AA0" w:rsidRPr="006A5D50">
        <w:rPr>
          <w:i/>
          <w:szCs w:val="22"/>
        </w:rPr>
        <w:t xml:space="preserve"> v Romania</w:t>
      </w:r>
      <w:r w:rsidR="000C1AA0" w:rsidRPr="006A5D50">
        <w:rPr>
          <w:szCs w:val="22"/>
        </w:rPr>
        <w:t xml:space="preserve"> (Application</w:t>
      </w:r>
      <w:r w:rsidR="00A412F9" w:rsidRPr="006A5D50">
        <w:rPr>
          <w:szCs w:val="22"/>
        </w:rPr>
        <w:t xml:space="preserve"> no 289/14</w:t>
      </w:r>
      <w:r w:rsidR="000C1AA0" w:rsidRPr="006A5D50">
        <w:rPr>
          <w:szCs w:val="22"/>
        </w:rPr>
        <w:t>)</w:t>
      </w:r>
      <w:r w:rsidR="0074647C" w:rsidRPr="006A5D50">
        <w:rPr>
          <w:szCs w:val="22"/>
        </w:rPr>
        <w:t>,</w:t>
      </w:r>
      <w:r w:rsidR="007B7237" w:rsidRPr="006A5D50">
        <w:rPr>
          <w:szCs w:val="22"/>
        </w:rPr>
        <w:t xml:space="preserve"> along with other </w:t>
      </w:r>
      <w:proofErr w:type="spellStart"/>
      <w:r w:rsidR="007B7237" w:rsidRPr="006A5D50">
        <w:rPr>
          <w:szCs w:val="22"/>
        </w:rPr>
        <w:t>organisation</w:t>
      </w:r>
      <w:r>
        <w:rPr>
          <w:szCs w:val="22"/>
        </w:rPr>
        <w:t>s</w:t>
      </w:r>
      <w:proofErr w:type="spellEnd"/>
      <w:r>
        <w:rPr>
          <w:szCs w:val="22"/>
        </w:rPr>
        <w:t xml:space="preserve"> of persons with disabilities.</w:t>
      </w:r>
    </w:p>
    <w:p w14:paraId="4B3CDB95" w14:textId="13B39BD5" w:rsidR="007B7237" w:rsidRPr="006A5D50" w:rsidRDefault="007B7237" w:rsidP="00C03D6A">
      <w:pPr>
        <w:spacing w:after="240"/>
        <w:jc w:val="both"/>
        <w:rPr>
          <w:szCs w:val="22"/>
          <w:highlight w:val="yellow"/>
        </w:rPr>
      </w:pPr>
      <w:r w:rsidRPr="006A5D50">
        <w:rPr>
          <w:szCs w:val="22"/>
        </w:rPr>
        <w:t xml:space="preserve">The </w:t>
      </w:r>
      <w:proofErr w:type="spellStart"/>
      <w:r w:rsidRPr="006A5D50">
        <w:rPr>
          <w:szCs w:val="22"/>
        </w:rPr>
        <w:t>organisations’</w:t>
      </w:r>
      <w:proofErr w:type="spellEnd"/>
      <w:r w:rsidRPr="006A5D50">
        <w:rPr>
          <w:szCs w:val="22"/>
        </w:rPr>
        <w:t xml:space="preserve"> </w:t>
      </w:r>
      <w:r w:rsidRPr="006A5D50">
        <w:rPr>
          <w:rFonts w:cs="Arial"/>
          <w:color w:val="000000"/>
          <w:kern w:val="24"/>
          <w:szCs w:val="22"/>
          <w:lang w:val="en-GB"/>
        </w:rPr>
        <w:t xml:space="preserve">participation in third party interventions is aimed at bringing the Court’s attention to the </w:t>
      </w:r>
      <w:r w:rsidR="00200109" w:rsidRPr="006A5D50">
        <w:rPr>
          <w:rFonts w:cs="Arial"/>
          <w:color w:val="000000"/>
          <w:kern w:val="24"/>
          <w:szCs w:val="22"/>
          <w:lang w:val="en-GB"/>
        </w:rPr>
        <w:t>most recent</w:t>
      </w:r>
      <w:r w:rsidRPr="006A5D50">
        <w:rPr>
          <w:rFonts w:cs="Arial"/>
          <w:color w:val="000000"/>
          <w:kern w:val="24"/>
          <w:szCs w:val="22"/>
          <w:lang w:val="en-GB"/>
        </w:rPr>
        <w:t xml:space="preserve"> international human rights standards concerning persons with disabilities. </w:t>
      </w:r>
      <w:r w:rsidR="00200109" w:rsidRPr="006A5D50">
        <w:rPr>
          <w:szCs w:val="22"/>
        </w:rPr>
        <w:t>This is</w:t>
      </w:r>
      <w:r w:rsidRPr="006A5D50">
        <w:rPr>
          <w:szCs w:val="22"/>
        </w:rPr>
        <w:t xml:space="preserve"> key to ensuring a </w:t>
      </w:r>
      <w:proofErr w:type="spellStart"/>
      <w:r w:rsidRPr="006A5D50">
        <w:rPr>
          <w:szCs w:val="22"/>
        </w:rPr>
        <w:t>harmonised</w:t>
      </w:r>
      <w:proofErr w:type="spellEnd"/>
      <w:r w:rsidRPr="006A5D50">
        <w:rPr>
          <w:szCs w:val="22"/>
        </w:rPr>
        <w:t xml:space="preserve"> approach by the Court and the UN Committee on the Rights of Persons with Disabilities (CRPD) in an important effort to uphold the development and coherence of international human rights law.</w:t>
      </w:r>
    </w:p>
    <w:p w14:paraId="246EC90D" w14:textId="43328EA0" w:rsidR="004A6434" w:rsidRDefault="007B7237" w:rsidP="00C03D6A">
      <w:pPr>
        <w:spacing w:after="240"/>
        <w:jc w:val="both"/>
      </w:pPr>
      <w:r w:rsidRPr="006A5D50">
        <w:rPr>
          <w:rFonts w:cs="Arial"/>
          <w:szCs w:val="22"/>
        </w:rPr>
        <w:t>The issues being raised in the present case are topics with which</w:t>
      </w:r>
      <w:r w:rsidR="00200109" w:rsidRPr="006A5D50">
        <w:rPr>
          <w:rFonts w:cs="Arial"/>
          <w:szCs w:val="22"/>
        </w:rPr>
        <w:t xml:space="preserve"> the </w:t>
      </w:r>
      <w:proofErr w:type="spellStart"/>
      <w:r w:rsidR="00200109" w:rsidRPr="006A5D50">
        <w:rPr>
          <w:rFonts w:cs="Arial"/>
          <w:szCs w:val="22"/>
        </w:rPr>
        <w:t>organisations</w:t>
      </w:r>
      <w:proofErr w:type="spellEnd"/>
      <w:r w:rsidR="00200109" w:rsidRPr="006A5D50">
        <w:rPr>
          <w:rFonts w:cs="Arial"/>
          <w:szCs w:val="22"/>
        </w:rPr>
        <w:t xml:space="preserve"> are familiar. EDF has been a</w:t>
      </w:r>
      <w:r w:rsidRPr="006A5D50">
        <w:rPr>
          <w:rFonts w:cs="Arial"/>
          <w:szCs w:val="22"/>
        </w:rPr>
        <w:t xml:space="preserve"> </w:t>
      </w:r>
      <w:r w:rsidR="00FE34A8">
        <w:rPr>
          <w:rFonts w:cs="Arial"/>
          <w:szCs w:val="22"/>
        </w:rPr>
        <w:t xml:space="preserve">key </w:t>
      </w:r>
      <w:proofErr w:type="spellStart"/>
      <w:r w:rsidR="00FE34A8">
        <w:rPr>
          <w:rFonts w:cs="Arial"/>
          <w:szCs w:val="22"/>
        </w:rPr>
        <w:t>actor</w:t>
      </w:r>
      <w:proofErr w:type="spellEnd"/>
      <w:r w:rsidRPr="006A5D50">
        <w:rPr>
          <w:rFonts w:cs="Arial"/>
          <w:szCs w:val="22"/>
        </w:rPr>
        <w:t xml:space="preserve"> in the negotiation of the relevant provisions of the Convention on the Rights of Persons with Disabilities (CRPD), and since the CRPD came into force, working directly on the implementation of these provisions, including the right t</w:t>
      </w:r>
      <w:r w:rsidR="00200109" w:rsidRPr="006A5D50">
        <w:rPr>
          <w:rFonts w:cs="Arial"/>
          <w:szCs w:val="22"/>
        </w:rPr>
        <w:t>o</w:t>
      </w:r>
      <w:r w:rsidR="002C0272">
        <w:rPr>
          <w:rFonts w:cs="Arial"/>
          <w:szCs w:val="22"/>
        </w:rPr>
        <w:t xml:space="preserve"> equality and</w:t>
      </w:r>
      <w:r w:rsidR="00200109" w:rsidRPr="006A5D50">
        <w:rPr>
          <w:rFonts w:cs="Arial"/>
          <w:szCs w:val="22"/>
        </w:rPr>
        <w:t xml:space="preserve"> non-discrimination (Article 5</w:t>
      </w:r>
      <w:r w:rsidRPr="006A5D50">
        <w:rPr>
          <w:rFonts w:cs="Arial"/>
          <w:szCs w:val="22"/>
        </w:rPr>
        <w:t xml:space="preserve"> CRPD) and the right to inc</w:t>
      </w:r>
      <w:r w:rsidR="00C03D6A">
        <w:rPr>
          <w:rFonts w:cs="Arial"/>
          <w:szCs w:val="22"/>
        </w:rPr>
        <w:t xml:space="preserve">lusive education (Article 24). </w:t>
      </w:r>
    </w:p>
    <w:p w14:paraId="01C9C753" w14:textId="77777777" w:rsidR="0080668D" w:rsidRPr="00C03D6A" w:rsidRDefault="0080668D" w:rsidP="0080668D">
      <w:pPr>
        <w:jc w:val="both"/>
      </w:pPr>
    </w:p>
    <w:p w14:paraId="19E9DAA2" w14:textId="5EDE8697" w:rsidR="00C1584F" w:rsidRPr="00010AB7" w:rsidRDefault="00C1584F">
      <w:pPr>
        <w:rPr>
          <w:rFonts w:cs="Arial"/>
        </w:rPr>
      </w:pPr>
    </w:p>
    <w:sectPr w:rsidR="00C1584F" w:rsidRPr="00010AB7" w:rsidSect="00B32328">
      <w:footerReference w:type="even" r:id="rId17"/>
      <w:footerReference w:type="default" r:id="rId18"/>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A471" w14:textId="77777777" w:rsidR="006B2ABB" w:rsidRDefault="006B2ABB" w:rsidP="0067082D">
      <w:r>
        <w:separator/>
      </w:r>
    </w:p>
  </w:endnote>
  <w:endnote w:type="continuationSeparator" w:id="0">
    <w:p w14:paraId="6C3C4967" w14:textId="77777777" w:rsidR="006B2ABB" w:rsidRDefault="006B2ABB" w:rsidP="0067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C3D6" w14:textId="77777777" w:rsidR="006B2ABB" w:rsidRDefault="006B2ABB" w:rsidP="008F15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9E526" w14:textId="77777777" w:rsidR="006B2ABB" w:rsidRDefault="006B2A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6E649" w14:textId="4F63AAB7" w:rsidR="006B2ABB" w:rsidRPr="004C0A8A" w:rsidRDefault="006B2ABB" w:rsidP="008F1500">
    <w:pPr>
      <w:pStyle w:val="Footer"/>
      <w:framePr w:wrap="around" w:vAnchor="text" w:hAnchor="margin" w:xAlign="center" w:y="1"/>
      <w:rPr>
        <w:rStyle w:val="PageNumber"/>
        <w:rFonts w:cs="Arial"/>
        <w:sz w:val="20"/>
      </w:rPr>
    </w:pPr>
    <w:r w:rsidRPr="004C0A8A">
      <w:rPr>
        <w:rStyle w:val="PageNumber"/>
        <w:rFonts w:cs="Arial"/>
        <w:sz w:val="20"/>
      </w:rPr>
      <w:fldChar w:fldCharType="begin"/>
    </w:r>
    <w:r w:rsidRPr="004C0A8A">
      <w:rPr>
        <w:rStyle w:val="PageNumber"/>
        <w:rFonts w:cs="Arial"/>
        <w:sz w:val="20"/>
      </w:rPr>
      <w:instrText xml:space="preserve">PAGE  </w:instrText>
    </w:r>
    <w:r w:rsidRPr="004C0A8A">
      <w:rPr>
        <w:rStyle w:val="PageNumber"/>
        <w:rFonts w:cs="Arial"/>
        <w:sz w:val="20"/>
      </w:rPr>
      <w:fldChar w:fldCharType="separate"/>
    </w:r>
    <w:r w:rsidR="00916D6D">
      <w:rPr>
        <w:rStyle w:val="PageNumber"/>
        <w:rFonts w:cs="Arial"/>
        <w:noProof/>
        <w:sz w:val="20"/>
      </w:rPr>
      <w:t>10</w:t>
    </w:r>
    <w:r w:rsidRPr="004C0A8A">
      <w:rPr>
        <w:rStyle w:val="PageNumber"/>
        <w:rFonts w:cs="Arial"/>
        <w:sz w:val="20"/>
      </w:rPr>
      <w:fldChar w:fldCharType="end"/>
    </w:r>
  </w:p>
  <w:p w14:paraId="4C7930EE" w14:textId="77777777" w:rsidR="006B2ABB" w:rsidRDefault="006B2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F82D3" w14:textId="77777777" w:rsidR="006B2ABB" w:rsidRDefault="006B2ABB" w:rsidP="0067082D">
      <w:r>
        <w:separator/>
      </w:r>
    </w:p>
  </w:footnote>
  <w:footnote w:type="continuationSeparator" w:id="0">
    <w:p w14:paraId="1CF397E4" w14:textId="77777777" w:rsidR="006B2ABB" w:rsidRDefault="006B2ABB" w:rsidP="0067082D">
      <w:r>
        <w:continuationSeparator/>
      </w:r>
    </w:p>
  </w:footnote>
  <w:footnote w:id="1">
    <w:p w14:paraId="0A96ED4B" w14:textId="77777777" w:rsidR="006B2ABB" w:rsidRPr="00E61299" w:rsidRDefault="006B2ABB" w:rsidP="00F16C78">
      <w:pPr>
        <w:pStyle w:val="FootnoteText"/>
        <w:jc w:val="both"/>
        <w:rPr>
          <w:rFonts w:cs="Arial"/>
          <w:szCs w:val="16"/>
          <w:lang w:val="en-US"/>
        </w:rPr>
      </w:pPr>
      <w:r w:rsidRPr="00EB4DAA">
        <w:rPr>
          <w:rStyle w:val="FootnoteReference"/>
          <w:rFonts w:cs="Arial"/>
          <w:szCs w:val="16"/>
        </w:rPr>
        <w:footnoteRef/>
      </w:r>
      <w:r w:rsidRPr="00EB4DAA">
        <w:rPr>
          <w:rFonts w:cs="Arial"/>
          <w:szCs w:val="16"/>
        </w:rPr>
        <w:t xml:space="preserve"> </w:t>
      </w:r>
      <w:proofErr w:type="spellStart"/>
      <w:r w:rsidRPr="00EB4DAA">
        <w:rPr>
          <w:rFonts w:cs="Arial"/>
          <w:i/>
          <w:szCs w:val="16"/>
        </w:rPr>
        <w:t>Opuz</w:t>
      </w:r>
      <w:proofErr w:type="spellEnd"/>
      <w:r w:rsidRPr="00EB4DAA">
        <w:rPr>
          <w:rFonts w:cs="Arial"/>
          <w:i/>
          <w:szCs w:val="16"/>
        </w:rPr>
        <w:t xml:space="preserve"> v Turkey</w:t>
      </w:r>
      <w:r w:rsidRPr="00EB4DAA">
        <w:rPr>
          <w:rFonts w:cs="Arial"/>
          <w:szCs w:val="16"/>
        </w:rPr>
        <w:t>, Application no 33401/02, judgment of 9 June 2009, para 164.</w:t>
      </w:r>
    </w:p>
  </w:footnote>
  <w:footnote w:id="2">
    <w:p w14:paraId="1982CA4C" w14:textId="68EFBDB5" w:rsidR="006B2ABB" w:rsidRPr="001A4D48" w:rsidRDefault="006B2ABB" w:rsidP="001A4D48">
      <w:pPr>
        <w:pStyle w:val="FootnoteText"/>
        <w:jc w:val="both"/>
        <w:rPr>
          <w:rFonts w:cs="Arial"/>
          <w:szCs w:val="16"/>
          <w:lang w:val="en-US"/>
        </w:rPr>
      </w:pPr>
      <w:r w:rsidRPr="001A4D48">
        <w:rPr>
          <w:rStyle w:val="FootnoteReference"/>
          <w:rFonts w:cs="Arial"/>
          <w:szCs w:val="16"/>
        </w:rPr>
        <w:footnoteRef/>
      </w:r>
      <w:r w:rsidRPr="001A4D48">
        <w:rPr>
          <w:rFonts w:cs="Arial"/>
          <w:szCs w:val="16"/>
        </w:rPr>
        <w:t xml:space="preserve"> Convention on the Rights of Persons with Disabilities, adopted Jan. 24, 2007, art. 3, G.A. Res. 61/106, U.N. Doc. A/RES/61/106.</w:t>
      </w:r>
    </w:p>
  </w:footnote>
  <w:footnote w:id="3">
    <w:p w14:paraId="50F8BAA8" w14:textId="39E19BFE" w:rsidR="006B2ABB" w:rsidRPr="001A4D48" w:rsidRDefault="006B2ABB" w:rsidP="00684418">
      <w:pPr>
        <w:pStyle w:val="FootnoteText"/>
        <w:jc w:val="both"/>
        <w:rPr>
          <w:rFonts w:cs="Arial"/>
          <w:szCs w:val="16"/>
          <w:lang w:val="en-US"/>
        </w:rPr>
      </w:pPr>
      <w:r w:rsidRPr="001A4D48">
        <w:rPr>
          <w:rStyle w:val="FootnoteReference"/>
          <w:rFonts w:cs="Arial"/>
          <w:szCs w:val="16"/>
        </w:rPr>
        <w:footnoteRef/>
      </w:r>
      <w:r w:rsidRPr="001A4D48">
        <w:rPr>
          <w:rFonts w:cs="Arial"/>
          <w:szCs w:val="16"/>
        </w:rPr>
        <w:t xml:space="preserve"> </w:t>
      </w:r>
      <w:r w:rsidRPr="001A4D48">
        <w:rPr>
          <w:rFonts w:cs="Arial"/>
          <w:szCs w:val="16"/>
          <w:lang w:val="en-US"/>
        </w:rPr>
        <w:t xml:space="preserve">Liechtenstein </w:t>
      </w:r>
      <w:r>
        <w:rPr>
          <w:rFonts w:cs="Arial"/>
          <w:szCs w:val="16"/>
          <w:lang w:val="en-US"/>
        </w:rPr>
        <w:t>has neither signed nor ratified</w:t>
      </w:r>
      <w:r w:rsidRPr="001A4D48">
        <w:rPr>
          <w:rFonts w:cs="Arial"/>
          <w:szCs w:val="16"/>
          <w:lang w:val="en-US"/>
        </w:rPr>
        <w:t xml:space="preserve"> the CRPD.  </w:t>
      </w:r>
    </w:p>
  </w:footnote>
  <w:footnote w:id="4">
    <w:p w14:paraId="2C695F0C" w14:textId="6871B11A" w:rsidR="006B2ABB" w:rsidRPr="001A4D48" w:rsidRDefault="006B2ABB" w:rsidP="001A4D48">
      <w:pPr>
        <w:pStyle w:val="FootnoteText"/>
        <w:jc w:val="both"/>
        <w:rPr>
          <w:rFonts w:cs="Arial"/>
          <w:szCs w:val="16"/>
        </w:rPr>
      </w:pPr>
      <w:r w:rsidRPr="001A4D48">
        <w:rPr>
          <w:rStyle w:val="FootnoteReference"/>
          <w:rFonts w:cs="Arial"/>
          <w:szCs w:val="16"/>
        </w:rPr>
        <w:footnoteRef/>
      </w:r>
      <w:r w:rsidRPr="001A4D48">
        <w:rPr>
          <w:rFonts w:cs="Arial"/>
          <w:szCs w:val="16"/>
        </w:rPr>
        <w:t xml:space="preserve"> </w:t>
      </w:r>
      <w:r w:rsidRPr="00684418">
        <w:rPr>
          <w:rFonts w:cs="Arial"/>
          <w:szCs w:val="16"/>
          <w:lang w:val="en-US"/>
        </w:rPr>
        <w:t>the CRPD is the first international human rights instrument to which an regional integration body is a party, i.e. the European Union, which acceded to it on 23 December 2010</w:t>
      </w:r>
    </w:p>
  </w:footnote>
  <w:footnote w:id="5">
    <w:p w14:paraId="214CE9CE" w14:textId="068C52C8" w:rsidR="006B2ABB" w:rsidRPr="001A4D48" w:rsidRDefault="006B2ABB" w:rsidP="001A4D48">
      <w:pPr>
        <w:pStyle w:val="FootnoteText"/>
        <w:jc w:val="both"/>
        <w:rPr>
          <w:rFonts w:cs="Arial"/>
          <w:szCs w:val="16"/>
          <w:lang w:val="en-US"/>
        </w:rPr>
      </w:pPr>
      <w:r w:rsidRPr="001A4D48">
        <w:rPr>
          <w:rStyle w:val="FootnoteReference"/>
          <w:rFonts w:cs="Arial"/>
          <w:szCs w:val="16"/>
        </w:rPr>
        <w:footnoteRef/>
      </w:r>
      <w:r w:rsidRPr="001A4D48">
        <w:rPr>
          <w:rFonts w:cs="Arial"/>
          <w:szCs w:val="16"/>
        </w:rPr>
        <w:t xml:space="preserve"> </w:t>
      </w:r>
      <w:proofErr w:type="spellStart"/>
      <w:r w:rsidRPr="001A4D48">
        <w:rPr>
          <w:rFonts w:cs="Arial"/>
          <w:i/>
          <w:iCs/>
          <w:szCs w:val="16"/>
          <w:lang w:val="en-US"/>
        </w:rPr>
        <w:t>Glor</w:t>
      </w:r>
      <w:proofErr w:type="spellEnd"/>
      <w:r w:rsidRPr="001A4D48">
        <w:rPr>
          <w:rFonts w:cs="Arial"/>
          <w:i/>
          <w:iCs/>
          <w:szCs w:val="16"/>
          <w:lang w:val="en-US"/>
        </w:rPr>
        <w:t xml:space="preserve"> v Switzerland</w:t>
      </w:r>
      <w:r w:rsidRPr="001A4D48">
        <w:rPr>
          <w:rFonts w:cs="Arial"/>
          <w:szCs w:val="16"/>
          <w:lang w:val="en-US"/>
        </w:rPr>
        <w:t>, Application no 134</w:t>
      </w:r>
      <w:r>
        <w:rPr>
          <w:rFonts w:cs="Arial"/>
          <w:szCs w:val="16"/>
          <w:lang w:val="en-US"/>
        </w:rPr>
        <w:t>44/04, 30 April 2009, para 53. T</w:t>
      </w:r>
      <w:r w:rsidRPr="001A4D48">
        <w:rPr>
          <w:rFonts w:cs="Arial"/>
          <w:szCs w:val="16"/>
          <w:lang w:val="en-US"/>
        </w:rPr>
        <w:t xml:space="preserve">he Court made explicit reference to the CRPD in the </w:t>
      </w:r>
      <w:proofErr w:type="spellStart"/>
      <w:r w:rsidRPr="001A4D48">
        <w:rPr>
          <w:rFonts w:cs="Arial"/>
          <w:i/>
          <w:iCs/>
          <w:szCs w:val="16"/>
          <w:lang w:val="en-US"/>
        </w:rPr>
        <w:t>Glor</w:t>
      </w:r>
      <w:proofErr w:type="spellEnd"/>
      <w:r w:rsidRPr="001A4D48">
        <w:rPr>
          <w:rFonts w:cs="Arial"/>
          <w:i/>
          <w:iCs/>
          <w:szCs w:val="16"/>
          <w:lang w:val="en-US"/>
        </w:rPr>
        <w:t xml:space="preserve"> </w:t>
      </w:r>
      <w:r w:rsidRPr="001A4D48">
        <w:rPr>
          <w:rFonts w:cs="Arial"/>
          <w:szCs w:val="16"/>
          <w:lang w:val="en-US"/>
        </w:rPr>
        <w:t>case even though Switzerland had not ratified the CRPD at that time (it finally did it on 15 April 2014). </w:t>
      </w:r>
    </w:p>
  </w:footnote>
  <w:footnote w:id="6">
    <w:p w14:paraId="527E30ED" w14:textId="2D32A39E" w:rsidR="006B2ABB" w:rsidRPr="001A4D48" w:rsidRDefault="006B2ABB" w:rsidP="009A64ED">
      <w:pPr>
        <w:pStyle w:val="FootnoteText"/>
        <w:jc w:val="both"/>
        <w:rPr>
          <w:rFonts w:cs="Arial"/>
          <w:szCs w:val="16"/>
          <w:lang w:val="en-US"/>
        </w:rPr>
      </w:pPr>
      <w:r w:rsidRPr="001A4D48">
        <w:rPr>
          <w:rStyle w:val="FootnoteReference"/>
          <w:rFonts w:cs="Arial"/>
          <w:szCs w:val="16"/>
        </w:rPr>
        <w:footnoteRef/>
      </w:r>
      <w:r w:rsidRPr="001A4D48">
        <w:rPr>
          <w:rFonts w:cs="Arial"/>
          <w:szCs w:val="16"/>
        </w:rPr>
        <w:t xml:space="preserve"> </w:t>
      </w:r>
      <w:proofErr w:type="spellStart"/>
      <w:r w:rsidRPr="001A4D48">
        <w:rPr>
          <w:rFonts w:cs="Arial"/>
          <w:i/>
          <w:szCs w:val="16"/>
          <w:lang w:val="en-US"/>
        </w:rPr>
        <w:t>Çam</w:t>
      </w:r>
      <w:proofErr w:type="spellEnd"/>
      <w:r w:rsidRPr="001A4D48">
        <w:rPr>
          <w:rFonts w:cs="Arial"/>
          <w:i/>
          <w:szCs w:val="16"/>
          <w:lang w:val="en-US"/>
        </w:rPr>
        <w:t xml:space="preserve"> v. Turkey</w:t>
      </w:r>
      <w:r w:rsidRPr="001A4D48">
        <w:rPr>
          <w:rFonts w:cs="Arial"/>
          <w:szCs w:val="16"/>
          <w:lang w:val="en-US"/>
        </w:rPr>
        <w:t xml:space="preserve"> (application n</w:t>
      </w:r>
      <w:r>
        <w:rPr>
          <w:rFonts w:cs="Arial"/>
          <w:szCs w:val="16"/>
          <w:lang w:val="en-US"/>
        </w:rPr>
        <w:t xml:space="preserve">o. 51500/08), 23 February 2016. </w:t>
      </w:r>
    </w:p>
  </w:footnote>
  <w:footnote w:id="7">
    <w:p w14:paraId="6EBA9E25" w14:textId="40BF25BD" w:rsidR="006B2ABB" w:rsidRPr="009A64ED" w:rsidRDefault="006B2ABB">
      <w:pPr>
        <w:pStyle w:val="FootnoteText"/>
      </w:pPr>
      <w:r>
        <w:rPr>
          <w:rStyle w:val="FootnoteReference"/>
        </w:rPr>
        <w:footnoteRef/>
      </w:r>
      <w:r>
        <w:t xml:space="preserve"> </w:t>
      </w:r>
      <w:proofErr w:type="spellStart"/>
      <w:r w:rsidRPr="009A64ED">
        <w:rPr>
          <w:i/>
          <w:lang w:val="en-US"/>
        </w:rPr>
        <w:t>Enver</w:t>
      </w:r>
      <w:proofErr w:type="spellEnd"/>
      <w:r w:rsidRPr="009A64ED">
        <w:rPr>
          <w:i/>
          <w:lang w:val="en-US"/>
        </w:rPr>
        <w:t xml:space="preserve"> </w:t>
      </w:r>
      <w:proofErr w:type="spellStart"/>
      <w:r w:rsidRPr="009A64ED">
        <w:rPr>
          <w:i/>
          <w:lang w:val="en-US"/>
        </w:rPr>
        <w:t>Şahin</w:t>
      </w:r>
      <w:proofErr w:type="spellEnd"/>
      <w:r w:rsidRPr="009A64ED">
        <w:rPr>
          <w:i/>
          <w:lang w:val="en-US"/>
        </w:rPr>
        <w:t xml:space="preserve"> v. Turkey</w:t>
      </w:r>
      <w:r>
        <w:rPr>
          <w:lang w:val="en-US"/>
        </w:rPr>
        <w:t xml:space="preserve"> (application no.</w:t>
      </w:r>
      <w:r w:rsidRPr="009A64ED">
        <w:rPr>
          <w:i/>
          <w:iCs/>
          <w:lang w:val="en-US"/>
        </w:rPr>
        <w:t> </w:t>
      </w:r>
      <w:r w:rsidRPr="009A64ED">
        <w:rPr>
          <w:lang w:val="en-US"/>
        </w:rPr>
        <w:t>23065/12</w:t>
      </w:r>
      <w:r w:rsidRPr="009A64ED">
        <w:rPr>
          <w:i/>
          <w:iCs/>
          <w:lang w:val="en-US"/>
        </w:rPr>
        <w:t>)</w:t>
      </w:r>
      <w:r>
        <w:rPr>
          <w:iCs/>
          <w:lang w:val="en-US"/>
        </w:rPr>
        <w:t>, 30 January 2018.</w:t>
      </w:r>
    </w:p>
  </w:footnote>
  <w:footnote w:id="8">
    <w:p w14:paraId="2B0B62EB" w14:textId="12B6CB7F" w:rsidR="006B2ABB" w:rsidRPr="009A64ED" w:rsidRDefault="006B2ABB">
      <w:pPr>
        <w:pStyle w:val="FootnoteText"/>
      </w:pPr>
      <w:r>
        <w:rPr>
          <w:rStyle w:val="FootnoteReference"/>
        </w:rPr>
        <w:footnoteRef/>
      </w:r>
      <w:r>
        <w:t xml:space="preserve"> </w:t>
      </w:r>
      <w:proofErr w:type="spellStart"/>
      <w:r w:rsidRPr="009A64ED">
        <w:rPr>
          <w:i/>
          <w:lang w:val="en-US"/>
        </w:rPr>
        <w:t>Çam</w:t>
      </w:r>
      <w:proofErr w:type="spellEnd"/>
      <w:r w:rsidRPr="009A64ED">
        <w:rPr>
          <w:i/>
          <w:lang w:val="en-US"/>
        </w:rPr>
        <w:t xml:space="preserve"> v. Turkey</w:t>
      </w:r>
      <w:r w:rsidRPr="009A64ED">
        <w:rPr>
          <w:lang w:val="en-US"/>
        </w:rPr>
        <w:t xml:space="preserve"> (application no. 51500/08), 23 February 2016, para. 54</w:t>
      </w:r>
      <w:r>
        <w:rPr>
          <w:lang w:val="en-US"/>
        </w:rPr>
        <w:t xml:space="preserve">; </w:t>
      </w:r>
      <w:proofErr w:type="spellStart"/>
      <w:r w:rsidRPr="009A64ED">
        <w:rPr>
          <w:i/>
          <w:lang w:val="en-US"/>
        </w:rPr>
        <w:t>Enver</w:t>
      </w:r>
      <w:proofErr w:type="spellEnd"/>
      <w:r w:rsidRPr="009A64ED">
        <w:rPr>
          <w:i/>
          <w:lang w:val="en-US"/>
        </w:rPr>
        <w:t xml:space="preserve"> </w:t>
      </w:r>
      <w:proofErr w:type="spellStart"/>
      <w:r w:rsidRPr="009A64ED">
        <w:rPr>
          <w:i/>
          <w:lang w:val="en-US"/>
        </w:rPr>
        <w:t>Şahin</w:t>
      </w:r>
      <w:proofErr w:type="spellEnd"/>
      <w:r w:rsidRPr="009A64ED">
        <w:rPr>
          <w:i/>
          <w:lang w:val="en-US"/>
        </w:rPr>
        <w:t xml:space="preserve"> v. Turkey</w:t>
      </w:r>
      <w:r w:rsidRPr="009A64ED">
        <w:rPr>
          <w:lang w:val="en-US"/>
        </w:rPr>
        <w:t xml:space="preserve"> (application no.</w:t>
      </w:r>
      <w:r w:rsidRPr="009A64ED">
        <w:rPr>
          <w:i/>
          <w:iCs/>
          <w:lang w:val="en-US"/>
        </w:rPr>
        <w:t> </w:t>
      </w:r>
      <w:r w:rsidRPr="009A64ED">
        <w:rPr>
          <w:lang w:val="en-US"/>
        </w:rPr>
        <w:t>23065/12</w:t>
      </w:r>
      <w:r w:rsidRPr="009A64ED">
        <w:rPr>
          <w:i/>
          <w:iCs/>
          <w:lang w:val="en-US"/>
        </w:rPr>
        <w:t>)</w:t>
      </w:r>
      <w:r w:rsidRPr="009A64ED">
        <w:rPr>
          <w:iCs/>
          <w:lang w:val="en-US"/>
        </w:rPr>
        <w:t>, 30 January 2018, para</w:t>
      </w:r>
      <w:r>
        <w:rPr>
          <w:iCs/>
          <w:lang w:val="en-US"/>
        </w:rPr>
        <w:t>s</w:t>
      </w:r>
      <w:r w:rsidRPr="009A64ED">
        <w:rPr>
          <w:iCs/>
          <w:lang w:val="en-US"/>
        </w:rPr>
        <w:t>.</w:t>
      </w:r>
      <w:r>
        <w:rPr>
          <w:iCs/>
          <w:lang w:val="en-US"/>
        </w:rPr>
        <w:t xml:space="preserve"> 19 and 60. </w:t>
      </w:r>
    </w:p>
  </w:footnote>
  <w:footnote w:id="9">
    <w:p w14:paraId="73F9EB6B" w14:textId="77777777" w:rsidR="006B2ABB" w:rsidRPr="00EB4DAA" w:rsidRDefault="006B2ABB" w:rsidP="00C83440">
      <w:pPr>
        <w:pStyle w:val="FootnoteText"/>
        <w:jc w:val="both"/>
        <w:rPr>
          <w:rFonts w:cs="Arial"/>
          <w:szCs w:val="16"/>
          <w:lang w:val="en-US"/>
        </w:rPr>
      </w:pPr>
      <w:r w:rsidRPr="00EB4DAA">
        <w:rPr>
          <w:rStyle w:val="FootnoteReference"/>
          <w:rFonts w:cs="Arial"/>
          <w:szCs w:val="16"/>
        </w:rPr>
        <w:footnoteRef/>
      </w:r>
      <w:r w:rsidRPr="00EB4DAA">
        <w:rPr>
          <w:rFonts w:cs="Arial"/>
          <w:szCs w:val="16"/>
        </w:rPr>
        <w:t xml:space="preserve"> </w:t>
      </w:r>
      <w:r>
        <w:t xml:space="preserve">CRPD Committee, General Comment No 4 on the right to inclusive education, </w:t>
      </w:r>
      <w:r w:rsidRPr="00636974">
        <w:rPr>
          <w:lang w:val="en-US"/>
        </w:rPr>
        <w:t>CRPD</w:t>
      </w:r>
      <w:r>
        <w:rPr>
          <w:lang w:val="en-US"/>
        </w:rPr>
        <w:t xml:space="preserve">/C/GC/4, </w:t>
      </w:r>
      <w:r>
        <w:t>25 November 2016.</w:t>
      </w:r>
    </w:p>
  </w:footnote>
  <w:footnote w:id="10">
    <w:p w14:paraId="26D0A473" w14:textId="77777777" w:rsidR="006B2ABB" w:rsidRPr="00F12369" w:rsidRDefault="006B2ABB" w:rsidP="00C83440">
      <w:pPr>
        <w:pStyle w:val="FootnoteText"/>
      </w:pPr>
      <w:r>
        <w:rPr>
          <w:rStyle w:val="FootnoteReference"/>
        </w:rPr>
        <w:footnoteRef/>
      </w:r>
      <w:r>
        <w:t xml:space="preserve"> </w:t>
      </w:r>
      <w:r w:rsidRPr="00F12369">
        <w:rPr>
          <w:lang w:val="en-US"/>
        </w:rPr>
        <w:t>CRPD</w:t>
      </w:r>
      <w:r>
        <w:rPr>
          <w:lang w:val="en-US"/>
        </w:rPr>
        <w:t xml:space="preserve"> Committee, General Comment No 6</w:t>
      </w:r>
      <w:r w:rsidRPr="00F12369">
        <w:rPr>
          <w:lang w:val="en-US"/>
        </w:rPr>
        <w:t xml:space="preserve"> on </w:t>
      </w:r>
      <w:r>
        <w:rPr>
          <w:lang w:val="en-US"/>
        </w:rPr>
        <w:t>equality and non-discrimination</w:t>
      </w:r>
      <w:r w:rsidRPr="00F12369">
        <w:rPr>
          <w:lang w:val="en-US"/>
        </w:rPr>
        <w:t>, CRPD</w:t>
      </w:r>
      <w:r>
        <w:rPr>
          <w:lang w:val="en-US"/>
        </w:rPr>
        <w:t>/C/GC/6</w:t>
      </w:r>
      <w:r w:rsidRPr="00F12369">
        <w:rPr>
          <w:lang w:val="en-US"/>
        </w:rPr>
        <w:t xml:space="preserve">, </w:t>
      </w:r>
      <w:r>
        <w:rPr>
          <w:lang w:val="en-US"/>
        </w:rPr>
        <w:t>26 April 2018</w:t>
      </w:r>
      <w:r w:rsidRPr="00F12369">
        <w:rPr>
          <w:lang w:val="en-US"/>
        </w:rPr>
        <w:t>.</w:t>
      </w:r>
    </w:p>
  </w:footnote>
  <w:footnote w:id="11">
    <w:p w14:paraId="4AD14FD1" w14:textId="3650B588" w:rsidR="006B2ABB" w:rsidRPr="00F06F4B" w:rsidRDefault="006B2ABB">
      <w:pPr>
        <w:pStyle w:val="FootnoteText"/>
      </w:pPr>
      <w:r>
        <w:rPr>
          <w:rStyle w:val="FootnoteReference"/>
        </w:rPr>
        <w:footnoteRef/>
      </w:r>
      <w:r>
        <w:t xml:space="preserve"> Report of the Secretary-General of the United Nations on Protecting children against bullying, </w:t>
      </w:r>
      <w:r w:rsidRPr="00F06F4B">
        <w:rPr>
          <w:lang w:val="en-US"/>
        </w:rPr>
        <w:t>A/73/265</w:t>
      </w:r>
      <w:r>
        <w:t xml:space="preserve">, 30 July 2018. </w:t>
      </w:r>
    </w:p>
  </w:footnote>
  <w:footnote w:id="12">
    <w:p w14:paraId="2CD24746" w14:textId="1BEB367E" w:rsidR="006B2ABB" w:rsidRPr="001E59A4" w:rsidRDefault="006B2ABB" w:rsidP="001E59A4">
      <w:pPr>
        <w:pStyle w:val="FootnoteText"/>
      </w:pPr>
      <w:r>
        <w:rPr>
          <w:rStyle w:val="FootnoteReference"/>
        </w:rPr>
        <w:footnoteRef/>
      </w:r>
      <w:r>
        <w:t xml:space="preserve"> </w:t>
      </w:r>
      <w:r w:rsidRPr="001E59A4">
        <w:t>CRC Committee, General Comment No. 13 (2011) on the right of the child to freedom from all forms of violence</w:t>
      </w:r>
      <w:r>
        <w:t xml:space="preserve">, CRC/C/GC/13, section VI, (g). </w:t>
      </w:r>
    </w:p>
  </w:footnote>
  <w:footnote w:id="13">
    <w:p w14:paraId="10277ABC" w14:textId="26CB7BB1" w:rsidR="006B2ABB" w:rsidRPr="00CC5FA8" w:rsidRDefault="006B2ABB">
      <w:pPr>
        <w:pStyle w:val="FootnoteText"/>
      </w:pPr>
      <w:r>
        <w:rPr>
          <w:rStyle w:val="FootnoteReference"/>
        </w:rPr>
        <w:footnoteRef/>
      </w:r>
      <w:r>
        <w:t xml:space="preserve"> In its report </w:t>
      </w:r>
      <w:r w:rsidRPr="00AA6725">
        <w:rPr>
          <w:i/>
        </w:rPr>
        <w:t>Promoting rights and community living for children with psychosocial disabilities</w:t>
      </w:r>
      <w:r>
        <w:t>, the World Health Organisation (WHO) defines psychosocial disabilities as “</w:t>
      </w:r>
      <w:r w:rsidRPr="00AA6725">
        <w:rPr>
          <w:lang w:val="en-US"/>
        </w:rPr>
        <w:t>disabilities of children with either diagnosed or perceived mental health conditions and/or intellectual impairments, which may also be caused by stigma, discrimination and exclusion</w:t>
      </w:r>
      <w:r>
        <w:rPr>
          <w:lang w:val="en-US"/>
        </w:rPr>
        <w:t xml:space="preserve">”. WHO and </w:t>
      </w:r>
      <w:proofErr w:type="spellStart"/>
      <w:r>
        <w:rPr>
          <w:lang w:val="en-US"/>
        </w:rPr>
        <w:t>Fundacao</w:t>
      </w:r>
      <w:proofErr w:type="spellEnd"/>
      <w:r>
        <w:rPr>
          <w:lang w:val="en-US"/>
        </w:rPr>
        <w:t xml:space="preserve"> </w:t>
      </w:r>
      <w:proofErr w:type="spellStart"/>
      <w:r>
        <w:rPr>
          <w:lang w:val="en-US"/>
        </w:rPr>
        <w:t>Calouste</w:t>
      </w:r>
      <w:proofErr w:type="spellEnd"/>
      <w:r>
        <w:rPr>
          <w:lang w:val="en-US"/>
        </w:rPr>
        <w:t xml:space="preserve"> </w:t>
      </w:r>
      <w:proofErr w:type="spellStart"/>
      <w:r>
        <w:rPr>
          <w:lang w:val="en-US"/>
        </w:rPr>
        <w:t>Gulbenkian</w:t>
      </w:r>
      <w:proofErr w:type="spellEnd"/>
      <w:r>
        <w:rPr>
          <w:lang w:val="en-US"/>
        </w:rPr>
        <w:t xml:space="preserve">, </w:t>
      </w:r>
      <w:r w:rsidRPr="004518B2">
        <w:rPr>
          <w:i/>
        </w:rPr>
        <w:t>Promoting rights and community living for children with psychosocial disabilities</w:t>
      </w:r>
      <w:r>
        <w:t xml:space="preserve">, 2015, page 13. </w:t>
      </w:r>
    </w:p>
  </w:footnote>
  <w:footnote w:id="14">
    <w:p w14:paraId="1C68223D" w14:textId="1937EFB1" w:rsidR="006B2ABB" w:rsidRPr="002F4417" w:rsidRDefault="006B2ABB">
      <w:pPr>
        <w:pStyle w:val="FootnoteText"/>
      </w:pPr>
      <w:r>
        <w:rPr>
          <w:rStyle w:val="FootnoteReference"/>
        </w:rPr>
        <w:footnoteRef/>
      </w:r>
      <w:r>
        <w:t xml:space="preserve"> For instance, see CRPD Committee, General Comment No. 4, paras. 12 and 51</w:t>
      </w:r>
    </w:p>
  </w:footnote>
  <w:footnote w:id="15">
    <w:p w14:paraId="327499B6" w14:textId="490E25E7" w:rsidR="006B2ABB" w:rsidRPr="00ED0296" w:rsidRDefault="006B2ABB" w:rsidP="002F4417">
      <w:pPr>
        <w:pStyle w:val="FootnoteText"/>
      </w:pPr>
      <w:r>
        <w:rPr>
          <w:rStyle w:val="FootnoteReference"/>
        </w:rPr>
        <w:footnoteRef/>
      </w:r>
      <w:r>
        <w:t xml:space="preserve"> As example, see CRC Committee, </w:t>
      </w:r>
      <w:r w:rsidRPr="00ED0296">
        <w:t>Gen</w:t>
      </w:r>
      <w:r>
        <w:t>eral comment No.14 (2013) on t</w:t>
      </w:r>
      <w:r w:rsidRPr="00ED0296">
        <w:t>he right of the child to have his or her best interests taken as a primary con</w:t>
      </w:r>
      <w:r>
        <w:t>sideration (art. 3, para.1</w:t>
      </w:r>
      <w:r w:rsidRPr="00ED0296">
        <w:t>)</w:t>
      </w:r>
      <w:r>
        <w:t xml:space="preserve"> and General Comment No. 20 (2016) on the </w:t>
      </w:r>
      <w:r w:rsidRPr="00757E9E">
        <w:t>implementation of the rights of the child during adolescence</w:t>
      </w:r>
      <w:r>
        <w:t xml:space="preserve">.  </w:t>
      </w:r>
    </w:p>
  </w:footnote>
  <w:footnote w:id="16">
    <w:p w14:paraId="25293169" w14:textId="6C0FD39B" w:rsidR="006B2ABB" w:rsidRPr="002F4417" w:rsidRDefault="006B2ABB">
      <w:pPr>
        <w:pStyle w:val="FootnoteText"/>
      </w:pPr>
      <w:r>
        <w:rPr>
          <w:rStyle w:val="FootnoteReference"/>
        </w:rPr>
        <w:footnoteRef/>
      </w:r>
      <w:r>
        <w:t xml:space="preserve"> For example, see CEDAW Committee, </w:t>
      </w:r>
      <w:r w:rsidRPr="002F4417">
        <w:rPr>
          <w:lang w:val="en-US"/>
        </w:rPr>
        <w:t>General recommendation No. 36 (2017) on the right of girls and women to education</w:t>
      </w:r>
      <w:r>
        <w:rPr>
          <w:lang w:val="en-US"/>
        </w:rPr>
        <w:t xml:space="preserve">. </w:t>
      </w:r>
    </w:p>
  </w:footnote>
  <w:footnote w:id="17">
    <w:p w14:paraId="79BF9D77" w14:textId="3D985BE9" w:rsidR="006B2ABB" w:rsidRPr="005F690A" w:rsidRDefault="006B2ABB" w:rsidP="00E531B7">
      <w:pPr>
        <w:pStyle w:val="FootnoteText"/>
      </w:pPr>
      <w:r>
        <w:rPr>
          <w:rStyle w:val="FootnoteReference"/>
        </w:rPr>
        <w:footnoteRef/>
      </w:r>
      <w:r>
        <w:t xml:space="preserve"> </w:t>
      </w:r>
      <w:r w:rsidRPr="005F690A">
        <w:rPr>
          <w:lang w:val="en-US"/>
        </w:rPr>
        <w:t>2030 Agenda for Sustainable Development, A/RES/70/1,</w:t>
      </w:r>
      <w:r>
        <w:rPr>
          <w:lang w:val="en-US"/>
        </w:rPr>
        <w:t xml:space="preserve"> Goal 16.2.</w:t>
      </w:r>
    </w:p>
  </w:footnote>
  <w:footnote w:id="18">
    <w:p w14:paraId="63419FEB" w14:textId="6DE15A8F" w:rsidR="006B2ABB" w:rsidRPr="00F217F2" w:rsidRDefault="006B2ABB">
      <w:pPr>
        <w:pStyle w:val="FootnoteText"/>
      </w:pPr>
      <w:r>
        <w:rPr>
          <w:rStyle w:val="FootnoteReference"/>
        </w:rPr>
        <w:footnoteRef/>
      </w:r>
      <w:r>
        <w:t xml:space="preserve"> </w:t>
      </w:r>
      <w:hyperlink r:id="rId1" w:history="1">
        <w:r w:rsidRPr="00F217F2">
          <w:rPr>
            <w:rStyle w:val="Hyperlink"/>
            <w:lang w:val="en-US"/>
          </w:rPr>
          <w:t>https://sustainabledevelopment.un.org/topics/violenceagainstchildren</w:t>
        </w:r>
      </w:hyperlink>
      <w:r>
        <w:t xml:space="preserve"> </w:t>
      </w:r>
    </w:p>
  </w:footnote>
  <w:footnote w:id="19">
    <w:p w14:paraId="27C91CEB" w14:textId="4DD5ECB4" w:rsidR="006B2ABB" w:rsidRPr="0089630F" w:rsidRDefault="006B2ABB">
      <w:pPr>
        <w:pStyle w:val="FootnoteText"/>
      </w:pPr>
      <w:r>
        <w:rPr>
          <w:rStyle w:val="FootnoteReference"/>
        </w:rPr>
        <w:footnoteRef/>
      </w:r>
      <w:r>
        <w:t xml:space="preserve"> </w:t>
      </w:r>
      <w:proofErr w:type="spellStart"/>
      <w:r w:rsidRPr="0089630F">
        <w:rPr>
          <w:i/>
          <w:iCs/>
          <w:lang w:val="en-US"/>
        </w:rPr>
        <w:t>Đorđević</w:t>
      </w:r>
      <w:proofErr w:type="spellEnd"/>
      <w:r w:rsidRPr="0089630F">
        <w:rPr>
          <w:i/>
          <w:iCs/>
          <w:lang w:val="en-US"/>
        </w:rPr>
        <w:t xml:space="preserve"> v. Croatia</w:t>
      </w:r>
      <w:r w:rsidRPr="0089630F">
        <w:rPr>
          <w:lang w:val="en-US"/>
        </w:rPr>
        <w:t xml:space="preserve">, Application no 41526/10, </w:t>
      </w:r>
      <w:r>
        <w:rPr>
          <w:lang w:val="en-US"/>
        </w:rPr>
        <w:t>29 July 2012, para 96</w:t>
      </w:r>
      <w:r w:rsidRPr="0089630F">
        <w:rPr>
          <w:lang w:val="en-US"/>
        </w:rPr>
        <w:t>.</w:t>
      </w:r>
    </w:p>
  </w:footnote>
  <w:footnote w:id="20">
    <w:p w14:paraId="731EC811" w14:textId="1319D7B8" w:rsidR="006B2ABB" w:rsidRPr="005565AE" w:rsidRDefault="006B2ABB">
      <w:pPr>
        <w:pStyle w:val="FootnoteText"/>
      </w:pPr>
      <w:r>
        <w:rPr>
          <w:rStyle w:val="FootnoteReference"/>
        </w:rPr>
        <w:footnoteRef/>
      </w:r>
      <w:r>
        <w:t xml:space="preserve"> Ibid, paras 151-153. </w:t>
      </w:r>
    </w:p>
  </w:footnote>
  <w:footnote w:id="21">
    <w:p w14:paraId="74F9C757" w14:textId="7DBAAC05" w:rsidR="006B2ABB" w:rsidRPr="00320B5A" w:rsidRDefault="006B2ABB">
      <w:pPr>
        <w:pStyle w:val="FootnoteText"/>
      </w:pPr>
      <w:r>
        <w:rPr>
          <w:rStyle w:val="FootnoteReference"/>
        </w:rPr>
        <w:footnoteRef/>
      </w:r>
      <w:r>
        <w:t xml:space="preserve"> CRC Committee, </w:t>
      </w:r>
      <w:r w:rsidRPr="001E59A4">
        <w:t>General Comment No. 13 (2011) on the right of the child to freedom from all forms of violence</w:t>
      </w:r>
      <w:r>
        <w:t xml:space="preserve">: </w:t>
      </w:r>
      <w:r w:rsidRPr="00320B5A">
        <w:rPr>
          <w:bCs/>
          <w:lang w:val="en-US"/>
        </w:rPr>
        <w:t>“psychological bullying and hazing by adults or other children, including via information and communication technologies (ICTs) such as mobile phones and the Internet (known as “cyberbullying”)”</w:t>
      </w:r>
      <w:r>
        <w:rPr>
          <w:bCs/>
          <w:lang w:val="en-US"/>
        </w:rPr>
        <w:t xml:space="preserve"> constitutes a form of mental violence.  </w:t>
      </w:r>
    </w:p>
  </w:footnote>
  <w:footnote w:id="22">
    <w:p w14:paraId="00726241" w14:textId="01FA3C27" w:rsidR="006B2ABB" w:rsidRPr="00320B5A" w:rsidRDefault="006B2ABB">
      <w:pPr>
        <w:pStyle w:val="FootnoteText"/>
      </w:pPr>
      <w:r>
        <w:rPr>
          <w:rStyle w:val="FootnoteReference"/>
        </w:rPr>
        <w:footnoteRef/>
      </w:r>
      <w:r>
        <w:t xml:space="preserve"> </w:t>
      </w:r>
      <w:r w:rsidRPr="00320B5A">
        <w:rPr>
          <w:lang w:val="en-US"/>
        </w:rPr>
        <w:t>CRC Committee, General Comment No. 13 (2011) on the right of the child to freedom from all forms of violence</w:t>
      </w:r>
      <w:r>
        <w:rPr>
          <w:lang w:val="en-US"/>
        </w:rPr>
        <w:t xml:space="preserve">: </w:t>
      </w:r>
      <w:r w:rsidRPr="00320B5A">
        <w:rPr>
          <w:bCs/>
          <w:lang w:val="en-US"/>
        </w:rPr>
        <w:t xml:space="preserve">“Physical bullying and </w:t>
      </w:r>
      <w:proofErr w:type="spellStart"/>
      <w:r w:rsidRPr="00320B5A">
        <w:rPr>
          <w:bCs/>
          <w:lang w:val="en-US"/>
        </w:rPr>
        <w:t>hazing</w:t>
      </w:r>
      <w:r>
        <w:rPr>
          <w:bCs/>
          <w:lang w:val="en-US"/>
        </w:rPr>
        <w:t>by</w:t>
      </w:r>
      <w:proofErr w:type="spellEnd"/>
      <w:r>
        <w:rPr>
          <w:bCs/>
          <w:lang w:val="en-US"/>
        </w:rPr>
        <w:t xml:space="preserve"> adults and by other children</w:t>
      </w:r>
      <w:r w:rsidRPr="00320B5A">
        <w:rPr>
          <w:bCs/>
          <w:lang w:val="en-US"/>
        </w:rPr>
        <w:t>”</w:t>
      </w:r>
      <w:r>
        <w:rPr>
          <w:bCs/>
          <w:lang w:val="en-US"/>
        </w:rPr>
        <w:t xml:space="preserve"> constitutes a form of physical violence. </w:t>
      </w:r>
    </w:p>
  </w:footnote>
  <w:footnote w:id="23">
    <w:p w14:paraId="1C6DDC36" w14:textId="07427236" w:rsidR="006B2ABB" w:rsidRPr="006A0846" w:rsidRDefault="006B2ABB">
      <w:pPr>
        <w:pStyle w:val="FootnoteText"/>
        <w:rPr>
          <w:lang w:val="it-IT"/>
        </w:rPr>
      </w:pPr>
      <w:r>
        <w:rPr>
          <w:rStyle w:val="FootnoteReference"/>
        </w:rPr>
        <w:footnoteRef/>
      </w:r>
      <w:r w:rsidRPr="006A0846">
        <w:rPr>
          <w:lang w:val="it-IT"/>
        </w:rPr>
        <w:t xml:space="preserve"> </w:t>
      </w:r>
      <w:r w:rsidRPr="006A0846">
        <w:rPr>
          <w:bCs/>
          <w:i/>
          <w:lang w:val="it-IT"/>
        </w:rPr>
        <w:t>Guberina v. Croatia,</w:t>
      </w:r>
      <w:r w:rsidRPr="006A0846">
        <w:rPr>
          <w:bCs/>
          <w:lang w:val="it-IT"/>
        </w:rPr>
        <w:t xml:space="preserve"> Application no 23682/13, 22 March 2016.</w:t>
      </w:r>
    </w:p>
  </w:footnote>
  <w:footnote w:id="24">
    <w:p w14:paraId="0128F891" w14:textId="70F08B57" w:rsidR="006B2ABB" w:rsidRPr="00E655D6" w:rsidRDefault="006B2ABB">
      <w:pPr>
        <w:pStyle w:val="FootnoteText"/>
      </w:pPr>
      <w:r>
        <w:rPr>
          <w:rStyle w:val="FootnoteReference"/>
        </w:rPr>
        <w:footnoteRef/>
      </w:r>
      <w:r>
        <w:t xml:space="preserve"> </w:t>
      </w:r>
      <w:proofErr w:type="spellStart"/>
      <w:r w:rsidRPr="00E655D6">
        <w:rPr>
          <w:i/>
          <w:iCs/>
          <w:lang w:val="en-US"/>
        </w:rPr>
        <w:t>Đorđević</w:t>
      </w:r>
      <w:proofErr w:type="spellEnd"/>
      <w:r w:rsidRPr="00E655D6">
        <w:rPr>
          <w:i/>
          <w:iCs/>
          <w:lang w:val="en-US"/>
        </w:rPr>
        <w:t xml:space="preserve"> v. Croatia</w:t>
      </w:r>
      <w:r w:rsidRPr="00E655D6">
        <w:rPr>
          <w:lang w:val="en-US"/>
        </w:rPr>
        <w:t xml:space="preserve">, Application no 41526/10, </w:t>
      </w:r>
      <w:r>
        <w:rPr>
          <w:lang w:val="en-US"/>
        </w:rPr>
        <w:t>29 July 2012, para 157.</w:t>
      </w:r>
    </w:p>
  </w:footnote>
  <w:footnote w:id="25">
    <w:p w14:paraId="17F9D35C" w14:textId="2A438AF5" w:rsidR="006B2ABB" w:rsidRPr="006A0846" w:rsidRDefault="006B2ABB">
      <w:pPr>
        <w:pStyle w:val="FootnoteText"/>
        <w:rPr>
          <w:lang w:val="it-IT"/>
        </w:rPr>
      </w:pPr>
      <w:r>
        <w:rPr>
          <w:rStyle w:val="FootnoteReference"/>
        </w:rPr>
        <w:footnoteRef/>
      </w:r>
      <w:r w:rsidRPr="006A0846">
        <w:rPr>
          <w:lang w:val="it-IT"/>
        </w:rPr>
        <w:t xml:space="preserve"> Ibid, para 158. </w:t>
      </w:r>
    </w:p>
  </w:footnote>
  <w:footnote w:id="26">
    <w:p w14:paraId="2E097F77" w14:textId="7BF7F6C0" w:rsidR="006B2ABB" w:rsidRPr="006A0846" w:rsidRDefault="006B2ABB">
      <w:pPr>
        <w:pStyle w:val="FootnoteText"/>
        <w:rPr>
          <w:lang w:val="it-IT"/>
        </w:rPr>
      </w:pPr>
      <w:r>
        <w:rPr>
          <w:rStyle w:val="FootnoteReference"/>
        </w:rPr>
        <w:footnoteRef/>
      </w:r>
      <w:r w:rsidRPr="006A0846">
        <w:rPr>
          <w:lang w:val="it-IT"/>
        </w:rPr>
        <w:t xml:space="preserve"> </w:t>
      </w:r>
      <w:r w:rsidRPr="006A0846">
        <w:rPr>
          <w:bCs/>
          <w:i/>
          <w:lang w:val="it-IT"/>
        </w:rPr>
        <w:t>Guberina v. Croatia,</w:t>
      </w:r>
      <w:r w:rsidRPr="006A0846">
        <w:rPr>
          <w:bCs/>
          <w:lang w:val="it-IT"/>
        </w:rPr>
        <w:t xml:space="preserve"> Application no 23682/13, 22 March 2016, </w:t>
      </w:r>
      <w:r w:rsidRPr="006A0846">
        <w:rPr>
          <w:lang w:val="it-IT"/>
        </w:rPr>
        <w:t xml:space="preserve">para 73. </w:t>
      </w:r>
    </w:p>
  </w:footnote>
  <w:footnote w:id="27">
    <w:p w14:paraId="6E1EBAF6" w14:textId="594AEB15" w:rsidR="006B2ABB" w:rsidRPr="00536FA1" w:rsidRDefault="006B2ABB">
      <w:pPr>
        <w:pStyle w:val="FootnoteText"/>
      </w:pPr>
      <w:r>
        <w:rPr>
          <w:rStyle w:val="FootnoteReference"/>
        </w:rPr>
        <w:footnoteRef/>
      </w:r>
      <w:r>
        <w:t xml:space="preserve"> </w:t>
      </w:r>
      <w:r w:rsidRPr="00536FA1">
        <w:rPr>
          <w:lang w:val="en-US"/>
        </w:rPr>
        <w:t>CRPD Committee, General Comment No 6 on equality and non-discrimination,</w:t>
      </w:r>
      <w:r>
        <w:rPr>
          <w:lang w:val="en-US"/>
        </w:rPr>
        <w:t xml:space="preserve"> para 18(d).</w:t>
      </w:r>
    </w:p>
  </w:footnote>
  <w:footnote w:id="28">
    <w:p w14:paraId="7A163BA8" w14:textId="23034686" w:rsidR="006B2ABB" w:rsidRPr="002B7205" w:rsidRDefault="006B2ABB">
      <w:pPr>
        <w:pStyle w:val="FootnoteText"/>
      </w:pPr>
      <w:r>
        <w:rPr>
          <w:rStyle w:val="FootnoteReference"/>
        </w:rPr>
        <w:footnoteRef/>
      </w:r>
      <w:r>
        <w:rPr>
          <w:lang w:val="en-US"/>
        </w:rPr>
        <w:t xml:space="preserve"> </w:t>
      </w:r>
      <w:r w:rsidRPr="00526C82">
        <w:rPr>
          <w:lang w:val="en-US"/>
        </w:rPr>
        <w:t>CRC Committee, General Comment No. 13 (2011) on the right of the child to freedom from all forms of violence</w:t>
      </w:r>
      <w:r>
        <w:rPr>
          <w:lang w:val="en-US"/>
        </w:rPr>
        <w:t>,</w:t>
      </w:r>
      <w:r>
        <w:t xml:space="preserve"> Section 6 (f).</w:t>
      </w:r>
    </w:p>
  </w:footnote>
  <w:footnote w:id="29">
    <w:p w14:paraId="6EB13465" w14:textId="388ADD62" w:rsidR="006B2ABB" w:rsidRPr="0066028E" w:rsidRDefault="006B2ABB">
      <w:pPr>
        <w:pStyle w:val="FootnoteText"/>
      </w:pPr>
      <w:r>
        <w:rPr>
          <w:rStyle w:val="FootnoteReference"/>
        </w:rPr>
        <w:footnoteRef/>
      </w:r>
      <w:r>
        <w:t xml:space="preserve"> Ibid, section IV (A), ‘violence among children’. </w:t>
      </w:r>
    </w:p>
  </w:footnote>
  <w:footnote w:id="30">
    <w:p w14:paraId="632D9A9F" w14:textId="1EF3B420" w:rsidR="006B2ABB" w:rsidRPr="008D10E9" w:rsidRDefault="006B2ABB">
      <w:pPr>
        <w:pStyle w:val="FootnoteText"/>
      </w:pPr>
      <w:r>
        <w:rPr>
          <w:rStyle w:val="FootnoteReference"/>
        </w:rPr>
        <w:footnoteRef/>
      </w:r>
      <w:r>
        <w:t xml:space="preserve"> UK E</w:t>
      </w:r>
      <w:r w:rsidRPr="008D10E9">
        <w:t>quality Act 2010</w:t>
      </w:r>
      <w:r>
        <w:t xml:space="preserve">, Section 26. Read more at: </w:t>
      </w:r>
      <w:hyperlink r:id="rId2" w:history="1">
        <w:r w:rsidRPr="004F5298">
          <w:rPr>
            <w:rStyle w:val="Hyperlink"/>
            <w:lang w:val="en-US"/>
          </w:rPr>
          <w:t>https://www.gov.uk/discrimination-your-rights</w:t>
        </w:r>
      </w:hyperlink>
      <w:r>
        <w:t xml:space="preserve">. </w:t>
      </w:r>
    </w:p>
  </w:footnote>
  <w:footnote w:id="31">
    <w:p w14:paraId="63AE3B3A" w14:textId="5BAA7704" w:rsidR="006B2ABB" w:rsidRPr="0003683C" w:rsidRDefault="006B2ABB">
      <w:pPr>
        <w:pStyle w:val="FootnoteText"/>
      </w:pPr>
      <w:r>
        <w:rPr>
          <w:rStyle w:val="FootnoteReference"/>
        </w:rPr>
        <w:footnoteRef/>
      </w:r>
      <w:r>
        <w:t xml:space="preserve"> </w:t>
      </w:r>
      <w:proofErr w:type="spellStart"/>
      <w:r w:rsidRPr="002A24B2">
        <w:rPr>
          <w:i/>
          <w:lang w:val="en-US"/>
        </w:rPr>
        <w:t>Király</w:t>
      </w:r>
      <w:proofErr w:type="spellEnd"/>
      <w:r w:rsidRPr="002A24B2">
        <w:rPr>
          <w:i/>
          <w:lang w:val="en-US"/>
        </w:rPr>
        <w:t xml:space="preserve"> and </w:t>
      </w:r>
      <w:proofErr w:type="spellStart"/>
      <w:r w:rsidRPr="002A24B2">
        <w:rPr>
          <w:i/>
          <w:lang w:val="en-US"/>
        </w:rPr>
        <w:t>Dömötör</w:t>
      </w:r>
      <w:proofErr w:type="spellEnd"/>
      <w:r w:rsidRPr="002A24B2">
        <w:rPr>
          <w:i/>
          <w:lang w:val="en-US"/>
        </w:rPr>
        <w:t xml:space="preserve"> v. Hungary</w:t>
      </w:r>
      <w:r>
        <w:rPr>
          <w:lang w:val="en-US"/>
        </w:rPr>
        <w:t xml:space="preserve">, </w:t>
      </w:r>
      <w:r w:rsidRPr="002A24B2">
        <w:rPr>
          <w:lang w:val="en-US"/>
        </w:rPr>
        <w:t>10851/13</w:t>
      </w:r>
      <w:r w:rsidRPr="002A24B2">
        <w:rPr>
          <w:iCs/>
          <w:lang w:val="en-US"/>
        </w:rPr>
        <w:t>,</w:t>
      </w:r>
      <w:r>
        <w:rPr>
          <w:iCs/>
          <w:lang w:val="en-US"/>
        </w:rPr>
        <w:t xml:space="preserve"> 17 January 2017,</w:t>
      </w:r>
      <w:r>
        <w:rPr>
          <w:i/>
          <w:iCs/>
          <w:lang w:val="en-US"/>
        </w:rPr>
        <w:t xml:space="preserve"> </w:t>
      </w:r>
      <w:r>
        <w:rPr>
          <w:lang w:val="en-US"/>
        </w:rPr>
        <w:t xml:space="preserve">para 80. </w:t>
      </w:r>
    </w:p>
  </w:footnote>
  <w:footnote w:id="32">
    <w:p w14:paraId="6B8A3376" w14:textId="5C7F8FBA" w:rsidR="006B2ABB" w:rsidRPr="003745E5" w:rsidRDefault="006B2ABB">
      <w:pPr>
        <w:pStyle w:val="FootnoteText"/>
      </w:pPr>
      <w:r>
        <w:rPr>
          <w:rStyle w:val="FootnoteReference"/>
        </w:rPr>
        <w:footnoteRef/>
      </w:r>
      <w:r>
        <w:t xml:space="preserve"> </w:t>
      </w:r>
      <w:r w:rsidRPr="003745E5">
        <w:rPr>
          <w:i/>
          <w:lang w:val="en-US"/>
        </w:rPr>
        <w:t>O’Keeffe v. Ireland</w:t>
      </w:r>
      <w:r>
        <w:rPr>
          <w:lang w:val="en-US"/>
        </w:rPr>
        <w:t xml:space="preserve">, Application no </w:t>
      </w:r>
      <w:r w:rsidRPr="003745E5">
        <w:rPr>
          <w:lang w:val="en-US"/>
        </w:rPr>
        <w:t>35810/09</w:t>
      </w:r>
      <w:r>
        <w:rPr>
          <w:lang w:val="en-US"/>
        </w:rPr>
        <w:t>, 28 July 2014, para 146.</w:t>
      </w:r>
    </w:p>
  </w:footnote>
  <w:footnote w:id="33">
    <w:p w14:paraId="67A5FA74" w14:textId="4F6A3066" w:rsidR="006B2ABB" w:rsidRPr="00D0099A" w:rsidRDefault="006B2ABB">
      <w:pPr>
        <w:pStyle w:val="FootnoteText"/>
      </w:pPr>
      <w:r>
        <w:rPr>
          <w:rStyle w:val="FootnoteReference"/>
        </w:rPr>
        <w:footnoteRef/>
      </w:r>
      <w:r>
        <w:t xml:space="preserve"> </w:t>
      </w:r>
      <w:proofErr w:type="spellStart"/>
      <w:r w:rsidRPr="00D0099A">
        <w:rPr>
          <w:i/>
          <w:iCs/>
          <w:lang w:val="en-US"/>
        </w:rPr>
        <w:t>Đorđević</w:t>
      </w:r>
      <w:proofErr w:type="spellEnd"/>
      <w:r w:rsidRPr="00D0099A">
        <w:rPr>
          <w:i/>
          <w:iCs/>
          <w:lang w:val="en-US"/>
        </w:rPr>
        <w:t xml:space="preserve"> v. Croatia</w:t>
      </w:r>
      <w:r w:rsidRPr="00D0099A">
        <w:rPr>
          <w:lang w:val="en-US"/>
        </w:rPr>
        <w:t>, Application no 41526/10, 29 July 2012</w:t>
      </w:r>
      <w:r>
        <w:rPr>
          <w:lang w:val="en-US"/>
        </w:rPr>
        <w:t>, para 138.</w:t>
      </w:r>
    </w:p>
  </w:footnote>
  <w:footnote w:id="34">
    <w:p w14:paraId="38A0A94F" w14:textId="01C78AFD" w:rsidR="006B2ABB" w:rsidRPr="00AD3AE6" w:rsidRDefault="006B2ABB">
      <w:pPr>
        <w:pStyle w:val="FootnoteText"/>
      </w:pPr>
      <w:r>
        <w:rPr>
          <w:rStyle w:val="FootnoteReference"/>
        </w:rPr>
        <w:footnoteRef/>
      </w:r>
      <w:r>
        <w:t xml:space="preserve"> Ibid. Also see </w:t>
      </w:r>
      <w:r w:rsidRPr="00AD3AE6">
        <w:rPr>
          <w:i/>
          <w:iCs/>
          <w:lang w:val="en-US"/>
        </w:rPr>
        <w:t>mutatis mutandis</w:t>
      </w:r>
      <w:r w:rsidRPr="00AD3AE6">
        <w:rPr>
          <w:lang w:val="en-US"/>
        </w:rPr>
        <w:t>, </w:t>
      </w:r>
      <w:r w:rsidRPr="00AD3AE6">
        <w:rPr>
          <w:i/>
          <w:iCs/>
          <w:lang w:val="en-US"/>
        </w:rPr>
        <w:t>Osman v. the United Kingdom</w:t>
      </w:r>
      <w:r w:rsidRPr="00AD3AE6">
        <w:rPr>
          <w:lang w:val="en-US"/>
        </w:rPr>
        <w:t>, 28 October 1998, § 116, </w:t>
      </w:r>
      <w:r w:rsidRPr="00AD3AE6">
        <w:rPr>
          <w:i/>
          <w:iCs/>
          <w:lang w:val="en-US"/>
        </w:rPr>
        <w:t>Reports</w:t>
      </w:r>
      <w:r w:rsidRPr="00AD3AE6">
        <w:rPr>
          <w:lang w:val="en-US"/>
        </w:rPr>
        <w:t> 1998-VIII, and </w:t>
      </w:r>
      <w:r w:rsidRPr="00AD3AE6">
        <w:rPr>
          <w:i/>
          <w:iCs/>
          <w:lang w:val="en-US"/>
        </w:rPr>
        <w:t>E. and Others v. the United Kingdom</w:t>
      </w:r>
      <w:r w:rsidRPr="00AD3AE6">
        <w:rPr>
          <w:lang w:val="en-US"/>
        </w:rPr>
        <w:t>, no. </w:t>
      </w:r>
      <w:hyperlink r:id="rId3" w:anchor="{%22appno%22:[%2233218/96%22]}" w:tgtFrame="_blank" w:history="1">
        <w:r w:rsidRPr="00AD3AE6">
          <w:rPr>
            <w:rStyle w:val="Hyperlink"/>
            <w:lang w:val="en-US"/>
          </w:rPr>
          <w:t>33218/96</w:t>
        </w:r>
      </w:hyperlink>
      <w:r w:rsidRPr="00AD3AE6">
        <w:rPr>
          <w:lang w:val="en-US"/>
        </w:rPr>
        <w:t>, § 88, 26 November 2002</w:t>
      </w:r>
      <w:r>
        <w:rPr>
          <w:lang w:val="en-US"/>
        </w:rPr>
        <w:t>.</w:t>
      </w:r>
    </w:p>
  </w:footnote>
  <w:footnote w:id="35">
    <w:p w14:paraId="759EADCE" w14:textId="759F5FAF" w:rsidR="006B2ABB" w:rsidRPr="00C60D67" w:rsidRDefault="006B2ABB">
      <w:pPr>
        <w:pStyle w:val="FootnoteText"/>
      </w:pPr>
      <w:r>
        <w:rPr>
          <w:rStyle w:val="FootnoteReference"/>
        </w:rPr>
        <w:footnoteRef/>
      </w:r>
      <w:r>
        <w:t xml:space="preserve"> See CRPD, General Comment No. 4 and General Comment No. 6; CRC Committee, General Comment No. 13. </w:t>
      </w:r>
    </w:p>
  </w:footnote>
  <w:footnote w:id="36">
    <w:p w14:paraId="732E5E62" w14:textId="59F3658F" w:rsidR="006B2ABB" w:rsidRPr="00444C5A" w:rsidRDefault="006B2ABB">
      <w:pPr>
        <w:pStyle w:val="FootnoteText"/>
      </w:pPr>
      <w:r>
        <w:rPr>
          <w:rStyle w:val="FootnoteReference"/>
        </w:rPr>
        <w:footnoteRef/>
      </w:r>
      <w:r>
        <w:t xml:space="preserve"> CRPD Committee, Concluding observations to the </w:t>
      </w:r>
      <w:r w:rsidRPr="00444C5A">
        <w:t>United Kingdom of Great Britain and Northern Ireland</w:t>
      </w:r>
      <w:r>
        <w:t xml:space="preserve">, CRPD/C/GBR/CO/1, para 21. </w:t>
      </w:r>
    </w:p>
  </w:footnote>
  <w:footnote w:id="37">
    <w:p w14:paraId="076FDB4F" w14:textId="03699D54" w:rsidR="006B2ABB" w:rsidRPr="00444C5A" w:rsidRDefault="006B2ABB">
      <w:pPr>
        <w:pStyle w:val="FootnoteText"/>
      </w:pPr>
      <w:r>
        <w:rPr>
          <w:rStyle w:val="FootnoteReference"/>
        </w:rPr>
        <w:footnoteRef/>
      </w:r>
      <w:r>
        <w:rPr>
          <w:vertAlign w:val="superscript"/>
          <w:lang w:val="en-US"/>
        </w:rPr>
        <w:t xml:space="preserve"> </w:t>
      </w:r>
      <w:r w:rsidRPr="00444C5A">
        <w:rPr>
          <w:lang w:val="en-US"/>
        </w:rPr>
        <w:t>CRPD Committee, Concluding observations to</w:t>
      </w:r>
      <w:r>
        <w:rPr>
          <w:lang w:val="en-US"/>
        </w:rPr>
        <w:t xml:space="preserve"> New Zealand,</w:t>
      </w:r>
      <w:r w:rsidRPr="00444C5A">
        <w:t xml:space="preserve"> </w:t>
      </w:r>
      <w:r>
        <w:rPr>
          <w:lang w:val="en-US"/>
        </w:rPr>
        <w:t xml:space="preserve">CRPD/C/NZL/CO/1, para 50. </w:t>
      </w:r>
    </w:p>
  </w:footnote>
  <w:footnote w:id="38">
    <w:p w14:paraId="471AE17E" w14:textId="77777777" w:rsidR="006B2ABB" w:rsidRPr="00C65D41" w:rsidRDefault="006B2ABB" w:rsidP="00C60D67">
      <w:pPr>
        <w:pStyle w:val="FootnoteText"/>
      </w:pPr>
      <w:r>
        <w:rPr>
          <w:rStyle w:val="FootnoteReference"/>
        </w:rPr>
        <w:footnoteRef/>
      </w:r>
      <w:r>
        <w:t xml:space="preserve"> CRC Committee, Concluding observations to Romania, </w:t>
      </w:r>
      <w:r w:rsidRPr="00C65D41">
        <w:rPr>
          <w:lang w:val="en-US"/>
        </w:rPr>
        <w:t>CRC/C/ROU/CO/5</w:t>
      </w:r>
      <w:r>
        <w:rPr>
          <w:lang w:val="en-US"/>
        </w:rPr>
        <w:t xml:space="preserve">, </w:t>
      </w:r>
      <w:r>
        <w:t xml:space="preserve">para 38(g). </w:t>
      </w:r>
    </w:p>
  </w:footnote>
  <w:footnote w:id="39">
    <w:p w14:paraId="5FD92E69" w14:textId="77777777" w:rsidR="006B2ABB" w:rsidRPr="007054FE" w:rsidRDefault="006B2ABB" w:rsidP="00B70505">
      <w:pPr>
        <w:pStyle w:val="FootnoteText"/>
        <w:rPr>
          <w:lang w:val="en-US"/>
        </w:rPr>
      </w:pPr>
      <w:r>
        <w:rPr>
          <w:rStyle w:val="FootnoteReference"/>
        </w:rPr>
        <w:footnoteRef/>
      </w:r>
      <w:r>
        <w:t xml:space="preserve"> </w:t>
      </w:r>
      <w:r>
        <w:rPr>
          <w:lang w:val="en-US"/>
        </w:rPr>
        <w:t xml:space="preserve">Recommendation CM/Rec(2010)7 </w:t>
      </w:r>
      <w:r w:rsidRPr="007054FE">
        <w:rPr>
          <w:lang w:val="en-US"/>
        </w:rPr>
        <w:t>of the Committe</w:t>
      </w:r>
      <w:r>
        <w:rPr>
          <w:lang w:val="en-US"/>
        </w:rPr>
        <w:t xml:space="preserve">e of Ministers to member states </w:t>
      </w:r>
      <w:r w:rsidRPr="007054FE">
        <w:rPr>
          <w:lang w:val="en-US"/>
        </w:rPr>
        <w:t>on the Council of Europe Charter on Education for Democratic Citizenship and Human Rights Education</w:t>
      </w:r>
      <w:r>
        <w:rPr>
          <w:lang w:val="en-US"/>
        </w:rPr>
        <w:t xml:space="preserve">, para 13. </w:t>
      </w:r>
    </w:p>
  </w:footnote>
  <w:footnote w:id="40">
    <w:p w14:paraId="3A1005D2" w14:textId="0FC8FD1F" w:rsidR="006B2ABB" w:rsidRPr="00F40E57" w:rsidRDefault="006B2ABB">
      <w:pPr>
        <w:pStyle w:val="FootnoteText"/>
      </w:pPr>
      <w:r>
        <w:rPr>
          <w:rStyle w:val="FootnoteReference"/>
        </w:rPr>
        <w:footnoteRef/>
      </w:r>
      <w:r w:rsidRPr="00087FB0">
        <w:t xml:space="preserve"> See </w:t>
      </w:r>
      <w:r w:rsidRPr="00F40E57">
        <w:t xml:space="preserve">Judgment of Tribunal des Enfants de Rouen, 12 </w:t>
      </w:r>
      <w:proofErr w:type="spellStart"/>
      <w:r w:rsidRPr="00F40E57">
        <w:t>février</w:t>
      </w:r>
      <w:proofErr w:type="spellEnd"/>
      <w:r w:rsidRPr="00F40E57">
        <w:t xml:space="preserve"> 2009 concerning a</w:t>
      </w:r>
      <w:r>
        <w:t xml:space="preserve"> stuttering</w:t>
      </w:r>
      <w:r w:rsidRPr="00F40E57">
        <w:t xml:space="preserve"> child who was bullied and ended up committing suicide</w:t>
      </w:r>
      <w:r>
        <w:t xml:space="preserve">; See also </w:t>
      </w:r>
      <w:r w:rsidRPr="00087FB0">
        <w:t xml:space="preserve">TA Rouen, 12 </w:t>
      </w:r>
      <w:proofErr w:type="spellStart"/>
      <w:r w:rsidRPr="00087FB0">
        <w:t>mai</w:t>
      </w:r>
      <w:proofErr w:type="spellEnd"/>
      <w:r w:rsidRPr="00087FB0">
        <w:t xml:space="preserve"> 2011 n°0901466, AJDA 2011 p.2431. </w:t>
      </w:r>
      <w:r w:rsidRPr="00F40E57">
        <w:t xml:space="preserve">Read more here: </w:t>
      </w:r>
      <w:hyperlink r:id="rId4" w:history="1">
        <w:r w:rsidRPr="00F40E57">
          <w:rPr>
            <w:rStyle w:val="Hyperlink"/>
            <w:lang w:val="en-US"/>
          </w:rPr>
          <w:t>https://www.huffingtonpost.fr/solene-debarre/quels-sont-les-outils-jur_1_b_4002991.html</w:t>
        </w:r>
      </w:hyperlink>
      <w:r>
        <w:t xml:space="preserve">. </w:t>
      </w:r>
    </w:p>
  </w:footnote>
  <w:footnote w:id="41">
    <w:p w14:paraId="75D87B3A" w14:textId="28F3EAB7" w:rsidR="006B2ABB" w:rsidRPr="00721A2C" w:rsidRDefault="006B2ABB">
      <w:pPr>
        <w:pStyle w:val="FootnoteText"/>
      </w:pPr>
      <w:r>
        <w:rPr>
          <w:rStyle w:val="FootnoteReference"/>
        </w:rPr>
        <w:footnoteRef/>
      </w:r>
      <w:r w:rsidRPr="00721A2C">
        <w:t xml:space="preserve"> Articles 442</w:t>
      </w:r>
      <w:r w:rsidRPr="00721A2C">
        <w:rPr>
          <w:i/>
          <w:iCs/>
        </w:rPr>
        <w:t>bis</w:t>
      </w:r>
      <w:r w:rsidRPr="00721A2C">
        <w:t> and 442</w:t>
      </w:r>
      <w:r w:rsidRPr="00721A2C">
        <w:rPr>
          <w:i/>
          <w:iCs/>
        </w:rPr>
        <w:t>ter</w:t>
      </w:r>
      <w:r w:rsidRPr="00721A2C">
        <w:t> of Belgian Penal Code.</w:t>
      </w:r>
    </w:p>
  </w:footnote>
  <w:footnote w:id="42">
    <w:p w14:paraId="1D817451" w14:textId="77777777" w:rsidR="006B2ABB" w:rsidRPr="00E27032" w:rsidRDefault="006B2ABB" w:rsidP="00C665A0">
      <w:pPr>
        <w:pStyle w:val="FootnoteText"/>
        <w:jc w:val="both"/>
        <w:rPr>
          <w:lang w:val="en-US"/>
        </w:rPr>
      </w:pPr>
      <w:r>
        <w:rPr>
          <w:rStyle w:val="FootnoteReference"/>
        </w:rPr>
        <w:footnoteRef/>
      </w:r>
      <w:r>
        <w:t xml:space="preserve"> </w:t>
      </w:r>
      <w:r w:rsidRPr="00140623">
        <w:rPr>
          <w:i/>
          <w:lang w:val="en-US"/>
        </w:rPr>
        <w:t>See</w:t>
      </w:r>
      <w:r w:rsidRPr="00E27032">
        <w:rPr>
          <w:lang w:val="en-US"/>
        </w:rPr>
        <w:t xml:space="preserve"> the UDHR Article 26(1), the International Covenant on Economic, Social and Cultural Rights, Articles 13</w:t>
      </w:r>
      <w:r>
        <w:rPr>
          <w:lang w:val="en-US"/>
        </w:rPr>
        <w:t xml:space="preserve"> and 14, the Convention against Discrimination of the United Nations Educational, Scientific and Cultural Organisation,</w:t>
      </w:r>
      <w:r w:rsidRPr="00E27032">
        <w:rPr>
          <w:lang w:val="en-US"/>
        </w:rPr>
        <w:t xml:space="preserve"> and the Convention on the Rights of the Child, A</w:t>
      </w:r>
      <w:r>
        <w:rPr>
          <w:lang w:val="en-US"/>
        </w:rPr>
        <w:t>rticle 28 and 29, among others.</w:t>
      </w:r>
    </w:p>
  </w:footnote>
  <w:footnote w:id="43">
    <w:p w14:paraId="0A58070B" w14:textId="77777777" w:rsidR="006B2ABB" w:rsidRPr="00E27032" w:rsidRDefault="006B2ABB" w:rsidP="00C665A0">
      <w:pPr>
        <w:pStyle w:val="FootnoteText"/>
        <w:jc w:val="both"/>
        <w:rPr>
          <w:lang w:val="en-US"/>
        </w:rPr>
      </w:pPr>
      <w:r>
        <w:rPr>
          <w:rStyle w:val="FootnoteReference"/>
        </w:rPr>
        <w:footnoteRef/>
      </w:r>
      <w:r>
        <w:t xml:space="preserve"> </w:t>
      </w:r>
      <w:r w:rsidRPr="00E27032">
        <w:rPr>
          <w:lang w:val="en-US"/>
        </w:rPr>
        <w:t>CESCR Committee General Comment no 13 on the right to educati</w:t>
      </w:r>
      <w:r>
        <w:rPr>
          <w:lang w:val="en-US"/>
        </w:rPr>
        <w:t>on, E/C.12/1999/4, 1999, para 6.</w:t>
      </w:r>
    </w:p>
  </w:footnote>
  <w:footnote w:id="44">
    <w:p w14:paraId="6E12ECA3" w14:textId="77777777" w:rsidR="006B2ABB" w:rsidRPr="00E27032" w:rsidRDefault="006B2ABB" w:rsidP="00C665A0">
      <w:pPr>
        <w:pStyle w:val="FootnoteText"/>
        <w:jc w:val="both"/>
        <w:rPr>
          <w:lang w:val="en-US"/>
        </w:rPr>
      </w:pPr>
      <w:r>
        <w:rPr>
          <w:rStyle w:val="FootnoteReference"/>
        </w:rPr>
        <w:footnoteRef/>
      </w:r>
      <w:r>
        <w:t xml:space="preserve"> </w:t>
      </w:r>
      <w:r w:rsidRPr="00E27032">
        <w:rPr>
          <w:i/>
        </w:rPr>
        <w:t>Ibid</w:t>
      </w:r>
      <w:r>
        <w:t>.</w:t>
      </w:r>
    </w:p>
  </w:footnote>
  <w:footnote w:id="45">
    <w:p w14:paraId="670D1988" w14:textId="77777777" w:rsidR="006B2ABB" w:rsidRPr="00B27021" w:rsidRDefault="006B2ABB" w:rsidP="00C665A0">
      <w:pPr>
        <w:pStyle w:val="FootnoteText"/>
        <w:jc w:val="both"/>
        <w:rPr>
          <w:lang w:val="en-US"/>
        </w:rPr>
      </w:pPr>
      <w:r>
        <w:rPr>
          <w:rStyle w:val="FootnoteReference"/>
        </w:rPr>
        <w:footnoteRef/>
      </w:r>
      <w:r>
        <w:t xml:space="preserve"> </w:t>
      </w:r>
      <w:r w:rsidRPr="000058E7">
        <w:rPr>
          <w:lang w:val="en-US"/>
        </w:rPr>
        <w:t>CRPD</w:t>
      </w:r>
      <w:r>
        <w:rPr>
          <w:lang w:val="en-US"/>
        </w:rPr>
        <w:t xml:space="preserve"> Committee, General Comment No 4, para. 3. </w:t>
      </w:r>
    </w:p>
  </w:footnote>
  <w:footnote w:id="46">
    <w:p w14:paraId="695AD619" w14:textId="7F4FA75F" w:rsidR="006B2ABB" w:rsidRPr="004E761D" w:rsidRDefault="006B2ABB">
      <w:pPr>
        <w:pStyle w:val="FootnoteText"/>
      </w:pPr>
      <w:r>
        <w:rPr>
          <w:rStyle w:val="FootnoteReference"/>
        </w:rPr>
        <w:footnoteRef/>
      </w:r>
      <w:r>
        <w:t xml:space="preserve"> CRPD Committee, Concluding observations to Sudan,</w:t>
      </w:r>
      <w:r w:rsidRPr="004E761D">
        <w:t xml:space="preserve"> CRPD/C/SDN/CO/1</w:t>
      </w:r>
      <w:r>
        <w:t xml:space="preserve">, para 47(c). </w:t>
      </w:r>
    </w:p>
  </w:footnote>
  <w:footnote w:id="47">
    <w:p w14:paraId="7C995B08" w14:textId="77777777" w:rsidR="006B2ABB" w:rsidRPr="00003B98" w:rsidRDefault="006B2ABB" w:rsidP="00C665A0">
      <w:pPr>
        <w:pStyle w:val="FootnoteText"/>
        <w:jc w:val="both"/>
        <w:rPr>
          <w:lang w:val="en-US"/>
        </w:rPr>
      </w:pPr>
      <w:r>
        <w:rPr>
          <w:rStyle w:val="FootnoteReference"/>
        </w:rPr>
        <w:footnoteRef/>
      </w:r>
      <w:r>
        <w:t xml:space="preserve"> </w:t>
      </w:r>
      <w:r w:rsidRPr="00003B98">
        <w:rPr>
          <w:lang w:val="en-US"/>
        </w:rPr>
        <w:t xml:space="preserve">The Academic Network of European Disability experts (ANED), </w:t>
      </w:r>
      <w:r w:rsidRPr="00003B98">
        <w:rPr>
          <w:i/>
          <w:iCs/>
          <w:lang w:val="en-US"/>
        </w:rPr>
        <w:t xml:space="preserve">The </w:t>
      </w:r>
      <w:proofErr w:type="spellStart"/>
      <w:r w:rsidRPr="00003B98">
        <w:rPr>
          <w:i/>
          <w:iCs/>
          <w:lang w:val="en-US"/>
        </w:rPr>
        <w:t>labour</w:t>
      </w:r>
      <w:proofErr w:type="spellEnd"/>
      <w:r w:rsidRPr="00003B98">
        <w:rPr>
          <w:i/>
          <w:iCs/>
          <w:lang w:val="en-US"/>
        </w:rPr>
        <w:t xml:space="preserve"> market situation of disabled people in European countries and implementation of employment policies: a summary of evidence from country reports and research studies</w:t>
      </w:r>
      <w:r w:rsidRPr="00003B98">
        <w:rPr>
          <w:lang w:val="en-US"/>
        </w:rPr>
        <w:t xml:space="preserve">, April 2009, p 32. In particular, ANED observed that “the educational attainment level has an impact, so that for those [persons with disabilities] with only basic schooling only one out of five were in employment compared to 62% of those without restrictions. For persons with a tertiary level of education the difference was 48% compared to 85% (See p 12 of the Report cited) </w:t>
      </w:r>
    </w:p>
  </w:footnote>
  <w:footnote w:id="48">
    <w:p w14:paraId="5054B014" w14:textId="16BF10B6" w:rsidR="006B2ABB" w:rsidRPr="00690FCC" w:rsidRDefault="006B2ABB">
      <w:pPr>
        <w:pStyle w:val="FootnoteText"/>
      </w:pPr>
      <w:r>
        <w:rPr>
          <w:rStyle w:val="FootnoteReference"/>
        </w:rPr>
        <w:footnoteRef/>
      </w:r>
      <w:r>
        <w:t xml:space="preserve"> </w:t>
      </w:r>
      <w:proofErr w:type="spellStart"/>
      <w:r w:rsidRPr="006937F7">
        <w:rPr>
          <w:i/>
        </w:rPr>
        <w:t>Çam</w:t>
      </w:r>
      <w:proofErr w:type="spellEnd"/>
      <w:r w:rsidRPr="006937F7">
        <w:rPr>
          <w:i/>
        </w:rPr>
        <w:t xml:space="preserve"> v Turkey</w:t>
      </w:r>
      <w:r>
        <w:t xml:space="preserve">, Application No </w:t>
      </w:r>
      <w:r w:rsidRPr="006937F7">
        <w:rPr>
          <w:lang w:val="en-US"/>
        </w:rPr>
        <w:t>51500/08</w:t>
      </w:r>
      <w:r>
        <w:rPr>
          <w:lang w:val="en-US"/>
        </w:rPr>
        <w:t>, 23 February 2016, p</w:t>
      </w:r>
      <w:proofErr w:type="spellStart"/>
      <w:r>
        <w:t>ara</w:t>
      </w:r>
      <w:proofErr w:type="spellEnd"/>
      <w:r>
        <w:t xml:space="preserve">. 64. </w:t>
      </w:r>
    </w:p>
  </w:footnote>
  <w:footnote w:id="49">
    <w:p w14:paraId="22463FF0" w14:textId="77777777" w:rsidR="006B2ABB" w:rsidRPr="00625ED3" w:rsidRDefault="006B2ABB" w:rsidP="00C665A0">
      <w:pPr>
        <w:pStyle w:val="FootnoteText"/>
        <w:jc w:val="both"/>
        <w:rPr>
          <w:lang w:val="en-US"/>
        </w:rPr>
      </w:pPr>
      <w:r>
        <w:rPr>
          <w:rStyle w:val="FootnoteReference"/>
        </w:rPr>
        <w:footnoteRef/>
      </w:r>
      <w:r>
        <w:t xml:space="preserve"> </w:t>
      </w:r>
      <w:r w:rsidRPr="00625ED3">
        <w:rPr>
          <w:lang w:val="en-US"/>
        </w:rPr>
        <w:t>2030 Agenda for Sustainable Development, A/RES/70/1</w:t>
      </w:r>
      <w:r>
        <w:rPr>
          <w:lang w:val="en-US"/>
        </w:rPr>
        <w:t>,</w:t>
      </w:r>
      <w:r w:rsidRPr="00625ED3">
        <w:rPr>
          <w:lang w:val="en-US"/>
        </w:rPr>
        <w:t xml:space="preserve"> Goal 4</w:t>
      </w:r>
      <w:r>
        <w:rPr>
          <w:lang w:val="en-US"/>
        </w:rPr>
        <w:t xml:space="preserve"> “</w:t>
      </w:r>
      <w:r w:rsidRPr="00625ED3">
        <w:rPr>
          <w:lang w:val="en-US"/>
        </w:rPr>
        <w:t>Ensure inclusive and equitable quality education and promote lifelong learning opportunities for all</w:t>
      </w:r>
      <w:r>
        <w:rPr>
          <w:lang w:val="en-US"/>
        </w:rPr>
        <w:t>.”</w:t>
      </w:r>
    </w:p>
  </w:footnote>
  <w:footnote w:id="50">
    <w:p w14:paraId="7C0FA1BE" w14:textId="77777777" w:rsidR="006B2ABB" w:rsidRPr="00023A1F" w:rsidRDefault="006B2ABB" w:rsidP="00C665A0">
      <w:pPr>
        <w:pStyle w:val="FootnoteText"/>
      </w:pPr>
      <w:r>
        <w:rPr>
          <w:rStyle w:val="FootnoteReference"/>
        </w:rPr>
        <w:footnoteRef/>
      </w:r>
      <w:r>
        <w:t xml:space="preserve"> </w:t>
      </w:r>
      <w:r w:rsidRPr="00023A1F">
        <w:t xml:space="preserve">Available at </w:t>
      </w:r>
      <w:hyperlink r:id="rId5" w:history="1">
        <w:r w:rsidRPr="000A5A2D">
          <w:rPr>
            <w:rStyle w:val="Hyperlink"/>
          </w:rPr>
          <w:t>http://unesdoc.unesco.org/images/0024/002456/245656e.pdf</w:t>
        </w:r>
      </w:hyperlink>
      <w:r>
        <w:t xml:space="preserve"> </w:t>
      </w:r>
    </w:p>
  </w:footnote>
  <w:footnote w:id="51">
    <w:p w14:paraId="007DBFBE" w14:textId="5CF7CCF2" w:rsidR="006B2ABB" w:rsidRPr="006A0846" w:rsidRDefault="006B2ABB">
      <w:pPr>
        <w:pStyle w:val="FootnoteText"/>
        <w:rPr>
          <w:lang w:val="it-IT"/>
        </w:rPr>
      </w:pPr>
      <w:r>
        <w:rPr>
          <w:rStyle w:val="FootnoteReference"/>
        </w:rPr>
        <w:footnoteRef/>
      </w:r>
      <w:r>
        <w:t xml:space="preserve"> </w:t>
      </w:r>
      <w:r w:rsidRPr="007D3D69">
        <w:rPr>
          <w:lang w:val="en-US"/>
        </w:rPr>
        <w:t>CRPD Committee</w:t>
      </w:r>
      <w:r>
        <w:rPr>
          <w:lang w:val="en-US"/>
        </w:rPr>
        <w:t xml:space="preserve">, General Comment No 4, para. </w:t>
      </w:r>
      <w:r w:rsidRPr="006A0846">
        <w:rPr>
          <w:lang w:val="it-IT"/>
        </w:rPr>
        <w:t>12(e).</w:t>
      </w:r>
    </w:p>
  </w:footnote>
  <w:footnote w:id="52">
    <w:p w14:paraId="73676C06" w14:textId="3F075E25" w:rsidR="006B2ABB" w:rsidRPr="006A0846" w:rsidRDefault="006B2ABB">
      <w:pPr>
        <w:pStyle w:val="FootnoteText"/>
        <w:rPr>
          <w:lang w:val="it-IT"/>
        </w:rPr>
      </w:pPr>
      <w:r>
        <w:rPr>
          <w:rStyle w:val="FootnoteReference"/>
        </w:rPr>
        <w:footnoteRef/>
      </w:r>
      <w:r w:rsidRPr="006A0846">
        <w:rPr>
          <w:lang w:val="it-IT"/>
        </w:rPr>
        <w:t xml:space="preserve"> Ibid, para. 51. </w:t>
      </w:r>
    </w:p>
  </w:footnote>
  <w:footnote w:id="53">
    <w:p w14:paraId="165FA6EE" w14:textId="4351C002" w:rsidR="006B2ABB" w:rsidRPr="00E91C2D" w:rsidRDefault="006B2ABB">
      <w:pPr>
        <w:pStyle w:val="FootnoteText"/>
      </w:pPr>
      <w:r>
        <w:rPr>
          <w:rStyle w:val="FootnoteReference"/>
        </w:rPr>
        <w:footnoteRef/>
      </w:r>
      <w:r w:rsidRPr="006A0846">
        <w:rPr>
          <w:lang w:val="it-IT"/>
        </w:rPr>
        <w:t xml:space="preserve"> Ibid, para. </w:t>
      </w:r>
      <w:r>
        <w:t xml:space="preserve">69. </w:t>
      </w:r>
    </w:p>
  </w:footnote>
  <w:footnote w:id="54">
    <w:p w14:paraId="70E2E0DA" w14:textId="72D5B997" w:rsidR="006B2ABB" w:rsidRPr="00E91C2D" w:rsidRDefault="006B2ABB">
      <w:pPr>
        <w:pStyle w:val="FootnoteText"/>
      </w:pPr>
      <w:r>
        <w:rPr>
          <w:rStyle w:val="FootnoteReference"/>
        </w:rPr>
        <w:footnoteRef/>
      </w:r>
      <w:r>
        <w:t xml:space="preserve"> </w:t>
      </w:r>
      <w:r w:rsidRPr="00E91C2D">
        <w:t xml:space="preserve">Ibid, para. </w:t>
      </w:r>
      <w:r>
        <w:t xml:space="preserve">51. </w:t>
      </w:r>
    </w:p>
  </w:footnote>
  <w:footnote w:id="55">
    <w:p w14:paraId="14CCCB2F" w14:textId="2D00BF00" w:rsidR="006B2ABB" w:rsidRPr="000171EF" w:rsidRDefault="006B2ABB" w:rsidP="00D04B86">
      <w:pPr>
        <w:pStyle w:val="FootnoteText"/>
        <w:jc w:val="both"/>
        <w:rPr>
          <w:lang w:val="en-US"/>
        </w:rPr>
      </w:pPr>
      <w:r>
        <w:rPr>
          <w:rStyle w:val="FootnoteReference"/>
        </w:rPr>
        <w:footnoteRef/>
      </w:r>
      <w:r>
        <w:t xml:space="preserve"> </w:t>
      </w:r>
      <w:r>
        <w:rPr>
          <w:lang w:val="en-US"/>
        </w:rPr>
        <w:t xml:space="preserve">CRPD, Article 24(1) (emphasis added). </w:t>
      </w:r>
    </w:p>
  </w:footnote>
  <w:footnote w:id="56">
    <w:p w14:paraId="758B72C6" w14:textId="03C5843D" w:rsidR="006B2ABB" w:rsidRPr="00341D97" w:rsidRDefault="006B2ABB">
      <w:pPr>
        <w:pStyle w:val="FootnoteText"/>
      </w:pPr>
      <w:r>
        <w:rPr>
          <w:rStyle w:val="FootnoteReference"/>
        </w:rPr>
        <w:footnoteRef/>
      </w:r>
      <w:r>
        <w:t xml:space="preserve"> CRPD Committee, Concluding observations to the European Union, </w:t>
      </w:r>
      <w:r w:rsidRPr="00341D97">
        <w:t>CRPD/C/EU/CO/1</w:t>
      </w:r>
      <w:r>
        <w:t>, para. 85.</w:t>
      </w:r>
    </w:p>
  </w:footnote>
  <w:footnote w:id="57">
    <w:p w14:paraId="77AD83FF" w14:textId="77777777" w:rsidR="006B2ABB" w:rsidRPr="00107890" w:rsidRDefault="006B2ABB" w:rsidP="00A9677E">
      <w:pPr>
        <w:pStyle w:val="FootnoteText"/>
      </w:pPr>
      <w:r>
        <w:rPr>
          <w:rStyle w:val="FootnoteReference"/>
        </w:rPr>
        <w:footnoteRef/>
      </w:r>
      <w:r>
        <w:t xml:space="preserve"> CRPD </w:t>
      </w:r>
      <w:r>
        <w:rPr>
          <w:lang w:val="en-US"/>
        </w:rPr>
        <w:t>Committee, General Comment No 4, para. 18.</w:t>
      </w:r>
    </w:p>
  </w:footnote>
  <w:footnote w:id="58">
    <w:p w14:paraId="718731CA" w14:textId="77777777" w:rsidR="006B2ABB" w:rsidRPr="006F1A98" w:rsidRDefault="006B2ABB" w:rsidP="00DE2DCB">
      <w:pPr>
        <w:pStyle w:val="FootnoteText"/>
        <w:jc w:val="both"/>
        <w:rPr>
          <w:lang w:val="en-US"/>
        </w:rPr>
      </w:pPr>
      <w:r>
        <w:rPr>
          <w:rStyle w:val="FootnoteReference"/>
        </w:rPr>
        <w:footnoteRef/>
      </w:r>
      <w:r>
        <w:t xml:space="preserve"> </w:t>
      </w:r>
      <w:r w:rsidRPr="000058E7">
        <w:rPr>
          <w:lang w:val="en-US"/>
        </w:rPr>
        <w:t>CRPD</w:t>
      </w:r>
      <w:r>
        <w:rPr>
          <w:lang w:val="en-US"/>
        </w:rPr>
        <w:t xml:space="preserve"> Committee, General Comment No 4, para. 22.</w:t>
      </w:r>
    </w:p>
  </w:footnote>
  <w:footnote w:id="59">
    <w:p w14:paraId="7179809D" w14:textId="77777777" w:rsidR="006B2ABB" w:rsidRPr="006F1A98" w:rsidRDefault="006B2ABB" w:rsidP="00DE2DCB">
      <w:pPr>
        <w:pStyle w:val="FootnoteText"/>
        <w:jc w:val="both"/>
        <w:rPr>
          <w:lang w:val="en-US"/>
        </w:rPr>
      </w:pPr>
      <w:r>
        <w:rPr>
          <w:rStyle w:val="FootnoteReference"/>
        </w:rPr>
        <w:footnoteRef/>
      </w:r>
      <w:r>
        <w:t xml:space="preserve"> </w:t>
      </w:r>
      <w:r>
        <w:rPr>
          <w:lang w:val="en-US"/>
        </w:rPr>
        <w:t xml:space="preserve">CRPD Article 24(2)(c). </w:t>
      </w:r>
    </w:p>
  </w:footnote>
  <w:footnote w:id="60">
    <w:p w14:paraId="5B36A2AD" w14:textId="77777777" w:rsidR="006B2ABB" w:rsidRPr="005500DF" w:rsidRDefault="006B2ABB" w:rsidP="009737E2">
      <w:pPr>
        <w:pStyle w:val="FootnoteText"/>
        <w:jc w:val="both"/>
        <w:rPr>
          <w:lang w:val="en-US"/>
        </w:rPr>
      </w:pPr>
      <w:r>
        <w:rPr>
          <w:rStyle w:val="FootnoteReference"/>
        </w:rPr>
        <w:footnoteRef/>
      </w:r>
      <w:r>
        <w:t xml:space="preserve"> CRPD </w:t>
      </w:r>
      <w:r>
        <w:rPr>
          <w:lang w:val="en-US"/>
        </w:rPr>
        <w:t xml:space="preserve">Committee, General Comment No 4, para. 24. </w:t>
      </w:r>
      <w:r w:rsidRPr="001D65B5">
        <w:rPr>
          <w:i/>
          <w:lang w:val="en-US"/>
        </w:rPr>
        <w:t>See</w:t>
      </w:r>
      <w:r>
        <w:rPr>
          <w:lang w:val="en-US"/>
        </w:rPr>
        <w:t xml:space="preserve"> also CRPD Committee, Concluding Observations on Spain (2011), para. 44.</w:t>
      </w:r>
    </w:p>
  </w:footnote>
  <w:footnote w:id="61">
    <w:p w14:paraId="0E52ACB5" w14:textId="6A5E7D1D" w:rsidR="006B2ABB" w:rsidRPr="006A0846" w:rsidRDefault="006B2ABB">
      <w:pPr>
        <w:pStyle w:val="FootnoteText"/>
        <w:rPr>
          <w:lang w:val="en-US"/>
        </w:rPr>
      </w:pPr>
      <w:r>
        <w:rPr>
          <w:rStyle w:val="FootnoteReference"/>
        </w:rPr>
        <w:footnoteRef/>
      </w:r>
      <w:r>
        <w:t xml:space="preserve"> </w:t>
      </w:r>
      <w:r w:rsidRPr="006A0846">
        <w:rPr>
          <w:lang w:val="en-US"/>
        </w:rPr>
        <w:t xml:space="preserve">Article 2 CRPD. </w:t>
      </w:r>
    </w:p>
  </w:footnote>
  <w:footnote w:id="62">
    <w:p w14:paraId="56C9BF64" w14:textId="752C7A3F" w:rsidR="006B2ABB" w:rsidRPr="002327B8" w:rsidRDefault="006B2ABB" w:rsidP="00FB6D49">
      <w:pPr>
        <w:pStyle w:val="FootnoteText"/>
        <w:jc w:val="both"/>
        <w:rPr>
          <w:lang w:val="en-US"/>
        </w:rPr>
      </w:pPr>
      <w:r>
        <w:rPr>
          <w:rStyle w:val="FootnoteReference"/>
        </w:rPr>
        <w:footnoteRef/>
      </w:r>
      <w:r>
        <w:t xml:space="preserve"> </w:t>
      </w:r>
      <w:r w:rsidRPr="00455329">
        <w:rPr>
          <w:lang w:val="en-US"/>
        </w:rPr>
        <w:t>Ibid</w:t>
      </w:r>
      <w:r>
        <w:rPr>
          <w:lang w:val="en-US"/>
        </w:rPr>
        <w:t>, para. 28.</w:t>
      </w:r>
    </w:p>
  </w:footnote>
  <w:footnote w:id="63">
    <w:p w14:paraId="5FD2598F" w14:textId="11882308" w:rsidR="006B2ABB" w:rsidRPr="000B7B2C" w:rsidRDefault="006B2ABB" w:rsidP="00FB6D49">
      <w:pPr>
        <w:pStyle w:val="FootnoteText"/>
        <w:jc w:val="both"/>
        <w:rPr>
          <w:lang w:val="en-US"/>
        </w:rPr>
      </w:pPr>
      <w:r>
        <w:rPr>
          <w:rStyle w:val="FootnoteReference"/>
        </w:rPr>
        <w:footnoteRef/>
      </w:r>
      <w:r>
        <w:t xml:space="preserve"> </w:t>
      </w:r>
      <w:r w:rsidRPr="00455329">
        <w:rPr>
          <w:lang w:val="en-US"/>
        </w:rPr>
        <w:t>Ibid</w:t>
      </w:r>
      <w:r>
        <w:rPr>
          <w:lang w:val="en-US"/>
        </w:rPr>
        <w:t>.</w:t>
      </w:r>
    </w:p>
  </w:footnote>
  <w:footnote w:id="64">
    <w:p w14:paraId="387B3841" w14:textId="77777777" w:rsidR="00FE364D" w:rsidRPr="0073562B" w:rsidRDefault="00FE364D" w:rsidP="00FE364D">
      <w:pPr>
        <w:pStyle w:val="FootnoteText"/>
        <w:jc w:val="both"/>
        <w:rPr>
          <w:lang w:val="en-US"/>
        </w:rPr>
      </w:pPr>
      <w:r>
        <w:rPr>
          <w:rStyle w:val="FootnoteReference"/>
        </w:rPr>
        <w:footnoteRef/>
      </w:r>
      <w:r>
        <w:t xml:space="preserve"> </w:t>
      </w:r>
      <w:r w:rsidRPr="0073562B">
        <w:rPr>
          <w:lang w:val="en-US"/>
        </w:rPr>
        <w:t>Committee on the Rights</w:t>
      </w:r>
      <w:r>
        <w:rPr>
          <w:lang w:val="en-US"/>
        </w:rPr>
        <w:t xml:space="preserve"> of Persons with Disabilities, General Comment No. 2, para. 26, and General Comment No 4, para. 28.</w:t>
      </w:r>
    </w:p>
  </w:footnote>
  <w:footnote w:id="65">
    <w:p w14:paraId="79227763" w14:textId="487D7FB5" w:rsidR="006B2ABB" w:rsidRPr="009B7814" w:rsidRDefault="006B2ABB">
      <w:pPr>
        <w:pStyle w:val="FootnoteText"/>
        <w:rPr>
          <w:lang w:val="en-US"/>
        </w:rPr>
      </w:pPr>
      <w:r>
        <w:rPr>
          <w:rStyle w:val="FootnoteReference"/>
        </w:rPr>
        <w:footnoteRef/>
      </w:r>
      <w:r>
        <w:t xml:space="preserve"> </w:t>
      </w:r>
      <w:r w:rsidRPr="00455329">
        <w:rPr>
          <w:lang w:val="en-US"/>
        </w:rPr>
        <w:t>Ibid</w:t>
      </w:r>
      <w:r>
        <w:rPr>
          <w:lang w:val="en-US"/>
        </w:rPr>
        <w:t xml:space="preserve">, para. 12(d). </w:t>
      </w:r>
    </w:p>
  </w:footnote>
  <w:footnote w:id="66">
    <w:p w14:paraId="4D2CA7E4" w14:textId="37AD3DE8" w:rsidR="006B2ABB" w:rsidRPr="002D7CB6" w:rsidRDefault="006B2ABB" w:rsidP="00FB6D49">
      <w:pPr>
        <w:pStyle w:val="FootnoteText"/>
        <w:jc w:val="both"/>
        <w:rPr>
          <w:lang w:val="en-US"/>
        </w:rPr>
      </w:pPr>
      <w:r>
        <w:rPr>
          <w:rStyle w:val="FootnoteReference"/>
        </w:rPr>
        <w:footnoteRef/>
      </w:r>
      <w:r>
        <w:t xml:space="preserve"> </w:t>
      </w:r>
      <w:r w:rsidRPr="00455329">
        <w:t>Ibid</w:t>
      </w:r>
      <w:r>
        <w:t xml:space="preserve">. </w:t>
      </w:r>
      <w:r w:rsidRPr="009146C2">
        <w:rPr>
          <w:i/>
        </w:rPr>
        <w:t>See</w:t>
      </w:r>
      <w:r>
        <w:t xml:space="preserve"> also CRPD Committee, Concluding Observations on Denmark (2014), para. 53, and on Kenya (2015), para. 44(e).</w:t>
      </w:r>
    </w:p>
  </w:footnote>
  <w:footnote w:id="67">
    <w:p w14:paraId="6566ECE2" w14:textId="097D1752" w:rsidR="006B2ABB" w:rsidRPr="00107890" w:rsidRDefault="006B2ABB">
      <w:pPr>
        <w:pStyle w:val="FootnoteText"/>
      </w:pPr>
      <w:r>
        <w:rPr>
          <w:rStyle w:val="FootnoteReference"/>
        </w:rPr>
        <w:footnoteRef/>
      </w:r>
      <w:r>
        <w:t xml:space="preserve"> CRPD </w:t>
      </w:r>
      <w:r>
        <w:rPr>
          <w:lang w:val="en-US"/>
        </w:rPr>
        <w:t>Committee, General Comment No 4, para. 33.</w:t>
      </w:r>
    </w:p>
  </w:footnote>
  <w:footnote w:id="68">
    <w:p w14:paraId="78FD3562" w14:textId="77777777" w:rsidR="00650F6B" w:rsidRPr="00BC3206" w:rsidRDefault="00650F6B" w:rsidP="00650F6B">
      <w:pPr>
        <w:pStyle w:val="FootnoteText"/>
        <w:jc w:val="both"/>
        <w:rPr>
          <w:lang w:val="en-US"/>
        </w:rPr>
      </w:pPr>
      <w:r>
        <w:rPr>
          <w:rStyle w:val="FootnoteReference"/>
        </w:rPr>
        <w:footnoteRef/>
      </w:r>
      <w:r>
        <w:t xml:space="preserve"> </w:t>
      </w:r>
      <w:proofErr w:type="spellStart"/>
      <w:r w:rsidRPr="00BC3206">
        <w:rPr>
          <w:i/>
          <w:iCs/>
          <w:lang w:val="en-US"/>
        </w:rPr>
        <w:t>Thlimmenos</w:t>
      </w:r>
      <w:proofErr w:type="spellEnd"/>
      <w:r w:rsidRPr="00BC3206">
        <w:rPr>
          <w:i/>
          <w:iCs/>
          <w:lang w:val="en-US"/>
        </w:rPr>
        <w:t xml:space="preserve"> v Greece </w:t>
      </w:r>
      <w:r w:rsidRPr="00BC3206">
        <w:rPr>
          <w:lang w:val="en-US"/>
        </w:rPr>
        <w:t>Application no 34369/97, ju</w:t>
      </w:r>
      <w:r>
        <w:rPr>
          <w:lang w:val="en-US"/>
        </w:rPr>
        <w:t xml:space="preserve">dgment of 6 April 2000, para. 44. </w:t>
      </w:r>
    </w:p>
  </w:footnote>
  <w:footnote w:id="69">
    <w:p w14:paraId="24F5E3EB" w14:textId="77777777" w:rsidR="00650F6B" w:rsidRPr="00BC3206" w:rsidRDefault="00650F6B" w:rsidP="00650F6B">
      <w:pPr>
        <w:pStyle w:val="FootnoteText"/>
        <w:jc w:val="both"/>
        <w:rPr>
          <w:lang w:val="en-US"/>
        </w:rPr>
      </w:pPr>
      <w:r>
        <w:rPr>
          <w:rStyle w:val="FootnoteReference"/>
        </w:rPr>
        <w:footnoteRef/>
      </w:r>
      <w:r>
        <w:t xml:space="preserve"> </w:t>
      </w:r>
      <w:r w:rsidRPr="00BC3206">
        <w:rPr>
          <w:lang w:val="en-US"/>
        </w:rPr>
        <w:t xml:space="preserve">European Committee of Social Rights, </w:t>
      </w:r>
      <w:r w:rsidRPr="00BC3206">
        <w:rPr>
          <w:i/>
          <w:iCs/>
          <w:lang w:val="en-US"/>
        </w:rPr>
        <w:t>European Action of the Disabled (AEH) v France</w:t>
      </w:r>
      <w:r w:rsidRPr="00BC3206">
        <w:rPr>
          <w:lang w:val="en-US"/>
        </w:rPr>
        <w:t>, No 81/2012, Decision on the Meri</w:t>
      </w:r>
      <w:r>
        <w:rPr>
          <w:lang w:val="en-US"/>
        </w:rPr>
        <w:t>ts, 11 September 2013, para. 133.</w:t>
      </w:r>
    </w:p>
  </w:footnote>
  <w:footnote w:id="70">
    <w:p w14:paraId="33DF872F" w14:textId="2532374F" w:rsidR="006B2ABB" w:rsidRPr="0068626E" w:rsidRDefault="006B2ABB">
      <w:pPr>
        <w:pStyle w:val="FootnoteText"/>
        <w:rPr>
          <w:lang w:val="en-US"/>
        </w:rPr>
      </w:pPr>
      <w:r>
        <w:rPr>
          <w:rStyle w:val="FootnoteReference"/>
        </w:rPr>
        <w:footnoteRef/>
      </w:r>
      <w:r>
        <w:t xml:space="preserve"> </w:t>
      </w:r>
      <w:proofErr w:type="spellStart"/>
      <w:r w:rsidRPr="0068626E">
        <w:rPr>
          <w:i/>
          <w:lang w:val="en-US"/>
        </w:rPr>
        <w:t>Çam</w:t>
      </w:r>
      <w:proofErr w:type="spellEnd"/>
      <w:r w:rsidRPr="0068626E">
        <w:rPr>
          <w:i/>
          <w:lang w:val="en-US"/>
        </w:rPr>
        <w:t xml:space="preserve"> v Turkey</w:t>
      </w:r>
      <w:r w:rsidRPr="0068626E">
        <w:rPr>
          <w:lang w:val="en-US"/>
        </w:rPr>
        <w:t>, Application No 51500/08, 23 February 2016, para</w:t>
      </w:r>
      <w:r>
        <w:rPr>
          <w:lang w:val="en-US"/>
        </w:rPr>
        <w:t xml:space="preserve">s 66-67. </w:t>
      </w:r>
    </w:p>
  </w:footnote>
  <w:footnote w:id="71">
    <w:p w14:paraId="3C40A329" w14:textId="2A7174DF" w:rsidR="006B2ABB" w:rsidRPr="00970433" w:rsidRDefault="006B2ABB">
      <w:pPr>
        <w:pStyle w:val="FootnoteText"/>
      </w:pPr>
      <w:r>
        <w:rPr>
          <w:rStyle w:val="FootnoteReference"/>
        </w:rPr>
        <w:footnoteRef/>
      </w:r>
      <w:r>
        <w:t xml:space="preserve"> </w:t>
      </w:r>
      <w:proofErr w:type="spellStart"/>
      <w:r w:rsidRPr="002C5E59">
        <w:rPr>
          <w:i/>
          <w:lang w:val="en-US"/>
        </w:rPr>
        <w:t>Enver</w:t>
      </w:r>
      <w:proofErr w:type="spellEnd"/>
      <w:r w:rsidRPr="002C5E59">
        <w:rPr>
          <w:i/>
          <w:lang w:val="en-US"/>
        </w:rPr>
        <w:t xml:space="preserve"> </w:t>
      </w:r>
      <w:proofErr w:type="spellStart"/>
      <w:r w:rsidRPr="002C5E59">
        <w:rPr>
          <w:i/>
          <w:lang w:val="en-US"/>
        </w:rPr>
        <w:t>Şahin</w:t>
      </w:r>
      <w:proofErr w:type="spellEnd"/>
      <w:r w:rsidRPr="002C5E59">
        <w:rPr>
          <w:i/>
          <w:lang w:val="en-US"/>
        </w:rPr>
        <w:t xml:space="preserve"> v. Turkey</w:t>
      </w:r>
      <w:r w:rsidRPr="002C5E59">
        <w:rPr>
          <w:lang w:val="en-US"/>
        </w:rPr>
        <w:t xml:space="preserve"> (application no.</w:t>
      </w:r>
      <w:r w:rsidRPr="002C5E59">
        <w:rPr>
          <w:i/>
          <w:iCs/>
          <w:lang w:val="en-US"/>
        </w:rPr>
        <w:t> </w:t>
      </w:r>
      <w:r w:rsidRPr="002C5E59">
        <w:rPr>
          <w:lang w:val="en-US"/>
        </w:rPr>
        <w:t>23065/12</w:t>
      </w:r>
      <w:r w:rsidRPr="002C5E59">
        <w:rPr>
          <w:i/>
          <w:iCs/>
          <w:lang w:val="en-US"/>
        </w:rPr>
        <w:t>)</w:t>
      </w:r>
      <w:r w:rsidRPr="002C5E59">
        <w:rPr>
          <w:iCs/>
          <w:lang w:val="en-US"/>
        </w:rPr>
        <w:t>, 30 January 20</w:t>
      </w:r>
      <w:r>
        <w:rPr>
          <w:iCs/>
          <w:lang w:val="en-US"/>
        </w:rPr>
        <w:t xml:space="preserve">18, para. 61. </w:t>
      </w:r>
    </w:p>
  </w:footnote>
  <w:footnote w:id="72">
    <w:p w14:paraId="7B52C09D" w14:textId="24D98D69" w:rsidR="006B2ABB" w:rsidRPr="00970433" w:rsidRDefault="006B2ABB">
      <w:pPr>
        <w:pStyle w:val="FootnoteText"/>
      </w:pPr>
      <w:r>
        <w:rPr>
          <w:rStyle w:val="FootnoteReference"/>
        </w:rPr>
        <w:footnoteRef/>
      </w:r>
      <w:r>
        <w:t xml:space="preserve"> </w:t>
      </w:r>
      <w:proofErr w:type="spellStart"/>
      <w:r w:rsidRPr="00970433">
        <w:rPr>
          <w:i/>
          <w:lang w:val="en-US"/>
        </w:rPr>
        <w:t>Çam</w:t>
      </w:r>
      <w:proofErr w:type="spellEnd"/>
      <w:r w:rsidRPr="00970433">
        <w:rPr>
          <w:i/>
          <w:lang w:val="en-US"/>
        </w:rPr>
        <w:t xml:space="preserve"> v Turkey</w:t>
      </w:r>
      <w:r w:rsidRPr="00970433">
        <w:rPr>
          <w:lang w:val="en-US"/>
        </w:rPr>
        <w:t xml:space="preserve">, Application No 51500/08, 23 February 2016, </w:t>
      </w:r>
      <w:r>
        <w:t xml:space="preserve">para. 67.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C6EE3"/>
    <w:multiLevelType w:val="hybridMultilevel"/>
    <w:tmpl w:val="00FC06EE"/>
    <w:lvl w:ilvl="0" w:tplc="5CE66026">
      <w:start w:val="4"/>
      <w:numFmt w:val="upp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134F6C3A"/>
    <w:multiLevelType w:val="hybridMultilevel"/>
    <w:tmpl w:val="C37E451E"/>
    <w:lvl w:ilvl="0" w:tplc="FE38654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B82FB4"/>
    <w:multiLevelType w:val="hybridMultilevel"/>
    <w:tmpl w:val="05B2DB02"/>
    <w:lvl w:ilvl="0" w:tplc="619E3EB0">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7DB5CB2"/>
    <w:multiLevelType w:val="hybridMultilevel"/>
    <w:tmpl w:val="DECCC1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5DC72D7"/>
    <w:multiLevelType w:val="hybridMultilevel"/>
    <w:tmpl w:val="FD94BDA0"/>
    <w:lvl w:ilvl="0" w:tplc="EDF451E0">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69F3B16"/>
    <w:multiLevelType w:val="hybridMultilevel"/>
    <w:tmpl w:val="B6A687EC"/>
    <w:lvl w:ilvl="0" w:tplc="FE9A0862">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AE77D0D"/>
    <w:multiLevelType w:val="hybridMultilevel"/>
    <w:tmpl w:val="A1C230D2"/>
    <w:lvl w:ilvl="0" w:tplc="415839D4">
      <w:start w:val="1"/>
      <w:numFmt w:val="decimal"/>
      <w:lvlText w:val="%1."/>
      <w:lvlJc w:val="left"/>
      <w:pPr>
        <w:ind w:left="720" w:hanging="360"/>
      </w:pPr>
      <w:rPr>
        <w:rFonts w:ascii="Arial" w:hAnsi="Arial" w:cs="Wingdings" w:hint="default"/>
        <w:b w:val="0"/>
        <w:i w:val="0"/>
        <w:color w:val="auto"/>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847EFD"/>
    <w:multiLevelType w:val="hybridMultilevel"/>
    <w:tmpl w:val="FC66595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0B23C98"/>
    <w:multiLevelType w:val="hybridMultilevel"/>
    <w:tmpl w:val="9D6CA7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C991AD5"/>
    <w:multiLevelType w:val="hybridMultilevel"/>
    <w:tmpl w:val="C1A0CD7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6AB85AD3"/>
    <w:multiLevelType w:val="hybridMultilevel"/>
    <w:tmpl w:val="B21EA6CC"/>
    <w:lvl w:ilvl="0" w:tplc="F81CDC16">
      <w:start w:val="1"/>
      <w:numFmt w:val="upperLetter"/>
      <w:lvlText w:val="%1."/>
      <w:lvlJc w:val="left"/>
      <w:pPr>
        <w:ind w:left="1790" w:hanging="360"/>
      </w:pPr>
      <w:rPr>
        <w:rFonts w:hint="default"/>
        <w:u w:val="none"/>
      </w:rPr>
    </w:lvl>
    <w:lvl w:ilvl="1" w:tplc="08090019" w:tentative="1">
      <w:start w:val="1"/>
      <w:numFmt w:val="lowerLetter"/>
      <w:lvlText w:val="%2."/>
      <w:lvlJc w:val="left"/>
      <w:pPr>
        <w:ind w:left="2510" w:hanging="360"/>
      </w:pPr>
    </w:lvl>
    <w:lvl w:ilvl="2" w:tplc="0809001B" w:tentative="1">
      <w:start w:val="1"/>
      <w:numFmt w:val="lowerRoman"/>
      <w:lvlText w:val="%3."/>
      <w:lvlJc w:val="right"/>
      <w:pPr>
        <w:ind w:left="3230" w:hanging="180"/>
      </w:pPr>
    </w:lvl>
    <w:lvl w:ilvl="3" w:tplc="0809000F" w:tentative="1">
      <w:start w:val="1"/>
      <w:numFmt w:val="decimal"/>
      <w:lvlText w:val="%4."/>
      <w:lvlJc w:val="left"/>
      <w:pPr>
        <w:ind w:left="3950" w:hanging="360"/>
      </w:pPr>
    </w:lvl>
    <w:lvl w:ilvl="4" w:tplc="08090019" w:tentative="1">
      <w:start w:val="1"/>
      <w:numFmt w:val="lowerLetter"/>
      <w:lvlText w:val="%5."/>
      <w:lvlJc w:val="left"/>
      <w:pPr>
        <w:ind w:left="4670" w:hanging="360"/>
      </w:pPr>
    </w:lvl>
    <w:lvl w:ilvl="5" w:tplc="0809001B" w:tentative="1">
      <w:start w:val="1"/>
      <w:numFmt w:val="lowerRoman"/>
      <w:lvlText w:val="%6."/>
      <w:lvlJc w:val="right"/>
      <w:pPr>
        <w:ind w:left="5390" w:hanging="180"/>
      </w:pPr>
    </w:lvl>
    <w:lvl w:ilvl="6" w:tplc="0809000F" w:tentative="1">
      <w:start w:val="1"/>
      <w:numFmt w:val="decimal"/>
      <w:lvlText w:val="%7."/>
      <w:lvlJc w:val="left"/>
      <w:pPr>
        <w:ind w:left="6110" w:hanging="360"/>
      </w:pPr>
    </w:lvl>
    <w:lvl w:ilvl="7" w:tplc="08090019" w:tentative="1">
      <w:start w:val="1"/>
      <w:numFmt w:val="lowerLetter"/>
      <w:lvlText w:val="%8."/>
      <w:lvlJc w:val="left"/>
      <w:pPr>
        <w:ind w:left="6830" w:hanging="360"/>
      </w:pPr>
    </w:lvl>
    <w:lvl w:ilvl="8" w:tplc="0809001B" w:tentative="1">
      <w:start w:val="1"/>
      <w:numFmt w:val="lowerRoman"/>
      <w:lvlText w:val="%9."/>
      <w:lvlJc w:val="right"/>
      <w:pPr>
        <w:ind w:left="7550" w:hanging="180"/>
      </w:pPr>
    </w:lvl>
  </w:abstractNum>
  <w:abstractNum w:abstractNumId="12" w15:restartNumberingAfterBreak="0">
    <w:nsid w:val="6EBA3077"/>
    <w:multiLevelType w:val="hybridMultilevel"/>
    <w:tmpl w:val="40242116"/>
    <w:lvl w:ilvl="0" w:tplc="D2660BC8">
      <w:start w:val="1"/>
      <w:numFmt w:val="upperRoman"/>
      <w:lvlText w:val="%1."/>
      <w:lvlJc w:val="left"/>
      <w:pPr>
        <w:ind w:left="1430" w:hanging="72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15:restartNumberingAfterBreak="0">
    <w:nsid w:val="73846F17"/>
    <w:multiLevelType w:val="hybridMultilevel"/>
    <w:tmpl w:val="07C09EF4"/>
    <w:lvl w:ilvl="0" w:tplc="6D26D570">
      <w:start w:val="1"/>
      <w:numFmt w:val="upperRoman"/>
      <w:pStyle w:val="Heading1"/>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3F709FD"/>
    <w:multiLevelType w:val="hybridMultilevel"/>
    <w:tmpl w:val="0FC07AFE"/>
    <w:lvl w:ilvl="0" w:tplc="39D4E16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7"/>
  </w:num>
  <w:num w:numId="5">
    <w:abstractNumId w:val="2"/>
  </w:num>
  <w:num w:numId="6">
    <w:abstractNumId w:val="1"/>
  </w:num>
  <w:num w:numId="7">
    <w:abstractNumId w:val="14"/>
  </w:num>
  <w:num w:numId="8">
    <w:abstractNumId w:val="3"/>
  </w:num>
  <w:num w:numId="9">
    <w:abstractNumId w:val="9"/>
  </w:num>
  <w:num w:numId="10">
    <w:abstractNumId w:val="4"/>
  </w:num>
  <w:num w:numId="11">
    <w:abstractNumId w:val="5"/>
  </w:num>
  <w:num w:numId="12">
    <w:abstractNumId w:val="6"/>
  </w:num>
  <w:num w:numId="13">
    <w:abstractNumId w:val="5"/>
    <w:lvlOverride w:ilvl="0">
      <w:startOverride w:val="1"/>
    </w:lvlOverride>
  </w:num>
  <w:num w:numId="14">
    <w:abstractNumId w:val="8"/>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16"/>
    <w:rsid w:val="0000098A"/>
    <w:rsid w:val="00001160"/>
    <w:rsid w:val="00002FE9"/>
    <w:rsid w:val="0000336F"/>
    <w:rsid w:val="00003B98"/>
    <w:rsid w:val="0000450C"/>
    <w:rsid w:val="000058E7"/>
    <w:rsid w:val="00006502"/>
    <w:rsid w:val="000068FF"/>
    <w:rsid w:val="000078F8"/>
    <w:rsid w:val="00007F0D"/>
    <w:rsid w:val="00010AB7"/>
    <w:rsid w:val="00016647"/>
    <w:rsid w:val="000171EF"/>
    <w:rsid w:val="00017BDF"/>
    <w:rsid w:val="00021650"/>
    <w:rsid w:val="00022285"/>
    <w:rsid w:val="00023A1F"/>
    <w:rsid w:val="000268CF"/>
    <w:rsid w:val="0003008C"/>
    <w:rsid w:val="0003066A"/>
    <w:rsid w:val="000309F1"/>
    <w:rsid w:val="00032D11"/>
    <w:rsid w:val="00032F57"/>
    <w:rsid w:val="000331CE"/>
    <w:rsid w:val="0003683C"/>
    <w:rsid w:val="00036C05"/>
    <w:rsid w:val="000422C0"/>
    <w:rsid w:val="000514AD"/>
    <w:rsid w:val="00054EA4"/>
    <w:rsid w:val="00055167"/>
    <w:rsid w:val="00055F85"/>
    <w:rsid w:val="000563C2"/>
    <w:rsid w:val="000565C6"/>
    <w:rsid w:val="00061366"/>
    <w:rsid w:val="00061FAF"/>
    <w:rsid w:val="00065B36"/>
    <w:rsid w:val="00070475"/>
    <w:rsid w:val="00071917"/>
    <w:rsid w:val="000858C9"/>
    <w:rsid w:val="00087255"/>
    <w:rsid w:val="00087FB0"/>
    <w:rsid w:val="00093CF0"/>
    <w:rsid w:val="000954CE"/>
    <w:rsid w:val="00097DFC"/>
    <w:rsid w:val="000A0324"/>
    <w:rsid w:val="000A0E25"/>
    <w:rsid w:val="000A1A71"/>
    <w:rsid w:val="000A2064"/>
    <w:rsid w:val="000A31D5"/>
    <w:rsid w:val="000A4CAE"/>
    <w:rsid w:val="000A51D1"/>
    <w:rsid w:val="000A53B3"/>
    <w:rsid w:val="000A75ED"/>
    <w:rsid w:val="000B3325"/>
    <w:rsid w:val="000B4349"/>
    <w:rsid w:val="000B49F4"/>
    <w:rsid w:val="000B7B2C"/>
    <w:rsid w:val="000B7D0A"/>
    <w:rsid w:val="000C0A82"/>
    <w:rsid w:val="000C1AA0"/>
    <w:rsid w:val="000C1D0D"/>
    <w:rsid w:val="000C4B03"/>
    <w:rsid w:val="000C6EF7"/>
    <w:rsid w:val="000D4100"/>
    <w:rsid w:val="000D5676"/>
    <w:rsid w:val="000D5BC0"/>
    <w:rsid w:val="000E2A43"/>
    <w:rsid w:val="000F0F68"/>
    <w:rsid w:val="000F3F8F"/>
    <w:rsid w:val="00104E6D"/>
    <w:rsid w:val="00106F88"/>
    <w:rsid w:val="00107890"/>
    <w:rsid w:val="00110554"/>
    <w:rsid w:val="0011232A"/>
    <w:rsid w:val="001128D1"/>
    <w:rsid w:val="001144FC"/>
    <w:rsid w:val="00114715"/>
    <w:rsid w:val="0012022B"/>
    <w:rsid w:val="00120B69"/>
    <w:rsid w:val="00121ADB"/>
    <w:rsid w:val="0012283A"/>
    <w:rsid w:val="0012290D"/>
    <w:rsid w:val="00132625"/>
    <w:rsid w:val="00134EE4"/>
    <w:rsid w:val="00136E5D"/>
    <w:rsid w:val="00136EFE"/>
    <w:rsid w:val="00140623"/>
    <w:rsid w:val="00141EA9"/>
    <w:rsid w:val="00142BEB"/>
    <w:rsid w:val="00144CA6"/>
    <w:rsid w:val="00146D3C"/>
    <w:rsid w:val="00147966"/>
    <w:rsid w:val="00150A72"/>
    <w:rsid w:val="00152514"/>
    <w:rsid w:val="00152E6E"/>
    <w:rsid w:val="00154D26"/>
    <w:rsid w:val="00157F93"/>
    <w:rsid w:val="001618B6"/>
    <w:rsid w:val="00161911"/>
    <w:rsid w:val="001641E5"/>
    <w:rsid w:val="00165DEA"/>
    <w:rsid w:val="001716A4"/>
    <w:rsid w:val="00173A78"/>
    <w:rsid w:val="00175559"/>
    <w:rsid w:val="001758D4"/>
    <w:rsid w:val="00175B49"/>
    <w:rsid w:val="00175CC5"/>
    <w:rsid w:val="00177936"/>
    <w:rsid w:val="001813A5"/>
    <w:rsid w:val="00182A80"/>
    <w:rsid w:val="00183F48"/>
    <w:rsid w:val="001846D4"/>
    <w:rsid w:val="00186F99"/>
    <w:rsid w:val="00190C01"/>
    <w:rsid w:val="0019117B"/>
    <w:rsid w:val="00194E1B"/>
    <w:rsid w:val="00195255"/>
    <w:rsid w:val="001960FE"/>
    <w:rsid w:val="001A0FA6"/>
    <w:rsid w:val="001A2AA0"/>
    <w:rsid w:val="001A2FEF"/>
    <w:rsid w:val="001A4D48"/>
    <w:rsid w:val="001B2584"/>
    <w:rsid w:val="001B656D"/>
    <w:rsid w:val="001C0265"/>
    <w:rsid w:val="001C0500"/>
    <w:rsid w:val="001C2E8E"/>
    <w:rsid w:val="001C32B1"/>
    <w:rsid w:val="001C4D50"/>
    <w:rsid w:val="001C52A9"/>
    <w:rsid w:val="001C72DB"/>
    <w:rsid w:val="001C7354"/>
    <w:rsid w:val="001D0A1A"/>
    <w:rsid w:val="001D2C90"/>
    <w:rsid w:val="001D3556"/>
    <w:rsid w:val="001D375F"/>
    <w:rsid w:val="001D4146"/>
    <w:rsid w:val="001D55B0"/>
    <w:rsid w:val="001D5A7D"/>
    <w:rsid w:val="001D65B5"/>
    <w:rsid w:val="001D6AB2"/>
    <w:rsid w:val="001E59A4"/>
    <w:rsid w:val="001E7383"/>
    <w:rsid w:val="001F0344"/>
    <w:rsid w:val="001F1193"/>
    <w:rsid w:val="001F1DC0"/>
    <w:rsid w:val="001F4A59"/>
    <w:rsid w:val="001F6B11"/>
    <w:rsid w:val="001F7610"/>
    <w:rsid w:val="00200109"/>
    <w:rsid w:val="002029A1"/>
    <w:rsid w:val="00203379"/>
    <w:rsid w:val="00204232"/>
    <w:rsid w:val="002065C3"/>
    <w:rsid w:val="00211E6C"/>
    <w:rsid w:val="00215F90"/>
    <w:rsid w:val="002160AF"/>
    <w:rsid w:val="00216224"/>
    <w:rsid w:val="00216E9C"/>
    <w:rsid w:val="00217BE2"/>
    <w:rsid w:val="002201BF"/>
    <w:rsid w:val="002205D9"/>
    <w:rsid w:val="00221CA6"/>
    <w:rsid w:val="00222E83"/>
    <w:rsid w:val="0022645A"/>
    <w:rsid w:val="00230E75"/>
    <w:rsid w:val="00231D94"/>
    <w:rsid w:val="002327B8"/>
    <w:rsid w:val="00235F38"/>
    <w:rsid w:val="0023676B"/>
    <w:rsid w:val="00236BD9"/>
    <w:rsid w:val="00240A43"/>
    <w:rsid w:val="00244AA6"/>
    <w:rsid w:val="00247E02"/>
    <w:rsid w:val="00251909"/>
    <w:rsid w:val="002540AA"/>
    <w:rsid w:val="00255942"/>
    <w:rsid w:val="00256013"/>
    <w:rsid w:val="00256A34"/>
    <w:rsid w:val="00262C48"/>
    <w:rsid w:val="00263438"/>
    <w:rsid w:val="00263D51"/>
    <w:rsid w:val="00265EB7"/>
    <w:rsid w:val="00266AA6"/>
    <w:rsid w:val="002674D4"/>
    <w:rsid w:val="0026774E"/>
    <w:rsid w:val="00270EA2"/>
    <w:rsid w:val="002736D4"/>
    <w:rsid w:val="00273BDF"/>
    <w:rsid w:val="0027625E"/>
    <w:rsid w:val="00276BA3"/>
    <w:rsid w:val="00277A82"/>
    <w:rsid w:val="00285EE0"/>
    <w:rsid w:val="00286457"/>
    <w:rsid w:val="00286A6D"/>
    <w:rsid w:val="00287F21"/>
    <w:rsid w:val="002921B4"/>
    <w:rsid w:val="00294342"/>
    <w:rsid w:val="00295DBD"/>
    <w:rsid w:val="002979FE"/>
    <w:rsid w:val="002A1AEA"/>
    <w:rsid w:val="002A24B2"/>
    <w:rsid w:val="002A2C3C"/>
    <w:rsid w:val="002A31FC"/>
    <w:rsid w:val="002A63AB"/>
    <w:rsid w:val="002B0E78"/>
    <w:rsid w:val="002B0F8A"/>
    <w:rsid w:val="002B16EF"/>
    <w:rsid w:val="002B6002"/>
    <w:rsid w:val="002B6442"/>
    <w:rsid w:val="002B7205"/>
    <w:rsid w:val="002B7394"/>
    <w:rsid w:val="002C0272"/>
    <w:rsid w:val="002C0AC4"/>
    <w:rsid w:val="002C37A7"/>
    <w:rsid w:val="002C47EA"/>
    <w:rsid w:val="002C5E59"/>
    <w:rsid w:val="002C6490"/>
    <w:rsid w:val="002C6C9F"/>
    <w:rsid w:val="002C72C1"/>
    <w:rsid w:val="002D16FD"/>
    <w:rsid w:val="002D2DC3"/>
    <w:rsid w:val="002D5151"/>
    <w:rsid w:val="002D5521"/>
    <w:rsid w:val="002D5AF5"/>
    <w:rsid w:val="002D77DE"/>
    <w:rsid w:val="002D7A3D"/>
    <w:rsid w:val="002D7CB6"/>
    <w:rsid w:val="002E15F6"/>
    <w:rsid w:val="002E2134"/>
    <w:rsid w:val="002E6402"/>
    <w:rsid w:val="002F0BFF"/>
    <w:rsid w:val="002F4417"/>
    <w:rsid w:val="002F618F"/>
    <w:rsid w:val="002F6ED4"/>
    <w:rsid w:val="0030000F"/>
    <w:rsid w:val="003007ED"/>
    <w:rsid w:val="0030291C"/>
    <w:rsid w:val="00303FBC"/>
    <w:rsid w:val="00305018"/>
    <w:rsid w:val="00305186"/>
    <w:rsid w:val="00305732"/>
    <w:rsid w:val="00306F43"/>
    <w:rsid w:val="00310053"/>
    <w:rsid w:val="00315AA8"/>
    <w:rsid w:val="00315D3C"/>
    <w:rsid w:val="00316807"/>
    <w:rsid w:val="00320172"/>
    <w:rsid w:val="00320B5A"/>
    <w:rsid w:val="00321D5D"/>
    <w:rsid w:val="00323D23"/>
    <w:rsid w:val="0032491E"/>
    <w:rsid w:val="00324E6A"/>
    <w:rsid w:val="00325895"/>
    <w:rsid w:val="0032680A"/>
    <w:rsid w:val="0032768C"/>
    <w:rsid w:val="00331512"/>
    <w:rsid w:val="00334476"/>
    <w:rsid w:val="00335EEA"/>
    <w:rsid w:val="0033605D"/>
    <w:rsid w:val="003365EE"/>
    <w:rsid w:val="00341D97"/>
    <w:rsid w:val="00343128"/>
    <w:rsid w:val="00343161"/>
    <w:rsid w:val="0034544B"/>
    <w:rsid w:val="00345900"/>
    <w:rsid w:val="00346BD4"/>
    <w:rsid w:val="003519A4"/>
    <w:rsid w:val="00351AEE"/>
    <w:rsid w:val="003539F4"/>
    <w:rsid w:val="003574C2"/>
    <w:rsid w:val="003577BE"/>
    <w:rsid w:val="00357C6A"/>
    <w:rsid w:val="00357CE7"/>
    <w:rsid w:val="00361FF3"/>
    <w:rsid w:val="003627B3"/>
    <w:rsid w:val="003642C6"/>
    <w:rsid w:val="00364E64"/>
    <w:rsid w:val="003670E7"/>
    <w:rsid w:val="003673BD"/>
    <w:rsid w:val="00370525"/>
    <w:rsid w:val="0037331A"/>
    <w:rsid w:val="003745E5"/>
    <w:rsid w:val="00375F2B"/>
    <w:rsid w:val="0037760A"/>
    <w:rsid w:val="00377C10"/>
    <w:rsid w:val="00380758"/>
    <w:rsid w:val="00380BBB"/>
    <w:rsid w:val="0038192E"/>
    <w:rsid w:val="003843E8"/>
    <w:rsid w:val="00391058"/>
    <w:rsid w:val="00393073"/>
    <w:rsid w:val="00393598"/>
    <w:rsid w:val="003A5EE0"/>
    <w:rsid w:val="003A6975"/>
    <w:rsid w:val="003A7F71"/>
    <w:rsid w:val="003B0573"/>
    <w:rsid w:val="003B4B3B"/>
    <w:rsid w:val="003B615C"/>
    <w:rsid w:val="003B65F4"/>
    <w:rsid w:val="003C2F9A"/>
    <w:rsid w:val="003C362D"/>
    <w:rsid w:val="003C40C2"/>
    <w:rsid w:val="003C6175"/>
    <w:rsid w:val="003D0838"/>
    <w:rsid w:val="003D263E"/>
    <w:rsid w:val="003D2F3C"/>
    <w:rsid w:val="003D38DA"/>
    <w:rsid w:val="003D397F"/>
    <w:rsid w:val="003D5713"/>
    <w:rsid w:val="003D79F3"/>
    <w:rsid w:val="003E09AD"/>
    <w:rsid w:val="003E29DE"/>
    <w:rsid w:val="003E475D"/>
    <w:rsid w:val="003E49E1"/>
    <w:rsid w:val="003E5AAD"/>
    <w:rsid w:val="003E6132"/>
    <w:rsid w:val="003E6453"/>
    <w:rsid w:val="003F179F"/>
    <w:rsid w:val="003F2E3B"/>
    <w:rsid w:val="003F34C0"/>
    <w:rsid w:val="003F3A8A"/>
    <w:rsid w:val="003F52A0"/>
    <w:rsid w:val="003F5BE0"/>
    <w:rsid w:val="003F6E62"/>
    <w:rsid w:val="003F7340"/>
    <w:rsid w:val="003F7622"/>
    <w:rsid w:val="004018EE"/>
    <w:rsid w:val="00406AB0"/>
    <w:rsid w:val="00407510"/>
    <w:rsid w:val="00411246"/>
    <w:rsid w:val="00412EAE"/>
    <w:rsid w:val="0041368E"/>
    <w:rsid w:val="00416CF7"/>
    <w:rsid w:val="0042048F"/>
    <w:rsid w:val="004217BB"/>
    <w:rsid w:val="00423A93"/>
    <w:rsid w:val="0042590F"/>
    <w:rsid w:val="00427729"/>
    <w:rsid w:val="0043197A"/>
    <w:rsid w:val="004347B4"/>
    <w:rsid w:val="00435E03"/>
    <w:rsid w:val="00436461"/>
    <w:rsid w:val="00440F3C"/>
    <w:rsid w:val="00444363"/>
    <w:rsid w:val="00444C5A"/>
    <w:rsid w:val="00446327"/>
    <w:rsid w:val="00446D2E"/>
    <w:rsid w:val="00450336"/>
    <w:rsid w:val="00450918"/>
    <w:rsid w:val="004518B2"/>
    <w:rsid w:val="00451C6D"/>
    <w:rsid w:val="00452E8E"/>
    <w:rsid w:val="00452E9A"/>
    <w:rsid w:val="0045365E"/>
    <w:rsid w:val="00453C24"/>
    <w:rsid w:val="0045496F"/>
    <w:rsid w:val="00454D93"/>
    <w:rsid w:val="00455329"/>
    <w:rsid w:val="004559E6"/>
    <w:rsid w:val="00460A87"/>
    <w:rsid w:val="00467594"/>
    <w:rsid w:val="004712F1"/>
    <w:rsid w:val="00471345"/>
    <w:rsid w:val="004731D5"/>
    <w:rsid w:val="00475BFD"/>
    <w:rsid w:val="004777FD"/>
    <w:rsid w:val="00481638"/>
    <w:rsid w:val="0048407E"/>
    <w:rsid w:val="0048753A"/>
    <w:rsid w:val="00487D20"/>
    <w:rsid w:val="00490447"/>
    <w:rsid w:val="004929D0"/>
    <w:rsid w:val="004929D1"/>
    <w:rsid w:val="00492F31"/>
    <w:rsid w:val="0049387B"/>
    <w:rsid w:val="0049397B"/>
    <w:rsid w:val="00497451"/>
    <w:rsid w:val="00497D20"/>
    <w:rsid w:val="004A42C5"/>
    <w:rsid w:val="004A6434"/>
    <w:rsid w:val="004A655E"/>
    <w:rsid w:val="004A7FF1"/>
    <w:rsid w:val="004B0810"/>
    <w:rsid w:val="004B50E4"/>
    <w:rsid w:val="004B7ABD"/>
    <w:rsid w:val="004C0A8A"/>
    <w:rsid w:val="004C18E5"/>
    <w:rsid w:val="004C2D82"/>
    <w:rsid w:val="004C4C0D"/>
    <w:rsid w:val="004C6F6F"/>
    <w:rsid w:val="004C71B2"/>
    <w:rsid w:val="004D1FBC"/>
    <w:rsid w:val="004D34EE"/>
    <w:rsid w:val="004D40CD"/>
    <w:rsid w:val="004D496B"/>
    <w:rsid w:val="004D610B"/>
    <w:rsid w:val="004D62E8"/>
    <w:rsid w:val="004E155D"/>
    <w:rsid w:val="004E36CF"/>
    <w:rsid w:val="004E5075"/>
    <w:rsid w:val="004E55C7"/>
    <w:rsid w:val="004E761D"/>
    <w:rsid w:val="004E77CB"/>
    <w:rsid w:val="004E7CC8"/>
    <w:rsid w:val="004F0AA1"/>
    <w:rsid w:val="004F2681"/>
    <w:rsid w:val="004F2BFF"/>
    <w:rsid w:val="004F2C54"/>
    <w:rsid w:val="004F51F1"/>
    <w:rsid w:val="004F5298"/>
    <w:rsid w:val="004F6873"/>
    <w:rsid w:val="00500F03"/>
    <w:rsid w:val="00504148"/>
    <w:rsid w:val="00504CDD"/>
    <w:rsid w:val="00505B97"/>
    <w:rsid w:val="00506255"/>
    <w:rsid w:val="00512DEB"/>
    <w:rsid w:val="005140D5"/>
    <w:rsid w:val="00515454"/>
    <w:rsid w:val="005158EB"/>
    <w:rsid w:val="00515D08"/>
    <w:rsid w:val="00520F32"/>
    <w:rsid w:val="005247C8"/>
    <w:rsid w:val="00525758"/>
    <w:rsid w:val="00525DAD"/>
    <w:rsid w:val="00526BBB"/>
    <w:rsid w:val="00526C82"/>
    <w:rsid w:val="00532A1D"/>
    <w:rsid w:val="005356F5"/>
    <w:rsid w:val="00535B74"/>
    <w:rsid w:val="00535BCE"/>
    <w:rsid w:val="00536FA1"/>
    <w:rsid w:val="005405D8"/>
    <w:rsid w:val="00541656"/>
    <w:rsid w:val="005437AC"/>
    <w:rsid w:val="00544A8D"/>
    <w:rsid w:val="005463CA"/>
    <w:rsid w:val="00547979"/>
    <w:rsid w:val="00547A3F"/>
    <w:rsid w:val="005500DF"/>
    <w:rsid w:val="00550F9E"/>
    <w:rsid w:val="00552780"/>
    <w:rsid w:val="00553620"/>
    <w:rsid w:val="00554261"/>
    <w:rsid w:val="00554AA4"/>
    <w:rsid w:val="00555BBF"/>
    <w:rsid w:val="00555C29"/>
    <w:rsid w:val="005565AE"/>
    <w:rsid w:val="0055750C"/>
    <w:rsid w:val="00560947"/>
    <w:rsid w:val="005631C9"/>
    <w:rsid w:val="00563621"/>
    <w:rsid w:val="00564966"/>
    <w:rsid w:val="005731AB"/>
    <w:rsid w:val="00573C79"/>
    <w:rsid w:val="00580892"/>
    <w:rsid w:val="00580C17"/>
    <w:rsid w:val="00581734"/>
    <w:rsid w:val="0058182C"/>
    <w:rsid w:val="00583305"/>
    <w:rsid w:val="00583B70"/>
    <w:rsid w:val="005851DC"/>
    <w:rsid w:val="005864FD"/>
    <w:rsid w:val="0059125A"/>
    <w:rsid w:val="005946FE"/>
    <w:rsid w:val="005973C6"/>
    <w:rsid w:val="00597B96"/>
    <w:rsid w:val="005A28F1"/>
    <w:rsid w:val="005A4F1E"/>
    <w:rsid w:val="005A63FC"/>
    <w:rsid w:val="005B1683"/>
    <w:rsid w:val="005B3C32"/>
    <w:rsid w:val="005B4506"/>
    <w:rsid w:val="005C0048"/>
    <w:rsid w:val="005C118D"/>
    <w:rsid w:val="005C1A59"/>
    <w:rsid w:val="005C4A11"/>
    <w:rsid w:val="005C4FBE"/>
    <w:rsid w:val="005C5709"/>
    <w:rsid w:val="005C671D"/>
    <w:rsid w:val="005D04C5"/>
    <w:rsid w:val="005D411B"/>
    <w:rsid w:val="005D6593"/>
    <w:rsid w:val="005E0993"/>
    <w:rsid w:val="005E1B5C"/>
    <w:rsid w:val="005E41FC"/>
    <w:rsid w:val="005E4A94"/>
    <w:rsid w:val="005E5351"/>
    <w:rsid w:val="005E553C"/>
    <w:rsid w:val="005E5B8A"/>
    <w:rsid w:val="005E67A8"/>
    <w:rsid w:val="005E6A7F"/>
    <w:rsid w:val="005F0944"/>
    <w:rsid w:val="005F0EC2"/>
    <w:rsid w:val="005F0F53"/>
    <w:rsid w:val="005F2384"/>
    <w:rsid w:val="005F23D6"/>
    <w:rsid w:val="005F59B9"/>
    <w:rsid w:val="005F5F59"/>
    <w:rsid w:val="005F690A"/>
    <w:rsid w:val="005F7605"/>
    <w:rsid w:val="00602918"/>
    <w:rsid w:val="00602C55"/>
    <w:rsid w:val="00602E1C"/>
    <w:rsid w:val="00605B84"/>
    <w:rsid w:val="00605F44"/>
    <w:rsid w:val="0060606B"/>
    <w:rsid w:val="00607433"/>
    <w:rsid w:val="00607CC7"/>
    <w:rsid w:val="00607E64"/>
    <w:rsid w:val="00611BB3"/>
    <w:rsid w:val="006144BC"/>
    <w:rsid w:val="0061560F"/>
    <w:rsid w:val="00615B63"/>
    <w:rsid w:val="006161A5"/>
    <w:rsid w:val="00621109"/>
    <w:rsid w:val="006234C8"/>
    <w:rsid w:val="006258F5"/>
    <w:rsid w:val="00625C8B"/>
    <w:rsid w:val="00625ED3"/>
    <w:rsid w:val="006271AC"/>
    <w:rsid w:val="00633E35"/>
    <w:rsid w:val="00634D6B"/>
    <w:rsid w:val="006365D3"/>
    <w:rsid w:val="00636974"/>
    <w:rsid w:val="0064001C"/>
    <w:rsid w:val="006408E4"/>
    <w:rsid w:val="00641796"/>
    <w:rsid w:val="00641AD2"/>
    <w:rsid w:val="00645F9D"/>
    <w:rsid w:val="006475AF"/>
    <w:rsid w:val="006475E3"/>
    <w:rsid w:val="00650F6B"/>
    <w:rsid w:val="00651DDC"/>
    <w:rsid w:val="00652BD5"/>
    <w:rsid w:val="006530EF"/>
    <w:rsid w:val="0065591C"/>
    <w:rsid w:val="006579D7"/>
    <w:rsid w:val="0066028E"/>
    <w:rsid w:val="0066161C"/>
    <w:rsid w:val="00661857"/>
    <w:rsid w:val="00663243"/>
    <w:rsid w:val="00664529"/>
    <w:rsid w:val="0067082D"/>
    <w:rsid w:val="00670FB4"/>
    <w:rsid w:val="00672060"/>
    <w:rsid w:val="00673DD7"/>
    <w:rsid w:val="0067419D"/>
    <w:rsid w:val="00674EA3"/>
    <w:rsid w:val="00681BE5"/>
    <w:rsid w:val="00682AB0"/>
    <w:rsid w:val="00682AE7"/>
    <w:rsid w:val="006835E6"/>
    <w:rsid w:val="00684418"/>
    <w:rsid w:val="0068529C"/>
    <w:rsid w:val="006859AA"/>
    <w:rsid w:val="0068626E"/>
    <w:rsid w:val="00687BF3"/>
    <w:rsid w:val="00687CB4"/>
    <w:rsid w:val="0069091C"/>
    <w:rsid w:val="00690DB4"/>
    <w:rsid w:val="00690FCC"/>
    <w:rsid w:val="006916E6"/>
    <w:rsid w:val="006937F7"/>
    <w:rsid w:val="00695818"/>
    <w:rsid w:val="00695CF3"/>
    <w:rsid w:val="006963EE"/>
    <w:rsid w:val="00697D20"/>
    <w:rsid w:val="006A0076"/>
    <w:rsid w:val="006A0846"/>
    <w:rsid w:val="006A0B84"/>
    <w:rsid w:val="006A0FE2"/>
    <w:rsid w:val="006A5152"/>
    <w:rsid w:val="006A5D50"/>
    <w:rsid w:val="006B0435"/>
    <w:rsid w:val="006B049E"/>
    <w:rsid w:val="006B0880"/>
    <w:rsid w:val="006B0CBE"/>
    <w:rsid w:val="006B0F7A"/>
    <w:rsid w:val="006B19A8"/>
    <w:rsid w:val="006B1BCD"/>
    <w:rsid w:val="006B2ABB"/>
    <w:rsid w:val="006B3A44"/>
    <w:rsid w:val="006B5580"/>
    <w:rsid w:val="006C087A"/>
    <w:rsid w:val="006C2120"/>
    <w:rsid w:val="006C630D"/>
    <w:rsid w:val="006C6B6D"/>
    <w:rsid w:val="006D0605"/>
    <w:rsid w:val="006D1F42"/>
    <w:rsid w:val="006D7378"/>
    <w:rsid w:val="006E1566"/>
    <w:rsid w:val="006E2E67"/>
    <w:rsid w:val="006E4042"/>
    <w:rsid w:val="006F1004"/>
    <w:rsid w:val="006F1A98"/>
    <w:rsid w:val="006F26EC"/>
    <w:rsid w:val="006F29AA"/>
    <w:rsid w:val="006F2B99"/>
    <w:rsid w:val="006F3D31"/>
    <w:rsid w:val="006F592F"/>
    <w:rsid w:val="006F6F8D"/>
    <w:rsid w:val="006F7A3A"/>
    <w:rsid w:val="00700B6B"/>
    <w:rsid w:val="00701257"/>
    <w:rsid w:val="007012CE"/>
    <w:rsid w:val="007048CA"/>
    <w:rsid w:val="0070542C"/>
    <w:rsid w:val="007054FE"/>
    <w:rsid w:val="00705BF5"/>
    <w:rsid w:val="00707980"/>
    <w:rsid w:val="007114E1"/>
    <w:rsid w:val="00711830"/>
    <w:rsid w:val="00711F00"/>
    <w:rsid w:val="00712C29"/>
    <w:rsid w:val="00715EB2"/>
    <w:rsid w:val="00721426"/>
    <w:rsid w:val="00721699"/>
    <w:rsid w:val="00721A2C"/>
    <w:rsid w:val="0072215B"/>
    <w:rsid w:val="0072403A"/>
    <w:rsid w:val="00725005"/>
    <w:rsid w:val="007250A8"/>
    <w:rsid w:val="0073107E"/>
    <w:rsid w:val="00731650"/>
    <w:rsid w:val="0073494E"/>
    <w:rsid w:val="0073562B"/>
    <w:rsid w:val="00736C88"/>
    <w:rsid w:val="00737C69"/>
    <w:rsid w:val="00743B9C"/>
    <w:rsid w:val="0074586B"/>
    <w:rsid w:val="0074589B"/>
    <w:rsid w:val="0074647C"/>
    <w:rsid w:val="00746503"/>
    <w:rsid w:val="007503C6"/>
    <w:rsid w:val="00750D3F"/>
    <w:rsid w:val="007512DD"/>
    <w:rsid w:val="0075436F"/>
    <w:rsid w:val="00755571"/>
    <w:rsid w:val="00757E9E"/>
    <w:rsid w:val="00760435"/>
    <w:rsid w:val="007644F6"/>
    <w:rsid w:val="00764723"/>
    <w:rsid w:val="00764DC3"/>
    <w:rsid w:val="00767172"/>
    <w:rsid w:val="0077056F"/>
    <w:rsid w:val="00772B69"/>
    <w:rsid w:val="00776AF3"/>
    <w:rsid w:val="00782859"/>
    <w:rsid w:val="00782F80"/>
    <w:rsid w:val="00784F61"/>
    <w:rsid w:val="00785D2F"/>
    <w:rsid w:val="00786072"/>
    <w:rsid w:val="0078614B"/>
    <w:rsid w:val="007870B6"/>
    <w:rsid w:val="00793422"/>
    <w:rsid w:val="00795646"/>
    <w:rsid w:val="00795713"/>
    <w:rsid w:val="0079586F"/>
    <w:rsid w:val="00795C70"/>
    <w:rsid w:val="007962F3"/>
    <w:rsid w:val="007A25C6"/>
    <w:rsid w:val="007A2C3B"/>
    <w:rsid w:val="007A2F4F"/>
    <w:rsid w:val="007A32DB"/>
    <w:rsid w:val="007A3F85"/>
    <w:rsid w:val="007A4D40"/>
    <w:rsid w:val="007B041E"/>
    <w:rsid w:val="007B2171"/>
    <w:rsid w:val="007B2C0C"/>
    <w:rsid w:val="007B43EE"/>
    <w:rsid w:val="007B539D"/>
    <w:rsid w:val="007B7237"/>
    <w:rsid w:val="007B735B"/>
    <w:rsid w:val="007C041A"/>
    <w:rsid w:val="007C30CB"/>
    <w:rsid w:val="007C3805"/>
    <w:rsid w:val="007D21F1"/>
    <w:rsid w:val="007D30C5"/>
    <w:rsid w:val="007D3647"/>
    <w:rsid w:val="007D3D69"/>
    <w:rsid w:val="007D6916"/>
    <w:rsid w:val="007E02B1"/>
    <w:rsid w:val="007E034F"/>
    <w:rsid w:val="007E0B21"/>
    <w:rsid w:val="007E0BBB"/>
    <w:rsid w:val="007E3256"/>
    <w:rsid w:val="007E3C2F"/>
    <w:rsid w:val="007E664F"/>
    <w:rsid w:val="007F14E7"/>
    <w:rsid w:val="007F2162"/>
    <w:rsid w:val="007F2977"/>
    <w:rsid w:val="007F4DF6"/>
    <w:rsid w:val="007F609F"/>
    <w:rsid w:val="007F6ADC"/>
    <w:rsid w:val="007F7118"/>
    <w:rsid w:val="007F7C6F"/>
    <w:rsid w:val="00801073"/>
    <w:rsid w:val="00801E98"/>
    <w:rsid w:val="00803688"/>
    <w:rsid w:val="00804A67"/>
    <w:rsid w:val="00804FAC"/>
    <w:rsid w:val="0080668D"/>
    <w:rsid w:val="00811E40"/>
    <w:rsid w:val="00813C17"/>
    <w:rsid w:val="00814ED9"/>
    <w:rsid w:val="00820871"/>
    <w:rsid w:val="008267F4"/>
    <w:rsid w:val="00830421"/>
    <w:rsid w:val="00830D7B"/>
    <w:rsid w:val="00831D38"/>
    <w:rsid w:val="008379FA"/>
    <w:rsid w:val="008418DF"/>
    <w:rsid w:val="00844C02"/>
    <w:rsid w:val="008514FB"/>
    <w:rsid w:val="008524BC"/>
    <w:rsid w:val="00853B94"/>
    <w:rsid w:val="00853E7F"/>
    <w:rsid w:val="00854090"/>
    <w:rsid w:val="00856745"/>
    <w:rsid w:val="00861267"/>
    <w:rsid w:val="008633E2"/>
    <w:rsid w:val="00865C2C"/>
    <w:rsid w:val="008701A0"/>
    <w:rsid w:val="00870D55"/>
    <w:rsid w:val="00881C55"/>
    <w:rsid w:val="00884345"/>
    <w:rsid w:val="008852FD"/>
    <w:rsid w:val="00887627"/>
    <w:rsid w:val="00890AD0"/>
    <w:rsid w:val="00893447"/>
    <w:rsid w:val="00894C0A"/>
    <w:rsid w:val="0089630F"/>
    <w:rsid w:val="008A4B41"/>
    <w:rsid w:val="008A5FDD"/>
    <w:rsid w:val="008A7A2F"/>
    <w:rsid w:val="008B1E49"/>
    <w:rsid w:val="008B1E62"/>
    <w:rsid w:val="008B354E"/>
    <w:rsid w:val="008B74C9"/>
    <w:rsid w:val="008B7760"/>
    <w:rsid w:val="008C43EF"/>
    <w:rsid w:val="008C44EC"/>
    <w:rsid w:val="008C565D"/>
    <w:rsid w:val="008C5C5A"/>
    <w:rsid w:val="008D10E9"/>
    <w:rsid w:val="008D10FF"/>
    <w:rsid w:val="008D5AB4"/>
    <w:rsid w:val="008D6E22"/>
    <w:rsid w:val="008E0FB2"/>
    <w:rsid w:val="008E168B"/>
    <w:rsid w:val="008E3A3D"/>
    <w:rsid w:val="008E7856"/>
    <w:rsid w:val="008E7ECC"/>
    <w:rsid w:val="008E7F91"/>
    <w:rsid w:val="008F0526"/>
    <w:rsid w:val="008F1500"/>
    <w:rsid w:val="008F2109"/>
    <w:rsid w:val="008F6653"/>
    <w:rsid w:val="00902E1E"/>
    <w:rsid w:val="00904596"/>
    <w:rsid w:val="00906415"/>
    <w:rsid w:val="00910506"/>
    <w:rsid w:val="00911948"/>
    <w:rsid w:val="00912255"/>
    <w:rsid w:val="00912715"/>
    <w:rsid w:val="009130F5"/>
    <w:rsid w:val="009146C2"/>
    <w:rsid w:val="00916D62"/>
    <w:rsid w:val="00916D6D"/>
    <w:rsid w:val="0092162E"/>
    <w:rsid w:val="0092216A"/>
    <w:rsid w:val="00925162"/>
    <w:rsid w:val="0092595F"/>
    <w:rsid w:val="00930577"/>
    <w:rsid w:val="00931F45"/>
    <w:rsid w:val="009333A9"/>
    <w:rsid w:val="00933545"/>
    <w:rsid w:val="0093361F"/>
    <w:rsid w:val="009336F1"/>
    <w:rsid w:val="00935052"/>
    <w:rsid w:val="00937109"/>
    <w:rsid w:val="00937255"/>
    <w:rsid w:val="009400A9"/>
    <w:rsid w:val="00942348"/>
    <w:rsid w:val="009432C7"/>
    <w:rsid w:val="009437AA"/>
    <w:rsid w:val="00946060"/>
    <w:rsid w:val="00946EFB"/>
    <w:rsid w:val="00947713"/>
    <w:rsid w:val="0095355E"/>
    <w:rsid w:val="00953B33"/>
    <w:rsid w:val="009631E8"/>
    <w:rsid w:val="009634AF"/>
    <w:rsid w:val="00966492"/>
    <w:rsid w:val="00970433"/>
    <w:rsid w:val="009716FA"/>
    <w:rsid w:val="00972584"/>
    <w:rsid w:val="009737E2"/>
    <w:rsid w:val="0097426F"/>
    <w:rsid w:val="0097480E"/>
    <w:rsid w:val="00976CB2"/>
    <w:rsid w:val="009772E3"/>
    <w:rsid w:val="009801F3"/>
    <w:rsid w:val="00980B6C"/>
    <w:rsid w:val="0098116C"/>
    <w:rsid w:val="009812B6"/>
    <w:rsid w:val="0098241F"/>
    <w:rsid w:val="00982E65"/>
    <w:rsid w:val="00985E32"/>
    <w:rsid w:val="00987301"/>
    <w:rsid w:val="00987327"/>
    <w:rsid w:val="0099242B"/>
    <w:rsid w:val="00993F1A"/>
    <w:rsid w:val="009954CE"/>
    <w:rsid w:val="009A068C"/>
    <w:rsid w:val="009A24E4"/>
    <w:rsid w:val="009A2D35"/>
    <w:rsid w:val="009A3F4E"/>
    <w:rsid w:val="009A40AE"/>
    <w:rsid w:val="009A5E48"/>
    <w:rsid w:val="009A64ED"/>
    <w:rsid w:val="009A696E"/>
    <w:rsid w:val="009B3BB4"/>
    <w:rsid w:val="009B4E76"/>
    <w:rsid w:val="009B56C5"/>
    <w:rsid w:val="009B584B"/>
    <w:rsid w:val="009B5CF9"/>
    <w:rsid w:val="009B65AF"/>
    <w:rsid w:val="009B7814"/>
    <w:rsid w:val="009C2410"/>
    <w:rsid w:val="009C311E"/>
    <w:rsid w:val="009D2EEF"/>
    <w:rsid w:val="009D3B8F"/>
    <w:rsid w:val="009D7F80"/>
    <w:rsid w:val="009E0E4D"/>
    <w:rsid w:val="009E223B"/>
    <w:rsid w:val="009E2B0B"/>
    <w:rsid w:val="009E5019"/>
    <w:rsid w:val="009E5556"/>
    <w:rsid w:val="009E5A33"/>
    <w:rsid w:val="009E781C"/>
    <w:rsid w:val="009F5CA0"/>
    <w:rsid w:val="009F6360"/>
    <w:rsid w:val="009F76BB"/>
    <w:rsid w:val="00A02315"/>
    <w:rsid w:val="00A027A9"/>
    <w:rsid w:val="00A02A8B"/>
    <w:rsid w:val="00A04DAA"/>
    <w:rsid w:val="00A07455"/>
    <w:rsid w:val="00A1135D"/>
    <w:rsid w:val="00A12472"/>
    <w:rsid w:val="00A126B8"/>
    <w:rsid w:val="00A13003"/>
    <w:rsid w:val="00A14D33"/>
    <w:rsid w:val="00A1589D"/>
    <w:rsid w:val="00A16366"/>
    <w:rsid w:val="00A202D9"/>
    <w:rsid w:val="00A241FC"/>
    <w:rsid w:val="00A24DD9"/>
    <w:rsid w:val="00A25B3C"/>
    <w:rsid w:val="00A25E52"/>
    <w:rsid w:val="00A260B1"/>
    <w:rsid w:val="00A2611D"/>
    <w:rsid w:val="00A27E45"/>
    <w:rsid w:val="00A3061D"/>
    <w:rsid w:val="00A31617"/>
    <w:rsid w:val="00A33E2D"/>
    <w:rsid w:val="00A34BDE"/>
    <w:rsid w:val="00A37330"/>
    <w:rsid w:val="00A412F9"/>
    <w:rsid w:val="00A4260C"/>
    <w:rsid w:val="00A42FAB"/>
    <w:rsid w:val="00A46FB5"/>
    <w:rsid w:val="00A50146"/>
    <w:rsid w:val="00A50351"/>
    <w:rsid w:val="00A51687"/>
    <w:rsid w:val="00A519D3"/>
    <w:rsid w:val="00A5224F"/>
    <w:rsid w:val="00A537ED"/>
    <w:rsid w:val="00A56197"/>
    <w:rsid w:val="00A57026"/>
    <w:rsid w:val="00A618EA"/>
    <w:rsid w:val="00A63840"/>
    <w:rsid w:val="00A6487C"/>
    <w:rsid w:val="00A66643"/>
    <w:rsid w:val="00A66D1C"/>
    <w:rsid w:val="00A75130"/>
    <w:rsid w:val="00A759B3"/>
    <w:rsid w:val="00A76C97"/>
    <w:rsid w:val="00A77999"/>
    <w:rsid w:val="00A8096A"/>
    <w:rsid w:val="00A842CC"/>
    <w:rsid w:val="00A84C84"/>
    <w:rsid w:val="00A85807"/>
    <w:rsid w:val="00A86A07"/>
    <w:rsid w:val="00A86B03"/>
    <w:rsid w:val="00A91471"/>
    <w:rsid w:val="00A91EDA"/>
    <w:rsid w:val="00A932EA"/>
    <w:rsid w:val="00A9361C"/>
    <w:rsid w:val="00A94C4C"/>
    <w:rsid w:val="00A9677E"/>
    <w:rsid w:val="00AA0121"/>
    <w:rsid w:val="00AA1E52"/>
    <w:rsid w:val="00AA3F86"/>
    <w:rsid w:val="00AA4520"/>
    <w:rsid w:val="00AA4F15"/>
    <w:rsid w:val="00AA5912"/>
    <w:rsid w:val="00AA5CCD"/>
    <w:rsid w:val="00AA6725"/>
    <w:rsid w:val="00AA7825"/>
    <w:rsid w:val="00AA7C2B"/>
    <w:rsid w:val="00AB0040"/>
    <w:rsid w:val="00AB69AD"/>
    <w:rsid w:val="00AC0715"/>
    <w:rsid w:val="00AC6326"/>
    <w:rsid w:val="00AC6547"/>
    <w:rsid w:val="00AC6716"/>
    <w:rsid w:val="00AC7422"/>
    <w:rsid w:val="00AD0285"/>
    <w:rsid w:val="00AD1111"/>
    <w:rsid w:val="00AD237E"/>
    <w:rsid w:val="00AD28F9"/>
    <w:rsid w:val="00AD34C4"/>
    <w:rsid w:val="00AD3AE6"/>
    <w:rsid w:val="00AD3D18"/>
    <w:rsid w:val="00AD6C1E"/>
    <w:rsid w:val="00AE0FCD"/>
    <w:rsid w:val="00AE5762"/>
    <w:rsid w:val="00AF02EF"/>
    <w:rsid w:val="00AF40ED"/>
    <w:rsid w:val="00AF421A"/>
    <w:rsid w:val="00AF77A3"/>
    <w:rsid w:val="00B01388"/>
    <w:rsid w:val="00B0215E"/>
    <w:rsid w:val="00B07050"/>
    <w:rsid w:val="00B071E2"/>
    <w:rsid w:val="00B077F0"/>
    <w:rsid w:val="00B137C4"/>
    <w:rsid w:val="00B13CE1"/>
    <w:rsid w:val="00B14084"/>
    <w:rsid w:val="00B20C3F"/>
    <w:rsid w:val="00B21F38"/>
    <w:rsid w:val="00B24F27"/>
    <w:rsid w:val="00B26591"/>
    <w:rsid w:val="00B266E2"/>
    <w:rsid w:val="00B27021"/>
    <w:rsid w:val="00B31D53"/>
    <w:rsid w:val="00B32328"/>
    <w:rsid w:val="00B32F21"/>
    <w:rsid w:val="00B365C2"/>
    <w:rsid w:val="00B36BBD"/>
    <w:rsid w:val="00B37F58"/>
    <w:rsid w:val="00B40807"/>
    <w:rsid w:val="00B41D4C"/>
    <w:rsid w:val="00B42026"/>
    <w:rsid w:val="00B43D43"/>
    <w:rsid w:val="00B47150"/>
    <w:rsid w:val="00B50030"/>
    <w:rsid w:val="00B51616"/>
    <w:rsid w:val="00B54A5E"/>
    <w:rsid w:val="00B5757F"/>
    <w:rsid w:val="00B57A6E"/>
    <w:rsid w:val="00B61A95"/>
    <w:rsid w:val="00B61C4B"/>
    <w:rsid w:val="00B62984"/>
    <w:rsid w:val="00B67A29"/>
    <w:rsid w:val="00B70505"/>
    <w:rsid w:val="00B706DA"/>
    <w:rsid w:val="00B716FC"/>
    <w:rsid w:val="00B74EE6"/>
    <w:rsid w:val="00B75647"/>
    <w:rsid w:val="00B75C3C"/>
    <w:rsid w:val="00B76205"/>
    <w:rsid w:val="00B813F6"/>
    <w:rsid w:val="00B87AA6"/>
    <w:rsid w:val="00B9269B"/>
    <w:rsid w:val="00B92E19"/>
    <w:rsid w:val="00B97C17"/>
    <w:rsid w:val="00BA16BD"/>
    <w:rsid w:val="00BA2F62"/>
    <w:rsid w:val="00BA55F3"/>
    <w:rsid w:val="00BA5BE9"/>
    <w:rsid w:val="00BA701F"/>
    <w:rsid w:val="00BA77AA"/>
    <w:rsid w:val="00BA7A63"/>
    <w:rsid w:val="00BB1DA1"/>
    <w:rsid w:val="00BB6D27"/>
    <w:rsid w:val="00BC099D"/>
    <w:rsid w:val="00BC3206"/>
    <w:rsid w:val="00BC5457"/>
    <w:rsid w:val="00BC6788"/>
    <w:rsid w:val="00BD4C95"/>
    <w:rsid w:val="00BD5183"/>
    <w:rsid w:val="00BE0844"/>
    <w:rsid w:val="00BE181A"/>
    <w:rsid w:val="00BE46F0"/>
    <w:rsid w:val="00BF07E1"/>
    <w:rsid w:val="00BF1769"/>
    <w:rsid w:val="00BF3FF1"/>
    <w:rsid w:val="00BF47D0"/>
    <w:rsid w:val="00BF4902"/>
    <w:rsid w:val="00BF5539"/>
    <w:rsid w:val="00C02298"/>
    <w:rsid w:val="00C03D6A"/>
    <w:rsid w:val="00C12C62"/>
    <w:rsid w:val="00C1584F"/>
    <w:rsid w:val="00C16A5C"/>
    <w:rsid w:val="00C16ED8"/>
    <w:rsid w:val="00C1794E"/>
    <w:rsid w:val="00C17EF1"/>
    <w:rsid w:val="00C205E8"/>
    <w:rsid w:val="00C226FB"/>
    <w:rsid w:val="00C24E29"/>
    <w:rsid w:val="00C27050"/>
    <w:rsid w:val="00C30C61"/>
    <w:rsid w:val="00C31D1A"/>
    <w:rsid w:val="00C32B5E"/>
    <w:rsid w:val="00C33541"/>
    <w:rsid w:val="00C36331"/>
    <w:rsid w:val="00C368D5"/>
    <w:rsid w:val="00C40188"/>
    <w:rsid w:val="00C4287B"/>
    <w:rsid w:val="00C4372F"/>
    <w:rsid w:val="00C4742E"/>
    <w:rsid w:val="00C5403A"/>
    <w:rsid w:val="00C55D28"/>
    <w:rsid w:val="00C5684A"/>
    <w:rsid w:val="00C577F2"/>
    <w:rsid w:val="00C57EBA"/>
    <w:rsid w:val="00C60303"/>
    <w:rsid w:val="00C606BD"/>
    <w:rsid w:val="00C60D67"/>
    <w:rsid w:val="00C63415"/>
    <w:rsid w:val="00C64154"/>
    <w:rsid w:val="00C65B4D"/>
    <w:rsid w:val="00C65D41"/>
    <w:rsid w:val="00C661A4"/>
    <w:rsid w:val="00C665A0"/>
    <w:rsid w:val="00C76ADE"/>
    <w:rsid w:val="00C804A8"/>
    <w:rsid w:val="00C821D2"/>
    <w:rsid w:val="00C83440"/>
    <w:rsid w:val="00C83E4A"/>
    <w:rsid w:val="00C84CDB"/>
    <w:rsid w:val="00C901E9"/>
    <w:rsid w:val="00C90AA7"/>
    <w:rsid w:val="00C92AC0"/>
    <w:rsid w:val="00C9355E"/>
    <w:rsid w:val="00C95012"/>
    <w:rsid w:val="00C95073"/>
    <w:rsid w:val="00C95967"/>
    <w:rsid w:val="00C962F3"/>
    <w:rsid w:val="00C9663F"/>
    <w:rsid w:val="00C9723B"/>
    <w:rsid w:val="00CA1C69"/>
    <w:rsid w:val="00CA43FE"/>
    <w:rsid w:val="00CA50A3"/>
    <w:rsid w:val="00CA575C"/>
    <w:rsid w:val="00CA5838"/>
    <w:rsid w:val="00CA794D"/>
    <w:rsid w:val="00CB2AA6"/>
    <w:rsid w:val="00CB3953"/>
    <w:rsid w:val="00CB7A08"/>
    <w:rsid w:val="00CC09D4"/>
    <w:rsid w:val="00CC3CB6"/>
    <w:rsid w:val="00CC5837"/>
    <w:rsid w:val="00CC5FA8"/>
    <w:rsid w:val="00CC6A01"/>
    <w:rsid w:val="00CD1D37"/>
    <w:rsid w:val="00CD2506"/>
    <w:rsid w:val="00CD3902"/>
    <w:rsid w:val="00CE05F5"/>
    <w:rsid w:val="00CE21E1"/>
    <w:rsid w:val="00CE5363"/>
    <w:rsid w:val="00CE76BB"/>
    <w:rsid w:val="00CF0787"/>
    <w:rsid w:val="00CF23DF"/>
    <w:rsid w:val="00CF2417"/>
    <w:rsid w:val="00CF25B2"/>
    <w:rsid w:val="00CF2B50"/>
    <w:rsid w:val="00CF2EAA"/>
    <w:rsid w:val="00CF43A3"/>
    <w:rsid w:val="00D0099A"/>
    <w:rsid w:val="00D016CA"/>
    <w:rsid w:val="00D0275E"/>
    <w:rsid w:val="00D03047"/>
    <w:rsid w:val="00D038F1"/>
    <w:rsid w:val="00D04B86"/>
    <w:rsid w:val="00D05233"/>
    <w:rsid w:val="00D0702B"/>
    <w:rsid w:val="00D10A02"/>
    <w:rsid w:val="00D10A58"/>
    <w:rsid w:val="00D11CBC"/>
    <w:rsid w:val="00D1421B"/>
    <w:rsid w:val="00D15DA7"/>
    <w:rsid w:val="00D20538"/>
    <w:rsid w:val="00D20847"/>
    <w:rsid w:val="00D3067A"/>
    <w:rsid w:val="00D34765"/>
    <w:rsid w:val="00D34CDF"/>
    <w:rsid w:val="00D359CF"/>
    <w:rsid w:val="00D36D38"/>
    <w:rsid w:val="00D37675"/>
    <w:rsid w:val="00D41D1A"/>
    <w:rsid w:val="00D434F8"/>
    <w:rsid w:val="00D446D6"/>
    <w:rsid w:val="00D45A09"/>
    <w:rsid w:val="00D45BFB"/>
    <w:rsid w:val="00D50043"/>
    <w:rsid w:val="00D60A45"/>
    <w:rsid w:val="00D60DA7"/>
    <w:rsid w:val="00D61C40"/>
    <w:rsid w:val="00D63549"/>
    <w:rsid w:val="00D640B2"/>
    <w:rsid w:val="00D652C2"/>
    <w:rsid w:val="00D7040B"/>
    <w:rsid w:val="00D72965"/>
    <w:rsid w:val="00D72FB1"/>
    <w:rsid w:val="00D73E95"/>
    <w:rsid w:val="00D7539C"/>
    <w:rsid w:val="00D7734A"/>
    <w:rsid w:val="00D77AA6"/>
    <w:rsid w:val="00D77CDD"/>
    <w:rsid w:val="00D81929"/>
    <w:rsid w:val="00D84743"/>
    <w:rsid w:val="00D8532D"/>
    <w:rsid w:val="00D90E15"/>
    <w:rsid w:val="00D92AE5"/>
    <w:rsid w:val="00D93BE8"/>
    <w:rsid w:val="00D9476C"/>
    <w:rsid w:val="00D9584E"/>
    <w:rsid w:val="00D95DEF"/>
    <w:rsid w:val="00DA125C"/>
    <w:rsid w:val="00DA16BF"/>
    <w:rsid w:val="00DA2DD0"/>
    <w:rsid w:val="00DA3C09"/>
    <w:rsid w:val="00DA3F38"/>
    <w:rsid w:val="00DA7541"/>
    <w:rsid w:val="00DB2A4B"/>
    <w:rsid w:val="00DB2D58"/>
    <w:rsid w:val="00DB4044"/>
    <w:rsid w:val="00DB4A27"/>
    <w:rsid w:val="00DB5606"/>
    <w:rsid w:val="00DB6FEF"/>
    <w:rsid w:val="00DB7CB2"/>
    <w:rsid w:val="00DC1624"/>
    <w:rsid w:val="00DC244A"/>
    <w:rsid w:val="00DC3568"/>
    <w:rsid w:val="00DD42B5"/>
    <w:rsid w:val="00DD5FC5"/>
    <w:rsid w:val="00DD678E"/>
    <w:rsid w:val="00DE2DCB"/>
    <w:rsid w:val="00DE3132"/>
    <w:rsid w:val="00DE59C0"/>
    <w:rsid w:val="00DE5A9A"/>
    <w:rsid w:val="00DE7540"/>
    <w:rsid w:val="00DE77F0"/>
    <w:rsid w:val="00DF0B59"/>
    <w:rsid w:val="00DF59B2"/>
    <w:rsid w:val="00E0037C"/>
    <w:rsid w:val="00E03033"/>
    <w:rsid w:val="00E04FA3"/>
    <w:rsid w:val="00E0690D"/>
    <w:rsid w:val="00E06D52"/>
    <w:rsid w:val="00E1065D"/>
    <w:rsid w:val="00E10A1B"/>
    <w:rsid w:val="00E1101B"/>
    <w:rsid w:val="00E11B10"/>
    <w:rsid w:val="00E11B5F"/>
    <w:rsid w:val="00E12F0E"/>
    <w:rsid w:val="00E14959"/>
    <w:rsid w:val="00E21A54"/>
    <w:rsid w:val="00E27032"/>
    <w:rsid w:val="00E30763"/>
    <w:rsid w:val="00E34514"/>
    <w:rsid w:val="00E35DBB"/>
    <w:rsid w:val="00E36AB0"/>
    <w:rsid w:val="00E4081B"/>
    <w:rsid w:val="00E4146F"/>
    <w:rsid w:val="00E455B6"/>
    <w:rsid w:val="00E46A39"/>
    <w:rsid w:val="00E51CA8"/>
    <w:rsid w:val="00E531B7"/>
    <w:rsid w:val="00E53EB8"/>
    <w:rsid w:val="00E544E3"/>
    <w:rsid w:val="00E553FA"/>
    <w:rsid w:val="00E55E38"/>
    <w:rsid w:val="00E561A0"/>
    <w:rsid w:val="00E61299"/>
    <w:rsid w:val="00E625EE"/>
    <w:rsid w:val="00E64D39"/>
    <w:rsid w:val="00E655D6"/>
    <w:rsid w:val="00E667F5"/>
    <w:rsid w:val="00E66A98"/>
    <w:rsid w:val="00E7145B"/>
    <w:rsid w:val="00E71E8E"/>
    <w:rsid w:val="00E724AA"/>
    <w:rsid w:val="00E75893"/>
    <w:rsid w:val="00E76C4F"/>
    <w:rsid w:val="00E82613"/>
    <w:rsid w:val="00E82FD6"/>
    <w:rsid w:val="00E836C7"/>
    <w:rsid w:val="00E83DF2"/>
    <w:rsid w:val="00E84E12"/>
    <w:rsid w:val="00E868C0"/>
    <w:rsid w:val="00E87900"/>
    <w:rsid w:val="00E91A3D"/>
    <w:rsid w:val="00E91C2D"/>
    <w:rsid w:val="00E92525"/>
    <w:rsid w:val="00E933CB"/>
    <w:rsid w:val="00E9366F"/>
    <w:rsid w:val="00E93F9E"/>
    <w:rsid w:val="00E94251"/>
    <w:rsid w:val="00E96F6E"/>
    <w:rsid w:val="00E97BAF"/>
    <w:rsid w:val="00E97CFA"/>
    <w:rsid w:val="00EA048A"/>
    <w:rsid w:val="00EA0755"/>
    <w:rsid w:val="00EA1C12"/>
    <w:rsid w:val="00EA2D22"/>
    <w:rsid w:val="00EA30BB"/>
    <w:rsid w:val="00EA77F8"/>
    <w:rsid w:val="00EB07AA"/>
    <w:rsid w:val="00EB15B3"/>
    <w:rsid w:val="00EB4DAA"/>
    <w:rsid w:val="00EC345B"/>
    <w:rsid w:val="00ED0296"/>
    <w:rsid w:val="00ED114E"/>
    <w:rsid w:val="00ED2D08"/>
    <w:rsid w:val="00ED4BFA"/>
    <w:rsid w:val="00EE0024"/>
    <w:rsid w:val="00EE2F8E"/>
    <w:rsid w:val="00EE376C"/>
    <w:rsid w:val="00EE7282"/>
    <w:rsid w:val="00EF0616"/>
    <w:rsid w:val="00EF120F"/>
    <w:rsid w:val="00EF2FB3"/>
    <w:rsid w:val="00EF3839"/>
    <w:rsid w:val="00EF3D80"/>
    <w:rsid w:val="00EF52C0"/>
    <w:rsid w:val="00EF5A84"/>
    <w:rsid w:val="00EF6D63"/>
    <w:rsid w:val="00EF7D47"/>
    <w:rsid w:val="00F035A0"/>
    <w:rsid w:val="00F05614"/>
    <w:rsid w:val="00F066A0"/>
    <w:rsid w:val="00F06F4B"/>
    <w:rsid w:val="00F11329"/>
    <w:rsid w:val="00F120F6"/>
    <w:rsid w:val="00F12369"/>
    <w:rsid w:val="00F12B65"/>
    <w:rsid w:val="00F1360F"/>
    <w:rsid w:val="00F1641C"/>
    <w:rsid w:val="00F16C78"/>
    <w:rsid w:val="00F16C9B"/>
    <w:rsid w:val="00F17BED"/>
    <w:rsid w:val="00F217F2"/>
    <w:rsid w:val="00F22B0E"/>
    <w:rsid w:val="00F23D3A"/>
    <w:rsid w:val="00F25CBB"/>
    <w:rsid w:val="00F36524"/>
    <w:rsid w:val="00F404FB"/>
    <w:rsid w:val="00F40E57"/>
    <w:rsid w:val="00F424E7"/>
    <w:rsid w:val="00F449A8"/>
    <w:rsid w:val="00F45A68"/>
    <w:rsid w:val="00F50549"/>
    <w:rsid w:val="00F53242"/>
    <w:rsid w:val="00F54A74"/>
    <w:rsid w:val="00F56234"/>
    <w:rsid w:val="00F574B7"/>
    <w:rsid w:val="00F578A1"/>
    <w:rsid w:val="00F57C9B"/>
    <w:rsid w:val="00F612DE"/>
    <w:rsid w:val="00F62A9D"/>
    <w:rsid w:val="00F640E0"/>
    <w:rsid w:val="00F70DAD"/>
    <w:rsid w:val="00F715B9"/>
    <w:rsid w:val="00F716F2"/>
    <w:rsid w:val="00F71A0F"/>
    <w:rsid w:val="00F72A93"/>
    <w:rsid w:val="00F74E15"/>
    <w:rsid w:val="00F77BF9"/>
    <w:rsid w:val="00F8061E"/>
    <w:rsid w:val="00F82532"/>
    <w:rsid w:val="00F91CEB"/>
    <w:rsid w:val="00F92C19"/>
    <w:rsid w:val="00F94469"/>
    <w:rsid w:val="00F973BB"/>
    <w:rsid w:val="00FA0695"/>
    <w:rsid w:val="00FA4E04"/>
    <w:rsid w:val="00FA6D05"/>
    <w:rsid w:val="00FB1383"/>
    <w:rsid w:val="00FB20B8"/>
    <w:rsid w:val="00FB22DA"/>
    <w:rsid w:val="00FB6D49"/>
    <w:rsid w:val="00FB71D6"/>
    <w:rsid w:val="00FB7C05"/>
    <w:rsid w:val="00FC1853"/>
    <w:rsid w:val="00FD30D4"/>
    <w:rsid w:val="00FD4364"/>
    <w:rsid w:val="00FD497F"/>
    <w:rsid w:val="00FD5767"/>
    <w:rsid w:val="00FD73C1"/>
    <w:rsid w:val="00FD7F01"/>
    <w:rsid w:val="00FE22AD"/>
    <w:rsid w:val="00FE34A8"/>
    <w:rsid w:val="00FE364D"/>
    <w:rsid w:val="00FE4B2B"/>
    <w:rsid w:val="00FE5E7E"/>
    <w:rsid w:val="00FE63BD"/>
    <w:rsid w:val="00FF1006"/>
    <w:rsid w:val="00FF6078"/>
    <w:rsid w:val="00FF6D6F"/>
    <w:rsid w:val="00FF6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CD2B5"/>
  <w14:defaultImageDpi w14:val="300"/>
  <w15:docId w15:val="{A03A31CE-3D6E-4463-B9CD-9055B7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84F"/>
    <w:rPr>
      <w:rFonts w:ascii="Arial" w:hAnsi="Arial"/>
      <w:sz w:val="22"/>
    </w:rPr>
  </w:style>
  <w:style w:type="paragraph" w:styleId="Heading1">
    <w:name w:val="heading 1"/>
    <w:basedOn w:val="Normal"/>
    <w:next w:val="Normal"/>
    <w:link w:val="Heading1Char"/>
    <w:autoRedefine/>
    <w:uiPriority w:val="9"/>
    <w:qFormat/>
    <w:rsid w:val="00D9476C"/>
    <w:pPr>
      <w:keepNext/>
      <w:keepLines/>
      <w:numPr>
        <w:numId w:val="16"/>
      </w:numPr>
      <w:spacing w:before="240" w:after="240"/>
      <w:jc w:val="both"/>
      <w:outlineLvl w:val="0"/>
    </w:pPr>
    <w:rPr>
      <w:rFonts w:eastAsiaTheme="majorEastAsia" w:cstheme="majorBidi"/>
      <w:color w:val="365F91" w:themeColor="accent1" w:themeShade="BF"/>
      <w:sz w:val="26"/>
      <w:szCs w:val="32"/>
      <w:lang w:val="en-GB"/>
    </w:rPr>
  </w:style>
  <w:style w:type="paragraph" w:styleId="Heading2">
    <w:name w:val="heading 2"/>
    <w:basedOn w:val="Normal"/>
    <w:next w:val="Normal"/>
    <w:link w:val="Heading2Char"/>
    <w:uiPriority w:val="9"/>
    <w:unhideWhenUsed/>
    <w:qFormat/>
    <w:rsid w:val="001C0265"/>
    <w:pPr>
      <w:keepNext/>
      <w:keepLines/>
      <w:spacing w:before="40"/>
      <w:outlineLvl w:val="1"/>
    </w:pPr>
    <w:rPr>
      <w:rFonts w:asciiTheme="majorHAnsi" w:eastAsiaTheme="majorEastAsia" w:hAnsiTheme="majorHAnsi" w:cstheme="majorBidi"/>
      <w:color w:val="365F91" w:themeColor="accent1" w:themeShade="BF"/>
      <w:sz w:val="26"/>
      <w:szCs w:val="26"/>
      <w:u w:val="single"/>
    </w:rPr>
  </w:style>
  <w:style w:type="paragraph" w:styleId="Heading3">
    <w:name w:val="heading 3"/>
    <w:basedOn w:val="Normal"/>
    <w:next w:val="Normal"/>
    <w:link w:val="Heading3Char"/>
    <w:uiPriority w:val="9"/>
    <w:unhideWhenUsed/>
    <w:qFormat/>
    <w:rsid w:val="00757E9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3A44"/>
    <w:rPr>
      <w:sz w:val="18"/>
      <w:szCs w:val="18"/>
    </w:rPr>
  </w:style>
  <w:style w:type="paragraph" w:styleId="CommentText">
    <w:name w:val="annotation text"/>
    <w:basedOn w:val="Normal"/>
    <w:link w:val="CommentTextChar"/>
    <w:uiPriority w:val="99"/>
    <w:semiHidden/>
    <w:unhideWhenUsed/>
    <w:rsid w:val="006B3A44"/>
  </w:style>
  <w:style w:type="character" w:customStyle="1" w:styleId="CommentTextChar">
    <w:name w:val="Comment Text Char"/>
    <w:basedOn w:val="DefaultParagraphFont"/>
    <w:link w:val="CommentText"/>
    <w:uiPriority w:val="99"/>
    <w:semiHidden/>
    <w:rsid w:val="006B3A44"/>
  </w:style>
  <w:style w:type="paragraph" w:styleId="CommentSubject">
    <w:name w:val="annotation subject"/>
    <w:basedOn w:val="CommentText"/>
    <w:next w:val="CommentText"/>
    <w:link w:val="CommentSubjectChar"/>
    <w:uiPriority w:val="99"/>
    <w:semiHidden/>
    <w:unhideWhenUsed/>
    <w:rsid w:val="006B3A44"/>
    <w:rPr>
      <w:b/>
      <w:bCs/>
      <w:sz w:val="20"/>
      <w:szCs w:val="20"/>
    </w:rPr>
  </w:style>
  <w:style w:type="character" w:customStyle="1" w:styleId="CommentSubjectChar">
    <w:name w:val="Comment Subject Char"/>
    <w:basedOn w:val="CommentTextChar"/>
    <w:link w:val="CommentSubject"/>
    <w:uiPriority w:val="99"/>
    <w:semiHidden/>
    <w:rsid w:val="006B3A44"/>
    <w:rPr>
      <w:b/>
      <w:bCs/>
      <w:sz w:val="20"/>
      <w:szCs w:val="20"/>
    </w:rPr>
  </w:style>
  <w:style w:type="paragraph" w:styleId="BalloonText">
    <w:name w:val="Balloon Text"/>
    <w:basedOn w:val="Normal"/>
    <w:link w:val="BalloonTextChar"/>
    <w:uiPriority w:val="99"/>
    <w:semiHidden/>
    <w:unhideWhenUsed/>
    <w:rsid w:val="006B3A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A44"/>
    <w:rPr>
      <w:rFonts w:ascii="Lucida Grande" w:hAnsi="Lucida Grande" w:cs="Lucida Grande"/>
      <w:sz w:val="18"/>
      <w:szCs w:val="18"/>
    </w:rPr>
  </w:style>
  <w:style w:type="paragraph" w:styleId="Header">
    <w:name w:val="header"/>
    <w:basedOn w:val="Normal"/>
    <w:link w:val="HeaderChar"/>
    <w:uiPriority w:val="99"/>
    <w:unhideWhenUsed/>
    <w:rsid w:val="0067082D"/>
    <w:pPr>
      <w:tabs>
        <w:tab w:val="center" w:pos="4320"/>
        <w:tab w:val="right" w:pos="8640"/>
      </w:tabs>
    </w:pPr>
  </w:style>
  <w:style w:type="character" w:customStyle="1" w:styleId="HeaderChar">
    <w:name w:val="Header Char"/>
    <w:basedOn w:val="DefaultParagraphFont"/>
    <w:link w:val="Header"/>
    <w:uiPriority w:val="99"/>
    <w:rsid w:val="0067082D"/>
  </w:style>
  <w:style w:type="paragraph" w:styleId="Footer">
    <w:name w:val="footer"/>
    <w:basedOn w:val="Normal"/>
    <w:link w:val="FooterChar"/>
    <w:uiPriority w:val="99"/>
    <w:unhideWhenUsed/>
    <w:rsid w:val="0067082D"/>
    <w:pPr>
      <w:tabs>
        <w:tab w:val="center" w:pos="4320"/>
        <w:tab w:val="right" w:pos="8640"/>
      </w:tabs>
    </w:pPr>
  </w:style>
  <w:style w:type="character" w:customStyle="1" w:styleId="FooterChar">
    <w:name w:val="Footer Char"/>
    <w:basedOn w:val="DefaultParagraphFont"/>
    <w:link w:val="Footer"/>
    <w:uiPriority w:val="99"/>
    <w:rsid w:val="0067082D"/>
  </w:style>
  <w:style w:type="paragraph" w:styleId="FootnoteText">
    <w:name w:val="footnote text"/>
    <w:aliases w:val="Footnote reference,FA Fu,Footnote Text Char Char Char Char Char,Footnote Text Char Char Char Char,Footnote Text Char Char Char,Footnote Text Char Char Char Char Char Char Char Char,5_G,Fußnotentext RAXEN,footnotes,Char, Char"/>
    <w:basedOn w:val="Normal"/>
    <w:link w:val="FootnoteTextChar"/>
    <w:uiPriority w:val="99"/>
    <w:unhideWhenUsed/>
    <w:rsid w:val="00D359CF"/>
    <w:rPr>
      <w:sz w:val="16"/>
      <w:lang w:val="en-GB"/>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 Char Char Char Char Char Char Char Char,5_G Char,Char Char"/>
    <w:basedOn w:val="DefaultParagraphFont"/>
    <w:link w:val="FootnoteText"/>
    <w:uiPriority w:val="99"/>
    <w:rsid w:val="00D359CF"/>
    <w:rPr>
      <w:rFonts w:ascii="Arial" w:hAnsi="Arial"/>
      <w:sz w:val="16"/>
      <w:lang w:val="en-GB"/>
    </w:rPr>
  </w:style>
  <w:style w:type="character" w:styleId="FootnoteReference">
    <w:name w:val="footnote reference"/>
    <w:aliases w:val="4_G,Footnotes refss,Footnote number,Footnote,Footnote symbol,Footnote Refernece,callout,Footnote Reference Superscript,Footnote Reference Number,BVI fnr,ftref,NO,Voetnootverwijzing,Times 10 Point,Exposant 3 Point"/>
    <w:basedOn w:val="DefaultParagraphFont"/>
    <w:link w:val="4GChar"/>
    <w:uiPriority w:val="99"/>
    <w:unhideWhenUsed/>
    <w:rsid w:val="00204232"/>
    <w:rPr>
      <w:vertAlign w:val="superscript"/>
    </w:rPr>
  </w:style>
  <w:style w:type="character" w:styleId="PageNumber">
    <w:name w:val="page number"/>
    <w:basedOn w:val="DefaultParagraphFont"/>
    <w:uiPriority w:val="99"/>
    <w:semiHidden/>
    <w:unhideWhenUsed/>
    <w:rsid w:val="004C0A8A"/>
  </w:style>
  <w:style w:type="paragraph" w:styleId="NormalWeb">
    <w:name w:val="Normal (Web)"/>
    <w:basedOn w:val="Normal"/>
    <w:uiPriority w:val="99"/>
    <w:semiHidden/>
    <w:unhideWhenUsed/>
    <w:rsid w:val="00490447"/>
    <w:rPr>
      <w:rFonts w:ascii="Times New Roman" w:hAnsi="Times New Roman" w:cs="Times New Roman"/>
    </w:rPr>
  </w:style>
  <w:style w:type="paragraph" w:styleId="ListParagraph">
    <w:name w:val="List Paragraph"/>
    <w:basedOn w:val="Normal"/>
    <w:uiPriority w:val="34"/>
    <w:qFormat/>
    <w:rsid w:val="00F91CEB"/>
    <w:pPr>
      <w:ind w:left="720"/>
      <w:contextualSpacing/>
    </w:pPr>
  </w:style>
  <w:style w:type="character" w:styleId="Hyperlink">
    <w:name w:val="Hyperlink"/>
    <w:basedOn w:val="DefaultParagraphFont"/>
    <w:uiPriority w:val="99"/>
    <w:unhideWhenUsed/>
    <w:rsid w:val="00607E64"/>
    <w:rPr>
      <w:color w:val="0000FF" w:themeColor="hyperlink"/>
      <w:u w:val="single"/>
    </w:rPr>
  </w:style>
  <w:style w:type="character" w:styleId="FollowedHyperlink">
    <w:name w:val="FollowedHyperlink"/>
    <w:basedOn w:val="DefaultParagraphFont"/>
    <w:uiPriority w:val="99"/>
    <w:semiHidden/>
    <w:unhideWhenUsed/>
    <w:rsid w:val="002D7CB6"/>
    <w:rPr>
      <w:color w:val="800080" w:themeColor="followedHyperlink"/>
      <w:u w:val="single"/>
    </w:rPr>
  </w:style>
  <w:style w:type="character" w:customStyle="1" w:styleId="apple-converted-space">
    <w:name w:val="apple-converted-space"/>
    <w:basedOn w:val="DefaultParagraphFont"/>
    <w:rsid w:val="00F57C9B"/>
  </w:style>
  <w:style w:type="character" w:styleId="Emphasis">
    <w:name w:val="Emphasis"/>
    <w:basedOn w:val="DefaultParagraphFont"/>
    <w:uiPriority w:val="20"/>
    <w:qFormat/>
    <w:rsid w:val="00F57C9B"/>
    <w:rPr>
      <w:i/>
      <w:iCs/>
    </w:rPr>
  </w:style>
  <w:style w:type="paragraph" w:customStyle="1" w:styleId="MediumGrid21">
    <w:name w:val="Medium Grid 21"/>
    <w:qFormat/>
    <w:rsid w:val="00785D2F"/>
    <w:pPr>
      <w:suppressAutoHyphens/>
    </w:pPr>
    <w:rPr>
      <w:rFonts w:ascii="Arial" w:eastAsia="Calibri" w:hAnsi="Arial" w:cs="SimSun"/>
      <w:kern w:val="1"/>
      <w:szCs w:val="22"/>
      <w:lang w:eastAsia="ar-SA"/>
    </w:rPr>
  </w:style>
  <w:style w:type="character" w:styleId="Strong">
    <w:name w:val="Strong"/>
    <w:uiPriority w:val="22"/>
    <w:qFormat/>
    <w:rsid w:val="009B584B"/>
    <w:rPr>
      <w:b/>
      <w:bCs/>
    </w:rPr>
  </w:style>
  <w:style w:type="paragraph" w:styleId="BodyText">
    <w:name w:val="Body Text"/>
    <w:basedOn w:val="Normal"/>
    <w:link w:val="BodyTextChar"/>
    <w:rsid w:val="007B7237"/>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B7237"/>
    <w:rPr>
      <w:rFonts w:ascii="Times New Roman" w:eastAsia="Times New Roman" w:hAnsi="Times New Roman" w:cs="Times New Roman"/>
      <w:sz w:val="20"/>
      <w:szCs w:val="20"/>
    </w:rPr>
  </w:style>
  <w:style w:type="paragraph" w:styleId="Revision">
    <w:name w:val="Revision"/>
    <w:hidden/>
    <w:uiPriority w:val="99"/>
    <w:semiHidden/>
    <w:rsid w:val="007B7237"/>
  </w:style>
  <w:style w:type="paragraph" w:customStyle="1" w:styleId="Body">
    <w:name w:val="Body"/>
    <w:rsid w:val="004F2C54"/>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yperlink0">
    <w:name w:val="Hyperlink.0"/>
    <w:rsid w:val="00D434F8"/>
    <w:rPr>
      <w:rFonts w:ascii="Arial" w:eastAsia="Arial" w:hAnsi="Arial" w:cs="Arial"/>
      <w:color w:val="0000FF"/>
      <w:sz w:val="18"/>
      <w:szCs w:val="18"/>
      <w:u w:val="single" w:color="0000FF"/>
      <w:lang w:val="en-US"/>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
    <w:basedOn w:val="Normal"/>
    <w:link w:val="FootnoteReference"/>
    <w:uiPriority w:val="99"/>
    <w:rsid w:val="00887627"/>
    <w:pPr>
      <w:spacing w:after="160" w:line="240" w:lineRule="exact"/>
      <w:jc w:val="both"/>
    </w:pPr>
    <w:rPr>
      <w:vertAlign w:val="superscript"/>
    </w:rPr>
  </w:style>
  <w:style w:type="character" w:customStyle="1" w:styleId="Hyperlink5">
    <w:name w:val="Hyperlink.5"/>
    <w:rsid w:val="00554AA4"/>
    <w:rPr>
      <w:rFonts w:ascii="Arial" w:eastAsia="Arial" w:hAnsi="Arial" w:cs="Arial"/>
      <w:color w:val="0000FF"/>
      <w:sz w:val="18"/>
      <w:szCs w:val="18"/>
      <w:u w:val="none" w:color="0000FF"/>
      <w:lang w:val="en-US"/>
    </w:rPr>
  </w:style>
  <w:style w:type="character" w:customStyle="1" w:styleId="Mention1">
    <w:name w:val="Mention1"/>
    <w:basedOn w:val="DefaultParagraphFont"/>
    <w:uiPriority w:val="99"/>
    <w:semiHidden/>
    <w:unhideWhenUsed/>
    <w:rsid w:val="00EF120F"/>
    <w:rPr>
      <w:color w:val="2B579A"/>
      <w:shd w:val="clear" w:color="auto" w:fill="E6E6E6"/>
    </w:rPr>
  </w:style>
  <w:style w:type="character" w:customStyle="1" w:styleId="Heading1Char">
    <w:name w:val="Heading 1 Char"/>
    <w:basedOn w:val="DefaultParagraphFont"/>
    <w:link w:val="Heading1"/>
    <w:uiPriority w:val="9"/>
    <w:rsid w:val="00D9476C"/>
    <w:rPr>
      <w:rFonts w:ascii="Arial" w:eastAsiaTheme="majorEastAsia" w:hAnsi="Arial" w:cstheme="majorBidi"/>
      <w:color w:val="365F91" w:themeColor="accent1" w:themeShade="BF"/>
      <w:sz w:val="26"/>
      <w:szCs w:val="32"/>
      <w:lang w:val="en-GB"/>
    </w:rPr>
  </w:style>
  <w:style w:type="character" w:customStyle="1" w:styleId="Heading2Char">
    <w:name w:val="Heading 2 Char"/>
    <w:basedOn w:val="DefaultParagraphFont"/>
    <w:link w:val="Heading2"/>
    <w:uiPriority w:val="9"/>
    <w:rsid w:val="00161911"/>
    <w:rPr>
      <w:rFonts w:asciiTheme="majorHAnsi" w:eastAsiaTheme="majorEastAsia" w:hAnsiTheme="majorHAnsi" w:cstheme="majorBidi"/>
      <w:color w:val="365F91" w:themeColor="accent1" w:themeShade="BF"/>
      <w:sz w:val="26"/>
      <w:szCs w:val="26"/>
      <w:u w:val="single"/>
    </w:rPr>
  </w:style>
  <w:style w:type="paragraph" w:styleId="NoSpacing">
    <w:name w:val="No Spacing"/>
    <w:link w:val="NoSpacingChar"/>
    <w:uiPriority w:val="1"/>
    <w:qFormat/>
    <w:rsid w:val="0023676B"/>
    <w:rPr>
      <w:sz w:val="22"/>
      <w:szCs w:val="22"/>
    </w:rPr>
  </w:style>
  <w:style w:type="character" w:customStyle="1" w:styleId="NoSpacingChar">
    <w:name w:val="No Spacing Char"/>
    <w:basedOn w:val="DefaultParagraphFont"/>
    <w:link w:val="NoSpacing"/>
    <w:uiPriority w:val="1"/>
    <w:rsid w:val="0023676B"/>
    <w:rPr>
      <w:sz w:val="22"/>
      <w:szCs w:val="22"/>
    </w:rPr>
  </w:style>
  <w:style w:type="paragraph" w:styleId="TOCHeading">
    <w:name w:val="TOC Heading"/>
    <w:basedOn w:val="Heading1"/>
    <w:next w:val="Normal"/>
    <w:uiPriority w:val="39"/>
    <w:unhideWhenUsed/>
    <w:qFormat/>
    <w:rsid w:val="00A519D3"/>
    <w:pPr>
      <w:numPr>
        <w:numId w:val="0"/>
      </w:numPr>
      <w:spacing w:line="259" w:lineRule="auto"/>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A519D3"/>
    <w:pPr>
      <w:spacing w:after="100"/>
    </w:pPr>
  </w:style>
  <w:style w:type="paragraph" w:styleId="TOC2">
    <w:name w:val="toc 2"/>
    <w:basedOn w:val="Normal"/>
    <w:next w:val="Normal"/>
    <w:autoRedefine/>
    <w:uiPriority w:val="39"/>
    <w:unhideWhenUsed/>
    <w:rsid w:val="00A519D3"/>
    <w:pPr>
      <w:spacing w:after="100"/>
      <w:ind w:left="240"/>
    </w:pPr>
  </w:style>
  <w:style w:type="character" w:customStyle="1" w:styleId="Heading3Char">
    <w:name w:val="Heading 3 Char"/>
    <w:basedOn w:val="DefaultParagraphFont"/>
    <w:link w:val="Heading3"/>
    <w:uiPriority w:val="9"/>
    <w:rsid w:val="00757E9E"/>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A77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7F8"/>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C661A4"/>
    <w:pPr>
      <w:spacing w:after="100"/>
      <w:ind w:left="480"/>
    </w:pPr>
  </w:style>
  <w:style w:type="table" w:styleId="TableGrid">
    <w:name w:val="Table Grid"/>
    <w:basedOn w:val="TableNormal"/>
    <w:uiPriority w:val="59"/>
    <w:rsid w:val="00A34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29553">
      <w:bodyDiv w:val="1"/>
      <w:marLeft w:val="0"/>
      <w:marRight w:val="0"/>
      <w:marTop w:val="0"/>
      <w:marBottom w:val="0"/>
      <w:divBdr>
        <w:top w:val="none" w:sz="0" w:space="0" w:color="auto"/>
        <w:left w:val="none" w:sz="0" w:space="0" w:color="auto"/>
        <w:bottom w:val="none" w:sz="0" w:space="0" w:color="auto"/>
        <w:right w:val="none" w:sz="0" w:space="0" w:color="auto"/>
      </w:divBdr>
    </w:div>
    <w:div w:id="270670299">
      <w:bodyDiv w:val="1"/>
      <w:marLeft w:val="0"/>
      <w:marRight w:val="0"/>
      <w:marTop w:val="0"/>
      <w:marBottom w:val="0"/>
      <w:divBdr>
        <w:top w:val="none" w:sz="0" w:space="0" w:color="auto"/>
        <w:left w:val="none" w:sz="0" w:space="0" w:color="auto"/>
        <w:bottom w:val="none" w:sz="0" w:space="0" w:color="auto"/>
        <w:right w:val="none" w:sz="0" w:space="0" w:color="auto"/>
      </w:divBdr>
    </w:div>
    <w:div w:id="411466914">
      <w:bodyDiv w:val="1"/>
      <w:marLeft w:val="0"/>
      <w:marRight w:val="0"/>
      <w:marTop w:val="0"/>
      <w:marBottom w:val="0"/>
      <w:divBdr>
        <w:top w:val="none" w:sz="0" w:space="0" w:color="auto"/>
        <w:left w:val="none" w:sz="0" w:space="0" w:color="auto"/>
        <w:bottom w:val="none" w:sz="0" w:space="0" w:color="auto"/>
        <w:right w:val="none" w:sz="0" w:space="0" w:color="auto"/>
      </w:divBdr>
    </w:div>
    <w:div w:id="834225011">
      <w:bodyDiv w:val="1"/>
      <w:marLeft w:val="0"/>
      <w:marRight w:val="0"/>
      <w:marTop w:val="0"/>
      <w:marBottom w:val="0"/>
      <w:divBdr>
        <w:top w:val="none" w:sz="0" w:space="0" w:color="auto"/>
        <w:left w:val="none" w:sz="0" w:space="0" w:color="auto"/>
        <w:bottom w:val="none" w:sz="0" w:space="0" w:color="auto"/>
        <w:right w:val="none" w:sz="0" w:space="0" w:color="auto"/>
      </w:divBdr>
    </w:div>
    <w:div w:id="847596923">
      <w:bodyDiv w:val="1"/>
      <w:marLeft w:val="0"/>
      <w:marRight w:val="0"/>
      <w:marTop w:val="0"/>
      <w:marBottom w:val="0"/>
      <w:divBdr>
        <w:top w:val="none" w:sz="0" w:space="0" w:color="auto"/>
        <w:left w:val="none" w:sz="0" w:space="0" w:color="auto"/>
        <w:bottom w:val="none" w:sz="0" w:space="0" w:color="auto"/>
        <w:right w:val="none" w:sz="0" w:space="0" w:color="auto"/>
      </w:divBdr>
    </w:div>
    <w:div w:id="881556577">
      <w:bodyDiv w:val="1"/>
      <w:marLeft w:val="0"/>
      <w:marRight w:val="0"/>
      <w:marTop w:val="0"/>
      <w:marBottom w:val="0"/>
      <w:divBdr>
        <w:top w:val="none" w:sz="0" w:space="0" w:color="auto"/>
        <w:left w:val="none" w:sz="0" w:space="0" w:color="auto"/>
        <w:bottom w:val="none" w:sz="0" w:space="0" w:color="auto"/>
        <w:right w:val="none" w:sz="0" w:space="0" w:color="auto"/>
      </w:divBdr>
    </w:div>
    <w:div w:id="894702876">
      <w:bodyDiv w:val="1"/>
      <w:marLeft w:val="0"/>
      <w:marRight w:val="0"/>
      <w:marTop w:val="0"/>
      <w:marBottom w:val="0"/>
      <w:divBdr>
        <w:top w:val="none" w:sz="0" w:space="0" w:color="auto"/>
        <w:left w:val="none" w:sz="0" w:space="0" w:color="auto"/>
        <w:bottom w:val="none" w:sz="0" w:space="0" w:color="auto"/>
        <w:right w:val="none" w:sz="0" w:space="0" w:color="auto"/>
      </w:divBdr>
    </w:div>
    <w:div w:id="1078597682">
      <w:bodyDiv w:val="1"/>
      <w:marLeft w:val="0"/>
      <w:marRight w:val="0"/>
      <w:marTop w:val="0"/>
      <w:marBottom w:val="0"/>
      <w:divBdr>
        <w:top w:val="none" w:sz="0" w:space="0" w:color="auto"/>
        <w:left w:val="none" w:sz="0" w:space="0" w:color="auto"/>
        <w:bottom w:val="none" w:sz="0" w:space="0" w:color="auto"/>
        <w:right w:val="none" w:sz="0" w:space="0" w:color="auto"/>
      </w:divBdr>
    </w:div>
    <w:div w:id="1262883492">
      <w:bodyDiv w:val="1"/>
      <w:marLeft w:val="0"/>
      <w:marRight w:val="0"/>
      <w:marTop w:val="0"/>
      <w:marBottom w:val="0"/>
      <w:divBdr>
        <w:top w:val="none" w:sz="0" w:space="0" w:color="auto"/>
        <w:left w:val="none" w:sz="0" w:space="0" w:color="auto"/>
        <w:bottom w:val="none" w:sz="0" w:space="0" w:color="auto"/>
        <w:right w:val="none" w:sz="0" w:space="0" w:color="auto"/>
      </w:divBdr>
    </w:div>
    <w:div w:id="1316882420">
      <w:bodyDiv w:val="1"/>
      <w:marLeft w:val="0"/>
      <w:marRight w:val="0"/>
      <w:marTop w:val="0"/>
      <w:marBottom w:val="0"/>
      <w:divBdr>
        <w:top w:val="none" w:sz="0" w:space="0" w:color="auto"/>
        <w:left w:val="none" w:sz="0" w:space="0" w:color="auto"/>
        <w:bottom w:val="none" w:sz="0" w:space="0" w:color="auto"/>
        <w:right w:val="none" w:sz="0" w:space="0" w:color="auto"/>
      </w:divBdr>
    </w:div>
    <w:div w:id="1586261976">
      <w:bodyDiv w:val="1"/>
      <w:marLeft w:val="0"/>
      <w:marRight w:val="0"/>
      <w:marTop w:val="0"/>
      <w:marBottom w:val="0"/>
      <w:divBdr>
        <w:top w:val="none" w:sz="0" w:space="0" w:color="auto"/>
        <w:left w:val="none" w:sz="0" w:space="0" w:color="auto"/>
        <w:bottom w:val="none" w:sz="0" w:space="0" w:color="auto"/>
        <w:right w:val="none" w:sz="0" w:space="0" w:color="auto"/>
      </w:divBdr>
    </w:div>
    <w:div w:id="173462350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3">
          <w:marLeft w:val="0"/>
          <w:marRight w:val="0"/>
          <w:marTop w:val="0"/>
          <w:marBottom w:val="0"/>
          <w:divBdr>
            <w:top w:val="none" w:sz="0" w:space="0" w:color="auto"/>
            <w:left w:val="none" w:sz="0" w:space="0" w:color="auto"/>
            <w:bottom w:val="none" w:sz="0" w:space="0" w:color="auto"/>
            <w:right w:val="none" w:sz="0" w:space="0" w:color="auto"/>
          </w:divBdr>
          <w:divsChild>
            <w:div w:id="1940522451">
              <w:marLeft w:val="0"/>
              <w:marRight w:val="0"/>
              <w:marTop w:val="0"/>
              <w:marBottom w:val="0"/>
              <w:divBdr>
                <w:top w:val="none" w:sz="0" w:space="0" w:color="auto"/>
                <w:left w:val="none" w:sz="0" w:space="0" w:color="auto"/>
                <w:bottom w:val="none" w:sz="0" w:space="0" w:color="auto"/>
                <w:right w:val="none" w:sz="0" w:space="0" w:color="auto"/>
              </w:divBdr>
              <w:divsChild>
                <w:div w:id="97530349">
                  <w:marLeft w:val="0"/>
                  <w:marRight w:val="0"/>
                  <w:marTop w:val="0"/>
                  <w:marBottom w:val="0"/>
                  <w:divBdr>
                    <w:top w:val="none" w:sz="0" w:space="0" w:color="auto"/>
                    <w:left w:val="none" w:sz="0" w:space="0" w:color="auto"/>
                    <w:bottom w:val="none" w:sz="0" w:space="0" w:color="auto"/>
                    <w:right w:val="none" w:sz="0" w:space="0" w:color="auto"/>
                  </w:divBdr>
                  <w:divsChild>
                    <w:div w:id="258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6189">
      <w:bodyDiv w:val="1"/>
      <w:marLeft w:val="0"/>
      <w:marRight w:val="0"/>
      <w:marTop w:val="0"/>
      <w:marBottom w:val="0"/>
      <w:divBdr>
        <w:top w:val="none" w:sz="0" w:space="0" w:color="auto"/>
        <w:left w:val="none" w:sz="0" w:space="0" w:color="auto"/>
        <w:bottom w:val="none" w:sz="0" w:space="0" w:color="auto"/>
        <w:right w:val="none" w:sz="0" w:space="0" w:color="auto"/>
      </w:divBdr>
    </w:div>
    <w:div w:id="2108963568">
      <w:bodyDiv w:val="1"/>
      <w:marLeft w:val="0"/>
      <w:marRight w:val="0"/>
      <w:marTop w:val="0"/>
      <w:marBottom w:val="0"/>
      <w:divBdr>
        <w:top w:val="none" w:sz="0" w:space="0" w:color="auto"/>
        <w:left w:val="none" w:sz="0" w:space="0" w:color="auto"/>
        <w:bottom w:val="none" w:sz="0" w:space="0" w:color="auto"/>
        <w:right w:val="none" w:sz="0" w:space="0" w:color="auto"/>
      </w:divBdr>
    </w:div>
    <w:div w:id="2121415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udoc.echr.coe.int/eng"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udoc.echr.coe.int/e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nielatontsch@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doc.echr.coe.int/eng" TargetMode="External"/><Relationship Id="rId5" Type="http://schemas.openxmlformats.org/officeDocument/2006/relationships/settings" Target="settings.xml"/><Relationship Id="rId15" Type="http://schemas.openxmlformats.org/officeDocument/2006/relationships/hyperlink" Target="mailto:Marine.Uldry@edf-feph.org"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nsofie.Leenknecht@edf-feph.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eng" TargetMode="External"/><Relationship Id="rId2" Type="http://schemas.openxmlformats.org/officeDocument/2006/relationships/hyperlink" Target="https://www.gov.uk/discrimination-your-rights" TargetMode="External"/><Relationship Id="rId1" Type="http://schemas.openxmlformats.org/officeDocument/2006/relationships/hyperlink" Target="https://sustainabledevelopment.un.org/topics/violenceagainstchildren" TargetMode="External"/><Relationship Id="rId5" Type="http://schemas.openxmlformats.org/officeDocument/2006/relationships/hyperlink" Target="http://unesdoc.unesco.org/images/0024/002456/245656e.pdf" TargetMode="External"/><Relationship Id="rId4" Type="http://schemas.openxmlformats.org/officeDocument/2006/relationships/hyperlink" Target="https://www.huffingtonpost.fr/solene-debarre/quels-sont-les-outils-jur_1_b_40029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74426F-7F04-4164-8190-43B0AC7D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4428</Words>
  <Characters>24360</Characters>
  <Application>Microsoft Office Word</Application>
  <DocSecurity>0</DocSecurity>
  <Lines>203</Lines>
  <Paragraphs>57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Applicaion No 44654/18</vt:lpstr>
      <vt:lpstr>Applicaion No 44654/18</vt:lpstr>
    </vt:vector>
  </TitlesOfParts>
  <Company/>
  <LinksUpToDate>false</LinksUpToDate>
  <CharactersWithSpaces>28731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Applicaion No 44654/18</dc:title>
  <dc:subject>Third party internveiton by:</dc:subject>
  <dc:creator>Marine Uldry</dc:creator>
  <cp:lastModifiedBy>Marine Uldry</cp:lastModifiedBy>
  <cp:revision>6</cp:revision>
  <dcterms:created xsi:type="dcterms:W3CDTF">2019-07-12T09:15:00Z</dcterms:created>
  <dcterms:modified xsi:type="dcterms:W3CDTF">2019-07-16T07:23:00Z</dcterms:modified>
</cp:coreProperties>
</file>