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6787022"/>
    <w:bookmarkStart w:id="1" w:name="_Toc66895628"/>
    <w:p w14:paraId="190F546B" w14:textId="44109376" w:rsidR="008054A7" w:rsidRPr="00C961A8" w:rsidRDefault="008054A7" w:rsidP="009507D5">
      <w:pPr>
        <w:rPr>
          <w:lang w:val="en-GB"/>
        </w:rPr>
      </w:pPr>
      <w:r w:rsidRPr="00C961A8">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82C4B"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C961A8">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7A9D8" id="Rectangle 1" o:spid="_x0000_s1026" alt="&quot;&quot;"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C961A8">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bookmarkEnd w:id="0"/>
      <w:bookmarkEnd w:id="1"/>
    </w:p>
    <w:p w14:paraId="2FEBFBB6" w14:textId="554A8395" w:rsidR="00D11DAB" w:rsidRPr="00C961A8" w:rsidRDefault="00A91021" w:rsidP="00D11DAB">
      <w:pPr>
        <w:pStyle w:val="Title"/>
        <w:spacing w:before="360"/>
        <w:rPr>
          <w:lang w:val="en-GB"/>
        </w:rPr>
      </w:pPr>
      <w:r w:rsidRPr="00C961A8">
        <w:rPr>
          <w:lang w:val="en-GB"/>
        </w:rPr>
        <w:t xml:space="preserve">Standardisation for the </w:t>
      </w:r>
      <w:r w:rsidR="003D6528" w:rsidRPr="00C961A8">
        <w:rPr>
          <w:lang w:val="en-GB"/>
        </w:rPr>
        <w:t>European Accessibility Act (EAA)</w:t>
      </w:r>
    </w:p>
    <w:p w14:paraId="2BCF485D" w14:textId="3965E3DC" w:rsidR="008054A7" w:rsidRPr="00C961A8" w:rsidRDefault="00E47FF5" w:rsidP="00355289">
      <w:pPr>
        <w:pStyle w:val="Subtitle"/>
        <w:spacing w:before="480"/>
        <w:rPr>
          <w:lang w:val="en-GB"/>
        </w:rPr>
      </w:pPr>
      <w:r w:rsidRPr="00C961A8">
        <w:rPr>
          <w:lang w:val="en-GB"/>
        </w:rPr>
        <w:t xml:space="preserve">European Disability </w:t>
      </w:r>
      <w:r w:rsidR="00606390" w:rsidRPr="00C961A8">
        <w:rPr>
          <w:lang w:val="en-GB"/>
        </w:rPr>
        <w:t xml:space="preserve">Forum </w:t>
      </w:r>
    </w:p>
    <w:p w14:paraId="1C5853C0" w14:textId="6220095C" w:rsidR="00D11DAB" w:rsidRPr="00C961A8" w:rsidRDefault="00D11DAB" w:rsidP="00D11DAB">
      <w:pPr>
        <w:pStyle w:val="Subtitle"/>
        <w:spacing w:after="360"/>
        <w:rPr>
          <w:lang w:val="en-GB"/>
        </w:rPr>
      </w:pPr>
      <w:r w:rsidRPr="00C961A8">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DD46D" id="Rectangle 3" o:spid="_x0000_s1026" alt="&quot;&quot;"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Pr="00C961A8">
        <w:rPr>
          <w:lang w:val="en-GB"/>
        </w:rPr>
        <w:t xml:space="preserve">| </w:t>
      </w:r>
      <w:r w:rsidR="005E620F" w:rsidRPr="00C961A8">
        <w:rPr>
          <w:lang w:val="en-GB"/>
        </w:rPr>
        <w:t>September</w:t>
      </w:r>
      <w:r w:rsidRPr="00C961A8">
        <w:rPr>
          <w:lang w:val="en-GB"/>
        </w:rPr>
        <w:t xml:space="preserve"> </w:t>
      </w:r>
      <w:r w:rsidR="00606390" w:rsidRPr="00C961A8">
        <w:rPr>
          <w:lang w:val="en-GB"/>
        </w:rPr>
        <w:t>2021</w:t>
      </w:r>
    </w:p>
    <w:p w14:paraId="75770BC9" w14:textId="527A074E" w:rsidR="00E62CBF" w:rsidRPr="00C961A8" w:rsidRDefault="005E620F" w:rsidP="00D11DAB">
      <w:pPr>
        <w:spacing w:before="360" w:after="840"/>
        <w:rPr>
          <w:b/>
          <w:bCs/>
          <w:color w:val="FFFFFF" w:themeColor="background1"/>
          <w:sz w:val="26"/>
          <w:szCs w:val="26"/>
          <w:lang w:val="en-GB"/>
        </w:rPr>
      </w:pPr>
      <w:r w:rsidRPr="00C961A8">
        <w:rPr>
          <w:b/>
          <w:bCs/>
          <w:color w:val="FFFFFF" w:themeColor="background1"/>
          <w:sz w:val="26"/>
          <w:szCs w:val="26"/>
          <w:lang w:val="en-GB"/>
        </w:rPr>
        <w:t xml:space="preserve">EDF Position Paper on European Commission’s draft Standardisation Request for the European Accessibility 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C961A8" w14:paraId="18E8BE2C" w14:textId="77777777" w:rsidTr="001E0F08">
        <w:tc>
          <w:tcPr>
            <w:tcW w:w="2245" w:type="dxa"/>
          </w:tcPr>
          <w:p w14:paraId="5DFDD4D9" w14:textId="0F47CB15" w:rsidR="001E0F08" w:rsidRPr="00C961A8" w:rsidRDefault="001E0F08" w:rsidP="001E0F08">
            <w:pPr>
              <w:rPr>
                <w:color w:val="FFFFFF" w:themeColor="background1"/>
                <w:lang w:val="en-GB" w:eastAsia="zh-CN" w:bidi="hi-IN"/>
              </w:rPr>
            </w:pPr>
            <w:r w:rsidRPr="00C961A8">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C961A8" w:rsidRDefault="001E0F08" w:rsidP="001E0F08">
            <w:pPr>
              <w:rPr>
                <w:color w:val="FFFFFF" w:themeColor="background1"/>
                <w:lang w:val="en-GB" w:eastAsia="zh-CN" w:bidi="hi-IN"/>
              </w:rPr>
            </w:pPr>
            <w:r w:rsidRPr="00C961A8">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C961A8" w:rsidRDefault="00A9576D" w:rsidP="008054A7">
      <w:pPr>
        <w:pStyle w:val="Heading1"/>
        <w:pageBreakBefore/>
        <w:rPr>
          <w:lang w:val="en-GB"/>
        </w:rPr>
      </w:pPr>
      <w:bookmarkStart w:id="2" w:name="_Toc81993517"/>
      <w:r w:rsidRPr="00C961A8">
        <w:rPr>
          <w:lang w:val="en-GB"/>
        </w:rPr>
        <w:lastRenderedPageBreak/>
        <w:t>Table of Contents</w:t>
      </w:r>
      <w:bookmarkEnd w:id="2"/>
    </w:p>
    <w:p w14:paraId="2ED43499" w14:textId="7DAD3B74" w:rsidR="001657DF" w:rsidRDefault="00A9576D">
      <w:pPr>
        <w:pStyle w:val="TOC1"/>
        <w:tabs>
          <w:tab w:val="right" w:leader="dot" w:pos="9016"/>
        </w:tabs>
        <w:rPr>
          <w:rFonts w:asciiTheme="minorHAnsi" w:eastAsiaTheme="minorEastAsia" w:hAnsiTheme="minorHAnsi"/>
          <w:noProof/>
          <w:sz w:val="22"/>
          <w:lang w:val="en-GB" w:eastAsia="en-GB"/>
        </w:rPr>
      </w:pPr>
      <w:r w:rsidRPr="00C961A8">
        <w:rPr>
          <w:lang w:val="en-GB"/>
        </w:rPr>
        <w:fldChar w:fldCharType="begin"/>
      </w:r>
      <w:r w:rsidRPr="00C961A8">
        <w:rPr>
          <w:lang w:val="en-GB"/>
        </w:rPr>
        <w:instrText xml:space="preserve"> TOC \o "1-2" \h \z \u </w:instrText>
      </w:r>
      <w:r w:rsidRPr="00C961A8">
        <w:rPr>
          <w:lang w:val="en-GB"/>
        </w:rPr>
        <w:fldChar w:fldCharType="separate"/>
      </w:r>
      <w:hyperlink w:anchor="_Toc81993517" w:history="1">
        <w:r w:rsidR="001657DF" w:rsidRPr="00D9745E">
          <w:rPr>
            <w:rStyle w:val="Hyperlink"/>
            <w:noProof/>
            <w:lang w:val="en-GB"/>
          </w:rPr>
          <w:t>Table of Contents</w:t>
        </w:r>
        <w:r w:rsidR="001657DF">
          <w:rPr>
            <w:noProof/>
            <w:webHidden/>
          </w:rPr>
          <w:tab/>
        </w:r>
        <w:r w:rsidR="001657DF">
          <w:rPr>
            <w:noProof/>
            <w:webHidden/>
          </w:rPr>
          <w:fldChar w:fldCharType="begin"/>
        </w:r>
        <w:r w:rsidR="001657DF">
          <w:rPr>
            <w:noProof/>
            <w:webHidden/>
          </w:rPr>
          <w:instrText xml:space="preserve"> PAGEREF _Toc81993517 \h </w:instrText>
        </w:r>
        <w:r w:rsidR="001657DF">
          <w:rPr>
            <w:noProof/>
            <w:webHidden/>
          </w:rPr>
        </w:r>
        <w:r w:rsidR="001657DF">
          <w:rPr>
            <w:noProof/>
            <w:webHidden/>
          </w:rPr>
          <w:fldChar w:fldCharType="separate"/>
        </w:r>
        <w:r w:rsidR="000E073D">
          <w:rPr>
            <w:noProof/>
            <w:webHidden/>
          </w:rPr>
          <w:t>2</w:t>
        </w:r>
        <w:r w:rsidR="001657DF">
          <w:rPr>
            <w:noProof/>
            <w:webHidden/>
          </w:rPr>
          <w:fldChar w:fldCharType="end"/>
        </w:r>
      </w:hyperlink>
    </w:p>
    <w:p w14:paraId="1DF29851" w14:textId="5D777C47" w:rsidR="001657DF" w:rsidRDefault="000E073D">
      <w:pPr>
        <w:pStyle w:val="TOC1"/>
        <w:tabs>
          <w:tab w:val="right" w:leader="dot" w:pos="9016"/>
        </w:tabs>
        <w:rPr>
          <w:rFonts w:asciiTheme="minorHAnsi" w:eastAsiaTheme="minorEastAsia" w:hAnsiTheme="minorHAnsi"/>
          <w:noProof/>
          <w:sz w:val="22"/>
          <w:lang w:val="en-GB" w:eastAsia="en-GB"/>
        </w:rPr>
      </w:pPr>
      <w:hyperlink w:anchor="_Toc81993518" w:history="1">
        <w:r w:rsidR="001657DF" w:rsidRPr="00D9745E">
          <w:rPr>
            <w:rStyle w:val="Hyperlink"/>
            <w:noProof/>
            <w:lang w:val="en-GB"/>
          </w:rPr>
          <w:t>Introduction</w:t>
        </w:r>
        <w:r w:rsidR="001657DF">
          <w:rPr>
            <w:noProof/>
            <w:webHidden/>
          </w:rPr>
          <w:tab/>
        </w:r>
        <w:r w:rsidR="001657DF">
          <w:rPr>
            <w:noProof/>
            <w:webHidden/>
          </w:rPr>
          <w:fldChar w:fldCharType="begin"/>
        </w:r>
        <w:r w:rsidR="001657DF">
          <w:rPr>
            <w:noProof/>
            <w:webHidden/>
          </w:rPr>
          <w:instrText xml:space="preserve"> PAGEREF _Toc81993518 \h </w:instrText>
        </w:r>
        <w:r w:rsidR="001657DF">
          <w:rPr>
            <w:noProof/>
            <w:webHidden/>
          </w:rPr>
        </w:r>
        <w:r w:rsidR="001657DF">
          <w:rPr>
            <w:noProof/>
            <w:webHidden/>
          </w:rPr>
          <w:fldChar w:fldCharType="separate"/>
        </w:r>
        <w:r>
          <w:rPr>
            <w:noProof/>
            <w:webHidden/>
          </w:rPr>
          <w:t>2</w:t>
        </w:r>
        <w:r w:rsidR="001657DF">
          <w:rPr>
            <w:noProof/>
            <w:webHidden/>
          </w:rPr>
          <w:fldChar w:fldCharType="end"/>
        </w:r>
      </w:hyperlink>
    </w:p>
    <w:p w14:paraId="7ECA20E1" w14:textId="115AA6B1" w:rsidR="001657DF" w:rsidRDefault="000E073D">
      <w:pPr>
        <w:pStyle w:val="TOC1"/>
        <w:tabs>
          <w:tab w:val="right" w:leader="dot" w:pos="9016"/>
        </w:tabs>
        <w:rPr>
          <w:rFonts w:asciiTheme="minorHAnsi" w:eastAsiaTheme="minorEastAsia" w:hAnsiTheme="minorHAnsi"/>
          <w:noProof/>
          <w:sz w:val="22"/>
          <w:lang w:val="en-GB" w:eastAsia="en-GB"/>
        </w:rPr>
      </w:pPr>
      <w:hyperlink w:anchor="_Toc81993519" w:history="1">
        <w:r w:rsidR="001657DF" w:rsidRPr="00D9745E">
          <w:rPr>
            <w:rStyle w:val="Hyperlink"/>
            <w:noProof/>
            <w:lang w:val="en-GB"/>
          </w:rPr>
          <w:t>Executive Summary</w:t>
        </w:r>
        <w:r w:rsidR="001657DF">
          <w:rPr>
            <w:noProof/>
            <w:webHidden/>
          </w:rPr>
          <w:tab/>
        </w:r>
        <w:r w:rsidR="001657DF">
          <w:rPr>
            <w:noProof/>
            <w:webHidden/>
          </w:rPr>
          <w:fldChar w:fldCharType="begin"/>
        </w:r>
        <w:r w:rsidR="001657DF">
          <w:rPr>
            <w:noProof/>
            <w:webHidden/>
          </w:rPr>
          <w:instrText xml:space="preserve"> PAGEREF _Toc81993519 \h </w:instrText>
        </w:r>
        <w:r w:rsidR="001657DF">
          <w:rPr>
            <w:noProof/>
            <w:webHidden/>
          </w:rPr>
        </w:r>
        <w:r w:rsidR="001657DF">
          <w:rPr>
            <w:noProof/>
            <w:webHidden/>
          </w:rPr>
          <w:fldChar w:fldCharType="separate"/>
        </w:r>
        <w:r>
          <w:rPr>
            <w:noProof/>
            <w:webHidden/>
          </w:rPr>
          <w:t>3</w:t>
        </w:r>
        <w:r w:rsidR="001657DF">
          <w:rPr>
            <w:noProof/>
            <w:webHidden/>
          </w:rPr>
          <w:fldChar w:fldCharType="end"/>
        </w:r>
      </w:hyperlink>
    </w:p>
    <w:p w14:paraId="2B5C668E" w14:textId="342451BD" w:rsidR="001657DF" w:rsidRDefault="000E073D">
      <w:pPr>
        <w:pStyle w:val="TOC1"/>
        <w:tabs>
          <w:tab w:val="right" w:leader="dot" w:pos="9016"/>
        </w:tabs>
        <w:rPr>
          <w:rFonts w:asciiTheme="minorHAnsi" w:eastAsiaTheme="minorEastAsia" w:hAnsiTheme="minorHAnsi"/>
          <w:noProof/>
          <w:sz w:val="22"/>
          <w:lang w:val="en-GB" w:eastAsia="en-GB"/>
        </w:rPr>
      </w:pPr>
      <w:hyperlink w:anchor="_Toc81993520" w:history="1">
        <w:r w:rsidR="001657DF" w:rsidRPr="00D9745E">
          <w:rPr>
            <w:rStyle w:val="Hyperlink"/>
            <w:rFonts w:eastAsia="Times New Roman"/>
            <w:noProof/>
            <w:lang w:val="en-GB"/>
          </w:rPr>
          <w:t>EDF suggested amendments to the Draft Standardisation Request and supporting Annexes</w:t>
        </w:r>
        <w:r w:rsidR="001657DF">
          <w:rPr>
            <w:noProof/>
            <w:webHidden/>
          </w:rPr>
          <w:tab/>
        </w:r>
        <w:r w:rsidR="001657DF">
          <w:rPr>
            <w:noProof/>
            <w:webHidden/>
          </w:rPr>
          <w:fldChar w:fldCharType="begin"/>
        </w:r>
        <w:r w:rsidR="001657DF">
          <w:rPr>
            <w:noProof/>
            <w:webHidden/>
          </w:rPr>
          <w:instrText xml:space="preserve"> PAGEREF _Toc81993520 \h </w:instrText>
        </w:r>
        <w:r w:rsidR="001657DF">
          <w:rPr>
            <w:noProof/>
            <w:webHidden/>
          </w:rPr>
        </w:r>
        <w:r w:rsidR="001657DF">
          <w:rPr>
            <w:noProof/>
            <w:webHidden/>
          </w:rPr>
          <w:fldChar w:fldCharType="separate"/>
        </w:r>
        <w:r>
          <w:rPr>
            <w:noProof/>
            <w:webHidden/>
          </w:rPr>
          <w:t>5</w:t>
        </w:r>
        <w:r w:rsidR="001657DF">
          <w:rPr>
            <w:noProof/>
            <w:webHidden/>
          </w:rPr>
          <w:fldChar w:fldCharType="end"/>
        </w:r>
      </w:hyperlink>
    </w:p>
    <w:p w14:paraId="12D71128" w14:textId="43442850" w:rsidR="001657DF" w:rsidRDefault="000E073D">
      <w:pPr>
        <w:pStyle w:val="TOC2"/>
        <w:tabs>
          <w:tab w:val="right" w:leader="dot" w:pos="9016"/>
        </w:tabs>
        <w:rPr>
          <w:rFonts w:asciiTheme="minorHAnsi" w:eastAsiaTheme="minorEastAsia" w:hAnsiTheme="minorHAnsi"/>
          <w:noProof/>
          <w:sz w:val="22"/>
          <w:lang w:val="en-GB" w:eastAsia="en-GB"/>
        </w:rPr>
      </w:pPr>
      <w:hyperlink w:anchor="_Toc81993521" w:history="1">
        <w:r w:rsidR="001657DF" w:rsidRPr="00D9745E">
          <w:rPr>
            <w:rStyle w:val="Hyperlink"/>
            <w:noProof/>
            <w:lang w:val="en-GB"/>
          </w:rPr>
          <w:t>Implementing decision – draft standardisation request</w:t>
        </w:r>
        <w:r w:rsidR="001657DF">
          <w:rPr>
            <w:noProof/>
            <w:webHidden/>
          </w:rPr>
          <w:tab/>
        </w:r>
        <w:r w:rsidR="001657DF">
          <w:rPr>
            <w:noProof/>
            <w:webHidden/>
          </w:rPr>
          <w:fldChar w:fldCharType="begin"/>
        </w:r>
        <w:r w:rsidR="001657DF">
          <w:rPr>
            <w:noProof/>
            <w:webHidden/>
          </w:rPr>
          <w:instrText xml:space="preserve"> PAGEREF _Toc81993521 \h </w:instrText>
        </w:r>
        <w:r w:rsidR="001657DF">
          <w:rPr>
            <w:noProof/>
            <w:webHidden/>
          </w:rPr>
        </w:r>
        <w:r w:rsidR="001657DF">
          <w:rPr>
            <w:noProof/>
            <w:webHidden/>
          </w:rPr>
          <w:fldChar w:fldCharType="separate"/>
        </w:r>
        <w:r>
          <w:rPr>
            <w:noProof/>
            <w:webHidden/>
          </w:rPr>
          <w:t>5</w:t>
        </w:r>
        <w:r w:rsidR="001657DF">
          <w:rPr>
            <w:noProof/>
            <w:webHidden/>
          </w:rPr>
          <w:fldChar w:fldCharType="end"/>
        </w:r>
      </w:hyperlink>
    </w:p>
    <w:p w14:paraId="5FB9EE84" w14:textId="1C639CD6" w:rsidR="001657DF" w:rsidRDefault="000E073D">
      <w:pPr>
        <w:pStyle w:val="TOC2"/>
        <w:tabs>
          <w:tab w:val="right" w:leader="dot" w:pos="9016"/>
        </w:tabs>
        <w:rPr>
          <w:rFonts w:asciiTheme="minorHAnsi" w:eastAsiaTheme="minorEastAsia" w:hAnsiTheme="minorHAnsi"/>
          <w:noProof/>
          <w:sz w:val="22"/>
          <w:lang w:val="en-GB" w:eastAsia="en-GB"/>
        </w:rPr>
      </w:pPr>
      <w:hyperlink w:anchor="_Toc81993522" w:history="1">
        <w:r w:rsidR="001657DF" w:rsidRPr="00D9745E">
          <w:rPr>
            <w:rStyle w:val="Hyperlink"/>
            <w:noProof/>
            <w:lang w:val="en-GB"/>
          </w:rPr>
          <w:t>Annexes to the implementing decision</w:t>
        </w:r>
        <w:r w:rsidR="001657DF">
          <w:rPr>
            <w:noProof/>
            <w:webHidden/>
          </w:rPr>
          <w:tab/>
        </w:r>
        <w:r w:rsidR="001657DF">
          <w:rPr>
            <w:noProof/>
            <w:webHidden/>
          </w:rPr>
          <w:fldChar w:fldCharType="begin"/>
        </w:r>
        <w:r w:rsidR="001657DF">
          <w:rPr>
            <w:noProof/>
            <w:webHidden/>
          </w:rPr>
          <w:instrText xml:space="preserve"> PAGEREF _Toc81993522 \h </w:instrText>
        </w:r>
        <w:r w:rsidR="001657DF">
          <w:rPr>
            <w:noProof/>
            <w:webHidden/>
          </w:rPr>
        </w:r>
        <w:r w:rsidR="001657DF">
          <w:rPr>
            <w:noProof/>
            <w:webHidden/>
          </w:rPr>
          <w:fldChar w:fldCharType="separate"/>
        </w:r>
        <w:r>
          <w:rPr>
            <w:noProof/>
            <w:webHidden/>
          </w:rPr>
          <w:t>12</w:t>
        </w:r>
        <w:r w:rsidR="001657DF">
          <w:rPr>
            <w:noProof/>
            <w:webHidden/>
          </w:rPr>
          <w:fldChar w:fldCharType="end"/>
        </w:r>
      </w:hyperlink>
    </w:p>
    <w:p w14:paraId="7B0026A0" w14:textId="57FE02C1" w:rsidR="001657DF" w:rsidRDefault="000E073D">
      <w:pPr>
        <w:pStyle w:val="TOC1"/>
        <w:tabs>
          <w:tab w:val="right" w:leader="dot" w:pos="9016"/>
        </w:tabs>
        <w:rPr>
          <w:rFonts w:asciiTheme="minorHAnsi" w:eastAsiaTheme="minorEastAsia" w:hAnsiTheme="minorHAnsi"/>
          <w:noProof/>
          <w:sz w:val="22"/>
          <w:lang w:val="en-GB" w:eastAsia="en-GB"/>
        </w:rPr>
      </w:pPr>
      <w:hyperlink w:anchor="_Toc81993523" w:history="1">
        <w:r w:rsidR="001657DF" w:rsidRPr="00D9745E">
          <w:rPr>
            <w:rStyle w:val="Hyperlink"/>
            <w:noProof/>
            <w:lang w:val="en-GB"/>
          </w:rPr>
          <w:t>Related Documents</w:t>
        </w:r>
        <w:r w:rsidR="001657DF">
          <w:rPr>
            <w:noProof/>
            <w:webHidden/>
          </w:rPr>
          <w:tab/>
        </w:r>
        <w:r w:rsidR="001657DF">
          <w:rPr>
            <w:noProof/>
            <w:webHidden/>
          </w:rPr>
          <w:fldChar w:fldCharType="begin"/>
        </w:r>
        <w:r w:rsidR="001657DF">
          <w:rPr>
            <w:noProof/>
            <w:webHidden/>
          </w:rPr>
          <w:instrText xml:space="preserve"> PAGEREF _Toc81993523 \h </w:instrText>
        </w:r>
        <w:r w:rsidR="001657DF">
          <w:rPr>
            <w:noProof/>
            <w:webHidden/>
          </w:rPr>
        </w:r>
        <w:r w:rsidR="001657DF">
          <w:rPr>
            <w:noProof/>
            <w:webHidden/>
          </w:rPr>
          <w:fldChar w:fldCharType="separate"/>
        </w:r>
        <w:r>
          <w:rPr>
            <w:noProof/>
            <w:webHidden/>
          </w:rPr>
          <w:t>17</w:t>
        </w:r>
        <w:r w:rsidR="001657DF">
          <w:rPr>
            <w:noProof/>
            <w:webHidden/>
          </w:rPr>
          <w:fldChar w:fldCharType="end"/>
        </w:r>
      </w:hyperlink>
    </w:p>
    <w:p w14:paraId="4FD6BED0" w14:textId="4CF7D219" w:rsidR="001657DF" w:rsidRDefault="000E073D">
      <w:pPr>
        <w:pStyle w:val="TOC1"/>
        <w:tabs>
          <w:tab w:val="right" w:leader="dot" w:pos="9016"/>
        </w:tabs>
        <w:rPr>
          <w:rFonts w:asciiTheme="minorHAnsi" w:eastAsiaTheme="minorEastAsia" w:hAnsiTheme="minorHAnsi"/>
          <w:noProof/>
          <w:sz w:val="22"/>
          <w:lang w:val="en-GB" w:eastAsia="en-GB"/>
        </w:rPr>
      </w:pPr>
      <w:hyperlink w:anchor="_Toc81993524" w:history="1">
        <w:r w:rsidR="001657DF" w:rsidRPr="00D9745E">
          <w:rPr>
            <w:rStyle w:val="Hyperlink"/>
            <w:noProof/>
            <w:lang w:val="en-GB"/>
          </w:rPr>
          <w:t>Document credits</w:t>
        </w:r>
        <w:r w:rsidR="001657DF">
          <w:rPr>
            <w:noProof/>
            <w:webHidden/>
          </w:rPr>
          <w:tab/>
        </w:r>
        <w:r w:rsidR="001657DF">
          <w:rPr>
            <w:noProof/>
            <w:webHidden/>
          </w:rPr>
          <w:fldChar w:fldCharType="begin"/>
        </w:r>
        <w:r w:rsidR="001657DF">
          <w:rPr>
            <w:noProof/>
            <w:webHidden/>
          </w:rPr>
          <w:instrText xml:space="preserve"> PAGEREF _Toc81993524 \h </w:instrText>
        </w:r>
        <w:r w:rsidR="001657DF">
          <w:rPr>
            <w:noProof/>
            <w:webHidden/>
          </w:rPr>
        </w:r>
        <w:r w:rsidR="001657DF">
          <w:rPr>
            <w:noProof/>
            <w:webHidden/>
          </w:rPr>
          <w:fldChar w:fldCharType="separate"/>
        </w:r>
        <w:r>
          <w:rPr>
            <w:noProof/>
            <w:webHidden/>
          </w:rPr>
          <w:t>18</w:t>
        </w:r>
        <w:r w:rsidR="001657DF">
          <w:rPr>
            <w:noProof/>
            <w:webHidden/>
          </w:rPr>
          <w:fldChar w:fldCharType="end"/>
        </w:r>
      </w:hyperlink>
    </w:p>
    <w:p w14:paraId="588D3280" w14:textId="7C63009C" w:rsidR="001E0F08" w:rsidRPr="00C961A8" w:rsidRDefault="00A9576D" w:rsidP="00282B80">
      <w:pPr>
        <w:pStyle w:val="Heading1"/>
        <w:rPr>
          <w:lang w:val="en-GB"/>
        </w:rPr>
      </w:pPr>
      <w:r w:rsidRPr="00C961A8">
        <w:rPr>
          <w:lang w:val="en-GB"/>
        </w:rPr>
        <w:fldChar w:fldCharType="end"/>
      </w:r>
      <w:bookmarkStart w:id="3" w:name="_Toc81993518"/>
      <w:r w:rsidR="001E0F08" w:rsidRPr="00C961A8">
        <w:rPr>
          <w:lang w:val="en-GB"/>
        </w:rPr>
        <w:t>Introduction</w:t>
      </w:r>
      <w:bookmarkEnd w:id="3"/>
    </w:p>
    <w:p w14:paraId="70F30724" w14:textId="3C116A6C" w:rsidR="00282B80" w:rsidRPr="00C961A8" w:rsidRDefault="00282B80" w:rsidP="00282B80">
      <w:pPr>
        <w:pStyle w:val="Heading3"/>
        <w:rPr>
          <w:lang w:val="en-GB"/>
        </w:rPr>
      </w:pPr>
      <w:r w:rsidRPr="00C961A8">
        <w:rPr>
          <w:lang w:val="en-GB"/>
        </w:rPr>
        <w:t>The European Disability Forum</w:t>
      </w:r>
    </w:p>
    <w:p w14:paraId="06C637A5" w14:textId="1ECA2494" w:rsidR="001E0F08" w:rsidRPr="00C961A8" w:rsidRDefault="00282B80" w:rsidP="00282B80">
      <w:pPr>
        <w:rPr>
          <w:lang w:val="en-GB"/>
        </w:rPr>
      </w:pPr>
      <w:r w:rsidRPr="00C961A8">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42A28403" w14:textId="77777777" w:rsidR="004E5A59" w:rsidRPr="00C961A8" w:rsidRDefault="004E5A59" w:rsidP="004E5A59">
      <w:pPr>
        <w:pStyle w:val="Heading3"/>
        <w:rPr>
          <w:lang w:val="en-GB"/>
        </w:rPr>
      </w:pPr>
      <w:r w:rsidRPr="00C961A8">
        <w:rPr>
          <w:lang w:val="en-GB"/>
        </w:rPr>
        <w:t>Acknowledgements</w:t>
      </w:r>
    </w:p>
    <w:p w14:paraId="6FAF4C51" w14:textId="52909478" w:rsidR="004E5A59" w:rsidRPr="00C961A8" w:rsidRDefault="004E5A59" w:rsidP="004E5A59">
      <w:pPr>
        <w:rPr>
          <w:lang w:val="en-GB"/>
        </w:rPr>
      </w:pPr>
      <w:r w:rsidRPr="00C961A8">
        <w:rPr>
          <w:lang w:val="en-GB"/>
        </w:rPr>
        <w:t xml:space="preserve">We thank the members of the EDF e-mail expert groups on </w:t>
      </w:r>
      <w:r w:rsidRPr="008E6B2C">
        <w:rPr>
          <w:lang w:val="en-GB"/>
        </w:rPr>
        <w:t>Information and Communication Technologies (ICT), Transport, Built Environment, Standardisation, European Accessibility Act</w:t>
      </w:r>
      <w:r w:rsidRPr="00C961A8">
        <w:rPr>
          <w:lang w:val="en-GB"/>
        </w:rPr>
        <w:t xml:space="preserve">, </w:t>
      </w:r>
      <w:r w:rsidR="001F7BB1">
        <w:rPr>
          <w:lang w:val="en-GB"/>
        </w:rPr>
        <w:t xml:space="preserve">ANEC, </w:t>
      </w:r>
      <w:r w:rsidRPr="00C961A8">
        <w:rPr>
          <w:lang w:val="en-GB"/>
        </w:rPr>
        <w:t xml:space="preserve">and </w:t>
      </w:r>
      <w:r w:rsidR="001F7BB1">
        <w:rPr>
          <w:lang w:val="en-GB"/>
        </w:rPr>
        <w:t xml:space="preserve">the EDF </w:t>
      </w:r>
      <w:r w:rsidRPr="00C961A8">
        <w:rPr>
          <w:lang w:val="en-GB"/>
        </w:rPr>
        <w:t>Board of Directors for their support in the development of this position paper.</w:t>
      </w:r>
    </w:p>
    <w:p w14:paraId="4BE9FCE2" w14:textId="77777777" w:rsidR="004E5A59" w:rsidRPr="00C961A8" w:rsidRDefault="004E5A59" w:rsidP="00282B80">
      <w:pPr>
        <w:rPr>
          <w:lang w:val="en-GB"/>
        </w:rPr>
      </w:pPr>
    </w:p>
    <w:p w14:paraId="2CFD1649" w14:textId="71DB266E" w:rsidR="00282B80" w:rsidRPr="00C961A8" w:rsidRDefault="00105F5A" w:rsidP="00A9576D">
      <w:pPr>
        <w:pStyle w:val="Heading1"/>
        <w:pageBreakBefore/>
        <w:rPr>
          <w:lang w:val="en-GB"/>
        </w:rPr>
      </w:pPr>
      <w:bookmarkStart w:id="4" w:name="_Toc81993519"/>
      <w:r w:rsidRPr="00C961A8">
        <w:rPr>
          <w:lang w:val="en-GB"/>
        </w:rPr>
        <w:lastRenderedPageBreak/>
        <w:t>Executive Summary</w:t>
      </w:r>
      <w:bookmarkEnd w:id="4"/>
    </w:p>
    <w:p w14:paraId="0D00908A" w14:textId="2F357D0D" w:rsidR="00780BC8" w:rsidRDefault="00105F5A" w:rsidP="00780BC8">
      <w:pPr>
        <w:rPr>
          <w:bCs/>
          <w:lang w:val="en-GB"/>
        </w:rPr>
      </w:pPr>
      <w:r w:rsidRPr="00780BC8">
        <w:rPr>
          <w:bCs/>
          <w:lang w:val="en-GB"/>
        </w:rPr>
        <w:t>We welcome the European Commission’s draft standardisation request to the European standardisation organisations</w:t>
      </w:r>
      <w:r w:rsidR="00B83139">
        <w:rPr>
          <w:bCs/>
          <w:lang w:val="en-GB"/>
        </w:rPr>
        <w:t xml:space="preserve"> (ESOs)</w:t>
      </w:r>
      <w:r w:rsidRPr="00780BC8">
        <w:rPr>
          <w:bCs/>
          <w:lang w:val="en-GB"/>
        </w:rPr>
        <w:t xml:space="preserve"> as regards the accessibility requirements of products and services in support of Directive (EU) 2019/882 (the European Accessibility Act</w:t>
      </w:r>
      <w:r w:rsidR="00C06FE2" w:rsidRPr="00780BC8">
        <w:rPr>
          <w:bCs/>
          <w:lang w:val="en-GB"/>
        </w:rPr>
        <w:t xml:space="preserve"> - EAA</w:t>
      </w:r>
      <w:r w:rsidRPr="00780BC8">
        <w:rPr>
          <w:bCs/>
          <w:lang w:val="en-GB"/>
        </w:rPr>
        <w:t>)</w:t>
      </w:r>
      <w:r w:rsidR="008B201A" w:rsidRPr="00780BC8">
        <w:rPr>
          <w:bCs/>
          <w:lang w:val="en-GB"/>
        </w:rPr>
        <w:t xml:space="preserve">. This includes the </w:t>
      </w:r>
      <w:r w:rsidR="008B201A" w:rsidRPr="005B3F2E">
        <w:rPr>
          <w:b/>
          <w:lang w:val="en-GB"/>
        </w:rPr>
        <w:t>revision of three existing standards</w:t>
      </w:r>
      <w:r w:rsidR="008B201A" w:rsidRPr="00780BC8">
        <w:rPr>
          <w:bCs/>
          <w:lang w:val="en-GB"/>
        </w:rPr>
        <w:t>:</w:t>
      </w:r>
    </w:p>
    <w:p w14:paraId="1F7FF321" w14:textId="6A4719CB" w:rsidR="008B201A" w:rsidRPr="00780BC8" w:rsidRDefault="00780BC8" w:rsidP="00780BC8">
      <w:pPr>
        <w:pStyle w:val="ListParagraph"/>
        <w:numPr>
          <w:ilvl w:val="0"/>
          <w:numId w:val="13"/>
        </w:numPr>
        <w:rPr>
          <w:bCs/>
          <w:lang w:val="en-GB"/>
        </w:rPr>
      </w:pPr>
      <w:r w:rsidRPr="00780BC8">
        <w:rPr>
          <w:bCs/>
          <w:lang w:val="en-GB"/>
        </w:rPr>
        <w:t>EN 301 549</w:t>
      </w:r>
      <w:r>
        <w:rPr>
          <w:bCs/>
          <w:lang w:val="en-GB"/>
        </w:rPr>
        <w:t xml:space="preserve"> -</w:t>
      </w:r>
      <w:r w:rsidRPr="00780BC8">
        <w:rPr>
          <w:bCs/>
          <w:lang w:val="en-GB"/>
        </w:rPr>
        <w:t xml:space="preserve"> Accessibility requirements for ICT products and services</w:t>
      </w:r>
    </w:p>
    <w:p w14:paraId="16DD4B3C" w14:textId="7E40A895" w:rsidR="008B201A" w:rsidRPr="00780BC8" w:rsidRDefault="00780BC8" w:rsidP="00780BC8">
      <w:pPr>
        <w:pStyle w:val="ListParagraph"/>
        <w:numPr>
          <w:ilvl w:val="0"/>
          <w:numId w:val="13"/>
        </w:numPr>
        <w:rPr>
          <w:bCs/>
          <w:lang w:val="en-GB"/>
        </w:rPr>
      </w:pPr>
      <w:r w:rsidRPr="00780BC8">
        <w:rPr>
          <w:bCs/>
          <w:lang w:val="en-GB"/>
        </w:rPr>
        <w:t>EN 17161</w:t>
      </w:r>
      <w:r>
        <w:rPr>
          <w:bCs/>
          <w:lang w:val="en-GB"/>
        </w:rPr>
        <w:t xml:space="preserve"> -</w:t>
      </w:r>
      <w:r w:rsidRPr="00780BC8">
        <w:rPr>
          <w:bCs/>
          <w:lang w:val="en-GB"/>
        </w:rPr>
        <w:t xml:space="preserve"> Design for All - Accessibility following a Design for All approach in products, goods and services - Extending the range of users</w:t>
      </w:r>
      <w:r w:rsidRPr="00780BC8">
        <w:rPr>
          <w:bCs/>
          <w:lang w:val="en-GB"/>
        </w:rPr>
        <w:tab/>
      </w:r>
    </w:p>
    <w:p w14:paraId="2B02414B" w14:textId="6E746714" w:rsidR="008B201A" w:rsidRPr="00780BC8" w:rsidRDefault="00780BC8" w:rsidP="00780BC8">
      <w:pPr>
        <w:pStyle w:val="ListParagraph"/>
        <w:numPr>
          <w:ilvl w:val="0"/>
          <w:numId w:val="13"/>
        </w:numPr>
        <w:rPr>
          <w:bCs/>
          <w:lang w:val="en-GB"/>
        </w:rPr>
      </w:pPr>
      <w:r>
        <w:t>EN 17210 - Accessibility and usability of the built environment - Functional requirements</w:t>
      </w:r>
    </w:p>
    <w:p w14:paraId="6B703976" w14:textId="77777777" w:rsidR="008B201A" w:rsidRDefault="008B201A" w:rsidP="00105F5A">
      <w:pPr>
        <w:rPr>
          <w:bCs/>
          <w:lang w:val="en-GB"/>
        </w:rPr>
      </w:pPr>
      <w:r>
        <w:rPr>
          <w:bCs/>
          <w:lang w:val="en-GB"/>
        </w:rPr>
        <w:t xml:space="preserve">And the request for the </w:t>
      </w:r>
      <w:r w:rsidRPr="005B3F2E">
        <w:rPr>
          <w:b/>
          <w:lang w:val="en-GB"/>
        </w:rPr>
        <w:t>development of three new standards</w:t>
      </w:r>
      <w:r>
        <w:rPr>
          <w:bCs/>
          <w:lang w:val="en-GB"/>
        </w:rPr>
        <w:t>:</w:t>
      </w:r>
    </w:p>
    <w:p w14:paraId="64D18FEA" w14:textId="4F500D9A" w:rsidR="008B201A" w:rsidRPr="00780BC8" w:rsidRDefault="00780BC8" w:rsidP="00780BC8">
      <w:pPr>
        <w:pStyle w:val="ListParagraph"/>
        <w:numPr>
          <w:ilvl w:val="0"/>
          <w:numId w:val="13"/>
        </w:numPr>
        <w:rPr>
          <w:bCs/>
          <w:lang w:val="en-GB"/>
        </w:rPr>
      </w:pPr>
      <w:r w:rsidRPr="00780BC8">
        <w:rPr>
          <w:bCs/>
          <w:lang w:val="en-GB"/>
        </w:rPr>
        <w:t>Harmonised standard(s) setting up requirements on the accessibility of non ICT information related to products</w:t>
      </w:r>
    </w:p>
    <w:p w14:paraId="1BFB80EA" w14:textId="5357CCF7" w:rsidR="008B201A" w:rsidRPr="00780BC8" w:rsidRDefault="00780BC8" w:rsidP="00780BC8">
      <w:pPr>
        <w:pStyle w:val="ListParagraph"/>
        <w:numPr>
          <w:ilvl w:val="0"/>
          <w:numId w:val="13"/>
        </w:numPr>
        <w:rPr>
          <w:bCs/>
          <w:lang w:val="en-GB"/>
        </w:rPr>
      </w:pPr>
      <w:r w:rsidRPr="00780BC8">
        <w:rPr>
          <w:bCs/>
          <w:lang w:val="en-GB"/>
        </w:rPr>
        <w:t>Harmonized standard  for the accessibility of support services related to products and services (help desks, call centres, technical support, relay services and training services)</w:t>
      </w:r>
    </w:p>
    <w:p w14:paraId="107FD2F4" w14:textId="52906D71" w:rsidR="00780BC8" w:rsidRPr="00780BC8" w:rsidRDefault="00780BC8" w:rsidP="00780BC8">
      <w:pPr>
        <w:pStyle w:val="ListParagraph"/>
        <w:numPr>
          <w:ilvl w:val="0"/>
          <w:numId w:val="13"/>
        </w:numPr>
        <w:rPr>
          <w:rFonts w:ascii="Times New Roman" w:hAnsi="Times New Roman"/>
          <w:sz w:val="22"/>
        </w:rPr>
      </w:pPr>
      <w:r>
        <w:t>Harmonized standard  for the accessibility of emergency communications and for the answering of emergency communications by the PSAPs (including to the single European Emergency number 112)</w:t>
      </w:r>
    </w:p>
    <w:p w14:paraId="54CE2D95" w14:textId="5EAD4E44" w:rsidR="008B201A" w:rsidRDefault="008B201A" w:rsidP="00105F5A">
      <w:pPr>
        <w:rPr>
          <w:bCs/>
          <w:lang w:val="en-GB"/>
        </w:rPr>
      </w:pPr>
      <w:r>
        <w:rPr>
          <w:bCs/>
          <w:lang w:val="en-GB"/>
        </w:rPr>
        <w:t xml:space="preserve">We also welcome the fact that the EN 301 549 on accessibility requirements for ICT products and services, harmonised for the purpose of the </w:t>
      </w:r>
      <w:r w:rsidRPr="005B3F2E">
        <w:rPr>
          <w:b/>
          <w:lang w:val="en-GB"/>
        </w:rPr>
        <w:t>Web Accessibility Act</w:t>
      </w:r>
      <w:r>
        <w:rPr>
          <w:bCs/>
          <w:lang w:val="en-GB"/>
        </w:rPr>
        <w:t xml:space="preserve">, will also be updated within this standardisation request for the EAA. This will ensure coherence between these two pieces of legislation. </w:t>
      </w:r>
      <w:r w:rsidR="00C06FE2" w:rsidRPr="00C961A8">
        <w:rPr>
          <w:bCs/>
          <w:lang w:val="en-GB"/>
        </w:rPr>
        <w:t xml:space="preserve"> </w:t>
      </w:r>
    </w:p>
    <w:p w14:paraId="27C13BE8" w14:textId="6928944D" w:rsidR="00105F5A" w:rsidRPr="00C961A8" w:rsidRDefault="00C06FE2" w:rsidP="00105F5A">
      <w:pPr>
        <w:rPr>
          <w:rFonts w:cs="Arial"/>
          <w:lang w:val="en-GB"/>
        </w:rPr>
      </w:pPr>
      <w:r w:rsidRPr="00C961A8">
        <w:rPr>
          <w:rFonts w:cs="Arial"/>
          <w:lang w:val="en-GB"/>
        </w:rPr>
        <w:t>The requested standards will be crucial for proper implementation of EAA and help harmonise approaches to accessibility and avoid legal uncertainty during the application of the Directive.</w:t>
      </w:r>
    </w:p>
    <w:p w14:paraId="60ABAB89" w14:textId="0D60B0C9" w:rsidR="00C06FE2" w:rsidRPr="00C961A8" w:rsidRDefault="00C06FE2" w:rsidP="00105F5A">
      <w:pPr>
        <w:rPr>
          <w:rFonts w:cs="Arial"/>
          <w:lang w:val="en-GB"/>
        </w:rPr>
      </w:pPr>
      <w:r w:rsidRPr="00C961A8">
        <w:rPr>
          <w:rFonts w:cs="Arial"/>
          <w:lang w:val="en-GB"/>
        </w:rPr>
        <w:t xml:space="preserve">We especially welcome provisions calling for </w:t>
      </w:r>
      <w:r w:rsidRPr="005B3F2E">
        <w:rPr>
          <w:rFonts w:cs="Arial"/>
          <w:b/>
          <w:bCs/>
          <w:lang w:val="en-GB"/>
        </w:rPr>
        <w:t>inclusion of European umbrella organisations of persons with disabilities</w:t>
      </w:r>
      <w:r w:rsidRPr="00C961A8">
        <w:rPr>
          <w:rFonts w:cs="Arial"/>
          <w:lang w:val="en-GB"/>
        </w:rPr>
        <w:t xml:space="preserve"> and other relevant stakeholders in </w:t>
      </w:r>
      <w:r w:rsidR="008B201A">
        <w:rPr>
          <w:rFonts w:cs="Arial"/>
          <w:lang w:val="en-GB"/>
        </w:rPr>
        <w:t>an accessible</w:t>
      </w:r>
      <w:r w:rsidRPr="00C961A8">
        <w:rPr>
          <w:rFonts w:cs="Arial"/>
          <w:lang w:val="en-GB"/>
        </w:rPr>
        <w:t xml:space="preserve"> </w:t>
      </w:r>
      <w:r w:rsidR="008B201A">
        <w:rPr>
          <w:rFonts w:cs="Arial"/>
          <w:lang w:val="en-GB"/>
        </w:rPr>
        <w:t>standards development</w:t>
      </w:r>
      <w:r w:rsidRPr="00C961A8">
        <w:rPr>
          <w:rFonts w:cs="Arial"/>
          <w:lang w:val="en-GB"/>
        </w:rPr>
        <w:t xml:space="preserve"> process</w:t>
      </w:r>
      <w:r w:rsidR="00F94378">
        <w:rPr>
          <w:rFonts w:cs="Arial"/>
          <w:lang w:val="en-GB"/>
        </w:rPr>
        <w:t>,</w:t>
      </w:r>
      <w:r w:rsidRPr="00C961A8">
        <w:rPr>
          <w:rFonts w:cs="Arial"/>
          <w:lang w:val="en-GB"/>
        </w:rPr>
        <w:t xml:space="preserve"> </w:t>
      </w:r>
      <w:r w:rsidR="008B201A">
        <w:rPr>
          <w:rFonts w:cs="Arial"/>
          <w:lang w:val="en-GB"/>
        </w:rPr>
        <w:t>as well as</w:t>
      </w:r>
      <w:r w:rsidR="004D59C1" w:rsidRPr="00C961A8">
        <w:rPr>
          <w:rFonts w:cs="Arial"/>
          <w:lang w:val="en-GB"/>
        </w:rPr>
        <w:t xml:space="preserve"> </w:t>
      </w:r>
      <w:r w:rsidR="002010BD">
        <w:rPr>
          <w:rFonts w:cs="Arial"/>
          <w:lang w:val="en-GB"/>
        </w:rPr>
        <w:t>making</w:t>
      </w:r>
      <w:r w:rsidR="004D59C1" w:rsidRPr="00C961A8">
        <w:rPr>
          <w:rFonts w:cs="Arial"/>
          <w:lang w:val="en-GB"/>
        </w:rPr>
        <w:t xml:space="preserve"> </w:t>
      </w:r>
      <w:r w:rsidR="008B201A">
        <w:rPr>
          <w:rFonts w:cs="Arial"/>
          <w:lang w:val="en-GB"/>
        </w:rPr>
        <w:t>such</w:t>
      </w:r>
      <w:r w:rsidR="004D59C1" w:rsidRPr="00C961A8">
        <w:rPr>
          <w:rFonts w:cs="Arial"/>
          <w:lang w:val="en-GB"/>
        </w:rPr>
        <w:t xml:space="preserve"> standards </w:t>
      </w:r>
      <w:r w:rsidR="004D59C1" w:rsidRPr="005B3F2E">
        <w:rPr>
          <w:rFonts w:cs="Arial"/>
          <w:b/>
          <w:bCs/>
          <w:lang w:val="en-GB"/>
        </w:rPr>
        <w:t>free of charge for not-for-profit organization</w:t>
      </w:r>
      <w:r w:rsidR="005B3F2E" w:rsidRPr="005B3F2E">
        <w:rPr>
          <w:rFonts w:cs="Arial"/>
          <w:b/>
          <w:bCs/>
          <w:lang w:val="en-GB"/>
        </w:rPr>
        <w:t>s</w:t>
      </w:r>
      <w:r w:rsidR="004D59C1" w:rsidRPr="00C961A8">
        <w:rPr>
          <w:rFonts w:cs="Arial"/>
          <w:lang w:val="en-GB"/>
        </w:rPr>
        <w:t xml:space="preserve">. We propose further improvements below. </w:t>
      </w:r>
    </w:p>
    <w:p w14:paraId="3E80AD37" w14:textId="6C272DD2" w:rsidR="008B201A" w:rsidRDefault="002010BD" w:rsidP="00105F5A">
      <w:pPr>
        <w:rPr>
          <w:rFonts w:cs="Arial"/>
          <w:lang w:val="en-GB"/>
        </w:rPr>
      </w:pPr>
      <w:r>
        <w:rPr>
          <w:rFonts w:cs="Arial"/>
          <w:lang w:val="en-GB"/>
        </w:rPr>
        <w:t>Furthermore, w</w:t>
      </w:r>
      <w:r w:rsidR="004D59C1" w:rsidRPr="00C961A8">
        <w:rPr>
          <w:rFonts w:cs="Arial"/>
          <w:lang w:val="en-GB"/>
        </w:rPr>
        <w:t xml:space="preserve">e support the exclusion of </w:t>
      </w:r>
      <w:r w:rsidR="004D59C1" w:rsidRPr="005B3F2E">
        <w:rPr>
          <w:rFonts w:cs="Arial"/>
          <w:b/>
          <w:bCs/>
          <w:lang w:val="en-GB"/>
        </w:rPr>
        <w:t>e-books</w:t>
      </w:r>
      <w:r w:rsidR="004D59C1" w:rsidRPr="00C961A8">
        <w:rPr>
          <w:rFonts w:cs="Arial"/>
          <w:lang w:val="en-GB"/>
        </w:rPr>
        <w:t xml:space="preserve"> </w:t>
      </w:r>
      <w:r w:rsidR="008B201A">
        <w:rPr>
          <w:rFonts w:cs="Arial"/>
          <w:lang w:val="en-GB"/>
        </w:rPr>
        <w:t xml:space="preserve">from the standardisation request </w:t>
      </w:r>
      <w:r w:rsidR="00A223C3">
        <w:rPr>
          <w:rFonts w:cs="Arial"/>
          <w:lang w:val="en-GB"/>
        </w:rPr>
        <w:t>on</w:t>
      </w:r>
      <w:r w:rsidR="00A223C3" w:rsidRPr="00C961A8">
        <w:rPr>
          <w:rFonts w:cs="Arial"/>
          <w:lang w:val="en-GB"/>
        </w:rPr>
        <w:t xml:space="preserve"> </w:t>
      </w:r>
      <w:r w:rsidR="004D59C1" w:rsidRPr="00C961A8">
        <w:rPr>
          <w:rFonts w:cs="Arial"/>
          <w:lang w:val="en-GB"/>
        </w:rPr>
        <w:t>the</w:t>
      </w:r>
      <w:r w:rsidR="00A223C3">
        <w:rPr>
          <w:rFonts w:cs="Arial"/>
          <w:lang w:val="en-GB"/>
        </w:rPr>
        <w:t xml:space="preserve"> condition that</w:t>
      </w:r>
      <w:r w:rsidR="004D59C1" w:rsidRPr="00C961A8">
        <w:rPr>
          <w:rFonts w:cs="Arial"/>
          <w:lang w:val="en-GB"/>
        </w:rPr>
        <w:t xml:space="preserve"> current industry standard</w:t>
      </w:r>
      <w:r w:rsidR="00A223C3">
        <w:rPr>
          <w:rFonts w:cs="Arial"/>
          <w:lang w:val="en-GB"/>
        </w:rPr>
        <w:t>s</w:t>
      </w:r>
      <w:r w:rsidR="004D59C1" w:rsidRPr="00C961A8">
        <w:rPr>
          <w:rFonts w:cs="Arial"/>
          <w:lang w:val="en-GB"/>
        </w:rPr>
        <w:t xml:space="preserve"> fulfil the </w:t>
      </w:r>
      <w:r w:rsidR="008B201A">
        <w:rPr>
          <w:rFonts w:cs="Arial"/>
          <w:lang w:val="en-GB"/>
        </w:rPr>
        <w:t xml:space="preserve">mandatory </w:t>
      </w:r>
      <w:r w:rsidR="004D59C1" w:rsidRPr="00C961A8">
        <w:rPr>
          <w:rFonts w:cs="Arial"/>
          <w:lang w:val="en-GB"/>
        </w:rPr>
        <w:t>requirements of the EAA</w:t>
      </w:r>
      <w:r w:rsidR="008B201A">
        <w:rPr>
          <w:rFonts w:cs="Arial"/>
          <w:lang w:val="en-GB"/>
        </w:rPr>
        <w:t>.</w:t>
      </w:r>
      <w:r w:rsidR="00630D30" w:rsidRPr="00C961A8">
        <w:rPr>
          <w:rFonts w:cs="Arial"/>
          <w:lang w:val="en-GB"/>
        </w:rPr>
        <w:t xml:space="preserve"> </w:t>
      </w:r>
      <w:r w:rsidR="001B2D40">
        <w:rPr>
          <w:rFonts w:cs="Arial"/>
          <w:lang w:val="en-GB"/>
        </w:rPr>
        <w:t xml:space="preserve">If so, we recommend the </w:t>
      </w:r>
      <w:r w:rsidR="001B2D40">
        <w:rPr>
          <w:rFonts w:cs="Arial"/>
          <w:lang w:val="en-GB"/>
        </w:rPr>
        <w:lastRenderedPageBreak/>
        <w:t>European Commission to issue technical specifications</w:t>
      </w:r>
      <w:r w:rsidR="00545270">
        <w:rPr>
          <w:rFonts w:cs="Arial"/>
          <w:lang w:val="en-GB"/>
        </w:rPr>
        <w:t xml:space="preserve"> for e</w:t>
      </w:r>
      <w:r w:rsidR="001657DF">
        <w:rPr>
          <w:rFonts w:cs="Arial"/>
          <w:lang w:val="en-GB"/>
        </w:rPr>
        <w:t>-b</w:t>
      </w:r>
      <w:r w:rsidR="00545270">
        <w:rPr>
          <w:rFonts w:cs="Arial"/>
          <w:lang w:val="en-GB"/>
        </w:rPr>
        <w:t>ooks</w:t>
      </w:r>
      <w:r w:rsidR="001B2D40">
        <w:rPr>
          <w:rFonts w:cs="Arial"/>
          <w:lang w:val="en-GB"/>
        </w:rPr>
        <w:t xml:space="preserve"> </w:t>
      </w:r>
      <w:r w:rsidR="00545270">
        <w:rPr>
          <w:rFonts w:cs="Arial"/>
          <w:lang w:val="en-GB"/>
        </w:rPr>
        <w:t>referring to the</w:t>
      </w:r>
      <w:r w:rsidR="00B407ED" w:rsidRPr="00B407ED">
        <w:rPr>
          <w:rFonts w:cs="Arial"/>
          <w:lang w:val="en-GB"/>
        </w:rPr>
        <w:t xml:space="preserve"> </w:t>
      </w:r>
      <w:hyperlink r:id="rId10" w:history="1">
        <w:r w:rsidR="00B407ED" w:rsidRPr="001657DF">
          <w:rPr>
            <w:rStyle w:val="Hyperlink"/>
            <w:rFonts w:cs="Arial"/>
            <w:b/>
            <w:bCs/>
            <w:lang w:val="en-GB"/>
          </w:rPr>
          <w:t>EPUB Accessibility Conformance and Discoverability Requirements 1.1</w:t>
        </w:r>
      </w:hyperlink>
      <w:r w:rsidR="00A223C3">
        <w:rPr>
          <w:rFonts w:cs="Arial"/>
          <w:lang w:val="en-GB"/>
        </w:rPr>
        <w:t>,</w:t>
      </w:r>
      <w:r w:rsidR="00545270">
        <w:rPr>
          <w:rFonts w:cs="Arial"/>
          <w:lang w:val="en-GB"/>
        </w:rPr>
        <w:t xml:space="preserve"> as argued by the </w:t>
      </w:r>
      <w:hyperlink r:id="rId11" w:history="1">
        <w:r w:rsidR="00545270" w:rsidRPr="00A223C3">
          <w:rPr>
            <w:rStyle w:val="Hyperlink"/>
            <w:rFonts w:cs="Arial"/>
            <w:lang w:val="en-GB"/>
          </w:rPr>
          <w:t>EPUB Accessibility - EU Accessibility Act Mapping</w:t>
        </w:r>
      </w:hyperlink>
      <w:r w:rsidR="00545270">
        <w:rPr>
          <w:rFonts w:cs="Arial"/>
          <w:lang w:val="en-GB"/>
        </w:rPr>
        <w:t xml:space="preserve">. This needs to be verified by the </w:t>
      </w:r>
      <w:r w:rsidR="00A223C3">
        <w:rPr>
          <w:rFonts w:cs="Arial"/>
          <w:lang w:val="en-GB"/>
        </w:rPr>
        <w:t xml:space="preserve">European Commission before issuing the </w:t>
      </w:r>
      <w:r w:rsidR="00545270">
        <w:rPr>
          <w:rFonts w:cs="Arial"/>
          <w:lang w:val="en-GB"/>
        </w:rPr>
        <w:t xml:space="preserve">final </w:t>
      </w:r>
      <w:r w:rsidR="00A223C3">
        <w:rPr>
          <w:rFonts w:cs="Arial"/>
          <w:lang w:val="en-GB"/>
        </w:rPr>
        <w:t xml:space="preserve">standardisation request. </w:t>
      </w:r>
    </w:p>
    <w:p w14:paraId="09BDBDE2" w14:textId="516AB981" w:rsidR="004D59C1" w:rsidRPr="00C961A8" w:rsidRDefault="00780BC8" w:rsidP="00105F5A">
      <w:pPr>
        <w:rPr>
          <w:rFonts w:cs="Arial"/>
          <w:lang w:val="en-GB"/>
        </w:rPr>
      </w:pPr>
      <w:r>
        <w:rPr>
          <w:rFonts w:cs="Arial"/>
          <w:lang w:val="en-GB"/>
        </w:rPr>
        <w:t>Given that the EAA also applies to publicly procured products and services, w</w:t>
      </w:r>
      <w:r w:rsidR="008B201A">
        <w:rPr>
          <w:rFonts w:cs="Arial"/>
          <w:lang w:val="en-GB"/>
        </w:rPr>
        <w:t>e also support the</w:t>
      </w:r>
      <w:r w:rsidR="002010BD">
        <w:rPr>
          <w:rFonts w:cs="Arial"/>
          <w:lang w:val="en-GB"/>
        </w:rPr>
        <w:t xml:space="preserve"> </w:t>
      </w:r>
      <w:r w:rsidR="00630D30" w:rsidRPr="005B3F2E">
        <w:rPr>
          <w:rFonts w:cs="Arial"/>
          <w:b/>
          <w:bCs/>
          <w:lang w:val="en-GB"/>
        </w:rPr>
        <w:t>revision of technical reports</w:t>
      </w:r>
      <w:r w:rsidR="00630D30" w:rsidRPr="00C961A8">
        <w:rPr>
          <w:rFonts w:cs="Arial"/>
          <w:lang w:val="en-GB"/>
        </w:rPr>
        <w:t xml:space="preserve"> CEN/CLC/ETSI TR 101551:2014</w:t>
      </w:r>
      <w:r w:rsidR="008B201A">
        <w:rPr>
          <w:rStyle w:val="FootnoteReference"/>
          <w:rFonts w:cs="Arial"/>
          <w:lang w:val="en-GB"/>
        </w:rPr>
        <w:footnoteReference w:id="1"/>
      </w:r>
      <w:r w:rsidR="00630D30" w:rsidRPr="00C961A8">
        <w:rPr>
          <w:rFonts w:cs="Arial"/>
          <w:lang w:val="en-GB"/>
        </w:rPr>
        <w:t>, and CEN/CLC/ETSI/TR 101 552:2014</w:t>
      </w:r>
      <w:r w:rsidR="008B201A">
        <w:rPr>
          <w:rStyle w:val="FootnoteReference"/>
          <w:rFonts w:cs="Arial"/>
          <w:lang w:val="en-GB"/>
        </w:rPr>
        <w:footnoteReference w:id="2"/>
      </w:r>
      <w:r w:rsidR="00B83139">
        <w:rPr>
          <w:rFonts w:cs="Arial"/>
          <w:lang w:val="en-GB"/>
        </w:rPr>
        <w:t xml:space="preserve"> as well as the toolkit requested in the standardisation request (recital 31)</w:t>
      </w:r>
      <w:r w:rsidR="00630D30" w:rsidRPr="00C961A8">
        <w:rPr>
          <w:rFonts w:cs="Arial"/>
          <w:lang w:val="en-GB"/>
        </w:rPr>
        <w:t>.</w:t>
      </w:r>
      <w:r w:rsidR="00B83139">
        <w:rPr>
          <w:rFonts w:cs="Arial"/>
          <w:lang w:val="en-GB"/>
        </w:rPr>
        <w:t xml:space="preserve"> We nevertheless believe that </w:t>
      </w:r>
      <w:r w:rsidR="00B83139" w:rsidRPr="005B3F2E">
        <w:rPr>
          <w:rFonts w:cs="Arial"/>
          <w:b/>
          <w:bCs/>
          <w:lang w:val="en-GB"/>
        </w:rPr>
        <w:t>the request of such toolkit should be much clearer in the Commission decision</w:t>
      </w:r>
      <w:r w:rsidR="0096215B">
        <w:rPr>
          <w:rFonts w:cs="Arial"/>
          <w:lang w:val="en-GB"/>
        </w:rPr>
        <w:t xml:space="preserve"> by</w:t>
      </w:r>
      <w:r w:rsidR="001A5957">
        <w:rPr>
          <w:rFonts w:cs="Arial"/>
          <w:lang w:val="en-GB"/>
        </w:rPr>
        <w:t>, for example, specifying its characteristics and</w:t>
      </w:r>
      <w:r w:rsidR="005B3F2E">
        <w:rPr>
          <w:rFonts w:cs="Arial"/>
          <w:lang w:val="en-GB"/>
        </w:rPr>
        <w:t xml:space="preserve"> scope in a new Annex (new Annex V)</w:t>
      </w:r>
      <w:r w:rsidR="00B83139">
        <w:rPr>
          <w:rFonts w:cs="Arial"/>
          <w:lang w:val="en-GB"/>
        </w:rPr>
        <w:t>.</w:t>
      </w:r>
    </w:p>
    <w:p w14:paraId="6B329425" w14:textId="39345664" w:rsidR="009630E9" w:rsidRPr="00C961A8" w:rsidRDefault="00105F5A" w:rsidP="00B21DA3">
      <w:pPr>
        <w:rPr>
          <w:bCs/>
          <w:lang w:val="en-GB"/>
        </w:rPr>
      </w:pPr>
      <w:r w:rsidRPr="00C961A8">
        <w:rPr>
          <w:bCs/>
          <w:lang w:val="en-GB"/>
        </w:rPr>
        <w:t xml:space="preserve">In this position, we reinstate </w:t>
      </w:r>
      <w:hyperlink r:id="rId12" w:history="1">
        <w:r w:rsidRPr="00C961A8">
          <w:rPr>
            <w:rStyle w:val="Hyperlink"/>
            <w:bCs/>
            <w:lang w:val="en-GB"/>
          </w:rPr>
          <w:t>our recommendations for ensuring inclusive European Standardisation in support of the European Accessibility Act</w:t>
        </w:r>
      </w:hyperlink>
      <w:r w:rsidRPr="00C961A8">
        <w:rPr>
          <w:bCs/>
          <w:lang w:val="en-GB"/>
        </w:rPr>
        <w:t xml:space="preserve">, which we have issued in June of this year. </w:t>
      </w:r>
      <w:r w:rsidR="00C06FE2" w:rsidRPr="00C961A8">
        <w:rPr>
          <w:bCs/>
          <w:lang w:val="en-GB"/>
        </w:rPr>
        <w:t>Based on these, we recommend strengthening the draft standardisation request by:</w:t>
      </w:r>
    </w:p>
    <w:p w14:paraId="12CAFAB7" w14:textId="08421454" w:rsidR="00C06FE2" w:rsidRPr="00C961A8" w:rsidRDefault="00B83139" w:rsidP="005C4234">
      <w:pPr>
        <w:pStyle w:val="ListParagraph"/>
        <w:numPr>
          <w:ilvl w:val="3"/>
          <w:numId w:val="8"/>
        </w:numPr>
        <w:ind w:left="426"/>
        <w:rPr>
          <w:bCs/>
          <w:lang w:val="en-GB"/>
        </w:rPr>
      </w:pPr>
      <w:r>
        <w:rPr>
          <w:bCs/>
          <w:lang w:val="en-GB"/>
        </w:rPr>
        <w:t>Reinforcing</w:t>
      </w:r>
      <w:r w:rsidR="00C06FE2" w:rsidRPr="00C961A8">
        <w:rPr>
          <w:bCs/>
          <w:lang w:val="en-GB"/>
        </w:rPr>
        <w:t xml:space="preserve"> the provisions related to </w:t>
      </w:r>
      <w:r w:rsidR="00C06FE2" w:rsidRPr="00AD21D6">
        <w:rPr>
          <w:b/>
          <w:lang w:val="en-GB"/>
        </w:rPr>
        <w:t>inclusive European standardization</w:t>
      </w:r>
      <w:r w:rsidR="00C06FE2" w:rsidRPr="00C961A8">
        <w:rPr>
          <w:bCs/>
          <w:lang w:val="en-GB"/>
        </w:rPr>
        <w:t xml:space="preserve"> with participation of organizations of persons with disabilities – DPOs</w:t>
      </w:r>
      <w:r w:rsidR="00C46EE5">
        <w:rPr>
          <w:bCs/>
          <w:lang w:val="en-GB"/>
        </w:rPr>
        <w:t>.</w:t>
      </w:r>
      <w:r w:rsidR="00C06FE2" w:rsidRPr="00C961A8">
        <w:rPr>
          <w:bCs/>
          <w:lang w:val="en-GB"/>
        </w:rPr>
        <w:t xml:space="preserve"> (</w:t>
      </w:r>
      <w:r w:rsidR="00C06FE2" w:rsidRPr="00C961A8">
        <w:rPr>
          <w:rFonts w:cs="Arial"/>
          <w:lang w:val="en-GB"/>
        </w:rPr>
        <w:t>Recital 27, Article 2.4 of draft request)</w:t>
      </w:r>
      <w:r w:rsidR="00C46EE5">
        <w:rPr>
          <w:rFonts w:cs="Arial"/>
          <w:lang w:val="en-GB"/>
        </w:rPr>
        <w:t>.</w:t>
      </w:r>
    </w:p>
    <w:p w14:paraId="1E54C02A" w14:textId="6A2AD1EB" w:rsidR="00C46EE5" w:rsidRPr="00C961A8" w:rsidRDefault="00C46EE5" w:rsidP="00C46EE5">
      <w:pPr>
        <w:pStyle w:val="ListParagraph"/>
        <w:numPr>
          <w:ilvl w:val="3"/>
          <w:numId w:val="8"/>
        </w:numPr>
        <w:ind w:left="426"/>
        <w:rPr>
          <w:bCs/>
          <w:lang w:val="en-GB"/>
        </w:rPr>
      </w:pPr>
      <w:r w:rsidRPr="005B3F2E">
        <w:rPr>
          <w:b/>
          <w:lang w:val="en-GB"/>
        </w:rPr>
        <w:t>Monitoring involvement of DPOs</w:t>
      </w:r>
      <w:r w:rsidRPr="00C961A8">
        <w:rPr>
          <w:bCs/>
          <w:lang w:val="en-GB"/>
        </w:rPr>
        <w:t xml:space="preserve"> in standardisation both at European and national level</w:t>
      </w:r>
      <w:r>
        <w:rPr>
          <w:bCs/>
          <w:lang w:val="en-GB"/>
        </w:rPr>
        <w:t>.</w:t>
      </w:r>
      <w:r w:rsidRPr="00C961A8">
        <w:rPr>
          <w:bCs/>
          <w:lang w:val="en-GB"/>
        </w:rPr>
        <w:t xml:space="preserve"> (Article 3 of draft request)</w:t>
      </w:r>
    </w:p>
    <w:p w14:paraId="517FB887" w14:textId="07D36E93" w:rsidR="00C06FE2" w:rsidRPr="00C961A8" w:rsidRDefault="00B83139" w:rsidP="005C4234">
      <w:pPr>
        <w:pStyle w:val="ListParagraph"/>
        <w:numPr>
          <w:ilvl w:val="3"/>
          <w:numId w:val="8"/>
        </w:numPr>
        <w:ind w:left="426"/>
        <w:rPr>
          <w:bCs/>
          <w:lang w:val="en-GB"/>
        </w:rPr>
      </w:pPr>
      <w:r>
        <w:rPr>
          <w:rFonts w:cs="Arial"/>
          <w:lang w:val="en-GB"/>
        </w:rPr>
        <w:t>Requesting to the ESOs</w:t>
      </w:r>
      <w:r w:rsidR="00C06FE2" w:rsidRPr="00C961A8">
        <w:rPr>
          <w:rFonts w:cs="Arial"/>
          <w:lang w:val="en-GB"/>
        </w:rPr>
        <w:t xml:space="preserve"> </w:t>
      </w:r>
      <w:r w:rsidR="00C06FE2" w:rsidRPr="005B3F2E">
        <w:rPr>
          <w:rFonts w:cs="Arial"/>
          <w:b/>
          <w:bCs/>
          <w:lang w:val="en-GB"/>
        </w:rPr>
        <w:t>clear terms of reference</w:t>
      </w:r>
      <w:r w:rsidR="00C06FE2" w:rsidRPr="00C961A8">
        <w:rPr>
          <w:rFonts w:cs="Arial"/>
          <w:lang w:val="en-GB"/>
        </w:rPr>
        <w:t xml:space="preserve"> for the technical committees responsible </w:t>
      </w:r>
      <w:r>
        <w:rPr>
          <w:rFonts w:cs="Arial"/>
          <w:lang w:val="en-GB"/>
        </w:rPr>
        <w:t>of EAA related</w:t>
      </w:r>
      <w:r w:rsidR="00C06FE2" w:rsidRPr="00C961A8">
        <w:rPr>
          <w:rFonts w:cs="Arial"/>
          <w:lang w:val="en-GB"/>
        </w:rPr>
        <w:t xml:space="preserve"> </w:t>
      </w:r>
      <w:r>
        <w:rPr>
          <w:rFonts w:cs="Arial"/>
          <w:lang w:val="en-GB"/>
        </w:rPr>
        <w:t>standards</w:t>
      </w:r>
      <w:r w:rsidR="00C06FE2" w:rsidRPr="00C961A8">
        <w:rPr>
          <w:rFonts w:cs="Arial"/>
          <w:lang w:val="en-GB"/>
        </w:rPr>
        <w:t xml:space="preserve"> (Article 2.5 (new))</w:t>
      </w:r>
      <w:r w:rsidR="00C46EE5">
        <w:rPr>
          <w:rFonts w:cs="Arial"/>
          <w:lang w:val="en-GB"/>
        </w:rPr>
        <w:t>.</w:t>
      </w:r>
    </w:p>
    <w:p w14:paraId="49E8618F" w14:textId="6A12A298" w:rsidR="00C06FE2" w:rsidRPr="00C961A8" w:rsidRDefault="00C46EE5" w:rsidP="00C06FE2">
      <w:pPr>
        <w:pStyle w:val="ListParagraph"/>
        <w:numPr>
          <w:ilvl w:val="3"/>
          <w:numId w:val="8"/>
        </w:numPr>
        <w:ind w:left="426"/>
        <w:rPr>
          <w:bCs/>
          <w:lang w:val="en-GB"/>
        </w:rPr>
      </w:pPr>
      <w:r>
        <w:rPr>
          <w:bCs/>
          <w:lang w:val="en-GB"/>
        </w:rPr>
        <w:t>E</w:t>
      </w:r>
      <w:r w:rsidR="00C06FE2" w:rsidRPr="00C961A8">
        <w:rPr>
          <w:bCs/>
          <w:lang w:val="en-GB"/>
        </w:rPr>
        <w:t xml:space="preserve">nsuring that </w:t>
      </w:r>
      <w:r w:rsidR="00C06FE2" w:rsidRPr="005B3F2E">
        <w:rPr>
          <w:b/>
          <w:lang w:val="en-GB"/>
        </w:rPr>
        <w:t>deadlines</w:t>
      </w:r>
      <w:r w:rsidR="00C06FE2" w:rsidRPr="00C961A8">
        <w:rPr>
          <w:bCs/>
          <w:lang w:val="en-GB"/>
        </w:rPr>
        <w:t xml:space="preserve"> for development and revision </w:t>
      </w:r>
      <w:r w:rsidR="002010BD">
        <w:rPr>
          <w:bCs/>
          <w:lang w:val="en-GB"/>
        </w:rPr>
        <w:t xml:space="preserve">of </w:t>
      </w:r>
      <w:r w:rsidR="00C06FE2" w:rsidRPr="00C961A8">
        <w:rPr>
          <w:bCs/>
          <w:lang w:val="en-GB"/>
        </w:rPr>
        <w:t>standards in view of harmonisation for the EAA do not exceed the date of application of the EAA</w:t>
      </w:r>
      <w:r>
        <w:rPr>
          <w:bCs/>
          <w:lang w:val="en-GB"/>
        </w:rPr>
        <w:t>.</w:t>
      </w:r>
      <w:r w:rsidR="00C06FE2" w:rsidRPr="00C961A8">
        <w:rPr>
          <w:bCs/>
          <w:lang w:val="en-GB"/>
        </w:rPr>
        <w:t xml:space="preserve"> (Recital 29 of draft request, and Annexes I, II, and III)</w:t>
      </w:r>
      <w:r>
        <w:rPr>
          <w:bCs/>
          <w:lang w:val="en-GB"/>
        </w:rPr>
        <w:t>.</w:t>
      </w:r>
    </w:p>
    <w:p w14:paraId="5C1EB504" w14:textId="3AD57109" w:rsidR="004D59C1" w:rsidRPr="00C961A8" w:rsidRDefault="00C46EE5" w:rsidP="004D59C1">
      <w:pPr>
        <w:pStyle w:val="ListParagraph"/>
        <w:numPr>
          <w:ilvl w:val="3"/>
          <w:numId w:val="8"/>
        </w:numPr>
        <w:ind w:left="426"/>
        <w:rPr>
          <w:bCs/>
          <w:lang w:val="en-GB"/>
        </w:rPr>
      </w:pPr>
      <w:r>
        <w:rPr>
          <w:bCs/>
          <w:lang w:val="en-GB"/>
        </w:rPr>
        <w:t>M</w:t>
      </w:r>
      <w:r w:rsidR="004D59C1" w:rsidRPr="00C961A8">
        <w:rPr>
          <w:bCs/>
          <w:lang w:val="en-GB"/>
        </w:rPr>
        <w:t xml:space="preserve">aking harmonised standards </w:t>
      </w:r>
      <w:r w:rsidR="004D59C1" w:rsidRPr="005B3F2E">
        <w:rPr>
          <w:b/>
          <w:lang w:val="en-GB"/>
        </w:rPr>
        <w:t xml:space="preserve">free of charge for all interested private and public </w:t>
      </w:r>
      <w:r w:rsidR="005B3F2E">
        <w:rPr>
          <w:b/>
          <w:lang w:val="en-GB"/>
        </w:rPr>
        <w:t>players</w:t>
      </w:r>
      <w:r>
        <w:rPr>
          <w:bCs/>
          <w:lang w:val="en-GB"/>
        </w:rPr>
        <w:t>.</w:t>
      </w:r>
      <w:r w:rsidR="004D59C1" w:rsidRPr="00C961A8">
        <w:rPr>
          <w:bCs/>
          <w:lang w:val="en-GB"/>
        </w:rPr>
        <w:t xml:space="preserve"> (Article 4</w:t>
      </w:r>
      <w:r w:rsidR="005B3F2E">
        <w:rPr>
          <w:bCs/>
          <w:lang w:val="en-GB"/>
        </w:rPr>
        <w:t xml:space="preserve">, </w:t>
      </w:r>
      <w:r w:rsidR="004D59C1" w:rsidRPr="00C961A8">
        <w:rPr>
          <w:bCs/>
          <w:lang w:val="en-GB"/>
        </w:rPr>
        <w:t>and Annex IV, Part A, 3)</w:t>
      </w:r>
      <w:r>
        <w:rPr>
          <w:bCs/>
          <w:lang w:val="en-GB"/>
        </w:rPr>
        <w:t>.</w:t>
      </w:r>
    </w:p>
    <w:p w14:paraId="00F162D3" w14:textId="77777777" w:rsidR="00214407" w:rsidRDefault="00C46EE5" w:rsidP="00214407">
      <w:pPr>
        <w:pStyle w:val="ListParagraph"/>
        <w:numPr>
          <w:ilvl w:val="3"/>
          <w:numId w:val="8"/>
        </w:numPr>
        <w:ind w:left="426"/>
        <w:rPr>
          <w:bCs/>
          <w:lang w:val="en-GB"/>
        </w:rPr>
      </w:pPr>
      <w:r w:rsidRPr="005B3F2E">
        <w:rPr>
          <w:b/>
          <w:lang w:val="en-GB"/>
        </w:rPr>
        <w:t>Reinforcing</w:t>
      </w:r>
      <w:r w:rsidR="004D59C1" w:rsidRPr="005B3F2E">
        <w:rPr>
          <w:b/>
          <w:lang w:val="en-GB"/>
        </w:rPr>
        <w:t xml:space="preserve"> interoperability</w:t>
      </w:r>
      <w:r w:rsidR="004D59C1" w:rsidRPr="00C961A8">
        <w:rPr>
          <w:bCs/>
          <w:lang w:val="en-GB"/>
        </w:rPr>
        <w:t xml:space="preserve"> of emergency communication, as well as electronic communication services, throughout the draft standardization</w:t>
      </w:r>
      <w:r w:rsidR="002010BD">
        <w:rPr>
          <w:bCs/>
          <w:lang w:val="en-GB"/>
        </w:rPr>
        <w:t xml:space="preserve"> request</w:t>
      </w:r>
      <w:r w:rsidR="004D59C1" w:rsidRPr="00C961A8">
        <w:rPr>
          <w:bCs/>
          <w:lang w:val="en-GB"/>
        </w:rPr>
        <w:t xml:space="preserve"> and Annexes</w:t>
      </w:r>
      <w:r>
        <w:rPr>
          <w:bCs/>
          <w:lang w:val="en-GB"/>
        </w:rPr>
        <w:t>.</w:t>
      </w:r>
      <w:r w:rsidR="004D59C1" w:rsidRPr="00C961A8">
        <w:rPr>
          <w:bCs/>
          <w:lang w:val="en-GB"/>
        </w:rPr>
        <w:t xml:space="preserve"> (Recitals 8 and 22 of draft request; Annex I, table 1, 3; Annex IV, Part B, 2.3)</w:t>
      </w:r>
      <w:r>
        <w:rPr>
          <w:bCs/>
          <w:lang w:val="en-GB"/>
        </w:rPr>
        <w:t>.</w:t>
      </w:r>
    </w:p>
    <w:p w14:paraId="094AC7E7" w14:textId="1E425855" w:rsidR="00214407" w:rsidRPr="00214407" w:rsidRDefault="00214407" w:rsidP="007D309F">
      <w:pPr>
        <w:pStyle w:val="ListParagraph"/>
        <w:numPr>
          <w:ilvl w:val="3"/>
          <w:numId w:val="8"/>
        </w:numPr>
        <w:ind w:left="426"/>
        <w:rPr>
          <w:bCs/>
          <w:lang w:val="en-GB"/>
        </w:rPr>
      </w:pPr>
      <w:r w:rsidRPr="00214407">
        <w:rPr>
          <w:bCs/>
          <w:lang w:val="en-GB"/>
        </w:rPr>
        <w:t>Expanding the</w:t>
      </w:r>
      <w:r>
        <w:rPr>
          <w:bCs/>
          <w:lang w:val="en-GB"/>
        </w:rPr>
        <w:t xml:space="preserve"> scope of the</w:t>
      </w:r>
      <w:r w:rsidRPr="00214407">
        <w:rPr>
          <w:bCs/>
          <w:lang w:val="en-GB"/>
        </w:rPr>
        <w:t xml:space="preserve"> request</w:t>
      </w:r>
      <w:r>
        <w:rPr>
          <w:bCs/>
          <w:lang w:val="en-GB"/>
        </w:rPr>
        <w:t>ed</w:t>
      </w:r>
      <w:r w:rsidRPr="00214407">
        <w:rPr>
          <w:bCs/>
          <w:lang w:val="en-GB"/>
        </w:rPr>
        <w:t xml:space="preserve"> harmonised standard setting up requirements on the accessibility of non ICT information related to products to </w:t>
      </w:r>
      <w:r w:rsidRPr="00214407">
        <w:rPr>
          <w:b/>
          <w:lang w:val="en-GB"/>
        </w:rPr>
        <w:t>also include services.</w:t>
      </w:r>
      <w:r>
        <w:rPr>
          <w:b/>
          <w:lang w:val="en-GB"/>
        </w:rPr>
        <w:t xml:space="preserve"> </w:t>
      </w:r>
      <w:r>
        <w:rPr>
          <w:bCs/>
          <w:lang w:val="en-GB"/>
        </w:rPr>
        <w:t xml:space="preserve">We further recommend that ‘non ICT’ is paraphrased to ‘non-digital’. </w:t>
      </w:r>
    </w:p>
    <w:p w14:paraId="49D0E680" w14:textId="47C79BD2" w:rsidR="00630D30" w:rsidRPr="00C961A8" w:rsidRDefault="00C46EE5" w:rsidP="00630D30">
      <w:pPr>
        <w:pStyle w:val="ListParagraph"/>
        <w:numPr>
          <w:ilvl w:val="3"/>
          <w:numId w:val="8"/>
        </w:numPr>
        <w:ind w:left="426"/>
        <w:rPr>
          <w:bCs/>
          <w:lang w:val="en-GB"/>
        </w:rPr>
      </w:pPr>
      <w:r>
        <w:rPr>
          <w:rFonts w:cs="Arial"/>
          <w:lang w:val="en-GB"/>
        </w:rPr>
        <w:lastRenderedPageBreak/>
        <w:t>D</w:t>
      </w:r>
      <w:r w:rsidR="004D59C1" w:rsidRPr="00C961A8">
        <w:rPr>
          <w:rFonts w:cs="Arial"/>
          <w:lang w:val="en-GB"/>
        </w:rPr>
        <w:t xml:space="preserve">eveloping </w:t>
      </w:r>
      <w:r w:rsidR="005B3F2E" w:rsidRPr="005B3F2E">
        <w:rPr>
          <w:rFonts w:cs="Arial"/>
          <w:b/>
          <w:bCs/>
          <w:lang w:val="en-GB"/>
        </w:rPr>
        <w:t xml:space="preserve">another </w:t>
      </w:r>
      <w:r w:rsidR="004D59C1" w:rsidRPr="005B3F2E">
        <w:rPr>
          <w:rFonts w:cs="Arial"/>
          <w:b/>
          <w:bCs/>
          <w:lang w:val="en-GB"/>
        </w:rPr>
        <w:t>harmonized standards setting up quality requirements of access services</w:t>
      </w:r>
      <w:r w:rsidRPr="005B3F2E">
        <w:rPr>
          <w:rFonts w:cs="Arial"/>
          <w:b/>
          <w:bCs/>
          <w:lang w:val="en-GB"/>
        </w:rPr>
        <w:t xml:space="preserve"> for audiovisual media services</w:t>
      </w:r>
      <w:r>
        <w:rPr>
          <w:rFonts w:cs="Arial"/>
          <w:lang w:val="en-GB"/>
        </w:rPr>
        <w:t>, namely</w:t>
      </w:r>
      <w:r w:rsidR="004D59C1" w:rsidRPr="00C961A8">
        <w:rPr>
          <w:rFonts w:cs="Arial"/>
          <w:lang w:val="en-GB"/>
        </w:rPr>
        <w:t xml:space="preserve"> subtitles for the deaf and hard of hearing, audio description, spoken subtitles and sign language interpretation</w:t>
      </w:r>
      <w:r>
        <w:rPr>
          <w:rFonts w:cs="Arial"/>
          <w:lang w:val="en-GB"/>
        </w:rPr>
        <w:t xml:space="preserve">. </w:t>
      </w:r>
      <w:r w:rsidR="004D59C1" w:rsidRPr="00C961A8">
        <w:rPr>
          <w:rFonts w:cs="Arial"/>
          <w:lang w:val="en-GB"/>
        </w:rPr>
        <w:t>(Annex I, table 1, 4 new; Annex IV, Part B, 2.4 new)</w:t>
      </w:r>
      <w:r>
        <w:rPr>
          <w:rFonts w:cs="Arial"/>
          <w:lang w:val="en-GB"/>
        </w:rPr>
        <w:t>.</w:t>
      </w:r>
    </w:p>
    <w:p w14:paraId="3256BB86" w14:textId="48F7D1D5" w:rsidR="00630D30" w:rsidRPr="00D842A4" w:rsidRDefault="00C46EE5" w:rsidP="00630D30">
      <w:pPr>
        <w:pStyle w:val="ListParagraph"/>
        <w:numPr>
          <w:ilvl w:val="3"/>
          <w:numId w:val="8"/>
        </w:numPr>
        <w:ind w:left="426"/>
        <w:rPr>
          <w:bCs/>
          <w:lang w:val="en-GB"/>
        </w:rPr>
      </w:pPr>
      <w:r>
        <w:rPr>
          <w:rFonts w:cs="Arial"/>
          <w:lang w:val="en-GB"/>
        </w:rPr>
        <w:t>I</w:t>
      </w:r>
      <w:r w:rsidR="002010BD">
        <w:rPr>
          <w:rFonts w:cs="Arial"/>
          <w:lang w:val="en-GB"/>
        </w:rPr>
        <w:t>ncluding</w:t>
      </w:r>
      <w:r>
        <w:rPr>
          <w:rFonts w:cs="Arial"/>
          <w:lang w:val="en-GB"/>
        </w:rPr>
        <w:t xml:space="preserve"> information about</w:t>
      </w:r>
      <w:r w:rsidR="00630D30" w:rsidRPr="00C961A8">
        <w:rPr>
          <w:rFonts w:cs="Arial"/>
          <w:lang w:val="en-GB"/>
        </w:rPr>
        <w:t xml:space="preserve"> the </w:t>
      </w:r>
      <w:r w:rsidR="00630D30" w:rsidRPr="005B3F2E">
        <w:rPr>
          <w:rFonts w:cs="Arial"/>
          <w:b/>
          <w:bCs/>
          <w:lang w:val="en-GB"/>
        </w:rPr>
        <w:t>accessibility statement</w:t>
      </w:r>
      <w:r>
        <w:rPr>
          <w:rStyle w:val="FootnoteReference"/>
          <w:rFonts w:cs="Arial"/>
          <w:lang w:val="en-GB"/>
        </w:rPr>
        <w:footnoteReference w:id="3"/>
      </w:r>
      <w:r>
        <w:rPr>
          <w:rFonts w:cs="Arial"/>
          <w:lang w:val="en-GB"/>
        </w:rPr>
        <w:t xml:space="preserve"> requested by the Web Accessibility Directive</w:t>
      </w:r>
      <w:r w:rsidR="00630D30" w:rsidRPr="00C961A8">
        <w:rPr>
          <w:rFonts w:cs="Arial"/>
          <w:lang w:val="en-GB"/>
        </w:rPr>
        <w:t xml:space="preserve"> in the EN 301549 </w:t>
      </w:r>
      <w:r>
        <w:rPr>
          <w:rFonts w:cs="Arial"/>
          <w:lang w:val="en-GB"/>
        </w:rPr>
        <w:t>and</w:t>
      </w:r>
      <w:r w:rsidR="00630D30" w:rsidRPr="00C961A8">
        <w:rPr>
          <w:rFonts w:cs="Arial"/>
          <w:lang w:val="en-GB"/>
        </w:rPr>
        <w:t xml:space="preserve"> </w:t>
      </w:r>
      <w:r w:rsidR="001657DF">
        <w:rPr>
          <w:rFonts w:cs="Arial"/>
          <w:lang w:val="en-GB"/>
        </w:rPr>
        <w:t xml:space="preserve">request this information </w:t>
      </w:r>
      <w:r w:rsidR="00630D30" w:rsidRPr="00C961A8">
        <w:rPr>
          <w:rFonts w:cs="Arial"/>
          <w:lang w:val="en-GB"/>
        </w:rPr>
        <w:t>in</w:t>
      </w:r>
      <w:r w:rsidR="001657DF">
        <w:rPr>
          <w:rFonts w:cs="Arial"/>
          <w:lang w:val="en-GB"/>
        </w:rPr>
        <w:t xml:space="preserve"> other relevant harmonised</w:t>
      </w:r>
      <w:r w:rsidR="00630D30" w:rsidRPr="00C961A8">
        <w:rPr>
          <w:rFonts w:cs="Arial"/>
          <w:lang w:val="en-GB"/>
        </w:rPr>
        <w:t xml:space="preserve"> EN</w:t>
      </w:r>
      <w:r w:rsidR="001657DF">
        <w:rPr>
          <w:rFonts w:cs="Arial"/>
          <w:lang w:val="en-GB"/>
        </w:rPr>
        <w:t>s, such as the norm</w:t>
      </w:r>
      <w:r w:rsidR="00630D30" w:rsidRPr="00C961A8">
        <w:rPr>
          <w:rFonts w:cs="Arial"/>
          <w:lang w:val="en-GB"/>
        </w:rPr>
        <w:t xml:space="preserve"> </w:t>
      </w:r>
      <w:r>
        <w:rPr>
          <w:rFonts w:cs="Arial"/>
          <w:lang w:val="en-GB"/>
        </w:rPr>
        <w:t>concerning</w:t>
      </w:r>
      <w:r w:rsidR="00630D30" w:rsidRPr="00C961A8">
        <w:rPr>
          <w:rFonts w:cs="Arial"/>
          <w:lang w:val="en-GB"/>
        </w:rPr>
        <w:t xml:space="preserve"> support services</w:t>
      </w:r>
      <w:r>
        <w:rPr>
          <w:rFonts w:cs="Arial"/>
          <w:lang w:val="en-GB"/>
        </w:rPr>
        <w:t>.</w:t>
      </w:r>
      <w:r w:rsidR="00630D30" w:rsidRPr="00C961A8">
        <w:rPr>
          <w:rFonts w:cs="Arial"/>
          <w:lang w:val="en-GB"/>
        </w:rPr>
        <w:t xml:space="preserve"> (Recital 35 (new) of draft request; Annex IV Part C 2.4</w:t>
      </w:r>
      <w:r>
        <w:rPr>
          <w:rFonts w:cs="Arial"/>
          <w:lang w:val="en-GB"/>
        </w:rPr>
        <w:t>, and Part D</w:t>
      </w:r>
      <w:r w:rsidR="00630D30" w:rsidRPr="00C961A8">
        <w:rPr>
          <w:rFonts w:cs="Arial"/>
          <w:lang w:val="en-GB"/>
        </w:rPr>
        <w:t>).</w:t>
      </w:r>
    </w:p>
    <w:p w14:paraId="7A6F444B" w14:textId="3095B31E" w:rsidR="004E5A59" w:rsidRPr="00C961A8" w:rsidRDefault="004E5A59" w:rsidP="004E5A59">
      <w:pPr>
        <w:pStyle w:val="Heading1"/>
        <w:rPr>
          <w:rFonts w:eastAsia="Times New Roman"/>
          <w:lang w:val="en-GB"/>
        </w:rPr>
      </w:pPr>
      <w:bookmarkStart w:id="5" w:name="_Toc81993520"/>
      <w:r w:rsidRPr="00C961A8">
        <w:rPr>
          <w:rFonts w:eastAsia="Times New Roman"/>
          <w:lang w:val="en-GB"/>
        </w:rPr>
        <w:t>EDF suggested amendments to the Draft Standardisation Request and supporting Annexes</w:t>
      </w:r>
      <w:bookmarkEnd w:id="5"/>
    </w:p>
    <w:p w14:paraId="716A095A" w14:textId="54446AF3" w:rsidR="009630E9" w:rsidRPr="00C961A8" w:rsidRDefault="009630E9" w:rsidP="009630E9">
      <w:pPr>
        <w:pStyle w:val="Heading2"/>
        <w:rPr>
          <w:lang w:val="en-GB"/>
        </w:rPr>
      </w:pPr>
      <w:bookmarkStart w:id="6" w:name="_Toc81993521"/>
      <w:r w:rsidRPr="00C961A8">
        <w:rPr>
          <w:lang w:val="en-GB"/>
        </w:rPr>
        <w:t>Implementing decision – draft standardisation request</w:t>
      </w:r>
      <w:bookmarkEnd w:id="6"/>
      <w:r w:rsidRPr="00C961A8">
        <w:rPr>
          <w:lang w:val="en-GB"/>
        </w:rPr>
        <w:t xml:space="preserve"> </w:t>
      </w:r>
    </w:p>
    <w:p w14:paraId="1E0FE8FE" w14:textId="59BCBBC2" w:rsidR="004E5A59" w:rsidRPr="00C961A8" w:rsidRDefault="004E5A59" w:rsidP="004E5A59">
      <w:pPr>
        <w:pStyle w:val="Heading3"/>
        <w:rPr>
          <w:lang w:val="en-GB"/>
        </w:rPr>
      </w:pPr>
      <w:bookmarkStart w:id="7" w:name="_Recital_8"/>
      <w:bookmarkEnd w:id="7"/>
      <w:r w:rsidRPr="00C961A8">
        <w:rPr>
          <w:lang w:val="en-GB"/>
        </w:rPr>
        <w:t xml:space="preserve">Recital </w:t>
      </w:r>
      <w:r w:rsidR="009630E9" w:rsidRPr="00C961A8">
        <w:rPr>
          <w:lang w:val="en-GB"/>
        </w:rPr>
        <w:t>8</w:t>
      </w:r>
    </w:p>
    <w:tbl>
      <w:tblPr>
        <w:tblStyle w:val="TableGrid"/>
        <w:tblW w:w="10201" w:type="dxa"/>
        <w:tblInd w:w="-572" w:type="dxa"/>
        <w:tblLook w:val="04A0" w:firstRow="1" w:lastRow="0" w:firstColumn="1" w:lastColumn="0" w:noHBand="0" w:noVBand="1"/>
      </w:tblPr>
      <w:tblGrid>
        <w:gridCol w:w="5098"/>
        <w:gridCol w:w="5103"/>
      </w:tblGrid>
      <w:tr w:rsidR="004E5A59" w:rsidRPr="00C961A8" w14:paraId="644463B7" w14:textId="77777777" w:rsidTr="004E5A59">
        <w:tc>
          <w:tcPr>
            <w:tcW w:w="5098" w:type="dxa"/>
            <w:tcBorders>
              <w:top w:val="single" w:sz="4" w:space="0" w:color="auto"/>
              <w:left w:val="single" w:sz="4" w:space="0" w:color="auto"/>
              <w:bottom w:val="single" w:sz="4" w:space="0" w:color="auto"/>
              <w:right w:val="single" w:sz="4" w:space="0" w:color="auto"/>
            </w:tcBorders>
            <w:hideMark/>
          </w:tcPr>
          <w:p w14:paraId="636A0B00" w14:textId="77777777" w:rsidR="004E5A59" w:rsidRPr="00C961A8" w:rsidRDefault="004E5A59">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7634D7B6" w14:textId="77777777" w:rsidR="004E5A59" w:rsidRPr="00C961A8" w:rsidRDefault="004E5A59">
            <w:pPr>
              <w:rPr>
                <w:lang w:val="en-GB"/>
              </w:rPr>
            </w:pPr>
            <w:r w:rsidRPr="00C961A8">
              <w:rPr>
                <w:lang w:val="en-GB"/>
              </w:rPr>
              <w:t>EDF proposed amendments</w:t>
            </w:r>
          </w:p>
        </w:tc>
      </w:tr>
      <w:tr w:rsidR="004E5A59" w:rsidRPr="00C961A8" w14:paraId="1DF1A295" w14:textId="77777777" w:rsidTr="004E5A59">
        <w:tc>
          <w:tcPr>
            <w:tcW w:w="5098" w:type="dxa"/>
            <w:tcBorders>
              <w:top w:val="single" w:sz="4" w:space="0" w:color="auto"/>
              <w:left w:val="single" w:sz="4" w:space="0" w:color="auto"/>
              <w:bottom w:val="single" w:sz="4" w:space="0" w:color="auto"/>
              <w:right w:val="single" w:sz="4" w:space="0" w:color="auto"/>
            </w:tcBorders>
            <w:hideMark/>
          </w:tcPr>
          <w:p w14:paraId="01E154E4" w14:textId="77777777" w:rsidR="009630E9" w:rsidRPr="00C961A8" w:rsidRDefault="009630E9" w:rsidP="009630E9">
            <w:pPr>
              <w:rPr>
                <w:lang w:val="en-GB"/>
              </w:rPr>
            </w:pPr>
            <w:r w:rsidRPr="00C961A8">
              <w:rPr>
                <w:lang w:val="en-GB"/>
              </w:rPr>
              <w:t xml:space="preserve">In accordance with Directive (EU) 2018/1972, Member States are to ensure that access for end-users with disabilities to emergency services is available through emergency communications and is equivalent to that enjoyed by other end-users, in accordance with Union law harmonising accessibility requirements for products and services. Directive (EU) 2019/882 contains accessibility requirements with regard to  emergency communications as well as </w:t>
            </w:r>
            <w:r w:rsidRPr="00C961A8">
              <w:rPr>
                <w:bCs/>
                <w:lang w:val="en-GB"/>
              </w:rPr>
              <w:t xml:space="preserve">answering emergency communications to the single European emergency number ‘112’ </w:t>
            </w:r>
            <w:r w:rsidRPr="00C961A8">
              <w:rPr>
                <w:lang w:val="en-GB"/>
              </w:rPr>
              <w:t xml:space="preserve">in order to ensure equivalent access to emergency services for, and maximise the foreseeable use by, persons with disabilities. </w:t>
            </w:r>
          </w:p>
          <w:p w14:paraId="2EB25466" w14:textId="5859A37A" w:rsidR="004E5A59" w:rsidRPr="00C961A8" w:rsidRDefault="004E5A59">
            <w:pPr>
              <w:rPr>
                <w:lang w:val="en-GB"/>
              </w:rPr>
            </w:pPr>
          </w:p>
        </w:tc>
        <w:tc>
          <w:tcPr>
            <w:tcW w:w="5103" w:type="dxa"/>
            <w:tcBorders>
              <w:top w:val="single" w:sz="4" w:space="0" w:color="auto"/>
              <w:left w:val="single" w:sz="4" w:space="0" w:color="auto"/>
              <w:bottom w:val="single" w:sz="4" w:space="0" w:color="auto"/>
              <w:right w:val="single" w:sz="4" w:space="0" w:color="auto"/>
            </w:tcBorders>
            <w:hideMark/>
          </w:tcPr>
          <w:p w14:paraId="0A5C9CA2" w14:textId="03B0C0BC" w:rsidR="004E5A59" w:rsidRPr="00C961A8" w:rsidRDefault="009630E9">
            <w:pPr>
              <w:rPr>
                <w:lang w:val="en-GB"/>
              </w:rPr>
            </w:pPr>
            <w:r w:rsidRPr="00C961A8">
              <w:rPr>
                <w:lang w:val="en-GB"/>
              </w:rPr>
              <w:t xml:space="preserve">In accordance with Directive (EU) 2018/1972, Member States are to ensure that access for end-users with disabilities to emergency services is available through emergency communications and is equivalent to that enjoyed by other end-users, in accordance with Union law harmonising accessibility requirements for products and services. </w:t>
            </w:r>
            <w:r w:rsidRPr="00C961A8">
              <w:rPr>
                <w:b/>
                <w:bCs/>
                <w:lang w:val="en-GB"/>
              </w:rPr>
              <w:t>Directive (EU) 2018/1972 also requires to ensure interoperability across Member States based, to the greatest extent possible, on European standards or specifications.</w:t>
            </w:r>
            <w:r w:rsidRPr="00C961A8">
              <w:rPr>
                <w:lang w:val="en-GB"/>
              </w:rPr>
              <w:t xml:space="preserve"> Directive (EU) 2019/882 contains accessibility requirements with regard to emergency communications as well as </w:t>
            </w:r>
            <w:r w:rsidRPr="00C961A8">
              <w:rPr>
                <w:bCs/>
                <w:lang w:val="en-GB"/>
              </w:rPr>
              <w:t xml:space="preserve">answering emergency communications to the single European emergency number ‘112’ </w:t>
            </w:r>
            <w:r w:rsidRPr="00C961A8">
              <w:rPr>
                <w:lang w:val="en-GB"/>
              </w:rPr>
              <w:t xml:space="preserve">in order to ensure equivalent access to emergency services for, and maximise the foreseeable </w:t>
            </w:r>
            <w:r w:rsidRPr="00C961A8">
              <w:rPr>
                <w:b/>
                <w:bCs/>
                <w:lang w:val="en-GB"/>
              </w:rPr>
              <w:t xml:space="preserve">and </w:t>
            </w:r>
            <w:r w:rsidRPr="00C961A8">
              <w:rPr>
                <w:b/>
                <w:bCs/>
                <w:lang w:val="en-GB"/>
              </w:rPr>
              <w:lastRenderedPageBreak/>
              <w:t>interoperable</w:t>
            </w:r>
            <w:r w:rsidRPr="00C961A8">
              <w:rPr>
                <w:lang w:val="en-GB"/>
              </w:rPr>
              <w:t xml:space="preserve"> use by, persons with disabilities </w:t>
            </w:r>
            <w:r w:rsidRPr="00C961A8">
              <w:rPr>
                <w:b/>
                <w:bCs/>
                <w:lang w:val="en-GB"/>
              </w:rPr>
              <w:t>across the EU</w:t>
            </w:r>
            <w:r w:rsidRPr="00C961A8">
              <w:rPr>
                <w:lang w:val="en-GB"/>
              </w:rPr>
              <w:t xml:space="preserve">. </w:t>
            </w:r>
          </w:p>
        </w:tc>
      </w:tr>
      <w:tr w:rsidR="004E5A59" w:rsidRPr="00C961A8" w14:paraId="182B711B" w14:textId="77777777" w:rsidTr="009630E9">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59F6FCA7" w14:textId="18C9AED0" w:rsidR="004E5A59" w:rsidRDefault="004E5A59">
            <w:pPr>
              <w:rPr>
                <w:lang w:val="en-GB"/>
              </w:rPr>
            </w:pPr>
            <w:r w:rsidRPr="00C961A8">
              <w:rPr>
                <w:b/>
                <w:bCs/>
                <w:lang w:val="en-GB"/>
              </w:rPr>
              <w:lastRenderedPageBreak/>
              <w:t>Justification</w:t>
            </w:r>
            <w:r w:rsidRPr="00C961A8">
              <w:rPr>
                <w:lang w:val="en-GB"/>
              </w:rPr>
              <w:t>:</w:t>
            </w:r>
          </w:p>
          <w:p w14:paraId="0C441977" w14:textId="2B91A1AE" w:rsidR="00F94378" w:rsidRDefault="00F94378">
            <w:pPr>
              <w:rPr>
                <w:lang w:val="en-GB"/>
              </w:rPr>
            </w:pPr>
          </w:p>
          <w:p w14:paraId="2F49DE00" w14:textId="6A27288D" w:rsidR="00F94378" w:rsidRDefault="00F94378" w:rsidP="00F94378">
            <w:pPr>
              <w:rPr>
                <w:lang w:val="en-GB"/>
              </w:rPr>
            </w:pPr>
            <w:r>
              <w:rPr>
                <w:lang w:val="en-GB"/>
              </w:rPr>
              <w:t>I</w:t>
            </w:r>
            <w:r w:rsidRPr="00F94378">
              <w:rPr>
                <w:lang w:val="en-GB"/>
              </w:rPr>
              <w:t xml:space="preserve">t is important to highlight in the Standardisation Request the crucial aspect of </w:t>
            </w:r>
            <w:r w:rsidRPr="00F94378">
              <w:rPr>
                <w:b/>
                <w:bCs/>
                <w:lang w:val="en-GB"/>
              </w:rPr>
              <w:t>interoperability</w:t>
            </w:r>
            <w:r w:rsidRPr="00F94378">
              <w:rPr>
                <w:lang w:val="en-GB"/>
              </w:rPr>
              <w:t xml:space="preserve"> of emergency communication, as well as electronic communication services, throughout the text. </w:t>
            </w:r>
          </w:p>
          <w:p w14:paraId="15840444" w14:textId="77777777" w:rsidR="00F94378" w:rsidRPr="00F94378" w:rsidRDefault="00F94378" w:rsidP="00F94378">
            <w:pPr>
              <w:rPr>
                <w:lang w:val="en-GB"/>
              </w:rPr>
            </w:pPr>
          </w:p>
          <w:p w14:paraId="0CF45393" w14:textId="04F74D0E" w:rsidR="00F94378" w:rsidRDefault="00F94378" w:rsidP="00F94378">
            <w:pPr>
              <w:rPr>
                <w:lang w:val="en-GB"/>
              </w:rPr>
            </w:pPr>
            <w:r w:rsidRPr="00F94378">
              <w:rPr>
                <w:lang w:val="en-GB"/>
              </w:rPr>
              <w:t>As EECC states by article 109.5 “Member States shall ensure that access for end-users with disabilities to emergency services is available through emergency communications and is equivalent to that enjoyed by other end-users, in accordance with Union law harmonising accessibility requirements for products and services. The Commission and the national regulatory or other competent authorities shall take appropriate measures to ensure that, whilst travelling in another Member State, end-users with disabilities can access emergency services on an equivalent basis with other end-users, where feasible without any pre-registration. Those measures shall seek to ensure interoperability across Member States and shall be based, to the greatest extent possible, on European standards or specifications laid down in accordance with Article 39. Such measures shall not prevent Member States from adopting additional requirements in order to pursue the objectives set out in this Article.”</w:t>
            </w:r>
          </w:p>
          <w:p w14:paraId="1F8499B9" w14:textId="3D0A07FA" w:rsidR="00F94378" w:rsidRDefault="00F94378" w:rsidP="00F94378">
            <w:pPr>
              <w:rPr>
                <w:lang w:val="en-GB"/>
              </w:rPr>
            </w:pPr>
          </w:p>
          <w:p w14:paraId="44E0DD62" w14:textId="04790764" w:rsidR="00F94378" w:rsidRPr="00C961A8" w:rsidRDefault="00CD24C0" w:rsidP="00F94378">
            <w:pPr>
              <w:rPr>
                <w:lang w:val="en-GB"/>
              </w:rPr>
            </w:pPr>
            <w:r>
              <w:rPr>
                <w:lang w:val="en-GB"/>
              </w:rPr>
              <w:t>Therefore,</w:t>
            </w:r>
            <w:r w:rsidR="00F94378">
              <w:rPr>
                <w:lang w:val="en-GB"/>
              </w:rPr>
              <w:t xml:space="preserve"> we made several suggestions in the dr</w:t>
            </w:r>
            <w:r w:rsidR="00F94378" w:rsidRPr="00F94378">
              <w:rPr>
                <w:lang w:val="en-GB"/>
              </w:rPr>
              <w:t>aft implementing decision and Annexes.</w:t>
            </w:r>
          </w:p>
          <w:p w14:paraId="73477A4A" w14:textId="23F962F8" w:rsidR="004E5A59" w:rsidRPr="00C961A8" w:rsidRDefault="004E5A59">
            <w:pPr>
              <w:rPr>
                <w:lang w:val="en-GB"/>
              </w:rPr>
            </w:pPr>
          </w:p>
        </w:tc>
      </w:tr>
    </w:tbl>
    <w:p w14:paraId="090CD7EA" w14:textId="0352ADC5" w:rsidR="009630E9" w:rsidRPr="00C961A8" w:rsidRDefault="009630E9" w:rsidP="009630E9">
      <w:pPr>
        <w:pStyle w:val="Heading3"/>
        <w:rPr>
          <w:lang w:val="en-GB"/>
        </w:rPr>
      </w:pPr>
      <w:r w:rsidRPr="00C961A8">
        <w:rPr>
          <w:lang w:val="en-GB"/>
        </w:rPr>
        <w:t xml:space="preserve">Recital </w:t>
      </w:r>
      <w:r w:rsidR="006551B4" w:rsidRPr="00C961A8">
        <w:rPr>
          <w:lang w:val="en-GB"/>
        </w:rPr>
        <w:t>18</w:t>
      </w:r>
    </w:p>
    <w:tbl>
      <w:tblPr>
        <w:tblStyle w:val="TableGrid"/>
        <w:tblW w:w="10201" w:type="dxa"/>
        <w:tblInd w:w="-572" w:type="dxa"/>
        <w:tblLook w:val="04A0" w:firstRow="1" w:lastRow="0" w:firstColumn="1" w:lastColumn="0" w:noHBand="0" w:noVBand="1"/>
      </w:tblPr>
      <w:tblGrid>
        <w:gridCol w:w="5098"/>
        <w:gridCol w:w="5103"/>
      </w:tblGrid>
      <w:tr w:rsidR="009630E9" w:rsidRPr="00C961A8" w14:paraId="50F187DE"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4CC3F0DE" w14:textId="77777777" w:rsidR="009630E9" w:rsidRPr="00C961A8" w:rsidRDefault="009630E9"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13FC4BB8" w14:textId="77777777" w:rsidR="009630E9" w:rsidRPr="00C961A8" w:rsidRDefault="009630E9" w:rsidP="0086028B">
            <w:pPr>
              <w:rPr>
                <w:lang w:val="en-GB"/>
              </w:rPr>
            </w:pPr>
            <w:r w:rsidRPr="00C961A8">
              <w:rPr>
                <w:lang w:val="en-GB"/>
              </w:rPr>
              <w:t>EDF proposed amendments</w:t>
            </w:r>
          </w:p>
        </w:tc>
      </w:tr>
      <w:tr w:rsidR="006551B4" w:rsidRPr="00C961A8" w14:paraId="46C2BF30"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6A6BD489" w14:textId="0CCF3F0A" w:rsidR="006551B4" w:rsidRPr="00C961A8" w:rsidRDefault="006551B4" w:rsidP="006551B4">
            <w:pPr>
              <w:rPr>
                <w:lang w:val="en-GB"/>
              </w:rPr>
            </w:pPr>
            <w:r w:rsidRPr="00C961A8">
              <w:rPr>
                <w:lang w:val="en-GB"/>
              </w:rPr>
              <w:t>The Commission has already issued a standardisation mandate M/420</w:t>
            </w:r>
            <w:r w:rsidRPr="00C961A8">
              <w:rPr>
                <w:rStyle w:val="FootnoteReference"/>
                <w:lang w:val="en-GB"/>
              </w:rPr>
              <w:footnoteReference w:id="4"/>
            </w:r>
            <w:r w:rsidRPr="00C961A8">
              <w:rPr>
                <w:lang w:val="en-GB"/>
              </w:rPr>
              <w:t xml:space="preserve"> to the European standardisation organisations to develop a European standard specifying the functional accessibility requirements for public procurement in the built environment. To this end, the European standardisation organisations adopted the European standard EN 17210:2021</w:t>
            </w:r>
            <w:r w:rsidRPr="00C961A8">
              <w:rPr>
                <w:rStyle w:val="FootnoteReference"/>
                <w:lang w:val="en-GB"/>
              </w:rPr>
              <w:footnoteReference w:id="5"/>
            </w:r>
            <w:r w:rsidRPr="00C961A8">
              <w:rPr>
                <w:lang w:val="en-GB"/>
              </w:rPr>
              <w:t xml:space="preserve">. The standardisation activities under the current request </w:t>
            </w:r>
            <w:r w:rsidRPr="00C961A8">
              <w:rPr>
                <w:lang w:val="en-GB"/>
              </w:rPr>
              <w:lastRenderedPageBreak/>
              <w:t xml:space="preserve">should be built upon the outcome of the work under the standardisation mandate M/420 and ESOs should try to benefit from the work arrangements established under that mandate. The accessibility levels already established in EN 17210:2021 should be maintained as a minimum for the purpose of this request. </w:t>
            </w:r>
          </w:p>
        </w:tc>
        <w:tc>
          <w:tcPr>
            <w:tcW w:w="5103" w:type="dxa"/>
            <w:tcBorders>
              <w:top w:val="single" w:sz="4" w:space="0" w:color="auto"/>
              <w:left w:val="single" w:sz="4" w:space="0" w:color="auto"/>
              <w:bottom w:val="single" w:sz="4" w:space="0" w:color="auto"/>
              <w:right w:val="single" w:sz="4" w:space="0" w:color="auto"/>
            </w:tcBorders>
            <w:hideMark/>
          </w:tcPr>
          <w:p w14:paraId="45C58D19" w14:textId="7452B431" w:rsidR="006551B4" w:rsidRPr="00C961A8" w:rsidRDefault="006551B4" w:rsidP="006551B4">
            <w:pPr>
              <w:rPr>
                <w:lang w:val="en-GB"/>
              </w:rPr>
            </w:pPr>
            <w:r w:rsidRPr="00C961A8">
              <w:rPr>
                <w:lang w:val="en-GB"/>
              </w:rPr>
              <w:lastRenderedPageBreak/>
              <w:t>The Commission has already issued a standardisation mandate M/420</w:t>
            </w:r>
            <w:r w:rsidRPr="00C961A8">
              <w:rPr>
                <w:rStyle w:val="FootnoteReference"/>
                <w:lang w:val="en-GB"/>
              </w:rPr>
              <w:footnoteReference w:id="6"/>
            </w:r>
            <w:r w:rsidRPr="00C961A8">
              <w:rPr>
                <w:lang w:val="en-GB"/>
              </w:rPr>
              <w:t xml:space="preserve"> to the European standardisation organisations to develop a European standard specifying the functional accessibility requirements for public procurement in the built environment. To this end, the European standardisation organisations adopted the European standard EN 17210:2021</w:t>
            </w:r>
            <w:r w:rsidRPr="00C961A8">
              <w:rPr>
                <w:rStyle w:val="FootnoteReference"/>
                <w:lang w:val="en-GB"/>
              </w:rPr>
              <w:footnoteReference w:id="7"/>
            </w:r>
            <w:r w:rsidRPr="00C961A8">
              <w:rPr>
                <w:lang w:val="en-GB"/>
              </w:rPr>
              <w:t xml:space="preserve">. The standardisation activities under the current request </w:t>
            </w:r>
            <w:r w:rsidRPr="00C961A8">
              <w:rPr>
                <w:lang w:val="en-GB"/>
              </w:rPr>
              <w:lastRenderedPageBreak/>
              <w:t xml:space="preserve">should be built upon the outcome of the work under the standardisation mandate M/420, </w:t>
            </w:r>
            <w:r w:rsidRPr="00C961A8">
              <w:rPr>
                <w:b/>
                <w:bCs/>
                <w:lang w:val="en-GB"/>
              </w:rPr>
              <w:t>as well as relevant international and national technical standards</w:t>
            </w:r>
            <w:r w:rsidRPr="00C961A8">
              <w:rPr>
                <w:lang w:val="en-GB"/>
              </w:rPr>
              <w:t xml:space="preserve"> </w:t>
            </w:r>
            <w:r w:rsidRPr="00C961A8">
              <w:rPr>
                <w:b/>
                <w:bCs/>
                <w:lang w:val="en-GB"/>
              </w:rPr>
              <w:t>to develop technical specifications for accessibility and usability of the built environment</w:t>
            </w:r>
            <w:r w:rsidRPr="00C961A8">
              <w:rPr>
                <w:lang w:val="en-GB"/>
              </w:rPr>
              <w:t xml:space="preserve"> and ESOs should try to benefit from the work arrangements established under that mandate. The accessibility levels already established in EN 17210:2021 should be maintained as a minimum for the purpose of this request. </w:t>
            </w:r>
          </w:p>
        </w:tc>
      </w:tr>
      <w:tr w:rsidR="006551B4" w:rsidRPr="00C961A8" w14:paraId="48F96285"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382D7CBD" w14:textId="4F29B83D" w:rsidR="006551B4" w:rsidRPr="00C961A8" w:rsidRDefault="006551B4" w:rsidP="006551B4">
            <w:pPr>
              <w:rPr>
                <w:lang w:val="en-GB"/>
              </w:rPr>
            </w:pPr>
            <w:r w:rsidRPr="00C961A8">
              <w:rPr>
                <w:b/>
                <w:bCs/>
                <w:lang w:val="en-GB"/>
              </w:rPr>
              <w:lastRenderedPageBreak/>
              <w:t>Justification</w:t>
            </w:r>
            <w:r w:rsidRPr="00C961A8">
              <w:rPr>
                <w:lang w:val="en-GB"/>
              </w:rPr>
              <w:t>:</w:t>
            </w:r>
          </w:p>
          <w:p w14:paraId="0E8DDD7F" w14:textId="77777777" w:rsidR="006551B4" w:rsidRPr="00C961A8" w:rsidRDefault="006551B4" w:rsidP="006551B4">
            <w:pPr>
              <w:rPr>
                <w:lang w:val="en-GB"/>
              </w:rPr>
            </w:pPr>
          </w:p>
          <w:p w14:paraId="270F1BA1" w14:textId="30E4219A" w:rsidR="006551B4" w:rsidRPr="00C961A8" w:rsidRDefault="006551B4" w:rsidP="006551B4">
            <w:pPr>
              <w:rPr>
                <w:lang w:val="en-GB"/>
              </w:rPr>
            </w:pPr>
            <w:r w:rsidRPr="00C961A8">
              <w:rPr>
                <w:lang w:val="en-GB"/>
              </w:rPr>
              <w:t>EDF has always been in support of having a technical standard for accessibility and usability of the built environment</w:t>
            </w:r>
            <w:r w:rsidR="00EA29EB">
              <w:rPr>
                <w:lang w:val="en-GB"/>
              </w:rPr>
              <w:t xml:space="preserve"> with technical (not functional) accessibility requirements which are testable</w:t>
            </w:r>
            <w:r w:rsidRPr="00C961A8">
              <w:rPr>
                <w:lang w:val="en-GB"/>
              </w:rPr>
              <w:t>.</w:t>
            </w:r>
            <w:r w:rsidR="00CD24C0">
              <w:rPr>
                <w:lang w:val="en-GB"/>
              </w:rPr>
              <w:t xml:space="preserve"> Such a standard would support </w:t>
            </w:r>
            <w:r w:rsidR="00EA29EB">
              <w:rPr>
                <w:lang w:val="en-GB"/>
              </w:rPr>
              <w:t>a</w:t>
            </w:r>
            <w:r w:rsidR="00CD24C0">
              <w:rPr>
                <w:lang w:val="en-GB"/>
              </w:rPr>
              <w:t xml:space="preserve"> </w:t>
            </w:r>
            <w:r w:rsidR="00EA29EB">
              <w:rPr>
                <w:lang w:val="en-GB"/>
              </w:rPr>
              <w:t xml:space="preserve">common </w:t>
            </w:r>
            <w:r w:rsidR="00CD24C0">
              <w:rPr>
                <w:lang w:val="en-GB"/>
              </w:rPr>
              <w:t>level of harmonisation of accessibility throughout the EU.</w:t>
            </w:r>
            <w:r w:rsidRPr="00C961A8">
              <w:rPr>
                <w:lang w:val="en-GB"/>
              </w:rPr>
              <w:t xml:space="preserve"> </w:t>
            </w:r>
            <w:proofErr w:type="spellStart"/>
            <w:r w:rsidRPr="00C961A8">
              <w:rPr>
                <w:lang w:val="en-GB"/>
              </w:rPr>
              <w:t>FprCEN</w:t>
            </w:r>
            <w:proofErr w:type="spellEnd"/>
            <w:r w:rsidRPr="00C961A8">
              <w:rPr>
                <w:lang w:val="en-GB"/>
              </w:rPr>
              <w:t xml:space="preserve">/TR 17621 covering technical performance criteria and specifications, relevant national standards, and </w:t>
            </w:r>
            <w:hyperlink r:id="rId13" w:history="1">
              <w:r w:rsidRPr="00C961A8">
                <w:rPr>
                  <w:rStyle w:val="Hyperlink"/>
                  <w:lang w:val="en-GB"/>
                </w:rPr>
                <w:t>ISO 21542:2021</w:t>
              </w:r>
              <w:r w:rsidR="00B77020" w:rsidRPr="00C961A8">
                <w:rPr>
                  <w:rStyle w:val="Hyperlink"/>
                  <w:lang w:val="en-GB"/>
                </w:rPr>
                <w:t xml:space="preserve"> </w:t>
              </w:r>
              <w:r w:rsidRPr="00C961A8">
                <w:rPr>
                  <w:rStyle w:val="Hyperlink"/>
                  <w:lang w:val="en-GB"/>
                </w:rPr>
                <w:t>Building construction — Accessibility and usability of the built environment</w:t>
              </w:r>
            </w:hyperlink>
            <w:r w:rsidR="00B77020" w:rsidRPr="00C961A8">
              <w:rPr>
                <w:lang w:val="en-GB"/>
              </w:rPr>
              <w:t xml:space="preserve"> provide solid basis for a European technical standard on accessibility and usability of the built environment harmonised for the EAA.</w:t>
            </w:r>
          </w:p>
          <w:p w14:paraId="44173281" w14:textId="77777777" w:rsidR="006551B4" w:rsidRPr="00C961A8" w:rsidRDefault="006551B4" w:rsidP="006551B4">
            <w:pPr>
              <w:rPr>
                <w:lang w:val="en-GB"/>
              </w:rPr>
            </w:pPr>
          </w:p>
        </w:tc>
      </w:tr>
    </w:tbl>
    <w:p w14:paraId="2245521F" w14:textId="231D664E" w:rsidR="009630E9" w:rsidRPr="00C961A8" w:rsidRDefault="009630E9" w:rsidP="009630E9">
      <w:pPr>
        <w:pStyle w:val="Heading3"/>
        <w:rPr>
          <w:lang w:val="en-GB"/>
        </w:rPr>
      </w:pPr>
      <w:r w:rsidRPr="00C961A8">
        <w:rPr>
          <w:lang w:val="en-GB"/>
        </w:rPr>
        <w:t xml:space="preserve">Recital </w:t>
      </w:r>
      <w:r w:rsidR="00B77020" w:rsidRPr="00C961A8">
        <w:rPr>
          <w:lang w:val="en-GB"/>
        </w:rPr>
        <w:t>22</w:t>
      </w:r>
    </w:p>
    <w:tbl>
      <w:tblPr>
        <w:tblStyle w:val="TableGrid"/>
        <w:tblW w:w="10201" w:type="dxa"/>
        <w:tblInd w:w="-572" w:type="dxa"/>
        <w:tblLook w:val="04A0" w:firstRow="1" w:lastRow="0" w:firstColumn="1" w:lastColumn="0" w:noHBand="0" w:noVBand="1"/>
      </w:tblPr>
      <w:tblGrid>
        <w:gridCol w:w="5098"/>
        <w:gridCol w:w="5103"/>
      </w:tblGrid>
      <w:tr w:rsidR="009630E9" w:rsidRPr="00C961A8" w14:paraId="3B645AFD"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586C45E1" w14:textId="77777777" w:rsidR="009630E9" w:rsidRPr="00C961A8" w:rsidRDefault="009630E9"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4CC1A1AD" w14:textId="77777777" w:rsidR="009630E9" w:rsidRPr="00C961A8" w:rsidRDefault="009630E9" w:rsidP="0086028B">
            <w:pPr>
              <w:rPr>
                <w:lang w:val="en-GB"/>
              </w:rPr>
            </w:pPr>
            <w:r w:rsidRPr="00C961A8">
              <w:rPr>
                <w:lang w:val="en-GB"/>
              </w:rPr>
              <w:t>EDF proposed amendments</w:t>
            </w:r>
          </w:p>
        </w:tc>
      </w:tr>
      <w:tr w:rsidR="009630E9" w:rsidRPr="00C961A8" w14:paraId="4FD10524"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6561460E" w14:textId="7A8136A7" w:rsidR="009630E9" w:rsidRPr="00C961A8" w:rsidRDefault="00B77020" w:rsidP="0086028B">
            <w:pPr>
              <w:rPr>
                <w:lang w:val="en-GB"/>
              </w:rPr>
            </w:pPr>
            <w:r w:rsidRPr="00C961A8">
              <w:rPr>
                <w:lang w:val="en-GB"/>
              </w:rPr>
              <w:t xml:space="preserve">In accordance with Directive (EU) 2019/882 the accessibility requirements are to be interpreted and applied in such a way as to take into account the state of the art and current practice at the time of design and production of products and provision of services, including the built environment where the services under the scope of that Directive are provided, the emergency communications and the </w:t>
            </w:r>
            <w:r w:rsidRPr="00C961A8">
              <w:rPr>
                <w:bCs/>
                <w:lang w:val="en-GB"/>
              </w:rPr>
              <w:t>answering of emergency communications to the single European emergency number ‘112’</w:t>
            </w:r>
            <w:r w:rsidRPr="00C961A8">
              <w:rPr>
                <w:lang w:val="en-GB"/>
              </w:rPr>
              <w:t xml:space="preserve"> for persons with disabilities throughout the Union, as well as technical and economic considerations which are consistent with a high degree of accessibility. This apply similarly to relevant obligations set out in Union acts other than Directive (EU) </w:t>
            </w:r>
            <w:r w:rsidRPr="00C961A8">
              <w:rPr>
                <w:lang w:val="en-GB"/>
              </w:rPr>
              <w:lastRenderedPageBreak/>
              <w:t>2019/882, as regards accessibility requirements.</w:t>
            </w:r>
          </w:p>
        </w:tc>
        <w:tc>
          <w:tcPr>
            <w:tcW w:w="5103" w:type="dxa"/>
            <w:tcBorders>
              <w:top w:val="single" w:sz="4" w:space="0" w:color="auto"/>
              <w:left w:val="single" w:sz="4" w:space="0" w:color="auto"/>
              <w:bottom w:val="single" w:sz="4" w:space="0" w:color="auto"/>
              <w:right w:val="single" w:sz="4" w:space="0" w:color="auto"/>
            </w:tcBorders>
            <w:hideMark/>
          </w:tcPr>
          <w:p w14:paraId="5FC97D19" w14:textId="182B3ABA" w:rsidR="009630E9" w:rsidRPr="00C961A8" w:rsidRDefault="00B77020" w:rsidP="0086028B">
            <w:pPr>
              <w:rPr>
                <w:lang w:val="en-GB"/>
              </w:rPr>
            </w:pPr>
            <w:r w:rsidRPr="00C961A8">
              <w:rPr>
                <w:lang w:val="en-GB"/>
              </w:rPr>
              <w:lastRenderedPageBreak/>
              <w:t xml:space="preserve">In accordance with Directive (EU) 2019/882 the accessibility requirements are to be interpreted and applied in such a way as to take into account the state of the art and current practice at the time of design and production of products and provision of services, including the built environment where the services under the scope of that Directive are provided, the emergency communications and the </w:t>
            </w:r>
            <w:r w:rsidRPr="00C961A8">
              <w:rPr>
                <w:bCs/>
                <w:lang w:val="en-GB"/>
              </w:rPr>
              <w:t>answering of emergency communications to the single European emergency number ‘112’</w:t>
            </w:r>
            <w:r w:rsidRPr="00C961A8">
              <w:rPr>
                <w:lang w:val="en-GB"/>
              </w:rPr>
              <w:t xml:space="preserve"> for persons with disabilities </w:t>
            </w:r>
            <w:r w:rsidRPr="00C961A8">
              <w:rPr>
                <w:b/>
                <w:bCs/>
                <w:lang w:val="en-GB"/>
              </w:rPr>
              <w:t>in an interoperable manner</w:t>
            </w:r>
            <w:r w:rsidRPr="00C961A8">
              <w:rPr>
                <w:lang w:val="en-GB"/>
              </w:rPr>
              <w:t xml:space="preserve"> throughout the Union, as well as technical and economic considerations which are consistent with a high degree of accessibility. This apply similarly to relevant obligations set out in Union acts other than Directive (EU) </w:t>
            </w:r>
            <w:r w:rsidRPr="00C961A8">
              <w:rPr>
                <w:lang w:val="en-GB"/>
              </w:rPr>
              <w:lastRenderedPageBreak/>
              <w:t>2019/882, as regards accessibility requirements.</w:t>
            </w:r>
          </w:p>
        </w:tc>
      </w:tr>
      <w:tr w:rsidR="009630E9" w:rsidRPr="00C961A8" w14:paraId="62181DED"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20BF26D9" w14:textId="0E5C07A8" w:rsidR="009630E9" w:rsidRDefault="009630E9" w:rsidP="0086028B">
            <w:pPr>
              <w:rPr>
                <w:lang w:val="en-GB"/>
              </w:rPr>
            </w:pPr>
            <w:r w:rsidRPr="00C961A8">
              <w:rPr>
                <w:b/>
                <w:bCs/>
                <w:lang w:val="en-GB"/>
              </w:rPr>
              <w:lastRenderedPageBreak/>
              <w:t>Justification</w:t>
            </w:r>
            <w:r w:rsidRPr="00C961A8">
              <w:rPr>
                <w:lang w:val="en-GB"/>
              </w:rPr>
              <w:t>:</w:t>
            </w:r>
          </w:p>
          <w:p w14:paraId="7B9E7D73" w14:textId="0A3F9CEE" w:rsidR="00F94378" w:rsidRDefault="00F94378" w:rsidP="0086028B">
            <w:pPr>
              <w:rPr>
                <w:lang w:val="en-GB"/>
              </w:rPr>
            </w:pPr>
          </w:p>
          <w:p w14:paraId="457400CC" w14:textId="4A4E10E3" w:rsidR="00F94378" w:rsidRDefault="00F94378" w:rsidP="0086028B">
            <w:pPr>
              <w:rPr>
                <w:lang w:val="en-GB"/>
              </w:rPr>
            </w:pPr>
            <w:r>
              <w:rPr>
                <w:lang w:val="en-GB"/>
              </w:rPr>
              <w:t xml:space="preserve">Same justification as for </w:t>
            </w:r>
            <w:hyperlink w:anchor="_Recital_8" w:history="1">
              <w:r w:rsidRPr="00F94378">
                <w:rPr>
                  <w:rStyle w:val="Hyperlink"/>
                  <w:lang w:val="en-GB"/>
                </w:rPr>
                <w:t>recital 8</w:t>
              </w:r>
            </w:hyperlink>
            <w:r>
              <w:rPr>
                <w:lang w:val="en-GB"/>
              </w:rPr>
              <w:t xml:space="preserve"> of draft request. </w:t>
            </w:r>
          </w:p>
          <w:p w14:paraId="656782F7" w14:textId="77777777" w:rsidR="00F94378" w:rsidRPr="00C961A8" w:rsidRDefault="00F94378" w:rsidP="0086028B">
            <w:pPr>
              <w:rPr>
                <w:lang w:val="en-GB"/>
              </w:rPr>
            </w:pPr>
          </w:p>
          <w:p w14:paraId="60421478" w14:textId="77777777" w:rsidR="009630E9" w:rsidRPr="00C961A8" w:rsidRDefault="009630E9" w:rsidP="0086028B">
            <w:pPr>
              <w:rPr>
                <w:lang w:val="en-GB"/>
              </w:rPr>
            </w:pPr>
          </w:p>
        </w:tc>
      </w:tr>
    </w:tbl>
    <w:p w14:paraId="5241013C" w14:textId="44459D7E" w:rsidR="009630E9" w:rsidRPr="00C961A8" w:rsidRDefault="009630E9" w:rsidP="009630E9">
      <w:pPr>
        <w:pStyle w:val="Heading3"/>
        <w:rPr>
          <w:lang w:val="en-GB"/>
        </w:rPr>
      </w:pPr>
      <w:bookmarkStart w:id="8" w:name="_Recital_27"/>
      <w:bookmarkEnd w:id="8"/>
      <w:r w:rsidRPr="00C961A8">
        <w:rPr>
          <w:lang w:val="en-GB"/>
        </w:rPr>
        <w:t xml:space="preserve">Recital </w:t>
      </w:r>
      <w:r w:rsidR="00B77020" w:rsidRPr="00C961A8">
        <w:rPr>
          <w:lang w:val="en-GB"/>
        </w:rPr>
        <w:t>27</w:t>
      </w:r>
    </w:p>
    <w:tbl>
      <w:tblPr>
        <w:tblStyle w:val="TableGrid"/>
        <w:tblW w:w="10201" w:type="dxa"/>
        <w:tblInd w:w="-572" w:type="dxa"/>
        <w:tblLook w:val="04A0" w:firstRow="1" w:lastRow="0" w:firstColumn="1" w:lastColumn="0" w:noHBand="0" w:noVBand="1"/>
      </w:tblPr>
      <w:tblGrid>
        <w:gridCol w:w="5098"/>
        <w:gridCol w:w="5103"/>
      </w:tblGrid>
      <w:tr w:rsidR="009630E9" w:rsidRPr="00C961A8" w14:paraId="434F3575"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22D94978" w14:textId="77777777" w:rsidR="009630E9" w:rsidRPr="00C961A8" w:rsidRDefault="009630E9"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04E43EF0" w14:textId="77777777" w:rsidR="009630E9" w:rsidRPr="00C961A8" w:rsidRDefault="009630E9" w:rsidP="0086028B">
            <w:pPr>
              <w:rPr>
                <w:lang w:val="en-GB"/>
              </w:rPr>
            </w:pPr>
            <w:r w:rsidRPr="00C961A8">
              <w:rPr>
                <w:lang w:val="en-GB"/>
              </w:rPr>
              <w:t>EDF proposed amendments</w:t>
            </w:r>
          </w:p>
        </w:tc>
      </w:tr>
      <w:tr w:rsidR="009630E9" w:rsidRPr="00C961A8" w14:paraId="7305471A" w14:textId="77777777" w:rsidTr="00B77020">
        <w:tc>
          <w:tcPr>
            <w:tcW w:w="5098" w:type="dxa"/>
            <w:tcBorders>
              <w:top w:val="single" w:sz="4" w:space="0" w:color="auto"/>
              <w:left w:val="single" w:sz="4" w:space="0" w:color="auto"/>
              <w:bottom w:val="single" w:sz="4" w:space="0" w:color="auto"/>
              <w:right w:val="single" w:sz="4" w:space="0" w:color="auto"/>
            </w:tcBorders>
            <w:hideMark/>
          </w:tcPr>
          <w:p w14:paraId="585FBD5A" w14:textId="670F8B4F" w:rsidR="009630E9" w:rsidRPr="00C961A8" w:rsidRDefault="00B77020" w:rsidP="0086028B">
            <w:pPr>
              <w:rPr>
                <w:lang w:val="en-GB"/>
              </w:rPr>
            </w:pPr>
            <w:r w:rsidRPr="00C961A8">
              <w:rPr>
                <w:lang w:val="en-GB"/>
              </w:rPr>
              <w:t xml:space="preserve">With a view to establishing, in the most efficient way, harmonised standards and technical specifications that meet the accessibility requirements of Directive (EU) 2019/882 and Directive (EU) 2016/2102, the Commission should involve European umbrella organisations of persons with disabilities and all other relevant stakeholders in the drafting process. The process itself needs to satisfy accessibility requirements including in relation to its means of communication, meetings, including venues and documents. </w:t>
            </w:r>
          </w:p>
        </w:tc>
        <w:tc>
          <w:tcPr>
            <w:tcW w:w="5103" w:type="dxa"/>
            <w:tcBorders>
              <w:top w:val="single" w:sz="4" w:space="0" w:color="auto"/>
              <w:left w:val="single" w:sz="4" w:space="0" w:color="auto"/>
              <w:bottom w:val="single" w:sz="4" w:space="0" w:color="auto"/>
              <w:right w:val="single" w:sz="4" w:space="0" w:color="auto"/>
            </w:tcBorders>
          </w:tcPr>
          <w:p w14:paraId="4F6088CB" w14:textId="511A4A1E" w:rsidR="00B77020" w:rsidRPr="00C961A8" w:rsidRDefault="00B77020" w:rsidP="00B77020">
            <w:pPr>
              <w:rPr>
                <w:lang w:val="en-GB"/>
              </w:rPr>
            </w:pPr>
            <w:r w:rsidRPr="00C961A8">
              <w:rPr>
                <w:lang w:val="en-GB"/>
              </w:rPr>
              <w:t xml:space="preserve">With a view to establishing, in the most efficient way, harmonised standards and technical specifications that meet the accessibility requirements of Directive (EU) 2019/882 and Directive (EU) 2016/2102, the Commission </w:t>
            </w:r>
            <w:r w:rsidRPr="00C961A8">
              <w:rPr>
                <w:b/>
                <w:bCs/>
                <w:lang w:val="en-GB"/>
              </w:rPr>
              <w:t>and the Standardisation Organisations</w:t>
            </w:r>
            <w:r w:rsidRPr="00C961A8">
              <w:rPr>
                <w:lang w:val="en-GB"/>
              </w:rPr>
              <w:t xml:space="preserve"> should involve European umbrella organisations of persons with disabilities and all other relevant stakeholders in the drafting process </w:t>
            </w:r>
            <w:r w:rsidRPr="00C961A8">
              <w:rPr>
                <w:b/>
                <w:bCs/>
                <w:lang w:val="en-GB"/>
              </w:rPr>
              <w:t>on equal footing among them</w:t>
            </w:r>
            <w:r w:rsidRPr="00C961A8">
              <w:rPr>
                <w:lang w:val="en-GB"/>
              </w:rPr>
              <w:t xml:space="preserve">. The process itself needs to satisfy accessibility requirements including in relation to its means of communication, meetings, including venues and documents. </w:t>
            </w:r>
            <w:r w:rsidRPr="00C961A8">
              <w:rPr>
                <w:b/>
                <w:bCs/>
                <w:lang w:val="en-GB"/>
              </w:rPr>
              <w:t xml:space="preserve">The European Standards Organisations </w:t>
            </w:r>
            <w:r w:rsidR="00210A69">
              <w:rPr>
                <w:b/>
                <w:bCs/>
                <w:lang w:val="en-GB"/>
              </w:rPr>
              <w:t>should</w:t>
            </w:r>
            <w:r w:rsidRPr="00C961A8">
              <w:rPr>
                <w:b/>
                <w:bCs/>
                <w:lang w:val="en-GB"/>
              </w:rPr>
              <w:t xml:space="preserve"> provide additional reasonable accommodation to representatives with disabilities when necessary. The Technical Committees to undertake the standardisation developments should have clear Terms of Reference.</w:t>
            </w:r>
          </w:p>
          <w:p w14:paraId="6BF00BE5" w14:textId="5A603874" w:rsidR="009630E9" w:rsidRPr="00C961A8" w:rsidRDefault="009630E9" w:rsidP="0086028B">
            <w:pPr>
              <w:rPr>
                <w:lang w:val="en-GB"/>
              </w:rPr>
            </w:pPr>
          </w:p>
        </w:tc>
      </w:tr>
      <w:tr w:rsidR="009630E9" w:rsidRPr="00C961A8" w14:paraId="10A82632"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2C85947A" w14:textId="725D7F5F" w:rsidR="009630E9" w:rsidRDefault="009630E9" w:rsidP="0086028B">
            <w:pPr>
              <w:rPr>
                <w:lang w:val="en-GB"/>
              </w:rPr>
            </w:pPr>
            <w:r w:rsidRPr="00C961A8">
              <w:rPr>
                <w:b/>
                <w:bCs/>
                <w:lang w:val="en-GB"/>
              </w:rPr>
              <w:t>Justification</w:t>
            </w:r>
            <w:r w:rsidRPr="00C961A8">
              <w:rPr>
                <w:lang w:val="en-GB"/>
              </w:rPr>
              <w:t>:</w:t>
            </w:r>
          </w:p>
          <w:p w14:paraId="07EC49C4" w14:textId="0ED68733" w:rsidR="00CD24C0" w:rsidRDefault="00CD24C0" w:rsidP="0086028B">
            <w:pPr>
              <w:rPr>
                <w:lang w:val="en-GB"/>
              </w:rPr>
            </w:pPr>
          </w:p>
          <w:p w14:paraId="570D5C55" w14:textId="217AEAE6" w:rsidR="00CD24C0" w:rsidRDefault="00CD24C0" w:rsidP="0086028B">
            <w:pPr>
              <w:rPr>
                <w:rFonts w:cs="Arial"/>
              </w:rPr>
            </w:pPr>
            <w:r>
              <w:rPr>
                <w:rFonts w:cs="Arial"/>
              </w:rPr>
              <w:t xml:space="preserve">We welcome the European Commission’s aim to involve European umbrella </w:t>
            </w:r>
            <w:r w:rsidR="004D59F6">
              <w:rPr>
                <w:rFonts w:cs="Arial"/>
              </w:rPr>
              <w:t>organizations</w:t>
            </w:r>
            <w:r>
              <w:rPr>
                <w:rFonts w:cs="Arial"/>
              </w:rPr>
              <w:t xml:space="preserve"> of persons with disabilities and all other relevant stakeholders in the drafting process. This approach should be adopted by </w:t>
            </w:r>
            <w:r w:rsidR="004D59F6">
              <w:rPr>
                <w:rFonts w:cs="Arial"/>
              </w:rPr>
              <w:t>national</w:t>
            </w:r>
            <w:r>
              <w:rPr>
                <w:rFonts w:cs="Arial"/>
              </w:rPr>
              <w:t xml:space="preserve"> Standardization Organizations as well, including their mirror committees. Accessibility of the processes, documents, meetings, should be ensured, and when necessary reasonable accommodation should be provided so that persons with disabilities can equally participate in the process.</w:t>
            </w:r>
          </w:p>
          <w:p w14:paraId="63E214C8" w14:textId="73441E36" w:rsidR="00CD24C0" w:rsidRDefault="00CD24C0" w:rsidP="0086028B">
            <w:pPr>
              <w:rPr>
                <w:lang w:val="en-GB"/>
              </w:rPr>
            </w:pPr>
          </w:p>
          <w:p w14:paraId="1747EA7E" w14:textId="72A09635" w:rsidR="00CD24C0" w:rsidRDefault="00CD24C0" w:rsidP="0086028B">
            <w:pPr>
              <w:rPr>
                <w:rFonts w:cs="Arial"/>
              </w:rPr>
            </w:pPr>
            <w:r>
              <w:rPr>
                <w:rFonts w:cs="Arial"/>
              </w:rPr>
              <w:t xml:space="preserve">We also strongly advise having clear terms of reference for the technical committees responsible for </w:t>
            </w:r>
            <w:r w:rsidR="004D59F6">
              <w:rPr>
                <w:rFonts w:cs="Arial"/>
              </w:rPr>
              <w:t>standardization</w:t>
            </w:r>
            <w:r>
              <w:rPr>
                <w:rFonts w:cs="Arial"/>
              </w:rPr>
              <w:t xml:space="preserve"> for EAA. This will </w:t>
            </w:r>
            <w:r w:rsidR="004D59F6">
              <w:rPr>
                <w:rFonts w:cs="Arial"/>
              </w:rPr>
              <w:t>avoid</w:t>
            </w:r>
            <w:r>
              <w:rPr>
                <w:rFonts w:cs="Arial"/>
              </w:rPr>
              <w:t xml:space="preserve"> </w:t>
            </w:r>
            <w:r>
              <w:rPr>
                <w:rFonts w:cs="Arial"/>
              </w:rPr>
              <w:lastRenderedPageBreak/>
              <w:t>misunderstanding of roles</w:t>
            </w:r>
            <w:r w:rsidR="004D59F6">
              <w:rPr>
                <w:rFonts w:cs="Arial"/>
              </w:rPr>
              <w:t xml:space="preserve"> and decision-making,</w:t>
            </w:r>
            <w:r>
              <w:rPr>
                <w:rFonts w:cs="Arial"/>
              </w:rPr>
              <w:t xml:space="preserve"> and generally contribute to a more collaborative, transparent and inclusive standardi</w:t>
            </w:r>
            <w:r w:rsidR="004D59F6">
              <w:rPr>
                <w:rFonts w:cs="Arial"/>
              </w:rPr>
              <w:t>z</w:t>
            </w:r>
            <w:r>
              <w:rPr>
                <w:rFonts w:cs="Arial"/>
              </w:rPr>
              <w:t>ation process.</w:t>
            </w:r>
          </w:p>
          <w:p w14:paraId="3E2707F6" w14:textId="7A694CD8" w:rsidR="003B1837" w:rsidRDefault="003B1837" w:rsidP="0086028B">
            <w:pPr>
              <w:rPr>
                <w:lang w:val="en-GB"/>
              </w:rPr>
            </w:pPr>
          </w:p>
          <w:p w14:paraId="34B5EA90" w14:textId="69B50C01" w:rsidR="003B1837" w:rsidRPr="003B1837" w:rsidRDefault="003B1837" w:rsidP="0086028B">
            <w:pPr>
              <w:rPr>
                <w:lang w:val="en-GB"/>
              </w:rPr>
            </w:pPr>
            <w:r>
              <w:rPr>
                <w:lang w:val="en-GB"/>
              </w:rPr>
              <w:t xml:space="preserve">See article </w:t>
            </w:r>
            <w:hyperlink w:anchor="_Article_2" w:history="1">
              <w:r w:rsidRPr="003B1837">
                <w:rPr>
                  <w:rStyle w:val="Hyperlink"/>
                  <w:lang w:val="en-GB"/>
                </w:rPr>
                <w:t>2.4 and 2.5 (new) of draft request</w:t>
              </w:r>
            </w:hyperlink>
            <w:r>
              <w:rPr>
                <w:lang w:val="en-GB"/>
              </w:rPr>
              <w:t xml:space="preserve"> for further suggestions. </w:t>
            </w:r>
          </w:p>
          <w:p w14:paraId="1B9DD2AE" w14:textId="77777777" w:rsidR="009630E9" w:rsidRPr="00C961A8" w:rsidRDefault="009630E9" w:rsidP="0086028B">
            <w:pPr>
              <w:rPr>
                <w:lang w:val="en-GB"/>
              </w:rPr>
            </w:pPr>
          </w:p>
        </w:tc>
      </w:tr>
    </w:tbl>
    <w:p w14:paraId="11D7B072" w14:textId="02D0EAA7" w:rsidR="00B77020" w:rsidRPr="00C961A8" w:rsidRDefault="00B77020" w:rsidP="00B77020">
      <w:pPr>
        <w:pStyle w:val="Heading3"/>
        <w:rPr>
          <w:lang w:val="en-GB"/>
        </w:rPr>
      </w:pPr>
      <w:r w:rsidRPr="00C961A8">
        <w:rPr>
          <w:lang w:val="en-GB"/>
        </w:rPr>
        <w:lastRenderedPageBreak/>
        <w:t>Recital 29</w:t>
      </w:r>
    </w:p>
    <w:tbl>
      <w:tblPr>
        <w:tblStyle w:val="TableGrid"/>
        <w:tblW w:w="10201" w:type="dxa"/>
        <w:tblInd w:w="-572" w:type="dxa"/>
        <w:tblLook w:val="04A0" w:firstRow="1" w:lastRow="0" w:firstColumn="1" w:lastColumn="0" w:noHBand="0" w:noVBand="1"/>
      </w:tblPr>
      <w:tblGrid>
        <w:gridCol w:w="5098"/>
        <w:gridCol w:w="5103"/>
      </w:tblGrid>
      <w:tr w:rsidR="00B77020" w:rsidRPr="00C961A8" w14:paraId="1DA4D413"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1A98ADCE" w14:textId="77777777" w:rsidR="00B77020" w:rsidRPr="00C961A8" w:rsidRDefault="00B77020"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6E5067A3" w14:textId="77777777" w:rsidR="00B77020" w:rsidRPr="00C961A8" w:rsidRDefault="00B77020" w:rsidP="0086028B">
            <w:pPr>
              <w:rPr>
                <w:lang w:val="en-GB"/>
              </w:rPr>
            </w:pPr>
            <w:r w:rsidRPr="00C961A8">
              <w:rPr>
                <w:lang w:val="en-GB"/>
              </w:rPr>
              <w:t>EDF proposed amendments</w:t>
            </w:r>
          </w:p>
        </w:tc>
      </w:tr>
      <w:tr w:rsidR="00B77020" w:rsidRPr="00C961A8" w14:paraId="74B78FDA" w14:textId="77777777" w:rsidTr="00B77020">
        <w:tc>
          <w:tcPr>
            <w:tcW w:w="5098" w:type="dxa"/>
            <w:tcBorders>
              <w:top w:val="single" w:sz="4" w:space="0" w:color="auto"/>
              <w:left w:val="single" w:sz="4" w:space="0" w:color="auto"/>
              <w:bottom w:val="single" w:sz="4" w:space="0" w:color="auto"/>
              <w:right w:val="single" w:sz="4" w:space="0" w:color="auto"/>
            </w:tcBorders>
          </w:tcPr>
          <w:p w14:paraId="56BB4DF6" w14:textId="77777777" w:rsidR="00B77020" w:rsidRPr="00C961A8" w:rsidRDefault="00B77020" w:rsidP="00B77020">
            <w:pPr>
              <w:rPr>
                <w:lang w:val="en-GB"/>
              </w:rPr>
            </w:pPr>
            <w:r w:rsidRPr="00C961A8">
              <w:rPr>
                <w:lang w:val="en-GB"/>
              </w:rPr>
              <w:t xml:space="preserve">In order to enable the Commission to better monitor the requested standardisation work, CEN, </w:t>
            </w:r>
            <w:proofErr w:type="spellStart"/>
            <w:r w:rsidRPr="00C961A8">
              <w:rPr>
                <w:lang w:val="en-GB"/>
              </w:rPr>
              <w:t>Cenelec</w:t>
            </w:r>
            <w:proofErr w:type="spellEnd"/>
            <w:r w:rsidRPr="00C961A8">
              <w:rPr>
                <w:lang w:val="en-GB"/>
              </w:rPr>
              <w:t xml:space="preserve"> and ETSI should provide the Commission with access to an overall project plan containing detailed information on the execution of the standardisation request. CEN, </w:t>
            </w:r>
            <w:proofErr w:type="spellStart"/>
            <w:r w:rsidRPr="00C961A8">
              <w:rPr>
                <w:lang w:val="en-GB"/>
              </w:rPr>
              <w:t>Cenelec</w:t>
            </w:r>
            <w:proofErr w:type="spellEnd"/>
            <w:r w:rsidRPr="00C961A8">
              <w:rPr>
                <w:lang w:val="en-GB"/>
              </w:rPr>
              <w:t xml:space="preserve"> and ETSI should promptly inform the Commission if they consider that additional standards would need to be developed or if they consider that more time is necessary for the execution of this request.</w:t>
            </w:r>
          </w:p>
          <w:p w14:paraId="57689A1E" w14:textId="23C6C00B" w:rsidR="00B77020" w:rsidRPr="00C961A8" w:rsidRDefault="00B77020" w:rsidP="0086028B">
            <w:pPr>
              <w:rPr>
                <w:lang w:val="en-GB"/>
              </w:rPr>
            </w:pPr>
          </w:p>
        </w:tc>
        <w:tc>
          <w:tcPr>
            <w:tcW w:w="5103" w:type="dxa"/>
            <w:tcBorders>
              <w:top w:val="single" w:sz="4" w:space="0" w:color="auto"/>
              <w:left w:val="single" w:sz="4" w:space="0" w:color="auto"/>
              <w:bottom w:val="single" w:sz="4" w:space="0" w:color="auto"/>
              <w:right w:val="single" w:sz="4" w:space="0" w:color="auto"/>
            </w:tcBorders>
          </w:tcPr>
          <w:p w14:paraId="4EDD7E65" w14:textId="77777777" w:rsidR="00B77020" w:rsidRPr="00C961A8" w:rsidRDefault="00B77020" w:rsidP="00B77020">
            <w:pPr>
              <w:rPr>
                <w:lang w:val="en-GB"/>
              </w:rPr>
            </w:pPr>
            <w:r w:rsidRPr="00C961A8">
              <w:rPr>
                <w:lang w:val="en-GB"/>
              </w:rPr>
              <w:t xml:space="preserve">In order to enable the Commission to better monitor the requested standardisation work, CEN, </w:t>
            </w:r>
            <w:proofErr w:type="spellStart"/>
            <w:r w:rsidRPr="00C961A8">
              <w:rPr>
                <w:lang w:val="en-GB"/>
              </w:rPr>
              <w:t>Cenelec</w:t>
            </w:r>
            <w:proofErr w:type="spellEnd"/>
            <w:r w:rsidRPr="00C961A8">
              <w:rPr>
                <w:lang w:val="en-GB"/>
              </w:rPr>
              <w:t xml:space="preserve"> and ETSI should provide the Commission with access to an overall project plan containing detailed information on the execution of the standardisation request. CEN, </w:t>
            </w:r>
            <w:proofErr w:type="spellStart"/>
            <w:r w:rsidRPr="00C961A8">
              <w:rPr>
                <w:lang w:val="en-GB"/>
              </w:rPr>
              <w:t>Cenelec</w:t>
            </w:r>
            <w:proofErr w:type="spellEnd"/>
            <w:r w:rsidRPr="00C961A8">
              <w:rPr>
                <w:lang w:val="en-GB"/>
              </w:rPr>
              <w:t xml:space="preserve"> and ETSI should promptly inform the Commission if they consider that additional standards would need to be developed or if they consider that more time is necessary for the execution of this request. </w:t>
            </w:r>
          </w:p>
          <w:p w14:paraId="46A64BD2" w14:textId="5129E25A" w:rsidR="00B77020" w:rsidRPr="00C961A8" w:rsidRDefault="00B77020" w:rsidP="00B77020">
            <w:pPr>
              <w:rPr>
                <w:lang w:val="en-GB"/>
              </w:rPr>
            </w:pPr>
            <w:r w:rsidRPr="00C961A8">
              <w:rPr>
                <w:b/>
                <w:bCs/>
                <w:lang w:val="en-GB"/>
              </w:rPr>
              <w:t>There should not be unduly delays with development or revision of standards and final deadlines should be at least the day when accessibility requirement of the Act start applying.</w:t>
            </w:r>
          </w:p>
        </w:tc>
      </w:tr>
      <w:tr w:rsidR="00B77020" w:rsidRPr="00C961A8" w14:paraId="794965AA"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411692DC" w14:textId="456008DC" w:rsidR="00B77020" w:rsidRDefault="00B77020" w:rsidP="0086028B">
            <w:pPr>
              <w:rPr>
                <w:lang w:val="en-GB"/>
              </w:rPr>
            </w:pPr>
            <w:r w:rsidRPr="00C961A8">
              <w:rPr>
                <w:b/>
                <w:bCs/>
                <w:lang w:val="en-GB"/>
              </w:rPr>
              <w:t>Justification</w:t>
            </w:r>
            <w:r w:rsidRPr="00C961A8">
              <w:rPr>
                <w:lang w:val="en-GB"/>
              </w:rPr>
              <w:t>:</w:t>
            </w:r>
          </w:p>
          <w:p w14:paraId="1040C634" w14:textId="20006A0C" w:rsidR="003B1837" w:rsidRDefault="003B1837" w:rsidP="0086028B">
            <w:pPr>
              <w:rPr>
                <w:lang w:val="en-GB"/>
              </w:rPr>
            </w:pPr>
          </w:p>
          <w:p w14:paraId="4AF107D4" w14:textId="1FDEE703" w:rsidR="003B1837" w:rsidRPr="00C961A8" w:rsidRDefault="003B1837" w:rsidP="0086028B">
            <w:pPr>
              <w:rPr>
                <w:lang w:val="en-GB"/>
              </w:rPr>
            </w:pPr>
            <w:r>
              <w:rPr>
                <w:rFonts w:cs="Arial"/>
              </w:rPr>
              <w:t xml:space="preserve">In relation to deadlines for development of standards referenced in Annexes I, II, and III, we note that those should not exceed the date of application of Directive 2019/882. It is important that as soon as the Directive starts to apply providers or products and services have utmost clarity how to meet the requirements of the Directive, for which harmonized standards are crucial. </w:t>
            </w:r>
          </w:p>
          <w:p w14:paraId="1A0CD4B8" w14:textId="77777777" w:rsidR="00B77020" w:rsidRPr="00C961A8" w:rsidRDefault="00B77020" w:rsidP="0086028B">
            <w:pPr>
              <w:rPr>
                <w:lang w:val="en-GB"/>
              </w:rPr>
            </w:pPr>
          </w:p>
        </w:tc>
      </w:tr>
    </w:tbl>
    <w:p w14:paraId="0FCE2E43" w14:textId="133FF0D0" w:rsidR="00B77020" w:rsidRPr="00C961A8" w:rsidRDefault="00B77020" w:rsidP="00B77020">
      <w:pPr>
        <w:pStyle w:val="Heading3"/>
        <w:rPr>
          <w:lang w:val="en-GB"/>
        </w:rPr>
      </w:pPr>
      <w:r w:rsidRPr="00C961A8">
        <w:rPr>
          <w:lang w:val="en-GB"/>
        </w:rPr>
        <w:t>Recital 31</w:t>
      </w:r>
    </w:p>
    <w:tbl>
      <w:tblPr>
        <w:tblStyle w:val="TableGrid"/>
        <w:tblW w:w="10201" w:type="dxa"/>
        <w:tblInd w:w="-572" w:type="dxa"/>
        <w:tblLook w:val="04A0" w:firstRow="1" w:lastRow="0" w:firstColumn="1" w:lastColumn="0" w:noHBand="0" w:noVBand="1"/>
      </w:tblPr>
      <w:tblGrid>
        <w:gridCol w:w="5098"/>
        <w:gridCol w:w="5103"/>
      </w:tblGrid>
      <w:tr w:rsidR="00B77020" w:rsidRPr="00C961A8" w14:paraId="26EA755E"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73D16B6C" w14:textId="77777777" w:rsidR="00B77020" w:rsidRPr="00C961A8" w:rsidRDefault="00B77020"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4412F915" w14:textId="77777777" w:rsidR="00B77020" w:rsidRPr="00C961A8" w:rsidRDefault="00B77020" w:rsidP="0086028B">
            <w:pPr>
              <w:rPr>
                <w:lang w:val="en-GB"/>
              </w:rPr>
            </w:pPr>
            <w:r w:rsidRPr="00C961A8">
              <w:rPr>
                <w:lang w:val="en-GB"/>
              </w:rPr>
              <w:t>EDF proposed amendments</w:t>
            </w:r>
          </w:p>
        </w:tc>
      </w:tr>
      <w:tr w:rsidR="00B77020" w:rsidRPr="00C961A8" w14:paraId="1523C519" w14:textId="77777777" w:rsidTr="00B77020">
        <w:tc>
          <w:tcPr>
            <w:tcW w:w="5098" w:type="dxa"/>
            <w:tcBorders>
              <w:top w:val="single" w:sz="4" w:space="0" w:color="auto"/>
              <w:left w:val="single" w:sz="4" w:space="0" w:color="auto"/>
              <w:bottom w:val="single" w:sz="4" w:space="0" w:color="auto"/>
              <w:right w:val="single" w:sz="4" w:space="0" w:color="auto"/>
            </w:tcBorders>
          </w:tcPr>
          <w:p w14:paraId="0BA56FB8" w14:textId="73D5D10B" w:rsidR="00B77020" w:rsidRPr="00C961A8" w:rsidRDefault="00B77020" w:rsidP="0086028B">
            <w:pPr>
              <w:rPr>
                <w:lang w:val="en-GB"/>
              </w:rPr>
            </w:pPr>
            <w:r w:rsidRPr="00C961A8">
              <w:rPr>
                <w:lang w:val="en-GB"/>
              </w:rPr>
              <w:t xml:space="preserve">It is important to facilitate the use by stakeholders of the revised harmonised standard EN 301549 in support of Directive (EU) 2019/882 and Directive (EU) 2016/2102. To that end CEN, </w:t>
            </w:r>
            <w:proofErr w:type="spellStart"/>
            <w:r w:rsidRPr="00C961A8">
              <w:rPr>
                <w:lang w:val="en-GB"/>
              </w:rPr>
              <w:t>Cenelec</w:t>
            </w:r>
            <w:proofErr w:type="spellEnd"/>
            <w:r w:rsidRPr="00C961A8">
              <w:rPr>
                <w:lang w:val="en-GB"/>
              </w:rPr>
              <w:t xml:space="preserve"> and ETSI should provide support material and update the technical reports CEN/CLC/ETSI TR 101551:2014, and CEN/CLC/ETSI/TR 101 552:2014 to reflect the content of the revised harmonised standards </w:t>
            </w:r>
            <w:r w:rsidRPr="00C961A8">
              <w:rPr>
                <w:lang w:val="en-GB"/>
              </w:rPr>
              <w:lastRenderedPageBreak/>
              <w:t xml:space="preserve">resulting from this request. This revised content should be reflected on the related website and toolkit prepared. The toolkit and technical reports should be adapted to represent a current resource enabling exchange of ideas, FAQs and information useful to a variety of stakeholders, such as developers, policy officers and content managers. The toolkit should be continuously maintained, whilst it might at one point be archived, it should be kept available and accessible until a suitable replacement has been created.  </w:t>
            </w:r>
          </w:p>
        </w:tc>
        <w:tc>
          <w:tcPr>
            <w:tcW w:w="5103" w:type="dxa"/>
            <w:tcBorders>
              <w:top w:val="single" w:sz="4" w:space="0" w:color="auto"/>
              <w:left w:val="single" w:sz="4" w:space="0" w:color="auto"/>
              <w:bottom w:val="single" w:sz="4" w:space="0" w:color="auto"/>
              <w:right w:val="single" w:sz="4" w:space="0" w:color="auto"/>
            </w:tcBorders>
          </w:tcPr>
          <w:p w14:paraId="0B007CAA" w14:textId="589DE745" w:rsidR="00B77020" w:rsidRPr="00C961A8" w:rsidRDefault="00B77020" w:rsidP="00B77020">
            <w:pPr>
              <w:rPr>
                <w:lang w:val="en-GB"/>
              </w:rPr>
            </w:pPr>
            <w:r w:rsidRPr="00C961A8">
              <w:rPr>
                <w:lang w:val="en-GB"/>
              </w:rPr>
              <w:lastRenderedPageBreak/>
              <w:t xml:space="preserve">It is important to facilitate the use by stakeholders of the revised harmonised standard EN 301549 in support of Directive (EU) 2019/882 and Directive (EU) 2016/2102. To that end CEN, </w:t>
            </w:r>
            <w:proofErr w:type="spellStart"/>
            <w:r w:rsidRPr="00C961A8">
              <w:rPr>
                <w:lang w:val="en-GB"/>
              </w:rPr>
              <w:t>Cenelec</w:t>
            </w:r>
            <w:proofErr w:type="spellEnd"/>
            <w:r w:rsidRPr="00C961A8">
              <w:rPr>
                <w:lang w:val="en-GB"/>
              </w:rPr>
              <w:t xml:space="preserve"> and ETSI should provide support material and update the technical reports CEN/CLC/ETSI TR 101551:2014, and CEN/CLC/ETSI/TR 101 552:2014 to reflect the content of the revised harmonised standards </w:t>
            </w:r>
            <w:r w:rsidRPr="00C961A8">
              <w:rPr>
                <w:lang w:val="en-GB"/>
              </w:rPr>
              <w:lastRenderedPageBreak/>
              <w:t>resulting from this request. This revised content should be reflected on the related website and toolkit prepared. The toolkit and technical reports should be adapted to represent a current resource enabling exchange of ideas, FAQs and information useful to a variety of stakeholders, such as developers, policy officers</w:t>
            </w:r>
            <w:r w:rsidR="00076997" w:rsidRPr="00C961A8">
              <w:rPr>
                <w:b/>
                <w:bCs/>
                <w:lang w:val="en-GB"/>
              </w:rPr>
              <w:t>,</w:t>
            </w:r>
            <w:r w:rsidRPr="00C961A8">
              <w:rPr>
                <w:lang w:val="en-GB"/>
              </w:rPr>
              <w:t xml:space="preserve"> </w:t>
            </w:r>
            <w:r w:rsidRPr="00C961A8">
              <w:rPr>
                <w:b/>
                <w:bCs/>
                <w:strike/>
                <w:lang w:val="en-GB"/>
              </w:rPr>
              <w:t>and</w:t>
            </w:r>
            <w:r w:rsidRPr="00C961A8">
              <w:rPr>
                <w:lang w:val="en-GB"/>
              </w:rPr>
              <w:t xml:space="preserve"> content manager</w:t>
            </w:r>
            <w:r w:rsidR="00076997" w:rsidRPr="00C961A8">
              <w:rPr>
                <w:lang w:val="en-GB"/>
              </w:rPr>
              <w:t xml:space="preserve">s </w:t>
            </w:r>
            <w:r w:rsidR="00076997" w:rsidRPr="00C961A8">
              <w:rPr>
                <w:b/>
                <w:bCs/>
                <w:lang w:val="en-GB"/>
              </w:rPr>
              <w:t>and users</w:t>
            </w:r>
            <w:r w:rsidR="00426E7C">
              <w:rPr>
                <w:b/>
                <w:bCs/>
                <w:lang w:val="en-GB"/>
              </w:rPr>
              <w:t xml:space="preserve"> with disabilities</w:t>
            </w:r>
            <w:r w:rsidRPr="00C961A8">
              <w:rPr>
                <w:lang w:val="en-GB"/>
              </w:rPr>
              <w:t xml:space="preserve">. The toolkit should be continuously maintained, whilst it might at one point be archived, it should be kept available and accessible until a suitable replacement has been created.  </w:t>
            </w:r>
          </w:p>
          <w:p w14:paraId="0A3B0461" w14:textId="77777777" w:rsidR="00B77020" w:rsidRPr="00C961A8" w:rsidRDefault="00B77020" w:rsidP="0086028B">
            <w:pPr>
              <w:rPr>
                <w:lang w:val="en-GB"/>
              </w:rPr>
            </w:pPr>
          </w:p>
        </w:tc>
      </w:tr>
      <w:tr w:rsidR="00B77020" w:rsidRPr="00C961A8" w14:paraId="5DD8DE53"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184D0AFA" w14:textId="6F72A08E" w:rsidR="00B77020" w:rsidRPr="00C961A8" w:rsidRDefault="00B77020" w:rsidP="0086028B">
            <w:pPr>
              <w:rPr>
                <w:lang w:val="en-GB"/>
              </w:rPr>
            </w:pPr>
            <w:r w:rsidRPr="00C961A8">
              <w:rPr>
                <w:b/>
                <w:bCs/>
                <w:lang w:val="en-GB"/>
              </w:rPr>
              <w:lastRenderedPageBreak/>
              <w:t>Justification</w:t>
            </w:r>
            <w:r w:rsidRPr="00C961A8">
              <w:rPr>
                <w:lang w:val="en-GB"/>
              </w:rPr>
              <w:t>:</w:t>
            </w:r>
          </w:p>
          <w:p w14:paraId="1B866DA3" w14:textId="075036B8" w:rsidR="00076997" w:rsidRPr="00C961A8" w:rsidRDefault="00076997" w:rsidP="0086028B">
            <w:pPr>
              <w:rPr>
                <w:lang w:val="en-GB"/>
              </w:rPr>
            </w:pPr>
            <w:r w:rsidRPr="00C961A8">
              <w:rPr>
                <w:lang w:val="en-GB"/>
              </w:rPr>
              <w:t>We welcome the proposed toolkit, and emphasise that it should be accessible for person</w:t>
            </w:r>
            <w:r w:rsidR="004D78CC">
              <w:rPr>
                <w:lang w:val="en-GB"/>
              </w:rPr>
              <w:t>s</w:t>
            </w:r>
            <w:r w:rsidRPr="00C961A8">
              <w:rPr>
                <w:lang w:val="en-GB"/>
              </w:rPr>
              <w:t xml:space="preserve"> with disabilities.</w:t>
            </w:r>
            <w:r w:rsidR="003B1837">
              <w:rPr>
                <w:lang w:val="en-GB"/>
              </w:rPr>
              <w:t xml:space="preserve"> </w:t>
            </w:r>
          </w:p>
          <w:p w14:paraId="5EAAE9D1" w14:textId="77777777" w:rsidR="00B77020" w:rsidRPr="00C961A8" w:rsidRDefault="00B77020" w:rsidP="0086028B">
            <w:pPr>
              <w:rPr>
                <w:lang w:val="en-GB"/>
              </w:rPr>
            </w:pPr>
          </w:p>
        </w:tc>
      </w:tr>
    </w:tbl>
    <w:p w14:paraId="63D60977" w14:textId="4EAC6BB7" w:rsidR="00B77020" w:rsidRPr="00C961A8" w:rsidRDefault="00B77020" w:rsidP="00B77020">
      <w:pPr>
        <w:pStyle w:val="Heading3"/>
        <w:rPr>
          <w:lang w:val="en-GB"/>
        </w:rPr>
      </w:pPr>
      <w:r w:rsidRPr="00C961A8">
        <w:rPr>
          <w:lang w:val="en-GB"/>
        </w:rPr>
        <w:t xml:space="preserve">Recital </w:t>
      </w:r>
      <w:r w:rsidR="00076997" w:rsidRPr="00C961A8">
        <w:rPr>
          <w:lang w:val="en-GB"/>
        </w:rPr>
        <w:t>35 (new)</w:t>
      </w:r>
    </w:p>
    <w:tbl>
      <w:tblPr>
        <w:tblStyle w:val="TableGrid"/>
        <w:tblW w:w="10201" w:type="dxa"/>
        <w:tblInd w:w="-572" w:type="dxa"/>
        <w:tblLook w:val="04A0" w:firstRow="1" w:lastRow="0" w:firstColumn="1" w:lastColumn="0" w:noHBand="0" w:noVBand="1"/>
      </w:tblPr>
      <w:tblGrid>
        <w:gridCol w:w="5098"/>
        <w:gridCol w:w="5103"/>
      </w:tblGrid>
      <w:tr w:rsidR="00B77020" w:rsidRPr="00C961A8" w14:paraId="048DE081"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253608FA" w14:textId="77777777" w:rsidR="00B77020" w:rsidRPr="00C961A8" w:rsidRDefault="00B77020"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25032422" w14:textId="77777777" w:rsidR="00B77020" w:rsidRPr="00C961A8" w:rsidRDefault="00B77020" w:rsidP="0086028B">
            <w:pPr>
              <w:rPr>
                <w:lang w:val="en-GB"/>
              </w:rPr>
            </w:pPr>
            <w:r w:rsidRPr="00C961A8">
              <w:rPr>
                <w:lang w:val="en-GB"/>
              </w:rPr>
              <w:t>EDF proposed amendments</w:t>
            </w:r>
          </w:p>
        </w:tc>
      </w:tr>
      <w:tr w:rsidR="00B77020" w:rsidRPr="00C961A8" w14:paraId="6D5DE918" w14:textId="77777777" w:rsidTr="00B77020">
        <w:tc>
          <w:tcPr>
            <w:tcW w:w="5098" w:type="dxa"/>
            <w:tcBorders>
              <w:top w:val="single" w:sz="4" w:space="0" w:color="auto"/>
              <w:left w:val="single" w:sz="4" w:space="0" w:color="auto"/>
              <w:bottom w:val="single" w:sz="4" w:space="0" w:color="auto"/>
              <w:right w:val="single" w:sz="4" w:space="0" w:color="auto"/>
            </w:tcBorders>
          </w:tcPr>
          <w:p w14:paraId="51EA7886" w14:textId="5FA8AF67" w:rsidR="00B77020" w:rsidRPr="00C961A8" w:rsidRDefault="00076997" w:rsidP="00076997">
            <w:pPr>
              <w:tabs>
                <w:tab w:val="left" w:pos="1720"/>
              </w:tabs>
              <w:rPr>
                <w:lang w:val="en-GB"/>
              </w:rPr>
            </w:pPr>
            <w:r w:rsidRPr="00C961A8">
              <w:rPr>
                <w:lang w:val="en-GB"/>
              </w:rPr>
              <w:t xml:space="preserve">N/A </w:t>
            </w:r>
          </w:p>
        </w:tc>
        <w:tc>
          <w:tcPr>
            <w:tcW w:w="5103" w:type="dxa"/>
            <w:tcBorders>
              <w:top w:val="single" w:sz="4" w:space="0" w:color="auto"/>
              <w:left w:val="single" w:sz="4" w:space="0" w:color="auto"/>
              <w:bottom w:val="single" w:sz="4" w:space="0" w:color="auto"/>
              <w:right w:val="single" w:sz="4" w:space="0" w:color="auto"/>
            </w:tcBorders>
          </w:tcPr>
          <w:p w14:paraId="4D3B0C91" w14:textId="3022551F" w:rsidR="00B77020" w:rsidRPr="00C961A8" w:rsidRDefault="00076997" w:rsidP="00076997">
            <w:pPr>
              <w:rPr>
                <w:b/>
                <w:bCs/>
                <w:lang w:val="en-GB"/>
              </w:rPr>
            </w:pPr>
            <w:r w:rsidRPr="00C961A8">
              <w:rPr>
                <w:b/>
                <w:bCs/>
                <w:lang w:val="en-GB"/>
              </w:rPr>
              <w:t>In order to guarantee coherence between Directives (EU) 2016/2102 and 2019/882, the Commission Implementing Decision (EU) 2018/1523 establishing the accessibility statement on websites and mobile applications should also be taken into consideration in the development of this standardisation request.</w:t>
            </w:r>
          </w:p>
        </w:tc>
      </w:tr>
      <w:tr w:rsidR="00B77020" w:rsidRPr="00C961A8" w14:paraId="0335E9FB"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46C4366E" w14:textId="49910B49" w:rsidR="00B77020" w:rsidRDefault="00B77020" w:rsidP="0086028B">
            <w:pPr>
              <w:rPr>
                <w:lang w:val="en-GB"/>
              </w:rPr>
            </w:pPr>
            <w:r w:rsidRPr="00C961A8">
              <w:rPr>
                <w:b/>
                <w:bCs/>
                <w:lang w:val="en-GB"/>
              </w:rPr>
              <w:t>Justification</w:t>
            </w:r>
            <w:r w:rsidRPr="00C961A8">
              <w:rPr>
                <w:lang w:val="en-GB"/>
              </w:rPr>
              <w:t>:</w:t>
            </w:r>
          </w:p>
          <w:p w14:paraId="5C6ACE61" w14:textId="087C376F" w:rsidR="003B1837" w:rsidRDefault="003B1837" w:rsidP="0086028B">
            <w:pPr>
              <w:rPr>
                <w:lang w:val="en-GB"/>
              </w:rPr>
            </w:pPr>
          </w:p>
          <w:p w14:paraId="206748C9" w14:textId="39BBED1A" w:rsidR="003B1837" w:rsidRPr="00C961A8" w:rsidRDefault="00806A4E" w:rsidP="0086028B">
            <w:pPr>
              <w:rPr>
                <w:lang w:val="en-GB"/>
              </w:rPr>
            </w:pPr>
            <w:r>
              <w:rPr>
                <w:rFonts w:cs="Arial"/>
              </w:rPr>
              <w:t xml:space="preserve">The accessibility statement required by the Web Accessibility Directive to </w:t>
            </w:r>
            <w:r w:rsidR="004F6776">
              <w:rPr>
                <w:rFonts w:cs="Arial"/>
              </w:rPr>
              <w:t xml:space="preserve">be added to </w:t>
            </w:r>
            <w:r>
              <w:rPr>
                <w:rFonts w:cs="Arial"/>
              </w:rPr>
              <w:t xml:space="preserve">websites and mobile applications of the public sector has proven to be useful for </w:t>
            </w:r>
            <w:r w:rsidR="004F6776">
              <w:rPr>
                <w:rFonts w:cs="Arial"/>
              </w:rPr>
              <w:t xml:space="preserve">users to </w:t>
            </w:r>
            <w:r w:rsidR="006A52F1">
              <w:rPr>
                <w:rFonts w:cs="Arial"/>
              </w:rPr>
              <w:t xml:space="preserve">find relevant information and a feedback mechanism. We propose that this Commission decision is considered when developing </w:t>
            </w:r>
            <w:r w:rsidR="0072275E">
              <w:rPr>
                <w:rFonts w:cs="Arial"/>
              </w:rPr>
              <w:t>the EAA harmonized standards to ensure alignment between the obligations of the public and the private sectors.</w:t>
            </w:r>
            <w:r w:rsidR="000504E4">
              <w:rPr>
                <w:rFonts w:cs="Arial"/>
              </w:rPr>
              <w:t xml:space="preserve"> </w:t>
            </w:r>
          </w:p>
          <w:p w14:paraId="7068E569" w14:textId="77777777" w:rsidR="00B77020" w:rsidRPr="00C961A8" w:rsidRDefault="00B77020" w:rsidP="0086028B">
            <w:pPr>
              <w:rPr>
                <w:lang w:val="en-GB"/>
              </w:rPr>
            </w:pPr>
          </w:p>
        </w:tc>
      </w:tr>
    </w:tbl>
    <w:p w14:paraId="465DE6F9" w14:textId="6F77FC2F" w:rsidR="00B77020" w:rsidRPr="00C961A8" w:rsidRDefault="00076997" w:rsidP="00B77020">
      <w:pPr>
        <w:pStyle w:val="Heading3"/>
        <w:rPr>
          <w:lang w:val="en-GB"/>
        </w:rPr>
      </w:pPr>
      <w:bookmarkStart w:id="9" w:name="_Article_2"/>
      <w:bookmarkEnd w:id="9"/>
      <w:r w:rsidRPr="00C961A8">
        <w:rPr>
          <w:lang w:val="en-GB"/>
        </w:rPr>
        <w:t>Article 2</w:t>
      </w:r>
    </w:p>
    <w:tbl>
      <w:tblPr>
        <w:tblStyle w:val="TableGrid"/>
        <w:tblW w:w="10201" w:type="dxa"/>
        <w:tblInd w:w="-572" w:type="dxa"/>
        <w:tblLook w:val="04A0" w:firstRow="1" w:lastRow="0" w:firstColumn="1" w:lastColumn="0" w:noHBand="0" w:noVBand="1"/>
      </w:tblPr>
      <w:tblGrid>
        <w:gridCol w:w="5098"/>
        <w:gridCol w:w="5103"/>
      </w:tblGrid>
      <w:tr w:rsidR="00B77020" w:rsidRPr="00C961A8" w14:paraId="013F2076"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1B72BF6B" w14:textId="77777777" w:rsidR="00B77020" w:rsidRPr="00C961A8" w:rsidRDefault="00B77020"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1C263800" w14:textId="77777777" w:rsidR="00B77020" w:rsidRPr="00C961A8" w:rsidRDefault="00B77020" w:rsidP="0086028B">
            <w:pPr>
              <w:rPr>
                <w:lang w:val="en-GB"/>
              </w:rPr>
            </w:pPr>
            <w:r w:rsidRPr="00C961A8">
              <w:rPr>
                <w:lang w:val="en-GB"/>
              </w:rPr>
              <w:t>EDF proposed amendments</w:t>
            </w:r>
          </w:p>
        </w:tc>
      </w:tr>
      <w:tr w:rsidR="00B77020" w:rsidRPr="00C961A8" w14:paraId="6053DEA5" w14:textId="77777777" w:rsidTr="00B77020">
        <w:tc>
          <w:tcPr>
            <w:tcW w:w="5098" w:type="dxa"/>
            <w:tcBorders>
              <w:top w:val="single" w:sz="4" w:space="0" w:color="auto"/>
              <w:left w:val="single" w:sz="4" w:space="0" w:color="auto"/>
              <w:bottom w:val="single" w:sz="4" w:space="0" w:color="auto"/>
              <w:right w:val="single" w:sz="4" w:space="0" w:color="auto"/>
            </w:tcBorders>
          </w:tcPr>
          <w:p w14:paraId="702BAB2F" w14:textId="77777777" w:rsidR="00B77020" w:rsidRPr="00C961A8" w:rsidRDefault="00076997" w:rsidP="00076997">
            <w:pPr>
              <w:rPr>
                <w:lang w:val="en-GB"/>
              </w:rPr>
            </w:pPr>
            <w:r w:rsidRPr="00C961A8">
              <w:rPr>
                <w:lang w:val="en-GB"/>
              </w:rPr>
              <w:t xml:space="preserve">4. The work shall ensure inclusiveness of persons with disabilities and their representative organisations. The work processes, meetings venues and </w:t>
            </w:r>
            <w:r w:rsidRPr="00C961A8">
              <w:rPr>
                <w:lang w:val="en-GB"/>
              </w:rPr>
              <w:lastRenderedPageBreak/>
              <w:t>documents shall be accessible for persons with disabilities.</w:t>
            </w:r>
          </w:p>
          <w:p w14:paraId="4E02C921" w14:textId="77777777" w:rsidR="00076997" w:rsidRPr="00C961A8" w:rsidRDefault="00076997" w:rsidP="00076997">
            <w:pPr>
              <w:rPr>
                <w:lang w:val="en-GB"/>
              </w:rPr>
            </w:pPr>
          </w:p>
          <w:p w14:paraId="5915554D" w14:textId="77777777" w:rsidR="00076997" w:rsidRPr="00C961A8" w:rsidRDefault="00076997" w:rsidP="00076997">
            <w:pPr>
              <w:rPr>
                <w:lang w:val="en-GB"/>
              </w:rPr>
            </w:pPr>
          </w:p>
          <w:p w14:paraId="2EF588D4" w14:textId="77777777" w:rsidR="00076997" w:rsidRPr="00C961A8" w:rsidRDefault="00076997" w:rsidP="00076997">
            <w:pPr>
              <w:rPr>
                <w:lang w:val="en-GB"/>
              </w:rPr>
            </w:pPr>
          </w:p>
          <w:p w14:paraId="360F70D8" w14:textId="77777777" w:rsidR="00076997" w:rsidRPr="00C961A8" w:rsidRDefault="00076997" w:rsidP="00076997">
            <w:pPr>
              <w:rPr>
                <w:lang w:val="en-GB"/>
              </w:rPr>
            </w:pPr>
          </w:p>
          <w:p w14:paraId="16B9667D" w14:textId="77777777" w:rsidR="00076997" w:rsidRPr="00C961A8" w:rsidRDefault="00076997" w:rsidP="00076997">
            <w:pPr>
              <w:rPr>
                <w:lang w:val="en-GB"/>
              </w:rPr>
            </w:pPr>
          </w:p>
          <w:p w14:paraId="73DAEA78" w14:textId="77777777" w:rsidR="00076997" w:rsidRPr="00C961A8" w:rsidRDefault="00076997" w:rsidP="00076997">
            <w:pPr>
              <w:rPr>
                <w:lang w:val="en-GB"/>
              </w:rPr>
            </w:pPr>
          </w:p>
          <w:p w14:paraId="36785924" w14:textId="77777777" w:rsidR="00076997" w:rsidRPr="00C961A8" w:rsidRDefault="00076997" w:rsidP="00076997">
            <w:pPr>
              <w:rPr>
                <w:lang w:val="en-GB"/>
              </w:rPr>
            </w:pPr>
          </w:p>
          <w:p w14:paraId="2A431B0A" w14:textId="77777777" w:rsidR="00076997" w:rsidRPr="00C961A8" w:rsidRDefault="00076997" w:rsidP="00076997">
            <w:pPr>
              <w:rPr>
                <w:lang w:val="en-GB"/>
              </w:rPr>
            </w:pPr>
          </w:p>
          <w:p w14:paraId="6A1A15F4" w14:textId="77777777" w:rsidR="00076997" w:rsidRPr="00C961A8" w:rsidRDefault="00076997" w:rsidP="00076997">
            <w:pPr>
              <w:rPr>
                <w:lang w:val="en-GB"/>
              </w:rPr>
            </w:pPr>
          </w:p>
          <w:p w14:paraId="0F4E2264" w14:textId="77777777" w:rsidR="00076997" w:rsidRPr="00C961A8" w:rsidRDefault="00076997" w:rsidP="00076997">
            <w:pPr>
              <w:rPr>
                <w:lang w:val="en-GB"/>
              </w:rPr>
            </w:pPr>
          </w:p>
          <w:p w14:paraId="2139BA6D" w14:textId="77777777" w:rsidR="00076997" w:rsidRPr="00C961A8" w:rsidRDefault="00076997" w:rsidP="00076997">
            <w:pPr>
              <w:rPr>
                <w:lang w:val="en-GB"/>
              </w:rPr>
            </w:pPr>
          </w:p>
          <w:p w14:paraId="3EFE74EB" w14:textId="77777777" w:rsidR="00076997" w:rsidRPr="00C961A8" w:rsidRDefault="00076997" w:rsidP="00076997">
            <w:pPr>
              <w:rPr>
                <w:lang w:val="en-GB"/>
              </w:rPr>
            </w:pPr>
          </w:p>
          <w:p w14:paraId="7C306244" w14:textId="77777777" w:rsidR="00076997" w:rsidRPr="00C961A8" w:rsidRDefault="00076997" w:rsidP="00076997">
            <w:pPr>
              <w:rPr>
                <w:lang w:val="en-GB"/>
              </w:rPr>
            </w:pPr>
          </w:p>
          <w:p w14:paraId="3DF5E24D" w14:textId="77777777" w:rsidR="00076997" w:rsidRPr="00C961A8" w:rsidRDefault="00076997" w:rsidP="00076997">
            <w:pPr>
              <w:rPr>
                <w:lang w:val="en-GB"/>
              </w:rPr>
            </w:pPr>
          </w:p>
          <w:p w14:paraId="6DCCF4C7" w14:textId="4E2C859A" w:rsidR="00076997" w:rsidRPr="00C961A8" w:rsidRDefault="00076997" w:rsidP="00076997">
            <w:pPr>
              <w:rPr>
                <w:lang w:val="en-GB"/>
              </w:rPr>
            </w:pPr>
            <w:r w:rsidRPr="00C961A8">
              <w:rPr>
                <w:lang w:val="en-GB"/>
              </w:rPr>
              <w:t>5. (new) n/a</w:t>
            </w:r>
          </w:p>
        </w:tc>
        <w:tc>
          <w:tcPr>
            <w:tcW w:w="5103" w:type="dxa"/>
            <w:tcBorders>
              <w:top w:val="single" w:sz="4" w:space="0" w:color="auto"/>
              <w:left w:val="single" w:sz="4" w:space="0" w:color="auto"/>
              <w:bottom w:val="single" w:sz="4" w:space="0" w:color="auto"/>
              <w:right w:val="single" w:sz="4" w:space="0" w:color="auto"/>
            </w:tcBorders>
          </w:tcPr>
          <w:p w14:paraId="49E9CFE5" w14:textId="77777777" w:rsidR="00B77020" w:rsidRPr="00C961A8" w:rsidRDefault="00076997" w:rsidP="00076997">
            <w:pPr>
              <w:rPr>
                <w:b/>
                <w:bCs/>
                <w:lang w:val="en-GB"/>
              </w:rPr>
            </w:pPr>
            <w:r w:rsidRPr="00C961A8">
              <w:rPr>
                <w:lang w:val="en-GB"/>
              </w:rPr>
              <w:lastRenderedPageBreak/>
              <w:t xml:space="preserve">4. The </w:t>
            </w:r>
            <w:r w:rsidRPr="00C961A8">
              <w:rPr>
                <w:b/>
                <w:bCs/>
                <w:strike/>
                <w:lang w:val="en-GB"/>
              </w:rPr>
              <w:t>work shall</w:t>
            </w:r>
            <w:r w:rsidRPr="00C961A8">
              <w:rPr>
                <w:lang w:val="en-GB"/>
              </w:rPr>
              <w:t xml:space="preserve"> </w:t>
            </w:r>
            <w:r w:rsidRPr="00C961A8">
              <w:rPr>
                <w:b/>
                <w:bCs/>
                <w:lang w:val="en-GB"/>
              </w:rPr>
              <w:t>ESOs shall also</w:t>
            </w:r>
            <w:r w:rsidRPr="00C961A8">
              <w:rPr>
                <w:lang w:val="en-GB"/>
              </w:rPr>
              <w:t xml:space="preserve"> ensure inclusiveness of persons with disabilities and their representative organisations</w:t>
            </w:r>
            <w:r w:rsidRPr="00C961A8">
              <w:rPr>
                <w:b/>
                <w:bCs/>
                <w:lang w:val="en-GB"/>
              </w:rPr>
              <w:t xml:space="preserve">, including in national </w:t>
            </w:r>
            <w:r w:rsidRPr="00C961A8">
              <w:rPr>
                <w:b/>
                <w:bCs/>
                <w:lang w:val="en-GB"/>
              </w:rPr>
              <w:lastRenderedPageBreak/>
              <w:t>mirror committees. Equal participation of persons with disabilities, their representing organisation and nominated experts shall be ensured by making</w:t>
            </w:r>
            <w:r w:rsidRPr="00C961A8">
              <w:rPr>
                <w:lang w:val="en-GB"/>
              </w:rPr>
              <w:t xml:space="preserve"> </w:t>
            </w:r>
            <w:r w:rsidRPr="00C961A8">
              <w:rPr>
                <w:b/>
                <w:bCs/>
                <w:strike/>
                <w:lang w:val="en-GB"/>
              </w:rPr>
              <w:t xml:space="preserve">T </w:t>
            </w:r>
            <w:r w:rsidRPr="00C961A8">
              <w:rPr>
                <w:b/>
                <w:bCs/>
                <w:lang w:val="en-GB"/>
              </w:rPr>
              <w:t>t</w:t>
            </w:r>
            <w:r w:rsidRPr="00C961A8">
              <w:rPr>
                <w:lang w:val="en-GB"/>
              </w:rPr>
              <w:t xml:space="preserve">he work processes, meetings venues and documents </w:t>
            </w:r>
            <w:r w:rsidRPr="00C961A8">
              <w:rPr>
                <w:b/>
                <w:bCs/>
                <w:strike/>
                <w:lang w:val="en-GB"/>
              </w:rPr>
              <w:t>shall be</w:t>
            </w:r>
            <w:r w:rsidRPr="00C961A8">
              <w:rPr>
                <w:lang w:val="en-GB"/>
              </w:rPr>
              <w:t xml:space="preserve"> accessible for persons with disabilities</w:t>
            </w:r>
            <w:r w:rsidRPr="00C961A8">
              <w:rPr>
                <w:b/>
                <w:bCs/>
                <w:lang w:val="en-GB"/>
              </w:rPr>
              <w:t>, exempting them from participation fees, as well as ensuring equal voting powers in</w:t>
            </w:r>
            <w:r w:rsidRPr="00C961A8">
              <w:rPr>
                <w:lang w:val="en-GB"/>
              </w:rPr>
              <w:t xml:space="preserve"> </w:t>
            </w:r>
            <w:r w:rsidRPr="00C961A8">
              <w:rPr>
                <w:b/>
                <w:bCs/>
                <w:lang w:val="en-GB"/>
              </w:rPr>
              <w:t>national committees. The ESOs shall also guarantee the provision of reasonable accommodation of experts with disabilities when necessary.</w:t>
            </w:r>
          </w:p>
          <w:p w14:paraId="119A7A5C" w14:textId="77777777" w:rsidR="00076997" w:rsidRPr="00C961A8" w:rsidRDefault="00076997" w:rsidP="00076997">
            <w:pPr>
              <w:rPr>
                <w:b/>
                <w:bCs/>
                <w:lang w:val="en-GB"/>
              </w:rPr>
            </w:pPr>
          </w:p>
          <w:p w14:paraId="6665895F" w14:textId="32BE75AA" w:rsidR="00076997" w:rsidRPr="00C961A8" w:rsidRDefault="00076997" w:rsidP="00076997">
            <w:pPr>
              <w:rPr>
                <w:lang w:val="en-GB"/>
              </w:rPr>
            </w:pPr>
            <w:r w:rsidRPr="00C961A8">
              <w:rPr>
                <w:b/>
                <w:bCs/>
                <w:lang w:val="en-GB"/>
              </w:rPr>
              <w:t>5. (new) The ESOs shall also inform the European Commission about the Terms of Reference of the different (joint) Technical Committees responsible for undertaking the standardisation request. These Terms of Reference shall include, among other, the appointment, roles and responsibilities of the Technical Committee management board, and how decisions are taken in the Technical Committee.</w:t>
            </w:r>
          </w:p>
        </w:tc>
      </w:tr>
      <w:tr w:rsidR="00B77020" w:rsidRPr="00C961A8" w14:paraId="4F7A9D47"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0C9157AE" w14:textId="619A5FCC" w:rsidR="00B77020" w:rsidRDefault="00B77020" w:rsidP="0086028B">
            <w:pPr>
              <w:rPr>
                <w:lang w:val="en-GB"/>
              </w:rPr>
            </w:pPr>
            <w:r w:rsidRPr="00C961A8">
              <w:rPr>
                <w:b/>
                <w:bCs/>
                <w:lang w:val="en-GB"/>
              </w:rPr>
              <w:lastRenderedPageBreak/>
              <w:t>Justification</w:t>
            </w:r>
            <w:r w:rsidRPr="00C961A8">
              <w:rPr>
                <w:lang w:val="en-GB"/>
              </w:rPr>
              <w:t>:</w:t>
            </w:r>
          </w:p>
          <w:p w14:paraId="6364B26C" w14:textId="2771B30D" w:rsidR="003B1837" w:rsidRDefault="003B1837" w:rsidP="0086028B">
            <w:pPr>
              <w:rPr>
                <w:lang w:val="en-GB"/>
              </w:rPr>
            </w:pPr>
          </w:p>
          <w:p w14:paraId="4FEED2F6" w14:textId="09A62181" w:rsidR="003B1837" w:rsidRPr="00C961A8" w:rsidRDefault="003B1837" w:rsidP="0086028B">
            <w:pPr>
              <w:rPr>
                <w:lang w:val="en-GB"/>
              </w:rPr>
            </w:pPr>
            <w:r>
              <w:rPr>
                <w:lang w:val="en-GB"/>
              </w:rPr>
              <w:t xml:space="preserve">Same justification as for </w:t>
            </w:r>
            <w:hyperlink w:anchor="_Recital_27" w:history="1">
              <w:r w:rsidRPr="003B1837">
                <w:rPr>
                  <w:rStyle w:val="Hyperlink"/>
                  <w:lang w:val="en-GB"/>
                </w:rPr>
                <w:t>recital 27 of draft request</w:t>
              </w:r>
            </w:hyperlink>
            <w:r>
              <w:rPr>
                <w:lang w:val="en-GB"/>
              </w:rPr>
              <w:t xml:space="preserve">. </w:t>
            </w:r>
          </w:p>
          <w:p w14:paraId="3EDD6BBA" w14:textId="77777777" w:rsidR="00B77020" w:rsidRPr="00C961A8" w:rsidRDefault="00B77020" w:rsidP="0086028B">
            <w:pPr>
              <w:rPr>
                <w:lang w:val="en-GB"/>
              </w:rPr>
            </w:pPr>
          </w:p>
        </w:tc>
      </w:tr>
    </w:tbl>
    <w:p w14:paraId="2DF09D69" w14:textId="6C94E397" w:rsidR="00B77020" w:rsidRPr="00C961A8" w:rsidRDefault="00076997" w:rsidP="00B77020">
      <w:pPr>
        <w:pStyle w:val="Heading3"/>
        <w:rPr>
          <w:lang w:val="en-GB"/>
        </w:rPr>
      </w:pPr>
      <w:r w:rsidRPr="00C961A8">
        <w:rPr>
          <w:lang w:val="en-GB"/>
        </w:rPr>
        <w:t>Article 3</w:t>
      </w:r>
    </w:p>
    <w:tbl>
      <w:tblPr>
        <w:tblStyle w:val="TableGrid"/>
        <w:tblW w:w="10201" w:type="dxa"/>
        <w:tblInd w:w="-572" w:type="dxa"/>
        <w:tblLook w:val="04A0" w:firstRow="1" w:lastRow="0" w:firstColumn="1" w:lastColumn="0" w:noHBand="0" w:noVBand="1"/>
      </w:tblPr>
      <w:tblGrid>
        <w:gridCol w:w="5098"/>
        <w:gridCol w:w="5103"/>
      </w:tblGrid>
      <w:tr w:rsidR="00B77020" w:rsidRPr="00C961A8" w14:paraId="1F33AA69"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02D39F36" w14:textId="77777777" w:rsidR="00B77020" w:rsidRPr="00C961A8" w:rsidRDefault="00B77020"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0B8F9AD6" w14:textId="77777777" w:rsidR="00B77020" w:rsidRPr="00C961A8" w:rsidRDefault="00B77020" w:rsidP="0086028B">
            <w:pPr>
              <w:rPr>
                <w:lang w:val="en-GB"/>
              </w:rPr>
            </w:pPr>
            <w:r w:rsidRPr="00C961A8">
              <w:rPr>
                <w:lang w:val="en-GB"/>
              </w:rPr>
              <w:t>EDF proposed amendments</w:t>
            </w:r>
          </w:p>
        </w:tc>
      </w:tr>
      <w:tr w:rsidR="00B77020" w:rsidRPr="00C961A8" w14:paraId="6FB800C7" w14:textId="77777777" w:rsidTr="00076997">
        <w:tc>
          <w:tcPr>
            <w:tcW w:w="5098" w:type="dxa"/>
            <w:tcBorders>
              <w:top w:val="single" w:sz="4" w:space="0" w:color="auto"/>
              <w:left w:val="single" w:sz="4" w:space="0" w:color="auto"/>
              <w:bottom w:val="single" w:sz="4" w:space="0" w:color="auto"/>
              <w:right w:val="single" w:sz="4" w:space="0" w:color="auto"/>
            </w:tcBorders>
          </w:tcPr>
          <w:p w14:paraId="1C1D3E20" w14:textId="67CC74B4" w:rsidR="00B77020" w:rsidRPr="00C961A8" w:rsidRDefault="00076997" w:rsidP="0086028B">
            <w:pPr>
              <w:rPr>
                <w:lang w:val="en-GB"/>
              </w:rPr>
            </w:pPr>
            <w:r w:rsidRPr="00C961A8">
              <w:rPr>
                <w:lang w:val="en-GB"/>
              </w:rPr>
              <w:t xml:space="preserve">1. The ESOs shall report annually to the Commission on the execution of the request referred to in Article 1 indicating the progress made in implementation of the work programme referenced to in Article 2. </w:t>
            </w:r>
          </w:p>
        </w:tc>
        <w:tc>
          <w:tcPr>
            <w:tcW w:w="5103" w:type="dxa"/>
            <w:tcBorders>
              <w:top w:val="single" w:sz="4" w:space="0" w:color="auto"/>
              <w:left w:val="single" w:sz="4" w:space="0" w:color="auto"/>
              <w:bottom w:val="single" w:sz="4" w:space="0" w:color="auto"/>
              <w:right w:val="single" w:sz="4" w:space="0" w:color="auto"/>
            </w:tcBorders>
          </w:tcPr>
          <w:p w14:paraId="792A8833" w14:textId="0A959B9C" w:rsidR="00B77020" w:rsidRPr="00C961A8" w:rsidRDefault="00076997" w:rsidP="00076997">
            <w:pPr>
              <w:rPr>
                <w:lang w:val="en-GB"/>
              </w:rPr>
            </w:pPr>
            <w:r w:rsidRPr="00C961A8">
              <w:rPr>
                <w:lang w:val="en-GB"/>
              </w:rPr>
              <w:t xml:space="preserve">1. The ESOs shall report annually to the Commission on the execution of the request referred to in Article 1 indicating the progress made in implementation of the work programme referenced to in Article 2. </w:t>
            </w:r>
            <w:r w:rsidRPr="00C961A8">
              <w:rPr>
                <w:b/>
                <w:bCs/>
                <w:lang w:val="en-GB"/>
              </w:rPr>
              <w:t xml:space="preserve">They shall also report on involvement of persons with disabilities in execution of the request as required by Article 2.4. </w:t>
            </w:r>
          </w:p>
        </w:tc>
      </w:tr>
      <w:tr w:rsidR="00B77020" w:rsidRPr="00C961A8" w14:paraId="79F2AFBA"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0102B846" w14:textId="4F031642" w:rsidR="00B77020" w:rsidRDefault="00B77020" w:rsidP="0086028B">
            <w:pPr>
              <w:rPr>
                <w:lang w:val="en-GB"/>
              </w:rPr>
            </w:pPr>
            <w:r w:rsidRPr="00C961A8">
              <w:rPr>
                <w:b/>
                <w:bCs/>
                <w:lang w:val="en-GB"/>
              </w:rPr>
              <w:t>Justification</w:t>
            </w:r>
            <w:r w:rsidRPr="00C961A8">
              <w:rPr>
                <w:lang w:val="en-GB"/>
              </w:rPr>
              <w:t>:</w:t>
            </w:r>
          </w:p>
          <w:p w14:paraId="4479AF61" w14:textId="0B49E812" w:rsidR="00514384" w:rsidRDefault="00514384" w:rsidP="0086028B">
            <w:pPr>
              <w:rPr>
                <w:lang w:val="en-GB"/>
              </w:rPr>
            </w:pPr>
          </w:p>
          <w:p w14:paraId="2D58A71F" w14:textId="6ADC6A6F" w:rsidR="00514384" w:rsidRPr="00C961A8" w:rsidRDefault="00514384" w:rsidP="0086028B">
            <w:pPr>
              <w:rPr>
                <w:lang w:val="en-GB"/>
              </w:rPr>
            </w:pPr>
            <w:r>
              <w:rPr>
                <w:rFonts w:cs="Arial"/>
              </w:rPr>
              <w:lastRenderedPageBreak/>
              <w:t xml:space="preserve">It is important to also monitor the involvement of DPOs in </w:t>
            </w:r>
            <w:proofErr w:type="spellStart"/>
            <w:r>
              <w:rPr>
                <w:rFonts w:cs="Arial"/>
              </w:rPr>
              <w:t>standardisation</w:t>
            </w:r>
            <w:proofErr w:type="spellEnd"/>
            <w:r>
              <w:rPr>
                <w:rFonts w:cs="Arial"/>
              </w:rPr>
              <w:t xml:space="preserve"> both at European and national level. This way, prevalent issues can be identified and addressed systematically.</w:t>
            </w:r>
          </w:p>
          <w:p w14:paraId="60641125" w14:textId="77777777" w:rsidR="00B77020" w:rsidRPr="00C961A8" w:rsidRDefault="00B77020" w:rsidP="0086028B">
            <w:pPr>
              <w:rPr>
                <w:lang w:val="en-GB"/>
              </w:rPr>
            </w:pPr>
          </w:p>
        </w:tc>
      </w:tr>
    </w:tbl>
    <w:p w14:paraId="5A5C3DDD" w14:textId="18B9F71C" w:rsidR="00076997" w:rsidRPr="00C961A8" w:rsidRDefault="00EC7485" w:rsidP="00076997">
      <w:pPr>
        <w:pStyle w:val="Heading3"/>
        <w:rPr>
          <w:lang w:val="en-GB"/>
        </w:rPr>
      </w:pPr>
      <w:bookmarkStart w:id="10" w:name="_Article_4"/>
      <w:bookmarkEnd w:id="10"/>
      <w:r w:rsidRPr="00C961A8">
        <w:rPr>
          <w:lang w:val="en-GB"/>
        </w:rPr>
        <w:lastRenderedPageBreak/>
        <w:t>Article 4</w:t>
      </w:r>
    </w:p>
    <w:tbl>
      <w:tblPr>
        <w:tblStyle w:val="TableGrid"/>
        <w:tblW w:w="10201" w:type="dxa"/>
        <w:tblInd w:w="-572" w:type="dxa"/>
        <w:tblLook w:val="04A0" w:firstRow="1" w:lastRow="0" w:firstColumn="1" w:lastColumn="0" w:noHBand="0" w:noVBand="1"/>
      </w:tblPr>
      <w:tblGrid>
        <w:gridCol w:w="5098"/>
        <w:gridCol w:w="5103"/>
      </w:tblGrid>
      <w:tr w:rsidR="00076997" w:rsidRPr="00C961A8" w14:paraId="7E904AD3"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1FBE3F66" w14:textId="77777777" w:rsidR="00076997" w:rsidRPr="00C961A8" w:rsidRDefault="00076997"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6092E60C" w14:textId="77777777" w:rsidR="00076997" w:rsidRPr="00C961A8" w:rsidRDefault="00076997" w:rsidP="0086028B">
            <w:pPr>
              <w:rPr>
                <w:lang w:val="en-GB"/>
              </w:rPr>
            </w:pPr>
            <w:r w:rsidRPr="00C961A8">
              <w:rPr>
                <w:lang w:val="en-GB"/>
              </w:rPr>
              <w:t>EDF proposed amendments</w:t>
            </w:r>
          </w:p>
        </w:tc>
      </w:tr>
      <w:tr w:rsidR="00076997" w:rsidRPr="00C961A8" w14:paraId="45D5B5D5" w14:textId="77777777" w:rsidTr="0086028B">
        <w:tc>
          <w:tcPr>
            <w:tcW w:w="5098" w:type="dxa"/>
            <w:tcBorders>
              <w:top w:val="single" w:sz="4" w:space="0" w:color="auto"/>
              <w:left w:val="single" w:sz="4" w:space="0" w:color="auto"/>
              <w:bottom w:val="single" w:sz="4" w:space="0" w:color="auto"/>
              <w:right w:val="single" w:sz="4" w:space="0" w:color="auto"/>
            </w:tcBorders>
          </w:tcPr>
          <w:p w14:paraId="00937326" w14:textId="60A7862B" w:rsidR="00076997" w:rsidRPr="00C961A8" w:rsidRDefault="00EC7485" w:rsidP="0086028B">
            <w:pPr>
              <w:rPr>
                <w:lang w:val="en-GB"/>
              </w:rPr>
            </w:pPr>
            <w:r w:rsidRPr="00C961A8">
              <w:rPr>
                <w:lang w:val="en-GB"/>
              </w:rPr>
              <w:t>N/A</w:t>
            </w:r>
          </w:p>
        </w:tc>
        <w:tc>
          <w:tcPr>
            <w:tcW w:w="5103" w:type="dxa"/>
            <w:tcBorders>
              <w:top w:val="single" w:sz="4" w:space="0" w:color="auto"/>
              <w:left w:val="single" w:sz="4" w:space="0" w:color="auto"/>
              <w:bottom w:val="single" w:sz="4" w:space="0" w:color="auto"/>
              <w:right w:val="single" w:sz="4" w:space="0" w:color="auto"/>
            </w:tcBorders>
          </w:tcPr>
          <w:p w14:paraId="33B51AE6" w14:textId="05874A8E" w:rsidR="00076997" w:rsidRPr="00C961A8" w:rsidRDefault="00EC7485" w:rsidP="0086028B">
            <w:pPr>
              <w:rPr>
                <w:b/>
                <w:bCs/>
                <w:lang w:val="en-GB"/>
              </w:rPr>
            </w:pPr>
            <w:r w:rsidRPr="00C961A8">
              <w:rPr>
                <w:b/>
                <w:bCs/>
                <w:lang w:val="en-GB"/>
              </w:rPr>
              <w:t>The harmonised standards shall be available free of charge.</w:t>
            </w:r>
          </w:p>
        </w:tc>
      </w:tr>
      <w:tr w:rsidR="00076997" w:rsidRPr="00C961A8" w14:paraId="46852E06" w14:textId="77777777" w:rsidTr="0086028B">
        <w:trPr>
          <w:trHeight w:val="478"/>
        </w:trPr>
        <w:tc>
          <w:tcPr>
            <w:tcW w:w="10201" w:type="dxa"/>
            <w:gridSpan w:val="2"/>
            <w:tcBorders>
              <w:top w:val="single" w:sz="4" w:space="0" w:color="auto"/>
              <w:left w:val="single" w:sz="4" w:space="0" w:color="auto"/>
              <w:bottom w:val="single" w:sz="4" w:space="0" w:color="auto"/>
              <w:right w:val="single" w:sz="4" w:space="0" w:color="auto"/>
            </w:tcBorders>
            <w:hideMark/>
          </w:tcPr>
          <w:p w14:paraId="32AD8E46" w14:textId="24EC0FB3" w:rsidR="00076997" w:rsidRDefault="00076997" w:rsidP="0086028B">
            <w:pPr>
              <w:rPr>
                <w:lang w:val="en-GB"/>
              </w:rPr>
            </w:pPr>
            <w:r w:rsidRPr="00C961A8">
              <w:rPr>
                <w:b/>
                <w:bCs/>
                <w:lang w:val="en-GB"/>
              </w:rPr>
              <w:t>Justification</w:t>
            </w:r>
            <w:r w:rsidRPr="00C961A8">
              <w:rPr>
                <w:lang w:val="en-GB"/>
              </w:rPr>
              <w:t>:</w:t>
            </w:r>
          </w:p>
          <w:p w14:paraId="0F2304BF" w14:textId="4D79C823" w:rsidR="00514384" w:rsidRDefault="00514384" w:rsidP="0086028B">
            <w:pPr>
              <w:rPr>
                <w:lang w:val="en-GB"/>
              </w:rPr>
            </w:pPr>
          </w:p>
          <w:p w14:paraId="7BCA2A4B" w14:textId="77777777" w:rsidR="007C1375" w:rsidRDefault="007C1375" w:rsidP="0086028B">
            <w:pPr>
              <w:rPr>
                <w:rFonts w:cs="Arial"/>
              </w:rPr>
            </w:pPr>
          </w:p>
          <w:p w14:paraId="48D3BDC6" w14:textId="4B809B38" w:rsidR="007C1375" w:rsidRPr="007C1375" w:rsidRDefault="007C1375" w:rsidP="007C1375">
            <w:pPr>
              <w:rPr>
                <w:rFonts w:cs="Arial"/>
                <w:lang w:val="en-GB"/>
              </w:rPr>
            </w:pPr>
            <w:r>
              <w:rPr>
                <w:rFonts w:cs="Arial"/>
                <w:lang w:val="en-GB"/>
              </w:rPr>
              <w:t>We welcome</w:t>
            </w:r>
            <w:r w:rsidRPr="007C1375">
              <w:rPr>
                <w:rFonts w:cs="Arial"/>
                <w:lang w:val="en-GB"/>
              </w:rPr>
              <w:t xml:space="preserve"> the request to make the harmonised standards available free of charge for non-for-profit organisations in </w:t>
            </w:r>
            <w:hyperlink w:anchor="_Part_A._General" w:history="1">
              <w:r w:rsidRPr="007C1375">
                <w:rPr>
                  <w:rStyle w:val="Hyperlink"/>
                  <w:rFonts w:cs="Arial"/>
                  <w:lang w:val="en-GB"/>
                </w:rPr>
                <w:t>Annex IV, Part A, 3</w:t>
              </w:r>
            </w:hyperlink>
            <w:r w:rsidRPr="007C1375">
              <w:rPr>
                <w:rFonts w:cs="Arial"/>
                <w:lang w:val="en-GB"/>
              </w:rPr>
              <w:t>. For the sake of consistency this should also be added in the text of the draft implementing decision.</w:t>
            </w:r>
            <w:r w:rsidR="001C3271">
              <w:rPr>
                <w:rFonts w:cs="Arial"/>
                <w:lang w:val="en-GB"/>
              </w:rPr>
              <w:t xml:space="preserve"> </w:t>
            </w:r>
          </w:p>
          <w:p w14:paraId="54B73086" w14:textId="77777777" w:rsidR="007C1375" w:rsidRPr="007C1375" w:rsidRDefault="007C1375" w:rsidP="0086028B">
            <w:pPr>
              <w:rPr>
                <w:rFonts w:cs="Arial"/>
                <w:lang w:val="en-GB"/>
              </w:rPr>
            </w:pPr>
          </w:p>
          <w:p w14:paraId="53FFBBC2" w14:textId="6FE4CB7A" w:rsidR="00514384" w:rsidRPr="00C961A8" w:rsidRDefault="00514384" w:rsidP="0086028B">
            <w:pPr>
              <w:rPr>
                <w:lang w:val="en-GB"/>
              </w:rPr>
            </w:pPr>
            <w:r>
              <w:rPr>
                <w:rFonts w:cs="Arial"/>
              </w:rPr>
              <w:t xml:space="preserve">We recommend going further and making the </w:t>
            </w:r>
            <w:proofErr w:type="spellStart"/>
            <w:r>
              <w:rPr>
                <w:rFonts w:cs="Arial"/>
              </w:rPr>
              <w:t>harmonised</w:t>
            </w:r>
            <w:proofErr w:type="spellEnd"/>
            <w:r>
              <w:rPr>
                <w:rFonts w:cs="Arial"/>
              </w:rPr>
              <w:t xml:space="preserve"> standards free of charge for everyone. We highlight that the development of these standards is paid by public money and making them free for the use of all interested stakeholders will ensure their effective use. It will often be for-profit </w:t>
            </w:r>
            <w:proofErr w:type="spellStart"/>
            <w:r>
              <w:rPr>
                <w:rFonts w:cs="Arial"/>
              </w:rPr>
              <w:t>organisations</w:t>
            </w:r>
            <w:proofErr w:type="spellEnd"/>
            <w:r>
              <w:rPr>
                <w:rFonts w:cs="Arial"/>
              </w:rPr>
              <w:t xml:space="preserve"> (e.g. building companies, ICT service providers, etc.) who will be the main users of these standards, while DPOs and other not-for-profit </w:t>
            </w:r>
            <w:proofErr w:type="spellStart"/>
            <w:r>
              <w:rPr>
                <w:rFonts w:cs="Arial"/>
              </w:rPr>
              <w:t>organisations</w:t>
            </w:r>
            <w:proofErr w:type="spellEnd"/>
            <w:r>
              <w:rPr>
                <w:rFonts w:cs="Arial"/>
              </w:rPr>
              <w:t xml:space="preserve"> will benefit from free of charge standards to be able to better monitor and assess implementation of the EAA as well as promote the developed standards without any barriers.</w:t>
            </w:r>
          </w:p>
          <w:p w14:paraId="4737E627" w14:textId="77777777" w:rsidR="00076997" w:rsidRPr="00C961A8" w:rsidRDefault="00076997" w:rsidP="0086028B">
            <w:pPr>
              <w:rPr>
                <w:lang w:val="en-GB"/>
              </w:rPr>
            </w:pPr>
          </w:p>
        </w:tc>
      </w:tr>
    </w:tbl>
    <w:p w14:paraId="5F79CC3A" w14:textId="548DF0E6" w:rsidR="009630E9" w:rsidRPr="00C961A8" w:rsidRDefault="009630E9" w:rsidP="009630E9">
      <w:pPr>
        <w:pStyle w:val="Heading2"/>
        <w:rPr>
          <w:lang w:val="en-GB"/>
        </w:rPr>
      </w:pPr>
      <w:bookmarkStart w:id="11" w:name="_Toc81993522"/>
      <w:r w:rsidRPr="00C961A8">
        <w:rPr>
          <w:lang w:val="en-GB"/>
        </w:rPr>
        <w:t>Annexes to the implementing decision</w:t>
      </w:r>
      <w:bookmarkEnd w:id="11"/>
      <w:r w:rsidRPr="00C961A8">
        <w:rPr>
          <w:lang w:val="en-GB"/>
        </w:rPr>
        <w:t xml:space="preserve"> </w:t>
      </w:r>
    </w:p>
    <w:p w14:paraId="3C9C215B" w14:textId="15083E36" w:rsidR="008D4DFD" w:rsidRPr="008D4DFD" w:rsidRDefault="008D4DFD" w:rsidP="008D4DFD">
      <w:pPr>
        <w:pStyle w:val="Heading3"/>
        <w:rPr>
          <w:lang w:val="en-GB"/>
        </w:rPr>
      </w:pPr>
      <w:r w:rsidRPr="00C961A8">
        <w:rPr>
          <w:lang w:val="en-GB"/>
        </w:rPr>
        <w:t xml:space="preserve">Annex I - </w:t>
      </w:r>
      <w:r w:rsidRPr="008D4DFD">
        <w:rPr>
          <w:lang w:val="en-GB"/>
        </w:rPr>
        <w:t>List of new standards to be drafted, list of existing standards to be revised as referred to in Article 1(1)</w:t>
      </w:r>
    </w:p>
    <w:p w14:paraId="4CB869F0" w14:textId="616ED158" w:rsidR="008D4DFD" w:rsidRPr="00C961A8" w:rsidRDefault="008D4DFD" w:rsidP="008D4DFD">
      <w:pPr>
        <w:pStyle w:val="Heading4"/>
        <w:rPr>
          <w:lang w:val="en-GB"/>
        </w:rPr>
      </w:pPr>
      <w:r w:rsidRPr="00C961A8">
        <w:rPr>
          <w:lang w:val="en-GB"/>
        </w:rPr>
        <w:t xml:space="preserve">Table 1: List of new harmonised standards to be drafted and deadlines for their adoption </w:t>
      </w:r>
    </w:p>
    <w:tbl>
      <w:tblPr>
        <w:tblStyle w:val="TableGrid"/>
        <w:tblW w:w="10201" w:type="dxa"/>
        <w:tblInd w:w="-572" w:type="dxa"/>
        <w:tblLook w:val="04A0" w:firstRow="1" w:lastRow="0" w:firstColumn="1" w:lastColumn="0" w:noHBand="0" w:noVBand="1"/>
      </w:tblPr>
      <w:tblGrid>
        <w:gridCol w:w="5098"/>
        <w:gridCol w:w="5103"/>
      </w:tblGrid>
      <w:tr w:rsidR="009630E9" w:rsidRPr="00C961A8" w14:paraId="27A5E62C"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2AD2D348" w14:textId="77777777" w:rsidR="009630E9" w:rsidRPr="00C961A8" w:rsidRDefault="009630E9"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75004D64" w14:textId="77777777" w:rsidR="009630E9" w:rsidRPr="00C961A8" w:rsidRDefault="009630E9" w:rsidP="0086028B">
            <w:pPr>
              <w:rPr>
                <w:lang w:val="en-GB"/>
              </w:rPr>
            </w:pPr>
            <w:r w:rsidRPr="00C961A8">
              <w:rPr>
                <w:lang w:val="en-GB"/>
              </w:rPr>
              <w:t>EDF proposed amendments</w:t>
            </w:r>
          </w:p>
        </w:tc>
      </w:tr>
      <w:tr w:rsidR="009630E9" w:rsidRPr="00C961A8" w14:paraId="3BC5E179" w14:textId="77777777" w:rsidTr="008D4DFD">
        <w:tc>
          <w:tcPr>
            <w:tcW w:w="5098" w:type="dxa"/>
            <w:tcBorders>
              <w:top w:val="single" w:sz="4" w:space="0" w:color="auto"/>
              <w:left w:val="single" w:sz="4" w:space="0" w:color="auto"/>
              <w:bottom w:val="single" w:sz="4" w:space="0" w:color="auto"/>
              <w:right w:val="single" w:sz="4" w:space="0" w:color="auto"/>
            </w:tcBorders>
            <w:hideMark/>
          </w:tcPr>
          <w:p w14:paraId="3A37D4F3" w14:textId="1FCF8CF6" w:rsidR="009630E9" w:rsidRPr="00C961A8" w:rsidRDefault="008D4DFD" w:rsidP="0086028B">
            <w:pPr>
              <w:rPr>
                <w:lang w:val="en-GB"/>
              </w:rPr>
            </w:pPr>
            <w:r w:rsidRPr="00C961A8">
              <w:rPr>
                <w:lang w:val="en-GB"/>
              </w:rPr>
              <w:t>2. Harmonized standard for the accessibility of support services related to products and services (help desks, call centres, technical support, relay services and training services)</w:t>
            </w:r>
          </w:p>
          <w:p w14:paraId="16361477" w14:textId="33BBCA9C" w:rsidR="008D4DFD" w:rsidRPr="00C961A8" w:rsidRDefault="008D4DFD" w:rsidP="0086028B">
            <w:pPr>
              <w:rPr>
                <w:lang w:val="en-GB"/>
              </w:rPr>
            </w:pPr>
          </w:p>
          <w:p w14:paraId="4658910C" w14:textId="4EC1530C" w:rsidR="008D4DFD" w:rsidRPr="00C961A8" w:rsidRDefault="008D4DFD" w:rsidP="0086028B">
            <w:pPr>
              <w:rPr>
                <w:lang w:val="en-GB"/>
              </w:rPr>
            </w:pPr>
          </w:p>
          <w:p w14:paraId="699BDD75" w14:textId="1B8BB323" w:rsidR="008D4DFD" w:rsidRPr="00C961A8" w:rsidRDefault="008D4DFD" w:rsidP="0086028B">
            <w:pPr>
              <w:rPr>
                <w:lang w:val="en-GB"/>
              </w:rPr>
            </w:pPr>
          </w:p>
          <w:p w14:paraId="59641331" w14:textId="6F411198" w:rsidR="008D4DFD" w:rsidRPr="00C961A8" w:rsidRDefault="008D4DFD" w:rsidP="0086028B">
            <w:pPr>
              <w:rPr>
                <w:lang w:val="en-GB"/>
              </w:rPr>
            </w:pPr>
          </w:p>
          <w:p w14:paraId="2E4CE968" w14:textId="77777777" w:rsidR="008D4DFD" w:rsidRPr="00C961A8" w:rsidRDefault="008D4DFD" w:rsidP="0086028B">
            <w:pPr>
              <w:rPr>
                <w:lang w:val="en-GB"/>
              </w:rPr>
            </w:pPr>
          </w:p>
          <w:p w14:paraId="6573F80D" w14:textId="77777777" w:rsidR="008D4DFD" w:rsidRPr="00C961A8" w:rsidRDefault="008D4DFD" w:rsidP="0086028B">
            <w:pPr>
              <w:rPr>
                <w:lang w:val="en-GB"/>
              </w:rPr>
            </w:pPr>
          </w:p>
          <w:p w14:paraId="7DD6166C" w14:textId="0F15255A" w:rsidR="008D4DFD" w:rsidRPr="00C961A8" w:rsidRDefault="008D4DFD" w:rsidP="008D4DFD">
            <w:pPr>
              <w:rPr>
                <w:lang w:val="en-GB"/>
              </w:rPr>
            </w:pPr>
            <w:r w:rsidRPr="00C961A8">
              <w:rPr>
                <w:lang w:val="en-GB"/>
              </w:rPr>
              <w:lastRenderedPageBreak/>
              <w:t>3. Harmonized standard  for the accessibility of emergency communications and for the answering of emergency communications by the PSAPs (including to the single European Emergency number 112)</w:t>
            </w:r>
          </w:p>
          <w:p w14:paraId="39469B67" w14:textId="38C921BE" w:rsidR="008D4DFD" w:rsidRPr="00C961A8" w:rsidRDefault="008D4DFD" w:rsidP="008D4DFD">
            <w:pPr>
              <w:rPr>
                <w:lang w:val="en-GB"/>
              </w:rPr>
            </w:pPr>
          </w:p>
          <w:p w14:paraId="1720502A" w14:textId="77777777" w:rsidR="008D4DFD" w:rsidRPr="00C961A8" w:rsidRDefault="008D4DFD" w:rsidP="008D4DFD">
            <w:pPr>
              <w:rPr>
                <w:lang w:val="en-GB"/>
              </w:rPr>
            </w:pPr>
          </w:p>
          <w:p w14:paraId="63ECBAD6" w14:textId="7152E8DA" w:rsidR="008D4DFD" w:rsidRPr="00C961A8" w:rsidRDefault="008D4DFD" w:rsidP="008D4DFD">
            <w:pPr>
              <w:rPr>
                <w:rFonts w:ascii="Times New Roman" w:hAnsi="Times New Roman"/>
                <w:sz w:val="22"/>
                <w:lang w:val="en-GB"/>
              </w:rPr>
            </w:pPr>
            <w:r w:rsidRPr="00C961A8">
              <w:rPr>
                <w:lang w:val="en-GB"/>
              </w:rPr>
              <w:t>4. (new) N/A</w:t>
            </w:r>
          </w:p>
          <w:p w14:paraId="227BEEBE" w14:textId="0AF1486B" w:rsidR="008D4DFD" w:rsidRPr="00C961A8" w:rsidRDefault="008D4DFD" w:rsidP="0086028B">
            <w:pPr>
              <w:rPr>
                <w:lang w:val="en-GB"/>
              </w:rPr>
            </w:pPr>
          </w:p>
        </w:tc>
        <w:tc>
          <w:tcPr>
            <w:tcW w:w="5103" w:type="dxa"/>
            <w:tcBorders>
              <w:top w:val="single" w:sz="4" w:space="0" w:color="auto"/>
              <w:left w:val="single" w:sz="4" w:space="0" w:color="auto"/>
              <w:bottom w:val="single" w:sz="4" w:space="0" w:color="auto"/>
              <w:right w:val="single" w:sz="4" w:space="0" w:color="auto"/>
            </w:tcBorders>
          </w:tcPr>
          <w:p w14:paraId="789422CB" w14:textId="08CCF040" w:rsidR="008D4DFD" w:rsidRPr="00C961A8" w:rsidRDefault="008D4DFD" w:rsidP="008D4DFD">
            <w:pPr>
              <w:rPr>
                <w:lang w:val="en-GB"/>
              </w:rPr>
            </w:pPr>
            <w:r w:rsidRPr="00C961A8">
              <w:rPr>
                <w:lang w:val="en-GB"/>
              </w:rPr>
              <w:lastRenderedPageBreak/>
              <w:t xml:space="preserve">2. </w:t>
            </w:r>
            <w:r w:rsidRPr="008D4DFD">
              <w:rPr>
                <w:lang w:val="en-GB"/>
              </w:rPr>
              <w:t>Harmonized standard for the accessibility of support services related to products and services (help desks,</w:t>
            </w:r>
            <w:r w:rsidRPr="00C961A8">
              <w:rPr>
                <w:b/>
                <w:bCs/>
                <w:strike/>
                <w:lang w:val="en-GB"/>
              </w:rPr>
              <w:t xml:space="preserve"> call </w:t>
            </w:r>
            <w:r w:rsidRPr="008D4DFD">
              <w:rPr>
                <w:b/>
                <w:bCs/>
                <w:lang w:val="en-GB"/>
              </w:rPr>
              <w:t>contact</w:t>
            </w:r>
            <w:r w:rsidRPr="008D4DFD">
              <w:rPr>
                <w:lang w:val="en-GB"/>
              </w:rPr>
              <w:t xml:space="preserve"> centres, technical support, relay services</w:t>
            </w:r>
            <w:r w:rsidRPr="00C961A8">
              <w:rPr>
                <w:lang w:val="en-GB"/>
              </w:rPr>
              <w:t xml:space="preserve">, </w:t>
            </w:r>
            <w:r w:rsidRPr="00C961A8">
              <w:rPr>
                <w:b/>
                <w:bCs/>
                <w:strike/>
                <w:lang w:val="en-GB"/>
              </w:rPr>
              <w:t>and</w:t>
            </w:r>
            <w:r w:rsidRPr="008D4DFD">
              <w:rPr>
                <w:lang w:val="en-GB"/>
              </w:rPr>
              <w:t xml:space="preserve"> training services</w:t>
            </w:r>
            <w:r w:rsidRPr="008D4DFD">
              <w:rPr>
                <w:b/>
                <w:bCs/>
                <w:lang w:val="en-GB"/>
              </w:rPr>
              <w:t xml:space="preserve">, passenger assistance services, non-emergency crucial support services (e.g. domestic violence victim support centres, </w:t>
            </w:r>
            <w:r w:rsidR="007304B3">
              <w:rPr>
                <w:b/>
                <w:bCs/>
                <w:lang w:val="en-GB"/>
              </w:rPr>
              <w:t>public health emergency</w:t>
            </w:r>
            <w:r w:rsidRPr="008D4DFD">
              <w:rPr>
                <w:b/>
                <w:bCs/>
                <w:lang w:val="en-GB"/>
              </w:rPr>
              <w:t xml:space="preserve"> information centres, etc</w:t>
            </w:r>
            <w:r w:rsidRPr="008D4DFD">
              <w:rPr>
                <w:lang w:val="en-GB"/>
              </w:rPr>
              <w:t xml:space="preserve">)  </w:t>
            </w:r>
          </w:p>
          <w:p w14:paraId="1F363D8D" w14:textId="7EE4124D" w:rsidR="008D4DFD" w:rsidRPr="00C961A8" w:rsidRDefault="008D4DFD" w:rsidP="008D4DFD">
            <w:pPr>
              <w:rPr>
                <w:lang w:val="en-GB"/>
              </w:rPr>
            </w:pPr>
          </w:p>
          <w:p w14:paraId="00C5C426" w14:textId="78A3A3A0" w:rsidR="008D4DFD" w:rsidRPr="00C961A8" w:rsidRDefault="008D4DFD" w:rsidP="008D4DFD">
            <w:pPr>
              <w:rPr>
                <w:lang w:val="en-GB"/>
              </w:rPr>
            </w:pPr>
            <w:r w:rsidRPr="00C961A8">
              <w:rPr>
                <w:lang w:val="en-GB"/>
              </w:rPr>
              <w:lastRenderedPageBreak/>
              <w:t xml:space="preserve">3. Harmonized standard for the accessibility </w:t>
            </w:r>
            <w:r w:rsidRPr="00C961A8">
              <w:rPr>
                <w:b/>
                <w:bCs/>
                <w:lang w:val="en-GB"/>
              </w:rPr>
              <w:t>and interoperability</w:t>
            </w:r>
            <w:r w:rsidRPr="00C961A8">
              <w:rPr>
                <w:lang w:val="en-GB"/>
              </w:rPr>
              <w:t xml:space="preserve"> of emergency communications and for the answering of emergency communications by the PSAPs (including to the single European Emergency number 112)</w:t>
            </w:r>
          </w:p>
          <w:p w14:paraId="0E9F0A23" w14:textId="4DB02270" w:rsidR="008D4DFD" w:rsidRPr="00C961A8" w:rsidRDefault="008D4DFD" w:rsidP="008D4DFD">
            <w:pPr>
              <w:rPr>
                <w:lang w:val="en-GB"/>
              </w:rPr>
            </w:pPr>
          </w:p>
          <w:p w14:paraId="0782B0D0" w14:textId="20D72EE7" w:rsidR="009630E9" w:rsidRPr="00C961A8" w:rsidRDefault="008D4DFD" w:rsidP="008D4DFD">
            <w:pPr>
              <w:spacing w:before="240"/>
              <w:rPr>
                <w:lang w:val="en-GB"/>
              </w:rPr>
            </w:pPr>
            <w:r w:rsidRPr="00C961A8">
              <w:rPr>
                <w:b/>
                <w:bCs/>
                <w:lang w:val="en-GB"/>
              </w:rPr>
              <w:t>4. (new) Harmonized standards setting up quality requirements of access services (subtitles for the deaf and hard of hearing, audio description, spoken subtitles and sign language interpretation) in audiovisual media services.</w:t>
            </w:r>
          </w:p>
        </w:tc>
      </w:tr>
      <w:tr w:rsidR="009630E9" w:rsidRPr="00C961A8" w14:paraId="535D28AD" w14:textId="77777777" w:rsidTr="0086028B">
        <w:tc>
          <w:tcPr>
            <w:tcW w:w="10201" w:type="dxa"/>
            <w:gridSpan w:val="2"/>
            <w:tcBorders>
              <w:top w:val="single" w:sz="4" w:space="0" w:color="auto"/>
              <w:left w:val="single" w:sz="4" w:space="0" w:color="auto"/>
              <w:bottom w:val="single" w:sz="4" w:space="0" w:color="auto"/>
              <w:right w:val="single" w:sz="4" w:space="0" w:color="auto"/>
            </w:tcBorders>
            <w:hideMark/>
          </w:tcPr>
          <w:p w14:paraId="3167A47E" w14:textId="2FEAA83C" w:rsidR="009630E9" w:rsidRDefault="009630E9" w:rsidP="0086028B">
            <w:pPr>
              <w:rPr>
                <w:lang w:val="en-GB"/>
              </w:rPr>
            </w:pPr>
            <w:r w:rsidRPr="00C961A8">
              <w:rPr>
                <w:b/>
                <w:bCs/>
                <w:lang w:val="en-GB"/>
              </w:rPr>
              <w:lastRenderedPageBreak/>
              <w:t>Justification</w:t>
            </w:r>
            <w:r w:rsidRPr="00C961A8">
              <w:rPr>
                <w:lang w:val="en-GB"/>
              </w:rPr>
              <w:t>:</w:t>
            </w:r>
          </w:p>
          <w:p w14:paraId="5844E27B" w14:textId="0143DC1C" w:rsidR="00F94378" w:rsidRDefault="00F94378" w:rsidP="0086028B">
            <w:pPr>
              <w:rPr>
                <w:lang w:val="en-GB"/>
              </w:rPr>
            </w:pPr>
          </w:p>
          <w:p w14:paraId="235FC510" w14:textId="3BDF59A8" w:rsidR="001C3271" w:rsidRDefault="005109C5" w:rsidP="0086028B">
            <w:pPr>
              <w:rPr>
                <w:lang w:val="en-GB"/>
              </w:rPr>
            </w:pPr>
            <w:r>
              <w:rPr>
                <w:lang w:val="en-GB"/>
              </w:rPr>
              <w:t>P</w:t>
            </w:r>
            <w:r w:rsidR="001C3271">
              <w:rPr>
                <w:lang w:val="en-GB"/>
              </w:rPr>
              <w:t>aragraph 2:</w:t>
            </w:r>
            <w:r>
              <w:rPr>
                <w:lang w:val="en-GB"/>
              </w:rPr>
              <w:t xml:space="preserve"> </w:t>
            </w:r>
            <w:r w:rsidR="00333EF2">
              <w:rPr>
                <w:lang w:val="en-GB"/>
              </w:rPr>
              <w:t xml:space="preserve">some editorial changes, as well as </w:t>
            </w:r>
            <w:r w:rsidR="00AA2095">
              <w:rPr>
                <w:lang w:val="en-GB"/>
              </w:rPr>
              <w:t>other support services which may benefit from this standard.</w:t>
            </w:r>
            <w:r w:rsidR="001C3271">
              <w:rPr>
                <w:lang w:val="en-GB"/>
              </w:rPr>
              <w:t xml:space="preserve"> </w:t>
            </w:r>
          </w:p>
          <w:p w14:paraId="247C4415" w14:textId="77777777" w:rsidR="001C3271" w:rsidRDefault="001C3271" w:rsidP="0086028B">
            <w:pPr>
              <w:rPr>
                <w:lang w:val="en-GB"/>
              </w:rPr>
            </w:pPr>
          </w:p>
          <w:p w14:paraId="651432B3" w14:textId="027F5E59" w:rsidR="00F94378" w:rsidRDefault="00CD24C0" w:rsidP="0086028B">
            <w:pPr>
              <w:rPr>
                <w:lang w:val="en-GB"/>
              </w:rPr>
            </w:pPr>
            <w:r w:rsidRPr="005109C5">
              <w:rPr>
                <w:lang w:val="en-GB"/>
              </w:rPr>
              <w:t>Paragraph 3:</w:t>
            </w:r>
            <w:r w:rsidR="00F94378">
              <w:rPr>
                <w:lang w:val="en-GB"/>
              </w:rPr>
              <w:t xml:space="preserve"> same as for </w:t>
            </w:r>
            <w:hyperlink w:anchor="_Recital_8" w:history="1">
              <w:r w:rsidR="00F94378" w:rsidRPr="00F94378">
                <w:rPr>
                  <w:rStyle w:val="Hyperlink"/>
                  <w:lang w:val="en-GB"/>
                </w:rPr>
                <w:t>recital 8 of draft request</w:t>
              </w:r>
            </w:hyperlink>
            <w:r w:rsidR="00F94378">
              <w:rPr>
                <w:lang w:val="en-GB"/>
              </w:rPr>
              <w:t xml:space="preserve">. </w:t>
            </w:r>
          </w:p>
          <w:p w14:paraId="6B53276A" w14:textId="701BF85B" w:rsidR="00AA2095" w:rsidRDefault="00AA2095" w:rsidP="0086028B">
            <w:pPr>
              <w:rPr>
                <w:lang w:val="en-GB"/>
              </w:rPr>
            </w:pPr>
          </w:p>
          <w:p w14:paraId="7C13ACB9" w14:textId="45D48C43" w:rsidR="00AA2095" w:rsidRPr="00C961A8" w:rsidRDefault="00AA2095" w:rsidP="00D75E4E">
            <w:pPr>
              <w:rPr>
                <w:lang w:val="en-GB"/>
              </w:rPr>
            </w:pPr>
            <w:r>
              <w:rPr>
                <w:lang w:val="en-GB"/>
              </w:rPr>
              <w:t xml:space="preserve">Paragraph 4: </w:t>
            </w:r>
            <w:r w:rsidR="00892BD0">
              <w:rPr>
                <w:lang w:val="en-GB"/>
              </w:rPr>
              <w:t>the EAA Annex I, Section IV, paragraph b, point ii) requires  “</w:t>
            </w:r>
            <w:r w:rsidR="00D75E4E" w:rsidRPr="00D75E4E">
              <w:rPr>
                <w:lang w:val="en-GB"/>
              </w:rPr>
              <w:t>ensuring that the accessibility components (access services) of the audiovisual media services such as subtitles for the deaf and hard of hearing, audio description, spoken subtitles and sign language interpretation are fully transmitted with adequate quality for accurate display, and synchronised with sound and video, while allowing for user control of their display and use</w:t>
            </w:r>
            <w:r w:rsidR="00892BD0">
              <w:rPr>
                <w:lang w:val="en-GB"/>
              </w:rPr>
              <w:t xml:space="preserve">”. </w:t>
            </w:r>
            <w:r w:rsidR="00477E3D">
              <w:rPr>
                <w:lang w:val="en-GB"/>
              </w:rPr>
              <w:t xml:space="preserve">We believe this standardisation request could be an opportunity to harmonise the quality aspects </w:t>
            </w:r>
            <w:r w:rsidR="002C66DC">
              <w:rPr>
                <w:lang w:val="en-GB"/>
              </w:rPr>
              <w:t xml:space="preserve">of these access services, and by doing so, contributing to the implementation of the Audiovisual Media Services Directive, because many EU countries do not count with national standards for these access services, preventing </w:t>
            </w:r>
            <w:r w:rsidR="000B0E6E">
              <w:rPr>
                <w:lang w:val="en-GB"/>
              </w:rPr>
              <w:t>the free movement of providers of these services.</w:t>
            </w:r>
            <w:r>
              <w:rPr>
                <w:lang w:val="en-GB"/>
              </w:rPr>
              <w:t xml:space="preserve"> </w:t>
            </w:r>
          </w:p>
          <w:p w14:paraId="701E3ED3" w14:textId="5BF3694D" w:rsidR="009630E9" w:rsidRPr="00C961A8" w:rsidRDefault="009630E9" w:rsidP="0086028B">
            <w:pPr>
              <w:rPr>
                <w:lang w:val="en-GB"/>
              </w:rPr>
            </w:pPr>
          </w:p>
        </w:tc>
      </w:tr>
    </w:tbl>
    <w:p w14:paraId="4315AC13" w14:textId="31839836" w:rsidR="008D4DFD" w:rsidRPr="00C961A8" w:rsidRDefault="00B21DA3" w:rsidP="00B21DA3">
      <w:pPr>
        <w:pStyle w:val="Heading3"/>
        <w:rPr>
          <w:lang w:val="en-GB"/>
        </w:rPr>
      </w:pPr>
      <w:bookmarkStart w:id="12" w:name="_Toc64889282"/>
      <w:r w:rsidRPr="00C961A8">
        <w:rPr>
          <w:lang w:val="en-GB"/>
        </w:rPr>
        <w:t>Annex IV - Requirements for the standards referred to in Article 1</w:t>
      </w:r>
    </w:p>
    <w:p w14:paraId="30553CA7" w14:textId="01A2913E" w:rsidR="00B21DA3" w:rsidRPr="00C961A8" w:rsidRDefault="00B21DA3" w:rsidP="00B21DA3">
      <w:pPr>
        <w:pStyle w:val="Heading4"/>
        <w:rPr>
          <w:rStyle w:val="TitleChar"/>
          <w:rFonts w:eastAsia="Calibri"/>
          <w:lang w:val="en-GB"/>
        </w:rPr>
      </w:pPr>
      <w:bookmarkStart w:id="13" w:name="_Part_A._General"/>
      <w:bookmarkEnd w:id="13"/>
      <w:r w:rsidRPr="00C961A8">
        <w:rPr>
          <w:lang w:val="en-GB"/>
        </w:rPr>
        <w:t>Part A. General requirements - 3. License free application of harmonised standards</w:t>
      </w:r>
    </w:p>
    <w:tbl>
      <w:tblPr>
        <w:tblStyle w:val="TableGrid"/>
        <w:tblW w:w="10201" w:type="dxa"/>
        <w:tblInd w:w="-572" w:type="dxa"/>
        <w:tblLook w:val="04A0" w:firstRow="1" w:lastRow="0" w:firstColumn="1" w:lastColumn="0" w:noHBand="0" w:noVBand="1"/>
      </w:tblPr>
      <w:tblGrid>
        <w:gridCol w:w="5098"/>
        <w:gridCol w:w="5103"/>
      </w:tblGrid>
      <w:tr w:rsidR="008D4DFD" w:rsidRPr="00C961A8" w14:paraId="12D602A0"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31771C89" w14:textId="77777777" w:rsidR="008D4DFD" w:rsidRPr="00C961A8" w:rsidRDefault="008D4DFD"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418E801F" w14:textId="77777777" w:rsidR="008D4DFD" w:rsidRPr="00C961A8" w:rsidRDefault="008D4DFD" w:rsidP="0086028B">
            <w:pPr>
              <w:rPr>
                <w:lang w:val="en-GB"/>
              </w:rPr>
            </w:pPr>
            <w:r w:rsidRPr="00C961A8">
              <w:rPr>
                <w:lang w:val="en-GB"/>
              </w:rPr>
              <w:t>EDF proposed amendments</w:t>
            </w:r>
          </w:p>
        </w:tc>
      </w:tr>
      <w:tr w:rsidR="008D4DFD" w:rsidRPr="00C961A8" w14:paraId="791840A3"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65910D28" w14:textId="77777777" w:rsidR="00B21DA3" w:rsidRPr="00B21DA3" w:rsidRDefault="00B21DA3" w:rsidP="00B21DA3">
            <w:pPr>
              <w:rPr>
                <w:lang w:val="en-GB"/>
              </w:rPr>
            </w:pPr>
            <w:r w:rsidRPr="00B21DA3">
              <w:rPr>
                <w:lang w:val="en-GB"/>
              </w:rPr>
              <w:t xml:space="preserve">Each harmonised standard shall clearly state that compliance with its requirements and specifications and in particular, when applying written or visual warnings, signs, pictograms or markings as specified in it to a product, </w:t>
            </w:r>
            <w:r w:rsidRPr="00B21DA3">
              <w:rPr>
                <w:lang w:val="en-GB"/>
              </w:rPr>
              <w:lastRenderedPageBreak/>
              <w:t>its package or accompanying documents, is license free.</w:t>
            </w:r>
          </w:p>
          <w:p w14:paraId="372F740A" w14:textId="3081C7AD" w:rsidR="008D4DFD" w:rsidRPr="00C961A8" w:rsidRDefault="00B21DA3" w:rsidP="0086028B">
            <w:pPr>
              <w:rPr>
                <w:lang w:val="en-GB"/>
              </w:rPr>
            </w:pPr>
            <w:r w:rsidRPr="00B21DA3">
              <w:rPr>
                <w:lang w:val="en-GB"/>
              </w:rPr>
              <w:t>The harmonised standards shall be available free of charge for non for profit organisations.</w:t>
            </w:r>
          </w:p>
        </w:tc>
        <w:tc>
          <w:tcPr>
            <w:tcW w:w="5103" w:type="dxa"/>
            <w:tcBorders>
              <w:top w:val="single" w:sz="4" w:space="0" w:color="auto"/>
              <w:left w:val="single" w:sz="4" w:space="0" w:color="auto"/>
              <w:bottom w:val="single" w:sz="4" w:space="0" w:color="auto"/>
              <w:right w:val="single" w:sz="4" w:space="0" w:color="auto"/>
            </w:tcBorders>
          </w:tcPr>
          <w:p w14:paraId="5F9F283A" w14:textId="77777777" w:rsidR="00B21DA3" w:rsidRPr="00B21DA3" w:rsidRDefault="00B21DA3" w:rsidP="00B21DA3">
            <w:pPr>
              <w:rPr>
                <w:lang w:val="en-GB"/>
              </w:rPr>
            </w:pPr>
            <w:r w:rsidRPr="00B21DA3">
              <w:rPr>
                <w:lang w:val="en-GB"/>
              </w:rPr>
              <w:lastRenderedPageBreak/>
              <w:t xml:space="preserve">Each harmonised standard shall clearly state that compliance with its requirements and specifications and in particular, when applying written or visual warnings, signs, pictograms or markings as specified in it to a product, </w:t>
            </w:r>
            <w:r w:rsidRPr="00B21DA3">
              <w:rPr>
                <w:lang w:val="en-GB"/>
              </w:rPr>
              <w:lastRenderedPageBreak/>
              <w:t>its package or accompanying documents, is license free.</w:t>
            </w:r>
          </w:p>
          <w:p w14:paraId="32837B26" w14:textId="2BA81324" w:rsidR="008D4DFD" w:rsidRPr="00C961A8" w:rsidRDefault="00B21DA3" w:rsidP="00B21DA3">
            <w:pPr>
              <w:rPr>
                <w:lang w:val="en-GB"/>
              </w:rPr>
            </w:pPr>
            <w:bookmarkStart w:id="14" w:name="_Hlk76048092"/>
            <w:r w:rsidRPr="00B21DA3">
              <w:rPr>
                <w:lang w:val="en-GB"/>
              </w:rPr>
              <w:t xml:space="preserve">The harmonised standards shall be available free of charge </w:t>
            </w:r>
            <w:r w:rsidRPr="00B21DA3">
              <w:rPr>
                <w:b/>
                <w:bCs/>
                <w:strike/>
                <w:lang w:val="en-GB"/>
              </w:rPr>
              <w:t>for non for profit organisations</w:t>
            </w:r>
            <w:r w:rsidRPr="00B21DA3">
              <w:rPr>
                <w:lang w:val="en-GB"/>
              </w:rPr>
              <w:t>.</w:t>
            </w:r>
            <w:bookmarkEnd w:id="14"/>
          </w:p>
        </w:tc>
      </w:tr>
      <w:tr w:rsidR="008D4DFD" w:rsidRPr="00C961A8" w14:paraId="3B5518C9" w14:textId="77777777" w:rsidTr="0086028B">
        <w:tc>
          <w:tcPr>
            <w:tcW w:w="10201" w:type="dxa"/>
            <w:gridSpan w:val="2"/>
            <w:tcBorders>
              <w:top w:val="single" w:sz="4" w:space="0" w:color="auto"/>
              <w:left w:val="single" w:sz="4" w:space="0" w:color="auto"/>
              <w:bottom w:val="single" w:sz="4" w:space="0" w:color="auto"/>
              <w:right w:val="single" w:sz="4" w:space="0" w:color="auto"/>
            </w:tcBorders>
            <w:hideMark/>
          </w:tcPr>
          <w:p w14:paraId="32749345" w14:textId="375F0A85" w:rsidR="008D4DFD" w:rsidRDefault="008D4DFD" w:rsidP="0086028B">
            <w:pPr>
              <w:rPr>
                <w:lang w:val="en-GB"/>
              </w:rPr>
            </w:pPr>
            <w:r w:rsidRPr="00C961A8">
              <w:rPr>
                <w:b/>
                <w:bCs/>
                <w:lang w:val="en-GB"/>
              </w:rPr>
              <w:lastRenderedPageBreak/>
              <w:t>Justification</w:t>
            </w:r>
            <w:r w:rsidRPr="00C961A8">
              <w:rPr>
                <w:lang w:val="en-GB"/>
              </w:rPr>
              <w:t>:</w:t>
            </w:r>
          </w:p>
          <w:p w14:paraId="54236C41" w14:textId="6DFCCE94" w:rsidR="007C1375" w:rsidRDefault="007C1375" w:rsidP="0086028B">
            <w:pPr>
              <w:rPr>
                <w:lang w:val="en-GB"/>
              </w:rPr>
            </w:pPr>
          </w:p>
          <w:p w14:paraId="168E0339" w14:textId="27306810" w:rsidR="007C1375" w:rsidRPr="00C961A8" w:rsidRDefault="007C1375" w:rsidP="0086028B">
            <w:pPr>
              <w:rPr>
                <w:lang w:val="en-GB"/>
              </w:rPr>
            </w:pPr>
            <w:r>
              <w:rPr>
                <w:lang w:val="en-GB"/>
              </w:rPr>
              <w:t xml:space="preserve">Same justification as for </w:t>
            </w:r>
            <w:hyperlink w:anchor="_Article_4" w:history="1">
              <w:r w:rsidRPr="007C1375">
                <w:rPr>
                  <w:rStyle w:val="Hyperlink"/>
                  <w:lang w:val="en-GB"/>
                </w:rPr>
                <w:t>article 4 of draft request</w:t>
              </w:r>
            </w:hyperlink>
            <w:r>
              <w:rPr>
                <w:lang w:val="en-GB"/>
              </w:rPr>
              <w:t xml:space="preserve">. </w:t>
            </w:r>
          </w:p>
          <w:p w14:paraId="3D4280D4" w14:textId="77777777" w:rsidR="008D4DFD" w:rsidRPr="00C961A8" w:rsidRDefault="008D4DFD" w:rsidP="0086028B">
            <w:pPr>
              <w:rPr>
                <w:lang w:val="en-GB"/>
              </w:rPr>
            </w:pPr>
          </w:p>
        </w:tc>
      </w:tr>
    </w:tbl>
    <w:p w14:paraId="4AA4B3B5" w14:textId="3A033D73" w:rsidR="008D4DFD" w:rsidRPr="00C961A8" w:rsidRDefault="00B21DA3" w:rsidP="00B21DA3">
      <w:pPr>
        <w:pStyle w:val="Heading4"/>
        <w:rPr>
          <w:lang w:val="en-GB"/>
        </w:rPr>
      </w:pPr>
      <w:r w:rsidRPr="00C961A8">
        <w:rPr>
          <w:lang w:val="en-GB"/>
        </w:rPr>
        <w:t>Part B. Specific requirements for drafting new standards listed in Table 1 of Annex I - 2.1 Standards on accessibility listed in Table 1 of Annex I</w:t>
      </w:r>
    </w:p>
    <w:tbl>
      <w:tblPr>
        <w:tblStyle w:val="TableGrid"/>
        <w:tblW w:w="10201" w:type="dxa"/>
        <w:tblInd w:w="-572" w:type="dxa"/>
        <w:tblLook w:val="04A0" w:firstRow="1" w:lastRow="0" w:firstColumn="1" w:lastColumn="0" w:noHBand="0" w:noVBand="1"/>
      </w:tblPr>
      <w:tblGrid>
        <w:gridCol w:w="5098"/>
        <w:gridCol w:w="5103"/>
      </w:tblGrid>
      <w:tr w:rsidR="008D4DFD" w:rsidRPr="00C961A8" w14:paraId="0838779B"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2B8EF4AE" w14:textId="77777777" w:rsidR="008D4DFD" w:rsidRPr="00C961A8" w:rsidRDefault="008D4DFD"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264D8D75" w14:textId="77777777" w:rsidR="008D4DFD" w:rsidRPr="00C961A8" w:rsidRDefault="008D4DFD" w:rsidP="0086028B">
            <w:pPr>
              <w:rPr>
                <w:lang w:val="en-GB"/>
              </w:rPr>
            </w:pPr>
            <w:r w:rsidRPr="00C961A8">
              <w:rPr>
                <w:lang w:val="en-GB"/>
              </w:rPr>
              <w:t>EDF proposed amendments</w:t>
            </w:r>
          </w:p>
        </w:tc>
      </w:tr>
      <w:tr w:rsidR="008D4DFD" w:rsidRPr="00C961A8" w14:paraId="3CFB939A"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11916AB6" w14:textId="77777777" w:rsidR="00B21DA3" w:rsidRPr="00B21DA3" w:rsidRDefault="00B21DA3" w:rsidP="00B21DA3">
            <w:pPr>
              <w:rPr>
                <w:lang w:val="en-GB"/>
              </w:rPr>
            </w:pPr>
            <w:r w:rsidRPr="00B21DA3">
              <w:rPr>
                <w:lang w:val="en-GB"/>
              </w:rPr>
              <w:t>1. The harmonised standard setting up requirements on the accessibility of non-ICT information related to products shall describe the technical solutions for accessibility to ensure conformity with the following requirement set in Annex I of Directive 2019/882:</w:t>
            </w:r>
          </w:p>
          <w:p w14:paraId="12B7930C" w14:textId="77777777" w:rsidR="00B21DA3" w:rsidRPr="00B21DA3" w:rsidRDefault="00B21DA3" w:rsidP="00B21DA3">
            <w:pPr>
              <w:rPr>
                <w:lang w:val="en-GB"/>
              </w:rPr>
            </w:pPr>
            <w:r w:rsidRPr="00B21DA3">
              <w:rPr>
                <w:lang w:val="en-GB"/>
              </w:rPr>
              <w:t>Annex I section 1 (b) Annex I section II</w:t>
            </w:r>
          </w:p>
          <w:p w14:paraId="2790FF6A" w14:textId="77777777" w:rsidR="00B21DA3" w:rsidRPr="00B21DA3" w:rsidRDefault="00B21DA3" w:rsidP="00B21DA3">
            <w:pPr>
              <w:rPr>
                <w:lang w:val="en-GB"/>
              </w:rPr>
            </w:pPr>
            <w:r w:rsidRPr="00B21DA3">
              <w:rPr>
                <w:lang w:val="en-GB"/>
              </w:rPr>
              <w:t xml:space="preserve">Also covering Annex I section III (a) and (b) </w:t>
            </w:r>
          </w:p>
          <w:p w14:paraId="00A34700" w14:textId="77777777" w:rsidR="00B21DA3" w:rsidRPr="00B21DA3" w:rsidRDefault="00B21DA3" w:rsidP="00B21DA3">
            <w:pPr>
              <w:rPr>
                <w:lang w:val="en-GB"/>
              </w:rPr>
            </w:pPr>
            <w:r w:rsidRPr="00B21DA3">
              <w:rPr>
                <w:lang w:val="en-GB"/>
              </w:rPr>
              <w:t>Also covering Section IV (c) and (d) transport</w:t>
            </w:r>
          </w:p>
          <w:p w14:paraId="12E7750A" w14:textId="77777777" w:rsidR="00B21DA3" w:rsidRPr="00B21DA3" w:rsidRDefault="00B21DA3" w:rsidP="00B21DA3">
            <w:pPr>
              <w:rPr>
                <w:lang w:val="en-GB"/>
              </w:rPr>
            </w:pPr>
            <w:r w:rsidRPr="00B21DA3">
              <w:rPr>
                <w:lang w:val="en-GB"/>
              </w:rPr>
              <w:t>Also covering Section IV(e) ii banking information</w:t>
            </w:r>
          </w:p>
          <w:p w14:paraId="15D7A7F3" w14:textId="77777777" w:rsidR="008D4DFD" w:rsidRPr="00C961A8" w:rsidRDefault="00B21DA3" w:rsidP="0086028B">
            <w:pPr>
              <w:rPr>
                <w:lang w:val="en-GB"/>
              </w:rPr>
            </w:pPr>
            <w:r w:rsidRPr="00B21DA3">
              <w:rPr>
                <w:lang w:val="en-GB"/>
              </w:rPr>
              <w:t xml:space="preserve">Excluding Section IV (f) </w:t>
            </w:r>
            <w:proofErr w:type="spellStart"/>
            <w:r w:rsidRPr="00B21DA3">
              <w:rPr>
                <w:lang w:val="en-GB"/>
              </w:rPr>
              <w:t>ebooks</w:t>
            </w:r>
            <w:proofErr w:type="spellEnd"/>
          </w:p>
          <w:p w14:paraId="3F02E239" w14:textId="77777777" w:rsidR="00A1304E" w:rsidRPr="00C961A8" w:rsidRDefault="00A1304E" w:rsidP="0086028B">
            <w:pPr>
              <w:rPr>
                <w:lang w:val="en-GB"/>
              </w:rPr>
            </w:pPr>
          </w:p>
          <w:p w14:paraId="53AF1721" w14:textId="77777777" w:rsidR="00A1304E" w:rsidRPr="00C961A8" w:rsidRDefault="00A1304E" w:rsidP="0086028B">
            <w:pPr>
              <w:rPr>
                <w:lang w:val="en-GB"/>
              </w:rPr>
            </w:pPr>
          </w:p>
          <w:p w14:paraId="0738D671" w14:textId="77777777" w:rsidR="00A1304E" w:rsidRPr="00A1304E" w:rsidRDefault="00A1304E" w:rsidP="00A1304E">
            <w:pPr>
              <w:rPr>
                <w:lang w:val="en-GB"/>
              </w:rPr>
            </w:pPr>
            <w:r w:rsidRPr="00A1304E">
              <w:rPr>
                <w:lang w:val="en-GB"/>
              </w:rPr>
              <w:t>2.  The harmonised standard for the accessibility of support services related to products and services (help desks, call centres, technical support, relay services and training services) shall describe the technical solutions for accessibility to ensure conformity with the following requirement set in Annex I of Directive 2019/882:</w:t>
            </w:r>
          </w:p>
          <w:p w14:paraId="2A876699" w14:textId="28EB82F9" w:rsidR="00A1304E" w:rsidRPr="00C961A8" w:rsidRDefault="00A1304E" w:rsidP="00A1304E">
            <w:pPr>
              <w:rPr>
                <w:lang w:val="en-GB"/>
              </w:rPr>
            </w:pPr>
            <w:r w:rsidRPr="00A1304E">
              <w:rPr>
                <w:lang w:val="en-GB"/>
              </w:rPr>
              <w:t xml:space="preserve"> Section 1.3 for products and Section III (d) for services.</w:t>
            </w:r>
          </w:p>
          <w:p w14:paraId="6E0C4652" w14:textId="67F2BD02" w:rsidR="00A1304E" w:rsidRPr="00C961A8" w:rsidRDefault="00A1304E" w:rsidP="00A1304E">
            <w:pPr>
              <w:rPr>
                <w:lang w:val="en-GB"/>
              </w:rPr>
            </w:pPr>
          </w:p>
          <w:p w14:paraId="03FDBF62" w14:textId="77777777" w:rsidR="00A1304E" w:rsidRPr="00A1304E" w:rsidRDefault="00A1304E" w:rsidP="00A1304E">
            <w:pPr>
              <w:rPr>
                <w:lang w:val="en-GB"/>
              </w:rPr>
            </w:pPr>
            <w:r w:rsidRPr="00A1304E">
              <w:rPr>
                <w:lang w:val="en-GB"/>
              </w:rPr>
              <w:t xml:space="preserve">3. The harmonised standard for the accessibility of emergency communications and answering emergency communications (including  </w:t>
            </w:r>
            <w:r w:rsidRPr="00A1304E">
              <w:rPr>
                <w:lang w:val="en-GB"/>
              </w:rPr>
              <w:lastRenderedPageBreak/>
              <w:t>to the single European emergency number 112) should support the implementation of Article 109 of Directive (EU) 2018/1972 and shall describe the technical solutions for accessibility to ensure conformity with the following requirements set in Annex I of  Directive 2019/882:</w:t>
            </w:r>
          </w:p>
          <w:p w14:paraId="38A3BC30" w14:textId="4FCC4A12" w:rsidR="00A1304E" w:rsidRPr="00C961A8" w:rsidRDefault="00A1304E" w:rsidP="00A1304E">
            <w:pPr>
              <w:rPr>
                <w:lang w:val="en-GB"/>
              </w:rPr>
            </w:pPr>
            <w:r w:rsidRPr="00A1304E">
              <w:rPr>
                <w:lang w:val="en-GB"/>
              </w:rPr>
              <w:t>Section III, Section IV and</w:t>
            </w:r>
            <w:r w:rsidR="008E6B2C">
              <w:rPr>
                <w:lang w:val="en-GB"/>
              </w:rPr>
              <w:t xml:space="preserve"> </w:t>
            </w:r>
            <w:r w:rsidRPr="00A1304E">
              <w:rPr>
                <w:lang w:val="en-GB"/>
              </w:rPr>
              <w:t xml:space="preserve">Section V </w:t>
            </w:r>
          </w:p>
          <w:p w14:paraId="29BEDC04" w14:textId="1A0B4692" w:rsidR="00A1304E" w:rsidRPr="00C961A8" w:rsidRDefault="00A1304E" w:rsidP="00A1304E">
            <w:pPr>
              <w:rPr>
                <w:lang w:val="en-GB"/>
              </w:rPr>
            </w:pPr>
          </w:p>
          <w:p w14:paraId="3D9EFC99" w14:textId="0A409176" w:rsidR="00A1304E" w:rsidRPr="00A1304E" w:rsidRDefault="00A1304E" w:rsidP="00A1304E">
            <w:pPr>
              <w:rPr>
                <w:lang w:val="en-GB"/>
              </w:rPr>
            </w:pPr>
            <w:r w:rsidRPr="00C961A8">
              <w:rPr>
                <w:lang w:val="en-GB"/>
              </w:rPr>
              <w:t>4. (new) N/A</w:t>
            </w:r>
          </w:p>
          <w:p w14:paraId="6649F46E" w14:textId="77777777" w:rsidR="00A1304E" w:rsidRPr="00A1304E" w:rsidRDefault="00A1304E" w:rsidP="00A1304E">
            <w:pPr>
              <w:rPr>
                <w:lang w:val="en-GB"/>
              </w:rPr>
            </w:pPr>
          </w:p>
          <w:p w14:paraId="79512E53" w14:textId="6CAD6957" w:rsidR="00A1304E" w:rsidRPr="00C961A8" w:rsidRDefault="00A1304E" w:rsidP="0086028B">
            <w:pPr>
              <w:rPr>
                <w:lang w:val="en-GB"/>
              </w:rPr>
            </w:pPr>
          </w:p>
        </w:tc>
        <w:tc>
          <w:tcPr>
            <w:tcW w:w="5103" w:type="dxa"/>
            <w:tcBorders>
              <w:top w:val="single" w:sz="4" w:space="0" w:color="auto"/>
              <w:left w:val="single" w:sz="4" w:space="0" w:color="auto"/>
              <w:bottom w:val="single" w:sz="4" w:space="0" w:color="auto"/>
              <w:right w:val="single" w:sz="4" w:space="0" w:color="auto"/>
            </w:tcBorders>
          </w:tcPr>
          <w:p w14:paraId="5549C0AA" w14:textId="023066E0" w:rsidR="00B21DA3" w:rsidRPr="00C961A8" w:rsidRDefault="00B21DA3" w:rsidP="00B21DA3">
            <w:pPr>
              <w:rPr>
                <w:rFonts w:ascii="Times New Roman" w:hAnsi="Times New Roman"/>
                <w:lang w:val="en-GB"/>
              </w:rPr>
            </w:pPr>
            <w:r w:rsidRPr="00C961A8">
              <w:rPr>
                <w:lang w:val="en-GB"/>
              </w:rPr>
              <w:lastRenderedPageBreak/>
              <w:t>1. The harmonised standard setting up requirements on the accessibility of non-</w:t>
            </w:r>
            <w:r w:rsidRPr="00214407">
              <w:rPr>
                <w:b/>
                <w:bCs/>
                <w:i/>
                <w:iCs/>
                <w:strike/>
                <w:lang w:val="en-GB"/>
              </w:rPr>
              <w:t>ICT</w:t>
            </w:r>
            <w:r w:rsidRPr="00C961A8">
              <w:rPr>
                <w:lang w:val="en-GB"/>
              </w:rPr>
              <w:t xml:space="preserve"> </w:t>
            </w:r>
            <w:r w:rsidR="00214407" w:rsidRPr="00214407">
              <w:rPr>
                <w:b/>
                <w:bCs/>
                <w:lang w:val="en-GB"/>
              </w:rPr>
              <w:t>digital</w:t>
            </w:r>
            <w:r w:rsidR="00214407">
              <w:rPr>
                <w:lang w:val="en-GB"/>
              </w:rPr>
              <w:t xml:space="preserve"> </w:t>
            </w:r>
            <w:r w:rsidRPr="00C961A8">
              <w:rPr>
                <w:lang w:val="en-GB"/>
              </w:rPr>
              <w:t xml:space="preserve">information related to products </w:t>
            </w:r>
            <w:r w:rsidR="00214407">
              <w:rPr>
                <w:b/>
                <w:bCs/>
                <w:lang w:val="en-GB"/>
              </w:rPr>
              <w:t xml:space="preserve">and services </w:t>
            </w:r>
            <w:r w:rsidRPr="00C961A8">
              <w:rPr>
                <w:lang w:val="en-GB"/>
              </w:rPr>
              <w:t>shall describe the technical solutions for accessibility to ensure conformity with the following requirement set in Annex I of Directive 2019/882:</w:t>
            </w:r>
          </w:p>
          <w:p w14:paraId="09712582" w14:textId="77777777" w:rsidR="00B21DA3" w:rsidRPr="00C961A8" w:rsidRDefault="00B21DA3" w:rsidP="00B21DA3">
            <w:pPr>
              <w:ind w:left="720"/>
              <w:rPr>
                <w:sz w:val="22"/>
                <w:lang w:val="en-GB"/>
              </w:rPr>
            </w:pPr>
            <w:r w:rsidRPr="00C961A8">
              <w:rPr>
                <w:lang w:val="en-GB"/>
              </w:rPr>
              <w:t xml:space="preserve">Annex I section 1 </w:t>
            </w:r>
            <w:r w:rsidRPr="00C961A8">
              <w:rPr>
                <w:b/>
                <w:bCs/>
                <w:lang w:val="en-GB"/>
              </w:rPr>
              <w:t>(a) and</w:t>
            </w:r>
            <w:r w:rsidRPr="00C961A8">
              <w:rPr>
                <w:lang w:val="en-GB"/>
              </w:rPr>
              <w:t xml:space="preserve"> (b) Annex I section II</w:t>
            </w:r>
          </w:p>
          <w:p w14:paraId="54B8A758" w14:textId="77777777" w:rsidR="00B21DA3" w:rsidRPr="00C961A8" w:rsidRDefault="00B21DA3" w:rsidP="00B21DA3">
            <w:pPr>
              <w:ind w:left="720"/>
              <w:rPr>
                <w:lang w:val="en-GB"/>
              </w:rPr>
            </w:pPr>
            <w:r w:rsidRPr="00C961A8">
              <w:rPr>
                <w:lang w:val="en-GB"/>
              </w:rPr>
              <w:t xml:space="preserve">Also covering Annex I section III (a) and (b) </w:t>
            </w:r>
          </w:p>
          <w:p w14:paraId="4AF8C0DF" w14:textId="77777777" w:rsidR="00B21DA3" w:rsidRPr="00C961A8" w:rsidRDefault="00B21DA3" w:rsidP="00B21DA3">
            <w:pPr>
              <w:ind w:left="720"/>
              <w:rPr>
                <w:lang w:val="en-GB"/>
              </w:rPr>
            </w:pPr>
            <w:r w:rsidRPr="00C961A8">
              <w:rPr>
                <w:lang w:val="en-GB"/>
              </w:rPr>
              <w:t>Also covering Section IV (c) and (d) transport</w:t>
            </w:r>
          </w:p>
          <w:p w14:paraId="440C060D" w14:textId="77777777" w:rsidR="00B21DA3" w:rsidRPr="00C961A8" w:rsidRDefault="00B21DA3" w:rsidP="00B21DA3">
            <w:pPr>
              <w:ind w:left="720"/>
              <w:rPr>
                <w:lang w:val="en-GB"/>
              </w:rPr>
            </w:pPr>
            <w:r w:rsidRPr="00C961A8">
              <w:rPr>
                <w:lang w:val="en-GB"/>
              </w:rPr>
              <w:t>Also covering Section IV(e) ii banking information</w:t>
            </w:r>
          </w:p>
          <w:p w14:paraId="7D2CF1F0" w14:textId="63477ED0" w:rsidR="008D4DFD" w:rsidRPr="00545270" w:rsidRDefault="00B21DA3" w:rsidP="00B21DA3">
            <w:pPr>
              <w:ind w:left="720"/>
              <w:rPr>
                <w:lang w:val="en-GB"/>
              </w:rPr>
            </w:pPr>
            <w:r w:rsidRPr="00C961A8">
              <w:rPr>
                <w:lang w:val="en-GB"/>
              </w:rPr>
              <w:t xml:space="preserve">Excluding Section IV (f) </w:t>
            </w:r>
            <w:proofErr w:type="spellStart"/>
            <w:r w:rsidRPr="00C961A8">
              <w:rPr>
                <w:lang w:val="en-GB"/>
              </w:rPr>
              <w:t>ebooks</w:t>
            </w:r>
            <w:proofErr w:type="spellEnd"/>
          </w:p>
          <w:p w14:paraId="03F9D6C5" w14:textId="77777777" w:rsidR="00A1304E" w:rsidRPr="00C961A8" w:rsidRDefault="00A1304E" w:rsidP="00B21DA3">
            <w:pPr>
              <w:ind w:left="720"/>
              <w:rPr>
                <w:lang w:val="en-GB"/>
              </w:rPr>
            </w:pPr>
          </w:p>
          <w:p w14:paraId="6C4D49D9" w14:textId="5635E0BC" w:rsidR="00A1304E" w:rsidRPr="00A1304E" w:rsidRDefault="00A1304E" w:rsidP="00A1304E">
            <w:pPr>
              <w:rPr>
                <w:lang w:val="en-GB"/>
              </w:rPr>
            </w:pPr>
            <w:r w:rsidRPr="00C961A8">
              <w:rPr>
                <w:lang w:val="en-GB"/>
              </w:rPr>
              <w:t xml:space="preserve">2. </w:t>
            </w:r>
            <w:r w:rsidRPr="00A1304E">
              <w:rPr>
                <w:lang w:val="en-GB"/>
              </w:rPr>
              <w:t xml:space="preserve">The harmonised standard for the accessibility of support services related to products and services (help desks, </w:t>
            </w:r>
            <w:r w:rsidRPr="00C961A8">
              <w:rPr>
                <w:b/>
                <w:bCs/>
                <w:strike/>
                <w:lang w:val="en-GB"/>
              </w:rPr>
              <w:t xml:space="preserve">call </w:t>
            </w:r>
            <w:r w:rsidRPr="00A1304E">
              <w:rPr>
                <w:b/>
                <w:bCs/>
                <w:lang w:val="en-GB"/>
              </w:rPr>
              <w:t>contact</w:t>
            </w:r>
            <w:r w:rsidRPr="00A1304E">
              <w:rPr>
                <w:lang w:val="en-GB"/>
              </w:rPr>
              <w:t xml:space="preserve"> centres, technical support, relay services and training services) shall describe the technical solutions for accessibility to ensure conformity with the following requirement set in Annex I of Directive 2019/882:</w:t>
            </w:r>
          </w:p>
          <w:p w14:paraId="5F6B6942" w14:textId="77777777" w:rsidR="00A1304E" w:rsidRPr="00C961A8" w:rsidRDefault="00A1304E" w:rsidP="00A1304E">
            <w:pPr>
              <w:rPr>
                <w:lang w:val="en-GB"/>
              </w:rPr>
            </w:pPr>
            <w:r w:rsidRPr="00A1304E">
              <w:rPr>
                <w:lang w:val="en-GB"/>
              </w:rPr>
              <w:t>Section 1.3 for products and Section III (d) for services.</w:t>
            </w:r>
          </w:p>
          <w:p w14:paraId="646ADA29" w14:textId="77777777" w:rsidR="00A1304E" w:rsidRPr="00C961A8" w:rsidRDefault="00A1304E" w:rsidP="00A1304E">
            <w:pPr>
              <w:rPr>
                <w:lang w:val="en-GB"/>
              </w:rPr>
            </w:pPr>
          </w:p>
          <w:p w14:paraId="77A54D42" w14:textId="77777777" w:rsidR="00A1304E" w:rsidRPr="00A1304E" w:rsidRDefault="00A1304E" w:rsidP="00A1304E">
            <w:pPr>
              <w:rPr>
                <w:lang w:val="en-GB"/>
              </w:rPr>
            </w:pPr>
            <w:r w:rsidRPr="00A1304E">
              <w:rPr>
                <w:lang w:val="en-GB"/>
              </w:rPr>
              <w:t xml:space="preserve">3. The harmonised standard for the accessibility of emergency communications and answering </w:t>
            </w:r>
            <w:r w:rsidRPr="00A1304E">
              <w:rPr>
                <w:lang w:val="en-GB"/>
              </w:rPr>
              <w:lastRenderedPageBreak/>
              <w:t xml:space="preserve">emergency communications (including  to the single European emergency number 112) should support the implementation of Article 109 of Directive (EU) 2018/1972 and shall describe the technical solutions for accessibility </w:t>
            </w:r>
            <w:r w:rsidRPr="00A1304E">
              <w:rPr>
                <w:b/>
                <w:bCs/>
                <w:lang w:val="en-GB"/>
              </w:rPr>
              <w:t>and interoperability</w:t>
            </w:r>
            <w:r w:rsidRPr="00A1304E">
              <w:rPr>
                <w:lang w:val="en-GB"/>
              </w:rPr>
              <w:t xml:space="preserve"> to ensure conformity with the following requirements set in Annex I of  Directive 2019/882:</w:t>
            </w:r>
          </w:p>
          <w:p w14:paraId="1B91D16B" w14:textId="6B427558" w:rsidR="00A1304E" w:rsidRPr="00A1304E" w:rsidRDefault="00A1304E" w:rsidP="00A1304E">
            <w:pPr>
              <w:rPr>
                <w:lang w:val="en-GB"/>
              </w:rPr>
            </w:pPr>
            <w:r w:rsidRPr="00A1304E">
              <w:rPr>
                <w:lang w:val="en-GB"/>
              </w:rPr>
              <w:t>Section III, Section IV and</w:t>
            </w:r>
            <w:r w:rsidR="008E6B2C">
              <w:rPr>
                <w:lang w:val="en-GB"/>
              </w:rPr>
              <w:t xml:space="preserve"> </w:t>
            </w:r>
            <w:r w:rsidRPr="00A1304E">
              <w:rPr>
                <w:lang w:val="en-GB"/>
              </w:rPr>
              <w:t xml:space="preserve">Section V </w:t>
            </w:r>
          </w:p>
          <w:p w14:paraId="441BB3D6" w14:textId="77777777" w:rsidR="00A1304E" w:rsidRPr="00A1304E" w:rsidRDefault="00A1304E" w:rsidP="00A1304E">
            <w:pPr>
              <w:rPr>
                <w:b/>
                <w:bCs/>
                <w:lang w:val="en-GB"/>
              </w:rPr>
            </w:pPr>
            <w:r w:rsidRPr="00A1304E">
              <w:rPr>
                <w:b/>
                <w:bCs/>
                <w:lang w:val="en-GB"/>
              </w:rPr>
              <w:t>4. The harmonized standard setting up quality requirements of access services (subtitles for the deaf and hard of hearing, audio description, spoken subtitles and sign language interpretation) in audiovisual media services shall describe the technical specifications to ensure conformity with the following requirement set in Annex I of Directive 2019/882:</w:t>
            </w:r>
          </w:p>
          <w:p w14:paraId="3A6B2F1F" w14:textId="5C7E0BBD" w:rsidR="00A1304E" w:rsidRPr="00C961A8" w:rsidRDefault="00A1304E" w:rsidP="00A1304E">
            <w:pPr>
              <w:rPr>
                <w:lang w:val="en-GB"/>
              </w:rPr>
            </w:pPr>
            <w:r w:rsidRPr="00A1304E">
              <w:rPr>
                <w:b/>
                <w:bCs/>
                <w:lang w:val="en-GB"/>
              </w:rPr>
              <w:t>Section IV (b) (ii).</w:t>
            </w:r>
            <w:r w:rsidRPr="00A1304E">
              <w:rPr>
                <w:lang w:val="en-GB"/>
              </w:rPr>
              <w:t xml:space="preserve"> </w:t>
            </w:r>
          </w:p>
        </w:tc>
      </w:tr>
      <w:tr w:rsidR="008D4DFD" w:rsidRPr="00C961A8" w14:paraId="769FAA29" w14:textId="77777777" w:rsidTr="0086028B">
        <w:tc>
          <w:tcPr>
            <w:tcW w:w="10201" w:type="dxa"/>
            <w:gridSpan w:val="2"/>
            <w:tcBorders>
              <w:top w:val="single" w:sz="4" w:space="0" w:color="auto"/>
              <w:left w:val="single" w:sz="4" w:space="0" w:color="auto"/>
              <w:bottom w:val="single" w:sz="4" w:space="0" w:color="auto"/>
              <w:right w:val="single" w:sz="4" w:space="0" w:color="auto"/>
            </w:tcBorders>
            <w:hideMark/>
          </w:tcPr>
          <w:p w14:paraId="1A5A3E89" w14:textId="5A719BEF" w:rsidR="008D4DFD" w:rsidRPr="00C961A8" w:rsidRDefault="008D4DFD" w:rsidP="0086028B">
            <w:pPr>
              <w:rPr>
                <w:lang w:val="en-GB"/>
              </w:rPr>
            </w:pPr>
            <w:r w:rsidRPr="00C961A8">
              <w:rPr>
                <w:b/>
                <w:bCs/>
                <w:lang w:val="en-GB"/>
              </w:rPr>
              <w:lastRenderedPageBreak/>
              <w:t>Justification</w:t>
            </w:r>
            <w:r w:rsidRPr="00C961A8">
              <w:rPr>
                <w:lang w:val="en-GB"/>
              </w:rPr>
              <w:t>:</w:t>
            </w:r>
            <w:r w:rsidR="00B21DA3" w:rsidRPr="00C961A8">
              <w:rPr>
                <w:lang w:val="en-GB"/>
              </w:rPr>
              <w:t xml:space="preserve"> </w:t>
            </w:r>
          </w:p>
          <w:p w14:paraId="5378001B" w14:textId="77777777" w:rsidR="00A1304E" w:rsidRPr="00C961A8" w:rsidRDefault="00A1304E" w:rsidP="0086028B">
            <w:pPr>
              <w:rPr>
                <w:lang w:val="en-GB"/>
              </w:rPr>
            </w:pPr>
          </w:p>
          <w:p w14:paraId="3F6A48B4" w14:textId="7BB48D67" w:rsidR="00B21DA3" w:rsidRPr="00C961A8" w:rsidRDefault="00A1304E" w:rsidP="0086028B">
            <w:pPr>
              <w:rPr>
                <w:lang w:val="en-GB"/>
              </w:rPr>
            </w:pPr>
            <w:r w:rsidRPr="00CD24C0">
              <w:rPr>
                <w:u w:val="single"/>
                <w:lang w:val="en-GB"/>
              </w:rPr>
              <w:t>Paragraph 1</w:t>
            </w:r>
            <w:r w:rsidRPr="00C961A8">
              <w:rPr>
                <w:lang w:val="en-GB"/>
              </w:rPr>
              <w:t xml:space="preserve">: </w:t>
            </w:r>
            <w:r w:rsidR="00B21DA3" w:rsidRPr="00C961A8">
              <w:rPr>
                <w:lang w:val="en-GB"/>
              </w:rPr>
              <w:t>Annex I section 1 (a) is also relevant</w:t>
            </w:r>
            <w:r w:rsidRPr="00C961A8">
              <w:rPr>
                <w:lang w:val="en-GB"/>
              </w:rPr>
              <w:t xml:space="preserve"> as it refers to understandability of information, which can also be non-</w:t>
            </w:r>
            <w:r w:rsidR="00214407">
              <w:rPr>
                <w:lang w:val="en-GB"/>
              </w:rPr>
              <w:t>digital</w:t>
            </w:r>
            <w:r w:rsidRPr="00C961A8">
              <w:rPr>
                <w:lang w:val="en-GB"/>
              </w:rPr>
              <w:t xml:space="preserve"> information. </w:t>
            </w:r>
          </w:p>
          <w:p w14:paraId="01140549" w14:textId="77777777" w:rsidR="00A1304E" w:rsidRPr="00C961A8" w:rsidRDefault="00A1304E" w:rsidP="0086028B">
            <w:pPr>
              <w:rPr>
                <w:lang w:val="en-GB"/>
              </w:rPr>
            </w:pPr>
          </w:p>
          <w:p w14:paraId="6713FBB8" w14:textId="77777777" w:rsidR="00B21DA3" w:rsidRPr="00B21DA3" w:rsidRDefault="00B21DA3" w:rsidP="00B21DA3">
            <w:pPr>
              <w:rPr>
                <w:lang w:val="en-GB"/>
              </w:rPr>
            </w:pPr>
            <w:r w:rsidRPr="00B21DA3">
              <w:rPr>
                <w:lang w:val="en-GB"/>
              </w:rPr>
              <w:t>1. Requirements on the provision of information:</w:t>
            </w:r>
          </w:p>
          <w:p w14:paraId="04ACA4D4" w14:textId="77777777" w:rsidR="00B21DA3" w:rsidRPr="00B21DA3" w:rsidRDefault="00B21DA3" w:rsidP="00B21DA3">
            <w:pPr>
              <w:rPr>
                <w:lang w:val="en-GB"/>
              </w:rPr>
            </w:pPr>
            <w:r w:rsidRPr="00B21DA3">
              <w:rPr>
                <w:lang w:val="en-GB"/>
              </w:rPr>
              <w:t>(a)the information on the use of the product provided on the product itself (labelling, instructions and warning) shall be:</w:t>
            </w:r>
          </w:p>
          <w:p w14:paraId="6E3C0A77" w14:textId="77777777" w:rsidR="00B21DA3" w:rsidRPr="00B21DA3" w:rsidRDefault="00B21DA3" w:rsidP="00B21DA3">
            <w:pPr>
              <w:rPr>
                <w:lang w:val="en-GB"/>
              </w:rPr>
            </w:pPr>
            <w:r w:rsidRPr="00B21DA3">
              <w:rPr>
                <w:lang w:val="en-GB"/>
              </w:rPr>
              <w:t>(i)made available via more than one sensory channel;</w:t>
            </w:r>
          </w:p>
          <w:p w14:paraId="106A72F1" w14:textId="77777777" w:rsidR="00B21DA3" w:rsidRPr="00B21DA3" w:rsidRDefault="00B21DA3" w:rsidP="00B21DA3">
            <w:pPr>
              <w:rPr>
                <w:lang w:val="en-GB"/>
              </w:rPr>
            </w:pPr>
            <w:r w:rsidRPr="00B21DA3">
              <w:rPr>
                <w:b/>
                <w:bCs/>
                <w:lang w:val="en-GB"/>
              </w:rPr>
              <w:t>(ii)presented in an understandable way;</w:t>
            </w:r>
          </w:p>
          <w:p w14:paraId="5EC836D4" w14:textId="77777777" w:rsidR="00B21DA3" w:rsidRPr="00B21DA3" w:rsidRDefault="00B21DA3" w:rsidP="00B21DA3">
            <w:pPr>
              <w:rPr>
                <w:lang w:val="en-GB"/>
              </w:rPr>
            </w:pPr>
            <w:r w:rsidRPr="00B21DA3">
              <w:rPr>
                <w:lang w:val="en-GB"/>
              </w:rPr>
              <w:t>(iii)presented to users in ways they can perceive;</w:t>
            </w:r>
          </w:p>
          <w:p w14:paraId="7D37DAAA" w14:textId="0715051C" w:rsidR="00B21DA3" w:rsidRDefault="00B21DA3" w:rsidP="0086028B">
            <w:pPr>
              <w:rPr>
                <w:lang w:val="en-GB"/>
              </w:rPr>
            </w:pPr>
            <w:r w:rsidRPr="00B21DA3">
              <w:rPr>
                <w:lang w:val="en-GB"/>
              </w:rPr>
              <w:t>(iv)presented in fonts of adequate size and suitable shape, taking into account foreseeable conditions of use, and using sufficient contrast, as well as adjustable spacing between letters, lines and paragraphs;</w:t>
            </w:r>
          </w:p>
          <w:p w14:paraId="4C71A7BD" w14:textId="6D97247D" w:rsidR="007C1375" w:rsidRDefault="007C1375" w:rsidP="0086028B">
            <w:pPr>
              <w:rPr>
                <w:lang w:val="en-GB"/>
              </w:rPr>
            </w:pPr>
          </w:p>
          <w:p w14:paraId="5A5FCBCA" w14:textId="681BCBB4" w:rsidR="007C1375" w:rsidRPr="007C1375" w:rsidRDefault="007C1375" w:rsidP="0086028B">
            <w:pPr>
              <w:rPr>
                <w:lang w:val="en-GB"/>
              </w:rPr>
            </w:pPr>
            <w:r>
              <w:rPr>
                <w:u w:val="single"/>
                <w:lang w:val="en-GB"/>
              </w:rPr>
              <w:t>Paragraph 2:</w:t>
            </w:r>
            <w:r>
              <w:rPr>
                <w:lang w:val="en-GB"/>
              </w:rPr>
              <w:t xml:space="preserve"> </w:t>
            </w:r>
            <w:r>
              <w:rPr>
                <w:rFonts w:cs="Arial"/>
              </w:rPr>
              <w:t xml:space="preserve">the wording ‘contact </w:t>
            </w:r>
            <w:proofErr w:type="spellStart"/>
            <w:r>
              <w:rPr>
                <w:rFonts w:cs="Arial"/>
              </w:rPr>
              <w:t>centres’</w:t>
            </w:r>
            <w:proofErr w:type="spellEnd"/>
            <w:r>
              <w:rPr>
                <w:rFonts w:cs="Arial"/>
              </w:rPr>
              <w:t xml:space="preserve"> is more appropriate as it is more in line with the EECC and EAA – not only voice and video </w:t>
            </w:r>
            <w:r>
              <w:rPr>
                <w:rFonts w:cs="Arial"/>
                <w:i/>
                <w:iCs/>
              </w:rPr>
              <w:t>call</w:t>
            </w:r>
            <w:r>
              <w:rPr>
                <w:rFonts w:cs="Arial"/>
              </w:rPr>
              <w:t xml:space="preserve"> possibility, but also support real-time text and total conversation.</w:t>
            </w:r>
          </w:p>
          <w:p w14:paraId="0AA86C50" w14:textId="7A4FE3FE" w:rsidR="00F94378" w:rsidRDefault="00F94378" w:rsidP="0086028B">
            <w:pPr>
              <w:rPr>
                <w:lang w:val="en-GB"/>
              </w:rPr>
            </w:pPr>
          </w:p>
          <w:p w14:paraId="65EA8A8C" w14:textId="40D9DAA3" w:rsidR="00F94378" w:rsidRDefault="00F94378" w:rsidP="0086028B">
            <w:pPr>
              <w:rPr>
                <w:lang w:val="en-GB"/>
              </w:rPr>
            </w:pPr>
            <w:r w:rsidRPr="00CD24C0">
              <w:rPr>
                <w:u w:val="single"/>
                <w:lang w:val="en-GB"/>
              </w:rPr>
              <w:t>Paragraph 3</w:t>
            </w:r>
            <w:r w:rsidR="00CD24C0">
              <w:rPr>
                <w:u w:val="single"/>
                <w:lang w:val="en-GB"/>
              </w:rPr>
              <w:t>:</w:t>
            </w:r>
            <w:r w:rsidR="00CD24C0">
              <w:rPr>
                <w:lang w:val="en-GB"/>
              </w:rPr>
              <w:t xml:space="preserve"> </w:t>
            </w:r>
            <w:r>
              <w:rPr>
                <w:lang w:val="en-GB"/>
              </w:rPr>
              <w:t xml:space="preserve">same justification as for </w:t>
            </w:r>
            <w:hyperlink w:anchor="_Recital_8" w:history="1">
              <w:r w:rsidRPr="00CD24C0">
                <w:rPr>
                  <w:rStyle w:val="Hyperlink"/>
                  <w:lang w:val="en-GB"/>
                </w:rPr>
                <w:t>recital 8 of draft request</w:t>
              </w:r>
            </w:hyperlink>
            <w:r>
              <w:rPr>
                <w:lang w:val="en-GB"/>
              </w:rPr>
              <w:t xml:space="preserve">. </w:t>
            </w:r>
          </w:p>
          <w:p w14:paraId="00A576F6" w14:textId="66D16360" w:rsidR="007C1375" w:rsidRDefault="007C1375" w:rsidP="0086028B">
            <w:pPr>
              <w:rPr>
                <w:lang w:val="en-GB"/>
              </w:rPr>
            </w:pPr>
          </w:p>
          <w:p w14:paraId="0C88F661" w14:textId="037214ED" w:rsidR="007C1375" w:rsidRPr="007C1375" w:rsidRDefault="007C1375" w:rsidP="007C1375">
            <w:pPr>
              <w:rPr>
                <w:lang w:val="en-GB"/>
              </w:rPr>
            </w:pPr>
            <w:r>
              <w:rPr>
                <w:u w:val="single"/>
                <w:lang w:val="en-GB"/>
              </w:rPr>
              <w:t xml:space="preserve">Paragraph 4 (new): </w:t>
            </w:r>
            <w:r>
              <w:rPr>
                <w:lang w:val="en-GB"/>
              </w:rPr>
              <w:t>development of</w:t>
            </w:r>
            <w:r w:rsidRPr="007C1375">
              <w:rPr>
                <w:lang w:val="en-GB"/>
              </w:rPr>
              <w:t xml:space="preserve"> harmonized standard setting up quality requirements of access services in audiovisual media services</w:t>
            </w:r>
            <w:r>
              <w:rPr>
                <w:lang w:val="en-GB"/>
              </w:rPr>
              <w:t xml:space="preserve"> is important as th</w:t>
            </w:r>
            <w:r w:rsidRPr="007C1375">
              <w:rPr>
                <w:lang w:val="en-GB"/>
              </w:rPr>
              <w:t xml:space="preserve">ere is currently a big gap in harmonisation of requirements across the EU, due to the vague language of the European Audiovisual Media Services Directive. If </w:t>
            </w:r>
            <w:r w:rsidRPr="007C1375">
              <w:rPr>
                <w:lang w:val="en-GB"/>
              </w:rPr>
              <w:lastRenderedPageBreak/>
              <w:t xml:space="preserve">quality standards are not ensured then the aim of EAA to ensure access to quality access services will be significantly watered down, and in some cases be lost. </w:t>
            </w:r>
          </w:p>
          <w:p w14:paraId="7D60ACB2" w14:textId="77777777" w:rsidR="007C1375" w:rsidRPr="007C1375" w:rsidRDefault="007C1375" w:rsidP="007C1375">
            <w:pPr>
              <w:rPr>
                <w:lang w:val="en-GB"/>
              </w:rPr>
            </w:pPr>
          </w:p>
          <w:p w14:paraId="09DE59EF" w14:textId="3F051E61" w:rsidR="007C1375" w:rsidRPr="007C1375" w:rsidRDefault="007C1375" w:rsidP="0086028B">
            <w:pPr>
              <w:rPr>
                <w:u w:val="single"/>
                <w:lang w:val="en-GB"/>
              </w:rPr>
            </w:pPr>
            <w:r>
              <w:rPr>
                <w:lang w:val="en-GB"/>
              </w:rPr>
              <w:t xml:space="preserve">Relevant clause in EAA: </w:t>
            </w:r>
            <w:r w:rsidRPr="007C1375">
              <w:rPr>
                <w:lang w:val="en-GB"/>
              </w:rPr>
              <w:t>Annex I – Section IV – b – (ii): ensuring that the accessibility components (access services) of the audiovisual media services such as subtitles for the deaf and hard of hearing, audio description, spoken subtitles and sign language interpretation are fully transmitted with adequate quality for accurate display, and synchronised with sound and video, while allowing for user control of their display and use</w:t>
            </w:r>
            <w:r>
              <w:rPr>
                <w:lang w:val="en-GB"/>
              </w:rPr>
              <w:t>.</w:t>
            </w:r>
          </w:p>
          <w:p w14:paraId="131DBB1B" w14:textId="77777777" w:rsidR="008D4DFD" w:rsidRPr="00C961A8" w:rsidRDefault="008D4DFD" w:rsidP="0086028B">
            <w:pPr>
              <w:rPr>
                <w:lang w:val="en-GB"/>
              </w:rPr>
            </w:pPr>
          </w:p>
        </w:tc>
      </w:tr>
    </w:tbl>
    <w:p w14:paraId="664FDF4D" w14:textId="44A37D37" w:rsidR="008D4DFD" w:rsidRPr="00C961A8" w:rsidRDefault="00A1304E" w:rsidP="00A1304E">
      <w:pPr>
        <w:pStyle w:val="Heading4"/>
        <w:rPr>
          <w:lang w:val="en-GB"/>
        </w:rPr>
      </w:pPr>
      <w:r w:rsidRPr="00C961A8">
        <w:rPr>
          <w:lang w:val="en-GB"/>
        </w:rPr>
        <w:lastRenderedPageBreak/>
        <w:t>Part C. Specific requirements for revision of existing standards listed in Table 2 of Annex I and Table 1 of Annex II</w:t>
      </w:r>
    </w:p>
    <w:tbl>
      <w:tblPr>
        <w:tblStyle w:val="TableGrid"/>
        <w:tblW w:w="10201" w:type="dxa"/>
        <w:tblInd w:w="-572" w:type="dxa"/>
        <w:tblLook w:val="04A0" w:firstRow="1" w:lastRow="0" w:firstColumn="1" w:lastColumn="0" w:noHBand="0" w:noVBand="1"/>
      </w:tblPr>
      <w:tblGrid>
        <w:gridCol w:w="5098"/>
        <w:gridCol w:w="5103"/>
      </w:tblGrid>
      <w:tr w:rsidR="008D4DFD" w:rsidRPr="00C961A8" w14:paraId="7F291BE3"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21368948" w14:textId="77777777" w:rsidR="008D4DFD" w:rsidRPr="00C961A8" w:rsidRDefault="008D4DFD"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443D4FBF" w14:textId="77777777" w:rsidR="008D4DFD" w:rsidRPr="00C961A8" w:rsidRDefault="008D4DFD" w:rsidP="0086028B">
            <w:pPr>
              <w:rPr>
                <w:lang w:val="en-GB"/>
              </w:rPr>
            </w:pPr>
            <w:r w:rsidRPr="00C961A8">
              <w:rPr>
                <w:lang w:val="en-GB"/>
              </w:rPr>
              <w:t>EDF proposed amendments</w:t>
            </w:r>
          </w:p>
        </w:tc>
      </w:tr>
      <w:tr w:rsidR="008D4DFD" w:rsidRPr="00C961A8" w14:paraId="595A1C87"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671FDAEF" w14:textId="2B23B8AA" w:rsidR="008D4DFD" w:rsidRPr="00C961A8" w:rsidRDefault="00A1304E" w:rsidP="00A1304E">
            <w:pPr>
              <w:spacing w:after="240"/>
              <w:rPr>
                <w:rFonts w:ascii="Times New Roman" w:hAnsi="Times New Roman"/>
                <w:lang w:val="en-GB"/>
              </w:rPr>
            </w:pPr>
            <w:r w:rsidRPr="00C961A8">
              <w:rPr>
                <w:lang w:val="en-GB"/>
              </w:rPr>
              <w:t>2.4. Existing harmonised standard EN 301 549: v3.2.1 2021 covering accessibility requirements of ICT products and services shall be revised. The harmonised standard shall describe the technical solutions for accessibility to ensure conformity with the accessibility requirements of article 4 of Directive (EU) 2016/2102</w:t>
            </w:r>
          </w:p>
        </w:tc>
        <w:tc>
          <w:tcPr>
            <w:tcW w:w="5103" w:type="dxa"/>
            <w:tcBorders>
              <w:top w:val="single" w:sz="4" w:space="0" w:color="auto"/>
              <w:left w:val="single" w:sz="4" w:space="0" w:color="auto"/>
              <w:bottom w:val="single" w:sz="4" w:space="0" w:color="auto"/>
              <w:right w:val="single" w:sz="4" w:space="0" w:color="auto"/>
            </w:tcBorders>
          </w:tcPr>
          <w:p w14:paraId="4C1EEC3F" w14:textId="6EBE2F3A" w:rsidR="008D4DFD" w:rsidRPr="00C961A8" w:rsidRDefault="00A1304E" w:rsidP="0086028B">
            <w:pPr>
              <w:rPr>
                <w:lang w:val="en-GB"/>
              </w:rPr>
            </w:pPr>
            <w:r w:rsidRPr="00A1304E">
              <w:rPr>
                <w:lang w:val="en-GB"/>
              </w:rPr>
              <w:t>2.4. Existing harmonised standard EN 301 549: v3.2.1 2021 covering accessibility requirements of ICT products and services shall be revised. The harmonised standard shall describe the technical solutions for accessibility to ensure conformity with the accessibility requirements of article 4 of Directive (EU) 2016/2102</w:t>
            </w:r>
            <w:r w:rsidR="003625EF">
              <w:rPr>
                <w:lang w:val="en-GB"/>
              </w:rPr>
              <w:t xml:space="preserve"> </w:t>
            </w:r>
            <w:r w:rsidR="003625EF">
              <w:rPr>
                <w:b/>
                <w:bCs/>
                <w:lang w:val="en-GB"/>
              </w:rPr>
              <w:t>as well as the accessibility</w:t>
            </w:r>
            <w:r w:rsidRPr="00A1304E">
              <w:rPr>
                <w:lang w:val="en-GB"/>
              </w:rPr>
              <w:t xml:space="preserve"> </w:t>
            </w:r>
            <w:r w:rsidRPr="00A1304E">
              <w:rPr>
                <w:b/>
                <w:bCs/>
                <w:lang w:val="en-GB"/>
              </w:rPr>
              <w:t>statement</w:t>
            </w:r>
            <w:r w:rsidR="003625EF">
              <w:rPr>
                <w:b/>
                <w:bCs/>
                <w:lang w:val="en-GB"/>
              </w:rPr>
              <w:t xml:space="preserve"> required by this Directive</w:t>
            </w:r>
            <w:r w:rsidRPr="00A1304E">
              <w:rPr>
                <w:b/>
                <w:bCs/>
                <w:lang w:val="en-GB"/>
              </w:rPr>
              <w:t>.</w:t>
            </w:r>
          </w:p>
        </w:tc>
      </w:tr>
      <w:tr w:rsidR="008D4DFD" w:rsidRPr="00C961A8" w14:paraId="6D3DD83C" w14:textId="77777777" w:rsidTr="0086028B">
        <w:tc>
          <w:tcPr>
            <w:tcW w:w="10201" w:type="dxa"/>
            <w:gridSpan w:val="2"/>
            <w:tcBorders>
              <w:top w:val="single" w:sz="4" w:space="0" w:color="auto"/>
              <w:left w:val="single" w:sz="4" w:space="0" w:color="auto"/>
              <w:bottom w:val="single" w:sz="4" w:space="0" w:color="auto"/>
              <w:right w:val="single" w:sz="4" w:space="0" w:color="auto"/>
            </w:tcBorders>
            <w:hideMark/>
          </w:tcPr>
          <w:p w14:paraId="7105599B" w14:textId="1126B2D1" w:rsidR="008D4DFD" w:rsidRDefault="008D4DFD" w:rsidP="0086028B">
            <w:pPr>
              <w:rPr>
                <w:lang w:val="en-GB"/>
              </w:rPr>
            </w:pPr>
            <w:r w:rsidRPr="00C961A8">
              <w:rPr>
                <w:b/>
                <w:bCs/>
                <w:lang w:val="en-GB"/>
              </w:rPr>
              <w:t>Justification</w:t>
            </w:r>
            <w:r w:rsidRPr="00C961A8">
              <w:rPr>
                <w:lang w:val="en-GB"/>
              </w:rPr>
              <w:t>:</w:t>
            </w:r>
          </w:p>
          <w:p w14:paraId="14A6C163" w14:textId="5C31B576" w:rsidR="003625EF" w:rsidRPr="00C961A8" w:rsidRDefault="003625EF" w:rsidP="0086028B">
            <w:pPr>
              <w:rPr>
                <w:lang w:val="en-GB"/>
              </w:rPr>
            </w:pPr>
            <w:r>
              <w:rPr>
                <w:lang w:val="en-GB"/>
              </w:rPr>
              <w:t>See above.</w:t>
            </w:r>
          </w:p>
          <w:p w14:paraId="754B8518" w14:textId="77777777" w:rsidR="008D4DFD" w:rsidRPr="00C961A8" w:rsidRDefault="008D4DFD" w:rsidP="0086028B">
            <w:pPr>
              <w:rPr>
                <w:lang w:val="en-GB"/>
              </w:rPr>
            </w:pPr>
          </w:p>
        </w:tc>
      </w:tr>
    </w:tbl>
    <w:p w14:paraId="1D73E894" w14:textId="77777777" w:rsidR="00AD5E05" w:rsidRPr="00AD5E05" w:rsidRDefault="00AD5E05" w:rsidP="00AD5E05">
      <w:pPr>
        <w:pStyle w:val="Heading4"/>
        <w:rPr>
          <w:lang w:val="en-GB"/>
        </w:rPr>
      </w:pPr>
      <w:r w:rsidRPr="00AD5E05">
        <w:rPr>
          <w:lang w:val="en-GB"/>
        </w:rPr>
        <w:t>Part D. Specific requirements for revision of existing European standardisation deliverables listed in Table 1 of Annex II</w:t>
      </w:r>
    </w:p>
    <w:tbl>
      <w:tblPr>
        <w:tblStyle w:val="TableGrid"/>
        <w:tblW w:w="10201" w:type="dxa"/>
        <w:tblInd w:w="-572" w:type="dxa"/>
        <w:tblLook w:val="04A0" w:firstRow="1" w:lastRow="0" w:firstColumn="1" w:lastColumn="0" w:noHBand="0" w:noVBand="1"/>
      </w:tblPr>
      <w:tblGrid>
        <w:gridCol w:w="5098"/>
        <w:gridCol w:w="5103"/>
      </w:tblGrid>
      <w:tr w:rsidR="00AD5E05" w:rsidRPr="00C961A8" w14:paraId="6BAAB625"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2EA9EB77" w14:textId="77777777" w:rsidR="00AD5E05" w:rsidRPr="00C961A8" w:rsidRDefault="00AD5E05" w:rsidP="0086028B">
            <w:pPr>
              <w:rPr>
                <w:lang w:val="en-GB"/>
              </w:rPr>
            </w:pPr>
            <w:r w:rsidRPr="00C961A8">
              <w:rPr>
                <w:lang w:val="en-GB"/>
              </w:rPr>
              <w:t>Commission proposal</w:t>
            </w:r>
          </w:p>
        </w:tc>
        <w:tc>
          <w:tcPr>
            <w:tcW w:w="5103" w:type="dxa"/>
            <w:tcBorders>
              <w:top w:val="single" w:sz="4" w:space="0" w:color="auto"/>
              <w:left w:val="single" w:sz="4" w:space="0" w:color="auto"/>
              <w:bottom w:val="single" w:sz="4" w:space="0" w:color="auto"/>
              <w:right w:val="single" w:sz="4" w:space="0" w:color="auto"/>
            </w:tcBorders>
            <w:hideMark/>
          </w:tcPr>
          <w:p w14:paraId="47BAFDE3" w14:textId="77777777" w:rsidR="00AD5E05" w:rsidRPr="00C961A8" w:rsidRDefault="00AD5E05" w:rsidP="0086028B">
            <w:pPr>
              <w:rPr>
                <w:lang w:val="en-GB"/>
              </w:rPr>
            </w:pPr>
            <w:r w:rsidRPr="00C961A8">
              <w:rPr>
                <w:lang w:val="en-GB"/>
              </w:rPr>
              <w:t>EDF proposed amendments</w:t>
            </w:r>
          </w:p>
        </w:tc>
      </w:tr>
      <w:tr w:rsidR="00AD5E05" w:rsidRPr="00C961A8" w14:paraId="5641318F" w14:textId="77777777" w:rsidTr="0086028B">
        <w:tc>
          <w:tcPr>
            <w:tcW w:w="5098" w:type="dxa"/>
            <w:tcBorders>
              <w:top w:val="single" w:sz="4" w:space="0" w:color="auto"/>
              <w:left w:val="single" w:sz="4" w:space="0" w:color="auto"/>
              <w:bottom w:val="single" w:sz="4" w:space="0" w:color="auto"/>
              <w:right w:val="single" w:sz="4" w:space="0" w:color="auto"/>
            </w:tcBorders>
            <w:hideMark/>
          </w:tcPr>
          <w:p w14:paraId="413196B3" w14:textId="77777777" w:rsidR="00AD5E05" w:rsidRPr="00AD5E05" w:rsidRDefault="00AD5E05" w:rsidP="00AD5E05">
            <w:pPr>
              <w:spacing w:after="240"/>
              <w:rPr>
                <w:lang w:val="en-GB"/>
              </w:rPr>
            </w:pPr>
            <w:r w:rsidRPr="00AD5E05">
              <w:rPr>
                <w:lang w:val="en-GB"/>
              </w:rPr>
              <w:t xml:space="preserve">2 The requirements and their description coincide with the Four Principles of Accessibility defined in W3C Web </w:t>
            </w:r>
          </w:p>
          <w:p w14:paraId="266F1D62" w14:textId="77777777" w:rsidR="00AD5E05" w:rsidRPr="00AD5E05" w:rsidRDefault="00AD5E05" w:rsidP="00AD5E05">
            <w:pPr>
              <w:spacing w:after="240"/>
              <w:rPr>
                <w:lang w:val="en-GB"/>
              </w:rPr>
            </w:pPr>
            <w:r w:rsidRPr="00AD5E05">
              <w:rPr>
                <w:lang w:val="en-GB"/>
              </w:rPr>
              <w:t>Contents Accessibility Guidelines (WCAG) 2.0.EN 4 EN</w:t>
            </w:r>
          </w:p>
          <w:p w14:paraId="0FC6EF9A" w14:textId="77777777" w:rsidR="00AD5E05" w:rsidRPr="00AD5E05" w:rsidRDefault="00AD5E05" w:rsidP="00AD5E05">
            <w:pPr>
              <w:spacing w:after="240"/>
              <w:rPr>
                <w:lang w:val="en-GB"/>
              </w:rPr>
            </w:pPr>
            <w:r w:rsidRPr="00AD5E05">
              <w:rPr>
                <w:lang w:val="en-GB"/>
              </w:rPr>
              <w:t xml:space="preserve">If any of these requirements are not met, users with disabilities will not be able to use the </w:t>
            </w:r>
          </w:p>
          <w:p w14:paraId="5DE2A6DC" w14:textId="77777777" w:rsidR="00AD5E05" w:rsidRPr="00AD5E05" w:rsidRDefault="00AD5E05" w:rsidP="00AD5E05">
            <w:pPr>
              <w:spacing w:after="240"/>
              <w:rPr>
                <w:lang w:val="en-GB"/>
              </w:rPr>
            </w:pPr>
            <w:r w:rsidRPr="00AD5E05">
              <w:rPr>
                <w:lang w:val="en-GB"/>
              </w:rPr>
              <w:t>Web.</w:t>
            </w:r>
          </w:p>
          <w:p w14:paraId="5B281D70" w14:textId="77777777" w:rsidR="00AD5E05" w:rsidRPr="00AD5E05" w:rsidRDefault="00AD5E05" w:rsidP="00AD5E05">
            <w:pPr>
              <w:spacing w:after="240"/>
              <w:rPr>
                <w:lang w:val="en-GB"/>
              </w:rPr>
            </w:pPr>
            <w:r w:rsidRPr="00AD5E05">
              <w:rPr>
                <w:lang w:val="en-GB"/>
              </w:rPr>
              <w:t>2. Additional requirements for mobile applications</w:t>
            </w:r>
          </w:p>
          <w:p w14:paraId="2CFE3186" w14:textId="77777777" w:rsidR="00AD5E05" w:rsidRPr="00AD5E05" w:rsidRDefault="00AD5E05" w:rsidP="00AD5E05">
            <w:pPr>
              <w:spacing w:after="240"/>
              <w:rPr>
                <w:lang w:val="en-GB"/>
              </w:rPr>
            </w:pPr>
            <w:r w:rsidRPr="00AD5E05">
              <w:rPr>
                <w:lang w:val="en-GB"/>
              </w:rPr>
              <w:lastRenderedPageBreak/>
              <w:t>The requested harmonised standard(s) shall further detail the accessibility provisions established in EN 301 549: v3.2.1 2021 to cover all specificities of mobile applications.</w:t>
            </w:r>
          </w:p>
          <w:p w14:paraId="0F1A8AA0" w14:textId="0DD51C3F" w:rsidR="00AD5E05" w:rsidRPr="00C961A8" w:rsidRDefault="00AD5E05" w:rsidP="0086028B">
            <w:pPr>
              <w:spacing w:after="240"/>
              <w:rPr>
                <w:lang w:val="en-GB"/>
              </w:rPr>
            </w:pPr>
            <w:r w:rsidRPr="00AD5E05">
              <w:rPr>
                <w:lang w:val="en-GB"/>
              </w:rPr>
              <w:t>The conceptual and technical specificities of mobile devices shall be duly taken into account when establishing accessibility specifications for mobile applications.</w:t>
            </w:r>
          </w:p>
        </w:tc>
        <w:tc>
          <w:tcPr>
            <w:tcW w:w="5103" w:type="dxa"/>
            <w:tcBorders>
              <w:top w:val="single" w:sz="4" w:space="0" w:color="auto"/>
              <w:left w:val="single" w:sz="4" w:space="0" w:color="auto"/>
              <w:bottom w:val="single" w:sz="4" w:space="0" w:color="auto"/>
              <w:right w:val="single" w:sz="4" w:space="0" w:color="auto"/>
            </w:tcBorders>
          </w:tcPr>
          <w:p w14:paraId="33F726ED" w14:textId="77777777" w:rsidR="00AD5E05" w:rsidRPr="00C961A8" w:rsidRDefault="00AD5E05" w:rsidP="00AD5E05">
            <w:pPr>
              <w:rPr>
                <w:rFonts w:ascii="Times New Roman" w:hAnsi="Times New Roman"/>
                <w:lang w:val="en-GB"/>
              </w:rPr>
            </w:pPr>
            <w:r w:rsidRPr="00C961A8">
              <w:rPr>
                <w:lang w:val="en-GB"/>
              </w:rPr>
              <w:lastRenderedPageBreak/>
              <w:t xml:space="preserve">2 The requirements and their description coincide with the Four Principles of Accessibility defined in W3C Web </w:t>
            </w:r>
          </w:p>
          <w:p w14:paraId="2B9D1636" w14:textId="77777777" w:rsidR="00AD5E05" w:rsidRPr="00C961A8" w:rsidRDefault="00AD5E05" w:rsidP="00AD5E05">
            <w:pPr>
              <w:rPr>
                <w:lang w:val="en-GB"/>
              </w:rPr>
            </w:pPr>
            <w:r w:rsidRPr="00C961A8">
              <w:rPr>
                <w:lang w:val="en-GB"/>
              </w:rPr>
              <w:t>Contents Accessibility Guidelines (WCAG) 2.0.EN 4 EN</w:t>
            </w:r>
          </w:p>
          <w:p w14:paraId="4469CD5D" w14:textId="77777777" w:rsidR="00AD5E05" w:rsidRPr="00C961A8" w:rsidRDefault="00AD5E05" w:rsidP="00AD5E05">
            <w:pPr>
              <w:rPr>
                <w:lang w:val="en-GB"/>
              </w:rPr>
            </w:pPr>
            <w:r w:rsidRPr="00C961A8">
              <w:rPr>
                <w:lang w:val="en-GB"/>
              </w:rPr>
              <w:t xml:space="preserve">If any of these requirements are not met, users with disabilities will not be able to use the </w:t>
            </w:r>
          </w:p>
          <w:p w14:paraId="29F84805" w14:textId="77777777" w:rsidR="00AD5E05" w:rsidRPr="00C961A8" w:rsidRDefault="00AD5E05" w:rsidP="00AD5E05">
            <w:pPr>
              <w:rPr>
                <w:lang w:val="en-GB"/>
              </w:rPr>
            </w:pPr>
            <w:r w:rsidRPr="00C961A8">
              <w:rPr>
                <w:lang w:val="en-GB"/>
              </w:rPr>
              <w:t>Web.</w:t>
            </w:r>
          </w:p>
          <w:p w14:paraId="34EFBC7D" w14:textId="77777777" w:rsidR="00AD5E05" w:rsidRPr="00C961A8" w:rsidRDefault="00AD5E05" w:rsidP="00AD5E05">
            <w:pPr>
              <w:rPr>
                <w:lang w:val="en-GB"/>
              </w:rPr>
            </w:pPr>
            <w:r w:rsidRPr="00C961A8">
              <w:rPr>
                <w:lang w:val="en-GB"/>
              </w:rPr>
              <w:t>2. Additional requirements for mobile applications</w:t>
            </w:r>
          </w:p>
          <w:p w14:paraId="6C1EC4A0" w14:textId="77777777" w:rsidR="00AD5E05" w:rsidRPr="00C961A8" w:rsidRDefault="00AD5E05" w:rsidP="00AD5E05">
            <w:pPr>
              <w:rPr>
                <w:lang w:val="en-GB"/>
              </w:rPr>
            </w:pPr>
            <w:r w:rsidRPr="00C961A8">
              <w:rPr>
                <w:lang w:val="en-GB"/>
              </w:rPr>
              <w:t xml:space="preserve">The requested harmonised standard(s) shall further detail the accessibility provisions established in EN 301 549: </w:t>
            </w:r>
            <w:r w:rsidRPr="00C961A8">
              <w:rPr>
                <w:lang w:val="en-GB"/>
              </w:rPr>
              <w:lastRenderedPageBreak/>
              <w:t>v3.2.1 2021 to cover all specificities of mobile applications.</w:t>
            </w:r>
          </w:p>
          <w:p w14:paraId="736A1752" w14:textId="77777777" w:rsidR="00AD5E05" w:rsidRPr="00C961A8" w:rsidRDefault="00AD5E05" w:rsidP="00AD5E05">
            <w:pPr>
              <w:rPr>
                <w:lang w:val="en-GB"/>
              </w:rPr>
            </w:pPr>
            <w:r w:rsidRPr="00C961A8">
              <w:rPr>
                <w:lang w:val="en-GB"/>
              </w:rPr>
              <w:t>The conceptual and technical specificities of mobile devices shall be duly taken into account when establishing accessibility specifications for mobile applications.</w:t>
            </w:r>
          </w:p>
          <w:p w14:paraId="480DA5E4" w14:textId="77777777" w:rsidR="00AD5E05" w:rsidRPr="00C961A8" w:rsidRDefault="00AD5E05" w:rsidP="00AD5E05">
            <w:pPr>
              <w:rPr>
                <w:b/>
                <w:lang w:val="en-GB"/>
              </w:rPr>
            </w:pPr>
          </w:p>
          <w:p w14:paraId="0844E63C" w14:textId="32709CB2" w:rsidR="00AD5E05" w:rsidRPr="00C961A8" w:rsidRDefault="00AD5E05" w:rsidP="00AD5E05">
            <w:pPr>
              <w:rPr>
                <w:lang w:val="en-GB"/>
              </w:rPr>
            </w:pPr>
            <w:r w:rsidRPr="00C961A8">
              <w:rPr>
                <w:b/>
                <w:bCs/>
                <w:lang w:val="en-GB"/>
              </w:rPr>
              <w:t>The harmonized standard(s) shall include information about the Commission Implementing Decision (EU) 2018/1523 on the accessibility fulfilling article 7 of Directive (EU) 2016/2102.</w:t>
            </w:r>
          </w:p>
        </w:tc>
      </w:tr>
      <w:tr w:rsidR="00AD5E05" w:rsidRPr="00C961A8" w14:paraId="1206D2DD" w14:textId="77777777" w:rsidTr="0086028B">
        <w:tc>
          <w:tcPr>
            <w:tcW w:w="10201" w:type="dxa"/>
            <w:gridSpan w:val="2"/>
            <w:tcBorders>
              <w:top w:val="single" w:sz="4" w:space="0" w:color="auto"/>
              <w:left w:val="single" w:sz="4" w:space="0" w:color="auto"/>
              <w:bottom w:val="single" w:sz="4" w:space="0" w:color="auto"/>
              <w:right w:val="single" w:sz="4" w:space="0" w:color="auto"/>
            </w:tcBorders>
            <w:hideMark/>
          </w:tcPr>
          <w:p w14:paraId="1E1729C5" w14:textId="7A0B5E88" w:rsidR="00AD5E05" w:rsidRDefault="00AD5E05" w:rsidP="0086028B">
            <w:pPr>
              <w:rPr>
                <w:lang w:val="en-GB"/>
              </w:rPr>
            </w:pPr>
            <w:r w:rsidRPr="00C961A8">
              <w:rPr>
                <w:b/>
                <w:bCs/>
                <w:lang w:val="en-GB"/>
              </w:rPr>
              <w:lastRenderedPageBreak/>
              <w:t>Justification</w:t>
            </w:r>
            <w:r w:rsidRPr="00C961A8">
              <w:rPr>
                <w:lang w:val="en-GB"/>
              </w:rPr>
              <w:t>:</w:t>
            </w:r>
          </w:p>
          <w:p w14:paraId="2AB5240B" w14:textId="2AE1AEE1" w:rsidR="009A4CDA" w:rsidRPr="009A4CDA" w:rsidRDefault="003625EF" w:rsidP="009A4CDA">
            <w:pPr>
              <w:rPr>
                <w:lang w:val="en-GB"/>
              </w:rPr>
            </w:pPr>
            <w:r>
              <w:rPr>
                <w:lang w:val="en-GB"/>
              </w:rPr>
              <w:t>Same as above.</w:t>
            </w:r>
          </w:p>
          <w:p w14:paraId="79AA36D7" w14:textId="678D16EB" w:rsidR="009A4CDA" w:rsidRPr="009A4CDA" w:rsidRDefault="009A4CDA" w:rsidP="009A4CDA">
            <w:pPr>
              <w:rPr>
                <w:lang w:val="en-GB"/>
              </w:rPr>
            </w:pPr>
          </w:p>
        </w:tc>
      </w:tr>
    </w:tbl>
    <w:p w14:paraId="5CAA3432" w14:textId="77777777" w:rsidR="00AD5E05" w:rsidRPr="00C961A8" w:rsidRDefault="00AD5E05" w:rsidP="00997569">
      <w:pPr>
        <w:pStyle w:val="Heading1"/>
        <w:rPr>
          <w:lang w:val="en-GB"/>
        </w:rPr>
      </w:pPr>
    </w:p>
    <w:p w14:paraId="38D59293" w14:textId="1F8F6F36" w:rsidR="00997569" w:rsidRPr="00C961A8" w:rsidRDefault="007F458D" w:rsidP="00997569">
      <w:pPr>
        <w:pStyle w:val="Heading1"/>
        <w:rPr>
          <w:lang w:val="en-GB"/>
        </w:rPr>
      </w:pPr>
      <w:bookmarkStart w:id="15" w:name="_Toc81993523"/>
      <w:r w:rsidRPr="00C961A8">
        <w:rPr>
          <w:lang w:val="en-GB"/>
        </w:rPr>
        <w:t>Related Documents</w:t>
      </w:r>
      <w:bookmarkEnd w:id="12"/>
      <w:bookmarkEnd w:id="15"/>
    </w:p>
    <w:p w14:paraId="566BA828" w14:textId="77777777" w:rsidR="00997569" w:rsidRPr="00C961A8" w:rsidRDefault="000E073D" w:rsidP="00997569">
      <w:pPr>
        <w:numPr>
          <w:ilvl w:val="0"/>
          <w:numId w:val="4"/>
        </w:numPr>
        <w:rPr>
          <w:lang w:val="en-GB"/>
        </w:rPr>
      </w:pPr>
      <w:hyperlink r:id="rId14" w:history="1">
        <w:r w:rsidR="00997569" w:rsidRPr="00C961A8">
          <w:rPr>
            <w:rStyle w:val="Hyperlink"/>
            <w:lang w:val="en-GB"/>
          </w:rPr>
          <w:t>UN Convention on the Rights of Persons with Disabilities (UN CRPD)</w:t>
        </w:r>
      </w:hyperlink>
    </w:p>
    <w:p w14:paraId="310D2816" w14:textId="4BD2E73F" w:rsidR="005E0C12" w:rsidRPr="00C961A8" w:rsidRDefault="000E073D" w:rsidP="005E0C12">
      <w:pPr>
        <w:numPr>
          <w:ilvl w:val="0"/>
          <w:numId w:val="4"/>
        </w:numPr>
        <w:rPr>
          <w:rStyle w:val="Hyperlink"/>
          <w:color w:val="auto"/>
          <w:u w:val="none"/>
          <w:lang w:val="en-GB"/>
        </w:rPr>
      </w:pPr>
      <w:hyperlink r:id="rId15" w:history="1">
        <w:r w:rsidR="00997569" w:rsidRPr="00C961A8">
          <w:rPr>
            <w:rStyle w:val="Hyperlink"/>
            <w:lang w:val="en-GB"/>
          </w:rPr>
          <w:t>European Accessibility Act (Directive (EU) 2019/882 of the European Parliament and of the Council of 17 April 2019 on the accessibility requirements for products and services (Text with EEA relevance))</w:t>
        </w:r>
      </w:hyperlink>
    </w:p>
    <w:p w14:paraId="74FE4682" w14:textId="20D61013" w:rsidR="008F6513" w:rsidRPr="00C961A8" w:rsidRDefault="000E073D" w:rsidP="005E0C12">
      <w:pPr>
        <w:numPr>
          <w:ilvl w:val="0"/>
          <w:numId w:val="4"/>
        </w:numPr>
        <w:rPr>
          <w:rStyle w:val="Hyperlink"/>
          <w:color w:val="auto"/>
          <w:u w:val="none"/>
          <w:lang w:val="en-GB"/>
        </w:rPr>
      </w:pPr>
      <w:hyperlink r:id="rId16" w:history="1">
        <w:r w:rsidR="008F6513" w:rsidRPr="00C961A8">
          <w:rPr>
            <w:rStyle w:val="Hyperlink"/>
            <w:lang w:val="en-GB"/>
          </w:rPr>
          <w:t>EDF European Accessibility Act Toolkit for transposition</w:t>
        </w:r>
      </w:hyperlink>
    </w:p>
    <w:p w14:paraId="4F337375" w14:textId="612E1A16" w:rsidR="00C94F8D" w:rsidRPr="00C961A8" w:rsidRDefault="000E073D" w:rsidP="005E0C12">
      <w:pPr>
        <w:numPr>
          <w:ilvl w:val="0"/>
          <w:numId w:val="4"/>
        </w:numPr>
        <w:rPr>
          <w:rStyle w:val="Hyperlink"/>
          <w:color w:val="auto"/>
          <w:u w:val="none"/>
          <w:lang w:val="en-GB"/>
        </w:rPr>
      </w:pPr>
      <w:hyperlink r:id="rId17" w:history="1">
        <w:r w:rsidR="00C94F8D" w:rsidRPr="00C961A8">
          <w:rPr>
            <w:rStyle w:val="Hyperlink"/>
            <w:lang w:val="en-GB"/>
          </w:rPr>
          <w:t>EDF recommendations on standardisation for the European Accessibility Act</w:t>
        </w:r>
      </w:hyperlink>
    </w:p>
    <w:p w14:paraId="758F843E" w14:textId="233F953B" w:rsidR="00FB1C18" w:rsidRPr="00C961A8" w:rsidRDefault="000E073D" w:rsidP="00997569">
      <w:pPr>
        <w:numPr>
          <w:ilvl w:val="0"/>
          <w:numId w:val="4"/>
        </w:numPr>
        <w:rPr>
          <w:lang w:val="en-GB"/>
        </w:rPr>
      </w:pPr>
      <w:hyperlink r:id="rId18" w:history="1">
        <w:r w:rsidR="00FB1C18" w:rsidRPr="00C961A8">
          <w:rPr>
            <w:rStyle w:val="Hyperlink"/>
            <w:lang w:val="en-GB"/>
          </w:rPr>
          <w:t>Union of Equality: Strategy for the Rights of Persons with Disabilities 2021-2030</w:t>
        </w:r>
      </w:hyperlink>
    </w:p>
    <w:p w14:paraId="41387DF1" w14:textId="284A2A1E" w:rsidR="005674B2" w:rsidRPr="00C961A8" w:rsidRDefault="000E073D" w:rsidP="00997569">
      <w:pPr>
        <w:numPr>
          <w:ilvl w:val="0"/>
          <w:numId w:val="4"/>
        </w:numPr>
        <w:ind w:hanging="436"/>
        <w:rPr>
          <w:lang w:val="en-GB"/>
        </w:rPr>
      </w:pPr>
      <w:hyperlink r:id="rId19" w:history="1">
        <w:r w:rsidR="00997569" w:rsidRPr="00C961A8">
          <w:rPr>
            <w:rStyle w:val="Hyperlink"/>
            <w:lang w:val="en-GB"/>
          </w:rPr>
          <w:t>Council of Europe’s Common European Framework of Reference for Languages</w:t>
        </w:r>
      </w:hyperlink>
    </w:p>
    <w:p w14:paraId="63B7F075" w14:textId="4814EFFD" w:rsidR="00A9576D" w:rsidRPr="00C961A8" w:rsidRDefault="00A9576D" w:rsidP="00A9576D">
      <w:pPr>
        <w:pStyle w:val="Heading1"/>
        <w:pageBreakBefore/>
        <w:rPr>
          <w:lang w:val="en-GB"/>
        </w:rPr>
      </w:pPr>
      <w:bookmarkStart w:id="16" w:name="_Toc81993524"/>
      <w:r w:rsidRPr="00C961A8">
        <w:rPr>
          <w:lang w:val="en-GB"/>
        </w:rPr>
        <w:lastRenderedPageBreak/>
        <w:t>Document credits</w:t>
      </w:r>
      <w:bookmarkEnd w:id="16"/>
    </w:p>
    <w:p w14:paraId="2B95C88F" w14:textId="1928B4CB" w:rsidR="00A9576D" w:rsidRPr="00C961A8" w:rsidRDefault="00A9576D" w:rsidP="006D0B23">
      <w:pPr>
        <w:widowControl w:val="0"/>
        <w:spacing w:before="480"/>
        <w:rPr>
          <w:lang w:val="en-GB"/>
        </w:rPr>
      </w:pPr>
      <w:r w:rsidRPr="00C961A8">
        <w:rPr>
          <w:lang w:val="en-GB"/>
        </w:rPr>
        <w:t>This document was prepared by</w:t>
      </w:r>
      <w:r w:rsidR="00001E3B" w:rsidRPr="00C961A8">
        <w:rPr>
          <w:lang w:val="en-GB"/>
        </w:rPr>
        <w:t xml:space="preserve"> Mher Hakobyan, EDF Accessibility Officer </w:t>
      </w:r>
    </w:p>
    <w:p w14:paraId="49ACA04B" w14:textId="15413C7F" w:rsidR="00D914EF" w:rsidRPr="00C961A8" w:rsidRDefault="00D914EF" w:rsidP="006D0B23">
      <w:pPr>
        <w:widowControl w:val="0"/>
        <w:spacing w:before="480"/>
        <w:rPr>
          <w:lang w:val="en-GB"/>
        </w:rPr>
      </w:pPr>
      <w:r w:rsidRPr="00C961A8">
        <w:rPr>
          <w:lang w:val="en-GB"/>
        </w:rPr>
        <w:t xml:space="preserve">Supported by </w:t>
      </w:r>
      <w:r w:rsidR="003014ED" w:rsidRPr="00C961A8">
        <w:rPr>
          <w:lang w:val="en-GB"/>
        </w:rPr>
        <w:t xml:space="preserve">Maire Denninghaus, EDF Policy Coordinator and </w:t>
      </w:r>
      <w:r w:rsidRPr="00C961A8">
        <w:rPr>
          <w:lang w:val="en-GB"/>
        </w:rPr>
        <w:t xml:space="preserve">Alejandro Moledo, EDF Head of Policy </w:t>
      </w:r>
    </w:p>
    <w:p w14:paraId="177D1331" w14:textId="30D02CFC" w:rsidR="009277BC" w:rsidRPr="00C961A8" w:rsidRDefault="009277BC" w:rsidP="009277BC">
      <w:pPr>
        <w:widowControl w:val="0"/>
        <w:spacing w:before="480"/>
        <w:rPr>
          <w:lang w:val="en-GB"/>
        </w:rPr>
      </w:pPr>
      <w:r w:rsidRPr="00C961A8">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C961A8" w:rsidRDefault="00A9576D" w:rsidP="006D0B23">
      <w:pPr>
        <w:widowControl w:val="0"/>
        <w:spacing w:before="480"/>
        <w:rPr>
          <w:lang w:val="en-GB"/>
        </w:rPr>
      </w:pPr>
      <w:r w:rsidRPr="00C961A8">
        <w:rPr>
          <w:lang w:val="en-GB"/>
        </w:rPr>
        <w:t>The European Disability Forum</w:t>
      </w:r>
      <w:r w:rsidR="009277BC" w:rsidRPr="00C961A8">
        <w:rPr>
          <w:lang w:val="en-GB"/>
        </w:rPr>
        <w:br/>
        <w:t xml:space="preserve">Mundo </w:t>
      </w:r>
      <w:proofErr w:type="spellStart"/>
      <w:r w:rsidR="009277BC" w:rsidRPr="00C961A8">
        <w:rPr>
          <w:lang w:val="en-GB"/>
        </w:rPr>
        <w:t>Madou</w:t>
      </w:r>
      <w:proofErr w:type="spellEnd"/>
      <w:r w:rsidR="009277BC" w:rsidRPr="00C961A8">
        <w:rPr>
          <w:lang w:val="en-GB"/>
        </w:rPr>
        <w:br/>
      </w:r>
      <w:r w:rsidRPr="00C961A8">
        <w:rPr>
          <w:lang w:val="en-GB"/>
        </w:rPr>
        <w:t>Avenue des Arts 7-8</w:t>
      </w:r>
      <w:r w:rsidR="009277BC" w:rsidRPr="00C961A8">
        <w:rPr>
          <w:lang w:val="en-GB"/>
        </w:rPr>
        <w:br/>
        <w:t>1210 Brussels, Belgium.</w:t>
      </w:r>
    </w:p>
    <w:p w14:paraId="63FAD6C0" w14:textId="334864FE" w:rsidR="00A9576D" w:rsidRPr="00C961A8" w:rsidRDefault="000E073D" w:rsidP="006D0B23">
      <w:pPr>
        <w:widowControl w:val="0"/>
        <w:spacing w:before="480"/>
        <w:rPr>
          <w:lang w:val="en-GB"/>
        </w:rPr>
      </w:pPr>
      <w:hyperlink r:id="rId20" w:history="1">
        <w:r w:rsidR="00A9576D" w:rsidRPr="00C961A8">
          <w:rPr>
            <w:rStyle w:val="Hyperlink"/>
            <w:lang w:val="en-GB"/>
          </w:rPr>
          <w:t>www.edf-feph.org</w:t>
        </w:r>
      </w:hyperlink>
    </w:p>
    <w:p w14:paraId="7B572B14" w14:textId="5A1C910E" w:rsidR="009277BC" w:rsidRPr="00C961A8" w:rsidRDefault="000E073D" w:rsidP="006D0B23">
      <w:pPr>
        <w:widowControl w:val="0"/>
        <w:spacing w:before="480"/>
        <w:rPr>
          <w:lang w:val="en-GB"/>
        </w:rPr>
      </w:pPr>
      <w:hyperlink r:id="rId21" w:history="1">
        <w:r w:rsidR="009277BC" w:rsidRPr="00C961A8">
          <w:rPr>
            <w:rStyle w:val="Hyperlink"/>
            <w:lang w:val="en-GB"/>
          </w:rPr>
          <w:t>info@edf-feph.org</w:t>
        </w:r>
      </w:hyperlink>
    </w:p>
    <w:p w14:paraId="23807C83" w14:textId="06A6BD57" w:rsidR="009277BC" w:rsidRPr="00C961A8" w:rsidRDefault="009277BC" w:rsidP="009277BC">
      <w:pPr>
        <w:widowControl w:val="0"/>
        <w:spacing w:before="1680" w:after="120"/>
        <w:rPr>
          <w:lang w:val="en-GB"/>
        </w:rPr>
      </w:pPr>
      <w:r w:rsidRPr="00C961A8">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C961A8" w:rsidRDefault="009277BC" w:rsidP="009277BC">
      <w:pPr>
        <w:widowControl w:val="0"/>
        <w:spacing w:before="120"/>
        <w:jc w:val="center"/>
        <w:rPr>
          <w:lang w:val="en-GB"/>
        </w:rPr>
      </w:pPr>
      <w:r w:rsidRPr="00C961A8">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C961A8" w:rsidSect="006D0B23">
      <w:footerReference w:type="default" r:id="rId22"/>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35456" w14:textId="77777777" w:rsidR="00BA4DFD" w:rsidRDefault="00BA4DFD" w:rsidP="00E47FF5">
      <w:pPr>
        <w:spacing w:after="0" w:line="240" w:lineRule="auto"/>
      </w:pPr>
      <w:r>
        <w:separator/>
      </w:r>
    </w:p>
  </w:endnote>
  <w:endnote w:type="continuationSeparator" w:id="0">
    <w:p w14:paraId="123F3619" w14:textId="77777777" w:rsidR="00BA4DFD" w:rsidRDefault="00BA4DFD"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BA4DFD" w:rsidRDefault="00BA4DF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BA4DFD" w:rsidRDefault="00BA4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2F7CF" w14:textId="77777777" w:rsidR="00BA4DFD" w:rsidRDefault="00BA4DFD" w:rsidP="00E47FF5">
      <w:pPr>
        <w:spacing w:after="0" w:line="240" w:lineRule="auto"/>
      </w:pPr>
      <w:r>
        <w:separator/>
      </w:r>
    </w:p>
  </w:footnote>
  <w:footnote w:type="continuationSeparator" w:id="0">
    <w:p w14:paraId="3B0C8084" w14:textId="77777777" w:rsidR="00BA4DFD" w:rsidRDefault="00BA4DFD" w:rsidP="00E47FF5">
      <w:pPr>
        <w:spacing w:after="0" w:line="240" w:lineRule="auto"/>
      </w:pPr>
      <w:r>
        <w:continuationSeparator/>
      </w:r>
    </w:p>
  </w:footnote>
  <w:footnote w:id="1">
    <w:p w14:paraId="3AB0C7EA" w14:textId="0B79D992" w:rsidR="008B201A" w:rsidRPr="00C46EE5" w:rsidRDefault="008B201A">
      <w:pPr>
        <w:pStyle w:val="FootnoteText"/>
        <w:rPr>
          <w:lang w:val="en-GB"/>
        </w:rPr>
      </w:pPr>
      <w:r w:rsidRPr="00C46EE5">
        <w:rPr>
          <w:rStyle w:val="FootnoteReference"/>
          <w:lang w:val="en-GB"/>
        </w:rPr>
        <w:footnoteRef/>
      </w:r>
      <w:r w:rsidRPr="00C46EE5">
        <w:rPr>
          <w:lang w:val="en-GB"/>
        </w:rPr>
        <w:t xml:space="preserve"> Guidelines on the use of accessibility award criteria suitable for public procurement of ICT products and services in Europe.</w:t>
      </w:r>
    </w:p>
  </w:footnote>
  <w:footnote w:id="2">
    <w:p w14:paraId="798B4779" w14:textId="60B05E90" w:rsidR="008B201A" w:rsidRPr="00C46EE5" w:rsidRDefault="008B201A">
      <w:pPr>
        <w:pStyle w:val="FootnoteText"/>
        <w:rPr>
          <w:lang w:val="en-GB"/>
        </w:rPr>
      </w:pPr>
      <w:r w:rsidRPr="00C46EE5">
        <w:rPr>
          <w:rStyle w:val="FootnoteReference"/>
          <w:lang w:val="en-GB"/>
        </w:rPr>
        <w:footnoteRef/>
      </w:r>
      <w:r w:rsidRPr="00C46EE5">
        <w:rPr>
          <w:lang w:val="en-GB"/>
        </w:rPr>
        <w:t xml:space="preserve"> Guidance for the application of conformity assessment to accessibility requirements for public procurement of ICT products and services in Europe.</w:t>
      </w:r>
    </w:p>
  </w:footnote>
  <w:footnote w:id="3">
    <w:p w14:paraId="564FD206" w14:textId="09B0C11B" w:rsidR="00C46EE5" w:rsidRPr="00C46EE5" w:rsidRDefault="00C46EE5">
      <w:pPr>
        <w:pStyle w:val="FootnoteText"/>
        <w:rPr>
          <w:lang w:val="en-GB"/>
        </w:rPr>
      </w:pPr>
      <w:r w:rsidRPr="00C46EE5">
        <w:rPr>
          <w:rStyle w:val="FootnoteReference"/>
          <w:lang w:val="en-GB"/>
        </w:rPr>
        <w:footnoteRef/>
      </w:r>
      <w:r w:rsidRPr="00C46EE5">
        <w:rPr>
          <w:lang w:val="en-GB"/>
        </w:rPr>
        <w:t xml:space="preserve"> </w:t>
      </w:r>
      <w:r w:rsidRPr="00C46EE5">
        <w:rPr>
          <w:bCs/>
          <w:lang w:val="en-GB"/>
        </w:rPr>
        <w:t xml:space="preserve">Commission Implementing Decision (EU) 2018/1523, available at </w:t>
      </w:r>
      <w:hyperlink r:id="rId1" w:history="1">
        <w:r w:rsidRPr="00C46EE5">
          <w:rPr>
            <w:rStyle w:val="Hyperlink"/>
            <w:bCs/>
            <w:lang w:val="en-GB"/>
          </w:rPr>
          <w:t>https://eur-lex.europa.eu/eli/dec_impl/2018/1523/oj</w:t>
        </w:r>
      </w:hyperlink>
      <w:r w:rsidRPr="00C46EE5">
        <w:rPr>
          <w:bCs/>
          <w:lang w:val="en-GB"/>
        </w:rPr>
        <w:t xml:space="preserve"> </w:t>
      </w:r>
    </w:p>
  </w:footnote>
  <w:footnote w:id="4">
    <w:p w14:paraId="6BAA2E7A" w14:textId="77777777" w:rsidR="006551B4" w:rsidRPr="00C46EE5" w:rsidRDefault="006551B4" w:rsidP="006551B4">
      <w:pPr>
        <w:pStyle w:val="FootnoteText"/>
        <w:rPr>
          <w:lang w:val="en-GB"/>
        </w:rPr>
      </w:pPr>
      <w:r w:rsidRPr="00C46EE5">
        <w:rPr>
          <w:rStyle w:val="FootnoteReference"/>
          <w:lang w:val="en-GB"/>
        </w:rPr>
        <w:footnoteRef/>
      </w:r>
      <w:r w:rsidRPr="00C46EE5">
        <w:rPr>
          <w:lang w:val="en-GB"/>
        </w:rPr>
        <w:t xml:space="preserve"> M/420 of  21 December 2007, Standardisation mandate to CEN, Cenelec and ETSI in support of European accessibility requirements for public procurement in the built environment  </w:t>
      </w:r>
    </w:p>
  </w:footnote>
  <w:footnote w:id="5">
    <w:p w14:paraId="7AC5F84D" w14:textId="77777777" w:rsidR="006551B4" w:rsidRPr="00C46EE5" w:rsidRDefault="006551B4" w:rsidP="006551B4">
      <w:pPr>
        <w:pStyle w:val="FootnoteText"/>
        <w:rPr>
          <w:lang w:val="en-GB"/>
        </w:rPr>
      </w:pPr>
      <w:r w:rsidRPr="00C46EE5">
        <w:rPr>
          <w:rStyle w:val="FootnoteReference"/>
          <w:lang w:val="en-GB"/>
        </w:rPr>
        <w:footnoteRef/>
      </w:r>
      <w:r w:rsidRPr="00C46EE5">
        <w:rPr>
          <w:lang w:val="en-GB"/>
        </w:rPr>
        <w:t xml:space="preserve"> EN 17210:2021 Accessibility and usability of the built environment - Functional requirements</w:t>
      </w:r>
    </w:p>
  </w:footnote>
  <w:footnote w:id="6">
    <w:p w14:paraId="58911544" w14:textId="77777777" w:rsidR="006551B4" w:rsidRPr="00C46EE5" w:rsidRDefault="006551B4" w:rsidP="006551B4">
      <w:pPr>
        <w:pStyle w:val="FootnoteText"/>
        <w:rPr>
          <w:lang w:val="en-GB"/>
        </w:rPr>
      </w:pPr>
      <w:r w:rsidRPr="00C46EE5">
        <w:rPr>
          <w:rStyle w:val="FootnoteReference"/>
          <w:lang w:val="en-GB"/>
        </w:rPr>
        <w:footnoteRef/>
      </w:r>
      <w:r w:rsidRPr="00C46EE5">
        <w:rPr>
          <w:lang w:val="en-GB"/>
        </w:rPr>
        <w:t xml:space="preserve"> M/420 of  21 December 2007, Standardisation mandate to CEN, Cenelec and ETSI in support of European accessibility requirements for public procurement in the built environment  </w:t>
      </w:r>
    </w:p>
  </w:footnote>
  <w:footnote w:id="7">
    <w:p w14:paraId="50E9BF79" w14:textId="77777777" w:rsidR="006551B4" w:rsidRPr="00C46EE5" w:rsidRDefault="006551B4" w:rsidP="006551B4">
      <w:pPr>
        <w:pStyle w:val="FootnoteText"/>
        <w:rPr>
          <w:lang w:val="en-GB"/>
        </w:rPr>
      </w:pPr>
      <w:r w:rsidRPr="00C46EE5">
        <w:rPr>
          <w:rStyle w:val="FootnoteReference"/>
          <w:lang w:val="en-GB"/>
        </w:rPr>
        <w:footnoteRef/>
      </w:r>
      <w:r w:rsidRPr="00C46EE5">
        <w:rPr>
          <w:lang w:val="en-GB"/>
        </w:rPr>
        <w:t xml:space="preserve"> EN 17210:2021 Accessibility and usability of the built environment - Functional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077"/>
    <w:multiLevelType w:val="hybridMultilevel"/>
    <w:tmpl w:val="44BEB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B24A5"/>
    <w:multiLevelType w:val="hybridMultilevel"/>
    <w:tmpl w:val="236E9882"/>
    <w:lvl w:ilvl="0" w:tplc="55CCD88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B5B4A"/>
    <w:multiLevelType w:val="hybridMultilevel"/>
    <w:tmpl w:val="01BE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A1DF9"/>
    <w:multiLevelType w:val="hybridMultilevel"/>
    <w:tmpl w:val="4424A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729F1"/>
    <w:multiLevelType w:val="hybridMultilevel"/>
    <w:tmpl w:val="8EE8EA76"/>
    <w:lvl w:ilvl="0" w:tplc="42F05A24">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AF1BC8"/>
    <w:multiLevelType w:val="hybridMultilevel"/>
    <w:tmpl w:val="D368F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B48E7"/>
    <w:multiLevelType w:val="hybridMultilevel"/>
    <w:tmpl w:val="D80CC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D61A1"/>
    <w:multiLevelType w:val="hybridMultilevel"/>
    <w:tmpl w:val="53C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D4A77"/>
    <w:multiLevelType w:val="hybridMultilevel"/>
    <w:tmpl w:val="540254DE"/>
    <w:lvl w:ilvl="0" w:tplc="938285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BCB7EB4"/>
    <w:multiLevelType w:val="hybridMultilevel"/>
    <w:tmpl w:val="87D21E00"/>
    <w:lvl w:ilvl="0" w:tplc="55CCD882">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8768F2"/>
    <w:multiLevelType w:val="hybridMultilevel"/>
    <w:tmpl w:val="7A36E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A9500A"/>
    <w:multiLevelType w:val="hybridMultilevel"/>
    <w:tmpl w:val="A2CE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8"/>
  </w:num>
  <w:num w:numId="6">
    <w:abstractNumId w:val="2"/>
  </w:num>
  <w:num w:numId="7">
    <w:abstractNumId w:val="12"/>
  </w:num>
  <w:num w:numId="8">
    <w:abstractNumId w:val="7"/>
  </w:num>
  <w:num w:numId="9">
    <w:abstractNumId w:val="9"/>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E3B"/>
    <w:rsid w:val="000504E4"/>
    <w:rsid w:val="00054D5A"/>
    <w:rsid w:val="00066579"/>
    <w:rsid w:val="00076997"/>
    <w:rsid w:val="00084DB0"/>
    <w:rsid w:val="000966A4"/>
    <w:rsid w:val="000B0E6E"/>
    <w:rsid w:val="000B1D46"/>
    <w:rsid w:val="000D1F77"/>
    <w:rsid w:val="000D2D0B"/>
    <w:rsid w:val="000D37E5"/>
    <w:rsid w:val="000E073D"/>
    <w:rsid w:val="00105F5A"/>
    <w:rsid w:val="00110CE7"/>
    <w:rsid w:val="0015509D"/>
    <w:rsid w:val="001657DF"/>
    <w:rsid w:val="001763F2"/>
    <w:rsid w:val="00187E62"/>
    <w:rsid w:val="001A5957"/>
    <w:rsid w:val="001B2D40"/>
    <w:rsid w:val="001B43B7"/>
    <w:rsid w:val="001C3271"/>
    <w:rsid w:val="001C3491"/>
    <w:rsid w:val="001D526C"/>
    <w:rsid w:val="001E0F08"/>
    <w:rsid w:val="001F7BB1"/>
    <w:rsid w:val="002010BD"/>
    <w:rsid w:val="00210A69"/>
    <w:rsid w:val="002133A6"/>
    <w:rsid w:val="00214407"/>
    <w:rsid w:val="00240F42"/>
    <w:rsid w:val="00252657"/>
    <w:rsid w:val="00282B80"/>
    <w:rsid w:val="002C66DC"/>
    <w:rsid w:val="003014ED"/>
    <w:rsid w:val="00312FCE"/>
    <w:rsid w:val="003235F3"/>
    <w:rsid w:val="00333EF2"/>
    <w:rsid w:val="00341499"/>
    <w:rsid w:val="00355289"/>
    <w:rsid w:val="003625EF"/>
    <w:rsid w:val="0036712B"/>
    <w:rsid w:val="00396075"/>
    <w:rsid w:val="003B1837"/>
    <w:rsid w:val="003B516A"/>
    <w:rsid w:val="003C78D1"/>
    <w:rsid w:val="003D1BF3"/>
    <w:rsid w:val="003D3BE2"/>
    <w:rsid w:val="003D6528"/>
    <w:rsid w:val="003E719D"/>
    <w:rsid w:val="003E7741"/>
    <w:rsid w:val="004028CF"/>
    <w:rsid w:val="00405C67"/>
    <w:rsid w:val="004136FE"/>
    <w:rsid w:val="00426E7C"/>
    <w:rsid w:val="004305C7"/>
    <w:rsid w:val="00434200"/>
    <w:rsid w:val="004652C4"/>
    <w:rsid w:val="00477E3D"/>
    <w:rsid w:val="004B02F2"/>
    <w:rsid w:val="004D59C1"/>
    <w:rsid w:val="004D59F6"/>
    <w:rsid w:val="004D5F93"/>
    <w:rsid w:val="004D78CC"/>
    <w:rsid w:val="004E5A59"/>
    <w:rsid w:val="004F6776"/>
    <w:rsid w:val="00501D36"/>
    <w:rsid w:val="005109C5"/>
    <w:rsid w:val="00514384"/>
    <w:rsid w:val="005275FE"/>
    <w:rsid w:val="00535F43"/>
    <w:rsid w:val="00541EBA"/>
    <w:rsid w:val="00545270"/>
    <w:rsid w:val="005541BA"/>
    <w:rsid w:val="00564B6C"/>
    <w:rsid w:val="005674B2"/>
    <w:rsid w:val="00573E19"/>
    <w:rsid w:val="005B01F0"/>
    <w:rsid w:val="005B3F2E"/>
    <w:rsid w:val="005D414D"/>
    <w:rsid w:val="005E0C12"/>
    <w:rsid w:val="005E620F"/>
    <w:rsid w:val="005F0D17"/>
    <w:rsid w:val="00606390"/>
    <w:rsid w:val="00607DF3"/>
    <w:rsid w:val="00630D30"/>
    <w:rsid w:val="006551B4"/>
    <w:rsid w:val="006658F7"/>
    <w:rsid w:val="006A52F1"/>
    <w:rsid w:val="006A6BD9"/>
    <w:rsid w:val="006B321E"/>
    <w:rsid w:val="006C1A26"/>
    <w:rsid w:val="006C6E10"/>
    <w:rsid w:val="006D0B23"/>
    <w:rsid w:val="006E7D7B"/>
    <w:rsid w:val="007016E4"/>
    <w:rsid w:val="0072275E"/>
    <w:rsid w:val="007304B3"/>
    <w:rsid w:val="00744227"/>
    <w:rsid w:val="0074605F"/>
    <w:rsid w:val="00765FAD"/>
    <w:rsid w:val="00775DB4"/>
    <w:rsid w:val="0077661F"/>
    <w:rsid w:val="00780BC8"/>
    <w:rsid w:val="0078482E"/>
    <w:rsid w:val="007A5B98"/>
    <w:rsid w:val="007B0427"/>
    <w:rsid w:val="007B4974"/>
    <w:rsid w:val="007C1375"/>
    <w:rsid w:val="007C7CD3"/>
    <w:rsid w:val="007F458D"/>
    <w:rsid w:val="007F7C9C"/>
    <w:rsid w:val="00801357"/>
    <w:rsid w:val="008054A7"/>
    <w:rsid w:val="008065A5"/>
    <w:rsid w:val="00806A4E"/>
    <w:rsid w:val="008166D8"/>
    <w:rsid w:val="00827D92"/>
    <w:rsid w:val="00846998"/>
    <w:rsid w:val="008536AB"/>
    <w:rsid w:val="00875E7D"/>
    <w:rsid w:val="00884566"/>
    <w:rsid w:val="00892BD0"/>
    <w:rsid w:val="008958EB"/>
    <w:rsid w:val="008B201A"/>
    <w:rsid w:val="008B6894"/>
    <w:rsid w:val="008D4DFD"/>
    <w:rsid w:val="008D6A1E"/>
    <w:rsid w:val="008E31C7"/>
    <w:rsid w:val="008E6B2C"/>
    <w:rsid w:val="008F6513"/>
    <w:rsid w:val="00900C8D"/>
    <w:rsid w:val="00904969"/>
    <w:rsid w:val="009167C0"/>
    <w:rsid w:val="009277BC"/>
    <w:rsid w:val="00940AA2"/>
    <w:rsid w:val="009478AE"/>
    <w:rsid w:val="009507D5"/>
    <w:rsid w:val="0096215B"/>
    <w:rsid w:val="009630E9"/>
    <w:rsid w:val="00966490"/>
    <w:rsid w:val="00970248"/>
    <w:rsid w:val="00972F1F"/>
    <w:rsid w:val="00972F71"/>
    <w:rsid w:val="00997569"/>
    <w:rsid w:val="00997D54"/>
    <w:rsid w:val="009A3F15"/>
    <w:rsid w:val="009A4862"/>
    <w:rsid w:val="009A4CDA"/>
    <w:rsid w:val="009B6E4F"/>
    <w:rsid w:val="009C5A86"/>
    <w:rsid w:val="009C7E98"/>
    <w:rsid w:val="009D4A63"/>
    <w:rsid w:val="009D4D9C"/>
    <w:rsid w:val="00A1304E"/>
    <w:rsid w:val="00A223C3"/>
    <w:rsid w:val="00A3758B"/>
    <w:rsid w:val="00A91021"/>
    <w:rsid w:val="00A9576D"/>
    <w:rsid w:val="00AA2095"/>
    <w:rsid w:val="00AB6398"/>
    <w:rsid w:val="00AB7F28"/>
    <w:rsid w:val="00AD21D6"/>
    <w:rsid w:val="00AD55B8"/>
    <w:rsid w:val="00AD5E05"/>
    <w:rsid w:val="00AE0D55"/>
    <w:rsid w:val="00AF276B"/>
    <w:rsid w:val="00AF74AC"/>
    <w:rsid w:val="00B17F35"/>
    <w:rsid w:val="00B21DA3"/>
    <w:rsid w:val="00B25297"/>
    <w:rsid w:val="00B30927"/>
    <w:rsid w:val="00B336DE"/>
    <w:rsid w:val="00B407ED"/>
    <w:rsid w:val="00B515CD"/>
    <w:rsid w:val="00B63056"/>
    <w:rsid w:val="00B77020"/>
    <w:rsid w:val="00B83139"/>
    <w:rsid w:val="00BA4DFD"/>
    <w:rsid w:val="00BB66D3"/>
    <w:rsid w:val="00BC1787"/>
    <w:rsid w:val="00BD366A"/>
    <w:rsid w:val="00BD463A"/>
    <w:rsid w:val="00BE53F0"/>
    <w:rsid w:val="00C03673"/>
    <w:rsid w:val="00C06FE2"/>
    <w:rsid w:val="00C21B57"/>
    <w:rsid w:val="00C46EE5"/>
    <w:rsid w:val="00C549A8"/>
    <w:rsid w:val="00C638AC"/>
    <w:rsid w:val="00C94F8D"/>
    <w:rsid w:val="00C961A8"/>
    <w:rsid w:val="00CA4FC8"/>
    <w:rsid w:val="00CB7138"/>
    <w:rsid w:val="00CD232B"/>
    <w:rsid w:val="00CD24C0"/>
    <w:rsid w:val="00CD5C83"/>
    <w:rsid w:val="00D0060C"/>
    <w:rsid w:val="00D028AD"/>
    <w:rsid w:val="00D11DAB"/>
    <w:rsid w:val="00D137BA"/>
    <w:rsid w:val="00D21195"/>
    <w:rsid w:val="00D27087"/>
    <w:rsid w:val="00D305EE"/>
    <w:rsid w:val="00D42284"/>
    <w:rsid w:val="00D43C81"/>
    <w:rsid w:val="00D737E8"/>
    <w:rsid w:val="00D75E4E"/>
    <w:rsid w:val="00D842A4"/>
    <w:rsid w:val="00D914EF"/>
    <w:rsid w:val="00DA251E"/>
    <w:rsid w:val="00DE2DD3"/>
    <w:rsid w:val="00E06419"/>
    <w:rsid w:val="00E23446"/>
    <w:rsid w:val="00E24EBD"/>
    <w:rsid w:val="00E30A18"/>
    <w:rsid w:val="00E37462"/>
    <w:rsid w:val="00E37CEF"/>
    <w:rsid w:val="00E41423"/>
    <w:rsid w:val="00E47FF5"/>
    <w:rsid w:val="00E5752E"/>
    <w:rsid w:val="00E62CBF"/>
    <w:rsid w:val="00E70BC9"/>
    <w:rsid w:val="00E73B58"/>
    <w:rsid w:val="00E779D9"/>
    <w:rsid w:val="00E843FC"/>
    <w:rsid w:val="00EA0706"/>
    <w:rsid w:val="00EA29EB"/>
    <w:rsid w:val="00EB727B"/>
    <w:rsid w:val="00EC688E"/>
    <w:rsid w:val="00EC7485"/>
    <w:rsid w:val="00ED3393"/>
    <w:rsid w:val="00EE7833"/>
    <w:rsid w:val="00F213EA"/>
    <w:rsid w:val="00F22394"/>
    <w:rsid w:val="00F34A74"/>
    <w:rsid w:val="00F5051D"/>
    <w:rsid w:val="00F641AC"/>
    <w:rsid w:val="00F85AF5"/>
    <w:rsid w:val="00F94378"/>
    <w:rsid w:val="00FB155E"/>
    <w:rsid w:val="00FB1C18"/>
    <w:rsid w:val="00FE1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5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unhideWhenUsed/>
    <w:rsid w:val="00F641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1AC"/>
    <w:rPr>
      <w:rFonts w:ascii="Verdana" w:hAnsi="Verdana"/>
      <w:sz w:val="20"/>
      <w:szCs w:val="20"/>
    </w:rPr>
  </w:style>
  <w:style w:type="character" w:styleId="FootnoteReference">
    <w:name w:val="footnote reference"/>
    <w:basedOn w:val="DefaultParagraphFont"/>
    <w:uiPriority w:val="99"/>
    <w:semiHidden/>
    <w:unhideWhenUsed/>
    <w:rsid w:val="00F641AC"/>
    <w:rPr>
      <w:vertAlign w:val="superscript"/>
    </w:rPr>
  </w:style>
  <w:style w:type="character" w:styleId="CommentReference">
    <w:name w:val="annotation reference"/>
    <w:basedOn w:val="DefaultParagraphFont"/>
    <w:uiPriority w:val="99"/>
    <w:semiHidden/>
    <w:unhideWhenUsed/>
    <w:rsid w:val="00AE0D55"/>
    <w:rPr>
      <w:sz w:val="16"/>
      <w:szCs w:val="16"/>
    </w:rPr>
  </w:style>
  <w:style w:type="paragraph" w:styleId="CommentText">
    <w:name w:val="annotation text"/>
    <w:basedOn w:val="Normal"/>
    <w:link w:val="CommentTextChar"/>
    <w:uiPriority w:val="99"/>
    <w:unhideWhenUsed/>
    <w:rsid w:val="00AE0D55"/>
    <w:pPr>
      <w:spacing w:line="240" w:lineRule="auto"/>
    </w:pPr>
    <w:rPr>
      <w:sz w:val="20"/>
      <w:szCs w:val="20"/>
    </w:rPr>
  </w:style>
  <w:style w:type="character" w:customStyle="1" w:styleId="CommentTextChar">
    <w:name w:val="Comment Text Char"/>
    <w:basedOn w:val="DefaultParagraphFont"/>
    <w:link w:val="CommentText"/>
    <w:uiPriority w:val="99"/>
    <w:rsid w:val="00AE0D5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E0D55"/>
    <w:rPr>
      <w:b/>
      <w:bCs/>
    </w:rPr>
  </w:style>
  <w:style w:type="character" w:customStyle="1" w:styleId="CommentSubjectChar">
    <w:name w:val="Comment Subject Char"/>
    <w:basedOn w:val="CommentTextChar"/>
    <w:link w:val="CommentSubject"/>
    <w:uiPriority w:val="99"/>
    <w:semiHidden/>
    <w:rsid w:val="00AE0D55"/>
    <w:rPr>
      <w:rFonts w:ascii="Verdana" w:hAnsi="Verdana"/>
      <w:b/>
      <w:bCs/>
      <w:sz w:val="20"/>
      <w:szCs w:val="20"/>
    </w:rPr>
  </w:style>
  <w:style w:type="paragraph" w:customStyle="1" w:styleId="Default">
    <w:name w:val="Default"/>
    <w:rsid w:val="00AB6398"/>
    <w:pPr>
      <w:autoSpaceDE w:val="0"/>
      <w:autoSpaceDN w:val="0"/>
      <w:adjustRightInd w:val="0"/>
      <w:spacing w:after="0" w:line="240" w:lineRule="auto"/>
    </w:pPr>
    <w:rPr>
      <w:rFonts w:ascii="Verdana" w:hAnsi="Verdana" w:cs="Verdana"/>
      <w:color w:val="000000"/>
      <w:sz w:val="24"/>
      <w:szCs w:val="24"/>
      <w:lang w:val="en-GB"/>
    </w:rPr>
  </w:style>
  <w:style w:type="paragraph" w:customStyle="1" w:styleId="Normal1">
    <w:name w:val="Normal1"/>
    <w:basedOn w:val="Normal"/>
    <w:rsid w:val="003E7741"/>
    <w:pPr>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FollowedHyperlink">
    <w:name w:val="FollowedHyperlink"/>
    <w:basedOn w:val="DefaultParagraphFont"/>
    <w:uiPriority w:val="99"/>
    <w:semiHidden/>
    <w:unhideWhenUsed/>
    <w:rsid w:val="00B83139"/>
    <w:rPr>
      <w:color w:val="954F72" w:themeColor="followedHyperlink"/>
      <w:u w:val="single"/>
    </w:rPr>
  </w:style>
  <w:style w:type="paragraph" w:styleId="PlainText">
    <w:name w:val="Plain Text"/>
    <w:basedOn w:val="Normal"/>
    <w:link w:val="PlainTextChar"/>
    <w:uiPriority w:val="99"/>
    <w:semiHidden/>
    <w:unhideWhenUsed/>
    <w:rsid w:val="00A223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23C3"/>
    <w:rPr>
      <w:rFonts w:ascii="Consolas" w:hAnsi="Consolas"/>
      <w:sz w:val="21"/>
      <w:szCs w:val="21"/>
    </w:rPr>
  </w:style>
  <w:style w:type="paragraph" w:styleId="Revision">
    <w:name w:val="Revision"/>
    <w:hidden/>
    <w:uiPriority w:val="99"/>
    <w:semiHidden/>
    <w:rsid w:val="001F7BB1"/>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066">
      <w:bodyDiv w:val="1"/>
      <w:marLeft w:val="0"/>
      <w:marRight w:val="0"/>
      <w:marTop w:val="0"/>
      <w:marBottom w:val="0"/>
      <w:divBdr>
        <w:top w:val="none" w:sz="0" w:space="0" w:color="auto"/>
        <w:left w:val="none" w:sz="0" w:space="0" w:color="auto"/>
        <w:bottom w:val="none" w:sz="0" w:space="0" w:color="auto"/>
        <w:right w:val="none" w:sz="0" w:space="0" w:color="auto"/>
      </w:divBdr>
    </w:div>
    <w:div w:id="55982881">
      <w:bodyDiv w:val="1"/>
      <w:marLeft w:val="0"/>
      <w:marRight w:val="0"/>
      <w:marTop w:val="0"/>
      <w:marBottom w:val="0"/>
      <w:divBdr>
        <w:top w:val="none" w:sz="0" w:space="0" w:color="auto"/>
        <w:left w:val="none" w:sz="0" w:space="0" w:color="auto"/>
        <w:bottom w:val="none" w:sz="0" w:space="0" w:color="auto"/>
        <w:right w:val="none" w:sz="0" w:space="0" w:color="auto"/>
      </w:divBdr>
    </w:div>
    <w:div w:id="61175544">
      <w:bodyDiv w:val="1"/>
      <w:marLeft w:val="0"/>
      <w:marRight w:val="0"/>
      <w:marTop w:val="0"/>
      <w:marBottom w:val="0"/>
      <w:divBdr>
        <w:top w:val="none" w:sz="0" w:space="0" w:color="auto"/>
        <w:left w:val="none" w:sz="0" w:space="0" w:color="auto"/>
        <w:bottom w:val="none" w:sz="0" w:space="0" w:color="auto"/>
        <w:right w:val="none" w:sz="0" w:space="0" w:color="auto"/>
      </w:divBdr>
    </w:div>
    <w:div w:id="69082488">
      <w:bodyDiv w:val="1"/>
      <w:marLeft w:val="0"/>
      <w:marRight w:val="0"/>
      <w:marTop w:val="0"/>
      <w:marBottom w:val="0"/>
      <w:divBdr>
        <w:top w:val="none" w:sz="0" w:space="0" w:color="auto"/>
        <w:left w:val="none" w:sz="0" w:space="0" w:color="auto"/>
        <w:bottom w:val="none" w:sz="0" w:space="0" w:color="auto"/>
        <w:right w:val="none" w:sz="0" w:space="0" w:color="auto"/>
      </w:divBdr>
    </w:div>
    <w:div w:id="77480997">
      <w:bodyDiv w:val="1"/>
      <w:marLeft w:val="0"/>
      <w:marRight w:val="0"/>
      <w:marTop w:val="0"/>
      <w:marBottom w:val="0"/>
      <w:divBdr>
        <w:top w:val="none" w:sz="0" w:space="0" w:color="auto"/>
        <w:left w:val="none" w:sz="0" w:space="0" w:color="auto"/>
        <w:bottom w:val="none" w:sz="0" w:space="0" w:color="auto"/>
        <w:right w:val="none" w:sz="0" w:space="0" w:color="auto"/>
      </w:divBdr>
    </w:div>
    <w:div w:id="105464862">
      <w:bodyDiv w:val="1"/>
      <w:marLeft w:val="0"/>
      <w:marRight w:val="0"/>
      <w:marTop w:val="0"/>
      <w:marBottom w:val="0"/>
      <w:divBdr>
        <w:top w:val="none" w:sz="0" w:space="0" w:color="auto"/>
        <w:left w:val="none" w:sz="0" w:space="0" w:color="auto"/>
        <w:bottom w:val="none" w:sz="0" w:space="0" w:color="auto"/>
        <w:right w:val="none" w:sz="0" w:space="0" w:color="auto"/>
      </w:divBdr>
    </w:div>
    <w:div w:id="151531634">
      <w:bodyDiv w:val="1"/>
      <w:marLeft w:val="0"/>
      <w:marRight w:val="0"/>
      <w:marTop w:val="0"/>
      <w:marBottom w:val="0"/>
      <w:divBdr>
        <w:top w:val="none" w:sz="0" w:space="0" w:color="auto"/>
        <w:left w:val="none" w:sz="0" w:space="0" w:color="auto"/>
        <w:bottom w:val="none" w:sz="0" w:space="0" w:color="auto"/>
        <w:right w:val="none" w:sz="0" w:space="0" w:color="auto"/>
      </w:divBdr>
    </w:div>
    <w:div w:id="153838908">
      <w:bodyDiv w:val="1"/>
      <w:marLeft w:val="0"/>
      <w:marRight w:val="0"/>
      <w:marTop w:val="0"/>
      <w:marBottom w:val="0"/>
      <w:divBdr>
        <w:top w:val="none" w:sz="0" w:space="0" w:color="auto"/>
        <w:left w:val="none" w:sz="0" w:space="0" w:color="auto"/>
        <w:bottom w:val="none" w:sz="0" w:space="0" w:color="auto"/>
        <w:right w:val="none" w:sz="0" w:space="0" w:color="auto"/>
      </w:divBdr>
    </w:div>
    <w:div w:id="199754023">
      <w:bodyDiv w:val="1"/>
      <w:marLeft w:val="0"/>
      <w:marRight w:val="0"/>
      <w:marTop w:val="0"/>
      <w:marBottom w:val="0"/>
      <w:divBdr>
        <w:top w:val="none" w:sz="0" w:space="0" w:color="auto"/>
        <w:left w:val="none" w:sz="0" w:space="0" w:color="auto"/>
        <w:bottom w:val="none" w:sz="0" w:space="0" w:color="auto"/>
        <w:right w:val="none" w:sz="0" w:space="0" w:color="auto"/>
      </w:divBdr>
    </w:div>
    <w:div w:id="201593945">
      <w:bodyDiv w:val="1"/>
      <w:marLeft w:val="0"/>
      <w:marRight w:val="0"/>
      <w:marTop w:val="0"/>
      <w:marBottom w:val="0"/>
      <w:divBdr>
        <w:top w:val="none" w:sz="0" w:space="0" w:color="auto"/>
        <w:left w:val="none" w:sz="0" w:space="0" w:color="auto"/>
        <w:bottom w:val="none" w:sz="0" w:space="0" w:color="auto"/>
        <w:right w:val="none" w:sz="0" w:space="0" w:color="auto"/>
      </w:divBdr>
    </w:div>
    <w:div w:id="221529487">
      <w:bodyDiv w:val="1"/>
      <w:marLeft w:val="0"/>
      <w:marRight w:val="0"/>
      <w:marTop w:val="0"/>
      <w:marBottom w:val="0"/>
      <w:divBdr>
        <w:top w:val="none" w:sz="0" w:space="0" w:color="auto"/>
        <w:left w:val="none" w:sz="0" w:space="0" w:color="auto"/>
        <w:bottom w:val="none" w:sz="0" w:space="0" w:color="auto"/>
        <w:right w:val="none" w:sz="0" w:space="0" w:color="auto"/>
      </w:divBdr>
    </w:div>
    <w:div w:id="309212261">
      <w:bodyDiv w:val="1"/>
      <w:marLeft w:val="0"/>
      <w:marRight w:val="0"/>
      <w:marTop w:val="0"/>
      <w:marBottom w:val="0"/>
      <w:divBdr>
        <w:top w:val="none" w:sz="0" w:space="0" w:color="auto"/>
        <w:left w:val="none" w:sz="0" w:space="0" w:color="auto"/>
        <w:bottom w:val="none" w:sz="0" w:space="0" w:color="auto"/>
        <w:right w:val="none" w:sz="0" w:space="0" w:color="auto"/>
      </w:divBdr>
    </w:div>
    <w:div w:id="312026240">
      <w:bodyDiv w:val="1"/>
      <w:marLeft w:val="0"/>
      <w:marRight w:val="0"/>
      <w:marTop w:val="0"/>
      <w:marBottom w:val="0"/>
      <w:divBdr>
        <w:top w:val="none" w:sz="0" w:space="0" w:color="auto"/>
        <w:left w:val="none" w:sz="0" w:space="0" w:color="auto"/>
        <w:bottom w:val="none" w:sz="0" w:space="0" w:color="auto"/>
        <w:right w:val="none" w:sz="0" w:space="0" w:color="auto"/>
      </w:divBdr>
    </w:div>
    <w:div w:id="339164413">
      <w:bodyDiv w:val="1"/>
      <w:marLeft w:val="0"/>
      <w:marRight w:val="0"/>
      <w:marTop w:val="0"/>
      <w:marBottom w:val="0"/>
      <w:divBdr>
        <w:top w:val="none" w:sz="0" w:space="0" w:color="auto"/>
        <w:left w:val="none" w:sz="0" w:space="0" w:color="auto"/>
        <w:bottom w:val="none" w:sz="0" w:space="0" w:color="auto"/>
        <w:right w:val="none" w:sz="0" w:space="0" w:color="auto"/>
      </w:divBdr>
    </w:div>
    <w:div w:id="342559343">
      <w:bodyDiv w:val="1"/>
      <w:marLeft w:val="0"/>
      <w:marRight w:val="0"/>
      <w:marTop w:val="0"/>
      <w:marBottom w:val="0"/>
      <w:divBdr>
        <w:top w:val="none" w:sz="0" w:space="0" w:color="auto"/>
        <w:left w:val="none" w:sz="0" w:space="0" w:color="auto"/>
        <w:bottom w:val="none" w:sz="0" w:space="0" w:color="auto"/>
        <w:right w:val="none" w:sz="0" w:space="0" w:color="auto"/>
      </w:divBdr>
    </w:div>
    <w:div w:id="364134977">
      <w:bodyDiv w:val="1"/>
      <w:marLeft w:val="0"/>
      <w:marRight w:val="0"/>
      <w:marTop w:val="0"/>
      <w:marBottom w:val="0"/>
      <w:divBdr>
        <w:top w:val="none" w:sz="0" w:space="0" w:color="auto"/>
        <w:left w:val="none" w:sz="0" w:space="0" w:color="auto"/>
        <w:bottom w:val="none" w:sz="0" w:space="0" w:color="auto"/>
        <w:right w:val="none" w:sz="0" w:space="0" w:color="auto"/>
      </w:divBdr>
    </w:div>
    <w:div w:id="371075394">
      <w:bodyDiv w:val="1"/>
      <w:marLeft w:val="0"/>
      <w:marRight w:val="0"/>
      <w:marTop w:val="0"/>
      <w:marBottom w:val="0"/>
      <w:divBdr>
        <w:top w:val="none" w:sz="0" w:space="0" w:color="auto"/>
        <w:left w:val="none" w:sz="0" w:space="0" w:color="auto"/>
        <w:bottom w:val="none" w:sz="0" w:space="0" w:color="auto"/>
        <w:right w:val="none" w:sz="0" w:space="0" w:color="auto"/>
      </w:divBdr>
    </w:div>
    <w:div w:id="406150697">
      <w:bodyDiv w:val="1"/>
      <w:marLeft w:val="0"/>
      <w:marRight w:val="0"/>
      <w:marTop w:val="0"/>
      <w:marBottom w:val="0"/>
      <w:divBdr>
        <w:top w:val="none" w:sz="0" w:space="0" w:color="auto"/>
        <w:left w:val="none" w:sz="0" w:space="0" w:color="auto"/>
        <w:bottom w:val="none" w:sz="0" w:space="0" w:color="auto"/>
        <w:right w:val="none" w:sz="0" w:space="0" w:color="auto"/>
      </w:divBdr>
    </w:div>
    <w:div w:id="461389310">
      <w:bodyDiv w:val="1"/>
      <w:marLeft w:val="0"/>
      <w:marRight w:val="0"/>
      <w:marTop w:val="0"/>
      <w:marBottom w:val="0"/>
      <w:divBdr>
        <w:top w:val="none" w:sz="0" w:space="0" w:color="auto"/>
        <w:left w:val="none" w:sz="0" w:space="0" w:color="auto"/>
        <w:bottom w:val="none" w:sz="0" w:space="0" w:color="auto"/>
        <w:right w:val="none" w:sz="0" w:space="0" w:color="auto"/>
      </w:divBdr>
    </w:div>
    <w:div w:id="466438074">
      <w:bodyDiv w:val="1"/>
      <w:marLeft w:val="0"/>
      <w:marRight w:val="0"/>
      <w:marTop w:val="0"/>
      <w:marBottom w:val="0"/>
      <w:divBdr>
        <w:top w:val="none" w:sz="0" w:space="0" w:color="auto"/>
        <w:left w:val="none" w:sz="0" w:space="0" w:color="auto"/>
        <w:bottom w:val="none" w:sz="0" w:space="0" w:color="auto"/>
        <w:right w:val="none" w:sz="0" w:space="0" w:color="auto"/>
      </w:divBdr>
    </w:div>
    <w:div w:id="471098422">
      <w:bodyDiv w:val="1"/>
      <w:marLeft w:val="0"/>
      <w:marRight w:val="0"/>
      <w:marTop w:val="0"/>
      <w:marBottom w:val="0"/>
      <w:divBdr>
        <w:top w:val="none" w:sz="0" w:space="0" w:color="auto"/>
        <w:left w:val="none" w:sz="0" w:space="0" w:color="auto"/>
        <w:bottom w:val="none" w:sz="0" w:space="0" w:color="auto"/>
        <w:right w:val="none" w:sz="0" w:space="0" w:color="auto"/>
      </w:divBdr>
    </w:div>
    <w:div w:id="473372934">
      <w:bodyDiv w:val="1"/>
      <w:marLeft w:val="0"/>
      <w:marRight w:val="0"/>
      <w:marTop w:val="0"/>
      <w:marBottom w:val="0"/>
      <w:divBdr>
        <w:top w:val="none" w:sz="0" w:space="0" w:color="auto"/>
        <w:left w:val="none" w:sz="0" w:space="0" w:color="auto"/>
        <w:bottom w:val="none" w:sz="0" w:space="0" w:color="auto"/>
        <w:right w:val="none" w:sz="0" w:space="0" w:color="auto"/>
      </w:divBdr>
    </w:div>
    <w:div w:id="493961295">
      <w:bodyDiv w:val="1"/>
      <w:marLeft w:val="0"/>
      <w:marRight w:val="0"/>
      <w:marTop w:val="0"/>
      <w:marBottom w:val="0"/>
      <w:divBdr>
        <w:top w:val="none" w:sz="0" w:space="0" w:color="auto"/>
        <w:left w:val="none" w:sz="0" w:space="0" w:color="auto"/>
        <w:bottom w:val="none" w:sz="0" w:space="0" w:color="auto"/>
        <w:right w:val="none" w:sz="0" w:space="0" w:color="auto"/>
      </w:divBdr>
    </w:div>
    <w:div w:id="546796462">
      <w:bodyDiv w:val="1"/>
      <w:marLeft w:val="0"/>
      <w:marRight w:val="0"/>
      <w:marTop w:val="0"/>
      <w:marBottom w:val="0"/>
      <w:divBdr>
        <w:top w:val="none" w:sz="0" w:space="0" w:color="auto"/>
        <w:left w:val="none" w:sz="0" w:space="0" w:color="auto"/>
        <w:bottom w:val="none" w:sz="0" w:space="0" w:color="auto"/>
        <w:right w:val="none" w:sz="0" w:space="0" w:color="auto"/>
      </w:divBdr>
    </w:div>
    <w:div w:id="578448218">
      <w:bodyDiv w:val="1"/>
      <w:marLeft w:val="0"/>
      <w:marRight w:val="0"/>
      <w:marTop w:val="0"/>
      <w:marBottom w:val="0"/>
      <w:divBdr>
        <w:top w:val="none" w:sz="0" w:space="0" w:color="auto"/>
        <w:left w:val="none" w:sz="0" w:space="0" w:color="auto"/>
        <w:bottom w:val="none" w:sz="0" w:space="0" w:color="auto"/>
        <w:right w:val="none" w:sz="0" w:space="0" w:color="auto"/>
      </w:divBdr>
    </w:div>
    <w:div w:id="588656258">
      <w:bodyDiv w:val="1"/>
      <w:marLeft w:val="0"/>
      <w:marRight w:val="0"/>
      <w:marTop w:val="0"/>
      <w:marBottom w:val="0"/>
      <w:divBdr>
        <w:top w:val="none" w:sz="0" w:space="0" w:color="auto"/>
        <w:left w:val="none" w:sz="0" w:space="0" w:color="auto"/>
        <w:bottom w:val="none" w:sz="0" w:space="0" w:color="auto"/>
        <w:right w:val="none" w:sz="0" w:space="0" w:color="auto"/>
      </w:divBdr>
    </w:div>
    <w:div w:id="598635291">
      <w:bodyDiv w:val="1"/>
      <w:marLeft w:val="0"/>
      <w:marRight w:val="0"/>
      <w:marTop w:val="0"/>
      <w:marBottom w:val="0"/>
      <w:divBdr>
        <w:top w:val="none" w:sz="0" w:space="0" w:color="auto"/>
        <w:left w:val="none" w:sz="0" w:space="0" w:color="auto"/>
        <w:bottom w:val="none" w:sz="0" w:space="0" w:color="auto"/>
        <w:right w:val="none" w:sz="0" w:space="0" w:color="auto"/>
      </w:divBdr>
    </w:div>
    <w:div w:id="632519390">
      <w:bodyDiv w:val="1"/>
      <w:marLeft w:val="0"/>
      <w:marRight w:val="0"/>
      <w:marTop w:val="0"/>
      <w:marBottom w:val="0"/>
      <w:divBdr>
        <w:top w:val="none" w:sz="0" w:space="0" w:color="auto"/>
        <w:left w:val="none" w:sz="0" w:space="0" w:color="auto"/>
        <w:bottom w:val="none" w:sz="0" w:space="0" w:color="auto"/>
        <w:right w:val="none" w:sz="0" w:space="0" w:color="auto"/>
      </w:divBdr>
    </w:div>
    <w:div w:id="662124394">
      <w:bodyDiv w:val="1"/>
      <w:marLeft w:val="0"/>
      <w:marRight w:val="0"/>
      <w:marTop w:val="0"/>
      <w:marBottom w:val="0"/>
      <w:divBdr>
        <w:top w:val="none" w:sz="0" w:space="0" w:color="auto"/>
        <w:left w:val="none" w:sz="0" w:space="0" w:color="auto"/>
        <w:bottom w:val="none" w:sz="0" w:space="0" w:color="auto"/>
        <w:right w:val="none" w:sz="0" w:space="0" w:color="auto"/>
      </w:divBdr>
    </w:div>
    <w:div w:id="664748300">
      <w:bodyDiv w:val="1"/>
      <w:marLeft w:val="0"/>
      <w:marRight w:val="0"/>
      <w:marTop w:val="0"/>
      <w:marBottom w:val="0"/>
      <w:divBdr>
        <w:top w:val="none" w:sz="0" w:space="0" w:color="auto"/>
        <w:left w:val="none" w:sz="0" w:space="0" w:color="auto"/>
        <w:bottom w:val="none" w:sz="0" w:space="0" w:color="auto"/>
        <w:right w:val="none" w:sz="0" w:space="0" w:color="auto"/>
      </w:divBdr>
    </w:div>
    <w:div w:id="672032018">
      <w:bodyDiv w:val="1"/>
      <w:marLeft w:val="0"/>
      <w:marRight w:val="0"/>
      <w:marTop w:val="0"/>
      <w:marBottom w:val="0"/>
      <w:divBdr>
        <w:top w:val="none" w:sz="0" w:space="0" w:color="auto"/>
        <w:left w:val="none" w:sz="0" w:space="0" w:color="auto"/>
        <w:bottom w:val="none" w:sz="0" w:space="0" w:color="auto"/>
        <w:right w:val="none" w:sz="0" w:space="0" w:color="auto"/>
      </w:divBdr>
    </w:div>
    <w:div w:id="695887730">
      <w:bodyDiv w:val="1"/>
      <w:marLeft w:val="0"/>
      <w:marRight w:val="0"/>
      <w:marTop w:val="0"/>
      <w:marBottom w:val="0"/>
      <w:divBdr>
        <w:top w:val="none" w:sz="0" w:space="0" w:color="auto"/>
        <w:left w:val="none" w:sz="0" w:space="0" w:color="auto"/>
        <w:bottom w:val="none" w:sz="0" w:space="0" w:color="auto"/>
        <w:right w:val="none" w:sz="0" w:space="0" w:color="auto"/>
      </w:divBdr>
    </w:div>
    <w:div w:id="706494865">
      <w:bodyDiv w:val="1"/>
      <w:marLeft w:val="0"/>
      <w:marRight w:val="0"/>
      <w:marTop w:val="0"/>
      <w:marBottom w:val="0"/>
      <w:divBdr>
        <w:top w:val="none" w:sz="0" w:space="0" w:color="auto"/>
        <w:left w:val="none" w:sz="0" w:space="0" w:color="auto"/>
        <w:bottom w:val="none" w:sz="0" w:space="0" w:color="auto"/>
        <w:right w:val="none" w:sz="0" w:space="0" w:color="auto"/>
      </w:divBdr>
    </w:div>
    <w:div w:id="724254815">
      <w:bodyDiv w:val="1"/>
      <w:marLeft w:val="0"/>
      <w:marRight w:val="0"/>
      <w:marTop w:val="0"/>
      <w:marBottom w:val="0"/>
      <w:divBdr>
        <w:top w:val="none" w:sz="0" w:space="0" w:color="auto"/>
        <w:left w:val="none" w:sz="0" w:space="0" w:color="auto"/>
        <w:bottom w:val="none" w:sz="0" w:space="0" w:color="auto"/>
        <w:right w:val="none" w:sz="0" w:space="0" w:color="auto"/>
      </w:divBdr>
    </w:div>
    <w:div w:id="727606979">
      <w:bodyDiv w:val="1"/>
      <w:marLeft w:val="0"/>
      <w:marRight w:val="0"/>
      <w:marTop w:val="0"/>
      <w:marBottom w:val="0"/>
      <w:divBdr>
        <w:top w:val="none" w:sz="0" w:space="0" w:color="auto"/>
        <w:left w:val="none" w:sz="0" w:space="0" w:color="auto"/>
        <w:bottom w:val="none" w:sz="0" w:space="0" w:color="auto"/>
        <w:right w:val="none" w:sz="0" w:space="0" w:color="auto"/>
      </w:divBdr>
    </w:div>
    <w:div w:id="740326035">
      <w:bodyDiv w:val="1"/>
      <w:marLeft w:val="0"/>
      <w:marRight w:val="0"/>
      <w:marTop w:val="0"/>
      <w:marBottom w:val="0"/>
      <w:divBdr>
        <w:top w:val="none" w:sz="0" w:space="0" w:color="auto"/>
        <w:left w:val="none" w:sz="0" w:space="0" w:color="auto"/>
        <w:bottom w:val="none" w:sz="0" w:space="0" w:color="auto"/>
        <w:right w:val="none" w:sz="0" w:space="0" w:color="auto"/>
      </w:divBdr>
    </w:div>
    <w:div w:id="743798921">
      <w:bodyDiv w:val="1"/>
      <w:marLeft w:val="0"/>
      <w:marRight w:val="0"/>
      <w:marTop w:val="0"/>
      <w:marBottom w:val="0"/>
      <w:divBdr>
        <w:top w:val="none" w:sz="0" w:space="0" w:color="auto"/>
        <w:left w:val="none" w:sz="0" w:space="0" w:color="auto"/>
        <w:bottom w:val="none" w:sz="0" w:space="0" w:color="auto"/>
        <w:right w:val="none" w:sz="0" w:space="0" w:color="auto"/>
      </w:divBdr>
    </w:div>
    <w:div w:id="810906055">
      <w:bodyDiv w:val="1"/>
      <w:marLeft w:val="0"/>
      <w:marRight w:val="0"/>
      <w:marTop w:val="0"/>
      <w:marBottom w:val="0"/>
      <w:divBdr>
        <w:top w:val="none" w:sz="0" w:space="0" w:color="auto"/>
        <w:left w:val="none" w:sz="0" w:space="0" w:color="auto"/>
        <w:bottom w:val="none" w:sz="0" w:space="0" w:color="auto"/>
        <w:right w:val="none" w:sz="0" w:space="0" w:color="auto"/>
      </w:divBdr>
    </w:div>
    <w:div w:id="820779796">
      <w:bodyDiv w:val="1"/>
      <w:marLeft w:val="0"/>
      <w:marRight w:val="0"/>
      <w:marTop w:val="0"/>
      <w:marBottom w:val="0"/>
      <w:divBdr>
        <w:top w:val="none" w:sz="0" w:space="0" w:color="auto"/>
        <w:left w:val="none" w:sz="0" w:space="0" w:color="auto"/>
        <w:bottom w:val="none" w:sz="0" w:space="0" w:color="auto"/>
        <w:right w:val="none" w:sz="0" w:space="0" w:color="auto"/>
      </w:divBdr>
    </w:div>
    <w:div w:id="823543342">
      <w:bodyDiv w:val="1"/>
      <w:marLeft w:val="0"/>
      <w:marRight w:val="0"/>
      <w:marTop w:val="0"/>
      <w:marBottom w:val="0"/>
      <w:divBdr>
        <w:top w:val="none" w:sz="0" w:space="0" w:color="auto"/>
        <w:left w:val="none" w:sz="0" w:space="0" w:color="auto"/>
        <w:bottom w:val="none" w:sz="0" w:space="0" w:color="auto"/>
        <w:right w:val="none" w:sz="0" w:space="0" w:color="auto"/>
      </w:divBdr>
    </w:div>
    <w:div w:id="827937728">
      <w:bodyDiv w:val="1"/>
      <w:marLeft w:val="0"/>
      <w:marRight w:val="0"/>
      <w:marTop w:val="0"/>
      <w:marBottom w:val="0"/>
      <w:divBdr>
        <w:top w:val="none" w:sz="0" w:space="0" w:color="auto"/>
        <w:left w:val="none" w:sz="0" w:space="0" w:color="auto"/>
        <w:bottom w:val="none" w:sz="0" w:space="0" w:color="auto"/>
        <w:right w:val="none" w:sz="0" w:space="0" w:color="auto"/>
      </w:divBdr>
    </w:div>
    <w:div w:id="842166499">
      <w:bodyDiv w:val="1"/>
      <w:marLeft w:val="0"/>
      <w:marRight w:val="0"/>
      <w:marTop w:val="0"/>
      <w:marBottom w:val="0"/>
      <w:divBdr>
        <w:top w:val="none" w:sz="0" w:space="0" w:color="auto"/>
        <w:left w:val="none" w:sz="0" w:space="0" w:color="auto"/>
        <w:bottom w:val="none" w:sz="0" w:space="0" w:color="auto"/>
        <w:right w:val="none" w:sz="0" w:space="0" w:color="auto"/>
      </w:divBdr>
    </w:div>
    <w:div w:id="879362698">
      <w:bodyDiv w:val="1"/>
      <w:marLeft w:val="0"/>
      <w:marRight w:val="0"/>
      <w:marTop w:val="0"/>
      <w:marBottom w:val="0"/>
      <w:divBdr>
        <w:top w:val="none" w:sz="0" w:space="0" w:color="auto"/>
        <w:left w:val="none" w:sz="0" w:space="0" w:color="auto"/>
        <w:bottom w:val="none" w:sz="0" w:space="0" w:color="auto"/>
        <w:right w:val="none" w:sz="0" w:space="0" w:color="auto"/>
      </w:divBdr>
    </w:div>
    <w:div w:id="894706803">
      <w:bodyDiv w:val="1"/>
      <w:marLeft w:val="0"/>
      <w:marRight w:val="0"/>
      <w:marTop w:val="0"/>
      <w:marBottom w:val="0"/>
      <w:divBdr>
        <w:top w:val="none" w:sz="0" w:space="0" w:color="auto"/>
        <w:left w:val="none" w:sz="0" w:space="0" w:color="auto"/>
        <w:bottom w:val="none" w:sz="0" w:space="0" w:color="auto"/>
        <w:right w:val="none" w:sz="0" w:space="0" w:color="auto"/>
      </w:divBdr>
    </w:div>
    <w:div w:id="896091113">
      <w:bodyDiv w:val="1"/>
      <w:marLeft w:val="0"/>
      <w:marRight w:val="0"/>
      <w:marTop w:val="0"/>
      <w:marBottom w:val="0"/>
      <w:divBdr>
        <w:top w:val="none" w:sz="0" w:space="0" w:color="auto"/>
        <w:left w:val="none" w:sz="0" w:space="0" w:color="auto"/>
        <w:bottom w:val="none" w:sz="0" w:space="0" w:color="auto"/>
        <w:right w:val="none" w:sz="0" w:space="0" w:color="auto"/>
      </w:divBdr>
    </w:div>
    <w:div w:id="921986264">
      <w:bodyDiv w:val="1"/>
      <w:marLeft w:val="0"/>
      <w:marRight w:val="0"/>
      <w:marTop w:val="0"/>
      <w:marBottom w:val="0"/>
      <w:divBdr>
        <w:top w:val="none" w:sz="0" w:space="0" w:color="auto"/>
        <w:left w:val="none" w:sz="0" w:space="0" w:color="auto"/>
        <w:bottom w:val="none" w:sz="0" w:space="0" w:color="auto"/>
        <w:right w:val="none" w:sz="0" w:space="0" w:color="auto"/>
      </w:divBdr>
    </w:div>
    <w:div w:id="925310909">
      <w:bodyDiv w:val="1"/>
      <w:marLeft w:val="0"/>
      <w:marRight w:val="0"/>
      <w:marTop w:val="0"/>
      <w:marBottom w:val="0"/>
      <w:divBdr>
        <w:top w:val="none" w:sz="0" w:space="0" w:color="auto"/>
        <w:left w:val="none" w:sz="0" w:space="0" w:color="auto"/>
        <w:bottom w:val="none" w:sz="0" w:space="0" w:color="auto"/>
        <w:right w:val="none" w:sz="0" w:space="0" w:color="auto"/>
      </w:divBdr>
    </w:div>
    <w:div w:id="1005521004">
      <w:bodyDiv w:val="1"/>
      <w:marLeft w:val="0"/>
      <w:marRight w:val="0"/>
      <w:marTop w:val="0"/>
      <w:marBottom w:val="0"/>
      <w:divBdr>
        <w:top w:val="none" w:sz="0" w:space="0" w:color="auto"/>
        <w:left w:val="none" w:sz="0" w:space="0" w:color="auto"/>
        <w:bottom w:val="none" w:sz="0" w:space="0" w:color="auto"/>
        <w:right w:val="none" w:sz="0" w:space="0" w:color="auto"/>
      </w:divBdr>
    </w:div>
    <w:div w:id="1013723256">
      <w:bodyDiv w:val="1"/>
      <w:marLeft w:val="0"/>
      <w:marRight w:val="0"/>
      <w:marTop w:val="0"/>
      <w:marBottom w:val="0"/>
      <w:divBdr>
        <w:top w:val="none" w:sz="0" w:space="0" w:color="auto"/>
        <w:left w:val="none" w:sz="0" w:space="0" w:color="auto"/>
        <w:bottom w:val="none" w:sz="0" w:space="0" w:color="auto"/>
        <w:right w:val="none" w:sz="0" w:space="0" w:color="auto"/>
      </w:divBdr>
    </w:div>
    <w:div w:id="1038824357">
      <w:bodyDiv w:val="1"/>
      <w:marLeft w:val="0"/>
      <w:marRight w:val="0"/>
      <w:marTop w:val="0"/>
      <w:marBottom w:val="0"/>
      <w:divBdr>
        <w:top w:val="none" w:sz="0" w:space="0" w:color="auto"/>
        <w:left w:val="none" w:sz="0" w:space="0" w:color="auto"/>
        <w:bottom w:val="none" w:sz="0" w:space="0" w:color="auto"/>
        <w:right w:val="none" w:sz="0" w:space="0" w:color="auto"/>
      </w:divBdr>
    </w:div>
    <w:div w:id="1039816604">
      <w:bodyDiv w:val="1"/>
      <w:marLeft w:val="0"/>
      <w:marRight w:val="0"/>
      <w:marTop w:val="0"/>
      <w:marBottom w:val="0"/>
      <w:divBdr>
        <w:top w:val="none" w:sz="0" w:space="0" w:color="auto"/>
        <w:left w:val="none" w:sz="0" w:space="0" w:color="auto"/>
        <w:bottom w:val="none" w:sz="0" w:space="0" w:color="auto"/>
        <w:right w:val="none" w:sz="0" w:space="0" w:color="auto"/>
      </w:divBdr>
    </w:div>
    <w:div w:id="1040739302">
      <w:bodyDiv w:val="1"/>
      <w:marLeft w:val="0"/>
      <w:marRight w:val="0"/>
      <w:marTop w:val="0"/>
      <w:marBottom w:val="0"/>
      <w:divBdr>
        <w:top w:val="none" w:sz="0" w:space="0" w:color="auto"/>
        <w:left w:val="none" w:sz="0" w:space="0" w:color="auto"/>
        <w:bottom w:val="none" w:sz="0" w:space="0" w:color="auto"/>
        <w:right w:val="none" w:sz="0" w:space="0" w:color="auto"/>
      </w:divBdr>
    </w:div>
    <w:div w:id="1042094204">
      <w:bodyDiv w:val="1"/>
      <w:marLeft w:val="0"/>
      <w:marRight w:val="0"/>
      <w:marTop w:val="0"/>
      <w:marBottom w:val="0"/>
      <w:divBdr>
        <w:top w:val="none" w:sz="0" w:space="0" w:color="auto"/>
        <w:left w:val="none" w:sz="0" w:space="0" w:color="auto"/>
        <w:bottom w:val="none" w:sz="0" w:space="0" w:color="auto"/>
        <w:right w:val="none" w:sz="0" w:space="0" w:color="auto"/>
      </w:divBdr>
    </w:div>
    <w:div w:id="1046831319">
      <w:bodyDiv w:val="1"/>
      <w:marLeft w:val="0"/>
      <w:marRight w:val="0"/>
      <w:marTop w:val="0"/>
      <w:marBottom w:val="0"/>
      <w:divBdr>
        <w:top w:val="none" w:sz="0" w:space="0" w:color="auto"/>
        <w:left w:val="none" w:sz="0" w:space="0" w:color="auto"/>
        <w:bottom w:val="none" w:sz="0" w:space="0" w:color="auto"/>
        <w:right w:val="none" w:sz="0" w:space="0" w:color="auto"/>
      </w:divBdr>
    </w:div>
    <w:div w:id="1106341287">
      <w:bodyDiv w:val="1"/>
      <w:marLeft w:val="0"/>
      <w:marRight w:val="0"/>
      <w:marTop w:val="0"/>
      <w:marBottom w:val="0"/>
      <w:divBdr>
        <w:top w:val="none" w:sz="0" w:space="0" w:color="auto"/>
        <w:left w:val="none" w:sz="0" w:space="0" w:color="auto"/>
        <w:bottom w:val="none" w:sz="0" w:space="0" w:color="auto"/>
        <w:right w:val="none" w:sz="0" w:space="0" w:color="auto"/>
      </w:divBdr>
    </w:div>
    <w:div w:id="1118984224">
      <w:bodyDiv w:val="1"/>
      <w:marLeft w:val="0"/>
      <w:marRight w:val="0"/>
      <w:marTop w:val="0"/>
      <w:marBottom w:val="0"/>
      <w:divBdr>
        <w:top w:val="none" w:sz="0" w:space="0" w:color="auto"/>
        <w:left w:val="none" w:sz="0" w:space="0" w:color="auto"/>
        <w:bottom w:val="none" w:sz="0" w:space="0" w:color="auto"/>
        <w:right w:val="none" w:sz="0" w:space="0" w:color="auto"/>
      </w:divBdr>
    </w:div>
    <w:div w:id="1127308839">
      <w:bodyDiv w:val="1"/>
      <w:marLeft w:val="0"/>
      <w:marRight w:val="0"/>
      <w:marTop w:val="0"/>
      <w:marBottom w:val="0"/>
      <w:divBdr>
        <w:top w:val="none" w:sz="0" w:space="0" w:color="auto"/>
        <w:left w:val="none" w:sz="0" w:space="0" w:color="auto"/>
        <w:bottom w:val="none" w:sz="0" w:space="0" w:color="auto"/>
        <w:right w:val="none" w:sz="0" w:space="0" w:color="auto"/>
      </w:divBdr>
    </w:div>
    <w:div w:id="1157919846">
      <w:bodyDiv w:val="1"/>
      <w:marLeft w:val="0"/>
      <w:marRight w:val="0"/>
      <w:marTop w:val="0"/>
      <w:marBottom w:val="0"/>
      <w:divBdr>
        <w:top w:val="none" w:sz="0" w:space="0" w:color="auto"/>
        <w:left w:val="none" w:sz="0" w:space="0" w:color="auto"/>
        <w:bottom w:val="none" w:sz="0" w:space="0" w:color="auto"/>
        <w:right w:val="none" w:sz="0" w:space="0" w:color="auto"/>
      </w:divBdr>
    </w:div>
    <w:div w:id="1174610743">
      <w:bodyDiv w:val="1"/>
      <w:marLeft w:val="0"/>
      <w:marRight w:val="0"/>
      <w:marTop w:val="0"/>
      <w:marBottom w:val="0"/>
      <w:divBdr>
        <w:top w:val="none" w:sz="0" w:space="0" w:color="auto"/>
        <w:left w:val="none" w:sz="0" w:space="0" w:color="auto"/>
        <w:bottom w:val="none" w:sz="0" w:space="0" w:color="auto"/>
        <w:right w:val="none" w:sz="0" w:space="0" w:color="auto"/>
      </w:divBdr>
    </w:div>
    <w:div w:id="1184322659">
      <w:bodyDiv w:val="1"/>
      <w:marLeft w:val="0"/>
      <w:marRight w:val="0"/>
      <w:marTop w:val="0"/>
      <w:marBottom w:val="0"/>
      <w:divBdr>
        <w:top w:val="none" w:sz="0" w:space="0" w:color="auto"/>
        <w:left w:val="none" w:sz="0" w:space="0" w:color="auto"/>
        <w:bottom w:val="none" w:sz="0" w:space="0" w:color="auto"/>
        <w:right w:val="none" w:sz="0" w:space="0" w:color="auto"/>
      </w:divBdr>
    </w:div>
    <w:div w:id="1201943330">
      <w:bodyDiv w:val="1"/>
      <w:marLeft w:val="0"/>
      <w:marRight w:val="0"/>
      <w:marTop w:val="0"/>
      <w:marBottom w:val="0"/>
      <w:divBdr>
        <w:top w:val="none" w:sz="0" w:space="0" w:color="auto"/>
        <w:left w:val="none" w:sz="0" w:space="0" w:color="auto"/>
        <w:bottom w:val="none" w:sz="0" w:space="0" w:color="auto"/>
        <w:right w:val="none" w:sz="0" w:space="0" w:color="auto"/>
      </w:divBdr>
    </w:div>
    <w:div w:id="1224559574">
      <w:bodyDiv w:val="1"/>
      <w:marLeft w:val="0"/>
      <w:marRight w:val="0"/>
      <w:marTop w:val="0"/>
      <w:marBottom w:val="0"/>
      <w:divBdr>
        <w:top w:val="none" w:sz="0" w:space="0" w:color="auto"/>
        <w:left w:val="none" w:sz="0" w:space="0" w:color="auto"/>
        <w:bottom w:val="none" w:sz="0" w:space="0" w:color="auto"/>
        <w:right w:val="none" w:sz="0" w:space="0" w:color="auto"/>
      </w:divBdr>
    </w:div>
    <w:div w:id="1229654253">
      <w:bodyDiv w:val="1"/>
      <w:marLeft w:val="0"/>
      <w:marRight w:val="0"/>
      <w:marTop w:val="0"/>
      <w:marBottom w:val="0"/>
      <w:divBdr>
        <w:top w:val="none" w:sz="0" w:space="0" w:color="auto"/>
        <w:left w:val="none" w:sz="0" w:space="0" w:color="auto"/>
        <w:bottom w:val="none" w:sz="0" w:space="0" w:color="auto"/>
        <w:right w:val="none" w:sz="0" w:space="0" w:color="auto"/>
      </w:divBdr>
    </w:div>
    <w:div w:id="1231115250">
      <w:bodyDiv w:val="1"/>
      <w:marLeft w:val="0"/>
      <w:marRight w:val="0"/>
      <w:marTop w:val="0"/>
      <w:marBottom w:val="0"/>
      <w:divBdr>
        <w:top w:val="none" w:sz="0" w:space="0" w:color="auto"/>
        <w:left w:val="none" w:sz="0" w:space="0" w:color="auto"/>
        <w:bottom w:val="none" w:sz="0" w:space="0" w:color="auto"/>
        <w:right w:val="none" w:sz="0" w:space="0" w:color="auto"/>
      </w:divBdr>
    </w:div>
    <w:div w:id="1279069558">
      <w:bodyDiv w:val="1"/>
      <w:marLeft w:val="0"/>
      <w:marRight w:val="0"/>
      <w:marTop w:val="0"/>
      <w:marBottom w:val="0"/>
      <w:divBdr>
        <w:top w:val="none" w:sz="0" w:space="0" w:color="auto"/>
        <w:left w:val="none" w:sz="0" w:space="0" w:color="auto"/>
        <w:bottom w:val="none" w:sz="0" w:space="0" w:color="auto"/>
        <w:right w:val="none" w:sz="0" w:space="0" w:color="auto"/>
      </w:divBdr>
    </w:div>
    <w:div w:id="1281648196">
      <w:bodyDiv w:val="1"/>
      <w:marLeft w:val="0"/>
      <w:marRight w:val="0"/>
      <w:marTop w:val="0"/>
      <w:marBottom w:val="0"/>
      <w:divBdr>
        <w:top w:val="none" w:sz="0" w:space="0" w:color="auto"/>
        <w:left w:val="none" w:sz="0" w:space="0" w:color="auto"/>
        <w:bottom w:val="none" w:sz="0" w:space="0" w:color="auto"/>
        <w:right w:val="none" w:sz="0" w:space="0" w:color="auto"/>
      </w:divBdr>
    </w:div>
    <w:div w:id="1284922148">
      <w:bodyDiv w:val="1"/>
      <w:marLeft w:val="0"/>
      <w:marRight w:val="0"/>
      <w:marTop w:val="0"/>
      <w:marBottom w:val="0"/>
      <w:divBdr>
        <w:top w:val="none" w:sz="0" w:space="0" w:color="auto"/>
        <w:left w:val="none" w:sz="0" w:space="0" w:color="auto"/>
        <w:bottom w:val="none" w:sz="0" w:space="0" w:color="auto"/>
        <w:right w:val="none" w:sz="0" w:space="0" w:color="auto"/>
      </w:divBdr>
    </w:div>
    <w:div w:id="1294364420">
      <w:bodyDiv w:val="1"/>
      <w:marLeft w:val="0"/>
      <w:marRight w:val="0"/>
      <w:marTop w:val="0"/>
      <w:marBottom w:val="0"/>
      <w:divBdr>
        <w:top w:val="none" w:sz="0" w:space="0" w:color="auto"/>
        <w:left w:val="none" w:sz="0" w:space="0" w:color="auto"/>
        <w:bottom w:val="none" w:sz="0" w:space="0" w:color="auto"/>
        <w:right w:val="none" w:sz="0" w:space="0" w:color="auto"/>
      </w:divBdr>
    </w:div>
    <w:div w:id="1295021178">
      <w:bodyDiv w:val="1"/>
      <w:marLeft w:val="0"/>
      <w:marRight w:val="0"/>
      <w:marTop w:val="0"/>
      <w:marBottom w:val="0"/>
      <w:divBdr>
        <w:top w:val="none" w:sz="0" w:space="0" w:color="auto"/>
        <w:left w:val="none" w:sz="0" w:space="0" w:color="auto"/>
        <w:bottom w:val="none" w:sz="0" w:space="0" w:color="auto"/>
        <w:right w:val="none" w:sz="0" w:space="0" w:color="auto"/>
      </w:divBdr>
    </w:div>
    <w:div w:id="1303928480">
      <w:bodyDiv w:val="1"/>
      <w:marLeft w:val="0"/>
      <w:marRight w:val="0"/>
      <w:marTop w:val="0"/>
      <w:marBottom w:val="0"/>
      <w:divBdr>
        <w:top w:val="none" w:sz="0" w:space="0" w:color="auto"/>
        <w:left w:val="none" w:sz="0" w:space="0" w:color="auto"/>
        <w:bottom w:val="none" w:sz="0" w:space="0" w:color="auto"/>
        <w:right w:val="none" w:sz="0" w:space="0" w:color="auto"/>
      </w:divBdr>
    </w:div>
    <w:div w:id="1319306886">
      <w:bodyDiv w:val="1"/>
      <w:marLeft w:val="0"/>
      <w:marRight w:val="0"/>
      <w:marTop w:val="0"/>
      <w:marBottom w:val="0"/>
      <w:divBdr>
        <w:top w:val="none" w:sz="0" w:space="0" w:color="auto"/>
        <w:left w:val="none" w:sz="0" w:space="0" w:color="auto"/>
        <w:bottom w:val="none" w:sz="0" w:space="0" w:color="auto"/>
        <w:right w:val="none" w:sz="0" w:space="0" w:color="auto"/>
      </w:divBdr>
    </w:div>
    <w:div w:id="1320306774">
      <w:bodyDiv w:val="1"/>
      <w:marLeft w:val="0"/>
      <w:marRight w:val="0"/>
      <w:marTop w:val="0"/>
      <w:marBottom w:val="0"/>
      <w:divBdr>
        <w:top w:val="none" w:sz="0" w:space="0" w:color="auto"/>
        <w:left w:val="none" w:sz="0" w:space="0" w:color="auto"/>
        <w:bottom w:val="none" w:sz="0" w:space="0" w:color="auto"/>
        <w:right w:val="none" w:sz="0" w:space="0" w:color="auto"/>
      </w:divBdr>
    </w:div>
    <w:div w:id="1342466198">
      <w:bodyDiv w:val="1"/>
      <w:marLeft w:val="0"/>
      <w:marRight w:val="0"/>
      <w:marTop w:val="0"/>
      <w:marBottom w:val="0"/>
      <w:divBdr>
        <w:top w:val="none" w:sz="0" w:space="0" w:color="auto"/>
        <w:left w:val="none" w:sz="0" w:space="0" w:color="auto"/>
        <w:bottom w:val="none" w:sz="0" w:space="0" w:color="auto"/>
        <w:right w:val="none" w:sz="0" w:space="0" w:color="auto"/>
      </w:divBdr>
    </w:div>
    <w:div w:id="1353609909">
      <w:bodyDiv w:val="1"/>
      <w:marLeft w:val="0"/>
      <w:marRight w:val="0"/>
      <w:marTop w:val="0"/>
      <w:marBottom w:val="0"/>
      <w:divBdr>
        <w:top w:val="none" w:sz="0" w:space="0" w:color="auto"/>
        <w:left w:val="none" w:sz="0" w:space="0" w:color="auto"/>
        <w:bottom w:val="none" w:sz="0" w:space="0" w:color="auto"/>
        <w:right w:val="none" w:sz="0" w:space="0" w:color="auto"/>
      </w:divBdr>
    </w:div>
    <w:div w:id="1384676283">
      <w:bodyDiv w:val="1"/>
      <w:marLeft w:val="0"/>
      <w:marRight w:val="0"/>
      <w:marTop w:val="0"/>
      <w:marBottom w:val="0"/>
      <w:divBdr>
        <w:top w:val="none" w:sz="0" w:space="0" w:color="auto"/>
        <w:left w:val="none" w:sz="0" w:space="0" w:color="auto"/>
        <w:bottom w:val="none" w:sz="0" w:space="0" w:color="auto"/>
        <w:right w:val="none" w:sz="0" w:space="0" w:color="auto"/>
      </w:divBdr>
    </w:div>
    <w:div w:id="1385913148">
      <w:bodyDiv w:val="1"/>
      <w:marLeft w:val="0"/>
      <w:marRight w:val="0"/>
      <w:marTop w:val="0"/>
      <w:marBottom w:val="0"/>
      <w:divBdr>
        <w:top w:val="none" w:sz="0" w:space="0" w:color="auto"/>
        <w:left w:val="none" w:sz="0" w:space="0" w:color="auto"/>
        <w:bottom w:val="none" w:sz="0" w:space="0" w:color="auto"/>
        <w:right w:val="none" w:sz="0" w:space="0" w:color="auto"/>
      </w:divBdr>
    </w:div>
    <w:div w:id="1425413624">
      <w:bodyDiv w:val="1"/>
      <w:marLeft w:val="0"/>
      <w:marRight w:val="0"/>
      <w:marTop w:val="0"/>
      <w:marBottom w:val="0"/>
      <w:divBdr>
        <w:top w:val="none" w:sz="0" w:space="0" w:color="auto"/>
        <w:left w:val="none" w:sz="0" w:space="0" w:color="auto"/>
        <w:bottom w:val="none" w:sz="0" w:space="0" w:color="auto"/>
        <w:right w:val="none" w:sz="0" w:space="0" w:color="auto"/>
      </w:divBdr>
    </w:div>
    <w:div w:id="1450393328">
      <w:bodyDiv w:val="1"/>
      <w:marLeft w:val="0"/>
      <w:marRight w:val="0"/>
      <w:marTop w:val="0"/>
      <w:marBottom w:val="0"/>
      <w:divBdr>
        <w:top w:val="none" w:sz="0" w:space="0" w:color="auto"/>
        <w:left w:val="none" w:sz="0" w:space="0" w:color="auto"/>
        <w:bottom w:val="none" w:sz="0" w:space="0" w:color="auto"/>
        <w:right w:val="none" w:sz="0" w:space="0" w:color="auto"/>
      </w:divBdr>
    </w:div>
    <w:div w:id="1450473233">
      <w:bodyDiv w:val="1"/>
      <w:marLeft w:val="0"/>
      <w:marRight w:val="0"/>
      <w:marTop w:val="0"/>
      <w:marBottom w:val="0"/>
      <w:divBdr>
        <w:top w:val="none" w:sz="0" w:space="0" w:color="auto"/>
        <w:left w:val="none" w:sz="0" w:space="0" w:color="auto"/>
        <w:bottom w:val="none" w:sz="0" w:space="0" w:color="auto"/>
        <w:right w:val="none" w:sz="0" w:space="0" w:color="auto"/>
      </w:divBdr>
    </w:div>
    <w:div w:id="1457723007">
      <w:bodyDiv w:val="1"/>
      <w:marLeft w:val="0"/>
      <w:marRight w:val="0"/>
      <w:marTop w:val="0"/>
      <w:marBottom w:val="0"/>
      <w:divBdr>
        <w:top w:val="none" w:sz="0" w:space="0" w:color="auto"/>
        <w:left w:val="none" w:sz="0" w:space="0" w:color="auto"/>
        <w:bottom w:val="none" w:sz="0" w:space="0" w:color="auto"/>
        <w:right w:val="none" w:sz="0" w:space="0" w:color="auto"/>
      </w:divBdr>
    </w:div>
    <w:div w:id="1520464970">
      <w:bodyDiv w:val="1"/>
      <w:marLeft w:val="0"/>
      <w:marRight w:val="0"/>
      <w:marTop w:val="0"/>
      <w:marBottom w:val="0"/>
      <w:divBdr>
        <w:top w:val="none" w:sz="0" w:space="0" w:color="auto"/>
        <w:left w:val="none" w:sz="0" w:space="0" w:color="auto"/>
        <w:bottom w:val="none" w:sz="0" w:space="0" w:color="auto"/>
        <w:right w:val="none" w:sz="0" w:space="0" w:color="auto"/>
      </w:divBdr>
    </w:div>
    <w:div w:id="1560900394">
      <w:bodyDiv w:val="1"/>
      <w:marLeft w:val="0"/>
      <w:marRight w:val="0"/>
      <w:marTop w:val="0"/>
      <w:marBottom w:val="0"/>
      <w:divBdr>
        <w:top w:val="none" w:sz="0" w:space="0" w:color="auto"/>
        <w:left w:val="none" w:sz="0" w:space="0" w:color="auto"/>
        <w:bottom w:val="none" w:sz="0" w:space="0" w:color="auto"/>
        <w:right w:val="none" w:sz="0" w:space="0" w:color="auto"/>
      </w:divBdr>
    </w:div>
    <w:div w:id="1567910190">
      <w:bodyDiv w:val="1"/>
      <w:marLeft w:val="0"/>
      <w:marRight w:val="0"/>
      <w:marTop w:val="0"/>
      <w:marBottom w:val="0"/>
      <w:divBdr>
        <w:top w:val="none" w:sz="0" w:space="0" w:color="auto"/>
        <w:left w:val="none" w:sz="0" w:space="0" w:color="auto"/>
        <w:bottom w:val="none" w:sz="0" w:space="0" w:color="auto"/>
        <w:right w:val="none" w:sz="0" w:space="0" w:color="auto"/>
      </w:divBdr>
    </w:div>
    <w:div w:id="1595671698">
      <w:bodyDiv w:val="1"/>
      <w:marLeft w:val="0"/>
      <w:marRight w:val="0"/>
      <w:marTop w:val="0"/>
      <w:marBottom w:val="0"/>
      <w:divBdr>
        <w:top w:val="none" w:sz="0" w:space="0" w:color="auto"/>
        <w:left w:val="none" w:sz="0" w:space="0" w:color="auto"/>
        <w:bottom w:val="none" w:sz="0" w:space="0" w:color="auto"/>
        <w:right w:val="none" w:sz="0" w:space="0" w:color="auto"/>
      </w:divBdr>
    </w:div>
    <w:div w:id="1606811761">
      <w:bodyDiv w:val="1"/>
      <w:marLeft w:val="0"/>
      <w:marRight w:val="0"/>
      <w:marTop w:val="0"/>
      <w:marBottom w:val="0"/>
      <w:divBdr>
        <w:top w:val="none" w:sz="0" w:space="0" w:color="auto"/>
        <w:left w:val="none" w:sz="0" w:space="0" w:color="auto"/>
        <w:bottom w:val="none" w:sz="0" w:space="0" w:color="auto"/>
        <w:right w:val="none" w:sz="0" w:space="0" w:color="auto"/>
      </w:divBdr>
    </w:div>
    <w:div w:id="1612586984">
      <w:bodyDiv w:val="1"/>
      <w:marLeft w:val="0"/>
      <w:marRight w:val="0"/>
      <w:marTop w:val="0"/>
      <w:marBottom w:val="0"/>
      <w:divBdr>
        <w:top w:val="none" w:sz="0" w:space="0" w:color="auto"/>
        <w:left w:val="none" w:sz="0" w:space="0" w:color="auto"/>
        <w:bottom w:val="none" w:sz="0" w:space="0" w:color="auto"/>
        <w:right w:val="none" w:sz="0" w:space="0" w:color="auto"/>
      </w:divBdr>
    </w:div>
    <w:div w:id="1667054453">
      <w:bodyDiv w:val="1"/>
      <w:marLeft w:val="0"/>
      <w:marRight w:val="0"/>
      <w:marTop w:val="0"/>
      <w:marBottom w:val="0"/>
      <w:divBdr>
        <w:top w:val="none" w:sz="0" w:space="0" w:color="auto"/>
        <w:left w:val="none" w:sz="0" w:space="0" w:color="auto"/>
        <w:bottom w:val="none" w:sz="0" w:space="0" w:color="auto"/>
        <w:right w:val="none" w:sz="0" w:space="0" w:color="auto"/>
      </w:divBdr>
    </w:div>
    <w:div w:id="1725254227">
      <w:bodyDiv w:val="1"/>
      <w:marLeft w:val="0"/>
      <w:marRight w:val="0"/>
      <w:marTop w:val="0"/>
      <w:marBottom w:val="0"/>
      <w:divBdr>
        <w:top w:val="none" w:sz="0" w:space="0" w:color="auto"/>
        <w:left w:val="none" w:sz="0" w:space="0" w:color="auto"/>
        <w:bottom w:val="none" w:sz="0" w:space="0" w:color="auto"/>
        <w:right w:val="none" w:sz="0" w:space="0" w:color="auto"/>
      </w:divBdr>
    </w:div>
    <w:div w:id="1740400760">
      <w:bodyDiv w:val="1"/>
      <w:marLeft w:val="0"/>
      <w:marRight w:val="0"/>
      <w:marTop w:val="0"/>
      <w:marBottom w:val="0"/>
      <w:divBdr>
        <w:top w:val="none" w:sz="0" w:space="0" w:color="auto"/>
        <w:left w:val="none" w:sz="0" w:space="0" w:color="auto"/>
        <w:bottom w:val="none" w:sz="0" w:space="0" w:color="auto"/>
        <w:right w:val="none" w:sz="0" w:space="0" w:color="auto"/>
      </w:divBdr>
    </w:div>
    <w:div w:id="1753966546">
      <w:bodyDiv w:val="1"/>
      <w:marLeft w:val="0"/>
      <w:marRight w:val="0"/>
      <w:marTop w:val="0"/>
      <w:marBottom w:val="0"/>
      <w:divBdr>
        <w:top w:val="none" w:sz="0" w:space="0" w:color="auto"/>
        <w:left w:val="none" w:sz="0" w:space="0" w:color="auto"/>
        <w:bottom w:val="none" w:sz="0" w:space="0" w:color="auto"/>
        <w:right w:val="none" w:sz="0" w:space="0" w:color="auto"/>
      </w:divBdr>
    </w:div>
    <w:div w:id="1818454440">
      <w:bodyDiv w:val="1"/>
      <w:marLeft w:val="0"/>
      <w:marRight w:val="0"/>
      <w:marTop w:val="0"/>
      <w:marBottom w:val="0"/>
      <w:divBdr>
        <w:top w:val="none" w:sz="0" w:space="0" w:color="auto"/>
        <w:left w:val="none" w:sz="0" w:space="0" w:color="auto"/>
        <w:bottom w:val="none" w:sz="0" w:space="0" w:color="auto"/>
        <w:right w:val="none" w:sz="0" w:space="0" w:color="auto"/>
      </w:divBdr>
    </w:div>
    <w:div w:id="1822692688">
      <w:bodyDiv w:val="1"/>
      <w:marLeft w:val="0"/>
      <w:marRight w:val="0"/>
      <w:marTop w:val="0"/>
      <w:marBottom w:val="0"/>
      <w:divBdr>
        <w:top w:val="none" w:sz="0" w:space="0" w:color="auto"/>
        <w:left w:val="none" w:sz="0" w:space="0" w:color="auto"/>
        <w:bottom w:val="none" w:sz="0" w:space="0" w:color="auto"/>
        <w:right w:val="none" w:sz="0" w:space="0" w:color="auto"/>
      </w:divBdr>
    </w:div>
    <w:div w:id="1886671224">
      <w:bodyDiv w:val="1"/>
      <w:marLeft w:val="0"/>
      <w:marRight w:val="0"/>
      <w:marTop w:val="0"/>
      <w:marBottom w:val="0"/>
      <w:divBdr>
        <w:top w:val="none" w:sz="0" w:space="0" w:color="auto"/>
        <w:left w:val="none" w:sz="0" w:space="0" w:color="auto"/>
        <w:bottom w:val="none" w:sz="0" w:space="0" w:color="auto"/>
        <w:right w:val="none" w:sz="0" w:space="0" w:color="auto"/>
      </w:divBdr>
    </w:div>
    <w:div w:id="1916546548">
      <w:bodyDiv w:val="1"/>
      <w:marLeft w:val="0"/>
      <w:marRight w:val="0"/>
      <w:marTop w:val="0"/>
      <w:marBottom w:val="0"/>
      <w:divBdr>
        <w:top w:val="none" w:sz="0" w:space="0" w:color="auto"/>
        <w:left w:val="none" w:sz="0" w:space="0" w:color="auto"/>
        <w:bottom w:val="none" w:sz="0" w:space="0" w:color="auto"/>
        <w:right w:val="none" w:sz="0" w:space="0" w:color="auto"/>
      </w:divBdr>
    </w:div>
    <w:div w:id="2016224052">
      <w:bodyDiv w:val="1"/>
      <w:marLeft w:val="0"/>
      <w:marRight w:val="0"/>
      <w:marTop w:val="0"/>
      <w:marBottom w:val="0"/>
      <w:divBdr>
        <w:top w:val="none" w:sz="0" w:space="0" w:color="auto"/>
        <w:left w:val="none" w:sz="0" w:space="0" w:color="auto"/>
        <w:bottom w:val="none" w:sz="0" w:space="0" w:color="auto"/>
        <w:right w:val="none" w:sz="0" w:space="0" w:color="auto"/>
      </w:divBdr>
    </w:div>
    <w:div w:id="2020350736">
      <w:bodyDiv w:val="1"/>
      <w:marLeft w:val="0"/>
      <w:marRight w:val="0"/>
      <w:marTop w:val="0"/>
      <w:marBottom w:val="0"/>
      <w:divBdr>
        <w:top w:val="none" w:sz="0" w:space="0" w:color="auto"/>
        <w:left w:val="none" w:sz="0" w:space="0" w:color="auto"/>
        <w:bottom w:val="none" w:sz="0" w:space="0" w:color="auto"/>
        <w:right w:val="none" w:sz="0" w:space="0" w:color="auto"/>
      </w:divBdr>
    </w:div>
    <w:div w:id="2020767255">
      <w:bodyDiv w:val="1"/>
      <w:marLeft w:val="0"/>
      <w:marRight w:val="0"/>
      <w:marTop w:val="0"/>
      <w:marBottom w:val="0"/>
      <w:divBdr>
        <w:top w:val="none" w:sz="0" w:space="0" w:color="auto"/>
        <w:left w:val="none" w:sz="0" w:space="0" w:color="auto"/>
        <w:bottom w:val="none" w:sz="0" w:space="0" w:color="auto"/>
        <w:right w:val="none" w:sz="0" w:space="0" w:color="auto"/>
      </w:divBdr>
    </w:div>
    <w:div w:id="2028554694">
      <w:bodyDiv w:val="1"/>
      <w:marLeft w:val="0"/>
      <w:marRight w:val="0"/>
      <w:marTop w:val="0"/>
      <w:marBottom w:val="0"/>
      <w:divBdr>
        <w:top w:val="none" w:sz="0" w:space="0" w:color="auto"/>
        <w:left w:val="none" w:sz="0" w:space="0" w:color="auto"/>
        <w:bottom w:val="none" w:sz="0" w:space="0" w:color="auto"/>
        <w:right w:val="none" w:sz="0" w:space="0" w:color="auto"/>
      </w:divBdr>
    </w:div>
    <w:div w:id="2030983832">
      <w:bodyDiv w:val="1"/>
      <w:marLeft w:val="0"/>
      <w:marRight w:val="0"/>
      <w:marTop w:val="0"/>
      <w:marBottom w:val="0"/>
      <w:divBdr>
        <w:top w:val="none" w:sz="0" w:space="0" w:color="auto"/>
        <w:left w:val="none" w:sz="0" w:space="0" w:color="auto"/>
        <w:bottom w:val="none" w:sz="0" w:space="0" w:color="auto"/>
        <w:right w:val="none" w:sz="0" w:space="0" w:color="auto"/>
      </w:divBdr>
    </w:div>
    <w:div w:id="2044357719">
      <w:bodyDiv w:val="1"/>
      <w:marLeft w:val="0"/>
      <w:marRight w:val="0"/>
      <w:marTop w:val="0"/>
      <w:marBottom w:val="0"/>
      <w:divBdr>
        <w:top w:val="none" w:sz="0" w:space="0" w:color="auto"/>
        <w:left w:val="none" w:sz="0" w:space="0" w:color="auto"/>
        <w:bottom w:val="none" w:sz="0" w:space="0" w:color="auto"/>
        <w:right w:val="none" w:sz="0" w:space="0" w:color="auto"/>
      </w:divBdr>
    </w:div>
    <w:div w:id="2062558185">
      <w:bodyDiv w:val="1"/>
      <w:marLeft w:val="0"/>
      <w:marRight w:val="0"/>
      <w:marTop w:val="0"/>
      <w:marBottom w:val="0"/>
      <w:divBdr>
        <w:top w:val="none" w:sz="0" w:space="0" w:color="auto"/>
        <w:left w:val="none" w:sz="0" w:space="0" w:color="auto"/>
        <w:bottom w:val="none" w:sz="0" w:space="0" w:color="auto"/>
        <w:right w:val="none" w:sz="0" w:space="0" w:color="auto"/>
      </w:divBdr>
    </w:div>
    <w:div w:id="2074698739">
      <w:bodyDiv w:val="1"/>
      <w:marLeft w:val="0"/>
      <w:marRight w:val="0"/>
      <w:marTop w:val="0"/>
      <w:marBottom w:val="0"/>
      <w:divBdr>
        <w:top w:val="none" w:sz="0" w:space="0" w:color="auto"/>
        <w:left w:val="none" w:sz="0" w:space="0" w:color="auto"/>
        <w:bottom w:val="none" w:sz="0" w:space="0" w:color="auto"/>
        <w:right w:val="none" w:sz="0" w:space="0" w:color="auto"/>
      </w:divBdr>
    </w:div>
    <w:div w:id="2104951169">
      <w:bodyDiv w:val="1"/>
      <w:marLeft w:val="0"/>
      <w:marRight w:val="0"/>
      <w:marTop w:val="0"/>
      <w:marBottom w:val="0"/>
      <w:divBdr>
        <w:top w:val="none" w:sz="0" w:space="0" w:color="auto"/>
        <w:left w:val="none" w:sz="0" w:space="0" w:color="auto"/>
        <w:bottom w:val="none" w:sz="0" w:space="0" w:color="auto"/>
        <w:right w:val="none" w:sz="0" w:space="0" w:color="auto"/>
      </w:divBdr>
    </w:div>
    <w:div w:id="2120296104">
      <w:bodyDiv w:val="1"/>
      <w:marLeft w:val="0"/>
      <w:marRight w:val="0"/>
      <w:marTop w:val="0"/>
      <w:marBottom w:val="0"/>
      <w:divBdr>
        <w:top w:val="none" w:sz="0" w:space="0" w:color="auto"/>
        <w:left w:val="none" w:sz="0" w:space="0" w:color="auto"/>
        <w:bottom w:val="none" w:sz="0" w:space="0" w:color="auto"/>
        <w:right w:val="none" w:sz="0" w:space="0" w:color="auto"/>
      </w:divBdr>
    </w:div>
    <w:div w:id="2122796909">
      <w:bodyDiv w:val="1"/>
      <w:marLeft w:val="0"/>
      <w:marRight w:val="0"/>
      <w:marTop w:val="0"/>
      <w:marBottom w:val="0"/>
      <w:divBdr>
        <w:top w:val="none" w:sz="0" w:space="0" w:color="auto"/>
        <w:left w:val="none" w:sz="0" w:space="0" w:color="auto"/>
        <w:bottom w:val="none" w:sz="0" w:space="0" w:color="auto"/>
        <w:right w:val="none" w:sz="0" w:space="0" w:color="auto"/>
      </w:divBdr>
    </w:div>
    <w:div w:id="21300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o.org/standard/71860.html" TargetMode="External"/><Relationship Id="rId18" Type="http://schemas.openxmlformats.org/officeDocument/2006/relationships/hyperlink" Target="https://eur-lex.europa.eu/legal-content/EN/TXT/?uri=COM%3A2021%3A101%3AFIN&amp;qid=1614872097963" TargetMode="External"/><Relationship Id="rId3" Type="http://schemas.openxmlformats.org/officeDocument/2006/relationships/styles" Target="styles.xml"/><Relationship Id="rId21" Type="http://schemas.openxmlformats.org/officeDocument/2006/relationships/hyperlink" Target="mailto:info@edf-feph.org" TargetMode="External"/><Relationship Id="rId7" Type="http://schemas.openxmlformats.org/officeDocument/2006/relationships/endnotes" Target="endnotes.xml"/><Relationship Id="rId12" Type="http://schemas.openxmlformats.org/officeDocument/2006/relationships/hyperlink" Target="https://www.edf-feph.org/publications/edf-recommendations-on-standardisation-for-the-european-accessibility-act/" TargetMode="External"/><Relationship Id="rId17" Type="http://schemas.openxmlformats.org/officeDocument/2006/relationships/hyperlink" Target="https://www.edf-feph.org/publications/edf-recommendations-on-standardisation-for-the-european-accessibility-act/" TargetMode="External"/><Relationship Id="rId2" Type="http://schemas.openxmlformats.org/officeDocument/2006/relationships/numbering" Target="numbering.xml"/><Relationship Id="rId16" Type="http://schemas.openxmlformats.org/officeDocument/2006/relationships/hyperlink" Target="https://www.edf-feph.org/publications/eaa-toolkit/" TargetMode="External"/><Relationship Id="rId20" Type="http://schemas.openxmlformats.org/officeDocument/2006/relationships/hyperlink" Target="http://www.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epub-a11y-eaa-mapp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uri=CELEX%3A32019L0882" TargetMode="External"/><Relationship Id="rId23" Type="http://schemas.openxmlformats.org/officeDocument/2006/relationships/fontTable" Target="fontTable.xml"/><Relationship Id="rId10" Type="http://schemas.openxmlformats.org/officeDocument/2006/relationships/hyperlink" Target="https://www.w3.org/TR/epub-a11y-11/" TargetMode="External"/><Relationship Id="rId19" Type="http://schemas.openxmlformats.org/officeDocument/2006/relationships/hyperlink" Target="https://www.coe.int/en/web/common-european-framework-reference-languages/level-descriptio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org/development/desa/disabilities/convention-on-the-rights-of-persons-with-disabilities/convention-on-the-rights-of-persons-with-disabilities-2.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dec_impl/2018/1523/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69DD-CE1D-4F12-AE73-53CF3778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5615</Words>
  <Characters>32007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mher hakobyan</cp:lastModifiedBy>
  <cp:revision>4</cp:revision>
  <cp:lastPrinted>2021-09-20T13:09:00Z</cp:lastPrinted>
  <dcterms:created xsi:type="dcterms:W3CDTF">2021-09-10T15:06:00Z</dcterms:created>
  <dcterms:modified xsi:type="dcterms:W3CDTF">2021-09-20T13:09:00Z</dcterms:modified>
</cp:coreProperties>
</file>