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0BB2" w14:textId="77777777" w:rsidR="003D387C" w:rsidRPr="00B24949" w:rsidRDefault="003D387C" w:rsidP="003D387C">
      <w:pPr>
        <w:pStyle w:val="Heading1"/>
        <w:jc w:val="center"/>
        <w:rPr>
          <w:rFonts w:ascii="Verdana Pro SemiBold" w:hAnsi="Verdana Pro SemiBold"/>
          <w:color w:val="002060"/>
        </w:rPr>
      </w:pPr>
      <w:bookmarkStart w:id="0" w:name="_Toc95152633"/>
      <w:bookmarkStart w:id="1" w:name="_Toc95152740"/>
    </w:p>
    <w:bookmarkEnd w:id="0"/>
    <w:bookmarkEnd w:id="1"/>
    <w:p w14:paraId="3E287DC6" w14:textId="77777777" w:rsidR="00B027B0" w:rsidRPr="00B027B0" w:rsidRDefault="00B027B0" w:rsidP="00B027B0">
      <w:pPr>
        <w:jc w:val="center"/>
        <w:rPr>
          <w:rFonts w:ascii="Verdana Pro SemiBold" w:hAnsi="Verdana Pro SemiBold"/>
          <w:color w:val="002060"/>
          <w:sz w:val="40"/>
          <w:szCs w:val="40"/>
          <w:lang w:val="en-GB"/>
        </w:rPr>
      </w:pPr>
      <w:r w:rsidRPr="00B027B0">
        <w:rPr>
          <w:rFonts w:ascii="Verdana Pro SemiBold" w:hAnsi="Verdana Pro SemiBold"/>
          <w:color w:val="002060"/>
          <w:sz w:val="40"/>
          <w:szCs w:val="40"/>
          <w:lang w:val="en-GB"/>
        </w:rPr>
        <w:t>Joint Briefing for United Nations Committee on the Rights of Persons with Disabilities regarding the review of the implementation of the CRPD by the EU</w:t>
      </w:r>
    </w:p>
    <w:p w14:paraId="17CCCDF5" w14:textId="77777777" w:rsidR="003D387C" w:rsidRPr="00B24949" w:rsidRDefault="003D387C" w:rsidP="003D387C">
      <w:pPr>
        <w:jc w:val="center"/>
        <w:rPr>
          <w:rFonts w:ascii="Verdana Pro SemiBold" w:hAnsi="Verdana Pro SemiBold"/>
          <w:color w:val="002060"/>
          <w:szCs w:val="24"/>
          <w:lang w:val="en-GB"/>
        </w:rPr>
      </w:pPr>
    </w:p>
    <w:p w14:paraId="2705E31B" w14:textId="6E654E45" w:rsidR="003D387C" w:rsidRPr="005C08E7" w:rsidRDefault="003D387C" w:rsidP="003D387C">
      <w:pPr>
        <w:pStyle w:val="Heading1"/>
        <w:jc w:val="center"/>
        <w:rPr>
          <w:rFonts w:ascii="Verdana Pro Light" w:hAnsi="Verdana Pro Light"/>
          <w:color w:val="002060"/>
        </w:rPr>
      </w:pPr>
      <w:bookmarkStart w:id="2" w:name="_Toc95152634"/>
      <w:bookmarkStart w:id="3" w:name="_Toc95152741"/>
      <w:r w:rsidRPr="005C08E7">
        <w:rPr>
          <w:rFonts w:ascii="Verdana Pro Cond" w:hAnsi="Verdana Pro Cond"/>
          <w:color w:val="002060"/>
        </w:rPr>
        <w:t>Equality and intersectional discrimination faced by persons with disabilities in the European Union</w:t>
      </w:r>
      <w:bookmarkEnd w:id="2"/>
      <w:bookmarkEnd w:id="3"/>
    </w:p>
    <w:p w14:paraId="27E65801" w14:textId="77777777" w:rsidR="003D387C" w:rsidRPr="003D387C" w:rsidRDefault="003D387C" w:rsidP="003D387C">
      <w:pPr>
        <w:jc w:val="center"/>
        <w:rPr>
          <w:rFonts w:ascii="Verdana Pro SemiBold" w:hAnsi="Verdana Pro SemiBold"/>
          <w:sz w:val="28"/>
          <w:szCs w:val="28"/>
          <w:lang w:val="en-GB"/>
        </w:rPr>
      </w:pPr>
    </w:p>
    <w:p w14:paraId="4ACAE5FF" w14:textId="3F789358" w:rsidR="003D387C" w:rsidRPr="005C08E7" w:rsidRDefault="003D387C" w:rsidP="003D387C">
      <w:pPr>
        <w:jc w:val="center"/>
        <w:rPr>
          <w:rFonts w:ascii="Verdana Pro Cond" w:hAnsi="Verdana Pro Cond"/>
          <w:color w:val="002060"/>
          <w:sz w:val="28"/>
          <w:szCs w:val="28"/>
          <w:lang w:val="en-GB"/>
        </w:rPr>
      </w:pPr>
      <w:r w:rsidRPr="005C08E7">
        <w:rPr>
          <w:rFonts w:ascii="Verdana Pro Cond" w:hAnsi="Verdana Pro Cond"/>
          <w:color w:val="002060"/>
          <w:sz w:val="28"/>
          <w:szCs w:val="28"/>
          <w:lang w:val="en-GB"/>
        </w:rPr>
        <w:t>February 2022</w:t>
      </w:r>
    </w:p>
    <w:p w14:paraId="482F0F82" w14:textId="77777777" w:rsidR="0020093A" w:rsidRPr="00B24949" w:rsidRDefault="0020093A" w:rsidP="003D387C">
      <w:pPr>
        <w:jc w:val="center"/>
        <w:rPr>
          <w:rFonts w:ascii="Verdana Pro SemiBold" w:hAnsi="Verdana Pro SemiBold"/>
          <w:color w:val="002060"/>
          <w:sz w:val="28"/>
          <w:szCs w:val="28"/>
          <w:lang w:val="en-GB"/>
        </w:rPr>
      </w:pPr>
    </w:p>
    <w:p w14:paraId="29131C97" w14:textId="5CBB8F4A" w:rsidR="003D387C" w:rsidRDefault="004459A7" w:rsidP="003D387C">
      <w:pPr>
        <w:jc w:val="center"/>
        <w:rPr>
          <w:lang w:val="en-GB"/>
        </w:rPr>
      </w:pPr>
      <w:r w:rsidRPr="00774DE0">
        <w:rPr>
          <w:b/>
          <w:noProof/>
          <w:szCs w:val="24"/>
          <w:lang w:val="en-GB"/>
        </w:rPr>
        <w:drawing>
          <wp:anchor distT="0" distB="0" distL="114300" distR="114300" simplePos="0" relativeHeight="251658240" behindDoc="0" locked="0" layoutInCell="1" allowOverlap="1" wp14:anchorId="6EC47FBB" wp14:editId="4368D0E8">
            <wp:simplePos x="0" y="0"/>
            <wp:positionH relativeFrom="margin">
              <wp:align>center</wp:align>
            </wp:positionH>
            <wp:positionV relativeFrom="paragraph">
              <wp:posOffset>3858895</wp:posOffset>
            </wp:positionV>
            <wp:extent cx="868680" cy="868680"/>
            <wp:effectExtent l="0" t="0" r="7620" b="762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anchor>
        </w:drawing>
      </w:r>
      <w:r w:rsidR="00037812" w:rsidRPr="00774DE0">
        <w:rPr>
          <w:noProof/>
          <w:lang w:val="en-GB"/>
        </w:rPr>
        <w:drawing>
          <wp:anchor distT="0" distB="0" distL="114300" distR="114300" simplePos="0" relativeHeight="251658241" behindDoc="0" locked="0" layoutInCell="1" allowOverlap="1" wp14:anchorId="15510FD3" wp14:editId="27233E88">
            <wp:simplePos x="0" y="0"/>
            <wp:positionH relativeFrom="margin">
              <wp:posOffset>4290546</wp:posOffset>
            </wp:positionH>
            <wp:positionV relativeFrom="paragraph">
              <wp:posOffset>3804061</wp:posOffset>
            </wp:positionV>
            <wp:extent cx="1323340" cy="76200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340" cy="762000"/>
                    </a:xfrm>
                    <a:prstGeom prst="rect">
                      <a:avLst/>
                    </a:prstGeom>
                    <a:noFill/>
                    <a:ln>
                      <a:noFill/>
                    </a:ln>
                  </pic:spPr>
                </pic:pic>
              </a:graphicData>
            </a:graphic>
          </wp:anchor>
        </w:drawing>
      </w:r>
      <w:r w:rsidR="00037812" w:rsidRPr="00774DE0">
        <w:rPr>
          <w:noProof/>
          <w:lang w:val="en-GB"/>
        </w:rPr>
        <w:drawing>
          <wp:anchor distT="0" distB="0" distL="114300" distR="114300" simplePos="0" relativeHeight="251658242" behindDoc="0" locked="0" layoutInCell="1" allowOverlap="1" wp14:anchorId="2B0E649D" wp14:editId="0E22B09D">
            <wp:simplePos x="0" y="0"/>
            <wp:positionH relativeFrom="margin">
              <wp:posOffset>214069</wp:posOffset>
            </wp:positionH>
            <wp:positionV relativeFrom="paragraph">
              <wp:posOffset>3908761</wp:posOffset>
            </wp:positionV>
            <wp:extent cx="1447800" cy="523875"/>
            <wp:effectExtent l="0" t="0" r="0" b="9525"/>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anchor>
        </w:drawing>
      </w:r>
      <w:r w:rsidR="00037812" w:rsidRPr="00774DE0">
        <w:rPr>
          <w:b/>
          <w:noProof/>
          <w:szCs w:val="24"/>
          <w:lang w:val="en-GB"/>
        </w:rPr>
        <w:drawing>
          <wp:anchor distT="0" distB="0" distL="114300" distR="114300" simplePos="0" relativeHeight="251658243" behindDoc="0" locked="0" layoutInCell="1" allowOverlap="1" wp14:anchorId="112CA089" wp14:editId="63DE3C44">
            <wp:simplePos x="0" y="0"/>
            <wp:positionH relativeFrom="column">
              <wp:posOffset>1615290</wp:posOffset>
            </wp:positionH>
            <wp:positionV relativeFrom="paragraph">
              <wp:posOffset>2739539</wp:posOffset>
            </wp:positionV>
            <wp:extent cx="1767840" cy="568325"/>
            <wp:effectExtent l="0" t="0" r="3810" b="317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7840" cy="568325"/>
                    </a:xfrm>
                    <a:prstGeom prst="rect">
                      <a:avLst/>
                    </a:prstGeom>
                    <a:noFill/>
                    <a:ln>
                      <a:noFill/>
                    </a:ln>
                  </pic:spPr>
                </pic:pic>
              </a:graphicData>
            </a:graphic>
          </wp:anchor>
        </w:drawing>
      </w:r>
      <w:r w:rsidR="00037812" w:rsidRPr="00774DE0">
        <w:rPr>
          <w:noProof/>
          <w:lang w:val="en-GB"/>
        </w:rPr>
        <w:drawing>
          <wp:anchor distT="0" distB="0" distL="114300" distR="114300" simplePos="0" relativeHeight="251658244" behindDoc="0" locked="0" layoutInCell="1" allowOverlap="1" wp14:anchorId="59B719D4" wp14:editId="5FBAF69C">
            <wp:simplePos x="0" y="0"/>
            <wp:positionH relativeFrom="margin">
              <wp:align>right</wp:align>
            </wp:positionH>
            <wp:positionV relativeFrom="paragraph">
              <wp:posOffset>2705586</wp:posOffset>
            </wp:positionV>
            <wp:extent cx="2106295" cy="565150"/>
            <wp:effectExtent l="0" t="0" r="8255" b="635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6295" cy="565150"/>
                    </a:xfrm>
                    <a:prstGeom prst="rect">
                      <a:avLst/>
                    </a:prstGeom>
                    <a:noFill/>
                    <a:ln>
                      <a:noFill/>
                    </a:ln>
                  </pic:spPr>
                </pic:pic>
              </a:graphicData>
            </a:graphic>
          </wp:anchor>
        </w:drawing>
      </w:r>
      <w:r w:rsidR="00037812" w:rsidRPr="00774DE0">
        <w:rPr>
          <w:b/>
          <w:noProof/>
          <w:szCs w:val="24"/>
          <w:lang w:val="en-GB"/>
        </w:rPr>
        <w:drawing>
          <wp:anchor distT="0" distB="0" distL="114300" distR="114300" simplePos="0" relativeHeight="251658245" behindDoc="0" locked="0" layoutInCell="1" allowOverlap="1" wp14:anchorId="2C2CBB26" wp14:editId="2293ACD2">
            <wp:simplePos x="0" y="0"/>
            <wp:positionH relativeFrom="margin">
              <wp:align>right</wp:align>
            </wp:positionH>
            <wp:positionV relativeFrom="paragraph">
              <wp:posOffset>1518023</wp:posOffset>
            </wp:positionV>
            <wp:extent cx="1706880" cy="504190"/>
            <wp:effectExtent l="0" t="0" r="762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6880" cy="504190"/>
                    </a:xfrm>
                    <a:prstGeom prst="rect">
                      <a:avLst/>
                    </a:prstGeom>
                    <a:noFill/>
                    <a:ln>
                      <a:noFill/>
                    </a:ln>
                  </pic:spPr>
                </pic:pic>
              </a:graphicData>
            </a:graphic>
          </wp:anchor>
        </w:drawing>
      </w:r>
      <w:r w:rsidR="00A81775" w:rsidRPr="00774DE0">
        <w:rPr>
          <w:b/>
          <w:noProof/>
          <w:szCs w:val="24"/>
          <w:lang w:val="en-GB"/>
        </w:rPr>
        <w:drawing>
          <wp:anchor distT="0" distB="0" distL="114300" distR="114300" simplePos="0" relativeHeight="251658246" behindDoc="0" locked="0" layoutInCell="1" allowOverlap="1" wp14:anchorId="45BC6302" wp14:editId="1659A838">
            <wp:simplePos x="0" y="0"/>
            <wp:positionH relativeFrom="column">
              <wp:posOffset>258594</wp:posOffset>
            </wp:positionH>
            <wp:positionV relativeFrom="paragraph">
              <wp:posOffset>2562972</wp:posOffset>
            </wp:positionV>
            <wp:extent cx="975360" cy="1105535"/>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5360" cy="1105535"/>
                    </a:xfrm>
                    <a:prstGeom prst="rect">
                      <a:avLst/>
                    </a:prstGeom>
                    <a:noFill/>
                    <a:ln>
                      <a:noFill/>
                    </a:ln>
                  </pic:spPr>
                </pic:pic>
              </a:graphicData>
            </a:graphic>
          </wp:anchor>
        </w:drawing>
      </w:r>
      <w:r w:rsidR="00A81775">
        <w:rPr>
          <w:noProof/>
        </w:rPr>
        <w:drawing>
          <wp:anchor distT="0" distB="0" distL="114300" distR="114300" simplePos="0" relativeHeight="251658247" behindDoc="0" locked="0" layoutInCell="1" allowOverlap="1" wp14:anchorId="0F13076A" wp14:editId="08971B1A">
            <wp:simplePos x="0" y="0"/>
            <wp:positionH relativeFrom="column">
              <wp:posOffset>2220558</wp:posOffset>
            </wp:positionH>
            <wp:positionV relativeFrom="paragraph">
              <wp:posOffset>1328233</wp:posOffset>
            </wp:positionV>
            <wp:extent cx="930910" cy="934085"/>
            <wp:effectExtent l="0" t="0" r="254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0910" cy="934085"/>
                    </a:xfrm>
                    <a:prstGeom prst="rect">
                      <a:avLst/>
                    </a:prstGeom>
                    <a:noFill/>
                    <a:ln>
                      <a:noFill/>
                    </a:ln>
                  </pic:spPr>
                </pic:pic>
              </a:graphicData>
            </a:graphic>
          </wp:anchor>
        </w:drawing>
      </w:r>
      <w:r w:rsidR="00A81775" w:rsidRPr="00774DE0">
        <w:rPr>
          <w:b/>
          <w:noProof/>
          <w:szCs w:val="24"/>
          <w:lang w:val="en-GB"/>
        </w:rPr>
        <w:drawing>
          <wp:anchor distT="0" distB="0" distL="114300" distR="114300" simplePos="0" relativeHeight="251658248" behindDoc="0" locked="0" layoutInCell="1" allowOverlap="1" wp14:anchorId="2D8EBCDE" wp14:editId="27F7751C">
            <wp:simplePos x="0" y="0"/>
            <wp:positionH relativeFrom="column">
              <wp:posOffset>367553</wp:posOffset>
            </wp:positionH>
            <wp:positionV relativeFrom="paragraph">
              <wp:posOffset>1467821</wp:posOffset>
            </wp:positionV>
            <wp:extent cx="735330" cy="815340"/>
            <wp:effectExtent l="0" t="0" r="7620" b="381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5330" cy="815340"/>
                    </a:xfrm>
                    <a:prstGeom prst="rect">
                      <a:avLst/>
                    </a:prstGeom>
                    <a:noFill/>
                    <a:ln>
                      <a:noFill/>
                    </a:ln>
                  </pic:spPr>
                </pic:pic>
              </a:graphicData>
            </a:graphic>
          </wp:anchor>
        </w:drawing>
      </w:r>
      <w:r w:rsidR="00A81775" w:rsidRPr="00774DE0">
        <w:rPr>
          <w:noProof/>
          <w:szCs w:val="24"/>
          <w:lang w:val="en-GB"/>
        </w:rPr>
        <w:drawing>
          <wp:anchor distT="0" distB="0" distL="114300" distR="114300" simplePos="0" relativeHeight="251658249" behindDoc="1" locked="0" layoutInCell="1" allowOverlap="1" wp14:anchorId="22DB9488" wp14:editId="5B5483A5">
            <wp:simplePos x="0" y="0"/>
            <wp:positionH relativeFrom="margin">
              <wp:posOffset>4262755</wp:posOffset>
            </wp:positionH>
            <wp:positionV relativeFrom="paragraph">
              <wp:posOffset>436880</wp:posOffset>
            </wp:positionV>
            <wp:extent cx="1470660" cy="638810"/>
            <wp:effectExtent l="0" t="0" r="0" b="889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0660" cy="638810"/>
                    </a:xfrm>
                    <a:prstGeom prst="rect">
                      <a:avLst/>
                    </a:prstGeom>
                    <a:noFill/>
                    <a:ln>
                      <a:noFill/>
                    </a:ln>
                  </pic:spPr>
                </pic:pic>
              </a:graphicData>
            </a:graphic>
          </wp:anchor>
        </w:drawing>
      </w:r>
      <w:r w:rsidR="00940B76" w:rsidRPr="00774DE0">
        <w:rPr>
          <w:noProof/>
          <w:lang w:val="en-GB"/>
        </w:rPr>
        <w:drawing>
          <wp:anchor distT="0" distB="0" distL="114300" distR="114300" simplePos="0" relativeHeight="251658250" behindDoc="0" locked="0" layoutInCell="1" allowOverlap="1" wp14:anchorId="2A112140" wp14:editId="544B2DED">
            <wp:simplePos x="0" y="0"/>
            <wp:positionH relativeFrom="column">
              <wp:posOffset>228600</wp:posOffset>
            </wp:positionH>
            <wp:positionV relativeFrom="paragraph">
              <wp:posOffset>391160</wp:posOffset>
            </wp:positionV>
            <wp:extent cx="1097280" cy="712470"/>
            <wp:effectExtent l="0" t="0" r="762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7280" cy="712470"/>
                    </a:xfrm>
                    <a:prstGeom prst="rect">
                      <a:avLst/>
                    </a:prstGeom>
                    <a:noFill/>
                    <a:ln>
                      <a:noFill/>
                    </a:ln>
                  </pic:spPr>
                </pic:pic>
              </a:graphicData>
            </a:graphic>
          </wp:anchor>
        </w:drawing>
      </w:r>
      <w:r w:rsidR="00940B76" w:rsidRPr="00774DE0">
        <w:rPr>
          <w:noProof/>
          <w:lang w:val="en-GB"/>
        </w:rPr>
        <w:drawing>
          <wp:anchor distT="0" distB="0" distL="114300" distR="114300" simplePos="0" relativeHeight="251658251" behindDoc="0" locked="0" layoutInCell="1" allowOverlap="1" wp14:anchorId="5DA2BB78" wp14:editId="632DC6E5">
            <wp:simplePos x="0" y="0"/>
            <wp:positionH relativeFrom="margin">
              <wp:align>center</wp:align>
            </wp:positionH>
            <wp:positionV relativeFrom="paragraph">
              <wp:posOffset>326390</wp:posOffset>
            </wp:positionV>
            <wp:extent cx="1739538" cy="77724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9538" cy="777240"/>
                    </a:xfrm>
                    <a:prstGeom prst="rect">
                      <a:avLst/>
                    </a:prstGeom>
                    <a:noFill/>
                    <a:ln>
                      <a:noFill/>
                    </a:ln>
                  </pic:spPr>
                </pic:pic>
              </a:graphicData>
            </a:graphic>
          </wp:anchor>
        </w:drawing>
      </w:r>
      <w:r w:rsidR="003D387C">
        <w:rPr>
          <w:lang w:val="en-GB"/>
        </w:rPr>
        <w:br w:type="page"/>
      </w:r>
    </w:p>
    <w:p w14:paraId="39FC2D18" w14:textId="2C613AA2" w:rsidR="007234CE" w:rsidRPr="00774DE0" w:rsidRDefault="007234CE" w:rsidP="00B24949">
      <w:pPr>
        <w:rPr>
          <w:szCs w:val="24"/>
          <w:highlight w:val="white"/>
          <w:lang w:val="en-GB"/>
        </w:rPr>
      </w:pPr>
      <w:r w:rsidRPr="00774DE0">
        <w:rPr>
          <w:bCs/>
          <w:szCs w:val="24"/>
          <w:highlight w:val="white"/>
          <w:lang w:val="en-GB"/>
        </w:rPr>
        <w:lastRenderedPageBreak/>
        <w:t>This document inform</w:t>
      </w:r>
      <w:r w:rsidR="00DB19F3" w:rsidRPr="00774DE0">
        <w:rPr>
          <w:bCs/>
          <w:szCs w:val="24"/>
          <w:highlight w:val="white"/>
          <w:lang w:val="en-GB"/>
        </w:rPr>
        <w:t>s</w:t>
      </w:r>
      <w:r w:rsidRPr="00774DE0">
        <w:rPr>
          <w:bCs/>
          <w:szCs w:val="24"/>
          <w:highlight w:val="white"/>
          <w:lang w:val="en-GB"/>
        </w:rPr>
        <w:t xml:space="preserve"> the </w:t>
      </w:r>
      <w:r w:rsidR="00DB19F3" w:rsidRPr="00774DE0">
        <w:rPr>
          <w:bCs/>
          <w:szCs w:val="24"/>
          <w:highlight w:val="white"/>
          <w:lang w:val="en-GB"/>
        </w:rPr>
        <w:t>UN Committee on the Rights of Persons with Disabilities</w:t>
      </w:r>
      <w:r w:rsidRPr="00774DE0">
        <w:rPr>
          <w:bCs/>
          <w:szCs w:val="24"/>
          <w:highlight w:val="white"/>
          <w:lang w:val="en-GB"/>
        </w:rPr>
        <w:t xml:space="preserve"> about</w:t>
      </w:r>
      <w:r w:rsidRPr="00774DE0">
        <w:rPr>
          <w:b/>
          <w:szCs w:val="24"/>
          <w:highlight w:val="white"/>
          <w:lang w:val="en-GB"/>
        </w:rPr>
        <w:t xml:space="preserve"> </w:t>
      </w:r>
      <w:r w:rsidRPr="00774DE0">
        <w:rPr>
          <w:szCs w:val="24"/>
          <w:highlight w:val="white"/>
          <w:lang w:val="en-GB"/>
        </w:rPr>
        <w:t xml:space="preserve">issues of inequality and intersectional discrimination faced by persons with disabilities with intersectional identities in the European Union (EU). Its objective is to inform the adoption of the List of issues prior to reporting on the EU. </w:t>
      </w:r>
    </w:p>
    <w:p w14:paraId="1A5AC1D2" w14:textId="77777777" w:rsidR="007234CE" w:rsidRPr="00774DE0" w:rsidRDefault="007234CE" w:rsidP="00A03CCB">
      <w:pPr>
        <w:spacing w:after="240"/>
        <w:rPr>
          <w:szCs w:val="24"/>
          <w:highlight w:val="white"/>
          <w:lang w:val="en-GB"/>
        </w:rPr>
      </w:pPr>
    </w:p>
    <w:p w14:paraId="26CA4F6F" w14:textId="40CB37C6" w:rsidR="007234CE" w:rsidRPr="003D387C" w:rsidRDefault="007234CE" w:rsidP="00A03CCB">
      <w:pPr>
        <w:spacing w:after="240"/>
        <w:rPr>
          <w:rFonts w:ascii="Verdana Pro SemiBold" w:hAnsi="Verdana Pro SemiBold"/>
          <w:b/>
          <w:bCs/>
          <w:color w:val="002060"/>
          <w:szCs w:val="24"/>
          <w:highlight w:val="white"/>
          <w:lang w:val="en-GB"/>
        </w:rPr>
      </w:pPr>
      <w:r w:rsidRPr="003D387C">
        <w:rPr>
          <w:rFonts w:ascii="Verdana Pro SemiBold" w:hAnsi="Verdana Pro SemiBold"/>
          <w:b/>
          <w:bCs/>
          <w:color w:val="002060"/>
          <w:szCs w:val="24"/>
          <w:highlight w:val="white"/>
          <w:lang w:val="en-GB"/>
        </w:rPr>
        <w:t xml:space="preserve">Contributors and endorsement </w:t>
      </w:r>
    </w:p>
    <w:p w14:paraId="46E0D935" w14:textId="2F88F6A8" w:rsidR="002D7C25" w:rsidRPr="00774DE0" w:rsidRDefault="00A039DD" w:rsidP="00A03CCB">
      <w:pPr>
        <w:pStyle w:val="ListParagraph"/>
        <w:numPr>
          <w:ilvl w:val="0"/>
          <w:numId w:val="10"/>
        </w:numPr>
        <w:spacing w:after="240"/>
        <w:contextualSpacing w:val="0"/>
        <w:rPr>
          <w:bCs/>
          <w:szCs w:val="24"/>
          <w:highlight w:val="white"/>
          <w:lang w:val="en-GB"/>
        </w:rPr>
      </w:pPr>
      <w:hyperlink r:id="rId23" w:history="1">
        <w:r w:rsidR="002D7C25" w:rsidRPr="00774DE0">
          <w:rPr>
            <w:rStyle w:val="Hyperlink"/>
            <w:b/>
            <w:szCs w:val="24"/>
            <w:highlight w:val="white"/>
            <w:lang w:val="en-GB"/>
          </w:rPr>
          <w:t>AGE Platform Europe</w:t>
        </w:r>
      </w:hyperlink>
      <w:r w:rsidR="00894FB8" w:rsidRPr="00774DE0">
        <w:rPr>
          <w:bCs/>
          <w:szCs w:val="24"/>
          <w:lang w:val="en-GB"/>
        </w:rPr>
        <w:t xml:space="preserve"> </w:t>
      </w:r>
      <w:r w:rsidR="002D7C25" w:rsidRPr="00774DE0">
        <w:rPr>
          <w:bCs/>
          <w:szCs w:val="24"/>
          <w:lang w:val="en-GB"/>
        </w:rPr>
        <w:t>is a European network of non-profit organisations of and for people aged 50+, which aims to voice and promote the interests of the 200 million citizens aged 50+ in the European Union (Eurostat, 2018) and to raise awareness on the issues that concern them most.</w:t>
      </w:r>
    </w:p>
    <w:p w14:paraId="5BC16CAE" w14:textId="1017B773" w:rsidR="004C7E96" w:rsidRPr="00774DE0" w:rsidRDefault="00A039DD" w:rsidP="00EB47FD">
      <w:pPr>
        <w:pStyle w:val="ListParagraph"/>
        <w:numPr>
          <w:ilvl w:val="0"/>
          <w:numId w:val="10"/>
        </w:numPr>
        <w:spacing w:before="240" w:after="240"/>
        <w:contextualSpacing w:val="0"/>
        <w:rPr>
          <w:bCs/>
          <w:szCs w:val="24"/>
          <w:highlight w:val="white"/>
          <w:lang w:val="en-GB"/>
        </w:rPr>
      </w:pPr>
      <w:hyperlink r:id="rId24" w:history="1">
        <w:r w:rsidR="004C7E96" w:rsidRPr="00774DE0">
          <w:rPr>
            <w:rStyle w:val="Hyperlink"/>
            <w:b/>
            <w:szCs w:val="24"/>
            <w:highlight w:val="white"/>
            <w:lang w:val="en-GB"/>
          </w:rPr>
          <w:t>Equinox Initiative for Racial Justice</w:t>
        </w:r>
      </w:hyperlink>
      <w:r w:rsidR="004C7E96" w:rsidRPr="00774DE0">
        <w:rPr>
          <w:bCs/>
          <w:szCs w:val="24"/>
          <w:highlight w:val="white"/>
          <w:lang w:val="en-GB"/>
        </w:rPr>
        <w:t xml:space="preserve"> is a people of colour-led initiative working to advance rights and justice for all people in Europe. We work in solidarity with a coalition of racial and social justice leaders and organisations to influence European Union law and policy.</w:t>
      </w:r>
    </w:p>
    <w:p w14:paraId="4467175A" w14:textId="778C1DDB" w:rsidR="00551EF9" w:rsidRPr="00774DE0" w:rsidRDefault="00A039DD" w:rsidP="00A03CCB">
      <w:pPr>
        <w:pStyle w:val="ListParagraph"/>
        <w:numPr>
          <w:ilvl w:val="0"/>
          <w:numId w:val="10"/>
        </w:numPr>
        <w:spacing w:after="240"/>
        <w:contextualSpacing w:val="0"/>
        <w:rPr>
          <w:bCs/>
          <w:szCs w:val="24"/>
          <w:highlight w:val="white"/>
          <w:lang w:val="en-GB"/>
        </w:rPr>
      </w:pPr>
      <w:hyperlink r:id="rId25" w:history="1">
        <w:r w:rsidR="004643FD" w:rsidRPr="00774DE0">
          <w:rPr>
            <w:rStyle w:val="Hyperlink"/>
            <w:b/>
            <w:szCs w:val="24"/>
            <w:highlight w:val="white"/>
            <w:lang w:val="en-GB"/>
          </w:rPr>
          <w:t>Eurochild</w:t>
        </w:r>
      </w:hyperlink>
      <w:r w:rsidR="004643FD" w:rsidRPr="00774DE0">
        <w:rPr>
          <w:bCs/>
          <w:szCs w:val="24"/>
          <w:highlight w:val="white"/>
          <w:lang w:val="en-GB"/>
        </w:rPr>
        <w:t xml:space="preserve"> is a network of organisations and individuals working with and for children in Europe. Our network brings together almost 200 members in 35 European countries, representing over 2000 children’s rights organisations.</w:t>
      </w:r>
    </w:p>
    <w:p w14:paraId="3A562D5E" w14:textId="4770F534" w:rsidR="007234CE" w:rsidRPr="00774DE0" w:rsidRDefault="00416E6C" w:rsidP="00A03CCB">
      <w:pPr>
        <w:pStyle w:val="ListParagraph"/>
        <w:numPr>
          <w:ilvl w:val="0"/>
          <w:numId w:val="10"/>
        </w:numPr>
        <w:spacing w:after="240"/>
        <w:contextualSpacing w:val="0"/>
        <w:rPr>
          <w:bCs/>
          <w:szCs w:val="24"/>
          <w:highlight w:val="white"/>
          <w:lang w:val="en-GB"/>
        </w:rPr>
      </w:pPr>
      <w:r w:rsidRPr="00774DE0">
        <w:rPr>
          <w:lang w:val="en-GB"/>
        </w:rPr>
        <w:t xml:space="preserve">The </w:t>
      </w:r>
      <w:hyperlink r:id="rId26" w:history="1">
        <w:r w:rsidR="007234CE" w:rsidRPr="00774DE0">
          <w:rPr>
            <w:rStyle w:val="Hyperlink"/>
            <w:b/>
            <w:szCs w:val="24"/>
            <w:highlight w:val="white"/>
            <w:lang w:val="en-GB"/>
          </w:rPr>
          <w:t>European Disability Forum</w:t>
        </w:r>
      </w:hyperlink>
      <w:r w:rsidR="007234CE" w:rsidRPr="00774DE0">
        <w:rPr>
          <w:b/>
          <w:szCs w:val="24"/>
          <w:highlight w:val="white"/>
          <w:lang w:val="en-GB"/>
        </w:rPr>
        <w:t xml:space="preserve"> (EDF)</w:t>
      </w:r>
      <w:r w:rsidR="00894FB8" w:rsidRPr="00774DE0">
        <w:rPr>
          <w:bCs/>
          <w:szCs w:val="24"/>
          <w:highlight w:val="white"/>
          <w:lang w:val="en-GB"/>
        </w:rPr>
        <w:t xml:space="preserve"> </w:t>
      </w:r>
      <w:r w:rsidR="007234CE" w:rsidRPr="00774DE0">
        <w:rPr>
          <w:bCs/>
          <w:szCs w:val="24"/>
          <w:highlight w:val="white"/>
          <w:lang w:val="en-GB"/>
        </w:rPr>
        <w:t>is an independent</w:t>
      </w:r>
      <w:r w:rsidR="007234CE" w:rsidRPr="00774DE0">
        <w:rPr>
          <w:bCs/>
          <w:szCs w:val="24"/>
          <w:lang w:val="en-GB"/>
        </w:rPr>
        <w:t xml:space="preserve"> umbrella organisation of persons with disabilities that defends the interests of over 100 million persons with disabilities in Europe.</w:t>
      </w:r>
    </w:p>
    <w:p w14:paraId="7D3089D7" w14:textId="69AE3E95" w:rsidR="00AB7B47" w:rsidRDefault="00AB7B47" w:rsidP="00AB7B47">
      <w:pPr>
        <w:pStyle w:val="ListParagraph"/>
        <w:numPr>
          <w:ilvl w:val="0"/>
          <w:numId w:val="10"/>
        </w:numPr>
        <w:contextualSpacing w:val="0"/>
        <w:rPr>
          <w:bCs/>
          <w:szCs w:val="24"/>
          <w:lang w:val="en-GB"/>
        </w:rPr>
      </w:pPr>
      <w:r w:rsidRPr="00F25FB2">
        <w:rPr>
          <w:bCs/>
          <w:szCs w:val="24"/>
          <w:lang w:val="en-GB"/>
        </w:rPr>
        <w:t xml:space="preserve">The </w:t>
      </w:r>
      <w:hyperlink r:id="rId27" w:history="1">
        <w:r w:rsidRPr="00F25FB2">
          <w:rPr>
            <w:rStyle w:val="Hyperlink"/>
            <w:b/>
            <w:bCs/>
            <w:szCs w:val="24"/>
            <w:lang w:val="en-GB"/>
          </w:rPr>
          <w:t xml:space="preserve">European Network </w:t>
        </w:r>
        <w:r>
          <w:rPr>
            <w:rStyle w:val="Hyperlink"/>
            <w:b/>
            <w:bCs/>
            <w:szCs w:val="24"/>
            <w:lang w:val="en-GB"/>
          </w:rPr>
          <w:t>A</w:t>
        </w:r>
        <w:r w:rsidRPr="00F25FB2">
          <w:rPr>
            <w:rStyle w:val="Hyperlink"/>
            <w:b/>
            <w:bCs/>
            <w:szCs w:val="24"/>
            <w:lang w:val="en-GB"/>
          </w:rPr>
          <w:t>gainst Racism</w:t>
        </w:r>
      </w:hyperlink>
      <w:r w:rsidRPr="00F25FB2">
        <w:rPr>
          <w:b/>
          <w:bCs/>
          <w:szCs w:val="24"/>
          <w:lang w:val="en-GB"/>
        </w:rPr>
        <w:t xml:space="preserve"> (ENAR)</w:t>
      </w:r>
      <w:r w:rsidRPr="00F25FB2">
        <w:rPr>
          <w:bCs/>
          <w:szCs w:val="24"/>
          <w:lang w:val="en-GB"/>
        </w:rPr>
        <w:t xml:space="preserve"> is a pan-European anti-racism network that combines advocacy for racial equality and facilitating cooperation among civil society anti-racism actors in Europe. </w:t>
      </w:r>
    </w:p>
    <w:p w14:paraId="11AC20C4" w14:textId="77777777" w:rsidR="00AB7B47" w:rsidRPr="00F25FB2" w:rsidRDefault="00AB7B47" w:rsidP="00AB7B47">
      <w:pPr>
        <w:pStyle w:val="ListParagraph"/>
        <w:contextualSpacing w:val="0"/>
        <w:rPr>
          <w:bCs/>
          <w:szCs w:val="24"/>
          <w:lang w:val="en-GB"/>
        </w:rPr>
      </w:pPr>
    </w:p>
    <w:p w14:paraId="17173309" w14:textId="2506B1C2" w:rsidR="007234CE" w:rsidRPr="00774DE0" w:rsidRDefault="00416E6C" w:rsidP="00A03CCB">
      <w:pPr>
        <w:pStyle w:val="ListParagraph"/>
        <w:numPr>
          <w:ilvl w:val="0"/>
          <w:numId w:val="10"/>
        </w:numPr>
        <w:spacing w:after="240"/>
        <w:contextualSpacing w:val="0"/>
        <w:rPr>
          <w:bCs/>
          <w:szCs w:val="24"/>
          <w:highlight w:val="white"/>
          <w:lang w:val="en-GB"/>
        </w:rPr>
      </w:pPr>
      <w:r w:rsidRPr="00774DE0">
        <w:rPr>
          <w:lang w:val="en-GB"/>
        </w:rPr>
        <w:t xml:space="preserve">The </w:t>
      </w:r>
      <w:hyperlink r:id="rId28" w:history="1">
        <w:r w:rsidR="007234CE" w:rsidRPr="00774DE0">
          <w:rPr>
            <w:rStyle w:val="Hyperlink"/>
            <w:b/>
            <w:szCs w:val="24"/>
            <w:highlight w:val="white"/>
            <w:lang w:val="en-GB"/>
          </w:rPr>
          <w:t>European Network of Equality Bodies</w:t>
        </w:r>
      </w:hyperlink>
      <w:r w:rsidR="007234CE" w:rsidRPr="00774DE0">
        <w:rPr>
          <w:b/>
          <w:szCs w:val="24"/>
          <w:highlight w:val="white"/>
          <w:lang w:val="en-GB"/>
        </w:rPr>
        <w:t xml:space="preserve"> (Equinet)</w:t>
      </w:r>
      <w:r w:rsidR="00AC662D" w:rsidRPr="00774DE0">
        <w:rPr>
          <w:bCs/>
          <w:szCs w:val="24"/>
          <w:highlight w:val="white"/>
          <w:lang w:val="en-GB"/>
        </w:rPr>
        <w:t xml:space="preserve"> is membership organisation which promotes equality in Europe by supporting and enabling the work of national equality bodies. It supports equality bodies to be independent and effective catalysts for more equal societies.</w:t>
      </w:r>
    </w:p>
    <w:p w14:paraId="0CDE1774" w14:textId="28F19B00" w:rsidR="0064421C" w:rsidRPr="00774DE0" w:rsidRDefault="0064421C" w:rsidP="0064421C">
      <w:pPr>
        <w:pStyle w:val="ListParagraph"/>
        <w:numPr>
          <w:ilvl w:val="0"/>
          <w:numId w:val="10"/>
        </w:numPr>
        <w:spacing w:after="240"/>
        <w:ind w:left="714" w:hanging="357"/>
        <w:contextualSpacing w:val="0"/>
        <w:rPr>
          <w:b/>
          <w:bCs/>
          <w:szCs w:val="24"/>
          <w:highlight w:val="white"/>
          <w:lang w:val="en-GB"/>
        </w:rPr>
      </w:pPr>
      <w:r w:rsidRPr="00774DE0">
        <w:rPr>
          <w:szCs w:val="24"/>
          <w:highlight w:val="white"/>
          <w:lang w:val="en-GB"/>
        </w:rPr>
        <w:t>The</w:t>
      </w:r>
      <w:r w:rsidRPr="00774DE0">
        <w:rPr>
          <w:b/>
          <w:bCs/>
          <w:szCs w:val="24"/>
          <w:highlight w:val="white"/>
          <w:lang w:val="en-GB"/>
        </w:rPr>
        <w:t xml:space="preserve"> </w:t>
      </w:r>
      <w:hyperlink r:id="rId29" w:tgtFrame="_blank" w:history="1">
        <w:r w:rsidRPr="00774DE0">
          <w:rPr>
            <w:rStyle w:val="Hyperlink"/>
            <w:b/>
            <w:bCs/>
            <w:szCs w:val="24"/>
            <w:highlight w:val="white"/>
            <w:lang w:val="en-GB"/>
          </w:rPr>
          <w:t>European Roma Grassroots Organisations (ERGO) Network</w:t>
        </w:r>
      </w:hyperlink>
      <w:r w:rsidRPr="00774DE0">
        <w:rPr>
          <w:bCs/>
          <w:szCs w:val="24"/>
          <w:highlight w:val="white"/>
          <w:lang w:val="en-GB"/>
        </w:rPr>
        <w:t xml:space="preserve"> mobilises and connects grassroots, national and international organisations and individuals who share a set of core values to create the courage, </w:t>
      </w:r>
      <w:r w:rsidR="007F1C92" w:rsidRPr="00774DE0">
        <w:rPr>
          <w:bCs/>
          <w:szCs w:val="24"/>
          <w:highlight w:val="white"/>
          <w:lang w:val="en-GB"/>
        </w:rPr>
        <w:t>capacity,</w:t>
      </w:r>
      <w:r w:rsidRPr="00774DE0">
        <w:rPr>
          <w:bCs/>
          <w:szCs w:val="24"/>
          <w:highlight w:val="white"/>
          <w:lang w:val="en-GB"/>
        </w:rPr>
        <w:t xml:space="preserve"> and opportunities to combat antigypsyism and Roma poverty. </w:t>
      </w:r>
    </w:p>
    <w:p w14:paraId="2BF9DA8A" w14:textId="62D58E4D" w:rsidR="00EB5D6B" w:rsidRPr="00774DE0" w:rsidRDefault="00FE14B5" w:rsidP="00A03CCB">
      <w:pPr>
        <w:pStyle w:val="ListParagraph"/>
        <w:numPr>
          <w:ilvl w:val="0"/>
          <w:numId w:val="10"/>
        </w:numPr>
        <w:spacing w:after="240"/>
        <w:contextualSpacing w:val="0"/>
        <w:rPr>
          <w:bCs/>
          <w:szCs w:val="24"/>
          <w:highlight w:val="white"/>
          <w:lang w:val="en-GB"/>
        </w:rPr>
      </w:pPr>
      <w:r w:rsidRPr="00774DE0">
        <w:rPr>
          <w:bCs/>
          <w:szCs w:val="24"/>
          <w:lang w:val="en-GB"/>
        </w:rPr>
        <w:t xml:space="preserve">The </w:t>
      </w:r>
      <w:hyperlink r:id="rId30" w:history="1">
        <w:r w:rsidRPr="00774DE0">
          <w:rPr>
            <w:rStyle w:val="Hyperlink"/>
            <w:b/>
            <w:szCs w:val="24"/>
            <w:lang w:val="en-GB"/>
          </w:rPr>
          <w:t>European Youth Forum</w:t>
        </w:r>
      </w:hyperlink>
      <w:r w:rsidRPr="00774DE0">
        <w:rPr>
          <w:bCs/>
          <w:szCs w:val="24"/>
          <w:lang w:val="en-GB"/>
        </w:rPr>
        <w:t xml:space="preserve"> is the platform of youth organisations in Europe. We represent over 100 youth organisations, which bring together tens of millions of young people from all over Europe.</w:t>
      </w:r>
      <w:r w:rsidRPr="00774DE0">
        <w:rPr>
          <w:bCs/>
          <w:szCs w:val="24"/>
          <w:highlight w:val="white"/>
          <w:lang w:val="en-GB"/>
        </w:rPr>
        <w:t xml:space="preserve"> </w:t>
      </w:r>
    </w:p>
    <w:p w14:paraId="30610F4E" w14:textId="77777777" w:rsidR="00774DE0" w:rsidRPr="00774DE0" w:rsidRDefault="00A039DD" w:rsidP="00774DE0">
      <w:pPr>
        <w:pStyle w:val="ListParagraph"/>
        <w:numPr>
          <w:ilvl w:val="0"/>
          <w:numId w:val="10"/>
        </w:numPr>
        <w:spacing w:after="240"/>
        <w:contextualSpacing w:val="0"/>
        <w:rPr>
          <w:bCs/>
          <w:szCs w:val="24"/>
          <w:highlight w:val="white"/>
          <w:lang w:val="en-GB"/>
        </w:rPr>
      </w:pPr>
      <w:hyperlink r:id="rId31" w:history="1">
        <w:r w:rsidR="00774DE0" w:rsidRPr="00774DE0">
          <w:rPr>
            <w:rStyle w:val="Hyperlink"/>
            <w:b/>
            <w:szCs w:val="24"/>
            <w:lang w:val="en-GB"/>
          </w:rPr>
          <w:t>Hope and Homes for Children</w:t>
        </w:r>
      </w:hyperlink>
      <w:r w:rsidR="00774DE0" w:rsidRPr="00774DE0">
        <w:rPr>
          <w:bCs/>
          <w:szCs w:val="24"/>
          <w:lang w:val="en-GB"/>
        </w:rPr>
        <w:t xml:space="preserve"> is an international NGO aiming to end the institutionalisation of children globally. We strive to catalyse the reform of child protection and care systems to ensure all children can grow up in a safe and loving family environment. We achieve this by strengthening child protection mechanisms, building the capacity of local professionals, developing services to support all families, and influencing policy and legislation to promote children’s rights.</w:t>
      </w:r>
    </w:p>
    <w:p w14:paraId="35C10EB8" w14:textId="0D87DA27" w:rsidR="00A12025" w:rsidRDefault="00A039DD" w:rsidP="00A12025">
      <w:pPr>
        <w:pStyle w:val="ListParagraph"/>
        <w:numPr>
          <w:ilvl w:val="0"/>
          <w:numId w:val="10"/>
        </w:numPr>
        <w:spacing w:after="240"/>
        <w:rPr>
          <w:bCs/>
          <w:szCs w:val="24"/>
          <w:highlight w:val="white"/>
          <w:lang w:val="en-GB"/>
        </w:rPr>
      </w:pPr>
      <w:hyperlink r:id="rId32" w:history="1">
        <w:r w:rsidR="00A12025" w:rsidRPr="00774DE0">
          <w:rPr>
            <w:rStyle w:val="Hyperlink"/>
            <w:b/>
            <w:szCs w:val="24"/>
            <w:highlight w:val="white"/>
            <w:lang w:val="en-GB"/>
          </w:rPr>
          <w:t>ILGA-Europe</w:t>
        </w:r>
        <w:r w:rsidR="00A12025" w:rsidRPr="00774DE0">
          <w:rPr>
            <w:rStyle w:val="Hyperlink"/>
            <w:bCs/>
            <w:szCs w:val="24"/>
            <w:highlight w:val="white"/>
            <w:lang w:val="en-GB"/>
          </w:rPr>
          <w:t> </w:t>
        </w:r>
      </w:hyperlink>
      <w:r w:rsidR="00A12025" w:rsidRPr="00774DE0">
        <w:rPr>
          <w:bCs/>
          <w:szCs w:val="24"/>
          <w:highlight w:val="white"/>
          <w:lang w:val="en-GB"/>
        </w:rPr>
        <w:t>are an independent, international non-governmental umbrella organisation working towards equality and human rights for lesbian, gay, bisexual, trans and intersex people, bringing together over 600 organisations from 54 countries in Europe and Central Asia. </w:t>
      </w:r>
    </w:p>
    <w:p w14:paraId="2AB00BBC" w14:textId="77777777" w:rsidR="00046A95" w:rsidRPr="00774DE0" w:rsidRDefault="00046A95" w:rsidP="00046A95">
      <w:pPr>
        <w:pStyle w:val="ListParagraph"/>
        <w:spacing w:after="240"/>
        <w:rPr>
          <w:bCs/>
          <w:szCs w:val="24"/>
          <w:highlight w:val="white"/>
          <w:lang w:val="en-GB"/>
        </w:rPr>
      </w:pPr>
    </w:p>
    <w:p w14:paraId="7CCB0286" w14:textId="7580F3E1" w:rsidR="0017323F" w:rsidRPr="00774DE0" w:rsidRDefault="00A039DD" w:rsidP="00046A95">
      <w:pPr>
        <w:pStyle w:val="ListParagraph"/>
        <w:numPr>
          <w:ilvl w:val="0"/>
          <w:numId w:val="10"/>
        </w:numPr>
        <w:spacing w:before="240" w:after="240"/>
        <w:contextualSpacing w:val="0"/>
        <w:rPr>
          <w:bCs/>
          <w:szCs w:val="24"/>
          <w:highlight w:val="white"/>
          <w:lang w:val="en-GB"/>
        </w:rPr>
      </w:pPr>
      <w:hyperlink r:id="rId33" w:history="1">
        <w:r w:rsidR="0017323F" w:rsidRPr="00774DE0">
          <w:rPr>
            <w:rStyle w:val="Hyperlink"/>
            <w:b/>
            <w:bCs/>
            <w:szCs w:val="24"/>
            <w:highlight w:val="white"/>
            <w:lang w:val="en-GB"/>
          </w:rPr>
          <w:t>Lumos</w:t>
        </w:r>
      </w:hyperlink>
      <w:r w:rsidR="0017323F" w:rsidRPr="00774DE0">
        <w:rPr>
          <w:bCs/>
          <w:szCs w:val="24"/>
          <w:highlight w:val="white"/>
          <w:lang w:val="en-GB"/>
        </w:rPr>
        <w:t xml:space="preserve"> is fighting for every child’s right to a family by transforming care systems around the world. We are an international charity striving for a future where every child is raised in a safe, loving home, supported by family to help them thrive.</w:t>
      </w:r>
    </w:p>
    <w:p w14:paraId="7F17BFD2" w14:textId="77777777" w:rsidR="00E320C8" w:rsidRPr="00774DE0" w:rsidRDefault="00A039DD" w:rsidP="00E320C8">
      <w:pPr>
        <w:pStyle w:val="ListParagraph"/>
        <w:numPr>
          <w:ilvl w:val="0"/>
          <w:numId w:val="10"/>
        </w:numPr>
        <w:spacing w:after="240"/>
        <w:rPr>
          <w:bCs/>
          <w:szCs w:val="24"/>
          <w:highlight w:val="white"/>
          <w:lang w:val="en-GB"/>
        </w:rPr>
      </w:pPr>
      <w:hyperlink r:id="rId34" w:history="1">
        <w:r w:rsidR="008917A2" w:rsidRPr="00774DE0">
          <w:rPr>
            <w:rStyle w:val="Hyperlink"/>
            <w:b/>
            <w:szCs w:val="24"/>
            <w:highlight w:val="white"/>
            <w:lang w:val="en-GB"/>
          </w:rPr>
          <w:t>Transgender Europe</w:t>
        </w:r>
      </w:hyperlink>
      <w:r w:rsidR="00FA7573" w:rsidRPr="00774DE0">
        <w:rPr>
          <w:bCs/>
          <w:szCs w:val="24"/>
          <w:highlight w:val="white"/>
          <w:lang w:val="en-GB"/>
        </w:rPr>
        <w:t xml:space="preserve"> </w:t>
      </w:r>
      <w:r w:rsidR="00FA7573" w:rsidRPr="00774DE0">
        <w:rPr>
          <w:b/>
          <w:szCs w:val="24"/>
          <w:highlight w:val="white"/>
          <w:lang w:val="en-GB"/>
        </w:rPr>
        <w:t xml:space="preserve">(TGEU) </w:t>
      </w:r>
      <w:r w:rsidR="00E320C8" w:rsidRPr="00774DE0">
        <w:rPr>
          <w:bCs/>
          <w:szCs w:val="24"/>
          <w:highlight w:val="white"/>
          <w:lang w:val="en-GB"/>
        </w:rPr>
        <w:t>is a member-based organisation working to strengthen the rights and wellbeing of trans people in Europe and Central Asia.</w:t>
      </w:r>
    </w:p>
    <w:p w14:paraId="1873CA71" w14:textId="4D26D127" w:rsidR="008917A2" w:rsidRPr="00774DE0" w:rsidRDefault="008917A2" w:rsidP="00E320C8">
      <w:pPr>
        <w:spacing w:after="240"/>
        <w:rPr>
          <w:bCs/>
          <w:szCs w:val="24"/>
          <w:highlight w:val="white"/>
          <w:lang w:val="en-GB"/>
        </w:rPr>
      </w:pPr>
    </w:p>
    <w:p w14:paraId="00000004" w14:textId="4B75C683" w:rsidR="0039603C" w:rsidRPr="00774DE0" w:rsidRDefault="0039603C" w:rsidP="00A03CCB">
      <w:pPr>
        <w:spacing w:after="240"/>
        <w:rPr>
          <w:b/>
          <w:szCs w:val="24"/>
          <w:lang w:val="en-GB"/>
        </w:rPr>
      </w:pPr>
    </w:p>
    <w:p w14:paraId="31E39A10" w14:textId="77777777" w:rsidR="002C6B27" w:rsidRPr="00774DE0" w:rsidRDefault="002C6B27" w:rsidP="002C6B27">
      <w:pPr>
        <w:rPr>
          <w:lang w:val="en-GB"/>
        </w:rPr>
      </w:pPr>
      <w:r w:rsidRPr="00774DE0">
        <w:rPr>
          <w:lang w:val="en-GB"/>
        </w:rPr>
        <w:t xml:space="preserve"> </w:t>
      </w:r>
    </w:p>
    <w:p w14:paraId="56985888" w14:textId="77777777" w:rsidR="00FF3597" w:rsidRDefault="00FF3597">
      <w:pPr>
        <w:rPr>
          <w:rFonts w:ascii="Verdana Pro SemiBold" w:hAnsi="Verdana Pro SemiBold"/>
          <w:color w:val="002060"/>
          <w:sz w:val="36"/>
          <w:szCs w:val="32"/>
          <w:lang w:val="en-GB"/>
        </w:rPr>
      </w:pPr>
      <w:r w:rsidRPr="00D7194B">
        <w:rPr>
          <w:lang w:val="en-GB"/>
        </w:rPr>
        <w:br w:type="page"/>
      </w:r>
    </w:p>
    <w:p w14:paraId="7A8E69C6" w14:textId="29D51F6F" w:rsidR="00644D6E" w:rsidRDefault="002C6B27" w:rsidP="00030A9F">
      <w:pPr>
        <w:pStyle w:val="Heading2"/>
        <w:tabs>
          <w:tab w:val="center" w:pos="4514"/>
        </w:tabs>
      </w:pPr>
      <w:bookmarkStart w:id="4" w:name="_Toc95740744"/>
      <w:r w:rsidRPr="00644D6E">
        <w:lastRenderedPageBreak/>
        <w:t>Table of content</w:t>
      </w:r>
      <w:r w:rsidR="00644D6E">
        <w:t>s</w:t>
      </w:r>
      <w:bookmarkEnd w:id="4"/>
      <w:r w:rsidR="00030A9F">
        <w:tab/>
      </w:r>
    </w:p>
    <w:p w14:paraId="2EECE83C" w14:textId="77777777" w:rsidR="00644D6E" w:rsidRPr="00644D6E" w:rsidRDefault="00644D6E" w:rsidP="00644D6E"/>
    <w:p w14:paraId="6DBE62CC" w14:textId="3F70952E" w:rsidR="00B24949" w:rsidRDefault="00644D6E">
      <w:pPr>
        <w:pStyle w:val="TOC1"/>
        <w:rPr>
          <w:rFonts w:asciiTheme="minorHAnsi" w:eastAsiaTheme="minorEastAsia" w:hAnsiTheme="minorHAnsi" w:cstheme="minorBidi"/>
          <w:noProof/>
          <w:sz w:val="22"/>
          <w:lang w:val="en-US" w:eastAsia="en-US"/>
        </w:rPr>
      </w:pPr>
      <w:r w:rsidRPr="00B24949">
        <w:rPr>
          <w:sz w:val="32"/>
          <w:szCs w:val="32"/>
        </w:rPr>
        <w:fldChar w:fldCharType="begin"/>
      </w:r>
      <w:r w:rsidRPr="00B24949">
        <w:rPr>
          <w:sz w:val="32"/>
          <w:szCs w:val="32"/>
        </w:rPr>
        <w:instrText xml:space="preserve"> TOC \h \z \u \t "Heading 2,1,Heading 3,2,Heading 4,3,Heading 5,4" </w:instrText>
      </w:r>
      <w:r w:rsidRPr="00B24949">
        <w:rPr>
          <w:sz w:val="32"/>
          <w:szCs w:val="32"/>
        </w:rPr>
        <w:fldChar w:fldCharType="separate"/>
      </w:r>
      <w:hyperlink w:anchor="_Toc95740745" w:history="1">
        <w:r w:rsidR="00B24949" w:rsidRPr="0048351D">
          <w:rPr>
            <w:rStyle w:val="Hyperlink"/>
            <w:noProof/>
          </w:rPr>
          <w:t>Summary</w:t>
        </w:r>
        <w:r w:rsidR="00B24949">
          <w:rPr>
            <w:noProof/>
            <w:webHidden/>
          </w:rPr>
          <w:tab/>
        </w:r>
        <w:r w:rsidR="00B24949">
          <w:rPr>
            <w:noProof/>
            <w:webHidden/>
          </w:rPr>
          <w:fldChar w:fldCharType="begin"/>
        </w:r>
        <w:r w:rsidR="00B24949">
          <w:rPr>
            <w:noProof/>
            <w:webHidden/>
          </w:rPr>
          <w:instrText xml:space="preserve"> PAGEREF _Toc95740745 \h </w:instrText>
        </w:r>
        <w:r w:rsidR="00B24949">
          <w:rPr>
            <w:noProof/>
            <w:webHidden/>
          </w:rPr>
        </w:r>
        <w:r w:rsidR="00B24949">
          <w:rPr>
            <w:noProof/>
            <w:webHidden/>
          </w:rPr>
          <w:fldChar w:fldCharType="separate"/>
        </w:r>
        <w:r w:rsidR="00E46327">
          <w:rPr>
            <w:noProof/>
            <w:webHidden/>
          </w:rPr>
          <w:t>5</w:t>
        </w:r>
        <w:r w:rsidR="00B24949">
          <w:rPr>
            <w:noProof/>
            <w:webHidden/>
          </w:rPr>
          <w:fldChar w:fldCharType="end"/>
        </w:r>
      </w:hyperlink>
    </w:p>
    <w:p w14:paraId="3BE10E6A" w14:textId="05ABDA46" w:rsidR="00B24949" w:rsidRDefault="00A039DD">
      <w:pPr>
        <w:pStyle w:val="TOC1"/>
        <w:rPr>
          <w:rFonts w:asciiTheme="minorHAnsi" w:eastAsiaTheme="minorEastAsia" w:hAnsiTheme="minorHAnsi" w:cstheme="minorBidi"/>
          <w:noProof/>
          <w:sz w:val="22"/>
          <w:lang w:val="en-US" w:eastAsia="en-US"/>
        </w:rPr>
      </w:pPr>
      <w:hyperlink w:anchor="_Toc95740746" w:history="1">
        <w:r w:rsidR="00B24949" w:rsidRPr="0048351D">
          <w:rPr>
            <w:rStyle w:val="Hyperlink"/>
            <w:noProof/>
          </w:rPr>
          <w:t>Equality and non-discrimination (art. 5 CRPD)</w:t>
        </w:r>
        <w:r w:rsidR="00B24949">
          <w:rPr>
            <w:noProof/>
            <w:webHidden/>
          </w:rPr>
          <w:tab/>
        </w:r>
        <w:r w:rsidR="00B24949">
          <w:rPr>
            <w:noProof/>
            <w:webHidden/>
          </w:rPr>
          <w:fldChar w:fldCharType="begin"/>
        </w:r>
        <w:r w:rsidR="00B24949">
          <w:rPr>
            <w:noProof/>
            <w:webHidden/>
          </w:rPr>
          <w:instrText xml:space="preserve"> PAGEREF _Toc95740746 \h </w:instrText>
        </w:r>
        <w:r w:rsidR="00B24949">
          <w:rPr>
            <w:noProof/>
            <w:webHidden/>
          </w:rPr>
        </w:r>
        <w:r w:rsidR="00B24949">
          <w:rPr>
            <w:noProof/>
            <w:webHidden/>
          </w:rPr>
          <w:fldChar w:fldCharType="separate"/>
        </w:r>
        <w:r w:rsidR="00E46327">
          <w:rPr>
            <w:noProof/>
            <w:webHidden/>
          </w:rPr>
          <w:t>6</w:t>
        </w:r>
        <w:r w:rsidR="00B24949">
          <w:rPr>
            <w:noProof/>
            <w:webHidden/>
          </w:rPr>
          <w:fldChar w:fldCharType="end"/>
        </w:r>
      </w:hyperlink>
    </w:p>
    <w:p w14:paraId="43F2DE56" w14:textId="5AF8AE58" w:rsidR="00B24949" w:rsidRDefault="00A039DD">
      <w:pPr>
        <w:pStyle w:val="TOC2"/>
        <w:rPr>
          <w:rFonts w:asciiTheme="minorHAnsi" w:eastAsiaTheme="minorEastAsia" w:hAnsiTheme="minorHAnsi" w:cstheme="minorBidi"/>
          <w:noProof/>
          <w:sz w:val="22"/>
          <w:lang w:val="en-US" w:eastAsia="en-US"/>
        </w:rPr>
      </w:pPr>
      <w:hyperlink w:anchor="_Toc95740747" w:history="1">
        <w:r w:rsidR="00B24949" w:rsidRPr="0048351D">
          <w:rPr>
            <w:rStyle w:val="Hyperlink"/>
            <w:noProof/>
          </w:rPr>
          <w:t>EU legislation</w:t>
        </w:r>
        <w:r w:rsidR="00B24949">
          <w:rPr>
            <w:noProof/>
            <w:webHidden/>
          </w:rPr>
          <w:tab/>
        </w:r>
        <w:r w:rsidR="00B24949">
          <w:rPr>
            <w:noProof/>
            <w:webHidden/>
          </w:rPr>
          <w:fldChar w:fldCharType="begin"/>
        </w:r>
        <w:r w:rsidR="00B24949">
          <w:rPr>
            <w:noProof/>
            <w:webHidden/>
          </w:rPr>
          <w:instrText xml:space="preserve"> PAGEREF _Toc95740747 \h </w:instrText>
        </w:r>
        <w:r w:rsidR="00B24949">
          <w:rPr>
            <w:noProof/>
            <w:webHidden/>
          </w:rPr>
        </w:r>
        <w:r w:rsidR="00B24949">
          <w:rPr>
            <w:noProof/>
            <w:webHidden/>
          </w:rPr>
          <w:fldChar w:fldCharType="separate"/>
        </w:r>
        <w:r w:rsidR="00E46327">
          <w:rPr>
            <w:noProof/>
            <w:webHidden/>
          </w:rPr>
          <w:t>6</w:t>
        </w:r>
        <w:r w:rsidR="00B24949">
          <w:rPr>
            <w:noProof/>
            <w:webHidden/>
          </w:rPr>
          <w:fldChar w:fldCharType="end"/>
        </w:r>
      </w:hyperlink>
    </w:p>
    <w:p w14:paraId="57485D50" w14:textId="2A03CA7C" w:rsidR="00B24949" w:rsidRDefault="00A039DD">
      <w:pPr>
        <w:pStyle w:val="TOC3"/>
        <w:rPr>
          <w:rFonts w:asciiTheme="minorHAnsi" w:eastAsiaTheme="minorEastAsia" w:hAnsiTheme="minorHAnsi" w:cstheme="minorBidi"/>
          <w:noProof/>
          <w:sz w:val="22"/>
          <w:lang w:val="en-US" w:eastAsia="en-US"/>
        </w:rPr>
      </w:pPr>
      <w:hyperlink w:anchor="_Toc95740748" w:history="1">
        <w:r w:rsidR="00B24949" w:rsidRPr="0048351D">
          <w:rPr>
            <w:rStyle w:val="Hyperlink"/>
            <w:noProof/>
          </w:rPr>
          <w:t>Anti-discrimination</w:t>
        </w:r>
        <w:r w:rsidR="00B24949">
          <w:rPr>
            <w:noProof/>
            <w:webHidden/>
          </w:rPr>
          <w:tab/>
        </w:r>
        <w:r w:rsidR="00B24949">
          <w:rPr>
            <w:noProof/>
            <w:webHidden/>
          </w:rPr>
          <w:fldChar w:fldCharType="begin"/>
        </w:r>
        <w:r w:rsidR="00B24949">
          <w:rPr>
            <w:noProof/>
            <w:webHidden/>
          </w:rPr>
          <w:instrText xml:space="preserve"> PAGEREF _Toc95740748 \h </w:instrText>
        </w:r>
        <w:r w:rsidR="00B24949">
          <w:rPr>
            <w:noProof/>
            <w:webHidden/>
          </w:rPr>
        </w:r>
        <w:r w:rsidR="00B24949">
          <w:rPr>
            <w:noProof/>
            <w:webHidden/>
          </w:rPr>
          <w:fldChar w:fldCharType="separate"/>
        </w:r>
        <w:r w:rsidR="00E46327">
          <w:rPr>
            <w:noProof/>
            <w:webHidden/>
          </w:rPr>
          <w:t>6</w:t>
        </w:r>
        <w:r w:rsidR="00B24949">
          <w:rPr>
            <w:noProof/>
            <w:webHidden/>
          </w:rPr>
          <w:fldChar w:fldCharType="end"/>
        </w:r>
      </w:hyperlink>
    </w:p>
    <w:p w14:paraId="0E309843" w14:textId="1A777AC6" w:rsidR="00B24949" w:rsidRDefault="00A039DD">
      <w:pPr>
        <w:pStyle w:val="TOC3"/>
        <w:rPr>
          <w:rFonts w:asciiTheme="minorHAnsi" w:eastAsiaTheme="minorEastAsia" w:hAnsiTheme="minorHAnsi" w:cstheme="minorBidi"/>
          <w:noProof/>
          <w:sz w:val="22"/>
          <w:lang w:val="en-US" w:eastAsia="en-US"/>
        </w:rPr>
      </w:pPr>
      <w:hyperlink w:anchor="_Toc95740749" w:history="1">
        <w:r w:rsidR="00B24949" w:rsidRPr="0048351D">
          <w:rPr>
            <w:rStyle w:val="Hyperlink"/>
            <w:noProof/>
          </w:rPr>
          <w:t>Hate speech and hate crime</w:t>
        </w:r>
        <w:r w:rsidR="00B24949">
          <w:rPr>
            <w:noProof/>
            <w:webHidden/>
          </w:rPr>
          <w:tab/>
        </w:r>
        <w:r w:rsidR="00B24949">
          <w:rPr>
            <w:noProof/>
            <w:webHidden/>
          </w:rPr>
          <w:fldChar w:fldCharType="begin"/>
        </w:r>
        <w:r w:rsidR="00B24949">
          <w:rPr>
            <w:noProof/>
            <w:webHidden/>
          </w:rPr>
          <w:instrText xml:space="preserve"> PAGEREF _Toc95740749 \h </w:instrText>
        </w:r>
        <w:r w:rsidR="00B24949">
          <w:rPr>
            <w:noProof/>
            <w:webHidden/>
          </w:rPr>
        </w:r>
        <w:r w:rsidR="00B24949">
          <w:rPr>
            <w:noProof/>
            <w:webHidden/>
          </w:rPr>
          <w:fldChar w:fldCharType="separate"/>
        </w:r>
        <w:r w:rsidR="00E46327">
          <w:rPr>
            <w:noProof/>
            <w:webHidden/>
          </w:rPr>
          <w:t>7</w:t>
        </w:r>
        <w:r w:rsidR="00B24949">
          <w:rPr>
            <w:noProof/>
            <w:webHidden/>
          </w:rPr>
          <w:fldChar w:fldCharType="end"/>
        </w:r>
      </w:hyperlink>
    </w:p>
    <w:p w14:paraId="794DFFC7" w14:textId="4A920561" w:rsidR="00B24949" w:rsidRDefault="00A039DD">
      <w:pPr>
        <w:pStyle w:val="TOC2"/>
        <w:rPr>
          <w:rFonts w:asciiTheme="minorHAnsi" w:eastAsiaTheme="minorEastAsia" w:hAnsiTheme="minorHAnsi" w:cstheme="minorBidi"/>
          <w:noProof/>
          <w:sz w:val="22"/>
          <w:lang w:val="en-US" w:eastAsia="en-US"/>
        </w:rPr>
      </w:pPr>
      <w:hyperlink w:anchor="_Toc95740750" w:history="1">
        <w:r w:rsidR="00B24949" w:rsidRPr="0048351D">
          <w:rPr>
            <w:rStyle w:val="Hyperlink"/>
            <w:noProof/>
          </w:rPr>
          <w:t>Equality bodies</w:t>
        </w:r>
        <w:r w:rsidR="00B24949">
          <w:rPr>
            <w:noProof/>
            <w:webHidden/>
          </w:rPr>
          <w:tab/>
        </w:r>
        <w:r w:rsidR="00B24949">
          <w:rPr>
            <w:noProof/>
            <w:webHidden/>
          </w:rPr>
          <w:fldChar w:fldCharType="begin"/>
        </w:r>
        <w:r w:rsidR="00B24949">
          <w:rPr>
            <w:noProof/>
            <w:webHidden/>
          </w:rPr>
          <w:instrText xml:space="preserve"> PAGEREF _Toc95740750 \h </w:instrText>
        </w:r>
        <w:r w:rsidR="00B24949">
          <w:rPr>
            <w:noProof/>
            <w:webHidden/>
          </w:rPr>
        </w:r>
        <w:r w:rsidR="00B24949">
          <w:rPr>
            <w:noProof/>
            <w:webHidden/>
          </w:rPr>
          <w:fldChar w:fldCharType="separate"/>
        </w:r>
        <w:r w:rsidR="00E46327">
          <w:rPr>
            <w:noProof/>
            <w:webHidden/>
          </w:rPr>
          <w:t>8</w:t>
        </w:r>
        <w:r w:rsidR="00B24949">
          <w:rPr>
            <w:noProof/>
            <w:webHidden/>
          </w:rPr>
          <w:fldChar w:fldCharType="end"/>
        </w:r>
      </w:hyperlink>
    </w:p>
    <w:p w14:paraId="405A7366" w14:textId="196ABC2F" w:rsidR="00B24949" w:rsidRDefault="00A039DD">
      <w:pPr>
        <w:pStyle w:val="TOC2"/>
        <w:rPr>
          <w:rFonts w:asciiTheme="minorHAnsi" w:eastAsiaTheme="minorEastAsia" w:hAnsiTheme="minorHAnsi" w:cstheme="minorBidi"/>
          <w:noProof/>
          <w:sz w:val="22"/>
          <w:lang w:val="en-US" w:eastAsia="en-US"/>
        </w:rPr>
      </w:pPr>
      <w:hyperlink w:anchor="_Toc95740751" w:history="1">
        <w:r w:rsidR="00B24949" w:rsidRPr="0048351D">
          <w:rPr>
            <w:rStyle w:val="Hyperlink"/>
            <w:noProof/>
          </w:rPr>
          <w:t>EU Strategies</w:t>
        </w:r>
        <w:r w:rsidR="00B24949">
          <w:rPr>
            <w:noProof/>
            <w:webHidden/>
          </w:rPr>
          <w:tab/>
        </w:r>
        <w:r w:rsidR="00B24949">
          <w:rPr>
            <w:noProof/>
            <w:webHidden/>
          </w:rPr>
          <w:fldChar w:fldCharType="begin"/>
        </w:r>
        <w:r w:rsidR="00B24949">
          <w:rPr>
            <w:noProof/>
            <w:webHidden/>
          </w:rPr>
          <w:instrText xml:space="preserve"> PAGEREF _Toc95740751 \h </w:instrText>
        </w:r>
        <w:r w:rsidR="00B24949">
          <w:rPr>
            <w:noProof/>
            <w:webHidden/>
          </w:rPr>
        </w:r>
        <w:r w:rsidR="00B24949">
          <w:rPr>
            <w:noProof/>
            <w:webHidden/>
          </w:rPr>
          <w:fldChar w:fldCharType="separate"/>
        </w:r>
        <w:r w:rsidR="00E46327">
          <w:rPr>
            <w:noProof/>
            <w:webHidden/>
          </w:rPr>
          <w:t>8</w:t>
        </w:r>
        <w:r w:rsidR="00B24949">
          <w:rPr>
            <w:noProof/>
            <w:webHidden/>
          </w:rPr>
          <w:fldChar w:fldCharType="end"/>
        </w:r>
      </w:hyperlink>
    </w:p>
    <w:p w14:paraId="6909DE81" w14:textId="652154A2" w:rsidR="00B24949" w:rsidRDefault="00A039DD">
      <w:pPr>
        <w:pStyle w:val="TOC1"/>
        <w:rPr>
          <w:rFonts w:asciiTheme="minorHAnsi" w:eastAsiaTheme="minorEastAsia" w:hAnsiTheme="minorHAnsi" w:cstheme="minorBidi"/>
          <w:noProof/>
          <w:sz w:val="22"/>
          <w:lang w:val="en-US" w:eastAsia="en-US"/>
        </w:rPr>
      </w:pPr>
      <w:hyperlink w:anchor="_Toc95740752" w:history="1">
        <w:r w:rsidR="00B24949" w:rsidRPr="0048351D">
          <w:rPr>
            <w:rStyle w:val="Hyperlink"/>
            <w:noProof/>
          </w:rPr>
          <w:t>Intersectional discrimination</w:t>
        </w:r>
        <w:r w:rsidR="00B24949">
          <w:rPr>
            <w:noProof/>
            <w:webHidden/>
          </w:rPr>
          <w:tab/>
        </w:r>
        <w:r w:rsidR="00B24949">
          <w:rPr>
            <w:noProof/>
            <w:webHidden/>
          </w:rPr>
          <w:fldChar w:fldCharType="begin"/>
        </w:r>
        <w:r w:rsidR="00B24949">
          <w:rPr>
            <w:noProof/>
            <w:webHidden/>
          </w:rPr>
          <w:instrText xml:space="preserve"> PAGEREF _Toc95740752 \h </w:instrText>
        </w:r>
        <w:r w:rsidR="00B24949">
          <w:rPr>
            <w:noProof/>
            <w:webHidden/>
          </w:rPr>
        </w:r>
        <w:r w:rsidR="00B24949">
          <w:rPr>
            <w:noProof/>
            <w:webHidden/>
          </w:rPr>
          <w:fldChar w:fldCharType="separate"/>
        </w:r>
        <w:r w:rsidR="00E46327">
          <w:rPr>
            <w:noProof/>
            <w:webHidden/>
          </w:rPr>
          <w:t>9</w:t>
        </w:r>
        <w:r w:rsidR="00B24949">
          <w:rPr>
            <w:noProof/>
            <w:webHidden/>
          </w:rPr>
          <w:fldChar w:fldCharType="end"/>
        </w:r>
      </w:hyperlink>
    </w:p>
    <w:p w14:paraId="3AA9DB85" w14:textId="2D0538C3" w:rsidR="00B24949" w:rsidRDefault="00A039DD">
      <w:pPr>
        <w:pStyle w:val="TOC2"/>
        <w:rPr>
          <w:rFonts w:asciiTheme="minorHAnsi" w:eastAsiaTheme="minorEastAsia" w:hAnsiTheme="minorHAnsi" w:cstheme="minorBidi"/>
          <w:noProof/>
          <w:sz w:val="22"/>
          <w:lang w:val="en-US" w:eastAsia="en-US"/>
        </w:rPr>
      </w:pPr>
      <w:hyperlink w:anchor="_Toc95740753" w:history="1">
        <w:r w:rsidR="00B24949" w:rsidRPr="0048351D">
          <w:rPr>
            <w:rStyle w:val="Hyperlink"/>
            <w:noProof/>
          </w:rPr>
          <w:t>Concept of intersectionality under EU law</w:t>
        </w:r>
        <w:r w:rsidR="00B24949">
          <w:rPr>
            <w:noProof/>
            <w:webHidden/>
          </w:rPr>
          <w:tab/>
        </w:r>
        <w:r w:rsidR="00B24949">
          <w:rPr>
            <w:noProof/>
            <w:webHidden/>
          </w:rPr>
          <w:fldChar w:fldCharType="begin"/>
        </w:r>
        <w:r w:rsidR="00B24949">
          <w:rPr>
            <w:noProof/>
            <w:webHidden/>
          </w:rPr>
          <w:instrText xml:space="preserve"> PAGEREF _Toc95740753 \h </w:instrText>
        </w:r>
        <w:r w:rsidR="00B24949">
          <w:rPr>
            <w:noProof/>
            <w:webHidden/>
          </w:rPr>
        </w:r>
        <w:r w:rsidR="00B24949">
          <w:rPr>
            <w:noProof/>
            <w:webHidden/>
          </w:rPr>
          <w:fldChar w:fldCharType="separate"/>
        </w:r>
        <w:r w:rsidR="00E46327">
          <w:rPr>
            <w:noProof/>
            <w:webHidden/>
          </w:rPr>
          <w:t>9</w:t>
        </w:r>
        <w:r w:rsidR="00B24949">
          <w:rPr>
            <w:noProof/>
            <w:webHidden/>
          </w:rPr>
          <w:fldChar w:fldCharType="end"/>
        </w:r>
      </w:hyperlink>
    </w:p>
    <w:p w14:paraId="2157634C" w14:textId="3061CB5B" w:rsidR="00B24949" w:rsidRDefault="00A039DD">
      <w:pPr>
        <w:pStyle w:val="TOC2"/>
        <w:rPr>
          <w:rFonts w:asciiTheme="minorHAnsi" w:eastAsiaTheme="minorEastAsia" w:hAnsiTheme="minorHAnsi" w:cstheme="minorBidi"/>
          <w:noProof/>
          <w:sz w:val="22"/>
          <w:lang w:val="en-US" w:eastAsia="en-US"/>
        </w:rPr>
      </w:pPr>
      <w:hyperlink w:anchor="_Toc95740754" w:history="1">
        <w:r w:rsidR="00B24949" w:rsidRPr="0048351D">
          <w:rPr>
            <w:rStyle w:val="Hyperlink"/>
            <w:noProof/>
          </w:rPr>
          <w:t>Issues faced by persons with disabilities with intersectional identities</w:t>
        </w:r>
        <w:r w:rsidR="00B24949">
          <w:rPr>
            <w:noProof/>
            <w:webHidden/>
          </w:rPr>
          <w:tab/>
        </w:r>
        <w:r w:rsidR="00B24949">
          <w:rPr>
            <w:noProof/>
            <w:webHidden/>
          </w:rPr>
          <w:fldChar w:fldCharType="begin"/>
        </w:r>
        <w:r w:rsidR="00B24949">
          <w:rPr>
            <w:noProof/>
            <w:webHidden/>
          </w:rPr>
          <w:instrText xml:space="preserve"> PAGEREF _Toc95740754 \h </w:instrText>
        </w:r>
        <w:r w:rsidR="00B24949">
          <w:rPr>
            <w:noProof/>
            <w:webHidden/>
          </w:rPr>
        </w:r>
        <w:r w:rsidR="00B24949">
          <w:rPr>
            <w:noProof/>
            <w:webHidden/>
          </w:rPr>
          <w:fldChar w:fldCharType="separate"/>
        </w:r>
        <w:r w:rsidR="00E46327">
          <w:rPr>
            <w:noProof/>
            <w:webHidden/>
          </w:rPr>
          <w:t>10</w:t>
        </w:r>
        <w:r w:rsidR="00B24949">
          <w:rPr>
            <w:noProof/>
            <w:webHidden/>
          </w:rPr>
          <w:fldChar w:fldCharType="end"/>
        </w:r>
      </w:hyperlink>
    </w:p>
    <w:p w14:paraId="30891641" w14:textId="02BBE7D3" w:rsidR="00B24949" w:rsidRDefault="00A039DD">
      <w:pPr>
        <w:pStyle w:val="TOC3"/>
        <w:rPr>
          <w:rFonts w:asciiTheme="minorHAnsi" w:eastAsiaTheme="minorEastAsia" w:hAnsiTheme="minorHAnsi" w:cstheme="minorBidi"/>
          <w:noProof/>
          <w:sz w:val="22"/>
          <w:lang w:val="en-US" w:eastAsia="en-US"/>
        </w:rPr>
      </w:pPr>
      <w:hyperlink w:anchor="_Toc95740755" w:history="1">
        <w:r w:rsidR="00B24949" w:rsidRPr="0048351D">
          <w:rPr>
            <w:rStyle w:val="Hyperlink"/>
            <w:noProof/>
          </w:rPr>
          <w:t>Children and young persons with disabilities</w:t>
        </w:r>
        <w:r w:rsidR="00B24949">
          <w:rPr>
            <w:noProof/>
            <w:webHidden/>
          </w:rPr>
          <w:tab/>
        </w:r>
        <w:r w:rsidR="00B24949">
          <w:rPr>
            <w:noProof/>
            <w:webHidden/>
          </w:rPr>
          <w:fldChar w:fldCharType="begin"/>
        </w:r>
        <w:r w:rsidR="00B24949">
          <w:rPr>
            <w:noProof/>
            <w:webHidden/>
          </w:rPr>
          <w:instrText xml:space="preserve"> PAGEREF _Toc95740755 \h </w:instrText>
        </w:r>
        <w:r w:rsidR="00B24949">
          <w:rPr>
            <w:noProof/>
            <w:webHidden/>
          </w:rPr>
        </w:r>
        <w:r w:rsidR="00B24949">
          <w:rPr>
            <w:noProof/>
            <w:webHidden/>
          </w:rPr>
          <w:fldChar w:fldCharType="separate"/>
        </w:r>
        <w:r w:rsidR="00E46327">
          <w:rPr>
            <w:noProof/>
            <w:webHidden/>
          </w:rPr>
          <w:t>10</w:t>
        </w:r>
        <w:r w:rsidR="00B24949">
          <w:rPr>
            <w:noProof/>
            <w:webHidden/>
          </w:rPr>
          <w:fldChar w:fldCharType="end"/>
        </w:r>
      </w:hyperlink>
    </w:p>
    <w:p w14:paraId="16278592" w14:textId="43A7CC7A" w:rsidR="00B24949" w:rsidRDefault="00A039DD">
      <w:pPr>
        <w:pStyle w:val="TOC3"/>
        <w:rPr>
          <w:rFonts w:asciiTheme="minorHAnsi" w:eastAsiaTheme="minorEastAsia" w:hAnsiTheme="minorHAnsi" w:cstheme="minorBidi"/>
          <w:noProof/>
          <w:sz w:val="22"/>
          <w:lang w:val="en-US" w:eastAsia="en-US"/>
        </w:rPr>
      </w:pPr>
      <w:hyperlink w:anchor="_Toc95740756" w:history="1">
        <w:r w:rsidR="00B24949" w:rsidRPr="0048351D">
          <w:rPr>
            <w:rStyle w:val="Hyperlink"/>
            <w:noProof/>
          </w:rPr>
          <w:t>Girls and women with disabilities</w:t>
        </w:r>
        <w:r w:rsidR="00B24949">
          <w:rPr>
            <w:noProof/>
            <w:webHidden/>
          </w:rPr>
          <w:tab/>
        </w:r>
        <w:r w:rsidR="00B24949">
          <w:rPr>
            <w:noProof/>
            <w:webHidden/>
          </w:rPr>
          <w:fldChar w:fldCharType="begin"/>
        </w:r>
        <w:r w:rsidR="00B24949">
          <w:rPr>
            <w:noProof/>
            <w:webHidden/>
          </w:rPr>
          <w:instrText xml:space="preserve"> PAGEREF _Toc95740756 \h </w:instrText>
        </w:r>
        <w:r w:rsidR="00B24949">
          <w:rPr>
            <w:noProof/>
            <w:webHidden/>
          </w:rPr>
        </w:r>
        <w:r w:rsidR="00B24949">
          <w:rPr>
            <w:noProof/>
            <w:webHidden/>
          </w:rPr>
          <w:fldChar w:fldCharType="separate"/>
        </w:r>
        <w:r w:rsidR="00E46327">
          <w:rPr>
            <w:noProof/>
            <w:webHidden/>
          </w:rPr>
          <w:t>13</w:t>
        </w:r>
        <w:r w:rsidR="00B24949">
          <w:rPr>
            <w:noProof/>
            <w:webHidden/>
          </w:rPr>
          <w:fldChar w:fldCharType="end"/>
        </w:r>
      </w:hyperlink>
    </w:p>
    <w:p w14:paraId="053BF03C" w14:textId="48E07B88" w:rsidR="00B24949" w:rsidRDefault="00A039DD">
      <w:pPr>
        <w:pStyle w:val="TOC3"/>
        <w:rPr>
          <w:rFonts w:asciiTheme="minorHAnsi" w:eastAsiaTheme="minorEastAsia" w:hAnsiTheme="minorHAnsi" w:cstheme="minorBidi"/>
          <w:noProof/>
          <w:sz w:val="22"/>
          <w:lang w:val="en-US" w:eastAsia="en-US"/>
        </w:rPr>
      </w:pPr>
      <w:hyperlink w:anchor="_Toc95740757" w:history="1">
        <w:r w:rsidR="00B24949" w:rsidRPr="0048351D">
          <w:rPr>
            <w:rStyle w:val="Hyperlink"/>
            <w:noProof/>
          </w:rPr>
          <w:t>Lesbian, Gay, Bisexual, Trans, Intersex and Queer persons with disabilities</w:t>
        </w:r>
        <w:r w:rsidR="00B24949">
          <w:rPr>
            <w:noProof/>
            <w:webHidden/>
          </w:rPr>
          <w:tab/>
        </w:r>
        <w:r w:rsidR="00B24949">
          <w:rPr>
            <w:noProof/>
            <w:webHidden/>
          </w:rPr>
          <w:fldChar w:fldCharType="begin"/>
        </w:r>
        <w:r w:rsidR="00B24949">
          <w:rPr>
            <w:noProof/>
            <w:webHidden/>
          </w:rPr>
          <w:instrText xml:space="preserve"> PAGEREF _Toc95740757 \h </w:instrText>
        </w:r>
        <w:r w:rsidR="00B24949">
          <w:rPr>
            <w:noProof/>
            <w:webHidden/>
          </w:rPr>
        </w:r>
        <w:r w:rsidR="00B24949">
          <w:rPr>
            <w:noProof/>
            <w:webHidden/>
          </w:rPr>
          <w:fldChar w:fldCharType="separate"/>
        </w:r>
        <w:r w:rsidR="00E46327">
          <w:rPr>
            <w:noProof/>
            <w:webHidden/>
          </w:rPr>
          <w:t>14</w:t>
        </w:r>
        <w:r w:rsidR="00B24949">
          <w:rPr>
            <w:noProof/>
            <w:webHidden/>
          </w:rPr>
          <w:fldChar w:fldCharType="end"/>
        </w:r>
      </w:hyperlink>
    </w:p>
    <w:p w14:paraId="677BD821" w14:textId="1DB7FC07" w:rsidR="00B24949" w:rsidRDefault="00A039DD">
      <w:pPr>
        <w:pStyle w:val="TOC3"/>
        <w:rPr>
          <w:rFonts w:asciiTheme="minorHAnsi" w:eastAsiaTheme="minorEastAsia" w:hAnsiTheme="minorHAnsi" w:cstheme="minorBidi"/>
          <w:noProof/>
          <w:sz w:val="22"/>
          <w:lang w:val="en-US" w:eastAsia="en-US"/>
        </w:rPr>
      </w:pPr>
      <w:hyperlink w:anchor="_Toc95740758" w:history="1">
        <w:r w:rsidR="00B24949" w:rsidRPr="0048351D">
          <w:rPr>
            <w:rStyle w:val="Hyperlink"/>
            <w:noProof/>
          </w:rPr>
          <w:t>Older persons with disabilities</w:t>
        </w:r>
        <w:r w:rsidR="00B24949">
          <w:rPr>
            <w:noProof/>
            <w:webHidden/>
          </w:rPr>
          <w:tab/>
        </w:r>
        <w:r w:rsidR="00B24949">
          <w:rPr>
            <w:noProof/>
            <w:webHidden/>
          </w:rPr>
          <w:fldChar w:fldCharType="begin"/>
        </w:r>
        <w:r w:rsidR="00B24949">
          <w:rPr>
            <w:noProof/>
            <w:webHidden/>
          </w:rPr>
          <w:instrText xml:space="preserve"> PAGEREF _Toc95740758 \h </w:instrText>
        </w:r>
        <w:r w:rsidR="00B24949">
          <w:rPr>
            <w:noProof/>
            <w:webHidden/>
          </w:rPr>
        </w:r>
        <w:r w:rsidR="00B24949">
          <w:rPr>
            <w:noProof/>
            <w:webHidden/>
          </w:rPr>
          <w:fldChar w:fldCharType="separate"/>
        </w:r>
        <w:r w:rsidR="00E46327">
          <w:rPr>
            <w:noProof/>
            <w:webHidden/>
          </w:rPr>
          <w:t>15</w:t>
        </w:r>
        <w:r w:rsidR="00B24949">
          <w:rPr>
            <w:noProof/>
            <w:webHidden/>
          </w:rPr>
          <w:fldChar w:fldCharType="end"/>
        </w:r>
      </w:hyperlink>
    </w:p>
    <w:p w14:paraId="151F5BE2" w14:textId="2777B437" w:rsidR="00B24949" w:rsidRDefault="00A039DD">
      <w:pPr>
        <w:pStyle w:val="TOC3"/>
        <w:rPr>
          <w:rFonts w:asciiTheme="minorHAnsi" w:eastAsiaTheme="minorEastAsia" w:hAnsiTheme="minorHAnsi" w:cstheme="minorBidi"/>
          <w:noProof/>
          <w:sz w:val="22"/>
          <w:lang w:val="en-US" w:eastAsia="en-US"/>
        </w:rPr>
      </w:pPr>
      <w:hyperlink w:anchor="_Toc95740759" w:history="1">
        <w:r w:rsidR="00B24949" w:rsidRPr="0048351D">
          <w:rPr>
            <w:rStyle w:val="Hyperlink"/>
            <w:noProof/>
          </w:rPr>
          <w:t>Racialised persons with disabilities</w:t>
        </w:r>
        <w:r w:rsidR="00B24949">
          <w:rPr>
            <w:noProof/>
            <w:webHidden/>
          </w:rPr>
          <w:tab/>
        </w:r>
        <w:r w:rsidR="00B24949">
          <w:rPr>
            <w:noProof/>
            <w:webHidden/>
          </w:rPr>
          <w:fldChar w:fldCharType="begin"/>
        </w:r>
        <w:r w:rsidR="00B24949">
          <w:rPr>
            <w:noProof/>
            <w:webHidden/>
          </w:rPr>
          <w:instrText xml:space="preserve"> PAGEREF _Toc95740759 \h </w:instrText>
        </w:r>
        <w:r w:rsidR="00B24949">
          <w:rPr>
            <w:noProof/>
            <w:webHidden/>
          </w:rPr>
        </w:r>
        <w:r w:rsidR="00B24949">
          <w:rPr>
            <w:noProof/>
            <w:webHidden/>
          </w:rPr>
          <w:fldChar w:fldCharType="separate"/>
        </w:r>
        <w:r w:rsidR="00E46327">
          <w:rPr>
            <w:noProof/>
            <w:webHidden/>
          </w:rPr>
          <w:t>17</w:t>
        </w:r>
        <w:r w:rsidR="00B24949">
          <w:rPr>
            <w:noProof/>
            <w:webHidden/>
          </w:rPr>
          <w:fldChar w:fldCharType="end"/>
        </w:r>
      </w:hyperlink>
    </w:p>
    <w:p w14:paraId="6F14A42C" w14:textId="39AD5528" w:rsidR="00B24949" w:rsidRDefault="00A039DD">
      <w:pPr>
        <w:pStyle w:val="TOC4"/>
        <w:tabs>
          <w:tab w:val="right" w:leader="dot" w:pos="9019"/>
        </w:tabs>
        <w:rPr>
          <w:rFonts w:asciiTheme="minorHAnsi" w:eastAsiaTheme="minorEastAsia" w:hAnsiTheme="minorHAnsi" w:cstheme="minorBidi"/>
          <w:noProof/>
          <w:sz w:val="22"/>
          <w:lang w:val="en-US" w:eastAsia="en-US"/>
        </w:rPr>
      </w:pPr>
      <w:hyperlink w:anchor="_Toc95740760" w:history="1">
        <w:r w:rsidR="00B24949" w:rsidRPr="0048351D">
          <w:rPr>
            <w:rStyle w:val="Hyperlink"/>
            <w:noProof/>
            <w:lang w:val="en-GB"/>
          </w:rPr>
          <w:t>Roma with disabilities</w:t>
        </w:r>
        <w:r w:rsidR="00B24949">
          <w:rPr>
            <w:noProof/>
            <w:webHidden/>
          </w:rPr>
          <w:tab/>
        </w:r>
        <w:r w:rsidR="00B24949">
          <w:rPr>
            <w:noProof/>
            <w:webHidden/>
          </w:rPr>
          <w:fldChar w:fldCharType="begin"/>
        </w:r>
        <w:r w:rsidR="00B24949">
          <w:rPr>
            <w:noProof/>
            <w:webHidden/>
          </w:rPr>
          <w:instrText xml:space="preserve"> PAGEREF _Toc95740760 \h </w:instrText>
        </w:r>
        <w:r w:rsidR="00B24949">
          <w:rPr>
            <w:noProof/>
            <w:webHidden/>
          </w:rPr>
        </w:r>
        <w:r w:rsidR="00B24949">
          <w:rPr>
            <w:noProof/>
            <w:webHidden/>
          </w:rPr>
          <w:fldChar w:fldCharType="separate"/>
        </w:r>
        <w:r w:rsidR="00E46327">
          <w:rPr>
            <w:noProof/>
            <w:webHidden/>
          </w:rPr>
          <w:t>19</w:t>
        </w:r>
        <w:r w:rsidR="00B24949">
          <w:rPr>
            <w:noProof/>
            <w:webHidden/>
          </w:rPr>
          <w:fldChar w:fldCharType="end"/>
        </w:r>
      </w:hyperlink>
    </w:p>
    <w:p w14:paraId="05EB193C" w14:textId="65726A7F" w:rsidR="00B24949" w:rsidRDefault="00A039DD">
      <w:pPr>
        <w:pStyle w:val="TOC1"/>
        <w:rPr>
          <w:rFonts w:asciiTheme="minorHAnsi" w:eastAsiaTheme="minorEastAsia" w:hAnsiTheme="minorHAnsi" w:cstheme="minorBidi"/>
          <w:noProof/>
          <w:sz w:val="22"/>
          <w:lang w:val="en-US" w:eastAsia="en-US"/>
        </w:rPr>
      </w:pPr>
      <w:hyperlink w:anchor="_Toc95740761" w:history="1">
        <w:r w:rsidR="00B24949" w:rsidRPr="0048351D">
          <w:rPr>
            <w:rStyle w:val="Hyperlink"/>
            <w:noProof/>
          </w:rPr>
          <w:t>Resources</w:t>
        </w:r>
        <w:r w:rsidR="00B24949">
          <w:rPr>
            <w:noProof/>
            <w:webHidden/>
          </w:rPr>
          <w:tab/>
        </w:r>
        <w:r w:rsidR="00B24949">
          <w:rPr>
            <w:noProof/>
            <w:webHidden/>
          </w:rPr>
          <w:fldChar w:fldCharType="begin"/>
        </w:r>
        <w:r w:rsidR="00B24949">
          <w:rPr>
            <w:noProof/>
            <w:webHidden/>
          </w:rPr>
          <w:instrText xml:space="preserve"> PAGEREF _Toc95740761 \h </w:instrText>
        </w:r>
        <w:r w:rsidR="00B24949">
          <w:rPr>
            <w:noProof/>
            <w:webHidden/>
          </w:rPr>
        </w:r>
        <w:r w:rsidR="00B24949">
          <w:rPr>
            <w:noProof/>
            <w:webHidden/>
          </w:rPr>
          <w:fldChar w:fldCharType="separate"/>
        </w:r>
        <w:r w:rsidR="00E46327">
          <w:rPr>
            <w:noProof/>
            <w:webHidden/>
          </w:rPr>
          <w:t>21</w:t>
        </w:r>
        <w:r w:rsidR="00B24949">
          <w:rPr>
            <w:noProof/>
            <w:webHidden/>
          </w:rPr>
          <w:fldChar w:fldCharType="end"/>
        </w:r>
      </w:hyperlink>
    </w:p>
    <w:p w14:paraId="31F626CC" w14:textId="2733BFFB" w:rsidR="00E57263" w:rsidRPr="00B24949" w:rsidRDefault="00644D6E" w:rsidP="00E57263">
      <w:pPr>
        <w:rPr>
          <w:rFonts w:ascii="Verdana Pro Cond" w:hAnsi="Verdana Pro Cond"/>
          <w:lang w:val="en-GB"/>
        </w:rPr>
        <w:sectPr w:rsidR="00E57263" w:rsidRPr="00B24949">
          <w:footerReference w:type="default" r:id="rId35"/>
          <w:pgSz w:w="11909" w:h="16834"/>
          <w:pgMar w:top="1440" w:right="1440" w:bottom="1440" w:left="1440" w:header="720" w:footer="720" w:gutter="0"/>
          <w:pgNumType w:start="1"/>
          <w:cols w:space="720"/>
        </w:sectPr>
      </w:pPr>
      <w:r w:rsidRPr="00B24949">
        <w:rPr>
          <w:rFonts w:ascii="Verdana Pro Cond" w:hAnsi="Verdana Pro Cond"/>
          <w:lang w:val="en-GB"/>
        </w:rPr>
        <w:fldChar w:fldCharType="end"/>
      </w:r>
    </w:p>
    <w:p w14:paraId="0000000D" w14:textId="14718C18" w:rsidR="0039603C" w:rsidRPr="00A47B62" w:rsidRDefault="00CF67B9" w:rsidP="00FF3597">
      <w:pPr>
        <w:pStyle w:val="Heading2"/>
        <w:spacing w:before="0"/>
      </w:pPr>
      <w:bookmarkStart w:id="5" w:name="_Toc95152635"/>
      <w:bookmarkStart w:id="6" w:name="_Toc95152742"/>
      <w:bookmarkStart w:id="7" w:name="_Toc95740745"/>
      <w:r w:rsidRPr="00A47B62">
        <w:lastRenderedPageBreak/>
        <w:t>Summary</w:t>
      </w:r>
      <w:bookmarkEnd w:id="5"/>
      <w:bookmarkEnd w:id="6"/>
      <w:bookmarkEnd w:id="7"/>
      <w:r w:rsidRPr="00A47B62">
        <w:t xml:space="preserve"> </w:t>
      </w:r>
    </w:p>
    <w:p w14:paraId="282C36A9" w14:textId="55F45CB8" w:rsidR="00B757FA" w:rsidRPr="00774DE0" w:rsidRDefault="00B757FA" w:rsidP="00B757FA">
      <w:pPr>
        <w:spacing w:after="120"/>
        <w:rPr>
          <w:szCs w:val="24"/>
          <w:lang w:val="en-GB"/>
        </w:rPr>
      </w:pPr>
      <w:r w:rsidRPr="00774DE0">
        <w:rPr>
          <w:szCs w:val="24"/>
          <w:lang w:val="en-GB"/>
        </w:rPr>
        <w:t xml:space="preserve">The endorsing organisations are </w:t>
      </w:r>
      <w:r w:rsidR="002433B2" w:rsidRPr="00774DE0">
        <w:rPr>
          <w:szCs w:val="24"/>
          <w:lang w:val="en-GB"/>
        </w:rPr>
        <w:t>alarmed</w:t>
      </w:r>
      <w:r w:rsidRPr="00774DE0">
        <w:rPr>
          <w:szCs w:val="24"/>
          <w:lang w:val="en-GB"/>
        </w:rPr>
        <w:t xml:space="preserve"> by the rate of discrimination faced by persons with disabilities in all their diversity</w:t>
      </w:r>
      <w:r w:rsidR="002433B2" w:rsidRPr="00774DE0">
        <w:rPr>
          <w:szCs w:val="24"/>
          <w:lang w:val="en-GB"/>
        </w:rPr>
        <w:t xml:space="preserve"> in Europe</w:t>
      </w:r>
      <w:r w:rsidRPr="00774DE0">
        <w:rPr>
          <w:szCs w:val="24"/>
          <w:lang w:val="en-GB"/>
        </w:rPr>
        <w:t xml:space="preserve">. The EU has not taken enough measures to address equality and non-discrimination in its legislation and policies, and in particular to address intersectional and multiple forms of discrimination. </w:t>
      </w:r>
    </w:p>
    <w:p w14:paraId="1EC92F7A" w14:textId="6586DC6C" w:rsidR="00B757FA" w:rsidRPr="00774DE0" w:rsidRDefault="00B757FA" w:rsidP="00A71F8F">
      <w:pPr>
        <w:spacing w:after="120"/>
        <w:rPr>
          <w:szCs w:val="24"/>
          <w:lang w:val="en-GB"/>
        </w:rPr>
      </w:pPr>
      <w:r w:rsidRPr="00774DE0">
        <w:rPr>
          <w:szCs w:val="24"/>
          <w:lang w:val="en-GB"/>
        </w:rPr>
        <w:t xml:space="preserve">In particular, the EU </w:t>
      </w:r>
      <w:r w:rsidR="00AC662D" w:rsidRPr="00774DE0">
        <w:rPr>
          <w:szCs w:val="24"/>
          <w:lang w:val="en-GB"/>
        </w:rPr>
        <w:t>is yet</w:t>
      </w:r>
      <w:r w:rsidRPr="00774DE0">
        <w:rPr>
          <w:szCs w:val="24"/>
          <w:lang w:val="en-GB"/>
        </w:rPr>
        <w:t xml:space="preserve"> to: </w:t>
      </w:r>
    </w:p>
    <w:p w14:paraId="2E21F544" w14:textId="41C83B19" w:rsidR="00B757FA" w:rsidRPr="00774DE0" w:rsidRDefault="00B757FA" w:rsidP="00A71F8F">
      <w:pPr>
        <w:pStyle w:val="ListParagraph"/>
        <w:numPr>
          <w:ilvl w:val="0"/>
          <w:numId w:val="16"/>
        </w:numPr>
        <w:spacing w:after="120"/>
        <w:contextualSpacing w:val="0"/>
        <w:rPr>
          <w:szCs w:val="24"/>
          <w:lang w:val="en-GB"/>
        </w:rPr>
      </w:pPr>
      <w:r w:rsidRPr="00774DE0">
        <w:rPr>
          <w:szCs w:val="24"/>
          <w:lang w:val="en-GB"/>
        </w:rPr>
        <w:t xml:space="preserve">Adopt legislation and policies to prevent and combat discrimination on all grounds and in all areas of life </w:t>
      </w:r>
    </w:p>
    <w:p w14:paraId="398FFF74" w14:textId="70A8585B" w:rsidR="00B757FA" w:rsidRPr="00774DE0" w:rsidRDefault="00B757FA" w:rsidP="00A71F8F">
      <w:pPr>
        <w:pStyle w:val="ListParagraph"/>
        <w:numPr>
          <w:ilvl w:val="0"/>
          <w:numId w:val="16"/>
        </w:numPr>
        <w:spacing w:after="120"/>
        <w:contextualSpacing w:val="0"/>
        <w:rPr>
          <w:szCs w:val="24"/>
          <w:lang w:val="en-GB"/>
        </w:rPr>
      </w:pPr>
      <w:r w:rsidRPr="00774DE0">
        <w:rPr>
          <w:szCs w:val="24"/>
          <w:lang w:val="en-GB"/>
        </w:rPr>
        <w:t xml:space="preserve">Adopt legislation and policies to prevent and combat hate speech and hate crime, including based on disability and other grounds </w:t>
      </w:r>
    </w:p>
    <w:p w14:paraId="044CF83F" w14:textId="01C318D1" w:rsidR="00B757FA" w:rsidRPr="00774DE0" w:rsidRDefault="00AC662D" w:rsidP="00A71F8F">
      <w:pPr>
        <w:pStyle w:val="ListParagraph"/>
        <w:numPr>
          <w:ilvl w:val="0"/>
          <w:numId w:val="16"/>
        </w:numPr>
        <w:spacing w:after="120"/>
        <w:contextualSpacing w:val="0"/>
        <w:rPr>
          <w:szCs w:val="24"/>
          <w:lang w:val="en-GB"/>
        </w:rPr>
      </w:pPr>
      <w:r w:rsidRPr="00774DE0">
        <w:rPr>
          <w:szCs w:val="24"/>
          <w:lang w:val="en-GB"/>
        </w:rPr>
        <w:t>Ensure that Equality Bodies are protected by standards that among others, h</w:t>
      </w:r>
      <w:r w:rsidR="00B757FA" w:rsidRPr="00774DE0">
        <w:rPr>
          <w:szCs w:val="24"/>
          <w:lang w:val="en-GB"/>
        </w:rPr>
        <w:t xml:space="preserve">armonise the mandate of equality bodies so that they can adequately and efficiently combat disability-based discrimination and support victims of unequal treatment </w:t>
      </w:r>
    </w:p>
    <w:p w14:paraId="08927881" w14:textId="7C306CBA" w:rsidR="00B757FA" w:rsidRPr="00774DE0" w:rsidRDefault="00A71F8F" w:rsidP="00A71F8F">
      <w:pPr>
        <w:pStyle w:val="ListParagraph"/>
        <w:numPr>
          <w:ilvl w:val="0"/>
          <w:numId w:val="16"/>
        </w:numPr>
        <w:spacing w:after="120"/>
        <w:contextualSpacing w:val="0"/>
        <w:rPr>
          <w:szCs w:val="24"/>
          <w:lang w:val="en-GB"/>
        </w:rPr>
      </w:pPr>
      <w:r w:rsidRPr="00774DE0">
        <w:rPr>
          <w:szCs w:val="24"/>
          <w:lang w:val="en-GB"/>
        </w:rPr>
        <w:t xml:space="preserve">Adopt intersectional policies and targeted measures against intersectional discrimination </w:t>
      </w:r>
    </w:p>
    <w:p w14:paraId="68C81879" w14:textId="002FBD4B" w:rsidR="003220E4" w:rsidRPr="00774DE0" w:rsidRDefault="003220E4" w:rsidP="003220E4">
      <w:pPr>
        <w:spacing w:after="120"/>
        <w:rPr>
          <w:b/>
          <w:bCs/>
          <w:szCs w:val="24"/>
          <w:lang w:val="en-GB"/>
        </w:rPr>
      </w:pPr>
      <w:r w:rsidRPr="00774DE0">
        <w:rPr>
          <w:b/>
          <w:bCs/>
          <w:szCs w:val="24"/>
          <w:lang w:val="en-GB"/>
        </w:rPr>
        <w:t xml:space="preserve">The sub-mentioned organisations recommend that the CRPD Committee request information on those </w:t>
      </w:r>
      <w:r w:rsidR="007F1C92" w:rsidRPr="00774DE0">
        <w:rPr>
          <w:b/>
          <w:bCs/>
          <w:szCs w:val="24"/>
          <w:lang w:val="en-GB"/>
        </w:rPr>
        <w:t>issues and</w:t>
      </w:r>
      <w:r w:rsidRPr="00774DE0">
        <w:rPr>
          <w:b/>
          <w:bCs/>
          <w:szCs w:val="24"/>
          <w:lang w:val="en-GB"/>
        </w:rPr>
        <w:t xml:space="preserve"> pay particular attention to the diversity of persons with disabilities in its List of issues prior to report and Concluding observations.</w:t>
      </w:r>
    </w:p>
    <w:p w14:paraId="5D9E252F" w14:textId="77777777" w:rsidR="00FF3597" w:rsidRDefault="00FF3597">
      <w:pPr>
        <w:rPr>
          <w:rFonts w:ascii="Verdana Pro SemiBold" w:hAnsi="Verdana Pro SemiBold"/>
          <w:color w:val="002060"/>
          <w:sz w:val="36"/>
          <w:szCs w:val="32"/>
          <w:lang w:val="en-GB"/>
        </w:rPr>
      </w:pPr>
      <w:bookmarkStart w:id="8" w:name="_ok88mk37zfdx" w:colFirst="0" w:colLast="0"/>
      <w:bookmarkStart w:id="9" w:name="_Toc95152636"/>
      <w:bookmarkStart w:id="10" w:name="_Toc95152743"/>
      <w:bookmarkEnd w:id="8"/>
      <w:r w:rsidRPr="00D7194B">
        <w:rPr>
          <w:lang w:val="en-GB"/>
        </w:rPr>
        <w:br w:type="page"/>
      </w:r>
    </w:p>
    <w:p w14:paraId="0000000F" w14:textId="11A0B721" w:rsidR="0039603C" w:rsidRPr="00774DE0" w:rsidRDefault="00CF67B9" w:rsidP="00A47B62">
      <w:pPr>
        <w:pStyle w:val="Heading2"/>
      </w:pPr>
      <w:bookmarkStart w:id="11" w:name="_Toc95740746"/>
      <w:r w:rsidRPr="00774DE0">
        <w:lastRenderedPageBreak/>
        <w:t xml:space="preserve">Equality and </w:t>
      </w:r>
      <w:r w:rsidR="00A42FD5" w:rsidRPr="00774DE0">
        <w:t>non-discrimination</w:t>
      </w:r>
      <w:r w:rsidRPr="00774DE0">
        <w:t xml:space="preserve"> (art. 5 CRPD)</w:t>
      </w:r>
      <w:bookmarkEnd w:id="9"/>
      <w:bookmarkEnd w:id="10"/>
      <w:bookmarkEnd w:id="11"/>
      <w:r w:rsidRPr="00774DE0">
        <w:t xml:space="preserve"> </w:t>
      </w:r>
    </w:p>
    <w:p w14:paraId="00000010" w14:textId="7452E617" w:rsidR="007C7FBF" w:rsidRPr="00774DE0" w:rsidRDefault="00CF67B9">
      <w:pPr>
        <w:spacing w:before="240" w:after="280"/>
        <w:rPr>
          <w:szCs w:val="24"/>
          <w:lang w:val="en-GB"/>
        </w:rPr>
      </w:pPr>
      <w:r w:rsidRPr="00774DE0">
        <w:rPr>
          <w:szCs w:val="24"/>
          <w:lang w:val="en-GB"/>
        </w:rPr>
        <w:t>Persons with disabilities living in the European Union continue to face discrimination, including denial of reasonable accommodation, harassment</w:t>
      </w:r>
      <w:r w:rsidR="007C7FBF" w:rsidRPr="00774DE0">
        <w:rPr>
          <w:szCs w:val="24"/>
          <w:vertAlign w:val="superscript"/>
          <w:lang w:val="en-GB"/>
        </w:rPr>
        <w:footnoteReference w:id="2"/>
      </w:r>
      <w:r w:rsidR="007C7FBF" w:rsidRPr="00774DE0">
        <w:rPr>
          <w:szCs w:val="24"/>
          <w:lang w:val="en-GB"/>
        </w:rPr>
        <w:t xml:space="preserve"> and multiple and intersectional forms of discrimination in all areas of their lives.</w:t>
      </w:r>
    </w:p>
    <w:p w14:paraId="2B51F4B8" w14:textId="1E9A91E4" w:rsidR="00232E27" w:rsidRPr="00C252FB" w:rsidRDefault="00232E27" w:rsidP="00FF3597">
      <w:pPr>
        <w:pStyle w:val="Heading3"/>
      </w:pPr>
      <w:bookmarkStart w:id="12" w:name="_Toc95152637"/>
      <w:bookmarkStart w:id="13" w:name="_Toc95152744"/>
      <w:bookmarkStart w:id="14" w:name="_Toc95740747"/>
      <w:r w:rsidRPr="00C252FB">
        <w:t>EU legislation</w:t>
      </w:r>
      <w:bookmarkEnd w:id="12"/>
      <w:bookmarkEnd w:id="13"/>
      <w:bookmarkEnd w:id="14"/>
      <w:r w:rsidRPr="00C252FB">
        <w:t xml:space="preserve"> </w:t>
      </w:r>
    </w:p>
    <w:p w14:paraId="72DB3B93" w14:textId="0D5D7578" w:rsidR="00065A36" w:rsidRPr="00C252FB" w:rsidRDefault="00065A36" w:rsidP="00C252FB">
      <w:pPr>
        <w:pStyle w:val="Heading4"/>
      </w:pPr>
      <w:bookmarkStart w:id="15" w:name="_Toc95152638"/>
      <w:bookmarkStart w:id="16" w:name="_Toc95152745"/>
      <w:bookmarkStart w:id="17" w:name="_Toc95740748"/>
      <w:r w:rsidRPr="00C252FB">
        <w:t>Anti-discrimination</w:t>
      </w:r>
      <w:bookmarkEnd w:id="15"/>
      <w:bookmarkEnd w:id="16"/>
      <w:bookmarkEnd w:id="17"/>
      <w:r w:rsidRPr="00C252FB">
        <w:t xml:space="preserve"> </w:t>
      </w:r>
    </w:p>
    <w:p w14:paraId="00000011" w14:textId="146C68A9" w:rsidR="007C7FBF" w:rsidRPr="00774DE0" w:rsidRDefault="007C7FBF">
      <w:pPr>
        <w:spacing w:before="240" w:after="280"/>
        <w:rPr>
          <w:szCs w:val="24"/>
          <w:lang w:val="en-GB"/>
        </w:rPr>
      </w:pPr>
      <w:r w:rsidRPr="00774DE0">
        <w:rPr>
          <w:szCs w:val="24"/>
          <w:lang w:val="en-GB"/>
        </w:rPr>
        <w:t xml:space="preserve">Under EU law, persons with disabilities are </w:t>
      </w:r>
      <w:r w:rsidRPr="00774DE0">
        <w:rPr>
          <w:b/>
          <w:szCs w:val="24"/>
          <w:lang w:val="en-GB"/>
        </w:rPr>
        <w:t>only protected against discrimination in the field of employment and vocational training</w:t>
      </w:r>
      <w:r w:rsidRPr="00774DE0">
        <w:rPr>
          <w:szCs w:val="24"/>
          <w:lang w:val="en-GB"/>
        </w:rPr>
        <w:t>.</w:t>
      </w:r>
      <w:r w:rsidRPr="00774DE0">
        <w:rPr>
          <w:szCs w:val="24"/>
          <w:vertAlign w:val="superscript"/>
          <w:lang w:val="en-GB"/>
        </w:rPr>
        <w:footnoteReference w:id="3"/>
      </w:r>
      <w:r w:rsidRPr="00774DE0">
        <w:rPr>
          <w:szCs w:val="24"/>
          <w:lang w:val="en-GB"/>
        </w:rPr>
        <w:t xml:space="preserve"> Existing EU-wide legislation includes an obligation</w:t>
      </w:r>
      <w:r w:rsidR="00BC114A" w:rsidRPr="00774DE0">
        <w:rPr>
          <w:szCs w:val="24"/>
          <w:lang w:val="en-GB"/>
        </w:rPr>
        <w:t xml:space="preserve"> for employers</w:t>
      </w:r>
      <w:r w:rsidRPr="00774DE0">
        <w:rPr>
          <w:szCs w:val="24"/>
          <w:lang w:val="en-GB"/>
        </w:rPr>
        <w:t xml:space="preserve"> to provide reasonable accommodation for employe</w:t>
      </w:r>
      <w:r w:rsidR="00BC114A" w:rsidRPr="00774DE0">
        <w:rPr>
          <w:szCs w:val="24"/>
          <w:lang w:val="en-GB"/>
        </w:rPr>
        <w:t>es with disabilities</w:t>
      </w:r>
      <w:r w:rsidRPr="00774DE0">
        <w:rPr>
          <w:szCs w:val="24"/>
          <w:lang w:val="en-GB"/>
        </w:rPr>
        <w:t xml:space="preserve"> but does not explicitly recognise the denial of reasonable accommodation as a form of discrimination.</w:t>
      </w:r>
      <w:r w:rsidRPr="00774DE0">
        <w:rPr>
          <w:szCs w:val="24"/>
          <w:vertAlign w:val="superscript"/>
          <w:lang w:val="en-GB"/>
        </w:rPr>
        <w:footnoteReference w:id="4"/>
      </w:r>
      <w:r w:rsidRPr="00774DE0">
        <w:rPr>
          <w:szCs w:val="24"/>
          <w:lang w:val="en-GB"/>
        </w:rPr>
        <w:t xml:space="preserve"> In addition it does not explicitly recognise discrimination by association</w:t>
      </w:r>
      <w:r w:rsidRPr="00774DE0">
        <w:rPr>
          <w:szCs w:val="24"/>
          <w:vertAlign w:val="superscript"/>
          <w:lang w:val="en-GB"/>
        </w:rPr>
        <w:footnoteReference w:id="5"/>
      </w:r>
      <w:r w:rsidRPr="00774DE0">
        <w:rPr>
          <w:szCs w:val="24"/>
          <w:lang w:val="en-GB"/>
        </w:rPr>
        <w:t xml:space="preserve"> and does not recognise and address multiple and intersectional forms of discrimination. Consequently, </w:t>
      </w:r>
      <w:r w:rsidR="007D158C" w:rsidRPr="00774DE0">
        <w:rPr>
          <w:szCs w:val="24"/>
          <w:lang w:val="en-GB"/>
        </w:rPr>
        <w:t>Member States</w:t>
      </w:r>
      <w:r w:rsidRPr="00774DE0">
        <w:rPr>
          <w:szCs w:val="24"/>
          <w:lang w:val="en-GB"/>
        </w:rPr>
        <w:t xml:space="preserve"> have applied these concepts in an asymmetric way, which implies that some groups of persons with disabilities are facing higher degree of discrimination with no or limited access to legal remedy across Europe. This affects</w:t>
      </w:r>
      <w:r w:rsidR="00BC114A" w:rsidRPr="00774DE0">
        <w:rPr>
          <w:szCs w:val="24"/>
          <w:lang w:val="en-GB"/>
        </w:rPr>
        <w:t>,</w:t>
      </w:r>
      <w:r w:rsidRPr="00774DE0">
        <w:rPr>
          <w:szCs w:val="24"/>
          <w:lang w:val="en-GB"/>
        </w:rPr>
        <w:t xml:space="preserve"> for instance, </w:t>
      </w:r>
      <w:r w:rsidR="00BC114A" w:rsidRPr="00774DE0">
        <w:rPr>
          <w:szCs w:val="24"/>
          <w:lang w:val="en-GB"/>
        </w:rPr>
        <w:t xml:space="preserve">especially disadvantaged groups such as </w:t>
      </w:r>
      <w:r w:rsidRPr="00774DE0">
        <w:rPr>
          <w:szCs w:val="24"/>
          <w:lang w:val="en-GB"/>
        </w:rPr>
        <w:t>women, young and older persons, migrants and refugees, persons from ethnic minorities, including Roma, and LGBTI</w:t>
      </w:r>
      <w:r w:rsidR="00BC114A" w:rsidRPr="00774DE0">
        <w:rPr>
          <w:szCs w:val="24"/>
          <w:lang w:val="en-GB"/>
        </w:rPr>
        <w:t>Q+</w:t>
      </w:r>
      <w:r w:rsidRPr="00774DE0">
        <w:rPr>
          <w:szCs w:val="24"/>
          <w:lang w:val="en-GB"/>
        </w:rPr>
        <w:t xml:space="preserve"> persons with disabilities.</w:t>
      </w:r>
    </w:p>
    <w:p w14:paraId="14139F20" w14:textId="5E69E4B6" w:rsidR="007C7FBF" w:rsidRPr="00774DE0" w:rsidRDefault="007C7FBF">
      <w:pPr>
        <w:spacing w:before="240" w:after="280"/>
        <w:rPr>
          <w:szCs w:val="24"/>
          <w:lang w:val="en-GB"/>
        </w:rPr>
      </w:pPr>
      <w:r w:rsidRPr="00774DE0">
        <w:rPr>
          <w:szCs w:val="24"/>
          <w:lang w:val="en-GB"/>
        </w:rPr>
        <w:t xml:space="preserve">Contrary to disability-based discrimination, discrimination on the grounds of sex and race, is prohibited in employment and in other areas of life, such as social protection including social security and healthcare, social advantage, and access to and supply of good and services (plus education, </w:t>
      </w:r>
      <w:r w:rsidR="0095506C" w:rsidRPr="00774DE0">
        <w:rPr>
          <w:szCs w:val="24"/>
          <w:lang w:val="en-GB"/>
        </w:rPr>
        <w:t>media,</w:t>
      </w:r>
      <w:r w:rsidRPr="00774DE0">
        <w:rPr>
          <w:szCs w:val="24"/>
          <w:lang w:val="en-GB"/>
        </w:rPr>
        <w:t xml:space="preserve"> and advertising as regards to race and ethnic origin only). Therefore, </w:t>
      </w:r>
      <w:r w:rsidRPr="00774DE0">
        <w:rPr>
          <w:b/>
          <w:szCs w:val="24"/>
          <w:lang w:val="en-GB"/>
        </w:rPr>
        <w:t>EU anti-discrimination legislation remains inconsistent in its scope and creates a hierarchy between the different grounds for discrimination</w:t>
      </w:r>
      <w:r w:rsidRPr="00774DE0">
        <w:rPr>
          <w:szCs w:val="24"/>
          <w:lang w:val="en-GB"/>
        </w:rPr>
        <w:t xml:space="preserve">. For more than 10 years, the EU has been discussing a proposed horizontal equal treatment directive covering </w:t>
      </w:r>
      <w:r w:rsidRPr="00774DE0">
        <w:rPr>
          <w:szCs w:val="24"/>
          <w:lang w:val="en-GB"/>
        </w:rPr>
        <w:lastRenderedPageBreak/>
        <w:t>discrimination on the grounds of disability, age, religion or belief, and sexual orientation in the areas of social protection, health care, (re)habilitation, education and the provision of goods and service</w:t>
      </w:r>
      <w:r w:rsidR="00AC662D" w:rsidRPr="00774DE0">
        <w:rPr>
          <w:szCs w:val="24"/>
          <w:lang w:val="en-GB"/>
        </w:rPr>
        <w:t>s</w:t>
      </w:r>
      <w:r w:rsidRPr="00774DE0">
        <w:rPr>
          <w:szCs w:val="24"/>
          <w:lang w:val="en-GB"/>
        </w:rPr>
        <w:t>.</w:t>
      </w:r>
      <w:r w:rsidRPr="00774DE0">
        <w:rPr>
          <w:szCs w:val="24"/>
          <w:vertAlign w:val="superscript"/>
          <w:lang w:val="en-GB"/>
        </w:rPr>
        <w:footnoteReference w:id="6"/>
      </w:r>
      <w:r w:rsidRPr="00774DE0">
        <w:rPr>
          <w:szCs w:val="24"/>
          <w:lang w:val="en-GB"/>
        </w:rPr>
        <w:t xml:space="preserve"> Resistance still remains from the member states in the Council of the EU to adopt this piece of legislation. Further, the latest negotiations around the file have strongly watered down the initiative, especially as regards to the provisions regarding multiple and intersectional discrimination and those related to disability.</w:t>
      </w:r>
      <w:r w:rsidR="007D158C" w:rsidRPr="00774DE0">
        <w:rPr>
          <w:rStyle w:val="FootnoteReference"/>
          <w:szCs w:val="24"/>
          <w:lang w:val="en-GB"/>
        </w:rPr>
        <w:footnoteReference w:id="7"/>
      </w:r>
      <w:r w:rsidRPr="00774DE0">
        <w:rPr>
          <w:szCs w:val="24"/>
          <w:lang w:val="en-GB"/>
        </w:rPr>
        <w:t xml:space="preserve"> </w:t>
      </w:r>
    </w:p>
    <w:p w14:paraId="651279B6" w14:textId="116D55C6" w:rsidR="006E79FB" w:rsidRPr="00774DE0" w:rsidRDefault="006E79FB">
      <w:pPr>
        <w:spacing w:before="240" w:after="280"/>
        <w:rPr>
          <w:szCs w:val="24"/>
          <w:lang w:val="en-GB"/>
        </w:rPr>
      </w:pPr>
      <w:r w:rsidRPr="00774DE0">
        <w:rPr>
          <w:szCs w:val="24"/>
          <w:lang w:val="en-GB"/>
        </w:rPr>
        <w:t xml:space="preserve">It must be noted that according to existing EU law, </w:t>
      </w:r>
      <w:r w:rsidRPr="00774DE0">
        <w:rPr>
          <w:b/>
          <w:bCs/>
          <w:szCs w:val="24"/>
          <w:lang w:val="en-GB"/>
        </w:rPr>
        <w:t xml:space="preserve">positive action is a permitted </w:t>
      </w:r>
      <w:r w:rsidR="007F1C92" w:rsidRPr="00774DE0">
        <w:rPr>
          <w:b/>
          <w:bCs/>
          <w:szCs w:val="24"/>
          <w:lang w:val="en-GB"/>
        </w:rPr>
        <w:t>action,</w:t>
      </w:r>
      <w:r w:rsidRPr="00774DE0">
        <w:rPr>
          <w:b/>
          <w:bCs/>
          <w:szCs w:val="24"/>
          <w:lang w:val="en-GB"/>
        </w:rPr>
        <w:t xml:space="preserve"> but it is not specifically a recommended action</w:t>
      </w:r>
      <w:r w:rsidR="00AC662D" w:rsidRPr="00774DE0">
        <w:rPr>
          <w:b/>
          <w:bCs/>
          <w:szCs w:val="24"/>
          <w:lang w:val="en-GB"/>
        </w:rPr>
        <w:t>.</w:t>
      </w:r>
      <w:r w:rsidR="00827477" w:rsidRPr="00774DE0">
        <w:rPr>
          <w:rStyle w:val="FootnoteReference"/>
          <w:b/>
          <w:bCs/>
          <w:szCs w:val="24"/>
          <w:lang w:val="en-GB"/>
        </w:rPr>
        <w:footnoteReference w:id="8"/>
      </w:r>
      <w:r w:rsidR="00AC662D" w:rsidRPr="00774DE0">
        <w:rPr>
          <w:b/>
          <w:bCs/>
          <w:szCs w:val="24"/>
          <w:lang w:val="en-GB"/>
        </w:rPr>
        <w:t xml:space="preserve"> </w:t>
      </w:r>
      <w:r w:rsidR="00AC662D" w:rsidRPr="00774DE0">
        <w:rPr>
          <w:szCs w:val="24"/>
          <w:lang w:val="en-GB"/>
        </w:rPr>
        <w:t>This has prompted, the absence of clear EU guidance asymmetry and diversity as regards the use of positive action measures, exacerbated by the fact that case law of the Court of Justice of the EU in this area refers solely to the ground of gender. As a consequence,</w:t>
      </w:r>
      <w:r w:rsidRPr="00774DE0">
        <w:rPr>
          <w:b/>
          <w:bCs/>
          <w:szCs w:val="24"/>
          <w:lang w:val="en-GB"/>
        </w:rPr>
        <w:t xml:space="preserve"> </w:t>
      </w:r>
      <w:r w:rsidR="00FE06D1" w:rsidRPr="00774DE0">
        <w:rPr>
          <w:szCs w:val="24"/>
          <w:lang w:val="en-GB"/>
        </w:rPr>
        <w:t>positive action has</w:t>
      </w:r>
      <w:r w:rsidR="00827477" w:rsidRPr="00774DE0">
        <w:rPr>
          <w:szCs w:val="24"/>
          <w:lang w:val="en-GB"/>
        </w:rPr>
        <w:t xml:space="preserve"> not been used as a</w:t>
      </w:r>
      <w:r w:rsidRPr="00774DE0">
        <w:rPr>
          <w:szCs w:val="24"/>
          <w:lang w:val="en-GB"/>
        </w:rPr>
        <w:t xml:space="preserve"> tool to reach substantive equality for especially disadvantaged groups, such as</w:t>
      </w:r>
      <w:r w:rsidR="00827477" w:rsidRPr="00774DE0">
        <w:rPr>
          <w:szCs w:val="24"/>
          <w:lang w:val="en-GB"/>
        </w:rPr>
        <w:t xml:space="preserve"> persons with disabilities,</w:t>
      </w:r>
      <w:r w:rsidRPr="00774DE0">
        <w:rPr>
          <w:szCs w:val="24"/>
          <w:lang w:val="en-GB"/>
        </w:rPr>
        <w:t xml:space="preserve"> </w:t>
      </w:r>
      <w:r w:rsidR="00827477" w:rsidRPr="00774DE0">
        <w:rPr>
          <w:szCs w:val="24"/>
          <w:lang w:val="en-GB"/>
        </w:rPr>
        <w:t>including</w:t>
      </w:r>
      <w:r w:rsidRPr="00774DE0">
        <w:rPr>
          <w:szCs w:val="24"/>
          <w:lang w:val="en-GB"/>
        </w:rPr>
        <w:t xml:space="preserve"> women with disabilities.</w:t>
      </w:r>
      <w:r w:rsidRPr="00774DE0">
        <w:rPr>
          <w:szCs w:val="24"/>
          <w:vertAlign w:val="superscript"/>
          <w:lang w:val="en-GB"/>
        </w:rPr>
        <w:footnoteReference w:id="9"/>
      </w:r>
    </w:p>
    <w:p w14:paraId="08BC721B" w14:textId="30CFBA0E" w:rsidR="00232E27" w:rsidRPr="00774DE0" w:rsidRDefault="00232E27">
      <w:pPr>
        <w:spacing w:before="240" w:after="280"/>
        <w:rPr>
          <w:szCs w:val="24"/>
          <w:lang w:val="en-GB"/>
        </w:rPr>
      </w:pPr>
      <w:r w:rsidRPr="00774DE0">
        <w:rPr>
          <w:szCs w:val="24"/>
          <w:lang w:val="en-GB"/>
        </w:rPr>
        <w:t>The EU has not taken alternative measures to effectively protect persons with disabilities from discrimination in all areas of life.</w:t>
      </w:r>
    </w:p>
    <w:p w14:paraId="2C21732B" w14:textId="09010739" w:rsidR="00B1604E" w:rsidRPr="00774DE0" w:rsidRDefault="00B1604E" w:rsidP="00C252FB">
      <w:pPr>
        <w:pStyle w:val="Heading4"/>
      </w:pPr>
      <w:bookmarkStart w:id="18" w:name="_Toc95152639"/>
      <w:bookmarkStart w:id="19" w:name="_Toc95152746"/>
      <w:bookmarkStart w:id="20" w:name="_Toc95740749"/>
      <w:r w:rsidRPr="00774DE0">
        <w:t>Hate speech and hate crime</w:t>
      </w:r>
      <w:bookmarkEnd w:id="18"/>
      <w:bookmarkEnd w:id="19"/>
      <w:bookmarkEnd w:id="20"/>
    </w:p>
    <w:p w14:paraId="5DB992A9" w14:textId="364D64B2" w:rsidR="00B1604E" w:rsidRPr="00FF3597" w:rsidRDefault="00B1604E" w:rsidP="00FF3597">
      <w:pPr>
        <w:spacing w:after="120"/>
        <w:rPr>
          <w:b/>
          <w:iCs/>
          <w:szCs w:val="24"/>
          <w:lang w:val="en-GB"/>
        </w:rPr>
      </w:pPr>
      <w:r w:rsidRPr="00FF3597">
        <w:rPr>
          <w:b/>
          <w:iCs/>
          <w:szCs w:val="24"/>
          <w:lang w:val="en-GB"/>
        </w:rPr>
        <w:t>Disability related hate speech and hate crime are not recognised and sanction</w:t>
      </w:r>
      <w:r w:rsidR="00D81B64" w:rsidRPr="00FF3597">
        <w:rPr>
          <w:b/>
          <w:iCs/>
          <w:szCs w:val="24"/>
          <w:lang w:val="en-GB"/>
        </w:rPr>
        <w:t>ed</w:t>
      </w:r>
      <w:r w:rsidRPr="00FF3597">
        <w:rPr>
          <w:b/>
          <w:iCs/>
          <w:szCs w:val="24"/>
          <w:lang w:val="en-GB"/>
        </w:rPr>
        <w:t xml:space="preserve"> as such by all EU Member States and </w:t>
      </w:r>
      <w:r w:rsidR="000B3A0E" w:rsidRPr="00FF3597">
        <w:rPr>
          <w:b/>
          <w:iCs/>
          <w:szCs w:val="24"/>
          <w:lang w:val="en-GB"/>
        </w:rPr>
        <w:t>are</w:t>
      </w:r>
      <w:r w:rsidRPr="00FF3597">
        <w:rPr>
          <w:b/>
          <w:iCs/>
          <w:szCs w:val="24"/>
          <w:lang w:val="en-GB"/>
        </w:rPr>
        <w:t xml:space="preserve"> not prohibited by the EU.</w:t>
      </w:r>
      <w:r w:rsidRPr="00FF3597">
        <w:rPr>
          <w:b/>
          <w:iCs/>
          <w:szCs w:val="24"/>
          <w:lang w:val="en-GB"/>
        </w:rPr>
        <w:footnoteReference w:id="10"/>
      </w:r>
    </w:p>
    <w:p w14:paraId="04918CCA" w14:textId="314E3837" w:rsidR="002F5DC3" w:rsidRPr="00774DE0" w:rsidRDefault="002F5DC3" w:rsidP="002F5DC3">
      <w:pPr>
        <w:spacing w:after="120"/>
        <w:rPr>
          <w:szCs w:val="24"/>
          <w:lang w:val="en-GB"/>
        </w:rPr>
      </w:pPr>
      <w:r w:rsidRPr="00774DE0">
        <w:rPr>
          <w:szCs w:val="24"/>
          <w:lang w:val="en-GB"/>
        </w:rPr>
        <w:t>On 9th of December 2021, the European Commission presented an </w:t>
      </w:r>
      <w:hyperlink r:id="rId36" w:history="1">
        <w:r w:rsidRPr="00774DE0">
          <w:rPr>
            <w:rStyle w:val="Hyperlink"/>
            <w:szCs w:val="24"/>
            <w:lang w:val="en-GB"/>
          </w:rPr>
          <w:t>initiative</w:t>
        </w:r>
      </w:hyperlink>
      <w:r w:rsidRPr="00774DE0">
        <w:rPr>
          <w:szCs w:val="24"/>
          <w:lang w:val="en-GB"/>
        </w:rPr>
        <w:t xml:space="preserve"> to extend the list of ‘EU crimes' to hate speech and hate crime. The existing list of EU crimes in the Treaty </w:t>
      </w:r>
      <w:r w:rsidRPr="00774DE0">
        <w:rPr>
          <w:szCs w:val="24"/>
          <w:lang w:val="en-GB"/>
        </w:rPr>
        <w:lastRenderedPageBreak/>
        <w:t xml:space="preserve">on the Functioning of the European Union (TFEU) needs to be extended to ensure minimum common rules on how to define criminal offences and sanctions applicable in all EU Member States. In its </w:t>
      </w:r>
      <w:hyperlink r:id="rId37" w:tgtFrame="_blank" w:history="1">
        <w:r w:rsidRPr="00774DE0">
          <w:rPr>
            <w:rStyle w:val="Hyperlink"/>
            <w:szCs w:val="24"/>
            <w:lang w:val="en-GB"/>
          </w:rPr>
          <w:t>communication</w:t>
        </w:r>
      </w:hyperlink>
      <w:r w:rsidRPr="00774DE0">
        <w:rPr>
          <w:szCs w:val="24"/>
          <w:lang w:val="en-GB"/>
        </w:rPr>
        <w:t xml:space="preserve">, the European Commission makes 16 references to disability. The </w:t>
      </w:r>
      <w:hyperlink r:id="rId38" w:tgtFrame="_blank" w:history="1">
        <w:r w:rsidRPr="00774DE0">
          <w:rPr>
            <w:rStyle w:val="Hyperlink"/>
            <w:szCs w:val="24"/>
            <w:lang w:val="en-GB"/>
          </w:rPr>
          <w:t>proposed Council decision</w:t>
        </w:r>
      </w:hyperlink>
      <w:r w:rsidRPr="00774DE0">
        <w:rPr>
          <w:szCs w:val="24"/>
          <w:lang w:val="en-GB"/>
        </w:rPr>
        <w:t xml:space="preserve"> on the topic also includes a paragraph on persons with disabilities victims of hate speech and hate crime and the obligations under the CRPD.</w:t>
      </w:r>
    </w:p>
    <w:p w14:paraId="4FD6A888" w14:textId="1A3B62F9" w:rsidR="002F5DC3" w:rsidRPr="00774DE0" w:rsidRDefault="002F5DC3" w:rsidP="002F5DC3">
      <w:pPr>
        <w:spacing w:after="120"/>
        <w:rPr>
          <w:szCs w:val="24"/>
          <w:lang w:val="en-GB"/>
        </w:rPr>
      </w:pPr>
      <w:r w:rsidRPr="00774DE0">
        <w:rPr>
          <w:szCs w:val="24"/>
          <w:lang w:val="en-GB"/>
        </w:rPr>
        <w:t>The Council of the EU needs to unanimously adopt, after obtaining the consent of the European Parliament, a decision identifying hate speech and hate crime as another area of crime that meets the criteria set out in Article 83(1) of the TFEU.</w:t>
      </w:r>
      <w:r w:rsidR="009A4158" w:rsidRPr="00774DE0">
        <w:rPr>
          <w:szCs w:val="24"/>
          <w:lang w:val="en-GB"/>
        </w:rPr>
        <w:t xml:space="preserve"> This initiative and additional measures to prevent and prohibit hate speech and hate crime, including based on disability is essential to achieve equality and non-discrimination. </w:t>
      </w:r>
    </w:p>
    <w:p w14:paraId="45702A81" w14:textId="5A3070F2" w:rsidR="00232E27" w:rsidRPr="00774DE0" w:rsidRDefault="00232E27" w:rsidP="00FF3597">
      <w:pPr>
        <w:pStyle w:val="Heading3"/>
      </w:pPr>
      <w:bookmarkStart w:id="21" w:name="_Toc95152640"/>
      <w:bookmarkStart w:id="22" w:name="_Toc95152747"/>
      <w:bookmarkStart w:id="23" w:name="_Toc95740750"/>
      <w:r w:rsidRPr="00774DE0">
        <w:t>Equality bodies</w:t>
      </w:r>
      <w:bookmarkEnd w:id="21"/>
      <w:bookmarkEnd w:id="22"/>
      <w:bookmarkEnd w:id="23"/>
      <w:r w:rsidRPr="00774DE0">
        <w:t xml:space="preserve"> </w:t>
      </w:r>
    </w:p>
    <w:p w14:paraId="2F281942" w14:textId="42FA5897" w:rsidR="00232E27" w:rsidRPr="00774DE0" w:rsidRDefault="00232E27">
      <w:pPr>
        <w:spacing w:before="240" w:after="280"/>
        <w:rPr>
          <w:szCs w:val="24"/>
          <w:lang w:val="en-GB"/>
        </w:rPr>
      </w:pPr>
      <w:r w:rsidRPr="00774DE0">
        <w:rPr>
          <w:szCs w:val="24"/>
          <w:lang w:val="en-GB"/>
        </w:rPr>
        <w:t>The</w:t>
      </w:r>
      <w:r w:rsidR="007C7FBF" w:rsidRPr="00774DE0">
        <w:rPr>
          <w:szCs w:val="24"/>
          <w:lang w:val="en-GB"/>
        </w:rPr>
        <w:t xml:space="preserve"> EU legislation requests to designate </w:t>
      </w:r>
      <w:r w:rsidR="007C7FBF" w:rsidRPr="00774DE0">
        <w:rPr>
          <w:b/>
          <w:bCs/>
          <w:szCs w:val="24"/>
          <w:lang w:val="en-GB"/>
        </w:rPr>
        <w:t>Equality Bodies</w:t>
      </w:r>
      <w:r w:rsidR="007C7FBF" w:rsidRPr="00774DE0">
        <w:rPr>
          <w:szCs w:val="24"/>
          <w:lang w:val="en-GB"/>
        </w:rPr>
        <w:t xml:space="preserve"> to protect victims of discrimination </w:t>
      </w:r>
      <w:r w:rsidR="00D81B64" w:rsidRPr="00774DE0">
        <w:rPr>
          <w:szCs w:val="24"/>
          <w:lang w:val="en-GB"/>
        </w:rPr>
        <w:t>o</w:t>
      </w:r>
      <w:r w:rsidR="007C7FBF" w:rsidRPr="00774DE0">
        <w:rPr>
          <w:szCs w:val="24"/>
          <w:lang w:val="en-GB"/>
        </w:rPr>
        <w:t>n the grounds of gender and sex and race and ethnic origin</w:t>
      </w:r>
      <w:r w:rsidRPr="00774DE0">
        <w:rPr>
          <w:szCs w:val="24"/>
          <w:lang w:val="en-GB"/>
        </w:rPr>
        <w:t>. However,</w:t>
      </w:r>
      <w:r w:rsidR="007C7FBF" w:rsidRPr="00774DE0">
        <w:rPr>
          <w:szCs w:val="24"/>
          <w:lang w:val="en-GB"/>
        </w:rPr>
        <w:t xml:space="preserve"> the same has not been done as regards to the grounds of disability, sexual orientation, age, </w:t>
      </w:r>
      <w:r w:rsidR="0095506C" w:rsidRPr="00774DE0">
        <w:rPr>
          <w:szCs w:val="24"/>
          <w:lang w:val="en-GB"/>
        </w:rPr>
        <w:t>religion,</w:t>
      </w:r>
      <w:r w:rsidR="007C7FBF" w:rsidRPr="00774DE0">
        <w:rPr>
          <w:szCs w:val="24"/>
          <w:lang w:val="en-GB"/>
        </w:rPr>
        <w:t xml:space="preserve"> or belief. While most </w:t>
      </w:r>
      <w:r w:rsidR="007D158C" w:rsidRPr="00774DE0">
        <w:rPr>
          <w:szCs w:val="24"/>
          <w:lang w:val="en-GB"/>
        </w:rPr>
        <w:t>Member States</w:t>
      </w:r>
      <w:r w:rsidR="007C7FBF" w:rsidRPr="00774DE0">
        <w:rPr>
          <w:szCs w:val="24"/>
          <w:lang w:val="en-GB"/>
        </w:rPr>
        <w:t xml:space="preserve"> have vested powers to Equality Bodies to work on disability, some members have applied EU legislation ad minimum, implying in practice that persons with disabilities, as right holders, have different levels of support and even none depending on their location across Europe. </w:t>
      </w:r>
    </w:p>
    <w:p w14:paraId="72E6CAC7" w14:textId="17055281" w:rsidR="007C7FBF" w:rsidRPr="00774DE0" w:rsidRDefault="00232E27">
      <w:pPr>
        <w:spacing w:before="240" w:after="280"/>
        <w:rPr>
          <w:szCs w:val="24"/>
          <w:lang w:val="en-GB"/>
        </w:rPr>
      </w:pPr>
      <w:r w:rsidRPr="00774DE0">
        <w:rPr>
          <w:szCs w:val="24"/>
          <w:lang w:val="en-GB"/>
        </w:rPr>
        <w:t>T</w:t>
      </w:r>
      <w:r w:rsidR="007C7FBF" w:rsidRPr="00774DE0">
        <w:rPr>
          <w:szCs w:val="24"/>
          <w:lang w:val="en-GB"/>
        </w:rPr>
        <w:t xml:space="preserve">he European Commission proposed </w:t>
      </w:r>
      <w:r w:rsidR="00D81B64" w:rsidRPr="00774DE0">
        <w:rPr>
          <w:szCs w:val="24"/>
          <w:lang w:val="en-GB"/>
        </w:rPr>
        <w:t xml:space="preserve">to </w:t>
      </w:r>
      <w:r w:rsidR="007C7FBF" w:rsidRPr="00774DE0">
        <w:rPr>
          <w:szCs w:val="24"/>
          <w:lang w:val="en-GB"/>
        </w:rPr>
        <w:t xml:space="preserve">extend the mandate of Equality Bodies through the Horizontal Directive back in 2008 to </w:t>
      </w:r>
      <w:r w:rsidR="00B64A6B" w:rsidRPr="00774DE0">
        <w:rPr>
          <w:szCs w:val="24"/>
          <w:lang w:val="en-GB"/>
        </w:rPr>
        <w:t>ensure the</w:t>
      </w:r>
      <w:r w:rsidR="007C7FBF" w:rsidRPr="00774DE0">
        <w:rPr>
          <w:szCs w:val="24"/>
          <w:lang w:val="en-GB"/>
        </w:rPr>
        <w:t xml:space="preserve"> protection and promotion of equality to persons with disabilities (14 years later the proposal remains non-adopted</w:t>
      </w:r>
      <w:r w:rsidR="007F1C92" w:rsidRPr="00774DE0">
        <w:rPr>
          <w:szCs w:val="24"/>
          <w:lang w:val="en-GB"/>
        </w:rPr>
        <w:t>) and</w:t>
      </w:r>
      <w:r w:rsidR="007C7FBF" w:rsidRPr="00774DE0">
        <w:rPr>
          <w:szCs w:val="24"/>
          <w:lang w:val="en-GB"/>
        </w:rPr>
        <w:t xml:space="preserve"> has announced the publication of a proposal regarding Standards for Equality Bodies in 2022</w:t>
      </w:r>
      <w:r w:rsidRPr="00774DE0">
        <w:rPr>
          <w:szCs w:val="24"/>
          <w:lang w:val="en-GB"/>
        </w:rPr>
        <w:t>. Yet,</w:t>
      </w:r>
      <w:r w:rsidR="007C7FBF" w:rsidRPr="00774DE0">
        <w:rPr>
          <w:szCs w:val="24"/>
          <w:lang w:val="en-GB"/>
        </w:rPr>
        <w:t xml:space="preserve"> </w:t>
      </w:r>
      <w:r w:rsidR="007C7FBF" w:rsidRPr="00774DE0">
        <w:rPr>
          <w:b/>
          <w:bCs/>
          <w:szCs w:val="24"/>
          <w:lang w:val="en-GB"/>
        </w:rPr>
        <w:t>the daily reality for persons with disabilities remains that they do not have the same rights and can</w:t>
      </w:r>
      <w:r w:rsidR="00D81B64" w:rsidRPr="00774DE0">
        <w:rPr>
          <w:b/>
          <w:bCs/>
          <w:szCs w:val="24"/>
          <w:lang w:val="en-GB"/>
        </w:rPr>
        <w:t>not</w:t>
      </w:r>
      <w:r w:rsidR="007C7FBF" w:rsidRPr="00774DE0">
        <w:rPr>
          <w:b/>
          <w:bCs/>
          <w:szCs w:val="24"/>
          <w:lang w:val="en-GB"/>
        </w:rPr>
        <w:t xml:space="preserve"> expect the same protection across </w:t>
      </w:r>
      <w:r w:rsidR="00B64A6B" w:rsidRPr="00774DE0">
        <w:rPr>
          <w:b/>
          <w:bCs/>
          <w:szCs w:val="24"/>
          <w:lang w:val="en-GB"/>
        </w:rPr>
        <w:t>M</w:t>
      </w:r>
      <w:r w:rsidR="007C7FBF" w:rsidRPr="00774DE0">
        <w:rPr>
          <w:b/>
          <w:bCs/>
          <w:szCs w:val="24"/>
          <w:lang w:val="en-GB"/>
        </w:rPr>
        <w:t xml:space="preserve">ember </w:t>
      </w:r>
      <w:r w:rsidR="00B64A6B" w:rsidRPr="00774DE0">
        <w:rPr>
          <w:b/>
          <w:bCs/>
          <w:szCs w:val="24"/>
          <w:lang w:val="en-GB"/>
        </w:rPr>
        <w:t>S</w:t>
      </w:r>
      <w:r w:rsidR="007C7FBF" w:rsidRPr="00774DE0">
        <w:rPr>
          <w:b/>
          <w:bCs/>
          <w:szCs w:val="24"/>
          <w:lang w:val="en-GB"/>
        </w:rPr>
        <w:t xml:space="preserve">tates given the lack of legal obligation to </w:t>
      </w:r>
      <w:r w:rsidR="007D158C" w:rsidRPr="00774DE0">
        <w:rPr>
          <w:b/>
          <w:bCs/>
          <w:szCs w:val="24"/>
          <w:lang w:val="en-GB"/>
        </w:rPr>
        <w:t>M</w:t>
      </w:r>
      <w:r w:rsidR="007C7FBF" w:rsidRPr="00774DE0">
        <w:rPr>
          <w:b/>
          <w:bCs/>
          <w:szCs w:val="24"/>
          <w:lang w:val="en-GB"/>
        </w:rPr>
        <w:t xml:space="preserve">ember </w:t>
      </w:r>
      <w:r w:rsidR="007D158C" w:rsidRPr="00774DE0">
        <w:rPr>
          <w:b/>
          <w:bCs/>
          <w:szCs w:val="24"/>
          <w:lang w:val="en-GB"/>
        </w:rPr>
        <w:t>S</w:t>
      </w:r>
      <w:r w:rsidR="007C7FBF" w:rsidRPr="00774DE0">
        <w:rPr>
          <w:b/>
          <w:bCs/>
          <w:szCs w:val="24"/>
          <w:lang w:val="en-GB"/>
        </w:rPr>
        <w:t xml:space="preserve">tates to designate an Equality Body to work </w:t>
      </w:r>
      <w:r w:rsidR="00D81B64" w:rsidRPr="00774DE0">
        <w:rPr>
          <w:b/>
          <w:bCs/>
          <w:szCs w:val="24"/>
          <w:lang w:val="en-GB"/>
        </w:rPr>
        <w:t>on</w:t>
      </w:r>
      <w:r w:rsidR="007C7FBF" w:rsidRPr="00774DE0">
        <w:rPr>
          <w:b/>
          <w:bCs/>
          <w:szCs w:val="24"/>
          <w:lang w:val="en-GB"/>
        </w:rPr>
        <w:t xml:space="preserve"> the </w:t>
      </w:r>
      <w:r w:rsidR="00B64A6B" w:rsidRPr="00774DE0">
        <w:rPr>
          <w:b/>
          <w:bCs/>
          <w:szCs w:val="24"/>
          <w:lang w:val="en-GB"/>
        </w:rPr>
        <w:t xml:space="preserve">area </w:t>
      </w:r>
      <w:r w:rsidR="007C7FBF" w:rsidRPr="00774DE0">
        <w:rPr>
          <w:b/>
          <w:bCs/>
          <w:szCs w:val="24"/>
          <w:lang w:val="en-GB"/>
        </w:rPr>
        <w:t>of disability and its intersections</w:t>
      </w:r>
      <w:r w:rsidR="00D81B64" w:rsidRPr="00774DE0">
        <w:rPr>
          <w:b/>
          <w:bCs/>
          <w:szCs w:val="24"/>
          <w:lang w:val="en-GB"/>
        </w:rPr>
        <w:t xml:space="preserve"> with other grounds</w:t>
      </w:r>
      <w:r w:rsidR="007C7FBF" w:rsidRPr="00774DE0">
        <w:rPr>
          <w:szCs w:val="24"/>
          <w:lang w:val="en-GB"/>
        </w:rPr>
        <w:t xml:space="preserve">. </w:t>
      </w:r>
    </w:p>
    <w:p w14:paraId="73452DA3" w14:textId="1AF4FA4E" w:rsidR="00232E27" w:rsidRPr="00774DE0" w:rsidRDefault="00232E27" w:rsidP="00FF3597">
      <w:pPr>
        <w:pStyle w:val="Heading3"/>
      </w:pPr>
      <w:bookmarkStart w:id="24" w:name="_Toc95152641"/>
      <w:bookmarkStart w:id="25" w:name="_Toc95152748"/>
      <w:bookmarkStart w:id="26" w:name="_Toc95740751"/>
      <w:r w:rsidRPr="00774DE0">
        <w:t>EU Strategies</w:t>
      </w:r>
      <w:bookmarkEnd w:id="24"/>
      <w:bookmarkEnd w:id="25"/>
      <w:bookmarkEnd w:id="26"/>
      <w:r w:rsidRPr="00774DE0">
        <w:t xml:space="preserve"> </w:t>
      </w:r>
    </w:p>
    <w:p w14:paraId="648547C0" w14:textId="61565F14" w:rsidR="00E867E2" w:rsidRPr="00774DE0" w:rsidRDefault="007C7FBF" w:rsidP="00281EBF">
      <w:pPr>
        <w:spacing w:before="240" w:after="280"/>
        <w:rPr>
          <w:szCs w:val="24"/>
          <w:lang w:val="en-GB"/>
        </w:rPr>
      </w:pPr>
      <w:r w:rsidRPr="00774DE0">
        <w:rPr>
          <w:szCs w:val="24"/>
          <w:lang w:val="en-GB"/>
        </w:rPr>
        <w:t>In 2020 and 2021, the European Commission adopted a series of policy initiatives and strategies that could contribute to a better inclusion of disadvantaged groups, namely the</w:t>
      </w:r>
      <w:r w:rsidR="00F94043" w:rsidRPr="00774DE0">
        <w:rPr>
          <w:szCs w:val="24"/>
          <w:lang w:val="en-GB"/>
        </w:rPr>
        <w:t xml:space="preserve"> </w:t>
      </w:r>
      <w:hyperlink r:id="rId39" w:history="1">
        <w:r w:rsidR="00F94043" w:rsidRPr="00774DE0">
          <w:rPr>
            <w:rStyle w:val="Hyperlink"/>
            <w:szCs w:val="24"/>
            <w:lang w:val="en-GB"/>
          </w:rPr>
          <w:t>Strategy on the rights of persons with disabilities 2021-2030</w:t>
        </w:r>
      </w:hyperlink>
      <w:r w:rsidR="00F94043" w:rsidRPr="00774DE0">
        <w:rPr>
          <w:szCs w:val="24"/>
          <w:lang w:val="en-GB"/>
        </w:rPr>
        <w:t>, the</w:t>
      </w:r>
      <w:hyperlink r:id="rId40">
        <w:r w:rsidRPr="00774DE0">
          <w:rPr>
            <w:szCs w:val="24"/>
            <w:lang w:val="en-GB"/>
          </w:rPr>
          <w:t xml:space="preserve"> </w:t>
        </w:r>
      </w:hyperlink>
      <w:hyperlink r:id="rId41">
        <w:r w:rsidRPr="00774DE0">
          <w:rPr>
            <w:color w:val="1155CC"/>
            <w:szCs w:val="24"/>
            <w:u w:val="single"/>
            <w:lang w:val="en-GB"/>
          </w:rPr>
          <w:t>Gender Equality Strategy 2020-2025</w:t>
        </w:r>
      </w:hyperlink>
      <w:r w:rsidRPr="00774DE0">
        <w:rPr>
          <w:szCs w:val="24"/>
          <w:lang w:val="en-GB"/>
        </w:rPr>
        <w:t>, the</w:t>
      </w:r>
      <w:hyperlink r:id="rId42">
        <w:r w:rsidRPr="00774DE0">
          <w:rPr>
            <w:szCs w:val="24"/>
            <w:lang w:val="en-GB"/>
          </w:rPr>
          <w:t xml:space="preserve"> </w:t>
        </w:r>
      </w:hyperlink>
      <w:hyperlink r:id="rId43">
        <w:r w:rsidRPr="00774DE0">
          <w:rPr>
            <w:color w:val="1155CC"/>
            <w:szCs w:val="24"/>
            <w:u w:val="single"/>
            <w:lang w:val="en-GB"/>
          </w:rPr>
          <w:t>LGBTIQ Equality Strategy 2020-2025</w:t>
        </w:r>
      </w:hyperlink>
      <w:r w:rsidRPr="00774DE0">
        <w:rPr>
          <w:szCs w:val="24"/>
          <w:lang w:val="en-GB"/>
        </w:rPr>
        <w:t>, the</w:t>
      </w:r>
      <w:hyperlink r:id="rId44">
        <w:r w:rsidRPr="00774DE0">
          <w:rPr>
            <w:szCs w:val="24"/>
            <w:lang w:val="en-GB"/>
          </w:rPr>
          <w:t xml:space="preserve"> </w:t>
        </w:r>
      </w:hyperlink>
      <w:hyperlink r:id="rId45">
        <w:r w:rsidRPr="00774DE0">
          <w:rPr>
            <w:color w:val="1155CC"/>
            <w:szCs w:val="24"/>
            <w:u w:val="single"/>
            <w:lang w:val="en-GB"/>
          </w:rPr>
          <w:t>EU anti-racism action plan 2020-2025</w:t>
        </w:r>
      </w:hyperlink>
      <w:r w:rsidRPr="00774DE0">
        <w:rPr>
          <w:szCs w:val="24"/>
          <w:lang w:val="en-GB"/>
        </w:rPr>
        <w:t xml:space="preserve">, </w:t>
      </w:r>
      <w:r w:rsidR="00B64A6B" w:rsidRPr="00774DE0">
        <w:rPr>
          <w:szCs w:val="24"/>
          <w:lang w:val="en-GB"/>
        </w:rPr>
        <w:t xml:space="preserve">the </w:t>
      </w:r>
      <w:hyperlink r:id="rId46" w:history="1">
        <w:r w:rsidR="00B64A6B" w:rsidRPr="00774DE0">
          <w:rPr>
            <w:rStyle w:val="Hyperlink"/>
            <w:szCs w:val="24"/>
            <w:lang w:val="en-GB"/>
          </w:rPr>
          <w:t>Strategy on the Rights of the Child and the European Child Guarantee</w:t>
        </w:r>
      </w:hyperlink>
      <w:r w:rsidR="00B64A6B" w:rsidRPr="00774DE0">
        <w:rPr>
          <w:szCs w:val="24"/>
          <w:lang w:val="en-GB"/>
        </w:rPr>
        <w:t xml:space="preserve">, </w:t>
      </w:r>
      <w:r w:rsidRPr="00774DE0">
        <w:rPr>
          <w:szCs w:val="24"/>
          <w:lang w:val="en-GB"/>
        </w:rPr>
        <w:t>the</w:t>
      </w:r>
      <w:hyperlink r:id="rId47">
        <w:r w:rsidRPr="00774DE0">
          <w:rPr>
            <w:szCs w:val="24"/>
            <w:lang w:val="en-GB"/>
          </w:rPr>
          <w:t xml:space="preserve"> </w:t>
        </w:r>
      </w:hyperlink>
      <w:hyperlink r:id="rId48">
        <w:r w:rsidRPr="00774DE0">
          <w:rPr>
            <w:color w:val="1155CC"/>
            <w:szCs w:val="24"/>
            <w:u w:val="single"/>
            <w:lang w:val="en-GB"/>
          </w:rPr>
          <w:t>Roma strategic framework for equality, inclusion and participation 2020-2030</w:t>
        </w:r>
      </w:hyperlink>
      <w:r w:rsidRPr="00774DE0">
        <w:rPr>
          <w:szCs w:val="24"/>
          <w:lang w:val="en-GB"/>
        </w:rPr>
        <w:t>, the</w:t>
      </w:r>
      <w:hyperlink r:id="rId49">
        <w:r w:rsidRPr="00774DE0">
          <w:rPr>
            <w:szCs w:val="24"/>
            <w:lang w:val="en-GB"/>
          </w:rPr>
          <w:t xml:space="preserve"> </w:t>
        </w:r>
      </w:hyperlink>
      <w:hyperlink r:id="rId50">
        <w:r w:rsidRPr="00774DE0">
          <w:rPr>
            <w:color w:val="1155CC"/>
            <w:szCs w:val="24"/>
            <w:u w:val="single"/>
            <w:lang w:val="en-GB"/>
          </w:rPr>
          <w:t>Action plan on the integration and inclusion 2021-2027</w:t>
        </w:r>
      </w:hyperlink>
      <w:r w:rsidRPr="00774DE0">
        <w:rPr>
          <w:szCs w:val="24"/>
          <w:lang w:val="en-GB"/>
        </w:rPr>
        <w:t>,</w:t>
      </w:r>
      <w:r w:rsidR="00B64A6B" w:rsidRPr="00774DE0">
        <w:rPr>
          <w:szCs w:val="24"/>
          <w:lang w:val="en-GB"/>
        </w:rPr>
        <w:t xml:space="preserve"> </w:t>
      </w:r>
      <w:r w:rsidR="0055387C" w:rsidRPr="00774DE0">
        <w:rPr>
          <w:szCs w:val="24"/>
          <w:lang w:val="en-GB"/>
        </w:rPr>
        <w:t xml:space="preserve">and </w:t>
      </w:r>
      <w:r w:rsidR="00B64A6B" w:rsidRPr="00774DE0">
        <w:rPr>
          <w:szCs w:val="24"/>
          <w:lang w:val="en-GB"/>
        </w:rPr>
        <w:t xml:space="preserve">the </w:t>
      </w:r>
      <w:hyperlink r:id="rId51" w:history="1">
        <w:r w:rsidR="00B64A6B" w:rsidRPr="00774DE0">
          <w:rPr>
            <w:rStyle w:val="Hyperlink"/>
            <w:szCs w:val="24"/>
            <w:lang w:val="en-GB"/>
          </w:rPr>
          <w:t>European Pillar of Social Rights Action Plan</w:t>
        </w:r>
      </w:hyperlink>
      <w:r w:rsidRPr="00774DE0">
        <w:rPr>
          <w:szCs w:val="24"/>
          <w:lang w:val="en-GB"/>
        </w:rPr>
        <w:t>. A</w:t>
      </w:r>
      <w:r w:rsidR="000E22BB" w:rsidRPr="00774DE0">
        <w:rPr>
          <w:szCs w:val="24"/>
          <w:lang w:val="en-GB"/>
        </w:rPr>
        <w:t>n</w:t>
      </w:r>
      <w:hyperlink r:id="rId52">
        <w:r w:rsidRPr="00774DE0">
          <w:rPr>
            <w:szCs w:val="24"/>
            <w:lang w:val="en-GB"/>
          </w:rPr>
          <w:t xml:space="preserve"> </w:t>
        </w:r>
      </w:hyperlink>
      <w:hyperlink r:id="rId53">
        <w:r w:rsidRPr="00774DE0">
          <w:rPr>
            <w:color w:val="1155CC"/>
            <w:szCs w:val="24"/>
            <w:u w:val="single"/>
            <w:lang w:val="en-GB"/>
          </w:rPr>
          <w:t>EU Youth Strategy for 2019-2027</w:t>
        </w:r>
      </w:hyperlink>
      <w:r w:rsidRPr="00774DE0">
        <w:rPr>
          <w:szCs w:val="24"/>
          <w:lang w:val="en-GB"/>
        </w:rPr>
        <w:t xml:space="preserve"> with 11 European Youth Goals was adopted in </w:t>
      </w:r>
      <w:r w:rsidRPr="00774DE0">
        <w:rPr>
          <w:szCs w:val="24"/>
          <w:lang w:val="en-GB"/>
        </w:rPr>
        <w:lastRenderedPageBreak/>
        <w:t>2018. Disability-based discrimination and persons with disabilities are mentioned in most of thes</w:t>
      </w:r>
      <w:r w:rsidR="004E2782" w:rsidRPr="00774DE0">
        <w:rPr>
          <w:szCs w:val="24"/>
          <w:lang w:val="en-GB"/>
        </w:rPr>
        <w:t>e</w:t>
      </w:r>
      <w:r w:rsidRPr="00774DE0">
        <w:rPr>
          <w:szCs w:val="24"/>
          <w:lang w:val="en-GB"/>
        </w:rPr>
        <w:t xml:space="preserve"> initiatives.</w:t>
      </w:r>
      <w:r w:rsidRPr="00774DE0">
        <w:rPr>
          <w:szCs w:val="24"/>
          <w:vertAlign w:val="superscript"/>
          <w:lang w:val="en-GB"/>
        </w:rPr>
        <w:footnoteReference w:id="11"/>
      </w:r>
      <w:r w:rsidRPr="00774DE0">
        <w:rPr>
          <w:szCs w:val="24"/>
          <w:lang w:val="en-GB"/>
        </w:rPr>
        <w:t xml:space="preserve"> </w:t>
      </w:r>
    </w:p>
    <w:p w14:paraId="2DB33BFC" w14:textId="1C4C6868" w:rsidR="007C7FBF" w:rsidRPr="00774DE0" w:rsidRDefault="007C7FBF" w:rsidP="00281EBF">
      <w:pPr>
        <w:spacing w:before="240" w:after="280"/>
        <w:rPr>
          <w:b/>
          <w:bCs/>
          <w:szCs w:val="24"/>
          <w:lang w:val="en-GB"/>
        </w:rPr>
      </w:pPr>
      <w:r w:rsidRPr="00774DE0">
        <w:rPr>
          <w:b/>
          <w:bCs/>
          <w:szCs w:val="24"/>
          <w:lang w:val="en-GB"/>
        </w:rPr>
        <w:t>However, without concrete actions and a disability focal point</w:t>
      </w:r>
      <w:r w:rsidR="000E22BB" w:rsidRPr="00774DE0">
        <w:rPr>
          <w:rStyle w:val="FootnoteReference"/>
          <w:b/>
          <w:bCs/>
          <w:szCs w:val="24"/>
          <w:lang w:val="en-GB"/>
        </w:rPr>
        <w:footnoteReference w:id="12"/>
      </w:r>
      <w:r w:rsidRPr="00774DE0">
        <w:rPr>
          <w:b/>
          <w:bCs/>
          <w:szCs w:val="24"/>
          <w:lang w:val="en-GB"/>
        </w:rPr>
        <w:t xml:space="preserve"> in charge of monitoring and contributing to the implementation of these initiatives, it is not certain to which extent persons with disabilities facing multiple and intersectional forms of discrimination will benefit from them</w:t>
      </w:r>
      <w:bookmarkStart w:id="27" w:name="_c2xlqjtcnjc0" w:colFirst="0" w:colLast="0"/>
      <w:bookmarkEnd w:id="27"/>
      <w:r w:rsidR="000E22BB" w:rsidRPr="00774DE0">
        <w:rPr>
          <w:b/>
          <w:bCs/>
          <w:szCs w:val="24"/>
          <w:lang w:val="en-GB"/>
        </w:rPr>
        <w:t>.</w:t>
      </w:r>
      <w:r w:rsidR="0055387C" w:rsidRPr="00774DE0">
        <w:rPr>
          <w:szCs w:val="24"/>
          <w:lang w:val="en-GB"/>
        </w:rPr>
        <w:t xml:space="preserve"> In addition, the EU still lacks a specific action plan/strategy on ageing/older persons, which makes addressing the intersection of ageing and disability challenging at best.</w:t>
      </w:r>
      <w:r w:rsidR="0055387C" w:rsidRPr="00774DE0">
        <w:rPr>
          <w:rStyle w:val="FootnoteReference"/>
          <w:szCs w:val="24"/>
          <w:lang w:val="en-GB"/>
        </w:rPr>
        <w:footnoteReference w:id="13"/>
      </w:r>
    </w:p>
    <w:p w14:paraId="00000014" w14:textId="03B3B979" w:rsidR="007C7FBF" w:rsidRPr="00774DE0" w:rsidRDefault="007C7FBF" w:rsidP="00A47B62">
      <w:pPr>
        <w:pStyle w:val="Heading2"/>
      </w:pPr>
      <w:bookmarkStart w:id="28" w:name="_Toc95152642"/>
      <w:bookmarkStart w:id="29" w:name="_Toc95152749"/>
      <w:bookmarkStart w:id="30" w:name="_Toc95740752"/>
      <w:r w:rsidRPr="00774DE0">
        <w:t>Intersectional discrimination</w:t>
      </w:r>
      <w:bookmarkEnd w:id="28"/>
      <w:bookmarkEnd w:id="29"/>
      <w:bookmarkEnd w:id="30"/>
      <w:r w:rsidRPr="00774DE0">
        <w:t xml:space="preserve"> </w:t>
      </w:r>
    </w:p>
    <w:p w14:paraId="16FDD5D3" w14:textId="66B81C1F" w:rsidR="00570B67" w:rsidRPr="00774DE0" w:rsidRDefault="00570B67" w:rsidP="00FF3597">
      <w:pPr>
        <w:pStyle w:val="Heading3"/>
      </w:pPr>
      <w:bookmarkStart w:id="31" w:name="_Toc95152643"/>
      <w:bookmarkStart w:id="32" w:name="_Toc95152750"/>
      <w:bookmarkStart w:id="33" w:name="_Toc95740753"/>
      <w:r w:rsidRPr="00774DE0">
        <w:t>Concept of inte</w:t>
      </w:r>
      <w:r w:rsidR="002E3A05" w:rsidRPr="00774DE0">
        <w:t>rsectionality</w:t>
      </w:r>
      <w:r w:rsidRPr="00774DE0">
        <w:t xml:space="preserve"> under EU law</w:t>
      </w:r>
      <w:bookmarkEnd w:id="31"/>
      <w:bookmarkEnd w:id="32"/>
      <w:bookmarkEnd w:id="33"/>
      <w:r w:rsidRPr="00774DE0">
        <w:t xml:space="preserve"> </w:t>
      </w:r>
    </w:p>
    <w:p w14:paraId="4B6B76A6" w14:textId="3C955C32" w:rsidR="007C7FBF" w:rsidRPr="00774DE0" w:rsidRDefault="007C7FBF" w:rsidP="00E27E94">
      <w:pPr>
        <w:spacing w:after="120"/>
        <w:rPr>
          <w:szCs w:val="24"/>
          <w:lang w:val="en-GB"/>
        </w:rPr>
      </w:pPr>
      <w:r w:rsidRPr="00774DE0">
        <w:rPr>
          <w:szCs w:val="24"/>
          <w:lang w:val="en-GB"/>
        </w:rPr>
        <w:t xml:space="preserve">As explained above, none of </w:t>
      </w:r>
      <w:r w:rsidR="00F91A10" w:rsidRPr="00774DE0">
        <w:rPr>
          <w:szCs w:val="24"/>
          <w:lang w:val="en-GB"/>
        </w:rPr>
        <w:t xml:space="preserve">the </w:t>
      </w:r>
      <w:r w:rsidRPr="00774DE0">
        <w:rPr>
          <w:szCs w:val="24"/>
          <w:lang w:val="en-GB"/>
        </w:rPr>
        <w:t xml:space="preserve">EU legislative documents contain provisions, further than marginal mentions, regarding multiple and intersectional discrimination. While the Horizontal Directive, proposed in 2008 contained some provisions in this respect, subsequent negotiations to get the file approved have seen the disappearance of such provisions. Currently, only the </w:t>
      </w:r>
      <w:hyperlink r:id="rId54" w:history="1">
        <w:r w:rsidRPr="00774DE0">
          <w:rPr>
            <w:rStyle w:val="Hyperlink"/>
            <w:szCs w:val="24"/>
            <w:lang w:val="en-GB"/>
          </w:rPr>
          <w:t>proposed Pay transparency directive</w:t>
        </w:r>
      </w:hyperlink>
      <w:r w:rsidRPr="00774DE0">
        <w:rPr>
          <w:szCs w:val="24"/>
          <w:lang w:val="en-GB"/>
        </w:rPr>
        <w:t xml:space="preserve"> contains a provision regarding intersectional discrimination. </w:t>
      </w:r>
    </w:p>
    <w:p w14:paraId="6CFFA2EE" w14:textId="3924D9F9" w:rsidR="007C7FBF" w:rsidRPr="00774DE0" w:rsidRDefault="007C7FBF" w:rsidP="00E27E94">
      <w:pPr>
        <w:spacing w:after="120"/>
        <w:rPr>
          <w:szCs w:val="24"/>
          <w:lang w:val="en-GB"/>
        </w:rPr>
      </w:pPr>
      <w:r w:rsidRPr="00774DE0">
        <w:rPr>
          <w:szCs w:val="24"/>
          <w:lang w:val="en-GB"/>
        </w:rPr>
        <w:t xml:space="preserve">Regardless of continuous calls from the European Parliament or even the European Commission, </w:t>
      </w:r>
      <w:r w:rsidRPr="00774DE0">
        <w:rPr>
          <w:b/>
          <w:bCs/>
          <w:szCs w:val="24"/>
          <w:lang w:val="en-GB"/>
        </w:rPr>
        <w:t>victims of multiple and intersectional discrimination remain unprotected at the EU level</w:t>
      </w:r>
      <w:r w:rsidRPr="00774DE0">
        <w:rPr>
          <w:szCs w:val="24"/>
          <w:lang w:val="en-GB"/>
        </w:rPr>
        <w:t xml:space="preserve">, in clear breach of article 6 of the CRPD. </w:t>
      </w:r>
    </w:p>
    <w:p w14:paraId="4D8C6559" w14:textId="3D0D0C07" w:rsidR="007C7FBF" w:rsidRPr="00774DE0" w:rsidRDefault="007C7FBF" w:rsidP="00E27E94">
      <w:pPr>
        <w:spacing w:after="120"/>
        <w:rPr>
          <w:szCs w:val="24"/>
          <w:lang w:val="en-GB"/>
        </w:rPr>
      </w:pPr>
      <w:r w:rsidRPr="00774DE0">
        <w:rPr>
          <w:szCs w:val="24"/>
          <w:lang w:val="en-GB"/>
        </w:rPr>
        <w:t>Despite some suggestions by academics</w:t>
      </w:r>
      <w:r w:rsidRPr="00774DE0">
        <w:rPr>
          <w:rStyle w:val="FootnoteReference"/>
          <w:szCs w:val="24"/>
          <w:lang w:val="en-GB"/>
        </w:rPr>
        <w:footnoteReference w:id="14"/>
      </w:r>
      <w:r w:rsidRPr="00774DE0">
        <w:rPr>
          <w:szCs w:val="24"/>
          <w:lang w:val="en-GB"/>
        </w:rPr>
        <w:t xml:space="preserve"> and the opinion of AG Kokott that the current EU legislative framework could be interpreted in an encompassing way, the </w:t>
      </w:r>
      <w:r w:rsidR="00F91A10" w:rsidRPr="00774DE0">
        <w:rPr>
          <w:szCs w:val="24"/>
          <w:lang w:val="en-GB"/>
        </w:rPr>
        <w:t xml:space="preserve"> </w:t>
      </w:r>
      <w:r w:rsidR="00744348" w:rsidRPr="00774DE0">
        <w:rPr>
          <w:szCs w:val="24"/>
          <w:lang w:val="en-GB"/>
        </w:rPr>
        <w:t xml:space="preserve">Court of Justice </w:t>
      </w:r>
      <w:r w:rsidR="00F91A10" w:rsidRPr="00774DE0">
        <w:rPr>
          <w:szCs w:val="24"/>
          <w:lang w:val="en-GB"/>
        </w:rPr>
        <w:t>of the E</w:t>
      </w:r>
      <w:r w:rsidR="00B926A2">
        <w:rPr>
          <w:szCs w:val="24"/>
          <w:lang w:val="en-GB"/>
        </w:rPr>
        <w:t>uropean Union (CJEU)</w:t>
      </w:r>
      <w:r w:rsidRPr="00774DE0">
        <w:rPr>
          <w:szCs w:val="24"/>
          <w:lang w:val="en-GB"/>
        </w:rPr>
        <w:t xml:space="preserve"> established, back in 2016 in the above-mentioned </w:t>
      </w:r>
      <w:r w:rsidRPr="00774DE0">
        <w:rPr>
          <w:i/>
          <w:iCs/>
          <w:szCs w:val="24"/>
          <w:lang w:val="en-GB"/>
        </w:rPr>
        <w:t>Parris</w:t>
      </w:r>
      <w:r w:rsidRPr="00774DE0">
        <w:rPr>
          <w:szCs w:val="24"/>
          <w:lang w:val="en-GB"/>
        </w:rPr>
        <w:t xml:space="preserve"> case</w:t>
      </w:r>
      <w:r w:rsidRPr="00774DE0">
        <w:rPr>
          <w:rStyle w:val="FootnoteReference"/>
          <w:szCs w:val="24"/>
          <w:lang w:val="en-GB"/>
        </w:rPr>
        <w:footnoteReference w:id="15"/>
      </w:r>
      <w:r w:rsidRPr="00774DE0">
        <w:rPr>
          <w:szCs w:val="24"/>
          <w:lang w:val="en-GB"/>
        </w:rPr>
        <w:t xml:space="preserve"> that</w:t>
      </w:r>
      <w:r w:rsidR="00F91A10" w:rsidRPr="00774DE0">
        <w:rPr>
          <w:szCs w:val="24"/>
          <w:lang w:val="en-GB"/>
        </w:rPr>
        <w:t xml:space="preserve"> it</w:t>
      </w:r>
      <w:r w:rsidRPr="00774DE0">
        <w:rPr>
          <w:szCs w:val="24"/>
          <w:lang w:val="en-GB"/>
        </w:rPr>
        <w:t xml:space="preserve"> “is not capable of creating discrimination as a result of the combined effect of sexual orientation and age, where that rule does not constitute discrimination either on the ground of sexual orientation or on the ground of age taken in isolation”. This case proved the </w:t>
      </w:r>
      <w:r w:rsidRPr="00774DE0">
        <w:rPr>
          <w:szCs w:val="24"/>
          <w:lang w:val="en-GB"/>
        </w:rPr>
        <w:lastRenderedPageBreak/>
        <w:t xml:space="preserve">inherent and urgent need to include multiple and intersectional discrimination in EU legal provisions. </w:t>
      </w:r>
    </w:p>
    <w:p w14:paraId="5568D05E" w14:textId="534A9F7B" w:rsidR="007C7FBF" w:rsidRPr="00774DE0" w:rsidRDefault="007C7FBF" w:rsidP="00E27E94">
      <w:pPr>
        <w:spacing w:after="120"/>
        <w:rPr>
          <w:szCs w:val="24"/>
          <w:lang w:val="en-GB"/>
        </w:rPr>
      </w:pPr>
      <w:r w:rsidRPr="00774DE0">
        <w:rPr>
          <w:szCs w:val="24"/>
          <w:lang w:val="en-GB"/>
        </w:rPr>
        <w:t xml:space="preserve">A multitude of actors have made a call for the European legislator to include such provisions, including the </w:t>
      </w:r>
      <w:r w:rsidR="005760C0" w:rsidRPr="00774DE0">
        <w:rPr>
          <w:szCs w:val="24"/>
          <w:lang w:val="en-GB"/>
        </w:rPr>
        <w:t>Fundamental Rights Agency of the European Union (</w:t>
      </w:r>
      <w:r w:rsidRPr="00774DE0">
        <w:rPr>
          <w:szCs w:val="24"/>
          <w:lang w:val="en-GB"/>
        </w:rPr>
        <w:t>FRA</w:t>
      </w:r>
      <w:r w:rsidR="005760C0" w:rsidRPr="00774DE0">
        <w:rPr>
          <w:szCs w:val="24"/>
          <w:lang w:val="en-GB"/>
        </w:rPr>
        <w:t>):</w:t>
      </w:r>
      <w:r w:rsidRPr="00774DE0">
        <w:rPr>
          <w:rStyle w:val="FootnoteReference"/>
          <w:szCs w:val="24"/>
          <w:lang w:val="en-GB"/>
        </w:rPr>
        <w:footnoteReference w:id="16"/>
      </w:r>
      <w:r w:rsidRPr="00774DE0">
        <w:rPr>
          <w:szCs w:val="24"/>
          <w:lang w:val="en-GB"/>
        </w:rPr>
        <w:t xml:space="preserve"> “The EU legislator should consider broadening the concept of discrimination to include intersectional discrimination in existing and new legislation in the area of equality and non-discrimination.”</w:t>
      </w:r>
    </w:p>
    <w:p w14:paraId="07969DEB" w14:textId="4BBD0869" w:rsidR="007C7FBF" w:rsidRPr="00774DE0" w:rsidRDefault="007C7FBF" w:rsidP="00E27E94">
      <w:pPr>
        <w:spacing w:after="120"/>
        <w:rPr>
          <w:szCs w:val="24"/>
          <w:lang w:val="en-GB"/>
        </w:rPr>
      </w:pPr>
      <w:r w:rsidRPr="00774DE0">
        <w:rPr>
          <w:szCs w:val="24"/>
          <w:lang w:val="en-GB"/>
        </w:rPr>
        <w:t xml:space="preserve">It is notable that in spite of the lack of legal provisions at the European level, some </w:t>
      </w:r>
      <w:r w:rsidR="005760C0" w:rsidRPr="00774DE0">
        <w:rPr>
          <w:szCs w:val="24"/>
          <w:lang w:val="en-GB"/>
        </w:rPr>
        <w:t>M</w:t>
      </w:r>
      <w:r w:rsidRPr="00774DE0">
        <w:rPr>
          <w:szCs w:val="24"/>
          <w:lang w:val="en-GB"/>
        </w:rPr>
        <w:t xml:space="preserve">ember </w:t>
      </w:r>
      <w:r w:rsidR="005760C0" w:rsidRPr="00774DE0">
        <w:rPr>
          <w:szCs w:val="24"/>
          <w:lang w:val="en-GB"/>
        </w:rPr>
        <w:t>S</w:t>
      </w:r>
      <w:r w:rsidRPr="00774DE0">
        <w:rPr>
          <w:szCs w:val="24"/>
          <w:lang w:val="en-GB"/>
        </w:rPr>
        <w:t>tates have enacted legislation to protect citizens from multiple and intersectional discrimination</w:t>
      </w:r>
      <w:r w:rsidRPr="00774DE0">
        <w:rPr>
          <w:rStyle w:val="FootnoteReference"/>
          <w:szCs w:val="24"/>
          <w:lang w:val="en-GB"/>
        </w:rPr>
        <w:footnoteReference w:id="17"/>
      </w:r>
      <w:r w:rsidRPr="00774DE0">
        <w:rPr>
          <w:szCs w:val="24"/>
          <w:lang w:val="en-GB"/>
        </w:rPr>
        <w:t>, and a number of Equality Bodies report engaging in this matter.</w:t>
      </w:r>
      <w:r w:rsidRPr="00774DE0">
        <w:rPr>
          <w:rStyle w:val="FootnoteReference"/>
          <w:szCs w:val="24"/>
          <w:lang w:val="en-GB"/>
        </w:rPr>
        <w:footnoteReference w:id="18"/>
      </w:r>
      <w:r w:rsidRPr="00774DE0">
        <w:rPr>
          <w:szCs w:val="24"/>
          <w:lang w:val="en-GB"/>
        </w:rPr>
        <w:t xml:space="preserve"> </w:t>
      </w:r>
    </w:p>
    <w:p w14:paraId="5ECFA853" w14:textId="2D1C67E5" w:rsidR="00570B67" w:rsidRPr="00FF3597" w:rsidRDefault="00570B67" w:rsidP="00FF3597">
      <w:pPr>
        <w:pStyle w:val="Heading3"/>
      </w:pPr>
      <w:bookmarkStart w:id="34" w:name="_Toc95152644"/>
      <w:bookmarkStart w:id="35" w:name="_Toc95152751"/>
      <w:bookmarkStart w:id="36" w:name="_Toc95740754"/>
      <w:r w:rsidRPr="00FF3597">
        <w:t>Issues faced by persons with disabilities with intersectional identities</w:t>
      </w:r>
      <w:r w:rsidR="00513298" w:rsidRPr="00FF3597">
        <w:rPr>
          <w:rStyle w:val="FootnoteReference"/>
          <w:vertAlign w:val="baseline"/>
        </w:rPr>
        <w:footnoteReference w:id="19"/>
      </w:r>
      <w:bookmarkEnd w:id="34"/>
      <w:bookmarkEnd w:id="35"/>
      <w:bookmarkEnd w:id="36"/>
      <w:r w:rsidRPr="00FF3597">
        <w:t xml:space="preserve"> </w:t>
      </w:r>
    </w:p>
    <w:p w14:paraId="3E267FC7" w14:textId="3ECCE371" w:rsidR="000B0201" w:rsidRPr="00774DE0" w:rsidRDefault="000B0201" w:rsidP="00C252FB">
      <w:pPr>
        <w:pStyle w:val="Heading4"/>
      </w:pPr>
      <w:bookmarkStart w:id="37" w:name="_yuby62sml3m1" w:colFirst="0" w:colLast="0"/>
      <w:bookmarkStart w:id="38" w:name="_Toc95152645"/>
      <w:bookmarkStart w:id="39" w:name="_Toc95152752"/>
      <w:bookmarkStart w:id="40" w:name="_Toc95740755"/>
      <w:bookmarkStart w:id="41" w:name="_Hlk89680132"/>
      <w:bookmarkEnd w:id="37"/>
      <w:r w:rsidRPr="00774DE0">
        <w:t>Children and young persons with disabilities</w:t>
      </w:r>
      <w:bookmarkEnd w:id="38"/>
      <w:bookmarkEnd w:id="39"/>
      <w:bookmarkEnd w:id="40"/>
      <w:r w:rsidRPr="00774DE0">
        <w:t xml:space="preserve"> </w:t>
      </w:r>
    </w:p>
    <w:p w14:paraId="2B8F4329" w14:textId="69027E7A" w:rsidR="00C73FDE" w:rsidRPr="00774DE0" w:rsidRDefault="000B0201" w:rsidP="00E27E94">
      <w:pPr>
        <w:spacing w:after="120"/>
        <w:rPr>
          <w:bCs/>
          <w:szCs w:val="24"/>
          <w:lang w:val="en-GB"/>
        </w:rPr>
      </w:pPr>
      <w:r w:rsidRPr="00774DE0">
        <w:rPr>
          <w:szCs w:val="24"/>
          <w:lang w:val="en-GB"/>
        </w:rPr>
        <w:t>There is no data on the number of children and young persons with disabilities living in the European Union, or in Europe. Despite this lack of information on their number and situation, research indicates that children and young persons with disabilities</w:t>
      </w:r>
      <w:r w:rsidR="00950678" w:rsidRPr="00774DE0">
        <w:rPr>
          <w:szCs w:val="24"/>
          <w:lang w:val="en-GB"/>
        </w:rPr>
        <w:t xml:space="preserve"> face multitude accounts of discrimination, leading to, for instance,</w:t>
      </w:r>
      <w:r w:rsidRPr="00774DE0">
        <w:rPr>
          <w:szCs w:val="24"/>
          <w:lang w:val="en-GB"/>
        </w:rPr>
        <w:t xml:space="preserve"> limited access to quality, inclusive education,</w:t>
      </w:r>
      <w:r w:rsidR="0050050F" w:rsidRPr="00774DE0">
        <w:rPr>
          <w:szCs w:val="24"/>
          <w:lang w:val="en-GB"/>
        </w:rPr>
        <w:t xml:space="preserve"> violation of their right to grow up in a family, </w:t>
      </w:r>
      <w:r w:rsidRPr="00774DE0">
        <w:rPr>
          <w:szCs w:val="24"/>
          <w:lang w:val="en-GB"/>
        </w:rPr>
        <w:t xml:space="preserve">institutionalisation, and violence. </w:t>
      </w:r>
      <w:r w:rsidR="00C73FDE" w:rsidRPr="00774DE0">
        <w:rPr>
          <w:szCs w:val="24"/>
          <w:lang w:val="en-GB"/>
        </w:rPr>
        <w:t>In most European countries, children with disabilities are overrepresented in residential care.</w:t>
      </w:r>
      <w:r w:rsidR="00C73FDE" w:rsidRPr="00774DE0">
        <w:rPr>
          <w:bCs/>
          <w:szCs w:val="24"/>
          <w:lang w:val="en-GB"/>
        </w:rPr>
        <w:t xml:space="preserve"> In a 2021 report by UNICEF, 8 out of 27 Member States placed children in alternative care on the basis of disability.</w:t>
      </w:r>
      <w:r w:rsidR="00C73FDE" w:rsidRPr="00774DE0">
        <w:rPr>
          <w:rStyle w:val="FootnoteReference"/>
          <w:bCs/>
          <w:szCs w:val="24"/>
          <w:lang w:val="en-GB"/>
        </w:rPr>
        <w:footnoteReference w:id="20"/>
      </w:r>
      <w:r w:rsidR="00C73FDE" w:rsidRPr="00774DE0">
        <w:rPr>
          <w:bCs/>
          <w:szCs w:val="24"/>
          <w:lang w:val="en-GB"/>
        </w:rPr>
        <w:t xml:space="preserve"> The Opening Doors campaign documented that children with disabilities continue to be disproportionately represented in institutional </w:t>
      </w:r>
      <w:r w:rsidR="007F1C92" w:rsidRPr="00774DE0">
        <w:rPr>
          <w:bCs/>
          <w:szCs w:val="24"/>
          <w:lang w:val="en-GB"/>
        </w:rPr>
        <w:t>care and</w:t>
      </w:r>
      <w:r w:rsidR="00C73FDE" w:rsidRPr="00774DE0">
        <w:rPr>
          <w:bCs/>
          <w:szCs w:val="24"/>
          <w:lang w:val="en-GB"/>
        </w:rPr>
        <w:t xml:space="preserve"> face high levels of discrimination and neglect.</w:t>
      </w:r>
      <w:r w:rsidR="00C73FDE" w:rsidRPr="00774DE0">
        <w:rPr>
          <w:rStyle w:val="FootnoteReference"/>
          <w:bCs/>
          <w:szCs w:val="24"/>
          <w:lang w:val="en-GB"/>
        </w:rPr>
        <w:footnoteReference w:id="21"/>
      </w:r>
      <w:r w:rsidR="00C73FDE" w:rsidRPr="00774DE0">
        <w:rPr>
          <w:bCs/>
          <w:szCs w:val="24"/>
          <w:lang w:val="en-GB"/>
        </w:rPr>
        <w:t xml:space="preserve"> According to UNICEF, across Eastern Europe and Central Asia, children with disabilities are almost 17 times more likely than other children to </w:t>
      </w:r>
      <w:r w:rsidR="00C73FDE" w:rsidRPr="00774DE0">
        <w:rPr>
          <w:bCs/>
          <w:szCs w:val="24"/>
          <w:lang w:val="en-GB"/>
        </w:rPr>
        <w:lastRenderedPageBreak/>
        <w:t>be institutionalised. Placement in such institutions increases the risk of violence.</w:t>
      </w:r>
      <w:r w:rsidR="00C73FDE" w:rsidRPr="00774DE0">
        <w:rPr>
          <w:rStyle w:val="FootnoteReference"/>
          <w:bCs/>
          <w:szCs w:val="24"/>
          <w:lang w:val="en-GB"/>
        </w:rPr>
        <w:footnoteReference w:id="22"/>
      </w:r>
      <w:r w:rsidR="00C73FDE" w:rsidRPr="00774DE0">
        <w:rPr>
          <w:bCs/>
          <w:szCs w:val="24"/>
          <w:lang w:val="en-GB"/>
        </w:rPr>
        <w:t xml:space="preserve"> Children with disabilities are most likely to be left behind by de-institutionalisation efforts.</w:t>
      </w:r>
    </w:p>
    <w:p w14:paraId="4DFEDAEA" w14:textId="71A9C26A" w:rsidR="007F00B8" w:rsidRPr="00774DE0" w:rsidRDefault="002473EC" w:rsidP="00E27E94">
      <w:pPr>
        <w:spacing w:after="120"/>
        <w:rPr>
          <w:szCs w:val="24"/>
          <w:lang w:val="en-GB"/>
        </w:rPr>
      </w:pPr>
      <w:r w:rsidRPr="00774DE0">
        <w:rPr>
          <w:szCs w:val="24"/>
          <w:lang w:val="en-GB"/>
        </w:rPr>
        <w:t>In addition, young people with disabilities are more likely to face</w:t>
      </w:r>
      <w:r w:rsidR="001C2532" w:rsidRPr="00774DE0">
        <w:rPr>
          <w:szCs w:val="24"/>
          <w:lang w:val="en-GB"/>
        </w:rPr>
        <w:t xml:space="preserve"> limited access to employment and social protection,</w:t>
      </w:r>
      <w:r w:rsidRPr="00774DE0">
        <w:rPr>
          <w:szCs w:val="24"/>
          <w:lang w:val="en-GB"/>
        </w:rPr>
        <w:t xml:space="preserve"> and be denied access to proper healthcare</w:t>
      </w:r>
      <w:r w:rsidR="007F00B8" w:rsidRPr="00774DE0">
        <w:rPr>
          <w:szCs w:val="24"/>
          <w:lang w:val="en-GB"/>
        </w:rPr>
        <w:t>,</w:t>
      </w:r>
      <w:r w:rsidRPr="00774DE0">
        <w:rPr>
          <w:szCs w:val="24"/>
          <w:lang w:val="en-GB"/>
        </w:rPr>
        <w:t xml:space="preserve"> including mental health and sexual and reproductive health. </w:t>
      </w:r>
    </w:p>
    <w:p w14:paraId="51ECB09F" w14:textId="731E0620" w:rsidR="002473EC" w:rsidRPr="00774DE0" w:rsidRDefault="002473EC" w:rsidP="00E27E94">
      <w:pPr>
        <w:spacing w:after="120"/>
        <w:rPr>
          <w:szCs w:val="24"/>
          <w:lang w:val="en-GB"/>
        </w:rPr>
      </w:pPr>
      <w:r w:rsidRPr="00774DE0">
        <w:rPr>
          <w:szCs w:val="24"/>
          <w:lang w:val="en-GB"/>
        </w:rPr>
        <w:t>In a report by the European Youth Forum on multiple discrimination and young people in Europe, disability was reported as one of the reasons leading to young people being isolated, due to a lack of adequate support measures, notably in the education system.</w:t>
      </w:r>
      <w:r w:rsidRPr="00774DE0">
        <w:rPr>
          <w:rStyle w:val="FootnoteReference"/>
          <w:szCs w:val="24"/>
          <w:lang w:val="en-GB"/>
        </w:rPr>
        <w:footnoteReference w:id="23"/>
      </w:r>
      <w:r w:rsidRPr="00774DE0">
        <w:rPr>
          <w:szCs w:val="24"/>
          <w:lang w:val="en-GB"/>
        </w:rPr>
        <w:t xml:space="preserve"> In an online survey conducted by the European Youth Forum, respondents with disabilities also reported that being left without any help to face personal difficulties and challenges led to deeper depression and even to alcohol or drug abuse, failures at exams and</w:t>
      </w:r>
      <w:r w:rsidR="00BB7293" w:rsidRPr="00774DE0">
        <w:rPr>
          <w:szCs w:val="24"/>
          <w:lang w:val="en-GB"/>
        </w:rPr>
        <w:t xml:space="preserve"> school</w:t>
      </w:r>
      <w:r w:rsidRPr="00774DE0">
        <w:rPr>
          <w:szCs w:val="24"/>
          <w:lang w:val="en-GB"/>
        </w:rPr>
        <w:t xml:space="preserve"> </w:t>
      </w:r>
      <w:r w:rsidR="00790B37" w:rsidRPr="00774DE0">
        <w:rPr>
          <w:szCs w:val="24"/>
          <w:lang w:val="en-GB"/>
        </w:rPr>
        <w:t>dropout</w:t>
      </w:r>
      <w:r w:rsidRPr="00774DE0">
        <w:rPr>
          <w:szCs w:val="24"/>
          <w:lang w:val="en-GB"/>
        </w:rPr>
        <w:t>.</w:t>
      </w:r>
      <w:r w:rsidRPr="00774DE0">
        <w:rPr>
          <w:rStyle w:val="FootnoteReference"/>
          <w:szCs w:val="24"/>
          <w:lang w:val="en-GB"/>
        </w:rPr>
        <w:footnoteReference w:id="24"/>
      </w:r>
      <w:r w:rsidRPr="00774DE0">
        <w:rPr>
          <w:szCs w:val="24"/>
          <w:lang w:val="en-GB"/>
        </w:rPr>
        <w:t xml:space="preserve"> At an age when young people feel they might not been taken seriously or be seen as “exaggerating,” young people with disabilities, especially with psychosocial disabilities, face even more stigma.</w:t>
      </w:r>
    </w:p>
    <w:p w14:paraId="2F9007BA" w14:textId="5A3B4859" w:rsidR="009C1461" w:rsidRPr="00774DE0" w:rsidRDefault="009C1461" w:rsidP="00E27E94">
      <w:pPr>
        <w:spacing w:after="120"/>
        <w:rPr>
          <w:szCs w:val="24"/>
          <w:lang w:val="en-GB"/>
        </w:rPr>
      </w:pPr>
      <w:r w:rsidRPr="00774DE0">
        <w:rPr>
          <w:szCs w:val="24"/>
          <w:lang w:val="en-GB"/>
        </w:rPr>
        <w:t>These barriers also extend to the field of employment, in which the possibility to work from home would be used by employers as a reason to refrain from adapting workplaces to be accessible for young people with disabilities and chronic illness. Furthermore, young people with disabilities have experienced challenges to their financial security, particularly during the COVID-19 pandemic, which have been exacerbated due to age-based discrimination and eligibility requirements in social protection mechanisms that often exclude youth.</w:t>
      </w:r>
      <w:r w:rsidRPr="00774DE0">
        <w:rPr>
          <w:rStyle w:val="FootnoteReference"/>
          <w:szCs w:val="24"/>
          <w:lang w:val="en-GB"/>
        </w:rPr>
        <w:footnoteReference w:id="25"/>
      </w:r>
      <w:r w:rsidRPr="00774DE0">
        <w:rPr>
          <w:szCs w:val="24"/>
          <w:lang w:val="en-GB"/>
        </w:rPr>
        <w:t xml:space="preserve"> </w:t>
      </w:r>
    </w:p>
    <w:p w14:paraId="48171D06" w14:textId="1D82868F" w:rsidR="000B0201" w:rsidRPr="00774DE0" w:rsidRDefault="000B0201" w:rsidP="00E27E94">
      <w:pPr>
        <w:spacing w:after="120"/>
        <w:rPr>
          <w:szCs w:val="24"/>
          <w:lang w:val="en-GB"/>
        </w:rPr>
      </w:pPr>
      <w:r w:rsidRPr="00774DE0">
        <w:rPr>
          <w:szCs w:val="24"/>
          <w:lang w:val="en-GB"/>
        </w:rPr>
        <w:t>Several Equality Bodies, when their mandate allows, made campaigns on the rights of children and young persons with disabilities in Europe.</w:t>
      </w:r>
      <w:r w:rsidRPr="00774DE0">
        <w:rPr>
          <w:rStyle w:val="FootnoteReference"/>
          <w:szCs w:val="24"/>
          <w:lang w:val="en-GB"/>
        </w:rPr>
        <w:footnoteReference w:id="26"/>
      </w:r>
      <w:r w:rsidRPr="00774DE0">
        <w:rPr>
          <w:szCs w:val="24"/>
          <w:lang w:val="en-GB"/>
        </w:rPr>
        <w:t xml:space="preserve"> For example, the Irish Human Rights and Equality Commission prepared and presented observations on the Education (Admissions to School) Bill 2015 at draft stage. Issues identified included the need to ensure that the regulatory framework guiding school admissions criteria and policies take account of difficulties experienced by particular groups of people in accessing education including traveller children and children with disabilities or special educational needs.</w:t>
      </w:r>
      <w:r w:rsidRPr="00774DE0">
        <w:rPr>
          <w:rStyle w:val="FootnoteReference"/>
          <w:szCs w:val="24"/>
          <w:lang w:val="en-GB"/>
        </w:rPr>
        <w:footnoteReference w:id="27"/>
      </w:r>
      <w:r w:rsidRPr="00774DE0">
        <w:rPr>
          <w:szCs w:val="24"/>
          <w:lang w:val="en-GB"/>
        </w:rPr>
        <w:t xml:space="preserve"> In Lithuania, </w:t>
      </w:r>
      <w:r w:rsidRPr="00774DE0">
        <w:rPr>
          <w:szCs w:val="24"/>
          <w:lang w:val="en-GB"/>
        </w:rPr>
        <w:lastRenderedPageBreak/>
        <w:t>the Office of the Equal Opportunities Ombudsperson’s (</w:t>
      </w:r>
      <w:r w:rsidR="007F00B8" w:rsidRPr="00774DE0">
        <w:rPr>
          <w:szCs w:val="24"/>
          <w:lang w:val="en-GB"/>
        </w:rPr>
        <w:t xml:space="preserve">both an Equality body and </w:t>
      </w:r>
      <w:r w:rsidRPr="00774DE0">
        <w:rPr>
          <w:szCs w:val="24"/>
          <w:lang w:val="en-GB"/>
        </w:rPr>
        <w:t>CRPD article 33.2 independent mechanism) interventions led to the adoption of a policy for children to get higher quality hearing aid.</w:t>
      </w:r>
      <w:r w:rsidRPr="00774DE0">
        <w:rPr>
          <w:rStyle w:val="FootnoteReference"/>
          <w:szCs w:val="24"/>
          <w:lang w:val="en-GB"/>
        </w:rPr>
        <w:footnoteReference w:id="28"/>
      </w:r>
      <w:bookmarkStart w:id="43" w:name="_jljpcnyx431e" w:colFirst="0" w:colLast="0"/>
      <w:bookmarkEnd w:id="43"/>
    </w:p>
    <w:p w14:paraId="39C14892" w14:textId="521F90C1" w:rsidR="000B0201" w:rsidRPr="00774DE0" w:rsidRDefault="000B0201" w:rsidP="00E27E94">
      <w:pPr>
        <w:spacing w:after="120"/>
        <w:rPr>
          <w:szCs w:val="24"/>
          <w:lang w:val="en-GB"/>
        </w:rPr>
      </w:pPr>
      <w:r w:rsidRPr="00774DE0">
        <w:rPr>
          <w:szCs w:val="24"/>
          <w:lang w:val="en-GB"/>
        </w:rPr>
        <w:t>The issue of insurance provisions for children with disabilities has also been a point of attention for Equality Bodies. While non-discrimination law generally prohibits unequal treatment of individuals based on statistical findings with respect to their group belonging, insurance companies operate precisely on group-based statistical assessments.</w:t>
      </w:r>
      <w:r w:rsidRPr="00774DE0">
        <w:rPr>
          <w:rStyle w:val="FootnoteReference"/>
          <w:szCs w:val="24"/>
          <w:lang w:val="en-GB"/>
        </w:rPr>
        <w:footnoteReference w:id="29"/>
      </w:r>
      <w:r w:rsidRPr="00774DE0">
        <w:rPr>
          <w:szCs w:val="24"/>
          <w:lang w:val="en-GB"/>
        </w:rPr>
        <w:t xml:space="preserve"> </w:t>
      </w:r>
      <w:r w:rsidR="00A81BE6" w:rsidRPr="00774DE0">
        <w:rPr>
          <w:szCs w:val="24"/>
          <w:lang w:val="en-GB"/>
        </w:rPr>
        <w:t xml:space="preserve">Young persons with disabilities also faced issues travelling or moving to other EU Member States when insurances do not cover them because of their disability. </w:t>
      </w:r>
    </w:p>
    <w:p w14:paraId="4709D744" w14:textId="51D73734" w:rsidR="000B0201" w:rsidRPr="00774DE0" w:rsidRDefault="000B0201" w:rsidP="00E27E94">
      <w:pPr>
        <w:spacing w:after="120"/>
        <w:rPr>
          <w:szCs w:val="24"/>
          <w:lang w:val="en-GB"/>
        </w:rPr>
      </w:pPr>
      <w:r w:rsidRPr="00774DE0">
        <w:rPr>
          <w:szCs w:val="24"/>
          <w:lang w:val="en-GB"/>
        </w:rPr>
        <w:t>Another topic that has devoted attention from Equality bodies as regards to young people with disabilities, has been the lack of reasonable accommodation in schools. Access to</w:t>
      </w:r>
      <w:r w:rsidR="00BB7293" w:rsidRPr="00774DE0">
        <w:rPr>
          <w:szCs w:val="24"/>
          <w:lang w:val="en-GB"/>
        </w:rPr>
        <w:t xml:space="preserve"> education and quality of educational</w:t>
      </w:r>
      <w:r w:rsidRPr="00774DE0">
        <w:rPr>
          <w:szCs w:val="24"/>
          <w:lang w:val="en-GB"/>
        </w:rPr>
        <w:t xml:space="preserve"> outcomes were given significant mention by the equality bodies as an issue for young people. The Office of the Ombudswoman in Croatia, for example, noted inequalities in access to education where access for young people depends on their parents’ property status. The Latvian Ombudsman identified the specific issues of inclusive education for children with disabilities and retaining Muslim children in school.</w:t>
      </w:r>
      <w:r w:rsidRPr="00774DE0">
        <w:rPr>
          <w:rStyle w:val="FootnoteReference"/>
          <w:szCs w:val="24"/>
          <w:lang w:val="en-GB"/>
        </w:rPr>
        <w:footnoteReference w:id="30"/>
      </w:r>
    </w:p>
    <w:p w14:paraId="5F941774" w14:textId="77777777" w:rsidR="000B0201" w:rsidRPr="00774DE0" w:rsidRDefault="000B0201" w:rsidP="00E27E94">
      <w:pPr>
        <w:spacing w:after="120"/>
        <w:rPr>
          <w:szCs w:val="24"/>
          <w:lang w:val="en-GB"/>
        </w:rPr>
      </w:pPr>
      <w:r w:rsidRPr="00774DE0">
        <w:rPr>
          <w:szCs w:val="24"/>
          <w:lang w:val="en-GB"/>
        </w:rPr>
        <w:t xml:space="preserve">A </w:t>
      </w:r>
      <w:hyperlink r:id="rId55" w:history="1">
        <w:r w:rsidRPr="00774DE0">
          <w:rPr>
            <w:rStyle w:val="Hyperlink"/>
            <w:szCs w:val="24"/>
            <w:lang w:val="en-GB"/>
          </w:rPr>
          <w:t>EU Youth Strategy for 2019-2027</w:t>
        </w:r>
      </w:hyperlink>
      <w:r w:rsidRPr="00774DE0">
        <w:rPr>
          <w:szCs w:val="24"/>
          <w:lang w:val="en-GB"/>
        </w:rPr>
        <w:t xml:space="preserve"> with 11 European Youth Goals was adopted in 2018. It completely failed to include young persons with disabilities</w:t>
      </w:r>
    </w:p>
    <w:p w14:paraId="4823A358" w14:textId="1996C74A" w:rsidR="001E047B" w:rsidRPr="00774DE0" w:rsidRDefault="000B0201" w:rsidP="00E27E94">
      <w:pPr>
        <w:spacing w:after="120"/>
        <w:rPr>
          <w:szCs w:val="24"/>
          <w:lang w:val="en-GB"/>
        </w:rPr>
      </w:pPr>
      <w:r w:rsidRPr="00774DE0">
        <w:rPr>
          <w:bCs/>
          <w:szCs w:val="24"/>
          <w:lang w:val="en-GB"/>
        </w:rPr>
        <w:t xml:space="preserve">Newly adopted policies on children are more inclusive </w:t>
      </w:r>
      <w:r w:rsidR="00BB7293" w:rsidRPr="00774DE0">
        <w:rPr>
          <w:bCs/>
          <w:szCs w:val="24"/>
          <w:lang w:val="en-GB"/>
        </w:rPr>
        <w:t>of</w:t>
      </w:r>
      <w:r w:rsidRPr="00774DE0">
        <w:rPr>
          <w:bCs/>
          <w:szCs w:val="24"/>
          <w:lang w:val="en-GB"/>
        </w:rPr>
        <w:t xml:space="preserve"> children with disabilities. In 2021, the EU adopted its new </w:t>
      </w:r>
      <w:hyperlink r:id="rId56" w:history="1">
        <w:r w:rsidRPr="00774DE0">
          <w:rPr>
            <w:rStyle w:val="Hyperlink"/>
            <w:bCs/>
            <w:szCs w:val="24"/>
            <w:lang w:val="en-GB"/>
          </w:rPr>
          <w:t>Strategy on the Rights of the Child</w:t>
        </w:r>
      </w:hyperlink>
      <w:r w:rsidRPr="00774DE0">
        <w:rPr>
          <w:bCs/>
          <w:szCs w:val="24"/>
          <w:lang w:val="en-GB"/>
        </w:rPr>
        <w:t xml:space="preserve"> that acknowledges the rights of children with disabilities.</w:t>
      </w:r>
      <w:r w:rsidRPr="00774DE0">
        <w:rPr>
          <w:bCs/>
          <w:szCs w:val="24"/>
          <w:vertAlign w:val="superscript"/>
          <w:lang w:val="en-GB"/>
        </w:rPr>
        <w:footnoteReference w:id="31"/>
      </w:r>
      <w:r w:rsidRPr="00774DE0">
        <w:rPr>
          <w:bCs/>
          <w:szCs w:val="24"/>
          <w:lang w:val="en-GB"/>
        </w:rPr>
        <w:t xml:space="preserve"> It is explicitly mentioned that the Strategy is anchored to the CRPD. However, the </w:t>
      </w:r>
      <w:hyperlink r:id="rId57" w:history="1">
        <w:r w:rsidR="001E047B" w:rsidRPr="00774DE0">
          <w:rPr>
            <w:rStyle w:val="Hyperlink"/>
            <w:bCs/>
            <w:szCs w:val="24"/>
            <w:lang w:val="en-GB"/>
          </w:rPr>
          <w:t>Child Guarantee for Vulnerable Children (or Child Guarantee)</w:t>
        </w:r>
      </w:hyperlink>
      <w:r w:rsidRPr="00774DE0">
        <w:rPr>
          <w:rStyle w:val="FootnoteReference"/>
          <w:szCs w:val="24"/>
          <w:lang w:val="en-GB"/>
        </w:rPr>
        <w:footnoteReference w:id="32"/>
      </w:r>
      <w:r w:rsidRPr="00774DE0">
        <w:rPr>
          <w:bCs/>
          <w:szCs w:val="24"/>
          <w:lang w:val="en-GB"/>
        </w:rPr>
        <w:t xml:space="preserve"> lacks a strong commitment to end the institutionalisation of children across the EU. </w:t>
      </w:r>
      <w:r w:rsidR="001E047B" w:rsidRPr="00774DE0">
        <w:rPr>
          <w:bCs/>
          <w:szCs w:val="24"/>
          <w:lang w:val="en-GB"/>
        </w:rPr>
        <w:t xml:space="preserve">Worryingly, the </w:t>
      </w:r>
      <w:hyperlink r:id="rId58" w:history="1">
        <w:r w:rsidR="001E047B" w:rsidRPr="00774DE0">
          <w:rPr>
            <w:rStyle w:val="Hyperlink"/>
            <w:bCs/>
            <w:szCs w:val="24"/>
            <w:lang w:val="en-GB"/>
          </w:rPr>
          <w:t>Council Recommendation on the European Child Guarantee</w:t>
        </w:r>
      </w:hyperlink>
      <w:r w:rsidR="001E047B" w:rsidRPr="00774DE0">
        <w:rPr>
          <w:bCs/>
          <w:szCs w:val="24"/>
          <w:lang w:val="en-GB"/>
        </w:rPr>
        <w:t xml:space="preserve"> includes the option to place children in institutions, despite the fact that this is never in a child’s best interests. </w:t>
      </w:r>
      <w:r w:rsidRPr="00774DE0">
        <w:rPr>
          <w:bCs/>
          <w:szCs w:val="24"/>
          <w:lang w:val="en-GB"/>
        </w:rPr>
        <w:t>It is a missed opportunity and a particularly pressing issue for children with disabilities who are more likely to be institutionalised, and to remain in institutions on a long-term or permanent basis.</w:t>
      </w:r>
      <w:r w:rsidR="00BB7293" w:rsidRPr="00774DE0">
        <w:rPr>
          <w:szCs w:val="24"/>
          <w:lang w:val="en-GB"/>
        </w:rPr>
        <w:t xml:space="preserve"> </w:t>
      </w:r>
    </w:p>
    <w:p w14:paraId="00000015" w14:textId="46DC6BAA" w:rsidR="007C7FBF" w:rsidRPr="00774DE0" w:rsidRDefault="007C7FBF" w:rsidP="00C252FB">
      <w:pPr>
        <w:pStyle w:val="Heading4"/>
      </w:pPr>
      <w:bookmarkStart w:id="44" w:name="_Toc95152646"/>
      <w:bookmarkStart w:id="45" w:name="_Toc95152753"/>
      <w:bookmarkStart w:id="46" w:name="_Toc95740756"/>
      <w:r w:rsidRPr="00774DE0">
        <w:t>Girls and women with disabilities</w:t>
      </w:r>
      <w:bookmarkEnd w:id="44"/>
      <w:bookmarkEnd w:id="45"/>
      <w:bookmarkEnd w:id="46"/>
      <w:r w:rsidRPr="00774DE0">
        <w:t xml:space="preserve"> </w:t>
      </w:r>
    </w:p>
    <w:p w14:paraId="4BC78327" w14:textId="68DB391F" w:rsidR="001E146A" w:rsidRPr="00774DE0" w:rsidRDefault="001E146A" w:rsidP="00E27E94">
      <w:pPr>
        <w:spacing w:after="120"/>
        <w:rPr>
          <w:szCs w:val="24"/>
          <w:lang w:val="en-GB"/>
        </w:rPr>
      </w:pPr>
      <w:r w:rsidRPr="00774DE0">
        <w:rPr>
          <w:szCs w:val="24"/>
          <w:lang w:val="en-GB"/>
        </w:rPr>
        <w:t>There are over 60 million women and girls with disabilities living in the EU (60% of the population of persons with disabilities).</w:t>
      </w:r>
    </w:p>
    <w:p w14:paraId="582F9FB9" w14:textId="34BF344F" w:rsidR="00F04828" w:rsidRPr="00774DE0" w:rsidRDefault="00F04828" w:rsidP="00F04828">
      <w:pPr>
        <w:spacing w:after="120"/>
        <w:rPr>
          <w:szCs w:val="24"/>
          <w:lang w:val="en-GB"/>
        </w:rPr>
      </w:pPr>
      <w:r w:rsidRPr="00774DE0">
        <w:rPr>
          <w:szCs w:val="24"/>
          <w:lang w:val="en-GB"/>
        </w:rPr>
        <w:t xml:space="preserve">Women and girls with disabilities face multiple and intersectional discrimination in all areas of life, including, socio-economic disadvantages, social isolation, violence against women, forced sterilisation and abortion, lack of access to community services, low-quality housing, institutionalisation, inadequate </w:t>
      </w:r>
      <w:r w:rsidR="0095506C" w:rsidRPr="00774DE0">
        <w:rPr>
          <w:szCs w:val="24"/>
          <w:lang w:val="en-GB"/>
        </w:rPr>
        <w:t>healthcare,</w:t>
      </w:r>
      <w:r w:rsidRPr="00774DE0">
        <w:rPr>
          <w:szCs w:val="24"/>
          <w:lang w:val="en-GB"/>
        </w:rPr>
        <w:t xml:space="preserve"> and denial of the opportunity to contribute and engage actively in society.</w:t>
      </w:r>
    </w:p>
    <w:p w14:paraId="360F6987" w14:textId="7CC155A8" w:rsidR="00F04828" w:rsidRPr="00774DE0" w:rsidRDefault="00F04828" w:rsidP="00F04828">
      <w:pPr>
        <w:spacing w:after="120"/>
        <w:rPr>
          <w:szCs w:val="24"/>
          <w:lang w:val="en-GB"/>
        </w:rPr>
      </w:pPr>
      <w:r w:rsidRPr="00774DE0">
        <w:rPr>
          <w:szCs w:val="24"/>
          <w:lang w:val="en-GB"/>
        </w:rPr>
        <w:t>Women with disabilities are 2 to 5 times more likely to face violence. The status of women and girls with disabilities is not only worse than that of women without disabilities but also worse than that of their male peers. This is especially so in rural areas with fewer services and opportunities for this group than in urban environments.</w:t>
      </w:r>
    </w:p>
    <w:p w14:paraId="08503A69" w14:textId="36DE0EAF" w:rsidR="00F04828" w:rsidRPr="00774DE0" w:rsidRDefault="00F4727B" w:rsidP="00F04828">
      <w:pPr>
        <w:spacing w:after="120"/>
        <w:rPr>
          <w:szCs w:val="24"/>
          <w:lang w:val="en-GB"/>
        </w:rPr>
      </w:pPr>
      <w:r w:rsidRPr="00774DE0">
        <w:rPr>
          <w:szCs w:val="24"/>
          <w:lang w:val="en-GB"/>
        </w:rPr>
        <w:t>A</w:t>
      </w:r>
      <w:r w:rsidR="003D14C9" w:rsidRPr="00774DE0">
        <w:rPr>
          <w:szCs w:val="24"/>
          <w:lang w:val="en-GB"/>
        </w:rPr>
        <w:t xml:space="preserve">vailable data </w:t>
      </w:r>
      <w:r w:rsidRPr="00774DE0">
        <w:rPr>
          <w:szCs w:val="24"/>
          <w:lang w:val="en-GB"/>
        </w:rPr>
        <w:t>illustrate the discrimination faced by women with disabilities</w:t>
      </w:r>
      <w:r w:rsidR="003D14C9" w:rsidRPr="00774DE0">
        <w:rPr>
          <w:szCs w:val="24"/>
          <w:lang w:val="en-GB"/>
        </w:rPr>
        <w:t xml:space="preserve"> in the EU</w:t>
      </w:r>
      <w:r w:rsidR="00F04828" w:rsidRPr="00774DE0">
        <w:rPr>
          <w:szCs w:val="24"/>
          <w:lang w:val="en-GB"/>
        </w:rPr>
        <w:t>:</w:t>
      </w:r>
      <w:r w:rsidR="003D14C9" w:rsidRPr="00774DE0">
        <w:rPr>
          <w:rStyle w:val="FootnoteReference"/>
          <w:szCs w:val="24"/>
          <w:lang w:val="en-GB"/>
        </w:rPr>
        <w:footnoteReference w:id="33"/>
      </w:r>
    </w:p>
    <w:p w14:paraId="08DD83DF" w14:textId="77777777" w:rsidR="00F04828" w:rsidRPr="00774DE0" w:rsidRDefault="00F04828" w:rsidP="00F04828">
      <w:pPr>
        <w:numPr>
          <w:ilvl w:val="0"/>
          <w:numId w:val="17"/>
        </w:numPr>
        <w:spacing w:after="120"/>
        <w:rPr>
          <w:szCs w:val="24"/>
          <w:lang w:val="en-GB"/>
        </w:rPr>
      </w:pPr>
      <w:r w:rsidRPr="00774DE0">
        <w:rPr>
          <w:b/>
          <w:bCs/>
          <w:szCs w:val="24"/>
          <w:lang w:val="en-GB"/>
        </w:rPr>
        <w:t>22% of women with disabilities are at risk of poverty</w:t>
      </w:r>
      <w:r w:rsidRPr="00774DE0">
        <w:rPr>
          <w:szCs w:val="24"/>
          <w:lang w:val="en-GB"/>
        </w:rPr>
        <w:t>, comparing to 20.8% of men with disabilities and 15.9% of women without disabilities</w:t>
      </w:r>
    </w:p>
    <w:p w14:paraId="3518BE8E" w14:textId="77777777" w:rsidR="00F04828" w:rsidRPr="00774DE0" w:rsidRDefault="00F04828" w:rsidP="00F04828">
      <w:pPr>
        <w:numPr>
          <w:ilvl w:val="0"/>
          <w:numId w:val="17"/>
        </w:numPr>
        <w:spacing w:after="120"/>
        <w:rPr>
          <w:szCs w:val="24"/>
          <w:lang w:val="en-GB"/>
        </w:rPr>
      </w:pPr>
      <w:r w:rsidRPr="00774DE0">
        <w:rPr>
          <w:b/>
          <w:bCs/>
          <w:szCs w:val="24"/>
          <w:lang w:val="en-GB"/>
        </w:rPr>
        <w:t>6% of women with disabilities are in full-time employment</w:t>
      </w:r>
      <w:r w:rsidRPr="00774DE0">
        <w:rPr>
          <w:szCs w:val="24"/>
          <w:lang w:val="en-GB"/>
        </w:rPr>
        <w:t>, comparing to 28.5% of men with disabilities and 48.5% of women without disabilities</w:t>
      </w:r>
    </w:p>
    <w:p w14:paraId="11531E70" w14:textId="77777777" w:rsidR="00F04828" w:rsidRPr="00774DE0" w:rsidRDefault="00F04828" w:rsidP="00F04828">
      <w:pPr>
        <w:numPr>
          <w:ilvl w:val="0"/>
          <w:numId w:val="17"/>
        </w:numPr>
        <w:spacing w:after="120"/>
        <w:rPr>
          <w:szCs w:val="24"/>
          <w:lang w:val="en-GB"/>
        </w:rPr>
      </w:pPr>
      <w:r w:rsidRPr="00774DE0">
        <w:rPr>
          <w:b/>
          <w:bCs/>
          <w:szCs w:val="24"/>
          <w:lang w:val="en-GB"/>
        </w:rPr>
        <w:t>2% of women with disabilities graduate tertiary education</w:t>
      </w:r>
      <w:r w:rsidRPr="00774DE0">
        <w:rPr>
          <w:szCs w:val="24"/>
          <w:lang w:val="en-GB"/>
        </w:rPr>
        <w:t>, comparing to 17.5% of men with disabilities and 29.6% of women without disabilities</w:t>
      </w:r>
    </w:p>
    <w:p w14:paraId="3CC361CA" w14:textId="77777777" w:rsidR="00F04828" w:rsidRPr="00774DE0" w:rsidRDefault="00F04828" w:rsidP="00F04828">
      <w:pPr>
        <w:numPr>
          <w:ilvl w:val="0"/>
          <w:numId w:val="17"/>
        </w:numPr>
        <w:spacing w:after="120"/>
        <w:rPr>
          <w:szCs w:val="24"/>
          <w:lang w:val="en-GB"/>
        </w:rPr>
      </w:pPr>
      <w:r w:rsidRPr="00774DE0">
        <w:rPr>
          <w:b/>
          <w:bCs/>
          <w:szCs w:val="24"/>
          <w:lang w:val="en-GB"/>
        </w:rPr>
        <w:t>6,7% of women with disabilities have unmet needs for medical examination</w:t>
      </w:r>
      <w:r w:rsidRPr="00774DE0">
        <w:rPr>
          <w:szCs w:val="24"/>
          <w:lang w:val="en-GB"/>
        </w:rPr>
        <w:t>, comparing to 5.9% men with disabilities and 2.3% women without disabilities</w:t>
      </w:r>
    </w:p>
    <w:p w14:paraId="650C48D9" w14:textId="20EBF572" w:rsidR="007C7FBF" w:rsidRPr="00774DE0" w:rsidRDefault="00F04828" w:rsidP="00E27E94">
      <w:pPr>
        <w:spacing w:after="120"/>
        <w:rPr>
          <w:szCs w:val="24"/>
          <w:lang w:val="en-GB"/>
        </w:rPr>
      </w:pPr>
      <w:r w:rsidRPr="00774DE0">
        <w:rPr>
          <w:szCs w:val="24"/>
          <w:lang w:val="en-GB"/>
        </w:rPr>
        <w:t xml:space="preserve">This is also reflected in data available at national level. For example, the </w:t>
      </w:r>
      <w:r w:rsidR="007C7FBF" w:rsidRPr="00774DE0">
        <w:rPr>
          <w:szCs w:val="24"/>
          <w:lang w:val="en-GB"/>
        </w:rPr>
        <w:t xml:space="preserve">Commission for the Rights of Persons with disability (CRPD) in Malta, </w:t>
      </w:r>
      <w:r w:rsidR="00EA062F" w:rsidRPr="00774DE0">
        <w:rPr>
          <w:szCs w:val="24"/>
          <w:lang w:val="en-GB"/>
        </w:rPr>
        <w:t>(</w:t>
      </w:r>
      <w:r w:rsidR="007C7FBF" w:rsidRPr="00774DE0">
        <w:rPr>
          <w:szCs w:val="24"/>
          <w:lang w:val="en-GB"/>
        </w:rPr>
        <w:t>both Equality Body and CRPD article 33.2 independent mechanism) reports that the number of complaints coming by women and girls with disabilities in Malta are almost 10% higher than those coming from men.</w:t>
      </w:r>
      <w:r w:rsidR="007C7FBF" w:rsidRPr="00774DE0">
        <w:rPr>
          <w:rStyle w:val="FootnoteReference"/>
          <w:szCs w:val="24"/>
          <w:lang w:val="en-GB"/>
        </w:rPr>
        <w:footnoteReference w:id="34"/>
      </w:r>
    </w:p>
    <w:p w14:paraId="37FA371C" w14:textId="58921889" w:rsidR="007C7FBF" w:rsidRPr="00774DE0" w:rsidRDefault="00F4727B" w:rsidP="00E27E94">
      <w:pPr>
        <w:spacing w:after="120"/>
        <w:rPr>
          <w:szCs w:val="24"/>
          <w:lang w:val="en-GB"/>
        </w:rPr>
      </w:pPr>
      <w:r w:rsidRPr="00774DE0">
        <w:rPr>
          <w:szCs w:val="24"/>
          <w:lang w:val="en-GB"/>
        </w:rPr>
        <w:t xml:space="preserve">Equinet highlighted the risk of poverty and the impact of intersectional discrimination in </w:t>
      </w:r>
      <w:r w:rsidR="007F00B8" w:rsidRPr="00774DE0">
        <w:rPr>
          <w:szCs w:val="24"/>
          <w:lang w:val="en-GB"/>
        </w:rPr>
        <w:t>the</w:t>
      </w:r>
      <w:r w:rsidRPr="00774DE0">
        <w:rPr>
          <w:szCs w:val="24"/>
          <w:lang w:val="en-GB"/>
        </w:rPr>
        <w:t xml:space="preserve"> </w:t>
      </w:r>
      <w:hyperlink r:id="rId59" w:history="1">
        <w:r w:rsidRPr="00774DE0">
          <w:rPr>
            <w:rStyle w:val="Hyperlink"/>
            <w:szCs w:val="24"/>
            <w:lang w:val="en-GB"/>
          </w:rPr>
          <w:t>Report on Women in Poverty: Breaking the Cycle</w:t>
        </w:r>
      </w:hyperlink>
      <w:r w:rsidRPr="00774DE0">
        <w:rPr>
          <w:szCs w:val="24"/>
          <w:lang w:val="en-GB"/>
        </w:rPr>
        <w:t>. For example, it explains that w</w:t>
      </w:r>
      <w:r w:rsidR="007C7FBF" w:rsidRPr="00774DE0">
        <w:rPr>
          <w:szCs w:val="24"/>
          <w:lang w:val="en-GB"/>
        </w:rPr>
        <w:t xml:space="preserve">omen with disabilities face more difficulties in accessing the labour market than men with disabilities, </w:t>
      </w:r>
      <w:r w:rsidR="007C7FBF" w:rsidRPr="00774DE0">
        <w:rPr>
          <w:szCs w:val="24"/>
          <w:lang w:val="en-GB"/>
        </w:rPr>
        <w:lastRenderedPageBreak/>
        <w:t xml:space="preserve">and when women with disabilities work, they often experience unequal hiring and promotion standards, unequal access to training and retraining, to credit and other productive resources, unequal pay for equal work and occupational segregation, </w:t>
      </w:r>
      <w:r w:rsidR="0095506C" w:rsidRPr="00774DE0">
        <w:rPr>
          <w:szCs w:val="24"/>
          <w:lang w:val="en-GB"/>
        </w:rPr>
        <w:t>harassment,</w:t>
      </w:r>
      <w:r w:rsidR="007C7FBF" w:rsidRPr="00774DE0">
        <w:rPr>
          <w:szCs w:val="24"/>
          <w:lang w:val="en-GB"/>
        </w:rPr>
        <w:t xml:space="preserve"> and sexual harassment, and they hardly participate in economic decision-making.</w:t>
      </w:r>
      <w:r w:rsidR="007C7FBF" w:rsidRPr="00774DE0">
        <w:rPr>
          <w:rStyle w:val="FootnoteReference"/>
          <w:szCs w:val="24"/>
          <w:lang w:val="en-GB"/>
        </w:rPr>
        <w:footnoteReference w:id="35"/>
      </w:r>
      <w:r w:rsidR="007C7FBF" w:rsidRPr="00774DE0">
        <w:rPr>
          <w:szCs w:val="24"/>
          <w:lang w:val="en-GB"/>
        </w:rPr>
        <w:t xml:space="preserve"> </w:t>
      </w:r>
    </w:p>
    <w:p w14:paraId="711A00BF" w14:textId="709425F8" w:rsidR="007C7FBF" w:rsidRPr="00774DE0" w:rsidRDefault="00F4727B" w:rsidP="00E27E94">
      <w:pPr>
        <w:spacing w:after="120"/>
        <w:rPr>
          <w:szCs w:val="24"/>
          <w:lang w:val="en-GB"/>
        </w:rPr>
      </w:pPr>
      <w:r w:rsidRPr="00774DE0">
        <w:rPr>
          <w:szCs w:val="24"/>
          <w:lang w:val="en-GB"/>
        </w:rPr>
        <w:t>The report notes that</w:t>
      </w:r>
      <w:r w:rsidR="007C7FBF" w:rsidRPr="00774DE0">
        <w:rPr>
          <w:szCs w:val="24"/>
          <w:lang w:val="en-GB"/>
        </w:rPr>
        <w:t xml:space="preserve"> challenges </w:t>
      </w:r>
      <w:r w:rsidR="007F00B8" w:rsidRPr="00774DE0">
        <w:rPr>
          <w:szCs w:val="24"/>
          <w:lang w:val="en-GB"/>
        </w:rPr>
        <w:t>posed by</w:t>
      </w:r>
      <w:r w:rsidR="007C7FBF" w:rsidRPr="00774DE0">
        <w:rPr>
          <w:szCs w:val="24"/>
          <w:lang w:val="en-GB"/>
        </w:rPr>
        <w:t xml:space="preserve"> poverty increase for women from extra </w:t>
      </w:r>
      <w:r w:rsidRPr="00774DE0">
        <w:rPr>
          <w:szCs w:val="24"/>
          <w:lang w:val="en-GB"/>
        </w:rPr>
        <w:t>disadvantaged</w:t>
      </w:r>
      <w:r w:rsidR="007C7FBF" w:rsidRPr="00774DE0">
        <w:rPr>
          <w:szCs w:val="24"/>
          <w:lang w:val="en-GB"/>
        </w:rPr>
        <w:t xml:space="preserve"> groups, such as women with disabilities, older women, migrant women, Roma women, asylum seekers, homeless women, etc. Women </w:t>
      </w:r>
      <w:r w:rsidRPr="00774DE0">
        <w:rPr>
          <w:szCs w:val="24"/>
          <w:lang w:val="en-GB"/>
        </w:rPr>
        <w:t>with disabilities</w:t>
      </w:r>
      <w:r w:rsidR="007C7FBF" w:rsidRPr="00774DE0">
        <w:rPr>
          <w:szCs w:val="24"/>
          <w:lang w:val="en-GB"/>
        </w:rPr>
        <w:t xml:space="preserve"> for example, can face elevated health care costs. They can also experience additional barriers when physically accessing adapted health care services. In many countries, there is a lack of affordable specialised care services tha</w:t>
      </w:r>
      <w:r w:rsidR="00961503" w:rsidRPr="00774DE0">
        <w:rPr>
          <w:szCs w:val="24"/>
          <w:lang w:val="en-GB"/>
        </w:rPr>
        <w:t>t</w:t>
      </w:r>
      <w:r w:rsidR="007C7FBF" w:rsidRPr="00774DE0">
        <w:rPr>
          <w:szCs w:val="24"/>
          <w:lang w:val="en-GB"/>
        </w:rPr>
        <w:t xml:space="preserve"> can meet their needs</w:t>
      </w:r>
      <w:r w:rsidR="00C73639" w:rsidRPr="00774DE0">
        <w:rPr>
          <w:szCs w:val="24"/>
          <w:lang w:val="en-GB"/>
        </w:rPr>
        <w:t>,</w:t>
      </w:r>
      <w:r w:rsidR="007C7FBF" w:rsidRPr="00774DE0">
        <w:rPr>
          <w:rStyle w:val="FootnoteReference"/>
          <w:szCs w:val="24"/>
          <w:lang w:val="en-GB"/>
        </w:rPr>
        <w:footnoteReference w:id="36"/>
      </w:r>
      <w:r w:rsidR="00C73639" w:rsidRPr="00774DE0">
        <w:rPr>
          <w:szCs w:val="24"/>
          <w:lang w:val="en-GB"/>
        </w:rPr>
        <w:t xml:space="preserve"> and their right to sexual and reproductive health is often not ensured. </w:t>
      </w:r>
    </w:p>
    <w:p w14:paraId="60D01AF6" w14:textId="2B1017C7" w:rsidR="007C7FBF" w:rsidRPr="00774DE0" w:rsidRDefault="007C7FBF" w:rsidP="00E27E94">
      <w:pPr>
        <w:spacing w:after="120"/>
        <w:rPr>
          <w:szCs w:val="24"/>
          <w:lang w:val="en-GB"/>
        </w:rPr>
      </w:pPr>
      <w:r w:rsidRPr="00774DE0">
        <w:rPr>
          <w:szCs w:val="24"/>
          <w:lang w:val="en-GB"/>
        </w:rPr>
        <w:t xml:space="preserve">The gender digital divide is also undermining women’s possibilities to </w:t>
      </w:r>
      <w:r w:rsidR="00961503" w:rsidRPr="00774DE0">
        <w:rPr>
          <w:szCs w:val="24"/>
          <w:lang w:val="en-GB"/>
        </w:rPr>
        <w:t xml:space="preserve">meet digital literacy requirements, including </w:t>
      </w:r>
      <w:r w:rsidRPr="00774DE0">
        <w:rPr>
          <w:szCs w:val="24"/>
          <w:lang w:val="en-GB"/>
        </w:rPr>
        <w:t xml:space="preserve">new forms of work. The gender digital gap is a major issue for women in rural areas, women with disabilities, older women, migrant </w:t>
      </w:r>
      <w:r w:rsidR="0095506C" w:rsidRPr="00774DE0">
        <w:rPr>
          <w:szCs w:val="24"/>
          <w:lang w:val="en-GB"/>
        </w:rPr>
        <w:t>women,</w:t>
      </w:r>
      <w:r w:rsidRPr="00774DE0">
        <w:rPr>
          <w:szCs w:val="24"/>
          <w:lang w:val="en-GB"/>
        </w:rPr>
        <w:t xml:space="preserve"> or women with a minority ethnic background.</w:t>
      </w:r>
      <w:r w:rsidRPr="00774DE0">
        <w:rPr>
          <w:rStyle w:val="FootnoteReference"/>
          <w:szCs w:val="24"/>
          <w:lang w:val="en-GB"/>
        </w:rPr>
        <w:footnoteReference w:id="37"/>
      </w:r>
      <w:r w:rsidR="00C73639" w:rsidRPr="00774DE0">
        <w:rPr>
          <w:szCs w:val="24"/>
          <w:lang w:val="en-GB"/>
        </w:rPr>
        <w:t xml:space="preserve"> Women and girls with disabilities are even more excluded when digital tools are not available and/or accessible to them. </w:t>
      </w:r>
    </w:p>
    <w:p w14:paraId="00000017" w14:textId="0B642EE8" w:rsidR="007C7FBF" w:rsidRPr="00774DE0" w:rsidRDefault="007C7FBF" w:rsidP="00C252FB">
      <w:pPr>
        <w:pStyle w:val="Heading4"/>
      </w:pPr>
      <w:bookmarkStart w:id="47" w:name="_u5vshebup9cp" w:colFirst="0" w:colLast="0"/>
      <w:bookmarkStart w:id="48" w:name="_Toc95152647"/>
      <w:bookmarkStart w:id="49" w:name="_Toc95152754"/>
      <w:bookmarkStart w:id="50" w:name="_Toc95740757"/>
      <w:bookmarkEnd w:id="47"/>
      <w:r w:rsidRPr="00774DE0">
        <w:t>Lesbian, Gay, Bisexual, Trans</w:t>
      </w:r>
      <w:r w:rsidR="004901AA" w:rsidRPr="00774DE0">
        <w:t>,</w:t>
      </w:r>
      <w:r w:rsidR="00774DE0" w:rsidRPr="00774DE0">
        <w:t xml:space="preserve"> </w:t>
      </w:r>
      <w:r w:rsidRPr="00774DE0">
        <w:t>Intersex</w:t>
      </w:r>
      <w:r w:rsidR="004901AA" w:rsidRPr="00774DE0">
        <w:t xml:space="preserve"> and Queer</w:t>
      </w:r>
      <w:r w:rsidRPr="00774DE0">
        <w:t xml:space="preserve"> persons with disabilities</w:t>
      </w:r>
      <w:bookmarkEnd w:id="48"/>
      <w:bookmarkEnd w:id="49"/>
      <w:bookmarkEnd w:id="50"/>
      <w:r w:rsidRPr="00774DE0">
        <w:t xml:space="preserve"> </w:t>
      </w:r>
    </w:p>
    <w:p w14:paraId="13931681" w14:textId="0BC81C8D" w:rsidR="004E2782" w:rsidRPr="00774DE0" w:rsidRDefault="000F0F2D" w:rsidP="00E27E94">
      <w:pPr>
        <w:spacing w:after="120"/>
        <w:rPr>
          <w:szCs w:val="24"/>
          <w:lang w:val="en-GB"/>
        </w:rPr>
      </w:pPr>
      <w:r w:rsidRPr="00774DE0">
        <w:rPr>
          <w:szCs w:val="24"/>
          <w:lang w:val="en-GB"/>
        </w:rPr>
        <w:t>Many lesbians, gays, bisexual, trans</w:t>
      </w:r>
      <w:r w:rsidR="004901AA" w:rsidRPr="00774DE0">
        <w:rPr>
          <w:szCs w:val="24"/>
          <w:lang w:val="en-GB"/>
        </w:rPr>
        <w:t xml:space="preserve"> </w:t>
      </w:r>
      <w:r w:rsidRPr="00774DE0">
        <w:rPr>
          <w:szCs w:val="24"/>
          <w:lang w:val="en-GB"/>
        </w:rPr>
        <w:t>intersex</w:t>
      </w:r>
      <w:r w:rsidR="00961503" w:rsidRPr="00774DE0">
        <w:rPr>
          <w:szCs w:val="24"/>
          <w:lang w:val="en-GB"/>
        </w:rPr>
        <w:t xml:space="preserve"> and queer</w:t>
      </w:r>
      <w:r w:rsidRPr="00774DE0">
        <w:rPr>
          <w:szCs w:val="24"/>
          <w:lang w:val="en-GB"/>
        </w:rPr>
        <w:t xml:space="preserve"> (LGBTI</w:t>
      </w:r>
      <w:r w:rsidR="00961503" w:rsidRPr="00774DE0">
        <w:rPr>
          <w:szCs w:val="24"/>
          <w:lang w:val="en-GB"/>
        </w:rPr>
        <w:t>Q+</w:t>
      </w:r>
      <w:r w:rsidRPr="00774DE0">
        <w:rPr>
          <w:szCs w:val="24"/>
          <w:lang w:val="en-GB"/>
        </w:rPr>
        <w:t xml:space="preserve">) people with disabilities are at risk of multiple and intersectional forms of discrimination in all areas of life in the EU. This is particularly true in the areas of education, </w:t>
      </w:r>
      <w:r w:rsidR="0095506C" w:rsidRPr="00774DE0">
        <w:rPr>
          <w:szCs w:val="24"/>
          <w:lang w:val="en-GB"/>
        </w:rPr>
        <w:t>employment,</w:t>
      </w:r>
      <w:r w:rsidRPr="00774DE0">
        <w:rPr>
          <w:szCs w:val="24"/>
          <w:lang w:val="en-GB"/>
        </w:rPr>
        <w:t xml:space="preserve"> and healthcare.</w:t>
      </w:r>
      <w:r w:rsidR="00C91713" w:rsidRPr="00774DE0">
        <w:rPr>
          <w:rStyle w:val="FootnoteReference"/>
          <w:szCs w:val="24"/>
          <w:lang w:val="en-GB"/>
        </w:rPr>
        <w:footnoteReference w:id="38"/>
      </w:r>
      <w:r w:rsidRPr="00774DE0">
        <w:rPr>
          <w:szCs w:val="24"/>
          <w:lang w:val="en-GB"/>
        </w:rPr>
        <w:t xml:space="preserve"> This is even more the case as EU law does not prohibit discrimination based on sexual orientation or gender identity,</w:t>
      </w:r>
      <w:r w:rsidR="00C91713" w:rsidRPr="00774DE0">
        <w:rPr>
          <w:rStyle w:val="FootnoteReference"/>
          <w:szCs w:val="24"/>
          <w:lang w:val="en-GB"/>
        </w:rPr>
        <w:footnoteReference w:id="39"/>
      </w:r>
      <w:r w:rsidRPr="00774DE0">
        <w:rPr>
          <w:szCs w:val="24"/>
          <w:lang w:val="en-GB"/>
        </w:rPr>
        <w:t xml:space="preserve"> n</w:t>
      </w:r>
      <w:r w:rsidR="007F00B8" w:rsidRPr="00774DE0">
        <w:rPr>
          <w:szCs w:val="24"/>
          <w:lang w:val="en-GB"/>
        </w:rPr>
        <w:t>or</w:t>
      </w:r>
      <w:r w:rsidRPr="00774DE0">
        <w:rPr>
          <w:szCs w:val="24"/>
          <w:lang w:val="en-GB"/>
        </w:rPr>
        <w:t xml:space="preserve"> discrimination based on disability</w:t>
      </w:r>
      <w:r w:rsidR="007F00B8" w:rsidRPr="00774DE0">
        <w:rPr>
          <w:lang w:val="en-GB"/>
        </w:rPr>
        <w:t xml:space="preserve"> </w:t>
      </w:r>
      <w:r w:rsidR="007F00B8" w:rsidRPr="00774DE0">
        <w:rPr>
          <w:szCs w:val="24"/>
          <w:lang w:val="en-GB"/>
        </w:rPr>
        <w:t>outside the field of employment and vocational training</w:t>
      </w:r>
      <w:r w:rsidRPr="00774DE0">
        <w:rPr>
          <w:szCs w:val="24"/>
          <w:lang w:val="en-GB"/>
        </w:rPr>
        <w:t xml:space="preserve">. </w:t>
      </w:r>
    </w:p>
    <w:p w14:paraId="60A424EF" w14:textId="1DBD0BEA" w:rsidR="004901AA" w:rsidRPr="00774DE0" w:rsidRDefault="004901AA" w:rsidP="00E27E94">
      <w:pPr>
        <w:spacing w:after="120"/>
        <w:rPr>
          <w:szCs w:val="24"/>
          <w:lang w:val="en-GB"/>
        </w:rPr>
      </w:pPr>
      <w:r w:rsidRPr="00774DE0">
        <w:rPr>
          <w:szCs w:val="24"/>
          <w:lang w:val="en-GB"/>
        </w:rPr>
        <w:t>Data from the Fundamental Rights Agency’s 2019 survey on LGBTI people show lower rates of employment and self-employment among disabled trans respondents. For example, 10% of disabled trans people reported being unemployed, while 23% reported being unable to work due to long-standing health problems.</w:t>
      </w:r>
      <w:r w:rsidR="0005406C" w:rsidRPr="00774DE0">
        <w:rPr>
          <w:rStyle w:val="FootnoteReference"/>
          <w:szCs w:val="24"/>
          <w:lang w:val="en-GB"/>
        </w:rPr>
        <w:footnoteReference w:id="40"/>
      </w:r>
    </w:p>
    <w:p w14:paraId="20C7A0FF" w14:textId="1F8B0FEB" w:rsidR="000F0F2D" w:rsidRPr="00774DE0" w:rsidRDefault="000F0F2D" w:rsidP="00E27E94">
      <w:pPr>
        <w:spacing w:after="120"/>
        <w:rPr>
          <w:szCs w:val="24"/>
          <w:lang w:val="en-GB"/>
        </w:rPr>
      </w:pPr>
      <w:r w:rsidRPr="00774DE0">
        <w:rPr>
          <w:szCs w:val="24"/>
          <w:lang w:val="en-GB"/>
        </w:rPr>
        <w:lastRenderedPageBreak/>
        <w:t>The COVID-19 pandemic has exacerbated the discrimination faced by LGBTI</w:t>
      </w:r>
      <w:r w:rsidR="00961503" w:rsidRPr="00774DE0">
        <w:rPr>
          <w:szCs w:val="24"/>
          <w:lang w:val="en-GB"/>
        </w:rPr>
        <w:t>Q+</w:t>
      </w:r>
      <w:r w:rsidRPr="00774DE0">
        <w:rPr>
          <w:szCs w:val="24"/>
          <w:lang w:val="en-GB"/>
        </w:rPr>
        <w:t xml:space="preserve"> persons with disabilities. </w:t>
      </w:r>
      <w:r w:rsidR="00C56172" w:rsidRPr="00774DE0">
        <w:rPr>
          <w:szCs w:val="24"/>
          <w:lang w:val="en-GB"/>
        </w:rPr>
        <w:t>In times of health crisis and care rationing, LGBTI</w:t>
      </w:r>
      <w:r w:rsidR="00961503" w:rsidRPr="00774DE0">
        <w:rPr>
          <w:szCs w:val="24"/>
          <w:lang w:val="en-GB"/>
        </w:rPr>
        <w:t>Q</w:t>
      </w:r>
      <w:r w:rsidR="00C56172" w:rsidRPr="00774DE0">
        <w:rPr>
          <w:szCs w:val="24"/>
          <w:lang w:val="en-GB"/>
        </w:rPr>
        <w:t xml:space="preserve">+ people, and particularly trans people with disabilities, </w:t>
      </w:r>
      <w:r w:rsidR="000636CB" w:rsidRPr="00774DE0">
        <w:rPr>
          <w:szCs w:val="24"/>
          <w:lang w:val="en-GB"/>
        </w:rPr>
        <w:t>have been</w:t>
      </w:r>
      <w:r w:rsidR="00C56172" w:rsidRPr="00774DE0">
        <w:rPr>
          <w:szCs w:val="24"/>
          <w:lang w:val="en-GB"/>
        </w:rPr>
        <w:t xml:space="preserve"> targeted by triage policies. They are being denied life-saving care and face difficulties in receiving disability support, in addition to the already major struggles trans communities face with general and trans-related healthcare access. Cuts in care provision combined with the discrimination most trans people face while trying to access healthcare is seriously impacting their health and wellbeing. For instance, trans persons with disabilities may have faced difficulties in receiving disability support and trans-related care such as gender affirming hormones and up-to-date prescriptions</w:t>
      </w:r>
      <w:r w:rsidR="00F800B2" w:rsidRPr="00774DE0">
        <w:rPr>
          <w:lang w:val="en-GB"/>
        </w:rPr>
        <w:t xml:space="preserve"> </w:t>
      </w:r>
      <w:r w:rsidR="00F800B2" w:rsidRPr="00774DE0">
        <w:rPr>
          <w:szCs w:val="24"/>
          <w:lang w:val="en-GB"/>
        </w:rPr>
        <w:t>often due to this health care being deemed ‘non-essential’</w:t>
      </w:r>
      <w:r w:rsidR="00C56172" w:rsidRPr="00774DE0">
        <w:rPr>
          <w:szCs w:val="24"/>
          <w:lang w:val="en-GB"/>
        </w:rPr>
        <w:t>.</w:t>
      </w:r>
      <w:r w:rsidR="00F800B2" w:rsidRPr="00774DE0">
        <w:rPr>
          <w:rStyle w:val="FootnoteReference"/>
          <w:szCs w:val="24"/>
          <w:lang w:val="en-GB"/>
        </w:rPr>
        <w:footnoteReference w:id="41"/>
      </w:r>
    </w:p>
    <w:p w14:paraId="077B4183" w14:textId="2117E00C" w:rsidR="000F0F2D" w:rsidRPr="00774DE0" w:rsidRDefault="000636CB" w:rsidP="00E27E94">
      <w:pPr>
        <w:spacing w:after="120"/>
        <w:rPr>
          <w:szCs w:val="24"/>
          <w:lang w:val="en-GB"/>
        </w:rPr>
      </w:pPr>
      <w:r w:rsidRPr="00774DE0">
        <w:rPr>
          <w:szCs w:val="24"/>
          <w:lang w:val="en-GB"/>
        </w:rPr>
        <w:t>I</w:t>
      </w:r>
      <w:r w:rsidR="00C56172" w:rsidRPr="00774DE0">
        <w:rPr>
          <w:szCs w:val="24"/>
          <w:lang w:val="en-GB"/>
        </w:rPr>
        <w:t>n addition, Lesbian, Gay, Bisexual, and Trans persons have seen an increase in domestic violence. Lockdown</w:t>
      </w:r>
      <w:r w:rsidRPr="00774DE0">
        <w:rPr>
          <w:szCs w:val="24"/>
          <w:lang w:val="en-GB"/>
        </w:rPr>
        <w:t xml:space="preserve"> and the spread of COVID-19</w:t>
      </w:r>
      <w:r w:rsidR="00C56172" w:rsidRPr="00774DE0">
        <w:rPr>
          <w:szCs w:val="24"/>
          <w:lang w:val="en-GB"/>
        </w:rPr>
        <w:t xml:space="preserve"> ha</w:t>
      </w:r>
      <w:r w:rsidRPr="00774DE0">
        <w:rPr>
          <w:szCs w:val="24"/>
          <w:lang w:val="en-GB"/>
        </w:rPr>
        <w:t>s</w:t>
      </w:r>
      <w:r w:rsidR="00C56172" w:rsidRPr="00774DE0">
        <w:rPr>
          <w:szCs w:val="24"/>
          <w:lang w:val="en-GB"/>
        </w:rPr>
        <w:t xml:space="preserve"> condemned LGBT</w:t>
      </w:r>
      <w:r w:rsidR="00961503" w:rsidRPr="00774DE0">
        <w:rPr>
          <w:szCs w:val="24"/>
          <w:lang w:val="en-GB"/>
        </w:rPr>
        <w:t>IQ</w:t>
      </w:r>
      <w:r w:rsidR="00C56172" w:rsidRPr="00774DE0">
        <w:rPr>
          <w:szCs w:val="24"/>
          <w:lang w:val="en-GB"/>
        </w:rPr>
        <w:t xml:space="preserve">+ people to live in </w:t>
      </w:r>
      <w:r w:rsidRPr="00774DE0">
        <w:rPr>
          <w:szCs w:val="24"/>
          <w:lang w:val="en-GB"/>
        </w:rPr>
        <w:t>proximity</w:t>
      </w:r>
      <w:r w:rsidR="00C56172" w:rsidRPr="00774DE0">
        <w:rPr>
          <w:szCs w:val="24"/>
          <w:lang w:val="en-GB"/>
        </w:rPr>
        <w:t xml:space="preserve"> with sometimes homophobic or transphobic relatives</w:t>
      </w:r>
      <w:r w:rsidRPr="00774DE0">
        <w:rPr>
          <w:szCs w:val="24"/>
          <w:lang w:val="en-GB"/>
        </w:rPr>
        <w:t>, including relatives who may be carer and/or legal guardian (for example youth with disabilities but also adults with high support needs)</w:t>
      </w:r>
      <w:r w:rsidR="00C56172" w:rsidRPr="00774DE0">
        <w:rPr>
          <w:szCs w:val="24"/>
          <w:lang w:val="en-GB"/>
        </w:rPr>
        <w:t>. LGBT</w:t>
      </w:r>
      <w:r w:rsidR="00961503" w:rsidRPr="00774DE0">
        <w:rPr>
          <w:szCs w:val="24"/>
          <w:lang w:val="en-GB"/>
        </w:rPr>
        <w:t>IQ</w:t>
      </w:r>
      <w:r w:rsidR="00C56172" w:rsidRPr="00774DE0">
        <w:rPr>
          <w:szCs w:val="24"/>
          <w:lang w:val="en-GB"/>
        </w:rPr>
        <w:t>+ persons with disabilities were at higher risk to face both homophobic/transphobic and disability specific violence. LGBT</w:t>
      </w:r>
      <w:r w:rsidR="00961503" w:rsidRPr="00774DE0">
        <w:rPr>
          <w:szCs w:val="24"/>
          <w:lang w:val="en-GB"/>
        </w:rPr>
        <w:t>IQ</w:t>
      </w:r>
      <w:r w:rsidR="00C56172" w:rsidRPr="00774DE0">
        <w:rPr>
          <w:szCs w:val="24"/>
          <w:lang w:val="en-GB"/>
        </w:rPr>
        <w:t>+ people who have not told their families yet about their sexual orientation or gender identity may have been experiencing mental health difficulties during lockdown.</w:t>
      </w:r>
    </w:p>
    <w:p w14:paraId="7ACC88F2" w14:textId="566EF81D" w:rsidR="00F15B21" w:rsidRPr="00774DE0" w:rsidRDefault="00F15B21" w:rsidP="00E27E94">
      <w:pPr>
        <w:spacing w:after="120"/>
        <w:rPr>
          <w:szCs w:val="24"/>
          <w:lang w:val="en-GB"/>
        </w:rPr>
      </w:pPr>
      <w:r w:rsidRPr="00774DE0">
        <w:rPr>
          <w:szCs w:val="24"/>
          <w:lang w:val="en-GB"/>
        </w:rPr>
        <w:t xml:space="preserve">The </w:t>
      </w:r>
      <w:hyperlink r:id="rId60" w:history="1">
        <w:r w:rsidR="00D7564A" w:rsidRPr="00774DE0">
          <w:rPr>
            <w:rStyle w:val="Hyperlink"/>
            <w:szCs w:val="24"/>
            <w:lang w:val="en-GB"/>
          </w:rPr>
          <w:t>LGBTIQ Equality Strategy 2020-2025</w:t>
        </w:r>
      </w:hyperlink>
      <w:r w:rsidRPr="00774DE0">
        <w:rPr>
          <w:szCs w:val="24"/>
          <w:lang w:val="en-GB"/>
        </w:rPr>
        <w:t xml:space="preserve"> of the European Commission recognises that LGBT</w:t>
      </w:r>
      <w:r w:rsidR="00961503" w:rsidRPr="00774DE0">
        <w:rPr>
          <w:szCs w:val="24"/>
          <w:lang w:val="en-GB"/>
        </w:rPr>
        <w:t>IQ</w:t>
      </w:r>
      <w:r w:rsidRPr="00774DE0">
        <w:rPr>
          <w:szCs w:val="24"/>
          <w:lang w:val="en-GB"/>
        </w:rPr>
        <w:t>+ people “who have disabilities, are elderly, migrants, or come from ethnic or religious minority background are particularly vulnerable to discrimination” and that the pandemic increased this vulnerability. It also recognises that “research on the intersectional experiences of LGBTIQ</w:t>
      </w:r>
      <w:r w:rsidR="00961503" w:rsidRPr="00774DE0">
        <w:rPr>
          <w:szCs w:val="24"/>
          <w:lang w:val="en-GB"/>
        </w:rPr>
        <w:t>+</w:t>
      </w:r>
      <w:r w:rsidRPr="00774DE0">
        <w:rPr>
          <w:szCs w:val="24"/>
          <w:lang w:val="en-GB"/>
        </w:rPr>
        <w:t xml:space="preserve"> people, as those who are elderly or with disabilities, is often lacking”. </w:t>
      </w:r>
    </w:p>
    <w:p w14:paraId="00000019" w14:textId="77777777" w:rsidR="007C7FBF" w:rsidRPr="00774DE0" w:rsidRDefault="007C7FBF" w:rsidP="00C252FB">
      <w:pPr>
        <w:pStyle w:val="Heading4"/>
      </w:pPr>
      <w:bookmarkStart w:id="51" w:name="_8efwui4q957" w:colFirst="0" w:colLast="0"/>
      <w:bookmarkStart w:id="52" w:name="_Toc95152648"/>
      <w:bookmarkStart w:id="53" w:name="_Toc95152755"/>
      <w:bookmarkStart w:id="54" w:name="_Toc95740758"/>
      <w:bookmarkEnd w:id="51"/>
      <w:r w:rsidRPr="00774DE0">
        <w:t>Older persons with disabilities</w:t>
      </w:r>
      <w:bookmarkEnd w:id="52"/>
      <w:bookmarkEnd w:id="53"/>
      <w:bookmarkEnd w:id="54"/>
    </w:p>
    <w:p w14:paraId="28D851D4" w14:textId="42209D6A" w:rsidR="00E42AA1" w:rsidRPr="00774DE0" w:rsidRDefault="007C7FBF" w:rsidP="00E27E94">
      <w:pPr>
        <w:spacing w:after="120"/>
        <w:rPr>
          <w:szCs w:val="24"/>
          <w:lang w:val="en-GB"/>
        </w:rPr>
      </w:pPr>
      <w:r w:rsidRPr="00774DE0">
        <w:rPr>
          <w:szCs w:val="24"/>
          <w:lang w:val="en-GB"/>
        </w:rPr>
        <w:t>Europe has the oldest population of all world regions. In 2019, more than one fifth (20.3%) of the EU-27 population was aged 65 and over. Disability is correlated to age and persons with disabilities are over-represented in the population category that is 60 years old and over.</w:t>
      </w:r>
    </w:p>
    <w:p w14:paraId="2B7580CC" w14:textId="55DADF36" w:rsidR="00E42AA1" w:rsidRPr="00774DE0" w:rsidRDefault="00E42AA1" w:rsidP="00E27E94">
      <w:pPr>
        <w:spacing w:after="120"/>
        <w:rPr>
          <w:szCs w:val="24"/>
          <w:lang w:val="en-GB"/>
        </w:rPr>
      </w:pPr>
      <w:r w:rsidRPr="00774DE0">
        <w:rPr>
          <w:szCs w:val="24"/>
          <w:lang w:val="en-GB"/>
        </w:rPr>
        <w:t>Older persons with disabilities frequently face discrimination on the grounds of age and disability, in law and in practice. The United Nations Expert Group Meeting on Supporting Autonomy and Independency of Older Persons with Disabilities noted that “older persons with disabilities face exclusion, multiple and intersectional discrimination that lead to human rights violations, such as the deprivation of legal capacity and institutionalisation”.</w:t>
      </w:r>
      <w:r w:rsidRPr="00774DE0">
        <w:rPr>
          <w:rStyle w:val="FootnoteReference"/>
          <w:szCs w:val="24"/>
          <w:lang w:val="en-GB"/>
        </w:rPr>
        <w:footnoteReference w:id="42"/>
      </w:r>
      <w:r w:rsidRPr="00774DE0">
        <w:rPr>
          <w:szCs w:val="24"/>
          <w:lang w:val="en-GB"/>
        </w:rPr>
        <w:t xml:space="preserve"> In many countries, age also impacts negatively on disability assessment and allocation of </w:t>
      </w:r>
      <w:r w:rsidRPr="00774DE0">
        <w:rPr>
          <w:szCs w:val="24"/>
          <w:lang w:val="en-GB"/>
        </w:rPr>
        <w:lastRenderedPageBreak/>
        <w:t>disability benefits, resulting in older people with disabilities not being offered the same level of quality or ranges of support as younger people with disabilities.</w:t>
      </w:r>
      <w:r w:rsidRPr="00774DE0">
        <w:rPr>
          <w:rStyle w:val="FootnoteReference"/>
          <w:szCs w:val="24"/>
          <w:lang w:val="en-GB"/>
        </w:rPr>
        <w:footnoteReference w:id="43"/>
      </w:r>
    </w:p>
    <w:p w14:paraId="6FE445C1" w14:textId="5D59FF49" w:rsidR="007C7FBF" w:rsidRPr="00774DE0" w:rsidRDefault="007C7FBF" w:rsidP="00E27E94">
      <w:pPr>
        <w:spacing w:after="120"/>
        <w:rPr>
          <w:szCs w:val="24"/>
          <w:lang w:val="en-GB"/>
        </w:rPr>
      </w:pPr>
      <w:bookmarkStart w:id="55" w:name="_4huh24hxhuk" w:colFirst="0" w:colLast="0"/>
      <w:bookmarkEnd w:id="55"/>
      <w:r w:rsidRPr="00774DE0">
        <w:rPr>
          <w:szCs w:val="24"/>
          <w:lang w:val="en-GB"/>
        </w:rPr>
        <w:t xml:space="preserve">Measures taken in response to the Covid-19 pandemic had negative impacts on </w:t>
      </w:r>
      <w:r w:rsidR="004E2782" w:rsidRPr="00774DE0">
        <w:rPr>
          <w:szCs w:val="24"/>
          <w:lang w:val="en-GB"/>
        </w:rPr>
        <w:t>older persons, including those with disabilities</w:t>
      </w:r>
      <w:r w:rsidRPr="00774DE0">
        <w:rPr>
          <w:szCs w:val="24"/>
          <w:lang w:val="en-GB"/>
        </w:rPr>
        <w:t xml:space="preserve">. </w:t>
      </w:r>
      <w:r w:rsidR="00885D78" w:rsidRPr="00774DE0">
        <w:rPr>
          <w:szCs w:val="24"/>
          <w:lang w:val="en-GB"/>
        </w:rPr>
        <w:t xml:space="preserve">EDF reported on the many cases of deaths in residential care, gaps in continuity of healthcare, medical treatment, and support services, as well as violence, neglect, </w:t>
      </w:r>
      <w:r w:rsidR="0095506C" w:rsidRPr="00774DE0">
        <w:rPr>
          <w:szCs w:val="24"/>
          <w:lang w:val="en-GB"/>
        </w:rPr>
        <w:t>abuse,</w:t>
      </w:r>
      <w:r w:rsidR="00885D78" w:rsidRPr="00774DE0">
        <w:rPr>
          <w:szCs w:val="24"/>
          <w:lang w:val="en-GB"/>
        </w:rPr>
        <w:t xml:space="preserve"> and ageist speech that took place in EU countries.</w:t>
      </w:r>
      <w:r w:rsidR="00A16061" w:rsidRPr="00774DE0">
        <w:rPr>
          <w:rStyle w:val="FootnoteReference"/>
          <w:szCs w:val="24"/>
          <w:lang w:val="en-GB"/>
        </w:rPr>
        <w:footnoteReference w:id="44"/>
      </w:r>
      <w:r w:rsidR="00885D78" w:rsidRPr="00774DE0">
        <w:rPr>
          <w:szCs w:val="24"/>
          <w:lang w:val="en-GB"/>
        </w:rPr>
        <w:t xml:space="preserve"> </w:t>
      </w:r>
    </w:p>
    <w:p w14:paraId="42FAFE7C" w14:textId="5D3176EE" w:rsidR="002D7C25" w:rsidRPr="00774DE0" w:rsidRDefault="002D7C25" w:rsidP="00E27E94">
      <w:pPr>
        <w:spacing w:after="120"/>
        <w:rPr>
          <w:szCs w:val="24"/>
          <w:lang w:val="en-GB"/>
        </w:rPr>
      </w:pPr>
      <w:r w:rsidRPr="00774DE0">
        <w:rPr>
          <w:szCs w:val="24"/>
          <w:lang w:val="en-GB"/>
        </w:rPr>
        <w:t xml:space="preserve">AGE Platform Europe identified several key issues faced by older persons with disabilities: </w:t>
      </w:r>
    </w:p>
    <w:p w14:paraId="28C40476" w14:textId="59D4A7B3" w:rsidR="002D7C25" w:rsidRPr="00774DE0" w:rsidRDefault="002D7C25" w:rsidP="002D7C25">
      <w:pPr>
        <w:numPr>
          <w:ilvl w:val="0"/>
          <w:numId w:val="18"/>
        </w:numPr>
        <w:spacing w:after="120"/>
        <w:rPr>
          <w:szCs w:val="24"/>
          <w:lang w:val="en-GB"/>
        </w:rPr>
      </w:pPr>
      <w:r w:rsidRPr="00774DE0">
        <w:rPr>
          <w:szCs w:val="24"/>
          <w:lang w:val="en-GB"/>
        </w:rPr>
        <w:t>Combined effect of ageism and ableism: older people with disabilities more likely to be seen as a burden, not supported, institutionalised, deprived of legal capacity.</w:t>
      </w:r>
      <w:r w:rsidRPr="00774DE0">
        <w:rPr>
          <w:rStyle w:val="FootnoteReference"/>
          <w:szCs w:val="24"/>
          <w:lang w:val="en-GB"/>
        </w:rPr>
        <w:footnoteReference w:id="45"/>
      </w:r>
    </w:p>
    <w:p w14:paraId="02EBE1E3" w14:textId="6530EF5E" w:rsidR="002D7C25" w:rsidRPr="00774DE0" w:rsidRDefault="002D7C25" w:rsidP="002D7C25">
      <w:pPr>
        <w:numPr>
          <w:ilvl w:val="0"/>
          <w:numId w:val="18"/>
        </w:numPr>
        <w:spacing w:after="120"/>
        <w:rPr>
          <w:szCs w:val="24"/>
          <w:lang w:val="en-GB"/>
        </w:rPr>
      </w:pPr>
      <w:r w:rsidRPr="00774DE0">
        <w:rPr>
          <w:szCs w:val="24"/>
          <w:lang w:val="en-GB"/>
        </w:rPr>
        <w:t xml:space="preserve">Fragmentation of policies for persons with disabilities of working age and older persons and different administrations: at the EU level there are different Directorate-Generals dealing with age and disability. This is also </w:t>
      </w:r>
      <w:r w:rsidR="00E80FB5" w:rsidRPr="00774DE0">
        <w:rPr>
          <w:szCs w:val="24"/>
          <w:lang w:val="en-GB"/>
        </w:rPr>
        <w:t>reflected</w:t>
      </w:r>
      <w:r w:rsidRPr="00774DE0">
        <w:rPr>
          <w:szCs w:val="24"/>
          <w:lang w:val="en-GB"/>
        </w:rPr>
        <w:t xml:space="preserve"> in EU policies</w:t>
      </w:r>
      <w:r w:rsidR="00E80FB5" w:rsidRPr="00774DE0">
        <w:rPr>
          <w:szCs w:val="24"/>
          <w:lang w:val="en-GB"/>
        </w:rPr>
        <w:t>. U</w:t>
      </w:r>
      <w:r w:rsidRPr="00774DE0">
        <w:rPr>
          <w:szCs w:val="24"/>
          <w:lang w:val="en-GB"/>
        </w:rPr>
        <w:t>nder the European Pillar of Social Rights there are different principle</w:t>
      </w:r>
      <w:r w:rsidR="004E2F04" w:rsidRPr="00774DE0">
        <w:rPr>
          <w:szCs w:val="24"/>
          <w:lang w:val="en-GB"/>
        </w:rPr>
        <w:t>s</w:t>
      </w:r>
      <w:r w:rsidRPr="00774DE0">
        <w:rPr>
          <w:szCs w:val="24"/>
          <w:lang w:val="en-GB"/>
        </w:rPr>
        <w:t xml:space="preserve"> focusing on long-term care vs rights of persons with disabilities, the planned EU care strategy mainly focusing on older people, and the lack of EU strategy on ageing/age equality makes it difficult to address intersectional challenges. </w:t>
      </w:r>
    </w:p>
    <w:p w14:paraId="2E456BBA" w14:textId="2F5AC7C2" w:rsidR="002D7C25" w:rsidRPr="00774DE0" w:rsidRDefault="00E80FB5" w:rsidP="002D7C25">
      <w:pPr>
        <w:numPr>
          <w:ilvl w:val="0"/>
          <w:numId w:val="18"/>
        </w:numPr>
        <w:spacing w:after="120"/>
        <w:rPr>
          <w:szCs w:val="24"/>
          <w:lang w:val="en-GB"/>
        </w:rPr>
      </w:pPr>
      <w:r w:rsidRPr="00774DE0">
        <w:rPr>
          <w:szCs w:val="24"/>
          <w:lang w:val="en-GB"/>
        </w:rPr>
        <w:t>L</w:t>
      </w:r>
      <w:r w:rsidR="002D7C25" w:rsidRPr="00774DE0">
        <w:rPr>
          <w:szCs w:val="24"/>
          <w:lang w:val="en-GB"/>
        </w:rPr>
        <w:t>ack of consultation of older people with disabilities</w:t>
      </w:r>
      <w:r w:rsidRPr="00774DE0">
        <w:rPr>
          <w:szCs w:val="24"/>
          <w:lang w:val="en-GB"/>
        </w:rPr>
        <w:t xml:space="preserve">: </w:t>
      </w:r>
      <w:r w:rsidR="002D7C25" w:rsidRPr="00774DE0">
        <w:rPr>
          <w:szCs w:val="24"/>
          <w:lang w:val="en-GB"/>
        </w:rPr>
        <w:t xml:space="preserve">older people who acquire disabilities don’t necessarily </w:t>
      </w:r>
      <w:r w:rsidRPr="00774DE0">
        <w:rPr>
          <w:szCs w:val="24"/>
          <w:lang w:val="en-GB"/>
        </w:rPr>
        <w:t>self-identify</w:t>
      </w:r>
      <w:r w:rsidR="002D7C25" w:rsidRPr="00774DE0">
        <w:rPr>
          <w:szCs w:val="24"/>
          <w:lang w:val="en-GB"/>
        </w:rPr>
        <w:t xml:space="preserve"> as people with disabilities, nor associated with DPOs and older people with disabilities who are ageing not adequately represented in DPOs</w:t>
      </w:r>
      <w:r w:rsidRPr="00774DE0">
        <w:rPr>
          <w:szCs w:val="24"/>
          <w:lang w:val="en-GB"/>
        </w:rPr>
        <w:t>.</w:t>
      </w:r>
    </w:p>
    <w:p w14:paraId="38428322" w14:textId="6DF85FD9" w:rsidR="002D7C25" w:rsidRPr="00774DE0" w:rsidRDefault="00E80FB5" w:rsidP="002D7C25">
      <w:pPr>
        <w:numPr>
          <w:ilvl w:val="0"/>
          <w:numId w:val="18"/>
        </w:numPr>
        <w:spacing w:after="120"/>
        <w:rPr>
          <w:szCs w:val="24"/>
          <w:lang w:val="en-GB"/>
        </w:rPr>
      </w:pPr>
      <w:r w:rsidRPr="00774DE0">
        <w:rPr>
          <w:szCs w:val="24"/>
          <w:lang w:val="en-GB"/>
        </w:rPr>
        <w:t>A</w:t>
      </w:r>
      <w:r w:rsidR="002D7C25" w:rsidRPr="00774DE0">
        <w:rPr>
          <w:szCs w:val="24"/>
          <w:lang w:val="en-GB"/>
        </w:rPr>
        <w:t xml:space="preserve">ge limits in access to disability </w:t>
      </w:r>
      <w:r w:rsidR="004E2F04" w:rsidRPr="00774DE0">
        <w:rPr>
          <w:szCs w:val="24"/>
          <w:lang w:val="en-GB"/>
        </w:rPr>
        <w:t>allowances and services</w:t>
      </w:r>
      <w:r w:rsidRPr="00774DE0">
        <w:rPr>
          <w:szCs w:val="24"/>
          <w:lang w:val="en-GB"/>
        </w:rPr>
        <w:t xml:space="preserve"> in several EU Member States, which is not addressed by the EU. </w:t>
      </w:r>
    </w:p>
    <w:p w14:paraId="6AAD818C" w14:textId="0C691BD8" w:rsidR="002D7C25" w:rsidRPr="00774DE0" w:rsidRDefault="00E80FB5" w:rsidP="002D7C25">
      <w:pPr>
        <w:numPr>
          <w:ilvl w:val="0"/>
          <w:numId w:val="18"/>
        </w:numPr>
        <w:spacing w:after="120"/>
        <w:rPr>
          <w:szCs w:val="24"/>
          <w:lang w:val="en-GB"/>
        </w:rPr>
      </w:pPr>
      <w:r w:rsidRPr="00774DE0">
        <w:rPr>
          <w:szCs w:val="24"/>
          <w:lang w:val="en-GB"/>
        </w:rPr>
        <w:t>P</w:t>
      </w:r>
      <w:r w:rsidR="002D7C25" w:rsidRPr="00774DE0">
        <w:rPr>
          <w:szCs w:val="24"/>
          <w:lang w:val="en-GB"/>
        </w:rPr>
        <w:t xml:space="preserve">redominant medical model in services for older people with disabilities and increased risk of institutionalisation </w:t>
      </w:r>
    </w:p>
    <w:p w14:paraId="1D4FBBAB" w14:textId="6A7FC030" w:rsidR="002D7C25" w:rsidRPr="00774DE0" w:rsidRDefault="00E80FB5" w:rsidP="002D7C25">
      <w:pPr>
        <w:numPr>
          <w:ilvl w:val="0"/>
          <w:numId w:val="18"/>
        </w:numPr>
        <w:spacing w:after="120"/>
        <w:rPr>
          <w:szCs w:val="24"/>
          <w:lang w:val="en-GB"/>
        </w:rPr>
      </w:pPr>
      <w:r w:rsidRPr="00774DE0">
        <w:rPr>
          <w:szCs w:val="24"/>
          <w:lang w:val="en-GB"/>
        </w:rPr>
        <w:t>L</w:t>
      </w:r>
      <w:r w:rsidR="002D7C25" w:rsidRPr="00774DE0">
        <w:rPr>
          <w:szCs w:val="24"/>
          <w:lang w:val="en-GB"/>
        </w:rPr>
        <w:t>ack of dat</w:t>
      </w:r>
      <w:r w:rsidRPr="00774DE0">
        <w:rPr>
          <w:szCs w:val="24"/>
          <w:lang w:val="en-GB"/>
        </w:rPr>
        <w:t xml:space="preserve">a: </w:t>
      </w:r>
      <w:r w:rsidR="002D7C25" w:rsidRPr="00774DE0">
        <w:rPr>
          <w:szCs w:val="24"/>
          <w:lang w:val="en-GB"/>
        </w:rPr>
        <w:t>age limits, lack of disaggregation and lack of info about institutionalised older people</w:t>
      </w:r>
      <w:r w:rsidRPr="00774DE0">
        <w:rPr>
          <w:rStyle w:val="FootnoteReference"/>
          <w:szCs w:val="24"/>
          <w:lang w:val="en-GB"/>
        </w:rPr>
        <w:footnoteReference w:id="46"/>
      </w:r>
    </w:p>
    <w:p w14:paraId="16DF4080" w14:textId="592AAD6D" w:rsidR="002D7C25" w:rsidRPr="00774DE0" w:rsidRDefault="00E80FB5" w:rsidP="002D7C25">
      <w:pPr>
        <w:numPr>
          <w:ilvl w:val="0"/>
          <w:numId w:val="18"/>
        </w:numPr>
        <w:spacing w:after="120"/>
        <w:rPr>
          <w:szCs w:val="24"/>
          <w:lang w:val="en-GB"/>
        </w:rPr>
      </w:pPr>
      <w:r w:rsidRPr="00774DE0">
        <w:rPr>
          <w:szCs w:val="24"/>
          <w:lang w:val="en-GB"/>
        </w:rPr>
        <w:t>U</w:t>
      </w:r>
      <w:r w:rsidR="002D7C25" w:rsidRPr="00774DE0">
        <w:rPr>
          <w:szCs w:val="24"/>
          <w:lang w:val="en-GB"/>
        </w:rPr>
        <w:t>nder-reporting of elder abuse - and disability as risk factor for such cases</w:t>
      </w:r>
    </w:p>
    <w:p w14:paraId="0DBA3CE1" w14:textId="0B6CF41F" w:rsidR="002D7C25" w:rsidRPr="00774DE0" w:rsidRDefault="00E80FB5" w:rsidP="002D7C25">
      <w:pPr>
        <w:numPr>
          <w:ilvl w:val="0"/>
          <w:numId w:val="18"/>
        </w:numPr>
        <w:spacing w:after="120"/>
        <w:rPr>
          <w:szCs w:val="24"/>
          <w:lang w:val="en-GB"/>
        </w:rPr>
      </w:pPr>
      <w:r w:rsidRPr="00774DE0">
        <w:rPr>
          <w:szCs w:val="24"/>
          <w:lang w:val="en-GB"/>
        </w:rPr>
        <w:t>I</w:t>
      </w:r>
      <w:r w:rsidR="002D7C25" w:rsidRPr="00774DE0">
        <w:rPr>
          <w:szCs w:val="24"/>
          <w:lang w:val="en-GB"/>
        </w:rPr>
        <w:t>ssue of</w:t>
      </w:r>
      <w:r w:rsidR="004E2F04" w:rsidRPr="00774DE0">
        <w:rPr>
          <w:szCs w:val="24"/>
          <w:lang w:val="en-GB"/>
        </w:rPr>
        <w:t xml:space="preserve"> access </w:t>
      </w:r>
      <w:r w:rsidR="00320E2C" w:rsidRPr="00774DE0">
        <w:rPr>
          <w:szCs w:val="24"/>
          <w:lang w:val="en-GB"/>
        </w:rPr>
        <w:t>to justice for</w:t>
      </w:r>
      <w:r w:rsidR="002D7C25" w:rsidRPr="00774DE0">
        <w:rPr>
          <w:szCs w:val="24"/>
          <w:lang w:val="en-GB"/>
        </w:rPr>
        <w:t xml:space="preserve"> ‘vulnerable adults</w:t>
      </w:r>
      <w:r w:rsidR="00320E2C" w:rsidRPr="00774DE0">
        <w:rPr>
          <w:szCs w:val="24"/>
          <w:lang w:val="en-GB"/>
        </w:rPr>
        <w:t>’</w:t>
      </w:r>
      <w:r w:rsidR="002D7C25" w:rsidRPr="00774DE0">
        <w:rPr>
          <w:szCs w:val="24"/>
          <w:lang w:val="en-GB"/>
        </w:rPr>
        <w:t xml:space="preserve"> in cross border situations and implementation of Hague convention</w:t>
      </w:r>
    </w:p>
    <w:p w14:paraId="3CBE3711" w14:textId="5D23672A" w:rsidR="002D7C25" w:rsidRPr="00774DE0" w:rsidRDefault="00E80FB5" w:rsidP="002D7C25">
      <w:pPr>
        <w:numPr>
          <w:ilvl w:val="0"/>
          <w:numId w:val="18"/>
        </w:numPr>
        <w:spacing w:after="120"/>
        <w:rPr>
          <w:szCs w:val="24"/>
          <w:lang w:val="en-GB"/>
        </w:rPr>
      </w:pPr>
      <w:r w:rsidRPr="00774DE0">
        <w:rPr>
          <w:szCs w:val="24"/>
          <w:lang w:val="en-GB"/>
        </w:rPr>
        <w:t>D</w:t>
      </w:r>
      <w:r w:rsidR="002D7C25" w:rsidRPr="00774DE0">
        <w:rPr>
          <w:szCs w:val="24"/>
          <w:lang w:val="en-GB"/>
        </w:rPr>
        <w:t>igital divide</w:t>
      </w:r>
      <w:r w:rsidR="00320E2C" w:rsidRPr="00774DE0">
        <w:rPr>
          <w:szCs w:val="24"/>
          <w:lang w:val="en-GB"/>
        </w:rPr>
        <w:t xml:space="preserve"> and the risk of exclusion of older persons with disabilities </w:t>
      </w:r>
    </w:p>
    <w:p w14:paraId="68534AE9" w14:textId="684AE486" w:rsidR="002D7C25" w:rsidRPr="00774DE0" w:rsidRDefault="00E80FB5" w:rsidP="002D7C25">
      <w:pPr>
        <w:numPr>
          <w:ilvl w:val="0"/>
          <w:numId w:val="18"/>
        </w:numPr>
        <w:spacing w:after="120"/>
        <w:rPr>
          <w:szCs w:val="24"/>
          <w:lang w:val="en-GB"/>
        </w:rPr>
      </w:pPr>
      <w:r w:rsidRPr="00774DE0">
        <w:rPr>
          <w:szCs w:val="24"/>
          <w:lang w:val="en-GB"/>
        </w:rPr>
        <w:lastRenderedPageBreak/>
        <w:t>I</w:t>
      </w:r>
      <w:r w:rsidR="002D7C25" w:rsidRPr="00774DE0">
        <w:rPr>
          <w:szCs w:val="24"/>
          <w:lang w:val="en-GB"/>
        </w:rPr>
        <w:t xml:space="preserve">ncrease risk of poverty due to inadequate old age income (pension), lack of financial support for care/support needs (due to age limits) and increase in prices (ex. medicine, privatisation of services, high insurance premiums, </w:t>
      </w:r>
      <w:r w:rsidR="00320E2C" w:rsidRPr="00774DE0">
        <w:rPr>
          <w:szCs w:val="24"/>
          <w:lang w:val="en-GB"/>
        </w:rPr>
        <w:t xml:space="preserve">rents, </w:t>
      </w:r>
      <w:r w:rsidR="002D7C25" w:rsidRPr="00774DE0">
        <w:rPr>
          <w:szCs w:val="24"/>
          <w:lang w:val="en-GB"/>
        </w:rPr>
        <w:t>etc</w:t>
      </w:r>
      <w:r w:rsidR="00320E2C" w:rsidRPr="00774DE0">
        <w:rPr>
          <w:szCs w:val="24"/>
          <w:lang w:val="en-GB"/>
        </w:rPr>
        <w:t>.</w:t>
      </w:r>
      <w:r w:rsidR="002D7C25" w:rsidRPr="00774DE0">
        <w:rPr>
          <w:szCs w:val="24"/>
          <w:lang w:val="en-GB"/>
        </w:rPr>
        <w:t>)</w:t>
      </w:r>
    </w:p>
    <w:p w14:paraId="4DAC7D93" w14:textId="19F10521" w:rsidR="002D7C25" w:rsidRPr="00774DE0" w:rsidRDefault="00E80FB5" w:rsidP="007052E6">
      <w:pPr>
        <w:numPr>
          <w:ilvl w:val="0"/>
          <w:numId w:val="18"/>
        </w:numPr>
        <w:spacing w:after="120"/>
        <w:rPr>
          <w:szCs w:val="24"/>
          <w:lang w:val="en-GB"/>
        </w:rPr>
      </w:pPr>
      <w:r w:rsidRPr="00774DE0">
        <w:rPr>
          <w:szCs w:val="24"/>
          <w:lang w:val="en-GB"/>
        </w:rPr>
        <w:t>I</w:t>
      </w:r>
      <w:r w:rsidR="002D7C25" w:rsidRPr="00774DE0">
        <w:rPr>
          <w:szCs w:val="24"/>
          <w:lang w:val="en-GB"/>
        </w:rPr>
        <w:t>ssue with housing, for older people who need to make accommodations to their housing to make it more accessible they may have trouble finding subsidies, financial means for such adaptations due to age limits</w:t>
      </w:r>
    </w:p>
    <w:p w14:paraId="1E3AC52D" w14:textId="78F025E5" w:rsidR="00FD6FD7" w:rsidRPr="00774DE0" w:rsidRDefault="00FD6FD7" w:rsidP="00E27E94">
      <w:pPr>
        <w:spacing w:after="120"/>
        <w:rPr>
          <w:szCs w:val="24"/>
          <w:lang w:val="en-GB"/>
        </w:rPr>
      </w:pPr>
      <w:r w:rsidRPr="00774DE0">
        <w:rPr>
          <w:szCs w:val="24"/>
          <w:lang w:val="en-GB"/>
        </w:rPr>
        <w:t>Equinet has also pointed out the need for the EU, in the future to put in place and finance targeted measures, including positive action measures, to improve the situation and experience of marginalised groups adopting an intersectional approach. In that, particular attention and resources must be allocated to the most vulnerable (for example Roma women, Muslim women, older persons with disabilities).</w:t>
      </w:r>
      <w:r w:rsidRPr="00774DE0">
        <w:rPr>
          <w:szCs w:val="24"/>
          <w:vertAlign w:val="superscript"/>
          <w:lang w:val="en-GB"/>
        </w:rPr>
        <w:footnoteReference w:id="47"/>
      </w:r>
    </w:p>
    <w:p w14:paraId="1C405BFB" w14:textId="02FC6A3F" w:rsidR="00885D78" w:rsidRPr="00774DE0" w:rsidRDefault="00885D78" w:rsidP="00E27E94">
      <w:pPr>
        <w:spacing w:after="120"/>
        <w:rPr>
          <w:szCs w:val="24"/>
          <w:lang w:val="en-GB"/>
        </w:rPr>
      </w:pPr>
      <w:r w:rsidRPr="00774DE0">
        <w:rPr>
          <w:szCs w:val="24"/>
          <w:lang w:val="en-GB"/>
        </w:rPr>
        <w:t xml:space="preserve">The EU has failed to address the issues faced by older persons, including older persons with disabilities from a human rights-based approach. In January 2021, the European Commission launched a </w:t>
      </w:r>
      <w:hyperlink r:id="rId61" w:history="1">
        <w:r w:rsidRPr="00774DE0">
          <w:rPr>
            <w:rStyle w:val="Hyperlink"/>
            <w:szCs w:val="24"/>
            <w:lang w:val="en-GB"/>
          </w:rPr>
          <w:t xml:space="preserve">Green Paper on </w:t>
        </w:r>
        <w:r w:rsidR="004C4736" w:rsidRPr="00774DE0">
          <w:rPr>
            <w:rStyle w:val="Hyperlink"/>
            <w:szCs w:val="24"/>
            <w:lang w:val="en-GB"/>
          </w:rPr>
          <w:t>A</w:t>
        </w:r>
        <w:r w:rsidRPr="00774DE0">
          <w:rPr>
            <w:rStyle w:val="Hyperlink"/>
            <w:szCs w:val="24"/>
            <w:lang w:val="en-GB"/>
          </w:rPr>
          <w:t>geing</w:t>
        </w:r>
      </w:hyperlink>
      <w:r w:rsidRPr="00774DE0">
        <w:rPr>
          <w:szCs w:val="24"/>
          <w:lang w:val="en-GB"/>
        </w:rPr>
        <w:t xml:space="preserve"> which focuses on demographic transformation in Europe. </w:t>
      </w:r>
      <w:r w:rsidR="00C667A5" w:rsidRPr="00774DE0">
        <w:rPr>
          <w:szCs w:val="24"/>
          <w:lang w:val="en-GB"/>
        </w:rPr>
        <w:t>The Green Paper</w:t>
      </w:r>
      <w:r w:rsidRPr="00774DE0">
        <w:rPr>
          <w:szCs w:val="24"/>
          <w:lang w:val="en-GB"/>
        </w:rPr>
        <w:t xml:space="preserve"> does not address age (and disability) </w:t>
      </w:r>
      <w:r w:rsidR="00790B37" w:rsidRPr="00774DE0">
        <w:rPr>
          <w:szCs w:val="24"/>
          <w:lang w:val="en-GB"/>
        </w:rPr>
        <w:t>discrimination,</w:t>
      </w:r>
      <w:r w:rsidRPr="00774DE0">
        <w:rPr>
          <w:szCs w:val="24"/>
          <w:lang w:val="en-GB"/>
        </w:rPr>
        <w:t xml:space="preserve"> </w:t>
      </w:r>
      <w:r w:rsidR="00320E2C" w:rsidRPr="00774DE0">
        <w:rPr>
          <w:szCs w:val="24"/>
          <w:lang w:val="en-GB"/>
        </w:rPr>
        <w:t>n</w:t>
      </w:r>
      <w:r w:rsidR="00C667A5" w:rsidRPr="00774DE0">
        <w:rPr>
          <w:szCs w:val="24"/>
          <w:lang w:val="en-GB"/>
        </w:rPr>
        <w:t xml:space="preserve">or </w:t>
      </w:r>
      <w:r w:rsidR="00320E2C" w:rsidRPr="00774DE0">
        <w:rPr>
          <w:szCs w:val="24"/>
          <w:lang w:val="en-GB"/>
        </w:rPr>
        <w:t xml:space="preserve">does it foresee the adoption of </w:t>
      </w:r>
      <w:r w:rsidR="00C667A5" w:rsidRPr="00774DE0">
        <w:rPr>
          <w:szCs w:val="24"/>
          <w:lang w:val="en-GB"/>
        </w:rPr>
        <w:t>sufficient policies paving the way for participation and well-being of all generations. AGE Platform called for the adoption of a</w:t>
      </w:r>
      <w:r w:rsidR="00E80FB5" w:rsidRPr="00774DE0">
        <w:rPr>
          <w:szCs w:val="24"/>
          <w:lang w:val="en-GB"/>
        </w:rPr>
        <w:t>n</w:t>
      </w:r>
      <w:r w:rsidR="00C667A5" w:rsidRPr="00774DE0">
        <w:rPr>
          <w:szCs w:val="24"/>
          <w:lang w:val="en-GB"/>
        </w:rPr>
        <w:t xml:space="preserve"> EU Age Equality Strategy.</w:t>
      </w:r>
      <w:r w:rsidR="00C667A5" w:rsidRPr="00774DE0">
        <w:rPr>
          <w:rStyle w:val="FootnoteReference"/>
          <w:szCs w:val="24"/>
          <w:lang w:val="en-GB"/>
        </w:rPr>
        <w:footnoteReference w:id="48"/>
      </w:r>
      <w:r w:rsidR="00C667A5" w:rsidRPr="00774DE0">
        <w:rPr>
          <w:szCs w:val="24"/>
          <w:lang w:val="en-GB"/>
        </w:rPr>
        <w:t xml:space="preserve"> Such strategy could also have a positive impact on persons with disabilities of all ages, including older people.</w:t>
      </w:r>
    </w:p>
    <w:p w14:paraId="0000001B" w14:textId="77E4CE23" w:rsidR="007C7FBF" w:rsidRPr="00774DE0" w:rsidRDefault="007C7FBF" w:rsidP="00C252FB">
      <w:pPr>
        <w:pStyle w:val="Heading4"/>
      </w:pPr>
      <w:bookmarkStart w:id="56" w:name="_Toc95152649"/>
      <w:bookmarkStart w:id="57" w:name="_Toc95152756"/>
      <w:bookmarkStart w:id="58" w:name="_Toc95740759"/>
      <w:r w:rsidRPr="00774DE0">
        <w:t>Racialised persons with disabilities</w:t>
      </w:r>
      <w:bookmarkEnd w:id="56"/>
      <w:bookmarkEnd w:id="57"/>
      <w:bookmarkEnd w:id="58"/>
      <w:r w:rsidRPr="00774DE0">
        <w:t xml:space="preserve"> </w:t>
      </w:r>
    </w:p>
    <w:p w14:paraId="057A52BC" w14:textId="2B828372" w:rsidR="007C7FBF" w:rsidRPr="00774DE0" w:rsidRDefault="007C7FBF" w:rsidP="00E27E94">
      <w:pPr>
        <w:spacing w:after="120"/>
        <w:rPr>
          <w:szCs w:val="24"/>
          <w:lang w:val="en-GB"/>
        </w:rPr>
      </w:pPr>
      <w:r w:rsidRPr="00774DE0">
        <w:rPr>
          <w:szCs w:val="24"/>
          <w:lang w:val="en-GB"/>
        </w:rPr>
        <w:t xml:space="preserve">While there is a general lack of data on intersectional discrimination cases, </w:t>
      </w:r>
      <w:r w:rsidR="004E2782" w:rsidRPr="00774DE0">
        <w:rPr>
          <w:szCs w:val="24"/>
          <w:lang w:val="en-GB"/>
        </w:rPr>
        <w:t>E</w:t>
      </w:r>
      <w:r w:rsidRPr="00774DE0">
        <w:rPr>
          <w:szCs w:val="24"/>
          <w:lang w:val="en-GB"/>
        </w:rPr>
        <w:t xml:space="preserve">quality </w:t>
      </w:r>
      <w:r w:rsidR="004E2782" w:rsidRPr="00774DE0">
        <w:rPr>
          <w:szCs w:val="24"/>
          <w:lang w:val="en-GB"/>
        </w:rPr>
        <w:t>B</w:t>
      </w:r>
      <w:r w:rsidRPr="00774DE0">
        <w:rPr>
          <w:szCs w:val="24"/>
          <w:lang w:val="en-GB"/>
        </w:rPr>
        <w:t xml:space="preserve">odies report that the </w:t>
      </w:r>
      <w:r w:rsidR="004B0646" w:rsidRPr="00774DE0">
        <w:rPr>
          <w:szCs w:val="24"/>
          <w:lang w:val="en-GB"/>
        </w:rPr>
        <w:t>most observed</w:t>
      </w:r>
      <w:r w:rsidRPr="00774DE0">
        <w:rPr>
          <w:szCs w:val="24"/>
          <w:lang w:val="en-GB"/>
        </w:rPr>
        <w:t xml:space="preserve"> forms of intersectional discrimination take place at the intersections of race/ethnicity and gender, as well as race/ethnicity and socio-economic status, </w:t>
      </w:r>
      <w:r w:rsidR="0095506C" w:rsidRPr="00774DE0">
        <w:rPr>
          <w:szCs w:val="24"/>
          <w:lang w:val="en-GB"/>
        </w:rPr>
        <w:t>disability,</w:t>
      </w:r>
      <w:r w:rsidRPr="00774DE0">
        <w:rPr>
          <w:szCs w:val="24"/>
          <w:lang w:val="en-GB"/>
        </w:rPr>
        <w:t xml:space="preserve"> or age.</w:t>
      </w:r>
      <w:r w:rsidRPr="00774DE0">
        <w:rPr>
          <w:rStyle w:val="FootnoteReference"/>
          <w:szCs w:val="24"/>
          <w:lang w:val="en-GB"/>
        </w:rPr>
        <w:footnoteReference w:id="49"/>
      </w:r>
    </w:p>
    <w:p w14:paraId="4C48E02F" w14:textId="304F3CA1" w:rsidR="007C7FBF" w:rsidRPr="00774DE0" w:rsidRDefault="004B0646" w:rsidP="00E27E94">
      <w:pPr>
        <w:spacing w:after="120"/>
        <w:rPr>
          <w:szCs w:val="24"/>
          <w:lang w:val="en-GB"/>
        </w:rPr>
      </w:pPr>
      <w:r w:rsidRPr="00774DE0">
        <w:rPr>
          <w:szCs w:val="24"/>
          <w:lang w:val="en-GB"/>
        </w:rPr>
        <w:t xml:space="preserve">Black people with disabilities and people from ethnic minorities with disabilities are often victims of multiple and intersectional discrimination in all areas of life. A report published by the charity </w:t>
      </w:r>
      <w:r w:rsidRPr="00DC55E4">
        <w:rPr>
          <w:szCs w:val="24"/>
          <w:lang w:val="en-GB"/>
        </w:rPr>
        <w:t>BRAP</w:t>
      </w:r>
      <w:r w:rsidRPr="00774DE0">
        <w:rPr>
          <w:szCs w:val="24"/>
          <w:lang w:val="en-GB"/>
        </w:rPr>
        <w:t>,</w:t>
      </w:r>
      <w:r w:rsidRPr="00774DE0">
        <w:rPr>
          <w:rStyle w:val="FootnoteReference"/>
          <w:szCs w:val="24"/>
          <w:lang w:val="en-GB"/>
        </w:rPr>
        <w:footnoteReference w:id="50"/>
      </w:r>
      <w:r w:rsidRPr="00774DE0">
        <w:rPr>
          <w:szCs w:val="24"/>
          <w:lang w:val="en-GB"/>
        </w:rPr>
        <w:t xml:space="preserve"> formerly known as ‘Birmingham Race Action Partnership’, highlights that detention rates in the United Kingdom under the Mental Health Act 1983 are 6% lower than average for white British mental health patients, while they are 32% higher than average for black Caribbean patients and 24% higher for multiple heritage white and black Caribbean patients.</w:t>
      </w:r>
      <w:r w:rsidRPr="00774DE0">
        <w:rPr>
          <w:rStyle w:val="FootnoteReference"/>
          <w:szCs w:val="24"/>
          <w:lang w:val="en-GB"/>
        </w:rPr>
        <w:footnoteReference w:id="51"/>
      </w:r>
      <w:r w:rsidRPr="00774DE0">
        <w:rPr>
          <w:szCs w:val="24"/>
          <w:lang w:val="en-GB"/>
        </w:rPr>
        <w:t xml:space="preserve"> Black and minority ethnic women are three to six times more likely to be admitted to mental health units than average and more likely to be forcibly admitted. On </w:t>
      </w:r>
      <w:r w:rsidRPr="00774DE0">
        <w:rPr>
          <w:szCs w:val="24"/>
          <w:lang w:val="en-GB"/>
        </w:rPr>
        <w:lastRenderedPageBreak/>
        <w:t>the other hand, they are less likely to be admitted to women’s crisis houses and less likely to be referred to talking therapies.</w:t>
      </w:r>
      <w:r w:rsidRPr="00774DE0">
        <w:rPr>
          <w:rStyle w:val="FootnoteReference"/>
          <w:szCs w:val="24"/>
          <w:lang w:val="en-GB"/>
        </w:rPr>
        <w:footnoteReference w:id="52"/>
      </w:r>
    </w:p>
    <w:p w14:paraId="32AFA82D" w14:textId="6E0E2931" w:rsidR="004B0646" w:rsidRPr="00774DE0" w:rsidRDefault="004B0646" w:rsidP="00E27E94">
      <w:pPr>
        <w:spacing w:after="120"/>
        <w:rPr>
          <w:szCs w:val="24"/>
          <w:lang w:val="en-GB"/>
        </w:rPr>
      </w:pPr>
      <w:r w:rsidRPr="00774DE0">
        <w:rPr>
          <w:szCs w:val="24"/>
          <w:lang w:val="en-GB"/>
        </w:rPr>
        <w:t>In addition, many cases of hate speech and hate crimes</w:t>
      </w:r>
      <w:hyperlink r:id="rId62" w:history="1">
        <w:r w:rsidRPr="00E74852">
          <w:rPr>
            <w:rStyle w:val="Hyperlink"/>
            <w:szCs w:val="24"/>
            <w:lang w:val="en-GB"/>
          </w:rPr>
          <w:t xml:space="preserve"> </w:t>
        </w:r>
        <w:r w:rsidR="006B3DA7" w:rsidRPr="00E74852">
          <w:rPr>
            <w:rStyle w:val="Hyperlink"/>
            <w:szCs w:val="24"/>
            <w:lang w:val="en-GB"/>
          </w:rPr>
          <w:t>collected by the Organisation for Security and Co-operation in Europe (OSCE)</w:t>
        </w:r>
      </w:hyperlink>
      <w:r w:rsidR="00E22800" w:rsidRPr="00774DE0">
        <w:rPr>
          <w:szCs w:val="24"/>
          <w:lang w:val="en-GB"/>
        </w:rPr>
        <w:t xml:space="preserve"> show an intersection between ethnic origin, </w:t>
      </w:r>
      <w:r w:rsidR="0095506C" w:rsidRPr="00774DE0">
        <w:rPr>
          <w:szCs w:val="24"/>
          <w:lang w:val="en-GB"/>
        </w:rPr>
        <w:t>religion,</w:t>
      </w:r>
      <w:r w:rsidR="00E22800" w:rsidRPr="00774DE0">
        <w:rPr>
          <w:szCs w:val="24"/>
          <w:lang w:val="en-GB"/>
        </w:rPr>
        <w:t xml:space="preserve"> and disability. For example:</w:t>
      </w:r>
      <w:r w:rsidR="00097442" w:rsidRPr="00774DE0">
        <w:rPr>
          <w:rStyle w:val="FootnoteReference"/>
          <w:szCs w:val="24"/>
          <w:lang w:val="en-GB"/>
        </w:rPr>
        <w:footnoteReference w:id="53"/>
      </w:r>
      <w:r w:rsidR="00E22800" w:rsidRPr="00774DE0">
        <w:rPr>
          <w:szCs w:val="24"/>
          <w:lang w:val="en-GB"/>
        </w:rPr>
        <w:t xml:space="preserve"> </w:t>
      </w:r>
    </w:p>
    <w:p w14:paraId="55B54263" w14:textId="4FF17FEE" w:rsidR="006B3DA7" w:rsidRPr="00774DE0" w:rsidRDefault="00794172" w:rsidP="00E27E94">
      <w:pPr>
        <w:pStyle w:val="ListParagraph"/>
        <w:numPr>
          <w:ilvl w:val="0"/>
          <w:numId w:val="14"/>
        </w:numPr>
        <w:spacing w:after="120"/>
        <w:contextualSpacing w:val="0"/>
        <w:rPr>
          <w:szCs w:val="24"/>
          <w:lang w:val="en-GB"/>
        </w:rPr>
      </w:pPr>
      <w:r w:rsidRPr="00774DE0">
        <w:rPr>
          <w:szCs w:val="24"/>
          <w:lang w:val="en-GB"/>
        </w:rPr>
        <w:t>In Austria, an Afghan man with disabilities was subjected to racist insults and physically assaulted by police at a police station in 2018.</w:t>
      </w:r>
    </w:p>
    <w:p w14:paraId="4E47EF35" w14:textId="3DDE2010" w:rsidR="00794172" w:rsidRPr="00774DE0" w:rsidRDefault="00794172" w:rsidP="00E27E94">
      <w:pPr>
        <w:pStyle w:val="ListParagraph"/>
        <w:numPr>
          <w:ilvl w:val="0"/>
          <w:numId w:val="14"/>
        </w:numPr>
        <w:spacing w:after="120"/>
        <w:contextualSpacing w:val="0"/>
        <w:rPr>
          <w:szCs w:val="24"/>
          <w:lang w:val="en-GB"/>
        </w:rPr>
      </w:pPr>
      <w:r w:rsidRPr="00774DE0">
        <w:rPr>
          <w:szCs w:val="24"/>
          <w:lang w:val="en-GB"/>
        </w:rPr>
        <w:t xml:space="preserve">In Germany, </w:t>
      </w:r>
      <w:r w:rsidR="00AC77B6">
        <w:rPr>
          <w:szCs w:val="24"/>
          <w:lang w:val="en-GB"/>
        </w:rPr>
        <w:t xml:space="preserve">in 2019, </w:t>
      </w:r>
      <w:r w:rsidRPr="00774DE0">
        <w:rPr>
          <w:szCs w:val="24"/>
          <w:lang w:val="en-GB"/>
        </w:rPr>
        <w:t xml:space="preserve">a male Libyan asylum seeker who uses a wheelchair was subjected to anti-Arab insults, repeatedly punched in the face and, after falling out of his wheelchair, was repeatedly kicked while lying on the ground by a group. The victim sustained injuries. The main perpetrator, who has a far-right background and had been implicated in previous racist attacks, was prosecuted for a racist and </w:t>
      </w:r>
      <w:r w:rsidR="00E52925" w:rsidRPr="00774DE0">
        <w:rPr>
          <w:szCs w:val="24"/>
          <w:lang w:val="en-GB"/>
        </w:rPr>
        <w:t>ableist</w:t>
      </w:r>
      <w:r w:rsidRPr="00774DE0">
        <w:rPr>
          <w:szCs w:val="24"/>
          <w:lang w:val="en-GB"/>
        </w:rPr>
        <w:t xml:space="preserve"> hate crime</w:t>
      </w:r>
      <w:r w:rsidR="00AC77B6">
        <w:rPr>
          <w:szCs w:val="24"/>
          <w:lang w:val="en-GB"/>
        </w:rPr>
        <w:t>.</w:t>
      </w:r>
    </w:p>
    <w:p w14:paraId="11BCF845" w14:textId="60767BB6" w:rsidR="00794172" w:rsidRPr="00774DE0" w:rsidRDefault="00794172" w:rsidP="0094775A">
      <w:pPr>
        <w:pStyle w:val="ListParagraph"/>
        <w:numPr>
          <w:ilvl w:val="0"/>
          <w:numId w:val="14"/>
        </w:numPr>
        <w:spacing w:after="120"/>
        <w:contextualSpacing w:val="0"/>
        <w:rPr>
          <w:szCs w:val="24"/>
          <w:lang w:val="en-GB"/>
        </w:rPr>
      </w:pPr>
      <w:r w:rsidRPr="00774DE0">
        <w:rPr>
          <w:szCs w:val="24"/>
          <w:lang w:val="en-GB"/>
        </w:rPr>
        <w:t xml:space="preserve">In Italy, a family of foreign nationals was subjected to racist and ableist insults, threatened and harassed by their neighbours, who tried to make them move home. Police opened an investigation into a potential hate crime in 2019. </w:t>
      </w:r>
    </w:p>
    <w:p w14:paraId="3C74D626" w14:textId="490C3F15" w:rsidR="00794172" w:rsidRPr="00774DE0" w:rsidRDefault="00794172" w:rsidP="0094775A">
      <w:pPr>
        <w:pStyle w:val="ListParagraph"/>
        <w:numPr>
          <w:ilvl w:val="0"/>
          <w:numId w:val="14"/>
        </w:numPr>
        <w:spacing w:after="120"/>
        <w:contextualSpacing w:val="0"/>
        <w:rPr>
          <w:szCs w:val="24"/>
          <w:lang w:val="en-GB"/>
        </w:rPr>
      </w:pPr>
      <w:r w:rsidRPr="00774DE0">
        <w:rPr>
          <w:szCs w:val="24"/>
          <w:lang w:val="en-GB"/>
        </w:rPr>
        <w:t xml:space="preserve">In Italy, a man of Moroccan descent who uses a wheelchair was subjected to racist, xenophobic and </w:t>
      </w:r>
      <w:r w:rsidR="00E52925" w:rsidRPr="00774DE0">
        <w:rPr>
          <w:szCs w:val="24"/>
          <w:lang w:val="en-GB"/>
        </w:rPr>
        <w:t>ableist</w:t>
      </w:r>
      <w:r w:rsidRPr="00774DE0">
        <w:rPr>
          <w:szCs w:val="24"/>
          <w:lang w:val="en-GB"/>
        </w:rPr>
        <w:t xml:space="preserve"> insults and sp</w:t>
      </w:r>
      <w:r w:rsidR="00037292" w:rsidRPr="00774DE0">
        <w:rPr>
          <w:szCs w:val="24"/>
          <w:lang w:val="en-GB"/>
        </w:rPr>
        <w:t>it</w:t>
      </w:r>
      <w:r w:rsidRPr="00774DE0">
        <w:rPr>
          <w:szCs w:val="24"/>
          <w:lang w:val="en-GB"/>
        </w:rPr>
        <w:t xml:space="preserve"> at by other passengers on a tram in 2019. The perpetrators accused the victim of delaying the tram's departure while he fixed his wheelchair in place, as required by law.</w:t>
      </w:r>
    </w:p>
    <w:p w14:paraId="6A52F595" w14:textId="4F7658E3" w:rsidR="00794172" w:rsidRPr="00774DE0" w:rsidRDefault="00794172" w:rsidP="0094775A">
      <w:pPr>
        <w:pStyle w:val="ListParagraph"/>
        <w:numPr>
          <w:ilvl w:val="0"/>
          <w:numId w:val="14"/>
        </w:numPr>
        <w:spacing w:after="120"/>
        <w:rPr>
          <w:szCs w:val="24"/>
          <w:lang w:val="en-GB"/>
        </w:rPr>
      </w:pPr>
      <w:r w:rsidRPr="00774DE0">
        <w:rPr>
          <w:szCs w:val="24"/>
          <w:lang w:val="en-GB"/>
        </w:rPr>
        <w:t>In Ireland, a man of Chinese descent, who ha</w:t>
      </w:r>
      <w:r w:rsidR="00E52925" w:rsidRPr="00774DE0">
        <w:rPr>
          <w:szCs w:val="24"/>
          <w:lang w:val="en-GB"/>
        </w:rPr>
        <w:t>d</w:t>
      </w:r>
      <w:r w:rsidRPr="00774DE0">
        <w:rPr>
          <w:szCs w:val="24"/>
          <w:lang w:val="en-GB"/>
        </w:rPr>
        <w:t xml:space="preserve"> a disability, was subjected to racist </w:t>
      </w:r>
      <w:r w:rsidR="0095506C" w:rsidRPr="00774DE0">
        <w:rPr>
          <w:szCs w:val="24"/>
          <w:lang w:val="en-GB"/>
        </w:rPr>
        <w:t>insults,</w:t>
      </w:r>
      <w:r w:rsidRPr="00774DE0">
        <w:rPr>
          <w:szCs w:val="24"/>
          <w:lang w:val="en-GB"/>
        </w:rPr>
        <w:t xml:space="preserve"> and had his medication stolen by colleagues at work in 2019. </w:t>
      </w:r>
    </w:p>
    <w:p w14:paraId="19636AC8" w14:textId="101C06D7" w:rsidR="007C7FBF" w:rsidRPr="00774DE0" w:rsidRDefault="007C7FBF" w:rsidP="00097442">
      <w:pPr>
        <w:spacing w:after="120"/>
        <w:rPr>
          <w:szCs w:val="24"/>
          <w:lang w:val="en-GB"/>
        </w:rPr>
      </w:pPr>
      <w:r w:rsidRPr="00774DE0">
        <w:rPr>
          <w:szCs w:val="24"/>
          <w:lang w:val="en-GB"/>
        </w:rPr>
        <w:t>Although access to justice is difficult</w:t>
      </w:r>
      <w:r w:rsidR="00757A06" w:rsidRPr="00774DE0">
        <w:rPr>
          <w:szCs w:val="24"/>
          <w:lang w:val="en-GB"/>
        </w:rPr>
        <w:t xml:space="preserve"> </w:t>
      </w:r>
      <w:r w:rsidRPr="00774DE0">
        <w:rPr>
          <w:szCs w:val="24"/>
          <w:lang w:val="en-GB"/>
        </w:rPr>
        <w:t>given the lack of an EU mandate for M</w:t>
      </w:r>
      <w:r w:rsidR="00757A06" w:rsidRPr="00774DE0">
        <w:rPr>
          <w:szCs w:val="24"/>
          <w:lang w:val="en-GB"/>
        </w:rPr>
        <w:t>ember States</w:t>
      </w:r>
      <w:r w:rsidRPr="00774DE0">
        <w:rPr>
          <w:szCs w:val="24"/>
          <w:lang w:val="en-GB"/>
        </w:rPr>
        <w:t xml:space="preserve"> to designate an Equality Body to work on the ground o</w:t>
      </w:r>
      <w:r w:rsidR="00D07226" w:rsidRPr="00774DE0">
        <w:rPr>
          <w:szCs w:val="24"/>
          <w:lang w:val="en-GB"/>
        </w:rPr>
        <w:t>f</w:t>
      </w:r>
      <w:r w:rsidRPr="00774DE0">
        <w:rPr>
          <w:szCs w:val="24"/>
          <w:lang w:val="en-GB"/>
        </w:rPr>
        <w:t xml:space="preserve"> disability across Europe, there have been notably reported cases of strategic litigation as regards to the combination of the grounds of race and disability </w:t>
      </w:r>
      <w:r w:rsidR="00B62541" w:rsidRPr="00774DE0">
        <w:rPr>
          <w:szCs w:val="24"/>
          <w:lang w:val="en-GB"/>
        </w:rPr>
        <w:t xml:space="preserve">before national courts </w:t>
      </w:r>
      <w:r w:rsidRPr="00774DE0">
        <w:rPr>
          <w:szCs w:val="24"/>
          <w:lang w:val="en-GB"/>
        </w:rPr>
        <w:t xml:space="preserve">(even if not intersectional, of multiple discrimination). For instance, in the case of </w:t>
      </w:r>
      <w:r w:rsidRPr="00774DE0">
        <w:rPr>
          <w:i/>
          <w:iCs/>
          <w:szCs w:val="24"/>
          <w:lang w:val="en-GB"/>
        </w:rPr>
        <w:t>Al Jumard v Clywd Leisure</w:t>
      </w:r>
      <w:r w:rsidRPr="00774DE0">
        <w:rPr>
          <w:rStyle w:val="FootnoteReference"/>
          <w:szCs w:val="24"/>
          <w:lang w:val="en-GB"/>
        </w:rPr>
        <w:footnoteReference w:id="54"/>
      </w:r>
      <w:r w:rsidRPr="00774DE0">
        <w:rPr>
          <w:szCs w:val="24"/>
          <w:lang w:val="en-GB"/>
        </w:rPr>
        <w:t xml:space="preserve"> which concerned Mr Al Jumard, </w:t>
      </w:r>
      <w:r w:rsidR="00B62541" w:rsidRPr="00774DE0">
        <w:rPr>
          <w:szCs w:val="24"/>
          <w:lang w:val="en-GB"/>
        </w:rPr>
        <w:t>a</w:t>
      </w:r>
      <w:r w:rsidRPr="00774DE0">
        <w:rPr>
          <w:szCs w:val="24"/>
          <w:lang w:val="en-GB"/>
        </w:rPr>
        <w:t xml:space="preserve"> duty manager at a leisure centre. He was a British national who was Iraqi by birth and disabled as a result of a hip operation. The tribunal found that he had been discriminated against </w:t>
      </w:r>
      <w:r w:rsidR="00B62541" w:rsidRPr="00774DE0">
        <w:rPr>
          <w:szCs w:val="24"/>
          <w:lang w:val="en-GB"/>
        </w:rPr>
        <w:t>based on his ethnic origin</w:t>
      </w:r>
      <w:r w:rsidRPr="00774DE0">
        <w:rPr>
          <w:szCs w:val="24"/>
          <w:lang w:val="en-GB"/>
        </w:rPr>
        <w:t xml:space="preserve">, and in relation to separate incidents, discriminated against </w:t>
      </w:r>
      <w:r w:rsidR="00B62541" w:rsidRPr="00774DE0">
        <w:rPr>
          <w:szCs w:val="24"/>
          <w:lang w:val="en-GB"/>
        </w:rPr>
        <w:t>based on</w:t>
      </w:r>
      <w:r w:rsidRPr="00774DE0">
        <w:rPr>
          <w:szCs w:val="24"/>
          <w:lang w:val="en-GB"/>
        </w:rPr>
        <w:t xml:space="preserve"> his disability. In that case, the Tribunal said that losses flowing from the two forms of discrimination, where they did not arise out of the same </w:t>
      </w:r>
      <w:r w:rsidRPr="00774DE0">
        <w:rPr>
          <w:szCs w:val="24"/>
          <w:lang w:val="en-GB"/>
        </w:rPr>
        <w:lastRenderedPageBreak/>
        <w:t xml:space="preserve">facts, should have been separately considered, and </w:t>
      </w:r>
      <w:r w:rsidR="00170FE0" w:rsidRPr="00774DE0">
        <w:rPr>
          <w:szCs w:val="24"/>
          <w:lang w:val="en-GB"/>
        </w:rPr>
        <w:t>“</w:t>
      </w:r>
      <w:r w:rsidRPr="00774DE0">
        <w:rPr>
          <w:szCs w:val="24"/>
          <w:lang w:val="en-GB"/>
        </w:rPr>
        <w:t>injury to feelings</w:t>
      </w:r>
      <w:r w:rsidR="00170FE0" w:rsidRPr="00774DE0">
        <w:rPr>
          <w:szCs w:val="24"/>
          <w:lang w:val="en-GB"/>
        </w:rPr>
        <w:t>”</w:t>
      </w:r>
      <w:r w:rsidRPr="00774DE0">
        <w:rPr>
          <w:szCs w:val="24"/>
          <w:lang w:val="en-GB"/>
        </w:rPr>
        <w:t xml:space="preserve"> awarded for the separate claim.</w:t>
      </w:r>
      <w:r w:rsidRPr="00774DE0">
        <w:rPr>
          <w:rStyle w:val="FootnoteReference"/>
          <w:szCs w:val="24"/>
          <w:lang w:val="en-GB"/>
        </w:rPr>
        <w:footnoteReference w:id="55"/>
      </w:r>
      <w:bookmarkStart w:id="60" w:name="_dg5pfe1xm3q" w:colFirst="0" w:colLast="0"/>
      <w:bookmarkEnd w:id="60"/>
    </w:p>
    <w:p w14:paraId="18B3C020" w14:textId="4C7BFE5E" w:rsidR="00B62541" w:rsidRPr="00774DE0" w:rsidRDefault="00B62541" w:rsidP="00497590">
      <w:pPr>
        <w:spacing w:after="120"/>
        <w:rPr>
          <w:szCs w:val="24"/>
          <w:lang w:val="en-GB"/>
        </w:rPr>
      </w:pPr>
      <w:r w:rsidRPr="00774DE0">
        <w:rPr>
          <w:szCs w:val="24"/>
          <w:lang w:val="en-GB"/>
        </w:rPr>
        <w:t>A project that took place in Ireland involving several stakeholders</w:t>
      </w:r>
      <w:r w:rsidRPr="00774DE0">
        <w:rPr>
          <w:rStyle w:val="FootnoteReference"/>
          <w:szCs w:val="24"/>
          <w:lang w:val="en-GB"/>
        </w:rPr>
        <w:footnoteReference w:id="56"/>
      </w:r>
      <w:r w:rsidRPr="00774DE0">
        <w:rPr>
          <w:szCs w:val="24"/>
          <w:lang w:val="en-GB"/>
        </w:rPr>
        <w:t xml:space="preserve"> aimed at improving the work on intersectionality and looking at the particular situation, </w:t>
      </w:r>
      <w:r w:rsidR="007F1C92" w:rsidRPr="00774DE0">
        <w:rPr>
          <w:szCs w:val="24"/>
          <w:lang w:val="en-GB"/>
        </w:rPr>
        <w:t>experience,</w:t>
      </w:r>
      <w:r w:rsidRPr="00774DE0">
        <w:rPr>
          <w:szCs w:val="24"/>
          <w:lang w:val="en-GB"/>
        </w:rPr>
        <w:t xml:space="preserve"> and identity of five multiple identity groups</w:t>
      </w:r>
      <w:r w:rsidRPr="00774DE0">
        <w:rPr>
          <w:rStyle w:val="FootnoteReference"/>
          <w:szCs w:val="24"/>
          <w:lang w:val="en-GB"/>
        </w:rPr>
        <w:footnoteReference w:id="57"/>
      </w:r>
      <w:r w:rsidRPr="00774DE0">
        <w:rPr>
          <w:szCs w:val="24"/>
          <w:lang w:val="en-GB"/>
        </w:rPr>
        <w:t xml:space="preserve"> </w:t>
      </w:r>
      <w:r w:rsidR="005D2E2A" w:rsidRPr="00774DE0">
        <w:rPr>
          <w:szCs w:val="24"/>
          <w:lang w:val="en-GB"/>
        </w:rPr>
        <w:t xml:space="preserve">including racialised persons with disabilities found that: </w:t>
      </w:r>
    </w:p>
    <w:p w14:paraId="1A746AE7" w14:textId="0ACB1AC6" w:rsidR="007C7FBF" w:rsidRPr="00774DE0" w:rsidRDefault="007C7FBF" w:rsidP="00497590">
      <w:pPr>
        <w:pStyle w:val="ListParagraph"/>
        <w:numPr>
          <w:ilvl w:val="0"/>
          <w:numId w:val="13"/>
        </w:numPr>
        <w:spacing w:after="120"/>
        <w:contextualSpacing w:val="0"/>
        <w:rPr>
          <w:szCs w:val="24"/>
          <w:lang w:val="en-GB"/>
        </w:rPr>
      </w:pPr>
      <w:r w:rsidRPr="00774DE0">
        <w:rPr>
          <w:szCs w:val="24"/>
          <w:lang w:val="en-GB"/>
        </w:rPr>
        <w:t>Strategies to accommodate diversity need to look beyond homogenous groups and acknowledge diversity within these groups</w:t>
      </w:r>
    </w:p>
    <w:p w14:paraId="6D2D472D" w14:textId="2CCEE603" w:rsidR="007C7FBF" w:rsidRPr="00774DE0" w:rsidRDefault="007C7FBF" w:rsidP="00497590">
      <w:pPr>
        <w:pStyle w:val="ListParagraph"/>
        <w:numPr>
          <w:ilvl w:val="0"/>
          <w:numId w:val="13"/>
        </w:numPr>
        <w:spacing w:after="120"/>
        <w:contextualSpacing w:val="0"/>
        <w:rPr>
          <w:szCs w:val="24"/>
          <w:lang w:val="en-GB"/>
        </w:rPr>
      </w:pPr>
      <w:r w:rsidRPr="00774DE0">
        <w:rPr>
          <w:szCs w:val="24"/>
          <w:lang w:val="en-GB"/>
        </w:rPr>
        <w:t>Policy needs to acknowledge how the complexity of people’s identities have shaped how they experience discrimination and inequality, and that the combination of oppressions experienced by multiple identity groups “produced something quite unique”</w:t>
      </w:r>
      <w:r w:rsidRPr="00774DE0">
        <w:rPr>
          <w:rStyle w:val="FootnoteReference"/>
          <w:szCs w:val="24"/>
          <w:lang w:val="en-GB"/>
        </w:rPr>
        <w:footnoteReference w:id="58"/>
      </w:r>
    </w:p>
    <w:p w14:paraId="22BBE557" w14:textId="77777777" w:rsidR="004E7E43" w:rsidRPr="00774DE0" w:rsidRDefault="00D07226" w:rsidP="004E7E43">
      <w:pPr>
        <w:rPr>
          <w:lang w:val="en-GB"/>
        </w:rPr>
      </w:pPr>
      <w:r w:rsidRPr="00774DE0">
        <w:rPr>
          <w:lang w:val="en-GB"/>
        </w:rPr>
        <w:t xml:space="preserve">The European Commission is yet to establish legislative protection to protect the intersection of persons with disabilities and racialised people. </w:t>
      </w:r>
    </w:p>
    <w:p w14:paraId="0000001D" w14:textId="3D87EDD5" w:rsidR="007C7FBF" w:rsidRPr="00774DE0" w:rsidRDefault="007C7FBF" w:rsidP="004B0646">
      <w:pPr>
        <w:pStyle w:val="Heading5"/>
        <w:spacing w:after="120"/>
        <w:rPr>
          <w:lang w:val="en-GB"/>
        </w:rPr>
      </w:pPr>
      <w:bookmarkStart w:id="61" w:name="_Toc95740760"/>
      <w:r w:rsidRPr="00774DE0">
        <w:rPr>
          <w:lang w:val="en-GB"/>
        </w:rPr>
        <w:t>Roma with disabilities</w:t>
      </w:r>
      <w:bookmarkEnd w:id="61"/>
    </w:p>
    <w:p w14:paraId="360EA8D9" w14:textId="64BF2959" w:rsidR="00CA1505" w:rsidRPr="00774DE0" w:rsidRDefault="007246D4" w:rsidP="004B0646">
      <w:pPr>
        <w:spacing w:after="120"/>
        <w:rPr>
          <w:szCs w:val="24"/>
          <w:lang w:val="en-GB"/>
        </w:rPr>
      </w:pPr>
      <w:r w:rsidRPr="00774DE0">
        <w:rPr>
          <w:szCs w:val="24"/>
          <w:lang w:val="en-GB"/>
        </w:rPr>
        <w:t>Among racia</w:t>
      </w:r>
      <w:r w:rsidR="00D07226" w:rsidRPr="00774DE0">
        <w:rPr>
          <w:szCs w:val="24"/>
          <w:lang w:val="en-GB"/>
        </w:rPr>
        <w:t>li</w:t>
      </w:r>
      <w:r w:rsidRPr="00774DE0">
        <w:rPr>
          <w:szCs w:val="24"/>
          <w:lang w:val="en-GB"/>
        </w:rPr>
        <w:t xml:space="preserve">sed people, Roma with disabilities </w:t>
      </w:r>
      <w:r w:rsidR="005E4BB4" w:rsidRPr="00774DE0">
        <w:rPr>
          <w:szCs w:val="24"/>
          <w:lang w:val="en-GB"/>
        </w:rPr>
        <w:t>are</w:t>
      </w:r>
      <w:r w:rsidRPr="00774DE0">
        <w:rPr>
          <w:szCs w:val="24"/>
          <w:lang w:val="en-GB"/>
        </w:rPr>
        <w:t xml:space="preserve"> particularly at risk of intersectional and m</w:t>
      </w:r>
      <w:r w:rsidR="00CA1505" w:rsidRPr="00774DE0">
        <w:rPr>
          <w:szCs w:val="24"/>
          <w:lang w:val="en-GB"/>
        </w:rPr>
        <w:t xml:space="preserve">ultiple discrimination. </w:t>
      </w:r>
    </w:p>
    <w:p w14:paraId="6D0A3AEC" w14:textId="35E1C293" w:rsidR="004A59E2" w:rsidRPr="00774DE0" w:rsidRDefault="007C7FBF" w:rsidP="004B0646">
      <w:pPr>
        <w:spacing w:after="120"/>
        <w:rPr>
          <w:szCs w:val="24"/>
          <w:lang w:val="en-GB"/>
        </w:rPr>
      </w:pPr>
      <w:r w:rsidRPr="00774DE0">
        <w:rPr>
          <w:szCs w:val="24"/>
          <w:lang w:val="en-GB"/>
        </w:rPr>
        <w:t>While there is no accurate data on the number of Roma with disabilities</w:t>
      </w:r>
      <w:r w:rsidR="005643A6" w:rsidRPr="00774DE0">
        <w:rPr>
          <w:szCs w:val="24"/>
          <w:lang w:val="en-GB"/>
        </w:rPr>
        <w:t xml:space="preserve"> in Europe</w:t>
      </w:r>
      <w:r w:rsidR="00CA1505" w:rsidRPr="00774DE0">
        <w:rPr>
          <w:szCs w:val="24"/>
          <w:lang w:val="en-GB"/>
        </w:rPr>
        <w:t xml:space="preserve">, a </w:t>
      </w:r>
      <w:r w:rsidRPr="00774DE0">
        <w:rPr>
          <w:szCs w:val="24"/>
          <w:lang w:val="en-GB"/>
        </w:rPr>
        <w:t xml:space="preserve">2016 study estimates that </w:t>
      </w:r>
      <w:r w:rsidRPr="00774DE0">
        <w:rPr>
          <w:b/>
          <w:bCs/>
          <w:szCs w:val="24"/>
          <w:lang w:val="en-GB"/>
        </w:rPr>
        <w:t>15% of the Roma population are persons with disabilities</w:t>
      </w:r>
      <w:r w:rsidRPr="00774DE0">
        <w:rPr>
          <w:szCs w:val="24"/>
          <w:lang w:val="en-GB"/>
        </w:rPr>
        <w:t>, meaning that there would be more than 1.6 million Roma with disabilities in the EU and EU enlargement countries (Albania, Montenegro, North Macedonia, Serbia, and Turkey). Roma with disabilities experience even greater isolation, less access to inclusive education and more severe poverty. During COVID-19, their situation has been even more critical.</w:t>
      </w:r>
    </w:p>
    <w:p w14:paraId="2B0EDBC3" w14:textId="14A21C5E" w:rsidR="007C7FBF" w:rsidRPr="00774DE0" w:rsidRDefault="007C7FBF" w:rsidP="005643A6">
      <w:pPr>
        <w:spacing w:after="120"/>
        <w:rPr>
          <w:szCs w:val="24"/>
          <w:lang w:val="en-GB"/>
        </w:rPr>
      </w:pPr>
      <w:r w:rsidRPr="00774DE0">
        <w:rPr>
          <w:szCs w:val="24"/>
          <w:lang w:val="en-GB"/>
        </w:rPr>
        <w:t xml:space="preserve">Intersectionality and multiple discrimination are a feature in the work of </w:t>
      </w:r>
      <w:r w:rsidR="005643A6" w:rsidRPr="00774DE0">
        <w:rPr>
          <w:szCs w:val="24"/>
          <w:lang w:val="en-GB"/>
        </w:rPr>
        <w:t>E</w:t>
      </w:r>
      <w:r w:rsidRPr="00774DE0">
        <w:rPr>
          <w:szCs w:val="24"/>
          <w:lang w:val="en-GB"/>
        </w:rPr>
        <w:t xml:space="preserve">quality </w:t>
      </w:r>
      <w:r w:rsidR="005643A6" w:rsidRPr="00774DE0">
        <w:rPr>
          <w:szCs w:val="24"/>
          <w:lang w:val="en-GB"/>
        </w:rPr>
        <w:t>B</w:t>
      </w:r>
      <w:r w:rsidRPr="00774DE0">
        <w:rPr>
          <w:szCs w:val="24"/>
          <w:lang w:val="en-GB"/>
        </w:rPr>
        <w:t>odies on Roma and Traveller issues. The two most significant intersections reported relate to gender and socio-economic status. There is some focus on Roma and Traveller older people and children, intersection with the age ground</w:t>
      </w:r>
      <w:r w:rsidR="00703C9F" w:rsidRPr="00774DE0">
        <w:rPr>
          <w:szCs w:val="24"/>
          <w:lang w:val="en-GB"/>
        </w:rPr>
        <w:t>s</w:t>
      </w:r>
      <w:r w:rsidRPr="00774DE0">
        <w:rPr>
          <w:szCs w:val="24"/>
          <w:lang w:val="en-GB"/>
        </w:rPr>
        <w:t>, and on Roma and Traveller people with disabilities, intersection with the disability ground</w:t>
      </w:r>
      <w:r w:rsidR="00703C9F" w:rsidRPr="00774DE0">
        <w:rPr>
          <w:szCs w:val="24"/>
          <w:lang w:val="en-GB"/>
        </w:rPr>
        <w:t>s</w:t>
      </w:r>
      <w:r w:rsidRPr="00774DE0">
        <w:rPr>
          <w:szCs w:val="24"/>
          <w:lang w:val="en-GB"/>
        </w:rPr>
        <w:t>, but these intersections might merit further attention along with the intersection with the sexual orientation ground.</w:t>
      </w:r>
      <w:r w:rsidRPr="00774DE0">
        <w:rPr>
          <w:rStyle w:val="FootnoteReference"/>
          <w:szCs w:val="24"/>
          <w:lang w:val="en-GB"/>
        </w:rPr>
        <w:footnoteReference w:id="59"/>
      </w:r>
      <w:bookmarkStart w:id="62" w:name="_aerde97gmxho" w:colFirst="0" w:colLast="0"/>
      <w:bookmarkEnd w:id="62"/>
      <w:r w:rsidR="005643A6" w:rsidRPr="00774DE0">
        <w:rPr>
          <w:szCs w:val="24"/>
          <w:lang w:val="en-GB"/>
        </w:rPr>
        <w:t xml:space="preserve"> In </w:t>
      </w:r>
      <w:r w:rsidR="005643A6" w:rsidRPr="00774DE0">
        <w:rPr>
          <w:szCs w:val="24"/>
          <w:lang w:val="en-GB"/>
        </w:rPr>
        <w:lastRenderedPageBreak/>
        <w:t xml:space="preserve">addition, both women with disabilities and Roma women are at risk of forced sterilisation in the EU. </w:t>
      </w:r>
    </w:p>
    <w:p w14:paraId="51DFACDE" w14:textId="63474C6B" w:rsidR="009339E0" w:rsidRPr="00774DE0" w:rsidRDefault="009339E0" w:rsidP="009339E0">
      <w:pPr>
        <w:spacing w:after="120"/>
        <w:rPr>
          <w:szCs w:val="24"/>
          <w:lang w:val="en-GB"/>
        </w:rPr>
      </w:pPr>
      <w:r w:rsidRPr="00774DE0">
        <w:rPr>
          <w:szCs w:val="24"/>
          <w:lang w:val="en-GB"/>
        </w:rPr>
        <w:t xml:space="preserve">The European Commission adopted a </w:t>
      </w:r>
      <w:hyperlink r:id="rId63" w:history="1">
        <w:r w:rsidRPr="00774DE0">
          <w:rPr>
            <w:rStyle w:val="Hyperlink"/>
            <w:szCs w:val="24"/>
            <w:lang w:val="en-GB"/>
          </w:rPr>
          <w:t>2020-2030 EU Roma Strategic Framework</w:t>
        </w:r>
      </w:hyperlink>
      <w:r w:rsidRPr="00774DE0">
        <w:rPr>
          <w:szCs w:val="24"/>
          <w:lang w:val="en-GB"/>
        </w:rPr>
        <w:t>. It recommends that national strategic framework set out “targets and measures for specific groups (Roma children, women, young people, older Roma or those with disabilities, EU mobile citizens, non-EU nationals, stateless Roma) to reflect diversity among Roma, including gender-responsive and child/age-sensitive measures”. However, there are no specific measures that efficiently look at specific issues faced by Roma with disabilities, and issues faced by both the Roma and the disability community (</w:t>
      </w:r>
      <w:r w:rsidR="00790B37" w:rsidRPr="00774DE0">
        <w:rPr>
          <w:szCs w:val="24"/>
          <w:lang w:val="en-GB"/>
        </w:rPr>
        <w:t>e.g.,</w:t>
      </w:r>
      <w:r w:rsidRPr="00774DE0">
        <w:rPr>
          <w:szCs w:val="24"/>
          <w:lang w:val="en-GB"/>
        </w:rPr>
        <w:t xml:space="preserve"> segregated education, forced sterilisation, etc.)</w:t>
      </w:r>
      <w:r w:rsidR="00FE2560" w:rsidRPr="00774DE0">
        <w:rPr>
          <w:szCs w:val="24"/>
          <w:lang w:val="en-GB"/>
        </w:rPr>
        <w:t xml:space="preserve">. The Strategy on the rights of persons with disabilities also fails to address the issues of Roma with disabilities. </w:t>
      </w:r>
      <w:r w:rsidRPr="00774DE0">
        <w:rPr>
          <w:szCs w:val="24"/>
          <w:lang w:val="en-GB"/>
        </w:rPr>
        <w:t xml:space="preserve"> </w:t>
      </w:r>
    </w:p>
    <w:p w14:paraId="1B90ADB0" w14:textId="77777777" w:rsidR="00FF3597" w:rsidRDefault="00FF3597">
      <w:pPr>
        <w:rPr>
          <w:rFonts w:ascii="Verdana Pro SemiBold" w:hAnsi="Verdana Pro SemiBold"/>
          <w:color w:val="002060"/>
          <w:sz w:val="36"/>
          <w:szCs w:val="32"/>
          <w:lang w:val="en-GB"/>
        </w:rPr>
      </w:pPr>
      <w:bookmarkStart w:id="63" w:name="_Toc95152650"/>
      <w:bookmarkStart w:id="64" w:name="_Toc95152757"/>
      <w:bookmarkEnd w:id="41"/>
      <w:r w:rsidRPr="00B027B0">
        <w:rPr>
          <w:lang w:val="en-GB"/>
        </w:rPr>
        <w:br w:type="page"/>
      </w:r>
    </w:p>
    <w:p w14:paraId="00000024" w14:textId="670DE82B" w:rsidR="0039603C" w:rsidRPr="00774DE0" w:rsidRDefault="008233B4" w:rsidP="00A47B62">
      <w:pPr>
        <w:pStyle w:val="Heading2"/>
      </w:pPr>
      <w:bookmarkStart w:id="65" w:name="_Toc95740761"/>
      <w:r w:rsidRPr="00774DE0">
        <w:lastRenderedPageBreak/>
        <w:t>Resources</w:t>
      </w:r>
      <w:bookmarkEnd w:id="63"/>
      <w:bookmarkEnd w:id="64"/>
      <w:bookmarkEnd w:id="65"/>
      <w:r w:rsidR="00CF67B9" w:rsidRPr="00774DE0">
        <w:t xml:space="preserve"> </w:t>
      </w:r>
    </w:p>
    <w:p w14:paraId="00B4F179" w14:textId="77777777" w:rsidR="0042161E" w:rsidRPr="00774DE0" w:rsidRDefault="0042161E" w:rsidP="00ED3685">
      <w:pPr>
        <w:numPr>
          <w:ilvl w:val="0"/>
          <w:numId w:val="1"/>
        </w:numPr>
        <w:rPr>
          <w:szCs w:val="24"/>
          <w:lang w:val="en-GB"/>
        </w:rPr>
      </w:pPr>
      <w:r w:rsidRPr="00774DE0">
        <w:rPr>
          <w:szCs w:val="24"/>
          <w:lang w:val="en-GB"/>
        </w:rPr>
        <w:t xml:space="preserve">EDF, </w:t>
      </w:r>
      <w:hyperlink r:id="rId64" w:history="1">
        <w:r w:rsidRPr="00774DE0">
          <w:rPr>
            <w:rStyle w:val="Hyperlink"/>
            <w:szCs w:val="24"/>
            <w:lang w:val="en-GB"/>
          </w:rPr>
          <w:t>Human Rights Report on Equality and Non-Discrimination</w:t>
        </w:r>
      </w:hyperlink>
      <w:r w:rsidRPr="00774DE0">
        <w:rPr>
          <w:szCs w:val="24"/>
          <w:lang w:val="en-GB"/>
        </w:rPr>
        <w:t xml:space="preserve"> (2019)</w:t>
      </w:r>
    </w:p>
    <w:p w14:paraId="38A05373" w14:textId="77777777" w:rsidR="0042161E" w:rsidRPr="00774DE0" w:rsidRDefault="0042161E" w:rsidP="00ED3685">
      <w:pPr>
        <w:numPr>
          <w:ilvl w:val="0"/>
          <w:numId w:val="1"/>
        </w:numPr>
        <w:rPr>
          <w:szCs w:val="24"/>
          <w:lang w:val="en-GB"/>
        </w:rPr>
      </w:pPr>
      <w:r w:rsidRPr="00774DE0">
        <w:rPr>
          <w:szCs w:val="24"/>
          <w:lang w:val="en-GB"/>
        </w:rPr>
        <w:t xml:space="preserve">EDF, </w:t>
      </w:r>
      <w:hyperlink r:id="rId65" w:history="1">
        <w:r w:rsidRPr="00774DE0">
          <w:rPr>
            <w:rStyle w:val="Hyperlink"/>
            <w:szCs w:val="24"/>
            <w:lang w:val="en-GB"/>
          </w:rPr>
          <w:t>Human Rights Report on Poverty and Social Exclusion</w:t>
        </w:r>
      </w:hyperlink>
      <w:r w:rsidRPr="00774DE0">
        <w:rPr>
          <w:szCs w:val="24"/>
          <w:lang w:val="en-GB"/>
        </w:rPr>
        <w:t xml:space="preserve"> (2020)</w:t>
      </w:r>
    </w:p>
    <w:p w14:paraId="79AE27DC" w14:textId="77777777" w:rsidR="0042161E" w:rsidRPr="00774DE0" w:rsidRDefault="0042161E" w:rsidP="00ED3685">
      <w:pPr>
        <w:numPr>
          <w:ilvl w:val="0"/>
          <w:numId w:val="1"/>
        </w:numPr>
        <w:rPr>
          <w:szCs w:val="24"/>
          <w:lang w:val="en-GB"/>
        </w:rPr>
      </w:pPr>
      <w:bookmarkStart w:id="66" w:name="_Hlk93672490"/>
      <w:r w:rsidRPr="00774DE0">
        <w:rPr>
          <w:szCs w:val="24"/>
          <w:lang w:val="en-GB"/>
        </w:rPr>
        <w:t xml:space="preserve">EDF, </w:t>
      </w:r>
      <w:hyperlink r:id="rId66" w:history="1">
        <w:r w:rsidRPr="00774DE0">
          <w:rPr>
            <w:rStyle w:val="Hyperlink"/>
            <w:szCs w:val="24"/>
            <w:lang w:val="en-GB"/>
          </w:rPr>
          <w:t>Human Rights Report on the impact of COVID-19 on persons with disabilities</w:t>
        </w:r>
      </w:hyperlink>
      <w:r w:rsidRPr="00774DE0">
        <w:rPr>
          <w:szCs w:val="24"/>
          <w:lang w:val="en-GB"/>
        </w:rPr>
        <w:t xml:space="preserve"> (2021), Chapter on multiple and intersectional forms of discrimination and disadvantage </w:t>
      </w:r>
    </w:p>
    <w:bookmarkEnd w:id="66"/>
    <w:p w14:paraId="293C1A5C" w14:textId="5C8EC7E9" w:rsidR="0042161E" w:rsidRPr="00774DE0" w:rsidRDefault="0042161E">
      <w:pPr>
        <w:numPr>
          <w:ilvl w:val="0"/>
          <w:numId w:val="1"/>
        </w:numPr>
        <w:rPr>
          <w:szCs w:val="24"/>
          <w:lang w:val="en-GB"/>
        </w:rPr>
      </w:pPr>
      <w:r w:rsidRPr="00774DE0">
        <w:rPr>
          <w:szCs w:val="24"/>
          <w:lang w:val="en-GB"/>
        </w:rPr>
        <w:t xml:space="preserve">Equinet, </w:t>
      </w:r>
      <w:hyperlink r:id="rId67" w:history="1">
        <w:r w:rsidRPr="00774DE0">
          <w:rPr>
            <w:rStyle w:val="Hyperlink"/>
            <w:szCs w:val="24"/>
            <w:lang w:val="en-GB"/>
          </w:rPr>
          <w:t>11 Recommendations for a fair and equal Europe: Rebuilding our Societies after Covid-19</w:t>
        </w:r>
      </w:hyperlink>
      <w:r w:rsidR="00D033F9">
        <w:rPr>
          <w:szCs w:val="24"/>
          <w:lang w:val="en-GB"/>
        </w:rPr>
        <w:t xml:space="preserve"> (</w:t>
      </w:r>
      <w:r w:rsidRPr="00774DE0">
        <w:rPr>
          <w:szCs w:val="24"/>
          <w:lang w:val="en-GB"/>
        </w:rPr>
        <w:t>2020</w:t>
      </w:r>
      <w:r w:rsidR="00D033F9">
        <w:rPr>
          <w:szCs w:val="24"/>
          <w:lang w:val="en-GB"/>
        </w:rPr>
        <w:t>)</w:t>
      </w:r>
    </w:p>
    <w:p w14:paraId="01CC0395" w14:textId="5795B105" w:rsidR="0042161E" w:rsidRPr="00774DE0" w:rsidRDefault="0042161E">
      <w:pPr>
        <w:numPr>
          <w:ilvl w:val="0"/>
          <w:numId w:val="1"/>
        </w:numPr>
        <w:rPr>
          <w:szCs w:val="24"/>
          <w:lang w:val="en-GB"/>
        </w:rPr>
      </w:pPr>
      <w:r w:rsidRPr="00774DE0">
        <w:rPr>
          <w:szCs w:val="24"/>
          <w:lang w:val="en-GB"/>
        </w:rPr>
        <w:t xml:space="preserve">Equinet, </w:t>
      </w:r>
      <w:hyperlink r:id="rId68" w:history="1">
        <w:r w:rsidRPr="00774DE0">
          <w:rPr>
            <w:rStyle w:val="Hyperlink"/>
            <w:szCs w:val="24"/>
            <w:lang w:val="en-GB"/>
          </w:rPr>
          <w:t xml:space="preserve">Equality Bodies contributing to the protection, respect and </w:t>
        </w:r>
        <w:r w:rsidR="00607C6F" w:rsidRPr="00774DE0">
          <w:rPr>
            <w:rStyle w:val="Hyperlink"/>
            <w:szCs w:val="24"/>
            <w:lang w:val="en-GB"/>
          </w:rPr>
          <w:t>fulfilment</w:t>
        </w:r>
        <w:r w:rsidRPr="00774DE0">
          <w:rPr>
            <w:rStyle w:val="Hyperlink"/>
            <w:szCs w:val="24"/>
            <w:lang w:val="en-GB"/>
          </w:rPr>
          <w:t xml:space="preserve"> of Economic and Social Rights</w:t>
        </w:r>
      </w:hyperlink>
      <w:r w:rsidRPr="00774DE0">
        <w:rPr>
          <w:szCs w:val="24"/>
          <w:lang w:val="en-GB"/>
        </w:rPr>
        <w:t xml:space="preserve"> </w:t>
      </w:r>
      <w:r w:rsidR="00D033F9">
        <w:rPr>
          <w:szCs w:val="24"/>
          <w:lang w:val="en-GB"/>
        </w:rPr>
        <w:t>(</w:t>
      </w:r>
      <w:r w:rsidRPr="00774DE0">
        <w:rPr>
          <w:szCs w:val="24"/>
          <w:lang w:val="en-GB"/>
        </w:rPr>
        <w:t>2015</w:t>
      </w:r>
      <w:r w:rsidR="00D033F9">
        <w:rPr>
          <w:szCs w:val="24"/>
          <w:lang w:val="en-GB"/>
        </w:rPr>
        <w:t>)</w:t>
      </w:r>
    </w:p>
    <w:p w14:paraId="0AB21B89" w14:textId="4AB9AFF0" w:rsidR="0042161E" w:rsidRPr="00774DE0" w:rsidRDefault="0042161E">
      <w:pPr>
        <w:numPr>
          <w:ilvl w:val="0"/>
          <w:numId w:val="1"/>
        </w:numPr>
        <w:rPr>
          <w:szCs w:val="24"/>
          <w:lang w:val="en-GB"/>
        </w:rPr>
      </w:pPr>
      <w:r w:rsidRPr="00774DE0">
        <w:rPr>
          <w:szCs w:val="24"/>
          <w:lang w:val="en-GB"/>
        </w:rPr>
        <w:t xml:space="preserve">Equinet, </w:t>
      </w:r>
      <w:hyperlink r:id="rId69" w:history="1">
        <w:r w:rsidRPr="00774DE0">
          <w:rPr>
            <w:rStyle w:val="Hyperlink"/>
            <w:szCs w:val="24"/>
            <w:lang w:val="en-GB"/>
          </w:rPr>
          <w:t>Equality in the Time of Covid-19: Learning from Equality Body Initiatives</w:t>
        </w:r>
      </w:hyperlink>
      <w:r w:rsidRPr="00774DE0">
        <w:rPr>
          <w:rStyle w:val="Hyperlink"/>
          <w:szCs w:val="24"/>
          <w:lang w:val="en-GB"/>
        </w:rPr>
        <w:t>,</w:t>
      </w:r>
      <w:r w:rsidRPr="00774DE0">
        <w:rPr>
          <w:szCs w:val="24"/>
          <w:lang w:val="en-GB"/>
        </w:rPr>
        <w:t xml:space="preserve"> </w:t>
      </w:r>
      <w:r w:rsidR="00D033F9">
        <w:rPr>
          <w:szCs w:val="24"/>
          <w:lang w:val="en-GB"/>
        </w:rPr>
        <w:t>(</w:t>
      </w:r>
      <w:r w:rsidRPr="00774DE0">
        <w:rPr>
          <w:szCs w:val="24"/>
          <w:lang w:val="en-GB"/>
        </w:rPr>
        <w:t>2021</w:t>
      </w:r>
      <w:r w:rsidR="00D033F9">
        <w:rPr>
          <w:szCs w:val="24"/>
          <w:lang w:val="en-GB"/>
        </w:rPr>
        <w:t>)</w:t>
      </w:r>
    </w:p>
    <w:p w14:paraId="6DD71748" w14:textId="02BC50C8" w:rsidR="0042161E" w:rsidRPr="00774DE0" w:rsidRDefault="0042161E">
      <w:pPr>
        <w:numPr>
          <w:ilvl w:val="0"/>
          <w:numId w:val="1"/>
        </w:numPr>
        <w:rPr>
          <w:szCs w:val="24"/>
          <w:lang w:val="en-GB"/>
        </w:rPr>
      </w:pPr>
      <w:r w:rsidRPr="00774DE0">
        <w:rPr>
          <w:szCs w:val="24"/>
          <w:lang w:val="en-GB"/>
        </w:rPr>
        <w:t xml:space="preserve">Equinet, </w:t>
      </w:r>
      <w:hyperlink r:id="rId70" w:history="1">
        <w:r w:rsidRPr="00774DE0">
          <w:rPr>
            <w:rStyle w:val="Hyperlink"/>
            <w:szCs w:val="24"/>
            <w:lang w:val="en-GB"/>
          </w:rPr>
          <w:t>Equality, diversity and non-discrimination in healthcare: Learning from the work of equality bodies</w:t>
        </w:r>
      </w:hyperlink>
      <w:r w:rsidRPr="00774DE0">
        <w:rPr>
          <w:szCs w:val="24"/>
          <w:lang w:val="en-GB"/>
        </w:rPr>
        <w:t xml:space="preserve"> </w:t>
      </w:r>
      <w:r w:rsidR="0016164B">
        <w:rPr>
          <w:szCs w:val="24"/>
          <w:lang w:val="en-GB"/>
        </w:rPr>
        <w:t>(</w:t>
      </w:r>
      <w:r w:rsidRPr="00774DE0">
        <w:rPr>
          <w:szCs w:val="24"/>
          <w:lang w:val="en-GB"/>
        </w:rPr>
        <w:t>2021</w:t>
      </w:r>
      <w:r w:rsidR="0016164B">
        <w:rPr>
          <w:szCs w:val="24"/>
          <w:lang w:val="en-GB"/>
        </w:rPr>
        <w:t>)</w:t>
      </w:r>
    </w:p>
    <w:p w14:paraId="6FA5250C" w14:textId="0110F60F" w:rsidR="0042161E" w:rsidRPr="00774DE0" w:rsidRDefault="0042161E">
      <w:pPr>
        <w:numPr>
          <w:ilvl w:val="0"/>
          <w:numId w:val="1"/>
        </w:numPr>
        <w:rPr>
          <w:szCs w:val="24"/>
          <w:lang w:val="en-GB"/>
        </w:rPr>
      </w:pPr>
      <w:r w:rsidRPr="00774DE0">
        <w:rPr>
          <w:szCs w:val="24"/>
          <w:lang w:val="en-GB"/>
        </w:rPr>
        <w:t xml:space="preserve">Equinet, </w:t>
      </w:r>
      <w:hyperlink r:id="rId71" w:history="1">
        <w:r w:rsidRPr="00774DE0">
          <w:rPr>
            <w:rStyle w:val="Hyperlink"/>
            <w:szCs w:val="24"/>
            <w:lang w:val="en-GB"/>
          </w:rPr>
          <w:t>Fighting Discrimination on the Ground of Race and Ethnic Origin</w:t>
        </w:r>
      </w:hyperlink>
      <w:r w:rsidRPr="00774DE0">
        <w:rPr>
          <w:szCs w:val="24"/>
          <w:lang w:val="en-GB"/>
        </w:rPr>
        <w:t xml:space="preserve"> </w:t>
      </w:r>
      <w:r w:rsidR="0016164B">
        <w:rPr>
          <w:szCs w:val="24"/>
          <w:lang w:val="en-GB"/>
        </w:rPr>
        <w:t>(</w:t>
      </w:r>
      <w:r w:rsidRPr="00774DE0">
        <w:rPr>
          <w:szCs w:val="24"/>
          <w:lang w:val="en-GB"/>
        </w:rPr>
        <w:t>2016</w:t>
      </w:r>
      <w:r w:rsidR="0016164B">
        <w:rPr>
          <w:szCs w:val="24"/>
          <w:lang w:val="en-GB"/>
        </w:rPr>
        <w:t>)</w:t>
      </w:r>
    </w:p>
    <w:p w14:paraId="2D8B30AD" w14:textId="01A5F67D" w:rsidR="0042161E" w:rsidRPr="00774DE0" w:rsidRDefault="0042161E">
      <w:pPr>
        <w:numPr>
          <w:ilvl w:val="0"/>
          <w:numId w:val="1"/>
        </w:numPr>
        <w:rPr>
          <w:szCs w:val="24"/>
          <w:lang w:val="en-GB"/>
        </w:rPr>
      </w:pPr>
      <w:r w:rsidRPr="00774DE0">
        <w:rPr>
          <w:szCs w:val="24"/>
          <w:lang w:val="en-GB"/>
        </w:rPr>
        <w:t xml:space="preserve">Equinet, </w:t>
      </w:r>
      <w:hyperlink r:id="rId72" w:history="1">
        <w:r w:rsidRPr="00774DE0">
          <w:rPr>
            <w:rStyle w:val="Hyperlink"/>
            <w:szCs w:val="24"/>
            <w:lang w:val="en-GB"/>
          </w:rPr>
          <w:t>Policy Brief: Future Gender Equality Strategy</w:t>
        </w:r>
      </w:hyperlink>
      <w:r w:rsidRPr="00774DE0">
        <w:rPr>
          <w:szCs w:val="24"/>
          <w:lang w:val="en-GB"/>
        </w:rPr>
        <w:t xml:space="preserve"> </w:t>
      </w:r>
      <w:r w:rsidR="0016164B">
        <w:rPr>
          <w:szCs w:val="24"/>
          <w:lang w:val="en-GB"/>
        </w:rPr>
        <w:t>(</w:t>
      </w:r>
      <w:r w:rsidRPr="00774DE0">
        <w:rPr>
          <w:szCs w:val="24"/>
          <w:lang w:val="en-GB"/>
        </w:rPr>
        <w:t>2019</w:t>
      </w:r>
      <w:r w:rsidR="0016164B">
        <w:rPr>
          <w:szCs w:val="24"/>
          <w:lang w:val="en-GB"/>
        </w:rPr>
        <w:t>)</w:t>
      </w:r>
    </w:p>
    <w:p w14:paraId="4FD7254D" w14:textId="281995AF" w:rsidR="0042161E" w:rsidRPr="00774DE0" w:rsidRDefault="0042161E">
      <w:pPr>
        <w:numPr>
          <w:ilvl w:val="0"/>
          <w:numId w:val="1"/>
        </w:numPr>
        <w:rPr>
          <w:rStyle w:val="Hyperlink"/>
          <w:color w:val="auto"/>
          <w:szCs w:val="24"/>
          <w:u w:val="none"/>
          <w:lang w:val="en-GB"/>
        </w:rPr>
      </w:pPr>
      <w:r w:rsidRPr="00774DE0">
        <w:rPr>
          <w:szCs w:val="24"/>
          <w:lang w:val="en-GB"/>
        </w:rPr>
        <w:t xml:space="preserve">Equinet, </w:t>
      </w:r>
      <w:hyperlink r:id="rId73" w:history="1">
        <w:r w:rsidRPr="00774DE0">
          <w:rPr>
            <w:rStyle w:val="Hyperlink"/>
            <w:szCs w:val="24"/>
            <w:lang w:val="en-GB"/>
          </w:rPr>
          <w:t>Roma and Traveller Inclusion: Towards a new EU Framework learning from the work of Equality Bodies</w:t>
        </w:r>
      </w:hyperlink>
      <w:r w:rsidRPr="00774DE0">
        <w:rPr>
          <w:rStyle w:val="Hyperlink"/>
          <w:szCs w:val="24"/>
          <w:lang w:val="en-GB"/>
        </w:rPr>
        <w:t xml:space="preserve"> </w:t>
      </w:r>
      <w:r w:rsidR="0016164B" w:rsidRPr="0016164B">
        <w:rPr>
          <w:rStyle w:val="Hyperlink"/>
          <w:color w:val="auto"/>
          <w:szCs w:val="24"/>
          <w:lang w:val="en-GB"/>
        </w:rPr>
        <w:t>(</w:t>
      </w:r>
      <w:r w:rsidRPr="0016164B">
        <w:rPr>
          <w:rStyle w:val="Hyperlink"/>
          <w:color w:val="auto"/>
          <w:szCs w:val="24"/>
          <w:u w:val="none"/>
          <w:lang w:val="en-GB"/>
        </w:rPr>
        <w:t>2020</w:t>
      </w:r>
      <w:r w:rsidR="0016164B" w:rsidRPr="0016164B">
        <w:rPr>
          <w:rStyle w:val="Hyperlink"/>
          <w:color w:val="auto"/>
          <w:szCs w:val="24"/>
          <w:u w:val="none"/>
          <w:lang w:val="en-GB"/>
        </w:rPr>
        <w:t>)</w:t>
      </w:r>
    </w:p>
    <w:p w14:paraId="0BBEED9E" w14:textId="013E62A6" w:rsidR="0042161E" w:rsidRPr="00774DE0" w:rsidRDefault="0042161E">
      <w:pPr>
        <w:numPr>
          <w:ilvl w:val="0"/>
          <w:numId w:val="1"/>
        </w:numPr>
        <w:rPr>
          <w:rStyle w:val="Hyperlink"/>
          <w:color w:val="auto"/>
          <w:szCs w:val="24"/>
          <w:u w:val="none"/>
          <w:lang w:val="en-GB"/>
        </w:rPr>
      </w:pPr>
      <w:r w:rsidRPr="00774DE0">
        <w:rPr>
          <w:szCs w:val="24"/>
          <w:lang w:val="en-GB"/>
        </w:rPr>
        <w:t xml:space="preserve">Equinet, </w:t>
      </w:r>
      <w:hyperlink r:id="rId74" w:history="1">
        <w:r w:rsidRPr="00774DE0">
          <w:rPr>
            <w:rStyle w:val="Hyperlink"/>
            <w:szCs w:val="24"/>
            <w:lang w:val="en-GB"/>
          </w:rPr>
          <w:t>Stepping Up our Engagement with Youth: Handbook for Equality Bodies</w:t>
        </w:r>
      </w:hyperlink>
      <w:r w:rsidRPr="00774DE0">
        <w:rPr>
          <w:rStyle w:val="Hyperlink"/>
          <w:szCs w:val="24"/>
          <w:lang w:val="en-GB"/>
        </w:rPr>
        <w:t xml:space="preserve"> </w:t>
      </w:r>
      <w:r w:rsidR="0016164B" w:rsidRPr="0016164B">
        <w:rPr>
          <w:rStyle w:val="Hyperlink"/>
          <w:color w:val="auto"/>
          <w:szCs w:val="24"/>
          <w:lang w:val="en-GB"/>
        </w:rPr>
        <w:t>(</w:t>
      </w:r>
      <w:r w:rsidRPr="0016164B">
        <w:rPr>
          <w:rStyle w:val="Hyperlink"/>
          <w:color w:val="auto"/>
          <w:szCs w:val="24"/>
          <w:u w:val="none"/>
          <w:lang w:val="en-GB"/>
        </w:rPr>
        <w:t>2021</w:t>
      </w:r>
      <w:r w:rsidR="0016164B">
        <w:rPr>
          <w:rStyle w:val="Hyperlink"/>
          <w:color w:val="auto"/>
          <w:szCs w:val="24"/>
          <w:u w:val="none"/>
          <w:lang w:val="en-GB"/>
        </w:rPr>
        <w:t>)</w:t>
      </w:r>
    </w:p>
    <w:p w14:paraId="36AE766E" w14:textId="515B211E" w:rsidR="0042161E" w:rsidRPr="00774DE0" w:rsidRDefault="0042161E">
      <w:pPr>
        <w:numPr>
          <w:ilvl w:val="0"/>
          <w:numId w:val="1"/>
        </w:numPr>
        <w:rPr>
          <w:szCs w:val="24"/>
          <w:lang w:val="en-GB"/>
        </w:rPr>
      </w:pPr>
      <w:r w:rsidRPr="00774DE0">
        <w:rPr>
          <w:szCs w:val="24"/>
          <w:lang w:val="en-GB"/>
        </w:rPr>
        <w:t xml:space="preserve">Equinet, </w:t>
      </w:r>
      <w:hyperlink r:id="rId75" w:history="1">
        <w:r w:rsidRPr="00774DE0">
          <w:rPr>
            <w:rStyle w:val="Hyperlink"/>
            <w:szCs w:val="24"/>
            <w:lang w:val="en-GB"/>
          </w:rPr>
          <w:t>Strategic Litigation Handbook</w:t>
        </w:r>
      </w:hyperlink>
      <w:r w:rsidRPr="0016164B">
        <w:rPr>
          <w:rStyle w:val="Hyperlink"/>
          <w:color w:val="auto"/>
          <w:szCs w:val="24"/>
          <w:u w:val="none"/>
          <w:lang w:val="en-GB"/>
        </w:rPr>
        <w:t xml:space="preserve"> </w:t>
      </w:r>
      <w:r w:rsidR="0016164B" w:rsidRPr="0016164B">
        <w:rPr>
          <w:rStyle w:val="Hyperlink"/>
          <w:color w:val="auto"/>
          <w:szCs w:val="24"/>
          <w:u w:val="none"/>
          <w:lang w:val="en-GB"/>
        </w:rPr>
        <w:t>(</w:t>
      </w:r>
      <w:r w:rsidRPr="0016164B">
        <w:rPr>
          <w:rStyle w:val="Hyperlink"/>
          <w:color w:val="auto"/>
          <w:szCs w:val="24"/>
          <w:u w:val="none"/>
          <w:lang w:val="en-GB"/>
        </w:rPr>
        <w:t>2017</w:t>
      </w:r>
      <w:r w:rsidR="0016164B">
        <w:rPr>
          <w:rStyle w:val="Hyperlink"/>
          <w:color w:val="auto"/>
          <w:szCs w:val="24"/>
          <w:u w:val="none"/>
          <w:lang w:val="en-GB"/>
        </w:rPr>
        <w:t>)</w:t>
      </w:r>
    </w:p>
    <w:p w14:paraId="5E021DFF" w14:textId="30125930" w:rsidR="0042161E" w:rsidRPr="00774DE0" w:rsidRDefault="0042161E">
      <w:pPr>
        <w:numPr>
          <w:ilvl w:val="0"/>
          <w:numId w:val="1"/>
        </w:numPr>
        <w:rPr>
          <w:szCs w:val="24"/>
          <w:lang w:val="en-GB"/>
        </w:rPr>
      </w:pPr>
      <w:r w:rsidRPr="00774DE0">
        <w:rPr>
          <w:szCs w:val="24"/>
          <w:lang w:val="en-GB"/>
        </w:rPr>
        <w:t xml:space="preserve">Equinet, </w:t>
      </w:r>
      <w:hyperlink r:id="rId76" w:history="1">
        <w:r w:rsidRPr="00774DE0">
          <w:rPr>
            <w:rStyle w:val="Hyperlink"/>
            <w:szCs w:val="24"/>
            <w:lang w:val="en-GB"/>
          </w:rPr>
          <w:t>Tackling Violence against Women and Gender-Based Violence: Equality Bodies</w:t>
        </w:r>
      </w:hyperlink>
      <w:hyperlink r:id="rId77" w:history="1">
        <w:r w:rsidRPr="00774DE0">
          <w:rPr>
            <w:rStyle w:val="Hyperlink"/>
            <w:szCs w:val="24"/>
            <w:lang w:val="en-GB"/>
          </w:rPr>
          <w:t>’</w:t>
        </w:r>
      </w:hyperlink>
      <w:hyperlink r:id="rId78" w:history="1">
        <w:r w:rsidRPr="00774DE0">
          <w:rPr>
            <w:rStyle w:val="Hyperlink"/>
            <w:szCs w:val="24"/>
            <w:lang w:val="en-GB"/>
          </w:rPr>
          <w:t xml:space="preserve"> Contribution</w:t>
        </w:r>
      </w:hyperlink>
      <w:r w:rsidRPr="00774DE0">
        <w:rPr>
          <w:szCs w:val="24"/>
          <w:lang w:val="en-GB"/>
        </w:rPr>
        <w:t xml:space="preserve"> </w:t>
      </w:r>
      <w:r w:rsidR="0016164B">
        <w:rPr>
          <w:szCs w:val="24"/>
          <w:lang w:val="en-GB"/>
        </w:rPr>
        <w:t>(</w:t>
      </w:r>
      <w:r w:rsidRPr="00774DE0">
        <w:rPr>
          <w:szCs w:val="24"/>
          <w:lang w:val="en-GB"/>
        </w:rPr>
        <w:t>2019</w:t>
      </w:r>
      <w:r w:rsidR="0016164B">
        <w:rPr>
          <w:szCs w:val="24"/>
          <w:lang w:val="en-GB"/>
        </w:rPr>
        <w:t>)</w:t>
      </w:r>
    </w:p>
    <w:p w14:paraId="124596C8" w14:textId="7CCA00F5" w:rsidR="0042161E" w:rsidRPr="00774DE0" w:rsidRDefault="0042161E">
      <w:pPr>
        <w:numPr>
          <w:ilvl w:val="0"/>
          <w:numId w:val="1"/>
        </w:numPr>
        <w:rPr>
          <w:szCs w:val="24"/>
          <w:lang w:val="en-GB"/>
        </w:rPr>
      </w:pPr>
      <w:r w:rsidRPr="00774DE0">
        <w:rPr>
          <w:szCs w:val="24"/>
          <w:lang w:val="en-GB"/>
        </w:rPr>
        <w:t xml:space="preserve">Equinet, </w:t>
      </w:r>
      <w:hyperlink r:id="rId79" w:history="1">
        <w:r w:rsidRPr="00774DE0">
          <w:rPr>
            <w:rStyle w:val="Hyperlink"/>
            <w:szCs w:val="24"/>
            <w:lang w:val="en-GB"/>
          </w:rPr>
          <w:t>Women in Poverty: Breaking the Cycle</w:t>
        </w:r>
      </w:hyperlink>
      <w:r w:rsidRPr="00774DE0">
        <w:rPr>
          <w:szCs w:val="24"/>
          <w:lang w:val="en-GB"/>
        </w:rPr>
        <w:t xml:space="preserve"> </w:t>
      </w:r>
      <w:r w:rsidR="000402D6">
        <w:rPr>
          <w:szCs w:val="24"/>
          <w:lang w:val="en-GB"/>
        </w:rPr>
        <w:t>(</w:t>
      </w:r>
      <w:r w:rsidRPr="00774DE0">
        <w:rPr>
          <w:szCs w:val="24"/>
          <w:lang w:val="en-GB"/>
        </w:rPr>
        <w:t>2020</w:t>
      </w:r>
      <w:r w:rsidR="000402D6">
        <w:rPr>
          <w:szCs w:val="24"/>
          <w:lang w:val="en-GB"/>
        </w:rPr>
        <w:t>)</w:t>
      </w:r>
    </w:p>
    <w:p w14:paraId="12B633A7" w14:textId="376DFAFF" w:rsidR="0042161E" w:rsidRPr="00774DE0" w:rsidRDefault="0042161E">
      <w:pPr>
        <w:numPr>
          <w:ilvl w:val="0"/>
          <w:numId w:val="1"/>
        </w:numPr>
        <w:rPr>
          <w:szCs w:val="24"/>
          <w:lang w:val="en-GB"/>
        </w:rPr>
      </w:pPr>
      <w:r w:rsidRPr="00774DE0">
        <w:rPr>
          <w:szCs w:val="24"/>
          <w:lang w:val="en-GB"/>
        </w:rPr>
        <w:t xml:space="preserve">European network of legal experts in gender equality and non-discrimination, </w:t>
      </w:r>
      <w:hyperlink r:id="rId80" w:history="1">
        <w:r w:rsidRPr="00774DE0">
          <w:rPr>
            <w:rStyle w:val="Hyperlink"/>
            <w:szCs w:val="24"/>
            <w:lang w:val="en-GB"/>
          </w:rPr>
          <w:t>A comparative analysis of gender equality law in Europe</w:t>
        </w:r>
      </w:hyperlink>
      <w:r w:rsidRPr="00774DE0">
        <w:rPr>
          <w:szCs w:val="24"/>
          <w:lang w:val="en-GB"/>
        </w:rPr>
        <w:t xml:space="preserve"> </w:t>
      </w:r>
      <w:r w:rsidR="0016164B">
        <w:rPr>
          <w:szCs w:val="24"/>
          <w:lang w:val="en-GB"/>
        </w:rPr>
        <w:t>(</w:t>
      </w:r>
      <w:r w:rsidRPr="00774DE0">
        <w:rPr>
          <w:szCs w:val="24"/>
          <w:lang w:val="en-GB"/>
        </w:rPr>
        <w:t>2020</w:t>
      </w:r>
      <w:r w:rsidR="0016164B">
        <w:rPr>
          <w:szCs w:val="24"/>
          <w:lang w:val="en-GB"/>
        </w:rPr>
        <w:t>)</w:t>
      </w:r>
      <w:r w:rsidRPr="00774DE0">
        <w:rPr>
          <w:szCs w:val="24"/>
          <w:lang w:val="en-GB"/>
        </w:rPr>
        <w:t xml:space="preserve"> </w:t>
      </w:r>
    </w:p>
    <w:p w14:paraId="72E83B99" w14:textId="785A0F60" w:rsidR="0042161E" w:rsidRPr="00774DE0" w:rsidRDefault="0042161E">
      <w:pPr>
        <w:numPr>
          <w:ilvl w:val="0"/>
          <w:numId w:val="1"/>
        </w:numPr>
        <w:rPr>
          <w:szCs w:val="24"/>
          <w:lang w:val="en-GB"/>
        </w:rPr>
      </w:pPr>
      <w:r w:rsidRPr="00774DE0">
        <w:rPr>
          <w:szCs w:val="24"/>
          <w:lang w:val="en-GB"/>
        </w:rPr>
        <w:t xml:space="preserve">European Union Agency for Fundamental Rights, </w:t>
      </w:r>
      <w:hyperlink r:id="rId81" w:history="1">
        <w:r w:rsidRPr="00774DE0">
          <w:rPr>
            <w:rStyle w:val="Hyperlink"/>
            <w:szCs w:val="24"/>
            <w:lang w:val="en-GB"/>
          </w:rPr>
          <w:t>Equality in the EU 20 Years on from the Initial Implementation of the Equality Directives</w:t>
        </w:r>
      </w:hyperlink>
      <w:r w:rsidR="0016164B">
        <w:rPr>
          <w:szCs w:val="24"/>
          <w:lang w:val="en-GB"/>
        </w:rPr>
        <w:t xml:space="preserve"> (</w:t>
      </w:r>
      <w:r w:rsidRPr="00774DE0">
        <w:rPr>
          <w:szCs w:val="24"/>
          <w:lang w:val="en-GB"/>
        </w:rPr>
        <w:t>2021</w:t>
      </w:r>
      <w:r w:rsidR="0016164B">
        <w:rPr>
          <w:szCs w:val="24"/>
          <w:lang w:val="en-GB"/>
        </w:rPr>
        <w:t>)</w:t>
      </w:r>
    </w:p>
    <w:p w14:paraId="524343AF" w14:textId="2DC339F3" w:rsidR="0042161E" w:rsidRPr="00774DE0" w:rsidRDefault="0042161E">
      <w:pPr>
        <w:numPr>
          <w:ilvl w:val="0"/>
          <w:numId w:val="1"/>
        </w:numPr>
        <w:rPr>
          <w:szCs w:val="24"/>
          <w:lang w:val="en-GB"/>
        </w:rPr>
      </w:pPr>
      <w:r w:rsidRPr="00774DE0">
        <w:rPr>
          <w:szCs w:val="24"/>
          <w:lang w:val="en-GB"/>
        </w:rPr>
        <w:t xml:space="preserve">European Youth Forum, </w:t>
      </w:r>
      <w:hyperlink r:id="rId82" w:history="1">
        <w:r w:rsidRPr="00774DE0">
          <w:rPr>
            <w:rStyle w:val="Hyperlink"/>
            <w:szCs w:val="24"/>
            <w:lang w:val="en-GB"/>
          </w:rPr>
          <w:t>Beyond Lockdown: The pandemic scar on young people</w:t>
        </w:r>
      </w:hyperlink>
      <w:r w:rsidRPr="00774DE0">
        <w:rPr>
          <w:szCs w:val="24"/>
          <w:lang w:val="en-GB"/>
        </w:rPr>
        <w:t xml:space="preserve">, </w:t>
      </w:r>
      <w:r w:rsidR="0016164B">
        <w:rPr>
          <w:szCs w:val="24"/>
          <w:lang w:val="en-GB"/>
        </w:rPr>
        <w:t>(</w:t>
      </w:r>
      <w:r w:rsidRPr="00774DE0">
        <w:rPr>
          <w:szCs w:val="24"/>
          <w:lang w:val="en-GB"/>
        </w:rPr>
        <w:t>2021</w:t>
      </w:r>
      <w:r w:rsidR="0016164B">
        <w:rPr>
          <w:szCs w:val="24"/>
          <w:lang w:val="en-GB"/>
        </w:rPr>
        <w:t>)</w:t>
      </w:r>
    </w:p>
    <w:p w14:paraId="79886803" w14:textId="580EE7F3" w:rsidR="0042161E" w:rsidRPr="00774DE0" w:rsidRDefault="0042161E">
      <w:pPr>
        <w:numPr>
          <w:ilvl w:val="0"/>
          <w:numId w:val="1"/>
        </w:numPr>
        <w:rPr>
          <w:szCs w:val="24"/>
          <w:lang w:val="en-GB"/>
        </w:rPr>
      </w:pPr>
      <w:r w:rsidRPr="00774DE0">
        <w:rPr>
          <w:szCs w:val="24"/>
          <w:lang w:val="en-GB"/>
        </w:rPr>
        <w:t xml:space="preserve">Fredman, S., </w:t>
      </w:r>
      <w:hyperlink r:id="rId83" w:history="1">
        <w:r w:rsidRPr="00774DE0">
          <w:rPr>
            <w:rStyle w:val="Hyperlink"/>
            <w:szCs w:val="24"/>
            <w:lang w:val="en-GB"/>
          </w:rPr>
          <w:t>Intersectional discrimination in EU gender equality and non-discrimination law</w:t>
        </w:r>
      </w:hyperlink>
      <w:r w:rsidRPr="00774DE0">
        <w:rPr>
          <w:szCs w:val="24"/>
          <w:lang w:val="en-GB"/>
        </w:rPr>
        <w:t xml:space="preserve"> </w:t>
      </w:r>
      <w:r w:rsidR="0016164B">
        <w:rPr>
          <w:szCs w:val="24"/>
          <w:lang w:val="en-GB"/>
        </w:rPr>
        <w:t>(</w:t>
      </w:r>
      <w:r w:rsidRPr="00774DE0">
        <w:rPr>
          <w:szCs w:val="24"/>
          <w:lang w:val="en-GB"/>
        </w:rPr>
        <w:t>2016</w:t>
      </w:r>
      <w:r w:rsidR="0016164B">
        <w:rPr>
          <w:szCs w:val="24"/>
          <w:lang w:val="en-GB"/>
        </w:rPr>
        <w:t>)</w:t>
      </w:r>
    </w:p>
    <w:p w14:paraId="010B3A52" w14:textId="4847EF0C" w:rsidR="0042161E" w:rsidRPr="00774DE0" w:rsidRDefault="0042161E">
      <w:pPr>
        <w:numPr>
          <w:ilvl w:val="0"/>
          <w:numId w:val="1"/>
        </w:numPr>
        <w:rPr>
          <w:szCs w:val="24"/>
          <w:lang w:val="en-GB"/>
        </w:rPr>
      </w:pPr>
      <w:r w:rsidRPr="00774DE0">
        <w:rPr>
          <w:szCs w:val="24"/>
          <w:lang w:val="en-GB"/>
        </w:rPr>
        <w:t xml:space="preserve">N. Crowley, </w:t>
      </w:r>
      <w:hyperlink r:id="rId84" w:history="1">
        <w:r w:rsidRPr="00774DE0">
          <w:rPr>
            <w:rStyle w:val="Hyperlink"/>
            <w:szCs w:val="24"/>
            <w:lang w:val="en-GB"/>
          </w:rPr>
          <w:t>Equality bodies making a difference</w:t>
        </w:r>
      </w:hyperlink>
      <w:r w:rsidRPr="00774DE0">
        <w:rPr>
          <w:szCs w:val="24"/>
          <w:lang w:val="en-GB"/>
        </w:rPr>
        <w:t xml:space="preserve">, European network of legal experts in gender equality and non-discrimination </w:t>
      </w:r>
      <w:r w:rsidR="0016164B">
        <w:rPr>
          <w:szCs w:val="24"/>
          <w:lang w:val="en-GB"/>
        </w:rPr>
        <w:t>(</w:t>
      </w:r>
      <w:r w:rsidRPr="00774DE0">
        <w:rPr>
          <w:szCs w:val="24"/>
          <w:lang w:val="en-GB"/>
        </w:rPr>
        <w:t>2018</w:t>
      </w:r>
      <w:r w:rsidR="0016164B">
        <w:rPr>
          <w:szCs w:val="24"/>
          <w:lang w:val="en-GB"/>
        </w:rPr>
        <w:t>)</w:t>
      </w:r>
    </w:p>
    <w:p w14:paraId="26C91FC0" w14:textId="6B9AE3E9" w:rsidR="0042161E" w:rsidRPr="00774DE0" w:rsidRDefault="0042161E">
      <w:pPr>
        <w:numPr>
          <w:ilvl w:val="0"/>
          <w:numId w:val="1"/>
        </w:numPr>
        <w:rPr>
          <w:szCs w:val="24"/>
          <w:lang w:val="en-GB"/>
        </w:rPr>
      </w:pPr>
      <w:r w:rsidRPr="00774DE0">
        <w:rPr>
          <w:szCs w:val="24"/>
          <w:lang w:val="en-GB"/>
        </w:rPr>
        <w:t xml:space="preserve">Opening Doors for Europe’s Children, </w:t>
      </w:r>
      <w:hyperlink r:id="rId85" w:history="1">
        <w:r w:rsidRPr="00774DE0">
          <w:rPr>
            <w:rStyle w:val="Hyperlink"/>
            <w:szCs w:val="24"/>
            <w:lang w:val="en-GB"/>
          </w:rPr>
          <w:t>Lessons learned and recommendations to strengthen families and end institutionalisation for children in Europe</w:t>
        </w:r>
      </w:hyperlink>
      <w:r w:rsidRPr="00774DE0">
        <w:rPr>
          <w:szCs w:val="24"/>
          <w:lang w:val="en-GB"/>
        </w:rPr>
        <w:t xml:space="preserve"> </w:t>
      </w:r>
      <w:r w:rsidR="0016164B">
        <w:rPr>
          <w:szCs w:val="24"/>
          <w:lang w:val="en-GB"/>
        </w:rPr>
        <w:t>(</w:t>
      </w:r>
      <w:r w:rsidRPr="00774DE0">
        <w:rPr>
          <w:szCs w:val="24"/>
          <w:lang w:val="en-GB"/>
        </w:rPr>
        <w:t>2020</w:t>
      </w:r>
      <w:r w:rsidR="0016164B">
        <w:rPr>
          <w:szCs w:val="24"/>
          <w:lang w:val="en-GB"/>
        </w:rPr>
        <w:t>)</w:t>
      </w:r>
      <w:r w:rsidRPr="00774DE0">
        <w:rPr>
          <w:szCs w:val="24"/>
          <w:lang w:val="en-GB"/>
        </w:rPr>
        <w:t xml:space="preserve"> </w:t>
      </w:r>
    </w:p>
    <w:p w14:paraId="0CD3D8EE" w14:textId="72886AF8" w:rsidR="0042161E" w:rsidRPr="00774DE0" w:rsidRDefault="0042161E">
      <w:pPr>
        <w:numPr>
          <w:ilvl w:val="0"/>
          <w:numId w:val="1"/>
        </w:numPr>
        <w:rPr>
          <w:szCs w:val="24"/>
          <w:lang w:val="en-GB"/>
        </w:rPr>
      </w:pPr>
      <w:r w:rsidRPr="00774DE0">
        <w:rPr>
          <w:szCs w:val="24"/>
          <w:lang w:val="en-GB"/>
        </w:rPr>
        <w:t xml:space="preserve">TGEU, </w:t>
      </w:r>
      <w:hyperlink r:id="rId86" w:history="1">
        <w:r w:rsidRPr="00774DE0">
          <w:rPr>
            <w:rStyle w:val="Hyperlink"/>
            <w:szCs w:val="24"/>
            <w:lang w:val="en-GB"/>
          </w:rPr>
          <w:t>Impact Assessment: COVID-19 and trans people in Europe and Central Asia</w:t>
        </w:r>
      </w:hyperlink>
      <w:r w:rsidRPr="00774DE0">
        <w:rPr>
          <w:szCs w:val="24"/>
          <w:lang w:val="en-GB"/>
        </w:rPr>
        <w:t xml:space="preserve">, </w:t>
      </w:r>
      <w:r w:rsidR="000402D6">
        <w:rPr>
          <w:szCs w:val="24"/>
          <w:lang w:val="en-GB"/>
        </w:rPr>
        <w:t>(</w:t>
      </w:r>
      <w:r w:rsidRPr="00774DE0">
        <w:rPr>
          <w:szCs w:val="24"/>
          <w:lang w:val="en-GB"/>
        </w:rPr>
        <w:t>2021</w:t>
      </w:r>
      <w:r w:rsidR="0016164B">
        <w:rPr>
          <w:szCs w:val="24"/>
          <w:lang w:val="en-GB"/>
        </w:rPr>
        <w:t>)</w:t>
      </w:r>
    </w:p>
    <w:p w14:paraId="3635C8B6" w14:textId="382AF93A" w:rsidR="0042161E" w:rsidRPr="00774DE0" w:rsidRDefault="0042161E">
      <w:pPr>
        <w:numPr>
          <w:ilvl w:val="0"/>
          <w:numId w:val="1"/>
        </w:numPr>
        <w:rPr>
          <w:szCs w:val="24"/>
          <w:lang w:val="en-GB"/>
        </w:rPr>
      </w:pPr>
      <w:r w:rsidRPr="00774DE0">
        <w:rPr>
          <w:szCs w:val="24"/>
          <w:lang w:val="en-GB"/>
        </w:rPr>
        <w:lastRenderedPageBreak/>
        <w:t xml:space="preserve">UNICEF, </w:t>
      </w:r>
      <w:hyperlink r:id="rId87" w:history="1">
        <w:r w:rsidRPr="00774DE0">
          <w:rPr>
            <w:rStyle w:val="Hyperlink"/>
            <w:szCs w:val="24"/>
            <w:lang w:val="en-GB"/>
          </w:rPr>
          <w:t>Better data for better child protection systems in Europe: Mapping how data on children in alternative care are collected, analysed and published across 28 European countries</w:t>
        </w:r>
      </w:hyperlink>
      <w:r w:rsidRPr="00774DE0">
        <w:rPr>
          <w:szCs w:val="24"/>
          <w:lang w:val="en-GB"/>
        </w:rPr>
        <w:t xml:space="preserve"> </w:t>
      </w:r>
      <w:r w:rsidR="000402D6">
        <w:rPr>
          <w:szCs w:val="24"/>
          <w:lang w:val="en-GB"/>
        </w:rPr>
        <w:t>(</w:t>
      </w:r>
      <w:r w:rsidRPr="00774DE0">
        <w:rPr>
          <w:szCs w:val="24"/>
          <w:lang w:val="en-GB"/>
        </w:rPr>
        <w:t>2021</w:t>
      </w:r>
      <w:r w:rsidR="000402D6">
        <w:rPr>
          <w:szCs w:val="24"/>
          <w:lang w:val="en-GB"/>
        </w:rPr>
        <w:t>)</w:t>
      </w:r>
    </w:p>
    <w:p w14:paraId="67DD623D" w14:textId="57A9D456" w:rsidR="002450B1" w:rsidRPr="00774DE0" w:rsidRDefault="002450B1" w:rsidP="00377627">
      <w:pPr>
        <w:rPr>
          <w:szCs w:val="24"/>
          <w:lang w:val="en-GB"/>
        </w:rPr>
      </w:pPr>
    </w:p>
    <w:sectPr w:rsidR="002450B1" w:rsidRPr="00774DE0" w:rsidSect="00B24949">
      <w:footerReference w:type="default" r:id="rId88"/>
      <w:pgSz w:w="11909" w:h="16834"/>
      <w:pgMar w:top="1440" w:right="1440" w:bottom="1440" w:left="1440"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E0C8" w14:textId="77777777" w:rsidR="00A039DD" w:rsidRDefault="00A039DD">
      <w:pPr>
        <w:spacing w:line="240" w:lineRule="auto"/>
      </w:pPr>
      <w:r>
        <w:separator/>
      </w:r>
    </w:p>
  </w:endnote>
  <w:endnote w:type="continuationSeparator" w:id="0">
    <w:p w14:paraId="59C1FF8E" w14:textId="77777777" w:rsidR="00A039DD" w:rsidRDefault="00A039DD">
      <w:pPr>
        <w:spacing w:line="240" w:lineRule="auto"/>
      </w:pPr>
      <w:r>
        <w:continuationSeparator/>
      </w:r>
    </w:p>
  </w:endnote>
  <w:endnote w:type="continuationNotice" w:id="1">
    <w:p w14:paraId="7E89B266" w14:textId="77777777" w:rsidR="00A039DD" w:rsidRDefault="00A039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SemiBold">
    <w:charset w:val="00"/>
    <w:family w:val="swiss"/>
    <w:pitch w:val="variable"/>
    <w:sig w:usb0="80000287" w:usb1="00000043" w:usb2="00000000" w:usb3="00000000" w:csb0="0000009F" w:csb1="00000000"/>
  </w:font>
  <w:font w:name="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E7F" w14:textId="6852F567" w:rsidR="00E57263" w:rsidRDefault="00E57263">
    <w:pPr>
      <w:pStyle w:val="Footer"/>
      <w:jc w:val="right"/>
    </w:pPr>
  </w:p>
  <w:p w14:paraId="2CE99FBE" w14:textId="77777777" w:rsidR="00FE5704" w:rsidRDefault="00FE5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50442"/>
      <w:docPartObj>
        <w:docPartGallery w:val="Page Numbers (Bottom of Page)"/>
        <w:docPartUnique/>
      </w:docPartObj>
    </w:sdtPr>
    <w:sdtEndPr>
      <w:rPr>
        <w:noProof/>
      </w:rPr>
    </w:sdtEndPr>
    <w:sdtContent>
      <w:p w14:paraId="69FDD8EA" w14:textId="667032F1" w:rsidR="00E57263" w:rsidRDefault="00E572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5708D6" w14:textId="77777777" w:rsidR="00E57263" w:rsidRDefault="00E5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9EA2" w14:textId="77777777" w:rsidR="00A039DD" w:rsidRDefault="00A039DD">
      <w:pPr>
        <w:spacing w:line="240" w:lineRule="auto"/>
      </w:pPr>
      <w:r>
        <w:separator/>
      </w:r>
    </w:p>
  </w:footnote>
  <w:footnote w:type="continuationSeparator" w:id="0">
    <w:p w14:paraId="273ACDF0" w14:textId="77777777" w:rsidR="00A039DD" w:rsidRDefault="00A039DD">
      <w:pPr>
        <w:spacing w:line="240" w:lineRule="auto"/>
      </w:pPr>
      <w:r>
        <w:continuationSeparator/>
      </w:r>
    </w:p>
  </w:footnote>
  <w:footnote w:type="continuationNotice" w:id="1">
    <w:p w14:paraId="5F9F5667" w14:textId="77777777" w:rsidR="00A039DD" w:rsidRDefault="00A039DD">
      <w:pPr>
        <w:spacing w:line="240" w:lineRule="auto"/>
      </w:pPr>
    </w:p>
  </w:footnote>
  <w:footnote w:id="2">
    <w:p w14:paraId="00000029" w14:textId="77777777" w:rsidR="007C7FBF" w:rsidRPr="00607C6F" w:rsidRDefault="007C7FBF" w:rsidP="004D53A0">
      <w:pPr>
        <w:spacing w:line="240" w:lineRule="auto"/>
        <w:rPr>
          <w:sz w:val="20"/>
          <w:szCs w:val="20"/>
          <w:lang w:val="en-GB"/>
        </w:rPr>
      </w:pPr>
      <w:r w:rsidRPr="00607C6F">
        <w:rPr>
          <w:sz w:val="20"/>
          <w:szCs w:val="20"/>
          <w:vertAlign w:val="superscript"/>
          <w:lang w:val="en-GB"/>
        </w:rPr>
        <w:footnoteRef/>
      </w:r>
      <w:r w:rsidRPr="00607C6F">
        <w:rPr>
          <w:sz w:val="20"/>
          <w:szCs w:val="20"/>
          <w:lang w:val="en-GB"/>
        </w:rPr>
        <w:t xml:space="preserve"> According to data published by the Fundamental Rights Agency of the European Union (FRA), 50% of persons with disabilities have reported being harassed over a 5-year period, comparing to 37% of persons without disabilities. See FRA, Fundamental Rights Survey: CRIME, SAFETY AND VICTIMS’ RIGHTS (2021), page 22.</w:t>
      </w:r>
    </w:p>
  </w:footnote>
  <w:footnote w:id="3">
    <w:p w14:paraId="00000026" w14:textId="3B60AF6B" w:rsidR="007C7FBF" w:rsidRPr="00607C6F" w:rsidRDefault="007C7FBF" w:rsidP="004D53A0">
      <w:pPr>
        <w:spacing w:line="240" w:lineRule="auto"/>
        <w:rPr>
          <w:color w:val="1155CC"/>
          <w:sz w:val="20"/>
          <w:szCs w:val="20"/>
          <w:u w:val="single"/>
          <w:lang w:val="en-GB"/>
        </w:rPr>
      </w:pPr>
      <w:r w:rsidRPr="00607C6F">
        <w:rPr>
          <w:sz w:val="20"/>
          <w:szCs w:val="20"/>
          <w:vertAlign w:val="superscript"/>
          <w:lang w:val="en-GB"/>
        </w:rPr>
        <w:footnoteRef/>
      </w:r>
      <w:r w:rsidRPr="00607C6F">
        <w:rPr>
          <w:sz w:val="20"/>
          <w:szCs w:val="20"/>
          <w:lang w:val="en-GB"/>
        </w:rPr>
        <w:t xml:space="preserve"> </w:t>
      </w:r>
      <w:hyperlink r:id="rId1">
        <w:r w:rsidRPr="00607C6F">
          <w:rPr>
            <w:rStyle w:val="Hyperlink"/>
            <w:sz w:val="20"/>
            <w:szCs w:val="20"/>
            <w:lang w:val="en-GB"/>
          </w:rPr>
          <w:t>Council Directive 2000/78/EC of 27 November 2000 establishing a general framework for equal treatment in employment and occupation</w:t>
        </w:r>
      </w:hyperlink>
      <w:r w:rsidRPr="00607C6F">
        <w:rPr>
          <w:sz w:val="20"/>
          <w:szCs w:val="20"/>
          <w:lang w:val="en-GB"/>
        </w:rPr>
        <w:t>. Also CJEU</w:t>
      </w:r>
      <w:hyperlink r:id="rId2" w:history="1">
        <w:hyperlink r:id="rId3" w:history="1">
          <w:r w:rsidRPr="00607C6F">
            <w:rPr>
              <w:rStyle w:val="Hyperlink"/>
              <w:sz w:val="20"/>
              <w:szCs w:val="20"/>
              <w:lang w:val="en-GB"/>
            </w:rPr>
            <w:t>, David L. Parris v Trinity College Dublin</w:t>
          </w:r>
        </w:hyperlink>
        <w:r w:rsidRPr="00607C6F">
          <w:rPr>
            <w:rStyle w:val="Hyperlink"/>
            <w:sz w:val="20"/>
            <w:szCs w:val="20"/>
            <w:lang w:val="en-GB"/>
          </w:rPr>
          <w:t xml:space="preserve"> and Others</w:t>
        </w:r>
      </w:hyperlink>
      <w:r w:rsidRPr="00607C6F">
        <w:rPr>
          <w:sz w:val="20"/>
          <w:szCs w:val="20"/>
          <w:lang w:val="en-GB"/>
        </w:rPr>
        <w:t>, Case C-443/15, Judgment of the Court (First Chamber) of 24 November 2016.</w:t>
      </w:r>
      <w:r w:rsidRPr="00607C6F">
        <w:rPr>
          <w:color w:val="1155CC"/>
          <w:sz w:val="20"/>
          <w:szCs w:val="20"/>
          <w:u w:val="single"/>
          <w:lang w:val="en-GB"/>
        </w:rPr>
        <w:t xml:space="preserve"> </w:t>
      </w:r>
    </w:p>
  </w:footnote>
  <w:footnote w:id="4">
    <w:p w14:paraId="00000027" w14:textId="77777777" w:rsidR="007C7FBF" w:rsidRPr="00607C6F" w:rsidRDefault="007C7FBF" w:rsidP="004D53A0">
      <w:pPr>
        <w:spacing w:line="240" w:lineRule="auto"/>
        <w:rPr>
          <w:sz w:val="20"/>
          <w:szCs w:val="20"/>
          <w:lang w:val="en-GB"/>
        </w:rPr>
      </w:pPr>
      <w:r w:rsidRPr="00607C6F">
        <w:rPr>
          <w:sz w:val="20"/>
          <w:szCs w:val="20"/>
          <w:vertAlign w:val="superscript"/>
          <w:lang w:val="en-GB"/>
        </w:rPr>
        <w:footnoteRef/>
      </w:r>
      <w:r w:rsidRPr="00607C6F">
        <w:rPr>
          <w:sz w:val="20"/>
          <w:szCs w:val="20"/>
          <w:lang w:val="en-GB"/>
        </w:rPr>
        <w:t xml:space="preserve"> See article 2 “Concept of discrimination” of the directive.</w:t>
      </w:r>
    </w:p>
  </w:footnote>
  <w:footnote w:id="5">
    <w:p w14:paraId="00000028" w14:textId="57D6EBE4" w:rsidR="007C7FBF" w:rsidRPr="00607C6F" w:rsidRDefault="007C7FBF" w:rsidP="004D53A0">
      <w:pPr>
        <w:spacing w:line="240" w:lineRule="auto"/>
        <w:rPr>
          <w:sz w:val="20"/>
          <w:szCs w:val="20"/>
          <w:lang w:val="en-GB"/>
        </w:rPr>
      </w:pPr>
      <w:r w:rsidRPr="00607C6F">
        <w:rPr>
          <w:sz w:val="20"/>
          <w:szCs w:val="20"/>
          <w:vertAlign w:val="superscript"/>
          <w:lang w:val="en-GB"/>
        </w:rPr>
        <w:footnoteRef/>
      </w:r>
      <w:r w:rsidRPr="00607C6F">
        <w:rPr>
          <w:sz w:val="20"/>
          <w:szCs w:val="20"/>
          <w:lang w:val="en-GB"/>
        </w:rPr>
        <w:t xml:space="preserve"> However, the European Court of Justice hold in Case-303/06 Coleman v. Attridge Law that the directive applies to direct discrimination or harassment by association. The jurisprudence did not explicitly recognise indirect discrimination by association. In addition, the judgment in Coleman v. Attridge did not recognise a right to reasonable accommodation because of an association with a person with disabilities. Further, the 2008 Horizontal Directive proposal included discrimination by association in its provisions. After the last changes to the file within the Council of the European Union, all reference to discrimination by association have been erased. </w:t>
      </w:r>
    </w:p>
  </w:footnote>
  <w:footnote w:id="6">
    <w:p w14:paraId="0000002A" w14:textId="71E76240" w:rsidR="007C7FBF" w:rsidRPr="00607C6F" w:rsidRDefault="007C7FBF" w:rsidP="004D53A0">
      <w:pPr>
        <w:spacing w:line="240" w:lineRule="auto"/>
        <w:rPr>
          <w:sz w:val="20"/>
          <w:szCs w:val="20"/>
          <w:lang w:val="en-GB"/>
        </w:rPr>
      </w:pPr>
      <w:r w:rsidRPr="00607C6F">
        <w:rPr>
          <w:sz w:val="20"/>
          <w:szCs w:val="20"/>
          <w:vertAlign w:val="superscript"/>
          <w:lang w:val="en-GB"/>
        </w:rPr>
        <w:footnoteRef/>
      </w:r>
      <w:r w:rsidRPr="00607C6F">
        <w:rPr>
          <w:sz w:val="20"/>
          <w:szCs w:val="20"/>
          <w:lang w:val="en-GB"/>
        </w:rPr>
        <w:t xml:space="preserve"> Proposal for a Council Directive on implementing the principle of equal treatment between persons irrespective of religion or belief, disability, </w:t>
      </w:r>
      <w:r w:rsidR="007F1C92" w:rsidRPr="00607C6F">
        <w:rPr>
          <w:sz w:val="20"/>
          <w:szCs w:val="20"/>
          <w:lang w:val="en-GB"/>
        </w:rPr>
        <w:t>age,</w:t>
      </w:r>
      <w:r w:rsidRPr="00607C6F">
        <w:rPr>
          <w:sz w:val="20"/>
          <w:szCs w:val="20"/>
          <w:lang w:val="en-GB"/>
        </w:rPr>
        <w:t xml:space="preserve"> or sexual orientation; see Interinstitutional File: 2008/0140(COD).</w:t>
      </w:r>
    </w:p>
  </w:footnote>
  <w:footnote w:id="7">
    <w:p w14:paraId="37236843" w14:textId="43AD5C7D" w:rsidR="007D158C" w:rsidRPr="00607C6F" w:rsidRDefault="007D158C">
      <w:pPr>
        <w:pStyle w:val="FootnoteText"/>
        <w:rPr>
          <w:lang w:val="en-GB"/>
        </w:rPr>
      </w:pPr>
      <w:r w:rsidRPr="00607C6F">
        <w:rPr>
          <w:rStyle w:val="FootnoteReference"/>
          <w:lang w:val="en-GB"/>
        </w:rPr>
        <w:footnoteRef/>
      </w:r>
      <w:r w:rsidRPr="00607C6F">
        <w:rPr>
          <w:lang w:val="en-GB"/>
        </w:rPr>
        <w:t xml:space="preserve"> Proposal for a Council Directive on implementing the principle of equal treatment between persons irrespective of religion or belief, disability, age or sexual orientation; see </w:t>
      </w:r>
      <w:hyperlink r:id="rId4" w:history="1">
        <w:r w:rsidRPr="00607C6F">
          <w:rPr>
            <w:rStyle w:val="Hyperlink"/>
            <w:lang w:val="en-GB"/>
          </w:rPr>
          <w:t>Interinstitutional File: 2008/0140(COD)</w:t>
        </w:r>
      </w:hyperlink>
      <w:r w:rsidRPr="00607C6F">
        <w:rPr>
          <w:lang w:val="en-GB"/>
        </w:rPr>
        <w:t>.</w:t>
      </w:r>
    </w:p>
  </w:footnote>
  <w:footnote w:id="8">
    <w:p w14:paraId="39E9F090" w14:textId="019DE9F3" w:rsidR="00827477" w:rsidRPr="00607C6F" w:rsidRDefault="00827477">
      <w:pPr>
        <w:pStyle w:val="FootnoteText"/>
        <w:rPr>
          <w:lang w:val="en-GB"/>
        </w:rPr>
      </w:pPr>
      <w:r w:rsidRPr="00607C6F">
        <w:rPr>
          <w:rStyle w:val="FootnoteReference"/>
          <w:lang w:val="en-GB"/>
        </w:rPr>
        <w:footnoteRef/>
      </w:r>
      <w:r w:rsidRPr="00607C6F">
        <w:rPr>
          <w:lang w:val="en-GB"/>
        </w:rPr>
        <w:t xml:space="preserve"> See for example article 7 of the </w:t>
      </w:r>
      <w:hyperlink r:id="rId5" w:history="1">
        <w:r w:rsidRPr="00607C6F">
          <w:rPr>
            <w:rStyle w:val="Hyperlink"/>
            <w:lang w:val="en-GB"/>
          </w:rPr>
          <w:t>Council Directive 2000/78/EC of 27 November 2000 establishing a general framework for equal treatment in employment and occupation</w:t>
        </w:r>
      </w:hyperlink>
      <w:r w:rsidRPr="00607C6F">
        <w:rPr>
          <w:lang w:val="en-GB"/>
        </w:rPr>
        <w:t xml:space="preserve">. </w:t>
      </w:r>
    </w:p>
  </w:footnote>
  <w:footnote w:id="9">
    <w:p w14:paraId="2ACA62DA" w14:textId="306F4C64" w:rsidR="006E79FB" w:rsidRPr="00607C6F" w:rsidRDefault="006E79FB" w:rsidP="006E79FB">
      <w:pPr>
        <w:pStyle w:val="FootnoteText"/>
        <w:rPr>
          <w:lang w:val="en-GB"/>
        </w:rPr>
      </w:pPr>
      <w:r w:rsidRPr="00607C6F">
        <w:rPr>
          <w:rStyle w:val="FootnoteReference"/>
          <w:lang w:val="en-GB"/>
        </w:rPr>
        <w:footnoteRef/>
      </w:r>
      <w:r w:rsidRPr="00607C6F">
        <w:rPr>
          <w:lang w:val="en-GB"/>
        </w:rPr>
        <w:t xml:space="preserve"> </w:t>
      </w:r>
      <w:r w:rsidR="00D81B64" w:rsidRPr="00607C6F">
        <w:rPr>
          <w:lang w:val="en-GB"/>
        </w:rPr>
        <w:t xml:space="preserve">In the meantime, CRPD General comment No. 3 (2016) on women and girls with disabilities establishes that “In line with the Convention, States parties must take “all appropriate measures” to ensure and promote the full realization of all human rights and fundamental freedoms for all persons with disabilities. Measures can be of a legislative, educational, administrative, cultural, political, </w:t>
      </w:r>
      <w:r w:rsidR="007F1C92" w:rsidRPr="00607C6F">
        <w:rPr>
          <w:lang w:val="en-GB"/>
        </w:rPr>
        <w:t>linguistic,</w:t>
      </w:r>
      <w:r w:rsidR="00D81B64" w:rsidRPr="00607C6F">
        <w:rPr>
          <w:lang w:val="en-GB"/>
        </w:rPr>
        <w:t xml:space="preserve"> or other nature. Measures are appropriate if they respect the principles of the Convention, including the goal of guaranteeing to women with disabilities the exercise and enjoyment of the human rights and fundamental freedoms set out in the Convention. Measures may be temporary or long-lasting and should overcome de jure and de facto inequality. While temporary special measures such as quotas might be necessary to overcome structural, or systemic, multiple discrimination, long-lasting measures such as reforming laws and policies to ensure the equal participation of women with disabilities in all areas of life are essential prerequisites for achieving substantive equality for women with disabilities”. </w:t>
      </w:r>
      <w:r w:rsidRPr="00607C6F">
        <w:rPr>
          <w:lang w:val="en-GB"/>
        </w:rPr>
        <w:t>Equinet, Exploring positive action as a means to fight structural discrimination in Europe, chapter 2</w:t>
      </w:r>
      <w:r w:rsidR="0032331B">
        <w:rPr>
          <w:lang w:val="en-GB"/>
        </w:rPr>
        <w:t xml:space="preserve"> (forthcoming). </w:t>
      </w:r>
      <w:r w:rsidRPr="00607C6F">
        <w:rPr>
          <w:lang w:val="en-GB"/>
        </w:rPr>
        <w:t xml:space="preserve"> </w:t>
      </w:r>
    </w:p>
  </w:footnote>
  <w:footnote w:id="10">
    <w:p w14:paraId="25DBC51C" w14:textId="16D6E583" w:rsidR="00B1604E" w:rsidRPr="00607C6F" w:rsidRDefault="00B1604E">
      <w:pPr>
        <w:pStyle w:val="FootnoteText"/>
        <w:rPr>
          <w:lang w:val="en-GB"/>
        </w:rPr>
      </w:pPr>
      <w:r w:rsidRPr="00607C6F">
        <w:rPr>
          <w:rStyle w:val="FootnoteReference"/>
          <w:lang w:val="en-GB"/>
        </w:rPr>
        <w:footnoteRef/>
      </w:r>
      <w:r w:rsidRPr="00607C6F">
        <w:rPr>
          <w:lang w:val="en-GB"/>
        </w:rPr>
        <w:t xml:space="preserve"> </w:t>
      </w:r>
      <w:r w:rsidR="00D81B64" w:rsidRPr="00607C6F">
        <w:rPr>
          <w:lang w:val="en-GB"/>
        </w:rPr>
        <w:t xml:space="preserve">In 2014, only 13 EU Member States explicitly addressed bias based on disability in their criminal code. Of these, only a few separate the hate motivation from the basic offence by using enhanced penalties to stress the severity of bias related offences. </w:t>
      </w:r>
      <w:r w:rsidRPr="00607C6F">
        <w:rPr>
          <w:lang w:val="en-GB"/>
        </w:rPr>
        <w:t xml:space="preserve">See </w:t>
      </w:r>
      <w:hyperlink r:id="rId6" w:history="1">
        <w:r w:rsidRPr="00607C6F">
          <w:rPr>
            <w:rStyle w:val="Hyperlink"/>
            <w:lang w:val="en-GB"/>
          </w:rPr>
          <w:t>EDF position paper on hate speech and hate crime</w:t>
        </w:r>
      </w:hyperlink>
      <w:r w:rsidRPr="00607C6F">
        <w:rPr>
          <w:lang w:val="en-GB"/>
        </w:rPr>
        <w:t xml:space="preserve"> (2021)</w:t>
      </w:r>
    </w:p>
  </w:footnote>
  <w:footnote w:id="11">
    <w:p w14:paraId="0000002B" w14:textId="77777777" w:rsidR="007C7FBF" w:rsidRPr="00607C6F" w:rsidRDefault="007C7FBF" w:rsidP="004D53A0">
      <w:pPr>
        <w:spacing w:line="240" w:lineRule="auto"/>
        <w:rPr>
          <w:sz w:val="20"/>
          <w:szCs w:val="20"/>
          <w:lang w:val="en-GB"/>
        </w:rPr>
      </w:pPr>
      <w:r w:rsidRPr="00607C6F">
        <w:rPr>
          <w:sz w:val="20"/>
          <w:szCs w:val="20"/>
          <w:vertAlign w:val="superscript"/>
          <w:lang w:val="en-GB"/>
        </w:rPr>
        <w:footnoteRef/>
      </w:r>
      <w:r w:rsidRPr="00607C6F">
        <w:rPr>
          <w:sz w:val="20"/>
          <w:szCs w:val="20"/>
          <w:lang w:val="en-GB"/>
        </w:rPr>
        <w:t xml:space="preserve"> The EU Youth Strategy failed to include young persons with disabilities.</w:t>
      </w:r>
    </w:p>
  </w:footnote>
  <w:footnote w:id="12">
    <w:p w14:paraId="0F887ABC" w14:textId="5423588D" w:rsidR="000E22BB" w:rsidRPr="00607C6F" w:rsidRDefault="000E22BB" w:rsidP="000E22BB">
      <w:pPr>
        <w:pStyle w:val="FootnoteText"/>
        <w:rPr>
          <w:lang w:val="en-GB"/>
        </w:rPr>
      </w:pPr>
      <w:r w:rsidRPr="00607C6F">
        <w:rPr>
          <w:rStyle w:val="FootnoteReference"/>
          <w:lang w:val="en-GB"/>
        </w:rPr>
        <w:footnoteRef/>
      </w:r>
      <w:r w:rsidRPr="00607C6F">
        <w:rPr>
          <w:lang w:val="en-GB"/>
        </w:rPr>
        <w:t xml:space="preserve"> In 2015, the UN Committee on the Rights of Persons with Disabilities (CRPD) in its Concluding Observations recommended that disability focal points be appointed in all Commission Directorates-General (DGs) and agencies, and in all EU institutions, together with the establishment of an interinstitutional coordination mechanism. The recommendation also forms part of several European Parliament </w:t>
      </w:r>
      <w:r w:rsidR="00790B37" w:rsidRPr="00607C6F">
        <w:rPr>
          <w:lang w:val="en-GB"/>
        </w:rPr>
        <w:t>resolutions,</w:t>
      </w:r>
      <w:r w:rsidRPr="00607C6F">
        <w:rPr>
          <w:lang w:val="en-GB"/>
        </w:rPr>
        <w:t xml:space="preserve"> and it has also been made by the European Economic and Social Committee.</w:t>
      </w:r>
    </w:p>
    <w:p w14:paraId="1BA8A436" w14:textId="01D92C88" w:rsidR="000E22BB" w:rsidRPr="00607C6F" w:rsidRDefault="000E22BB" w:rsidP="000E22BB">
      <w:pPr>
        <w:pStyle w:val="FootnoteText"/>
        <w:rPr>
          <w:lang w:val="en-GB"/>
        </w:rPr>
      </w:pPr>
      <w:r w:rsidRPr="00607C6F">
        <w:rPr>
          <w:lang w:val="en-GB"/>
        </w:rPr>
        <w:t>In spite of this, in June 2020 disability focal points had not yet been established with the exception of the Disability Unit of DG Employment, Social Affairs and Inclusion.</w:t>
      </w:r>
    </w:p>
  </w:footnote>
  <w:footnote w:id="13">
    <w:p w14:paraId="3A4E118F" w14:textId="2D499951" w:rsidR="0055387C" w:rsidRPr="00607C6F" w:rsidRDefault="0055387C">
      <w:pPr>
        <w:pStyle w:val="FootnoteText"/>
        <w:rPr>
          <w:lang w:val="en-GB"/>
        </w:rPr>
      </w:pPr>
      <w:r w:rsidRPr="00607C6F">
        <w:rPr>
          <w:rStyle w:val="FootnoteReference"/>
          <w:lang w:val="en-GB"/>
        </w:rPr>
        <w:footnoteRef/>
      </w:r>
      <w:r w:rsidRPr="00607C6F">
        <w:rPr>
          <w:lang w:val="en-GB"/>
        </w:rPr>
        <w:t xml:space="preserve"> The EU only adopted a </w:t>
      </w:r>
      <w:hyperlink r:id="rId7">
        <w:r w:rsidRPr="00607C6F">
          <w:rPr>
            <w:rStyle w:val="Hyperlink"/>
            <w:lang w:val="en-GB"/>
          </w:rPr>
          <w:t>Green paper on Ageing</w:t>
        </w:r>
      </w:hyperlink>
      <w:r w:rsidRPr="00607C6F">
        <w:rPr>
          <w:lang w:val="en-GB"/>
        </w:rPr>
        <w:t xml:space="preserve"> that launched a discussion on ageing in the EU and does not foresee any follow-up action. </w:t>
      </w:r>
    </w:p>
  </w:footnote>
  <w:footnote w:id="14">
    <w:p w14:paraId="5B25ED79" w14:textId="50E3E3BA" w:rsidR="007C7FBF" w:rsidRPr="00607C6F" w:rsidRDefault="007C7FBF" w:rsidP="004D53A0">
      <w:pPr>
        <w:pStyle w:val="FootnoteText"/>
        <w:rPr>
          <w:lang w:val="en-GB"/>
        </w:rPr>
      </w:pPr>
      <w:r w:rsidRPr="00607C6F">
        <w:rPr>
          <w:rStyle w:val="FootnoteReference"/>
          <w:lang w:val="en-GB"/>
        </w:rPr>
        <w:footnoteRef/>
      </w:r>
      <w:r w:rsidRPr="00607C6F">
        <w:rPr>
          <w:lang w:val="en-GB"/>
        </w:rPr>
        <w:t xml:space="preserve"> In this regard, F</w:t>
      </w:r>
      <w:r w:rsidR="00774DE0" w:rsidRPr="00607C6F">
        <w:rPr>
          <w:lang w:val="en-GB"/>
        </w:rPr>
        <w:t>redman</w:t>
      </w:r>
      <w:r w:rsidRPr="00607C6F">
        <w:rPr>
          <w:lang w:val="en-GB"/>
        </w:rPr>
        <w:t xml:space="preserve">, S., </w:t>
      </w:r>
      <w:hyperlink r:id="rId8" w:history="1">
        <w:r w:rsidRPr="00607C6F">
          <w:rPr>
            <w:rStyle w:val="Hyperlink"/>
            <w:lang w:val="en-GB"/>
          </w:rPr>
          <w:t>Intersectional discrimination in EU gender equality and non-discrimination law</w:t>
        </w:r>
      </w:hyperlink>
      <w:r w:rsidRPr="00607C6F">
        <w:rPr>
          <w:lang w:val="en-GB"/>
        </w:rPr>
        <w:t xml:space="preserve">, </w:t>
      </w:r>
      <w:r w:rsidR="00DC3E33">
        <w:rPr>
          <w:lang w:val="en-GB"/>
        </w:rPr>
        <w:t>(</w:t>
      </w:r>
      <w:r w:rsidRPr="00607C6F">
        <w:rPr>
          <w:lang w:val="en-GB"/>
        </w:rPr>
        <w:t>2016</w:t>
      </w:r>
      <w:r w:rsidR="00DC3E33">
        <w:rPr>
          <w:lang w:val="en-GB"/>
        </w:rPr>
        <w:t>)</w:t>
      </w:r>
    </w:p>
  </w:footnote>
  <w:footnote w:id="15">
    <w:p w14:paraId="10D45558" w14:textId="7CB53060" w:rsidR="007C7FBF" w:rsidRPr="00607C6F" w:rsidRDefault="007C7FBF" w:rsidP="004D53A0">
      <w:pPr>
        <w:pStyle w:val="FootnoteText"/>
        <w:rPr>
          <w:lang w:val="en-GB"/>
        </w:rPr>
      </w:pPr>
      <w:r w:rsidRPr="00607C6F">
        <w:rPr>
          <w:rStyle w:val="FootnoteReference"/>
          <w:lang w:val="en-GB"/>
        </w:rPr>
        <w:footnoteRef/>
      </w:r>
      <w:r w:rsidRPr="00607C6F">
        <w:rPr>
          <w:lang w:val="en-GB"/>
        </w:rPr>
        <w:t xml:space="preserve"> CJEU, </w:t>
      </w:r>
      <w:hyperlink r:id="rId9" w:history="1">
        <w:r w:rsidRPr="00607C6F">
          <w:rPr>
            <w:rStyle w:val="Hyperlink"/>
            <w:lang w:val="en-GB"/>
          </w:rPr>
          <w:t>David L. Parris v Trinity College Dublin and Others,</w:t>
        </w:r>
      </w:hyperlink>
      <w:r w:rsidRPr="00607C6F">
        <w:rPr>
          <w:lang w:val="en-GB"/>
        </w:rPr>
        <w:t xml:space="preserve"> Case C-443/15, Judgment of the Court (First Chamber) of 24 November 2016.</w:t>
      </w:r>
    </w:p>
  </w:footnote>
  <w:footnote w:id="16">
    <w:p w14:paraId="3F5221CF" w14:textId="46001907" w:rsidR="007C7FBF" w:rsidRPr="00607C6F" w:rsidRDefault="007C7FBF" w:rsidP="004D53A0">
      <w:pPr>
        <w:pStyle w:val="FootnoteText"/>
        <w:rPr>
          <w:lang w:val="en-GB"/>
        </w:rPr>
      </w:pPr>
      <w:r w:rsidRPr="00607C6F">
        <w:rPr>
          <w:rStyle w:val="FootnoteReference"/>
          <w:lang w:val="en-GB"/>
        </w:rPr>
        <w:footnoteRef/>
      </w:r>
      <w:r w:rsidRPr="00607C6F">
        <w:rPr>
          <w:lang w:val="en-GB"/>
        </w:rPr>
        <w:t xml:space="preserve"> European Union Agency for Fundamental Rights, </w:t>
      </w:r>
      <w:hyperlink r:id="rId10" w:history="1">
        <w:r w:rsidRPr="00607C6F">
          <w:rPr>
            <w:rStyle w:val="Hyperlink"/>
            <w:lang w:val="en-GB"/>
          </w:rPr>
          <w:t>Equality in the EU 20 Years on from the Initial Implementation of the Equality Directives</w:t>
        </w:r>
      </w:hyperlink>
      <w:r w:rsidRPr="00607C6F">
        <w:rPr>
          <w:lang w:val="en-GB"/>
        </w:rPr>
        <w:t xml:space="preserve"> </w:t>
      </w:r>
      <w:r w:rsidR="00DC3E33">
        <w:rPr>
          <w:lang w:val="en-GB"/>
        </w:rPr>
        <w:t>(</w:t>
      </w:r>
      <w:r w:rsidRPr="00607C6F">
        <w:rPr>
          <w:lang w:val="en-GB"/>
        </w:rPr>
        <w:t>2021</w:t>
      </w:r>
      <w:r w:rsidR="00DC3E33">
        <w:rPr>
          <w:lang w:val="en-GB"/>
        </w:rPr>
        <w:t>)</w:t>
      </w:r>
      <w:r w:rsidRPr="00607C6F">
        <w:rPr>
          <w:lang w:val="en-GB"/>
        </w:rPr>
        <w:t>.</w:t>
      </w:r>
    </w:p>
  </w:footnote>
  <w:footnote w:id="17">
    <w:p w14:paraId="73B59702" w14:textId="0BF7018A" w:rsidR="007C7FBF" w:rsidRPr="00607C6F" w:rsidRDefault="007C7FBF" w:rsidP="004D53A0">
      <w:pPr>
        <w:pStyle w:val="FootnoteText"/>
        <w:rPr>
          <w:lang w:val="en-GB"/>
        </w:rPr>
      </w:pPr>
      <w:r w:rsidRPr="00607C6F">
        <w:rPr>
          <w:rStyle w:val="FootnoteReference"/>
          <w:lang w:val="en-GB"/>
        </w:rPr>
        <w:footnoteRef/>
      </w:r>
      <w:r w:rsidRPr="00607C6F">
        <w:rPr>
          <w:lang w:val="en-GB"/>
        </w:rPr>
        <w:t xml:space="preserve"> European network of legal experts in gender equality and non-discrimination, </w:t>
      </w:r>
      <w:hyperlink r:id="rId11" w:history="1">
        <w:r w:rsidRPr="00607C6F">
          <w:rPr>
            <w:rStyle w:val="Hyperlink"/>
            <w:lang w:val="en-GB"/>
          </w:rPr>
          <w:t>A comparative analysis of gender equality law in Europe</w:t>
        </w:r>
      </w:hyperlink>
      <w:r w:rsidRPr="00607C6F">
        <w:rPr>
          <w:lang w:val="en-GB"/>
        </w:rPr>
        <w:t xml:space="preserve"> </w:t>
      </w:r>
      <w:r w:rsidR="00DC3E33">
        <w:rPr>
          <w:lang w:val="en-GB"/>
        </w:rPr>
        <w:t>(</w:t>
      </w:r>
      <w:r w:rsidRPr="00607C6F">
        <w:rPr>
          <w:lang w:val="en-GB"/>
        </w:rPr>
        <w:t>2020</w:t>
      </w:r>
      <w:r w:rsidR="00DC3E33">
        <w:rPr>
          <w:lang w:val="en-GB"/>
        </w:rPr>
        <w:t>)</w:t>
      </w:r>
      <w:r w:rsidRPr="00607C6F">
        <w:rPr>
          <w:lang w:val="en-GB"/>
        </w:rPr>
        <w:t xml:space="preserve"> page 18. Multiple discrimination and/or intersectional discrimination is explicitly covered in the national legislation of Austria, Bulgaria, Croatia, Germany, Greece, Iceland, Italy, Malta, Norway, Poland, Romania, and Slovenia. </w:t>
      </w:r>
    </w:p>
  </w:footnote>
  <w:footnote w:id="18">
    <w:p w14:paraId="41BB28A8" w14:textId="22C17C3A" w:rsidR="007C7FBF" w:rsidRPr="00607C6F" w:rsidRDefault="007C7FBF" w:rsidP="004D53A0">
      <w:pPr>
        <w:spacing w:line="240" w:lineRule="auto"/>
        <w:rPr>
          <w:sz w:val="20"/>
          <w:szCs w:val="20"/>
          <w:lang w:val="en-GB"/>
        </w:rPr>
      </w:pPr>
      <w:r w:rsidRPr="00607C6F">
        <w:rPr>
          <w:rStyle w:val="FootnoteReference"/>
          <w:sz w:val="20"/>
          <w:szCs w:val="20"/>
          <w:lang w:val="en-GB"/>
        </w:rPr>
        <w:footnoteRef/>
      </w:r>
      <w:r w:rsidRPr="00607C6F">
        <w:rPr>
          <w:sz w:val="20"/>
          <w:szCs w:val="20"/>
          <w:lang w:val="en-GB"/>
        </w:rPr>
        <w:t xml:space="preserve"> N. Crowley, </w:t>
      </w:r>
      <w:hyperlink r:id="rId12" w:history="1">
        <w:r w:rsidRPr="00607C6F">
          <w:rPr>
            <w:rStyle w:val="Hyperlink"/>
            <w:sz w:val="20"/>
            <w:szCs w:val="20"/>
            <w:lang w:val="en-GB"/>
          </w:rPr>
          <w:t>Equality bodies making a difference</w:t>
        </w:r>
      </w:hyperlink>
      <w:r w:rsidRPr="00607C6F">
        <w:rPr>
          <w:sz w:val="20"/>
          <w:szCs w:val="20"/>
          <w:lang w:val="en-GB"/>
        </w:rPr>
        <w:t xml:space="preserve">, European network of legal experts in gender equality and non-discrimination, 2018, page 79: ‘18 equality bodies in 17 countries identified that they had worked on issues of intersectionality.’ Several other Equality Bodies have requested their governments to enact law that would include this kind of discrimination in their national legislation, such as the IHREC, </w:t>
      </w:r>
      <w:hyperlink r:id="rId13" w:history="1">
        <w:r w:rsidRPr="00607C6F">
          <w:rPr>
            <w:rStyle w:val="Hyperlink"/>
            <w:sz w:val="20"/>
            <w:szCs w:val="20"/>
            <w:lang w:val="en-GB"/>
          </w:rPr>
          <w:t>Submission on the Review of the Equality Acts</w:t>
        </w:r>
      </w:hyperlink>
      <w:r w:rsidRPr="00607C6F">
        <w:rPr>
          <w:sz w:val="20"/>
          <w:szCs w:val="20"/>
          <w:lang w:val="en-GB"/>
        </w:rPr>
        <w:t>, December 2021.</w:t>
      </w:r>
    </w:p>
  </w:footnote>
  <w:footnote w:id="19">
    <w:p w14:paraId="35CA9847" w14:textId="359A733A" w:rsidR="00513298" w:rsidRPr="00607C6F" w:rsidRDefault="00513298">
      <w:pPr>
        <w:pStyle w:val="FootnoteText"/>
        <w:rPr>
          <w:lang w:val="en-GB"/>
        </w:rPr>
      </w:pPr>
      <w:r w:rsidRPr="00607C6F">
        <w:rPr>
          <w:rStyle w:val="FootnoteReference"/>
          <w:lang w:val="en-GB"/>
        </w:rPr>
        <w:footnoteRef/>
      </w:r>
      <w:r w:rsidRPr="00607C6F">
        <w:rPr>
          <w:lang w:val="en-GB"/>
        </w:rPr>
        <w:t xml:space="preserve"> It is important to keep in mind that that people who are members of multiple of these groups, (</w:t>
      </w:r>
      <w:r w:rsidR="00790B37" w:rsidRPr="00607C6F">
        <w:rPr>
          <w:lang w:val="en-GB"/>
        </w:rPr>
        <w:t>e.g.,</w:t>
      </w:r>
      <w:r w:rsidRPr="00607C6F">
        <w:rPr>
          <w:lang w:val="en-GB"/>
        </w:rPr>
        <w:t xml:space="preserve"> LGBTI youth with disabilities, older Roma women with disabilities) face further unique experiences of discrimination. </w:t>
      </w:r>
    </w:p>
  </w:footnote>
  <w:footnote w:id="20">
    <w:p w14:paraId="392CE568" w14:textId="5D97FCE2" w:rsidR="00C73FDE" w:rsidRPr="00607C6F" w:rsidRDefault="00C73FDE" w:rsidP="00C73FDE">
      <w:pPr>
        <w:pStyle w:val="FootnoteText"/>
        <w:rPr>
          <w:lang w:val="en-GB"/>
        </w:rPr>
      </w:pPr>
      <w:r w:rsidRPr="00607C6F">
        <w:rPr>
          <w:rStyle w:val="FootnoteReference"/>
          <w:lang w:val="en-GB"/>
        </w:rPr>
        <w:footnoteRef/>
      </w:r>
      <w:r w:rsidRPr="00607C6F">
        <w:rPr>
          <w:lang w:val="en-GB"/>
        </w:rPr>
        <w:t xml:space="preserve"> UNICEF, </w:t>
      </w:r>
      <w:hyperlink r:id="rId14" w:history="1">
        <w:r w:rsidRPr="00607C6F">
          <w:rPr>
            <w:rStyle w:val="Hyperlink"/>
            <w:lang w:val="en-GB"/>
          </w:rPr>
          <w:t>Better data for better child protection systems in Europe: Mapping how data on children in alternative care are collected, analysed and published across 28 European countries</w:t>
        </w:r>
      </w:hyperlink>
      <w:r w:rsidRPr="00607C6F">
        <w:rPr>
          <w:lang w:val="en-GB"/>
        </w:rPr>
        <w:t>,</w:t>
      </w:r>
      <w:r w:rsidR="00DC3E33">
        <w:rPr>
          <w:lang w:val="en-GB"/>
        </w:rPr>
        <w:t xml:space="preserve"> (2021)</w:t>
      </w:r>
      <w:r w:rsidRPr="00607C6F">
        <w:rPr>
          <w:lang w:val="en-GB"/>
        </w:rPr>
        <w:t xml:space="preserve"> page 15. </w:t>
      </w:r>
    </w:p>
  </w:footnote>
  <w:footnote w:id="21">
    <w:p w14:paraId="0A699B4E" w14:textId="6CD03E68" w:rsidR="00C73FDE" w:rsidRPr="00607C6F" w:rsidRDefault="00C73FDE" w:rsidP="00C73FDE">
      <w:pPr>
        <w:pStyle w:val="FootnoteText"/>
        <w:rPr>
          <w:lang w:val="en-GB"/>
        </w:rPr>
      </w:pPr>
      <w:r w:rsidRPr="00607C6F">
        <w:rPr>
          <w:rStyle w:val="FootnoteReference"/>
          <w:lang w:val="en-GB"/>
        </w:rPr>
        <w:footnoteRef/>
      </w:r>
      <w:r w:rsidRPr="00607C6F">
        <w:rPr>
          <w:lang w:val="en-GB"/>
        </w:rPr>
        <w:t xml:space="preserve"> Opening Doors Campaign, </w:t>
      </w:r>
      <w:hyperlink r:id="rId15" w:history="1">
        <w:r w:rsidRPr="00607C6F">
          <w:rPr>
            <w:rStyle w:val="Hyperlink"/>
            <w:lang w:val="en-GB"/>
          </w:rPr>
          <w:t>Final report</w:t>
        </w:r>
      </w:hyperlink>
      <w:r w:rsidRPr="00607C6F">
        <w:rPr>
          <w:lang w:val="en-GB"/>
        </w:rPr>
        <w:t xml:space="preserve"> </w:t>
      </w:r>
      <w:r w:rsidR="007B73B5">
        <w:rPr>
          <w:lang w:val="en-GB"/>
        </w:rPr>
        <w:t>(</w:t>
      </w:r>
      <w:r w:rsidRPr="00607C6F">
        <w:rPr>
          <w:lang w:val="en-GB"/>
        </w:rPr>
        <w:t>2019</w:t>
      </w:r>
      <w:r w:rsidR="007B73B5">
        <w:rPr>
          <w:lang w:val="en-GB"/>
        </w:rPr>
        <w:t>)</w:t>
      </w:r>
      <w:r w:rsidRPr="00607C6F">
        <w:rPr>
          <w:lang w:val="en-GB"/>
        </w:rPr>
        <w:t xml:space="preserve"> </w:t>
      </w:r>
      <w:r w:rsidR="00DC3E33">
        <w:rPr>
          <w:lang w:val="en-GB"/>
        </w:rPr>
        <w:t>p</w:t>
      </w:r>
      <w:r w:rsidRPr="00607C6F">
        <w:rPr>
          <w:lang w:val="en-GB"/>
        </w:rPr>
        <w:t xml:space="preserve">age 16, </w:t>
      </w:r>
    </w:p>
  </w:footnote>
  <w:footnote w:id="22">
    <w:p w14:paraId="1077AE9E" w14:textId="39AC28E6" w:rsidR="00C73FDE" w:rsidRPr="00607C6F" w:rsidRDefault="00C73FDE" w:rsidP="00C73FDE">
      <w:pPr>
        <w:pStyle w:val="FootnoteText"/>
        <w:rPr>
          <w:lang w:val="en-GB"/>
        </w:rPr>
      </w:pPr>
      <w:r w:rsidRPr="00607C6F">
        <w:rPr>
          <w:rStyle w:val="FootnoteReference"/>
          <w:lang w:val="en-GB"/>
        </w:rPr>
        <w:footnoteRef/>
      </w:r>
      <w:r w:rsidRPr="00607C6F">
        <w:rPr>
          <w:lang w:val="en-GB"/>
        </w:rPr>
        <w:t xml:space="preserve"> FRA, </w:t>
      </w:r>
      <w:hyperlink r:id="rId16" w:history="1">
        <w:r w:rsidRPr="00607C6F">
          <w:rPr>
            <w:rStyle w:val="Hyperlink"/>
            <w:lang w:val="en-GB"/>
          </w:rPr>
          <w:t>Violence against children with disabilities: legislation, policies and programmes in the EU</w:t>
        </w:r>
      </w:hyperlink>
      <w:r w:rsidRPr="00607C6F">
        <w:rPr>
          <w:lang w:val="en-GB"/>
        </w:rPr>
        <w:t xml:space="preserve"> </w:t>
      </w:r>
      <w:r w:rsidR="00CE0D7A">
        <w:rPr>
          <w:lang w:val="en-GB"/>
        </w:rPr>
        <w:t>(</w:t>
      </w:r>
      <w:r w:rsidRPr="00607C6F">
        <w:rPr>
          <w:lang w:val="en-GB"/>
        </w:rPr>
        <w:t>2015</w:t>
      </w:r>
      <w:r w:rsidR="00CE0D7A">
        <w:rPr>
          <w:lang w:val="en-GB"/>
        </w:rPr>
        <w:t>)</w:t>
      </w:r>
      <w:r w:rsidRPr="00607C6F">
        <w:rPr>
          <w:lang w:val="en-GB"/>
        </w:rPr>
        <w:t>.</w:t>
      </w:r>
    </w:p>
  </w:footnote>
  <w:footnote w:id="23">
    <w:p w14:paraId="30B6DBA4" w14:textId="1D77D994" w:rsidR="002473EC" w:rsidRPr="00607C6F" w:rsidRDefault="002473EC">
      <w:pPr>
        <w:pStyle w:val="FootnoteText"/>
        <w:rPr>
          <w:lang w:val="en-GB"/>
        </w:rPr>
      </w:pPr>
      <w:r w:rsidRPr="00607C6F">
        <w:rPr>
          <w:rStyle w:val="FootnoteReference"/>
          <w:lang w:val="en-GB"/>
        </w:rPr>
        <w:footnoteRef/>
      </w:r>
      <w:r w:rsidRPr="00607C6F">
        <w:rPr>
          <w:lang w:val="en-GB"/>
        </w:rPr>
        <w:t xml:space="preserve"> European Youth Forum, </w:t>
      </w:r>
      <w:hyperlink r:id="rId17" w:history="1">
        <w:r w:rsidRPr="00607C6F">
          <w:rPr>
            <w:rStyle w:val="Hyperlink"/>
            <w:lang w:val="en-GB"/>
          </w:rPr>
          <w:t>Multiple discrimination and young people in Europe</w:t>
        </w:r>
      </w:hyperlink>
      <w:r w:rsidRPr="00607C6F">
        <w:rPr>
          <w:lang w:val="en-GB"/>
        </w:rPr>
        <w:t xml:space="preserve"> (2015)</w:t>
      </w:r>
    </w:p>
  </w:footnote>
  <w:footnote w:id="24">
    <w:p w14:paraId="438036A4" w14:textId="4259F3C9" w:rsidR="002473EC" w:rsidRPr="00607C6F" w:rsidRDefault="002473EC">
      <w:pPr>
        <w:pStyle w:val="FootnoteText"/>
        <w:rPr>
          <w:lang w:val="en-GB"/>
        </w:rPr>
      </w:pPr>
      <w:r w:rsidRPr="00607C6F">
        <w:rPr>
          <w:rStyle w:val="FootnoteReference"/>
          <w:lang w:val="en-GB"/>
        </w:rPr>
        <w:footnoteRef/>
      </w:r>
      <w:r w:rsidRPr="00607C6F">
        <w:rPr>
          <w:lang w:val="en-GB"/>
        </w:rPr>
        <w:t xml:space="preserve"> Ibid. </w:t>
      </w:r>
    </w:p>
  </w:footnote>
  <w:footnote w:id="25">
    <w:p w14:paraId="5B3A3F6D" w14:textId="505DF3B1" w:rsidR="009C1461" w:rsidRPr="00607C6F" w:rsidRDefault="009C1461">
      <w:pPr>
        <w:pStyle w:val="FootnoteText"/>
        <w:rPr>
          <w:lang w:val="en-GB"/>
        </w:rPr>
      </w:pPr>
      <w:r w:rsidRPr="00607C6F">
        <w:rPr>
          <w:rStyle w:val="FootnoteReference"/>
          <w:lang w:val="en-GB"/>
        </w:rPr>
        <w:footnoteRef/>
      </w:r>
      <w:r w:rsidRPr="00607C6F">
        <w:rPr>
          <w:lang w:val="en-GB"/>
        </w:rPr>
        <w:t xml:space="preserve"> </w:t>
      </w:r>
      <w:bookmarkStart w:id="42" w:name="_Hlk95149264"/>
      <w:r w:rsidRPr="00607C6F">
        <w:rPr>
          <w:lang w:val="en-GB"/>
        </w:rPr>
        <w:t xml:space="preserve">European Youth Forum, </w:t>
      </w:r>
      <w:hyperlink r:id="rId18" w:history="1">
        <w:r w:rsidRPr="00607C6F">
          <w:rPr>
            <w:rStyle w:val="Hyperlink"/>
            <w:lang w:val="en-GB"/>
          </w:rPr>
          <w:t>Beyond Lockdown: The pandemic scar on young people</w:t>
        </w:r>
      </w:hyperlink>
      <w:r w:rsidRPr="00607C6F">
        <w:rPr>
          <w:lang w:val="en-GB"/>
        </w:rPr>
        <w:t xml:space="preserve"> </w:t>
      </w:r>
      <w:r w:rsidR="00CE0D7A">
        <w:rPr>
          <w:lang w:val="en-GB"/>
        </w:rPr>
        <w:t>(</w:t>
      </w:r>
      <w:r w:rsidRPr="00607C6F">
        <w:rPr>
          <w:lang w:val="en-GB"/>
        </w:rPr>
        <w:t>2021</w:t>
      </w:r>
      <w:r w:rsidR="00CE0D7A">
        <w:rPr>
          <w:lang w:val="en-GB"/>
        </w:rPr>
        <w:t>)</w:t>
      </w:r>
      <w:r w:rsidRPr="00607C6F">
        <w:rPr>
          <w:lang w:val="en-GB"/>
        </w:rPr>
        <w:t>.</w:t>
      </w:r>
      <w:bookmarkEnd w:id="42"/>
      <w:r w:rsidR="00865D8C" w:rsidRPr="00607C6F">
        <w:rPr>
          <w:lang w:val="en-GB"/>
        </w:rPr>
        <w:t xml:space="preserve"> The adoption of a legally binding International Convention on the Rights of Young People with an accompanying monitoring mechanism would set a standard for youth to be active rights-holders and prevent such forms of age-based discrimination.</w:t>
      </w:r>
    </w:p>
  </w:footnote>
  <w:footnote w:id="26">
    <w:p w14:paraId="6423B8CE" w14:textId="78B92051" w:rsidR="000B0201" w:rsidRPr="00607C6F" w:rsidRDefault="000B0201" w:rsidP="000B0201">
      <w:pPr>
        <w:pStyle w:val="FootnoteText"/>
        <w:rPr>
          <w:lang w:val="en-GB"/>
        </w:rPr>
      </w:pPr>
      <w:r w:rsidRPr="00607C6F">
        <w:rPr>
          <w:rStyle w:val="FootnoteReference"/>
          <w:lang w:val="en-GB"/>
        </w:rPr>
        <w:footnoteRef/>
      </w:r>
      <w:r w:rsidRPr="00607C6F">
        <w:rPr>
          <w:lang w:val="en-GB"/>
        </w:rPr>
        <w:t xml:space="preserve"> For instance, in 2019 the Commission for the Rights of Persons with Disability (CRPD) in Malta created a video clip for secondary schools to challenge perceptions and stereotypes of disability. The clip was scripted and acted by persons with a disability, giving a direct voice to their thoughts and feelings. It is used regularly in disability equality training provided to young people. The training is provided to many organisations and entities, including schools, educational </w:t>
      </w:r>
      <w:r w:rsidR="007F1C92" w:rsidRPr="00607C6F">
        <w:rPr>
          <w:lang w:val="en-GB"/>
        </w:rPr>
        <w:t>institutions,</w:t>
      </w:r>
      <w:r w:rsidRPr="00607C6F">
        <w:rPr>
          <w:lang w:val="en-GB"/>
        </w:rPr>
        <w:t xml:space="preserve"> and youth organisations, to create more awareness on disability. See: Equinet, </w:t>
      </w:r>
      <w:hyperlink r:id="rId19" w:history="1">
        <w:r w:rsidRPr="00607C6F">
          <w:rPr>
            <w:rStyle w:val="Hyperlink"/>
            <w:lang w:val="en-GB"/>
          </w:rPr>
          <w:t>Stepping Up our Engagement with Youth: Handbook for Equality Bodies</w:t>
        </w:r>
      </w:hyperlink>
      <w:r w:rsidRPr="00607C6F">
        <w:rPr>
          <w:lang w:val="en-GB"/>
        </w:rPr>
        <w:t xml:space="preserve"> </w:t>
      </w:r>
      <w:r w:rsidR="007B73B5">
        <w:rPr>
          <w:lang w:val="en-GB"/>
        </w:rPr>
        <w:t>(</w:t>
      </w:r>
      <w:r w:rsidRPr="00607C6F">
        <w:rPr>
          <w:lang w:val="en-GB"/>
        </w:rPr>
        <w:t>2021</w:t>
      </w:r>
      <w:r w:rsidR="007B73B5">
        <w:rPr>
          <w:lang w:val="en-GB"/>
        </w:rPr>
        <w:t>)</w:t>
      </w:r>
      <w:r w:rsidRPr="00607C6F">
        <w:rPr>
          <w:lang w:val="en-GB"/>
        </w:rPr>
        <w:t xml:space="preserve">, page 60. </w:t>
      </w:r>
    </w:p>
  </w:footnote>
  <w:footnote w:id="27">
    <w:p w14:paraId="4975A85A" w14:textId="3662C855" w:rsidR="000B0201" w:rsidRPr="00607C6F" w:rsidRDefault="000B0201" w:rsidP="000B0201">
      <w:pPr>
        <w:pStyle w:val="FootnoteText"/>
        <w:rPr>
          <w:lang w:val="en-GB"/>
        </w:rPr>
      </w:pPr>
      <w:r w:rsidRPr="00607C6F">
        <w:rPr>
          <w:rStyle w:val="FootnoteReference"/>
          <w:lang w:val="en-GB"/>
        </w:rPr>
        <w:footnoteRef/>
      </w:r>
      <w:r w:rsidRPr="00607C6F">
        <w:rPr>
          <w:lang w:val="en-GB"/>
        </w:rPr>
        <w:t xml:space="preserve"> Equinet, </w:t>
      </w:r>
      <w:hyperlink r:id="rId20" w:history="1">
        <w:r w:rsidRPr="00607C6F">
          <w:rPr>
            <w:rStyle w:val="Hyperlink"/>
            <w:lang w:val="en-GB"/>
          </w:rPr>
          <w:t xml:space="preserve">Equality Bodies contributing to the protection, respect and </w:t>
        </w:r>
        <w:r w:rsidR="00607C6F" w:rsidRPr="00607C6F">
          <w:rPr>
            <w:rStyle w:val="Hyperlink"/>
            <w:lang w:val="en-GB"/>
          </w:rPr>
          <w:t>fulfilment</w:t>
        </w:r>
        <w:r w:rsidRPr="00607C6F">
          <w:rPr>
            <w:rStyle w:val="Hyperlink"/>
            <w:lang w:val="en-GB"/>
          </w:rPr>
          <w:t xml:space="preserve"> of Economic and Social Rights</w:t>
        </w:r>
      </w:hyperlink>
      <w:r w:rsidRPr="00607C6F">
        <w:rPr>
          <w:lang w:val="en-GB"/>
        </w:rPr>
        <w:t xml:space="preserve"> </w:t>
      </w:r>
      <w:r w:rsidR="00CE0D7A">
        <w:rPr>
          <w:lang w:val="en-GB"/>
        </w:rPr>
        <w:t>(</w:t>
      </w:r>
      <w:r w:rsidRPr="00607C6F">
        <w:rPr>
          <w:lang w:val="en-GB"/>
        </w:rPr>
        <w:t>2015</w:t>
      </w:r>
      <w:r w:rsidR="002F2938">
        <w:rPr>
          <w:lang w:val="en-GB"/>
        </w:rPr>
        <w:t>)</w:t>
      </w:r>
      <w:r w:rsidRPr="00607C6F">
        <w:rPr>
          <w:lang w:val="en-GB"/>
        </w:rPr>
        <w:t>, page 24, para 3</w:t>
      </w:r>
    </w:p>
  </w:footnote>
  <w:footnote w:id="28">
    <w:p w14:paraId="41C865A7" w14:textId="3349AA33" w:rsidR="000B0201" w:rsidRPr="00607C6F" w:rsidRDefault="000B0201" w:rsidP="000B0201">
      <w:pPr>
        <w:pStyle w:val="FootnoteText"/>
        <w:rPr>
          <w:lang w:val="en-GB"/>
        </w:rPr>
      </w:pPr>
      <w:r w:rsidRPr="00607C6F">
        <w:rPr>
          <w:rStyle w:val="FootnoteReference"/>
          <w:lang w:val="en-GB"/>
        </w:rPr>
        <w:footnoteRef/>
      </w:r>
      <w:r w:rsidRPr="00607C6F">
        <w:rPr>
          <w:lang w:val="en-GB"/>
        </w:rPr>
        <w:t xml:space="preserve"> Equinet, </w:t>
      </w:r>
      <w:hyperlink r:id="rId21" w:history="1">
        <w:r w:rsidRPr="00607C6F">
          <w:rPr>
            <w:rStyle w:val="Hyperlink"/>
            <w:lang w:val="en-GB"/>
          </w:rPr>
          <w:t xml:space="preserve">Equality, diversity, and non-discrimination in healthcare: Learning from the work of equality bodies </w:t>
        </w:r>
        <w:r w:rsidR="002F2938" w:rsidRPr="002F2938">
          <w:rPr>
            <w:rStyle w:val="Hyperlink"/>
            <w:color w:val="auto"/>
            <w:lang w:val="en-GB"/>
          </w:rPr>
          <w:t>(</w:t>
        </w:r>
        <w:r w:rsidRPr="002F2938">
          <w:rPr>
            <w:rStyle w:val="Hyperlink"/>
            <w:color w:val="auto"/>
            <w:u w:val="none"/>
            <w:lang w:val="en-GB"/>
          </w:rPr>
          <w:t>2021</w:t>
        </w:r>
        <w:r w:rsidR="002F2938">
          <w:rPr>
            <w:rStyle w:val="Hyperlink"/>
            <w:color w:val="auto"/>
            <w:u w:val="none"/>
            <w:lang w:val="en-GB"/>
          </w:rPr>
          <w:t>)</w:t>
        </w:r>
        <w:r w:rsidRPr="00607C6F">
          <w:rPr>
            <w:rStyle w:val="Hyperlink"/>
            <w:u w:val="none"/>
            <w:lang w:val="en-GB"/>
          </w:rPr>
          <w:t xml:space="preserve"> </w:t>
        </w:r>
      </w:hyperlink>
      <w:r w:rsidRPr="00607C6F">
        <w:rPr>
          <w:lang w:val="en-GB"/>
        </w:rPr>
        <w:t xml:space="preserve">page 16, para 1. </w:t>
      </w:r>
    </w:p>
  </w:footnote>
  <w:footnote w:id="29">
    <w:p w14:paraId="3FF09328" w14:textId="1E365A72" w:rsidR="000B0201" w:rsidRPr="00607C6F" w:rsidRDefault="000B0201" w:rsidP="000B0201">
      <w:pPr>
        <w:pStyle w:val="FootnoteText"/>
        <w:rPr>
          <w:lang w:val="en-GB"/>
        </w:rPr>
      </w:pPr>
      <w:r w:rsidRPr="00607C6F">
        <w:rPr>
          <w:rStyle w:val="FootnoteReference"/>
          <w:lang w:val="en-GB"/>
        </w:rPr>
        <w:footnoteRef/>
      </w:r>
      <w:r w:rsidRPr="00607C6F">
        <w:rPr>
          <w:lang w:val="en-GB"/>
        </w:rPr>
        <w:t xml:space="preserve"> In Sweden, insurance providers considered that correct decisions based on a statistical risk assessment, allowed under the Swedish Insurance Act, could not be challenged as discriminatory. A major insurance company thus had a rule that, without first having performed an individual risk assessment, children with serious illnesses and disabilities were automatically excluded from receiving coverage. The Swedish Equality Ombudsman brought a claim for a child with a hearing impairment who had been denied coverage with reference to this rule. The Ombudsman lost the case in the first instance, but the Court of Appeal later found that the insurance company had directly discriminated the child by denying her the right to the individual risk assessment afforded to children without disabilities. The ruling established that business-motivated risk assessments in insurance provisions were not exempt from non-discrimination law. This was later confirmed by a governmental inquiry citing the case as an authority. See: Equinet, </w:t>
      </w:r>
      <w:hyperlink r:id="rId22" w:history="1">
        <w:r w:rsidRPr="00607C6F">
          <w:rPr>
            <w:rStyle w:val="Hyperlink"/>
            <w:lang w:val="en-GB"/>
          </w:rPr>
          <w:t>Strategic Litigation Handbook</w:t>
        </w:r>
      </w:hyperlink>
      <w:r w:rsidRPr="00607C6F">
        <w:rPr>
          <w:rStyle w:val="Hyperlink"/>
          <w:lang w:val="en-GB"/>
        </w:rPr>
        <w:t xml:space="preserve"> </w:t>
      </w:r>
      <w:r w:rsidR="002F2938" w:rsidRPr="002F2938">
        <w:rPr>
          <w:rStyle w:val="Hyperlink"/>
          <w:color w:val="auto"/>
          <w:lang w:val="en-GB"/>
        </w:rPr>
        <w:t>(</w:t>
      </w:r>
      <w:r w:rsidRPr="002F2938">
        <w:rPr>
          <w:rStyle w:val="Hyperlink"/>
          <w:color w:val="auto"/>
          <w:u w:val="none"/>
          <w:lang w:val="en-GB"/>
        </w:rPr>
        <w:t>2017</w:t>
      </w:r>
      <w:r w:rsidR="002F2938">
        <w:rPr>
          <w:rStyle w:val="Hyperlink"/>
          <w:color w:val="auto"/>
          <w:u w:val="none"/>
          <w:lang w:val="en-GB"/>
        </w:rPr>
        <w:t>)</w:t>
      </w:r>
      <w:r w:rsidRPr="00607C6F">
        <w:rPr>
          <w:rStyle w:val="Hyperlink"/>
          <w:color w:val="auto"/>
          <w:u w:val="none"/>
          <w:lang w:val="en-GB"/>
        </w:rPr>
        <w:t xml:space="preserve"> p</w:t>
      </w:r>
      <w:r w:rsidRPr="00607C6F">
        <w:rPr>
          <w:lang w:val="en-GB"/>
        </w:rPr>
        <w:t xml:space="preserve">age 13, para 1. </w:t>
      </w:r>
    </w:p>
  </w:footnote>
  <w:footnote w:id="30">
    <w:p w14:paraId="0B4A370F" w14:textId="7DD6EBDF" w:rsidR="000B0201" w:rsidRPr="00607C6F" w:rsidRDefault="000B0201" w:rsidP="000B0201">
      <w:pPr>
        <w:pStyle w:val="CommentText"/>
        <w:rPr>
          <w:lang w:val="en-GB"/>
        </w:rPr>
      </w:pPr>
      <w:r w:rsidRPr="00607C6F">
        <w:rPr>
          <w:rStyle w:val="FootnoteReference"/>
          <w:lang w:val="en-GB"/>
        </w:rPr>
        <w:footnoteRef/>
      </w:r>
      <w:r w:rsidRPr="00607C6F">
        <w:rPr>
          <w:lang w:val="en-GB"/>
        </w:rPr>
        <w:t xml:space="preserve"> Equinet, </w:t>
      </w:r>
      <w:hyperlink r:id="rId23" w:history="1">
        <w:r w:rsidRPr="00607C6F">
          <w:rPr>
            <w:rStyle w:val="Hyperlink"/>
            <w:lang w:val="en-GB"/>
          </w:rPr>
          <w:t>Equality bodies combating discrimination against young people</w:t>
        </w:r>
      </w:hyperlink>
      <w:r w:rsidRPr="00607C6F">
        <w:rPr>
          <w:rStyle w:val="Hyperlink"/>
          <w:lang w:val="en-GB"/>
        </w:rPr>
        <w:t xml:space="preserve"> </w:t>
      </w:r>
      <w:r w:rsidR="002F2938">
        <w:rPr>
          <w:rStyle w:val="Hyperlink"/>
          <w:lang w:val="en-GB"/>
        </w:rPr>
        <w:t>(</w:t>
      </w:r>
      <w:r w:rsidRPr="00607C6F">
        <w:rPr>
          <w:lang w:val="en-GB"/>
        </w:rPr>
        <w:t>2021</w:t>
      </w:r>
      <w:r w:rsidR="002F2938">
        <w:rPr>
          <w:lang w:val="en-GB"/>
        </w:rPr>
        <w:t>)</w:t>
      </w:r>
      <w:r w:rsidRPr="00607C6F">
        <w:rPr>
          <w:lang w:val="en-GB"/>
        </w:rPr>
        <w:t xml:space="preserve"> page 15 para 2</w:t>
      </w:r>
    </w:p>
  </w:footnote>
  <w:footnote w:id="31">
    <w:p w14:paraId="392EDF8A" w14:textId="77777777" w:rsidR="000B0201" w:rsidRPr="00607C6F" w:rsidRDefault="000B0201" w:rsidP="000B0201">
      <w:pPr>
        <w:pStyle w:val="FootnoteText"/>
        <w:rPr>
          <w:bCs/>
          <w:lang w:val="en-GB"/>
        </w:rPr>
      </w:pPr>
      <w:r w:rsidRPr="00607C6F">
        <w:rPr>
          <w:rStyle w:val="FootnoteReference"/>
          <w:lang w:val="en-GB"/>
        </w:rPr>
        <w:footnoteRef/>
      </w:r>
      <w:r w:rsidRPr="00607C6F">
        <w:rPr>
          <w:lang w:val="en-GB"/>
        </w:rPr>
        <w:t xml:space="preserve"> </w:t>
      </w:r>
      <w:r w:rsidRPr="00607C6F">
        <w:rPr>
          <w:bCs/>
          <w:lang w:val="en-GB"/>
        </w:rPr>
        <w:t>The 2011-2014 EU Agenda for the Rights of the Child failed to acknowledge the rights of children with disabilities. Except for a reference acknowledging that they are more exposed to violence and more at risk of seeing their rights violated, no actions directly concerning them were included.</w:t>
      </w:r>
    </w:p>
  </w:footnote>
  <w:footnote w:id="32">
    <w:p w14:paraId="56428799" w14:textId="77777777" w:rsidR="000B0201" w:rsidRPr="00607C6F" w:rsidRDefault="000B0201" w:rsidP="000B0201">
      <w:pPr>
        <w:pStyle w:val="FootnoteText"/>
        <w:rPr>
          <w:lang w:val="en-GB"/>
        </w:rPr>
      </w:pPr>
      <w:r w:rsidRPr="00607C6F">
        <w:rPr>
          <w:rStyle w:val="FootnoteReference"/>
          <w:lang w:val="en-GB"/>
        </w:rPr>
        <w:footnoteRef/>
      </w:r>
      <w:r w:rsidRPr="00607C6F">
        <w:rPr>
          <w:lang w:val="en-GB"/>
        </w:rPr>
        <w:t xml:space="preserve"> </w:t>
      </w:r>
      <w:r w:rsidRPr="00607C6F">
        <w:rPr>
          <w:bCs/>
          <w:lang w:val="en-GB"/>
        </w:rPr>
        <w:t xml:space="preserve">The </w:t>
      </w:r>
      <w:hyperlink r:id="rId24" w:history="1">
        <w:r w:rsidRPr="00607C6F">
          <w:rPr>
            <w:rStyle w:val="Hyperlink"/>
            <w:bCs/>
            <w:lang w:val="en-GB"/>
          </w:rPr>
          <w:t>Renewed Child Guarantee for Vulnerable Children (or Child Guarantee)</w:t>
        </w:r>
      </w:hyperlink>
      <w:r w:rsidRPr="00607C6F">
        <w:rPr>
          <w:bCs/>
          <w:lang w:val="en-GB"/>
        </w:rPr>
        <w:t xml:space="preserve"> aims to prevent and combat social exclusion by guaranteeing the access of children in need to a set of key services including early childhood education and care, education (including school-based activities), healthcare, nutrition and housing.</w:t>
      </w:r>
    </w:p>
  </w:footnote>
  <w:footnote w:id="33">
    <w:p w14:paraId="1312C5FD" w14:textId="3B018FA2" w:rsidR="003D14C9" w:rsidRPr="00607C6F" w:rsidRDefault="003D14C9">
      <w:pPr>
        <w:pStyle w:val="FootnoteText"/>
        <w:rPr>
          <w:lang w:val="en-GB"/>
        </w:rPr>
      </w:pPr>
      <w:r w:rsidRPr="00607C6F">
        <w:rPr>
          <w:rStyle w:val="FootnoteReference"/>
          <w:lang w:val="en-GB"/>
        </w:rPr>
        <w:footnoteRef/>
      </w:r>
      <w:r w:rsidRPr="00607C6F">
        <w:rPr>
          <w:lang w:val="en-GB"/>
        </w:rPr>
        <w:t xml:space="preserve"> See Gender Equality Index 2020. </w:t>
      </w:r>
    </w:p>
  </w:footnote>
  <w:footnote w:id="34">
    <w:p w14:paraId="3D46658E" w14:textId="3E4EB826" w:rsidR="007C7FBF" w:rsidRPr="00607C6F" w:rsidRDefault="007C7FBF" w:rsidP="004D53A0">
      <w:pPr>
        <w:spacing w:line="240" w:lineRule="auto"/>
        <w:rPr>
          <w:sz w:val="20"/>
          <w:szCs w:val="20"/>
          <w:lang w:val="en-GB"/>
        </w:rPr>
      </w:pPr>
      <w:r w:rsidRPr="00607C6F">
        <w:rPr>
          <w:rStyle w:val="FootnoteReference"/>
          <w:sz w:val="20"/>
          <w:szCs w:val="20"/>
          <w:lang w:val="en-GB"/>
        </w:rPr>
        <w:footnoteRef/>
      </w:r>
      <w:r w:rsidRPr="00607C6F">
        <w:rPr>
          <w:sz w:val="20"/>
          <w:szCs w:val="20"/>
          <w:lang w:val="en-GB"/>
        </w:rPr>
        <w:t xml:space="preserve"> Complaints which </w:t>
      </w:r>
      <w:r w:rsidR="00790B37" w:rsidRPr="00607C6F">
        <w:rPr>
          <w:sz w:val="20"/>
          <w:szCs w:val="20"/>
          <w:lang w:val="en-GB"/>
        </w:rPr>
        <w:t xml:space="preserve">CRPD </w:t>
      </w:r>
      <w:r w:rsidR="00C852F5" w:rsidRPr="00607C6F">
        <w:rPr>
          <w:sz w:val="20"/>
          <w:szCs w:val="20"/>
          <w:lang w:val="en-GB"/>
        </w:rPr>
        <w:t>investigates 269</w:t>
      </w:r>
      <w:r w:rsidRPr="00607C6F">
        <w:rPr>
          <w:sz w:val="20"/>
          <w:szCs w:val="20"/>
          <w:lang w:val="en-GB"/>
        </w:rPr>
        <w:t xml:space="preserve"> (44.67%) were sent by men, 330 (55%) were sent by women while 2 were sent by X gender (0.33%). </w:t>
      </w:r>
    </w:p>
  </w:footnote>
  <w:footnote w:id="35">
    <w:p w14:paraId="430FCC48" w14:textId="2143850E" w:rsidR="007C7FBF" w:rsidRPr="00607C6F" w:rsidRDefault="007C7FBF" w:rsidP="004D53A0">
      <w:pPr>
        <w:pStyle w:val="CommentText"/>
        <w:rPr>
          <w:lang w:val="en-GB"/>
        </w:rPr>
      </w:pPr>
      <w:r w:rsidRPr="00607C6F">
        <w:rPr>
          <w:rStyle w:val="FootnoteReference"/>
          <w:lang w:val="en-GB"/>
        </w:rPr>
        <w:footnoteRef/>
      </w:r>
      <w:r w:rsidRPr="00607C6F">
        <w:rPr>
          <w:lang w:val="en-GB"/>
        </w:rPr>
        <w:t xml:space="preserve"> Equinet, </w:t>
      </w:r>
      <w:hyperlink r:id="rId25" w:history="1">
        <w:r w:rsidRPr="00607C6F">
          <w:rPr>
            <w:rStyle w:val="Hyperlink"/>
            <w:lang w:val="en-GB"/>
          </w:rPr>
          <w:t>Women in Poverty: Breaking the Cycle</w:t>
        </w:r>
      </w:hyperlink>
      <w:r w:rsidRPr="00607C6F">
        <w:rPr>
          <w:lang w:val="en-GB"/>
        </w:rPr>
        <w:t xml:space="preserve"> </w:t>
      </w:r>
      <w:r w:rsidR="002F2938">
        <w:rPr>
          <w:lang w:val="en-GB"/>
        </w:rPr>
        <w:t>(</w:t>
      </w:r>
      <w:r w:rsidRPr="00607C6F">
        <w:rPr>
          <w:lang w:val="en-GB"/>
        </w:rPr>
        <w:t>2020</w:t>
      </w:r>
      <w:r w:rsidR="002F2938">
        <w:rPr>
          <w:lang w:val="en-GB"/>
        </w:rPr>
        <w:t>)</w:t>
      </w:r>
      <w:r w:rsidRPr="00607C6F">
        <w:rPr>
          <w:lang w:val="en-GB"/>
        </w:rPr>
        <w:t xml:space="preserve"> page 14 para 2</w:t>
      </w:r>
    </w:p>
  </w:footnote>
  <w:footnote w:id="36">
    <w:p w14:paraId="188F84D0" w14:textId="4132EFD2" w:rsidR="007C7FBF" w:rsidRPr="00607C6F" w:rsidRDefault="007C7FBF" w:rsidP="004D53A0">
      <w:pPr>
        <w:pStyle w:val="CommentText"/>
        <w:rPr>
          <w:lang w:val="en-GB"/>
        </w:rPr>
      </w:pPr>
      <w:r w:rsidRPr="00607C6F">
        <w:rPr>
          <w:rStyle w:val="FootnoteReference"/>
          <w:lang w:val="en-GB"/>
        </w:rPr>
        <w:footnoteRef/>
      </w:r>
      <w:r w:rsidRPr="00607C6F">
        <w:rPr>
          <w:lang w:val="en-GB"/>
        </w:rPr>
        <w:t xml:space="preserve"> Equinet, </w:t>
      </w:r>
      <w:hyperlink r:id="rId26" w:history="1">
        <w:r w:rsidRPr="00607C6F">
          <w:rPr>
            <w:rStyle w:val="Hyperlink"/>
            <w:lang w:val="en-GB"/>
          </w:rPr>
          <w:t>Women in Poverty: Breaking the Cycle</w:t>
        </w:r>
      </w:hyperlink>
      <w:r w:rsidRPr="00607C6F">
        <w:rPr>
          <w:lang w:val="en-GB"/>
        </w:rPr>
        <w:t xml:space="preserve"> </w:t>
      </w:r>
      <w:r w:rsidR="002F2938">
        <w:rPr>
          <w:lang w:val="en-GB"/>
        </w:rPr>
        <w:t>(</w:t>
      </w:r>
      <w:r w:rsidRPr="00607C6F">
        <w:rPr>
          <w:lang w:val="en-GB"/>
        </w:rPr>
        <w:t>2020</w:t>
      </w:r>
      <w:r w:rsidR="002F2938">
        <w:rPr>
          <w:lang w:val="en-GB"/>
        </w:rPr>
        <w:t>)</w:t>
      </w:r>
      <w:r w:rsidRPr="00607C6F">
        <w:rPr>
          <w:lang w:val="en-GB"/>
        </w:rPr>
        <w:t xml:space="preserve"> </w:t>
      </w:r>
      <w:r w:rsidRPr="00607C6F">
        <w:rPr>
          <w:rStyle w:val="Hyperlink"/>
          <w:color w:val="auto"/>
          <w:u w:val="none"/>
          <w:lang w:val="en-GB"/>
        </w:rPr>
        <w:t>p</w:t>
      </w:r>
      <w:r w:rsidRPr="00607C6F">
        <w:rPr>
          <w:lang w:val="en-GB"/>
        </w:rPr>
        <w:t>age 19 para 5</w:t>
      </w:r>
    </w:p>
  </w:footnote>
  <w:footnote w:id="37">
    <w:p w14:paraId="1D83C712" w14:textId="32156411" w:rsidR="007C7FBF" w:rsidRPr="00607C6F" w:rsidRDefault="007C7FBF" w:rsidP="004D53A0">
      <w:pPr>
        <w:pStyle w:val="CommentText"/>
        <w:rPr>
          <w:lang w:val="en-GB"/>
        </w:rPr>
      </w:pPr>
      <w:r w:rsidRPr="00607C6F">
        <w:rPr>
          <w:rStyle w:val="FootnoteReference"/>
          <w:lang w:val="en-GB"/>
        </w:rPr>
        <w:footnoteRef/>
      </w:r>
      <w:r w:rsidRPr="00607C6F">
        <w:rPr>
          <w:lang w:val="en-GB"/>
        </w:rPr>
        <w:t xml:space="preserve"> Equinet, </w:t>
      </w:r>
      <w:hyperlink r:id="rId27" w:history="1">
        <w:r w:rsidRPr="00607C6F">
          <w:rPr>
            <w:rStyle w:val="Hyperlink"/>
            <w:lang w:val="en-GB"/>
          </w:rPr>
          <w:t>Women in Poverty: Breaking the Cycle</w:t>
        </w:r>
      </w:hyperlink>
      <w:r w:rsidRPr="00607C6F">
        <w:rPr>
          <w:lang w:val="en-GB"/>
        </w:rPr>
        <w:t xml:space="preserve"> </w:t>
      </w:r>
      <w:r w:rsidR="002F2938">
        <w:rPr>
          <w:lang w:val="en-GB"/>
        </w:rPr>
        <w:t>(</w:t>
      </w:r>
      <w:r w:rsidRPr="00607C6F">
        <w:rPr>
          <w:lang w:val="en-GB"/>
        </w:rPr>
        <w:t>2020</w:t>
      </w:r>
      <w:r w:rsidR="002F2938">
        <w:rPr>
          <w:lang w:val="en-GB"/>
        </w:rPr>
        <w:t>)</w:t>
      </w:r>
      <w:r w:rsidRPr="00607C6F">
        <w:rPr>
          <w:lang w:val="en-GB"/>
        </w:rPr>
        <w:t xml:space="preserve"> </w:t>
      </w:r>
      <w:r w:rsidRPr="00607C6F">
        <w:rPr>
          <w:rStyle w:val="Hyperlink"/>
          <w:color w:val="auto"/>
          <w:u w:val="none"/>
          <w:lang w:val="en-GB"/>
        </w:rPr>
        <w:t>p</w:t>
      </w:r>
      <w:r w:rsidRPr="00607C6F">
        <w:rPr>
          <w:lang w:val="en-GB"/>
        </w:rPr>
        <w:t>age 12 para 2</w:t>
      </w:r>
    </w:p>
  </w:footnote>
  <w:footnote w:id="38">
    <w:p w14:paraId="6B00DA54" w14:textId="77777777" w:rsidR="00C91713" w:rsidRPr="00607C6F" w:rsidRDefault="00C91713" w:rsidP="00C91713">
      <w:pPr>
        <w:pStyle w:val="FootnoteText"/>
        <w:rPr>
          <w:lang w:val="en-GB"/>
        </w:rPr>
      </w:pPr>
      <w:r w:rsidRPr="00607C6F">
        <w:rPr>
          <w:rStyle w:val="FootnoteReference"/>
          <w:lang w:val="en-GB"/>
        </w:rPr>
        <w:footnoteRef/>
      </w:r>
      <w:r w:rsidRPr="00607C6F">
        <w:rPr>
          <w:lang w:val="en-GB"/>
        </w:rPr>
        <w:t xml:space="preserve"> In relation to trans persons with disabilities, see: Transgender Europe, </w:t>
      </w:r>
      <w:hyperlink r:id="rId28" w:history="1">
        <w:r w:rsidRPr="00607C6F">
          <w:rPr>
            <w:rStyle w:val="Hyperlink"/>
            <w:lang w:val="en-GB"/>
          </w:rPr>
          <w:t>Oppression Squared: D/deaf and disabled trans experiences in Europe</w:t>
        </w:r>
      </w:hyperlink>
    </w:p>
  </w:footnote>
  <w:footnote w:id="39">
    <w:p w14:paraId="406E0B78" w14:textId="1F56154C" w:rsidR="00C91713" w:rsidRPr="00607C6F" w:rsidRDefault="00C91713">
      <w:pPr>
        <w:pStyle w:val="FootnoteText"/>
        <w:rPr>
          <w:lang w:val="en-GB"/>
        </w:rPr>
      </w:pPr>
      <w:r w:rsidRPr="00607C6F">
        <w:rPr>
          <w:rStyle w:val="FootnoteReference"/>
          <w:lang w:val="en-GB"/>
        </w:rPr>
        <w:footnoteRef/>
      </w:r>
      <w:r w:rsidRPr="00607C6F">
        <w:rPr>
          <w:lang w:val="en-GB"/>
        </w:rPr>
        <w:t xml:space="preserve"> Although trans people are referred to in the preamble of the </w:t>
      </w:r>
      <w:hyperlink r:id="rId29" w:history="1">
        <w:r w:rsidRPr="00607C6F">
          <w:rPr>
            <w:rStyle w:val="Hyperlink"/>
            <w:lang w:val="en-GB"/>
          </w:rPr>
          <w:t>Gender Recast Directive</w:t>
        </w:r>
      </w:hyperlink>
      <w:r w:rsidRPr="00607C6F">
        <w:rPr>
          <w:lang w:val="en-GB"/>
        </w:rPr>
        <w:t xml:space="preserve"> insofar as “discrimination arising from the gender reassignment of a person”.</w:t>
      </w:r>
    </w:p>
  </w:footnote>
  <w:footnote w:id="40">
    <w:p w14:paraId="787ED371" w14:textId="3108DD10" w:rsidR="0005406C" w:rsidRPr="00607C6F" w:rsidRDefault="0005406C">
      <w:pPr>
        <w:pStyle w:val="FootnoteText"/>
        <w:rPr>
          <w:lang w:val="en-GB"/>
        </w:rPr>
      </w:pPr>
      <w:r w:rsidRPr="00607C6F">
        <w:rPr>
          <w:rStyle w:val="FootnoteReference"/>
          <w:lang w:val="en-GB"/>
        </w:rPr>
        <w:footnoteRef/>
      </w:r>
      <w:r w:rsidRPr="00607C6F">
        <w:rPr>
          <w:lang w:val="en-GB"/>
        </w:rPr>
        <w:t xml:space="preserve"> TGEU, Paulie Amanita Calderon-Cifuentes (forthcoming), Trans Discrimination in Europe. A TGEU analysis of the FRA LGBTIQ Survey 2019, page 29.</w:t>
      </w:r>
    </w:p>
  </w:footnote>
  <w:footnote w:id="41">
    <w:p w14:paraId="41A61C76" w14:textId="1CE89762" w:rsidR="00F800B2" w:rsidRPr="00607C6F" w:rsidRDefault="00F800B2">
      <w:pPr>
        <w:pStyle w:val="FootnoteText"/>
        <w:rPr>
          <w:lang w:val="en-GB"/>
        </w:rPr>
      </w:pPr>
      <w:r w:rsidRPr="00607C6F">
        <w:rPr>
          <w:rStyle w:val="FootnoteReference"/>
          <w:lang w:val="en-GB"/>
        </w:rPr>
        <w:footnoteRef/>
      </w:r>
      <w:r w:rsidRPr="00607C6F">
        <w:rPr>
          <w:lang w:val="en-GB"/>
        </w:rPr>
        <w:t xml:space="preserve"> TGEU, </w:t>
      </w:r>
      <w:hyperlink r:id="rId30" w:history="1">
        <w:r w:rsidRPr="00607C6F">
          <w:rPr>
            <w:rStyle w:val="Hyperlink"/>
            <w:lang w:val="en-GB"/>
          </w:rPr>
          <w:t>COVID-19 impact assessment</w:t>
        </w:r>
      </w:hyperlink>
      <w:r w:rsidR="002F2938">
        <w:rPr>
          <w:rStyle w:val="Hyperlink"/>
          <w:lang w:val="en-GB"/>
        </w:rPr>
        <w:t xml:space="preserve"> (2021)</w:t>
      </w:r>
      <w:r w:rsidRPr="00607C6F">
        <w:rPr>
          <w:lang w:val="en-GB"/>
        </w:rPr>
        <w:t xml:space="preserve">, pages 12 and 13. </w:t>
      </w:r>
    </w:p>
  </w:footnote>
  <w:footnote w:id="42">
    <w:p w14:paraId="7FA13E25" w14:textId="4C8AAC9A" w:rsidR="00E42AA1" w:rsidRPr="00607C6F" w:rsidRDefault="00E42AA1" w:rsidP="00E42AA1">
      <w:pPr>
        <w:pStyle w:val="FootnoteText"/>
        <w:rPr>
          <w:lang w:val="en-GB"/>
        </w:rPr>
      </w:pPr>
      <w:r w:rsidRPr="00607C6F">
        <w:rPr>
          <w:rStyle w:val="FootnoteReference"/>
          <w:lang w:val="en-GB"/>
        </w:rPr>
        <w:footnoteRef/>
      </w:r>
      <w:r w:rsidRPr="00607C6F">
        <w:rPr>
          <w:lang w:val="en-GB"/>
        </w:rPr>
        <w:t xml:space="preserve"> UN Expert Group Meeting on Supporting Autonomy and Independency of Older Persons with Disabilities (25-26 October 2017), Summary Note, page 6.</w:t>
      </w:r>
    </w:p>
  </w:footnote>
  <w:footnote w:id="43">
    <w:p w14:paraId="0DBFC3C1" w14:textId="2613909F" w:rsidR="00E42AA1" w:rsidRPr="00607C6F" w:rsidRDefault="00E42AA1">
      <w:pPr>
        <w:pStyle w:val="FootnoteText"/>
        <w:rPr>
          <w:lang w:val="en-GB"/>
        </w:rPr>
      </w:pPr>
      <w:r w:rsidRPr="00607C6F">
        <w:rPr>
          <w:rStyle w:val="FootnoteReference"/>
          <w:lang w:val="en-GB"/>
        </w:rPr>
        <w:footnoteRef/>
      </w:r>
      <w:r w:rsidRPr="00607C6F">
        <w:rPr>
          <w:lang w:val="en-GB"/>
        </w:rPr>
        <w:t xml:space="preserve"> AGE Platform Europe, </w:t>
      </w:r>
      <w:hyperlink r:id="rId31" w:history="1">
        <w:r w:rsidRPr="00607C6F">
          <w:rPr>
            <w:rStyle w:val="Hyperlink"/>
            <w:lang w:val="en-GB"/>
          </w:rPr>
          <w:t>Draft Outline of General Comment on Article 5 Equality &amp; Non-Discrimination</w:t>
        </w:r>
      </w:hyperlink>
      <w:r w:rsidRPr="00607C6F">
        <w:rPr>
          <w:lang w:val="en-GB"/>
        </w:rPr>
        <w:t xml:space="preserve"> (2017)</w:t>
      </w:r>
    </w:p>
  </w:footnote>
  <w:footnote w:id="44">
    <w:p w14:paraId="3A2AB205" w14:textId="010CC983" w:rsidR="00A16061" w:rsidRPr="00607C6F" w:rsidRDefault="00A16061">
      <w:pPr>
        <w:pStyle w:val="FootnoteText"/>
        <w:rPr>
          <w:lang w:val="en-GB"/>
        </w:rPr>
      </w:pPr>
      <w:r w:rsidRPr="00607C6F">
        <w:rPr>
          <w:rStyle w:val="FootnoteReference"/>
          <w:lang w:val="en-GB"/>
        </w:rPr>
        <w:footnoteRef/>
      </w:r>
      <w:r w:rsidRPr="00607C6F">
        <w:rPr>
          <w:lang w:val="en-GB"/>
        </w:rPr>
        <w:t xml:space="preserve"> See EDF, </w:t>
      </w:r>
      <w:hyperlink r:id="rId32" w:history="1">
        <w:r w:rsidRPr="00607C6F">
          <w:rPr>
            <w:rStyle w:val="Hyperlink"/>
            <w:lang w:val="en-GB"/>
          </w:rPr>
          <w:t>Human Rights Report on the impact of COVID-19 on persons with disabilities</w:t>
        </w:r>
      </w:hyperlink>
      <w:r w:rsidRPr="00607C6F">
        <w:rPr>
          <w:lang w:val="en-GB"/>
        </w:rPr>
        <w:t xml:space="preserve"> (2021), Chapter on multiple and intersectional forms of discrimination and disadvantage</w:t>
      </w:r>
    </w:p>
  </w:footnote>
  <w:footnote w:id="45">
    <w:p w14:paraId="6C24F547" w14:textId="32396E47" w:rsidR="002D7C25" w:rsidRPr="00B027B0" w:rsidRDefault="002D7C25">
      <w:pPr>
        <w:pStyle w:val="FootnoteText"/>
        <w:rPr>
          <w:lang w:val="fr-BE"/>
        </w:rPr>
      </w:pPr>
      <w:r w:rsidRPr="00607C6F">
        <w:rPr>
          <w:rStyle w:val="FootnoteReference"/>
          <w:lang w:val="en-GB"/>
        </w:rPr>
        <w:footnoteRef/>
      </w:r>
      <w:r w:rsidRPr="00B027B0">
        <w:rPr>
          <w:lang w:val="fr-BE"/>
        </w:rPr>
        <w:t xml:space="preserve"> See UN Special Rapporteur </w:t>
      </w:r>
      <w:r w:rsidR="00790B37" w:rsidRPr="00B027B0">
        <w:rPr>
          <w:lang w:val="fr-BE"/>
        </w:rPr>
        <w:t>report:</w:t>
      </w:r>
      <w:r w:rsidRPr="00B027B0">
        <w:rPr>
          <w:lang w:val="fr-BE"/>
        </w:rPr>
        <w:t xml:space="preserve"> </w:t>
      </w:r>
      <w:hyperlink r:id="rId33" w:history="1">
        <w:r w:rsidRPr="00B027B0">
          <w:rPr>
            <w:rStyle w:val="Hyperlink"/>
            <w:lang w:val="fr-BE"/>
          </w:rPr>
          <w:t>https://www.ohchr.org/EN/Issues/Disability/SRDisabilities/Pages/SupportingTheAutonomyOlderPersons.aspx</w:t>
        </w:r>
      </w:hyperlink>
    </w:p>
  </w:footnote>
  <w:footnote w:id="46">
    <w:p w14:paraId="41FCEE45" w14:textId="03588EAD" w:rsidR="00E80FB5" w:rsidRPr="00607C6F" w:rsidRDefault="00E80FB5">
      <w:pPr>
        <w:pStyle w:val="FootnoteText"/>
        <w:rPr>
          <w:lang w:val="en-GB"/>
        </w:rPr>
      </w:pPr>
      <w:r w:rsidRPr="00607C6F">
        <w:rPr>
          <w:rStyle w:val="FootnoteReference"/>
          <w:lang w:val="en-GB"/>
        </w:rPr>
        <w:footnoteRef/>
      </w:r>
      <w:r w:rsidRPr="00607C6F">
        <w:rPr>
          <w:lang w:val="en-GB"/>
        </w:rPr>
        <w:t xml:space="preserve"> See Report of UN Independent Expert: Human rights of older persons: The Data Gap Conundrum: </w:t>
      </w:r>
      <w:hyperlink r:id="rId34" w:history="1">
        <w:r w:rsidRPr="00607C6F">
          <w:rPr>
            <w:rStyle w:val="Hyperlink"/>
            <w:lang w:val="en-GB"/>
          </w:rPr>
          <w:t>https://www.ohchr.org/EN/Issues/OlderPersons/IE/Pages/Reports.aspx</w:t>
        </w:r>
      </w:hyperlink>
      <w:r w:rsidRPr="00607C6F">
        <w:rPr>
          <w:lang w:val="en-GB"/>
        </w:rPr>
        <w:t> </w:t>
      </w:r>
    </w:p>
  </w:footnote>
  <w:footnote w:id="47">
    <w:p w14:paraId="2FEAA88B" w14:textId="34247E23" w:rsidR="00FD6FD7" w:rsidRPr="00607C6F" w:rsidRDefault="00FD6FD7" w:rsidP="00FD6FD7">
      <w:pPr>
        <w:pStyle w:val="CommentText"/>
        <w:rPr>
          <w:lang w:val="en-GB"/>
        </w:rPr>
      </w:pPr>
      <w:r w:rsidRPr="00607C6F">
        <w:rPr>
          <w:rStyle w:val="FootnoteReference"/>
          <w:lang w:val="en-GB"/>
        </w:rPr>
        <w:footnoteRef/>
      </w:r>
      <w:r w:rsidRPr="00607C6F">
        <w:rPr>
          <w:lang w:val="en-GB"/>
        </w:rPr>
        <w:t xml:space="preserve"> Equinet, </w:t>
      </w:r>
      <w:hyperlink r:id="rId35" w:history="1">
        <w:r w:rsidRPr="00607C6F">
          <w:rPr>
            <w:rStyle w:val="Hyperlink"/>
            <w:lang w:val="en-GB"/>
          </w:rPr>
          <w:t>11 Recommendations for a fair and equal Europe: Rebuilding our Societies after Covid-19</w:t>
        </w:r>
      </w:hyperlink>
      <w:r w:rsidRPr="00607C6F">
        <w:rPr>
          <w:lang w:val="en-GB"/>
        </w:rPr>
        <w:t xml:space="preserve"> </w:t>
      </w:r>
      <w:r w:rsidR="003E59DC">
        <w:rPr>
          <w:lang w:val="en-GB"/>
        </w:rPr>
        <w:t>(</w:t>
      </w:r>
      <w:r w:rsidRPr="00607C6F">
        <w:rPr>
          <w:lang w:val="en-GB"/>
        </w:rPr>
        <w:t>2020</w:t>
      </w:r>
      <w:r w:rsidR="003E59DC">
        <w:rPr>
          <w:lang w:val="en-GB"/>
        </w:rPr>
        <w:t>)</w:t>
      </w:r>
      <w:r w:rsidRPr="00607C6F">
        <w:rPr>
          <w:lang w:val="en-GB"/>
        </w:rPr>
        <w:t xml:space="preserve"> page 3 para 3</w:t>
      </w:r>
    </w:p>
  </w:footnote>
  <w:footnote w:id="48">
    <w:p w14:paraId="787ACBD5" w14:textId="7D1EAD4E" w:rsidR="00C667A5" w:rsidRPr="00607C6F" w:rsidRDefault="00C667A5">
      <w:pPr>
        <w:pStyle w:val="FootnoteText"/>
        <w:rPr>
          <w:lang w:val="en-GB"/>
        </w:rPr>
      </w:pPr>
      <w:r w:rsidRPr="00607C6F">
        <w:rPr>
          <w:rStyle w:val="FootnoteReference"/>
          <w:lang w:val="en-GB"/>
        </w:rPr>
        <w:footnoteRef/>
      </w:r>
      <w:r w:rsidRPr="00607C6F">
        <w:rPr>
          <w:lang w:val="en-GB"/>
        </w:rPr>
        <w:t xml:space="preserve"> AGE Platform, </w:t>
      </w:r>
      <w:hyperlink r:id="rId36" w:history="1">
        <w:r w:rsidRPr="00607C6F">
          <w:rPr>
            <w:rStyle w:val="Hyperlink"/>
            <w:lang w:val="en-GB"/>
          </w:rPr>
          <w:t>Green Paper on Ageing: There is no solidarity without equality!</w:t>
        </w:r>
      </w:hyperlink>
      <w:r w:rsidRPr="00607C6F">
        <w:rPr>
          <w:lang w:val="en-GB"/>
        </w:rPr>
        <w:t xml:space="preserve"> (2021)</w:t>
      </w:r>
    </w:p>
  </w:footnote>
  <w:footnote w:id="49">
    <w:p w14:paraId="0B68660B" w14:textId="5D967949" w:rsidR="007C7FBF" w:rsidRPr="00607C6F" w:rsidRDefault="007C7FBF" w:rsidP="004D53A0">
      <w:pPr>
        <w:spacing w:line="240" w:lineRule="auto"/>
        <w:rPr>
          <w:sz w:val="20"/>
          <w:szCs w:val="20"/>
          <w:lang w:val="en-GB"/>
        </w:rPr>
      </w:pPr>
      <w:r w:rsidRPr="00607C6F">
        <w:rPr>
          <w:rStyle w:val="FootnoteReference"/>
          <w:sz w:val="20"/>
          <w:szCs w:val="20"/>
          <w:lang w:val="en-GB"/>
        </w:rPr>
        <w:footnoteRef/>
      </w:r>
      <w:r w:rsidRPr="00607C6F">
        <w:rPr>
          <w:sz w:val="20"/>
          <w:szCs w:val="20"/>
          <w:lang w:val="en-GB"/>
        </w:rPr>
        <w:t xml:space="preserve"> Equinet, </w:t>
      </w:r>
      <w:hyperlink r:id="rId37" w:history="1">
        <w:r w:rsidRPr="00607C6F">
          <w:rPr>
            <w:rStyle w:val="Hyperlink"/>
            <w:sz w:val="20"/>
            <w:szCs w:val="20"/>
            <w:lang w:val="en-GB"/>
          </w:rPr>
          <w:t>Fighting Discrimination on the Ground of Race and Ethnic Origin</w:t>
        </w:r>
      </w:hyperlink>
      <w:r w:rsidR="00C667A5" w:rsidRPr="00607C6F">
        <w:rPr>
          <w:sz w:val="20"/>
          <w:szCs w:val="20"/>
          <w:lang w:val="en-GB"/>
        </w:rPr>
        <w:t xml:space="preserve"> (</w:t>
      </w:r>
      <w:r w:rsidRPr="00607C6F">
        <w:rPr>
          <w:sz w:val="20"/>
          <w:szCs w:val="20"/>
          <w:lang w:val="en-GB"/>
        </w:rPr>
        <w:t>2016</w:t>
      </w:r>
      <w:r w:rsidR="00C667A5" w:rsidRPr="00607C6F">
        <w:rPr>
          <w:sz w:val="20"/>
          <w:szCs w:val="20"/>
          <w:lang w:val="en-GB"/>
        </w:rPr>
        <w:t>)</w:t>
      </w:r>
      <w:r w:rsidRPr="00607C6F">
        <w:rPr>
          <w:sz w:val="20"/>
          <w:szCs w:val="20"/>
          <w:lang w:val="en-GB"/>
        </w:rPr>
        <w:t>, page 6, para 6</w:t>
      </w:r>
    </w:p>
  </w:footnote>
  <w:footnote w:id="50">
    <w:p w14:paraId="023190FC" w14:textId="1A36C189" w:rsidR="004B0646" w:rsidRPr="00607C6F" w:rsidRDefault="004B0646">
      <w:pPr>
        <w:pStyle w:val="FootnoteText"/>
        <w:rPr>
          <w:lang w:val="en-GB"/>
        </w:rPr>
      </w:pPr>
      <w:r w:rsidRPr="00607C6F">
        <w:rPr>
          <w:rStyle w:val="FootnoteReference"/>
          <w:lang w:val="en-GB"/>
        </w:rPr>
        <w:footnoteRef/>
      </w:r>
      <w:r w:rsidRPr="00607C6F">
        <w:rPr>
          <w:lang w:val="en-GB"/>
        </w:rPr>
        <w:t xml:space="preserve"> Find more information about their work at: </w:t>
      </w:r>
      <w:hyperlink r:id="rId38" w:history="1">
        <w:r w:rsidRPr="00607C6F">
          <w:rPr>
            <w:rStyle w:val="Hyperlink"/>
            <w:lang w:val="en-GB"/>
          </w:rPr>
          <w:t>https://www.brap.org.uk/</w:t>
        </w:r>
      </w:hyperlink>
      <w:r w:rsidRPr="00607C6F">
        <w:rPr>
          <w:lang w:val="en-GB"/>
        </w:rPr>
        <w:t xml:space="preserve">. </w:t>
      </w:r>
    </w:p>
  </w:footnote>
  <w:footnote w:id="51">
    <w:p w14:paraId="5A058EEA" w14:textId="52EAD721" w:rsidR="004B0646" w:rsidRPr="00607C6F" w:rsidRDefault="004B0646">
      <w:pPr>
        <w:pStyle w:val="FootnoteText"/>
        <w:rPr>
          <w:lang w:val="en-GB"/>
        </w:rPr>
      </w:pPr>
      <w:r w:rsidRPr="00607C6F">
        <w:rPr>
          <w:rStyle w:val="FootnoteReference"/>
          <w:lang w:val="en-GB"/>
        </w:rPr>
        <w:footnoteRef/>
      </w:r>
      <w:r w:rsidRPr="00607C6F">
        <w:rPr>
          <w:lang w:val="en-GB"/>
        </w:rPr>
        <w:t xml:space="preserve"> BRAP, </w:t>
      </w:r>
      <w:hyperlink r:id="rId39" w:history="1">
        <w:r w:rsidRPr="00607C6F">
          <w:rPr>
            <w:rStyle w:val="Hyperlink"/>
            <w:lang w:val="en-GB"/>
          </w:rPr>
          <w:t>Improving mental health for BME communities: an event report</w:t>
        </w:r>
      </w:hyperlink>
      <w:r w:rsidRPr="00607C6F">
        <w:rPr>
          <w:lang w:val="en-GB"/>
        </w:rPr>
        <w:t xml:space="preserve">, page 3. </w:t>
      </w:r>
      <w:r w:rsidR="006B3DA7" w:rsidRPr="00607C6F">
        <w:rPr>
          <w:lang w:val="en-GB"/>
        </w:rPr>
        <w:t xml:space="preserve"> </w:t>
      </w:r>
    </w:p>
  </w:footnote>
  <w:footnote w:id="52">
    <w:p w14:paraId="3FD9B395" w14:textId="6CC6A8E8" w:rsidR="004B0646" w:rsidRPr="00607C6F" w:rsidRDefault="004B0646">
      <w:pPr>
        <w:pStyle w:val="FootnoteText"/>
        <w:rPr>
          <w:lang w:val="en-GB"/>
        </w:rPr>
      </w:pPr>
      <w:r w:rsidRPr="00607C6F">
        <w:rPr>
          <w:rStyle w:val="FootnoteReference"/>
          <w:lang w:val="en-GB"/>
        </w:rPr>
        <w:footnoteRef/>
      </w:r>
      <w:r w:rsidRPr="00607C6F">
        <w:rPr>
          <w:lang w:val="en-GB"/>
        </w:rPr>
        <w:t xml:space="preserve"> Mental Health Foundation, </w:t>
      </w:r>
      <w:hyperlink r:id="rId40" w:history="1">
        <w:r w:rsidRPr="00607C6F">
          <w:rPr>
            <w:rStyle w:val="Hyperlink"/>
            <w:lang w:val="en-GB"/>
          </w:rPr>
          <w:t>Recovery and resilience: African, African-Caribbean and South Asian women’s narratives of recovering from mental distress</w:t>
        </w:r>
      </w:hyperlink>
    </w:p>
  </w:footnote>
  <w:footnote w:id="53">
    <w:p w14:paraId="7B9F69E3" w14:textId="2F9F7740" w:rsidR="00097442" w:rsidRPr="00607C6F" w:rsidRDefault="00097442">
      <w:pPr>
        <w:pStyle w:val="FootnoteText"/>
        <w:rPr>
          <w:lang w:val="en-GB"/>
        </w:rPr>
      </w:pPr>
      <w:r w:rsidRPr="00607C6F">
        <w:rPr>
          <w:rStyle w:val="FootnoteReference"/>
          <w:lang w:val="en-GB"/>
        </w:rPr>
        <w:footnoteRef/>
      </w:r>
      <w:r w:rsidRPr="00607C6F">
        <w:rPr>
          <w:lang w:val="en-GB"/>
        </w:rPr>
        <w:t xml:space="preserve"> </w:t>
      </w:r>
      <w:bookmarkStart w:id="59" w:name="_Hlk93673379"/>
      <w:r w:rsidRPr="00607C6F">
        <w:rPr>
          <w:lang w:val="en-GB"/>
        </w:rPr>
        <w:t xml:space="preserve">See </w:t>
      </w:r>
      <w:hyperlink r:id="rId41" w:history="1">
        <w:r w:rsidRPr="00607C6F">
          <w:rPr>
            <w:rStyle w:val="Hyperlink"/>
            <w:lang w:val="en-GB"/>
          </w:rPr>
          <w:t>EDF position paper on hate speech and hate crime</w:t>
        </w:r>
      </w:hyperlink>
      <w:r w:rsidRPr="00607C6F">
        <w:rPr>
          <w:lang w:val="en-GB"/>
        </w:rPr>
        <w:t xml:space="preserve"> (2021</w:t>
      </w:r>
      <w:bookmarkEnd w:id="59"/>
      <w:r w:rsidRPr="00607C6F">
        <w:rPr>
          <w:lang w:val="en-GB"/>
        </w:rPr>
        <w:t>).</w:t>
      </w:r>
    </w:p>
  </w:footnote>
  <w:footnote w:id="54">
    <w:p w14:paraId="535CBECD" w14:textId="0A3C27C2" w:rsidR="007C7FBF" w:rsidRPr="00607C6F" w:rsidRDefault="007C7FBF" w:rsidP="004D53A0">
      <w:pPr>
        <w:pStyle w:val="FootnoteText"/>
        <w:rPr>
          <w:lang w:val="en-GB"/>
        </w:rPr>
      </w:pPr>
      <w:r w:rsidRPr="00607C6F">
        <w:rPr>
          <w:rStyle w:val="FootnoteReference"/>
          <w:lang w:val="en-GB"/>
        </w:rPr>
        <w:footnoteRef/>
      </w:r>
      <w:r w:rsidRPr="00607C6F">
        <w:rPr>
          <w:lang w:val="en-GB"/>
        </w:rPr>
        <w:t xml:space="preserve"> Al Jumard v Clywd Leisure Ltd 2008 IRLR 345</w:t>
      </w:r>
    </w:p>
  </w:footnote>
  <w:footnote w:id="55">
    <w:p w14:paraId="10FFCFD9" w14:textId="1E2CEDFC" w:rsidR="007C7FBF" w:rsidRPr="00607C6F" w:rsidRDefault="007C7FBF" w:rsidP="004D53A0">
      <w:pPr>
        <w:pStyle w:val="FootnoteText"/>
        <w:rPr>
          <w:lang w:val="en-GB"/>
        </w:rPr>
      </w:pPr>
      <w:r w:rsidRPr="00607C6F">
        <w:rPr>
          <w:rStyle w:val="FootnoteReference"/>
          <w:lang w:val="en-GB"/>
        </w:rPr>
        <w:footnoteRef/>
      </w:r>
      <w:r w:rsidRPr="00607C6F">
        <w:rPr>
          <w:lang w:val="en-GB"/>
        </w:rPr>
        <w:t xml:space="preserve"> Equinet, </w:t>
      </w:r>
      <w:hyperlink r:id="rId42" w:history="1">
        <w:r w:rsidRPr="00607C6F">
          <w:rPr>
            <w:rStyle w:val="Hyperlink"/>
            <w:lang w:val="en-GB"/>
          </w:rPr>
          <w:t>Fighting Discrimination on the Ground of Race and Ethnic Origin</w:t>
        </w:r>
      </w:hyperlink>
      <w:r w:rsidRPr="00607C6F">
        <w:rPr>
          <w:lang w:val="en-GB"/>
        </w:rPr>
        <w:t xml:space="preserve"> </w:t>
      </w:r>
      <w:r w:rsidR="00D716A9">
        <w:rPr>
          <w:lang w:val="en-GB"/>
        </w:rPr>
        <w:t>(</w:t>
      </w:r>
      <w:r w:rsidRPr="00607C6F">
        <w:rPr>
          <w:lang w:val="en-GB"/>
        </w:rPr>
        <w:t>2016</w:t>
      </w:r>
      <w:r w:rsidR="00D716A9">
        <w:rPr>
          <w:lang w:val="en-GB"/>
        </w:rPr>
        <w:t>)</w:t>
      </w:r>
      <w:r w:rsidRPr="00607C6F">
        <w:rPr>
          <w:lang w:val="en-GB"/>
        </w:rPr>
        <w:t>, page 25, para 1</w:t>
      </w:r>
    </w:p>
  </w:footnote>
  <w:footnote w:id="56">
    <w:p w14:paraId="45CDD0A8" w14:textId="0076F726" w:rsidR="00B62541" w:rsidRPr="00607C6F" w:rsidRDefault="00B62541">
      <w:pPr>
        <w:pStyle w:val="FootnoteText"/>
        <w:rPr>
          <w:lang w:val="en-GB"/>
        </w:rPr>
      </w:pPr>
      <w:r w:rsidRPr="00607C6F">
        <w:rPr>
          <w:rStyle w:val="FootnoteReference"/>
          <w:lang w:val="en-GB"/>
        </w:rPr>
        <w:footnoteRef/>
      </w:r>
      <w:r w:rsidRPr="00607C6F">
        <w:rPr>
          <w:lang w:val="en-GB"/>
        </w:rPr>
        <w:t xml:space="preserve"> The Equality Authority and the Irish Human Rights Commission (now merged as the Irish Human Rights and Equality Commission and CRPD article 33.2 monitoring mechanism), the Equality Commission for Northern Ireland and the Northern Ireland Human Rights Commission, the Disability Rights Commission, Commission for Racial Equality and Equal Opportunities Commission in Britain (now merged as the Equality and Human Rights Commission).</w:t>
      </w:r>
    </w:p>
  </w:footnote>
  <w:footnote w:id="57">
    <w:p w14:paraId="134FBC13" w14:textId="5ECF7156" w:rsidR="00B62541" w:rsidRPr="00607C6F" w:rsidRDefault="00B62541">
      <w:pPr>
        <w:pStyle w:val="FootnoteText"/>
        <w:rPr>
          <w:lang w:val="en-GB"/>
        </w:rPr>
      </w:pPr>
      <w:r w:rsidRPr="00607C6F">
        <w:rPr>
          <w:rStyle w:val="FootnoteReference"/>
          <w:lang w:val="en-GB"/>
        </w:rPr>
        <w:footnoteRef/>
      </w:r>
      <w:r w:rsidRPr="00607C6F">
        <w:rPr>
          <w:lang w:val="en-GB"/>
        </w:rPr>
        <w:t xml:space="preserve"> Black and minority ethnic women, Black and minority ethnic people with disabilities, disabled women, young gay, lesbian and bisexual people, young minority ethnic men, and lesbian, gay and bisexual disabled people</w:t>
      </w:r>
    </w:p>
  </w:footnote>
  <w:footnote w:id="58">
    <w:p w14:paraId="4AAE4CBE" w14:textId="62B55349" w:rsidR="007C7FBF" w:rsidRPr="00607C6F" w:rsidRDefault="007C7FBF" w:rsidP="004D53A0">
      <w:pPr>
        <w:pStyle w:val="FootnoteText"/>
        <w:rPr>
          <w:lang w:val="en-GB"/>
        </w:rPr>
      </w:pPr>
      <w:r w:rsidRPr="00607C6F">
        <w:rPr>
          <w:rStyle w:val="FootnoteReference"/>
          <w:lang w:val="en-GB"/>
        </w:rPr>
        <w:footnoteRef/>
      </w:r>
      <w:r w:rsidRPr="00607C6F">
        <w:rPr>
          <w:lang w:val="en-GB"/>
        </w:rPr>
        <w:t xml:space="preserve"> Equinet, </w:t>
      </w:r>
      <w:hyperlink r:id="rId43" w:history="1">
        <w:r w:rsidRPr="00607C6F">
          <w:rPr>
            <w:rStyle w:val="Hyperlink"/>
            <w:lang w:val="en-GB"/>
          </w:rPr>
          <w:t>Innovating at the Intersections. Equality Bodies tackling Intersectional Discrimination</w:t>
        </w:r>
      </w:hyperlink>
      <w:r w:rsidRPr="00607C6F">
        <w:rPr>
          <w:lang w:val="en-GB"/>
        </w:rPr>
        <w:t xml:space="preserve"> </w:t>
      </w:r>
      <w:r w:rsidR="00D05FC0">
        <w:rPr>
          <w:lang w:val="en-GB"/>
        </w:rPr>
        <w:t>(</w:t>
      </w:r>
      <w:r w:rsidRPr="00607C6F">
        <w:rPr>
          <w:lang w:val="en-GB"/>
        </w:rPr>
        <w:t>2016</w:t>
      </w:r>
      <w:r w:rsidR="00D05FC0">
        <w:rPr>
          <w:lang w:val="en-GB"/>
        </w:rPr>
        <w:t>)</w:t>
      </w:r>
      <w:r w:rsidRPr="00607C6F">
        <w:rPr>
          <w:lang w:val="en-GB"/>
        </w:rPr>
        <w:t>, page 23 para 1</w:t>
      </w:r>
    </w:p>
  </w:footnote>
  <w:footnote w:id="59">
    <w:p w14:paraId="078F5646" w14:textId="267A90F9" w:rsidR="007C7FBF" w:rsidRPr="00607C6F" w:rsidRDefault="007C7FBF" w:rsidP="004D53A0">
      <w:pPr>
        <w:spacing w:line="240" w:lineRule="auto"/>
        <w:rPr>
          <w:sz w:val="20"/>
          <w:szCs w:val="20"/>
          <w:lang w:val="en-GB"/>
        </w:rPr>
      </w:pPr>
      <w:r w:rsidRPr="00607C6F">
        <w:rPr>
          <w:rStyle w:val="FootnoteReference"/>
          <w:sz w:val="20"/>
          <w:szCs w:val="20"/>
          <w:lang w:val="en-GB"/>
        </w:rPr>
        <w:footnoteRef/>
      </w:r>
      <w:r w:rsidRPr="00607C6F">
        <w:rPr>
          <w:sz w:val="20"/>
          <w:szCs w:val="20"/>
          <w:lang w:val="en-GB"/>
        </w:rPr>
        <w:t xml:space="preserve">Equinet, </w:t>
      </w:r>
      <w:hyperlink r:id="rId44" w:history="1">
        <w:r w:rsidRPr="00607C6F">
          <w:rPr>
            <w:rStyle w:val="Hyperlink"/>
            <w:sz w:val="20"/>
            <w:szCs w:val="20"/>
            <w:lang w:val="en-GB"/>
          </w:rPr>
          <w:t>Roma and Traveller Inclusion: Towards a new EU Framework learning from the work of Equality Bodies</w:t>
        </w:r>
      </w:hyperlink>
      <w:r w:rsidRPr="00607C6F">
        <w:rPr>
          <w:rStyle w:val="Hyperlink"/>
          <w:sz w:val="20"/>
          <w:szCs w:val="20"/>
          <w:lang w:val="en-GB"/>
        </w:rPr>
        <w:t xml:space="preserve"> </w:t>
      </w:r>
      <w:r w:rsidR="00D05FC0" w:rsidRPr="00D05FC0">
        <w:rPr>
          <w:rStyle w:val="Hyperlink"/>
          <w:color w:val="auto"/>
          <w:sz w:val="20"/>
          <w:szCs w:val="20"/>
          <w:lang w:val="en-GB"/>
        </w:rPr>
        <w:t>(</w:t>
      </w:r>
      <w:r w:rsidRPr="00D05FC0">
        <w:rPr>
          <w:rStyle w:val="Hyperlink"/>
          <w:color w:val="auto"/>
          <w:sz w:val="20"/>
          <w:szCs w:val="20"/>
          <w:u w:val="none"/>
          <w:lang w:val="en-GB"/>
        </w:rPr>
        <w:t>2020</w:t>
      </w:r>
      <w:r w:rsidR="00D05FC0" w:rsidRPr="00D05FC0">
        <w:rPr>
          <w:rStyle w:val="Hyperlink"/>
          <w:color w:val="auto"/>
          <w:sz w:val="20"/>
          <w:szCs w:val="20"/>
          <w:u w:val="none"/>
          <w:lang w:val="en-GB"/>
        </w:rPr>
        <w:t>),</w:t>
      </w:r>
      <w:r w:rsidRPr="00D05FC0">
        <w:rPr>
          <w:rStyle w:val="Hyperlink"/>
          <w:color w:val="auto"/>
          <w:sz w:val="20"/>
          <w:szCs w:val="20"/>
          <w:u w:val="none"/>
          <w:lang w:val="en-GB"/>
        </w:rPr>
        <w:t xml:space="preserve"> </w:t>
      </w:r>
      <w:r w:rsidRPr="00607C6F">
        <w:rPr>
          <w:rStyle w:val="Hyperlink"/>
          <w:color w:val="auto"/>
          <w:sz w:val="20"/>
          <w:szCs w:val="20"/>
          <w:u w:val="none"/>
          <w:lang w:val="en-GB"/>
        </w:rPr>
        <w:t>p</w:t>
      </w:r>
      <w:r w:rsidRPr="00607C6F">
        <w:rPr>
          <w:sz w:val="20"/>
          <w:szCs w:val="20"/>
          <w:lang w:val="en-GB"/>
        </w:rPr>
        <w:t>age 20 para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40"/>
    <w:multiLevelType w:val="hybridMultilevel"/>
    <w:tmpl w:val="005C4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0013BB"/>
    <w:multiLevelType w:val="hybridMultilevel"/>
    <w:tmpl w:val="31B69D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7D1875"/>
    <w:multiLevelType w:val="hybridMultilevel"/>
    <w:tmpl w:val="079C4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9C70A4"/>
    <w:multiLevelType w:val="multilevel"/>
    <w:tmpl w:val="4172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06B8E"/>
    <w:multiLevelType w:val="hybridMultilevel"/>
    <w:tmpl w:val="576E8432"/>
    <w:lvl w:ilvl="0" w:tplc="080C0001">
      <w:start w:val="1"/>
      <w:numFmt w:val="bullet"/>
      <w:lvlText w:val=""/>
      <w:lvlJc w:val="left"/>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D63644"/>
    <w:multiLevelType w:val="hybridMultilevel"/>
    <w:tmpl w:val="21D0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E1637"/>
    <w:multiLevelType w:val="hybridMultilevel"/>
    <w:tmpl w:val="EEC48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32383B"/>
    <w:multiLevelType w:val="hybridMultilevel"/>
    <w:tmpl w:val="0608D98A"/>
    <w:lvl w:ilvl="0" w:tplc="0E1E0E4C">
      <w:start w:val="1"/>
      <w:numFmt w:val="bullet"/>
      <w:lvlText w:val=""/>
      <w:lvlJc w:val="left"/>
      <w:pPr>
        <w:ind w:left="720" w:hanging="360"/>
      </w:pPr>
      <w:rPr>
        <w:rFonts w:ascii="Wingdings 3" w:hAnsi="Wingdings 3" w:hint="default"/>
        <w:b w:val="0"/>
        <w:bCs/>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317B46"/>
    <w:multiLevelType w:val="hybridMultilevel"/>
    <w:tmpl w:val="02B63DCE"/>
    <w:lvl w:ilvl="0" w:tplc="20000001">
      <w:start w:val="1"/>
      <w:numFmt w:val="bullet"/>
      <w:lvlText w:val=""/>
      <w:lvlJc w:val="left"/>
      <w:pPr>
        <w:ind w:left="719" w:hanging="360"/>
      </w:pPr>
      <w:rPr>
        <w:rFonts w:ascii="Symbol" w:hAnsi="Symbol" w:hint="default"/>
      </w:rPr>
    </w:lvl>
    <w:lvl w:ilvl="1" w:tplc="20000003" w:tentative="1">
      <w:start w:val="1"/>
      <w:numFmt w:val="bullet"/>
      <w:lvlText w:val="o"/>
      <w:lvlJc w:val="left"/>
      <w:pPr>
        <w:ind w:left="1439" w:hanging="360"/>
      </w:pPr>
      <w:rPr>
        <w:rFonts w:ascii="Courier New" w:hAnsi="Courier New" w:cs="Courier New" w:hint="default"/>
      </w:rPr>
    </w:lvl>
    <w:lvl w:ilvl="2" w:tplc="20000005" w:tentative="1">
      <w:start w:val="1"/>
      <w:numFmt w:val="bullet"/>
      <w:lvlText w:val=""/>
      <w:lvlJc w:val="left"/>
      <w:pPr>
        <w:ind w:left="2159" w:hanging="360"/>
      </w:pPr>
      <w:rPr>
        <w:rFonts w:ascii="Wingdings" w:hAnsi="Wingdings" w:hint="default"/>
      </w:rPr>
    </w:lvl>
    <w:lvl w:ilvl="3" w:tplc="20000001" w:tentative="1">
      <w:start w:val="1"/>
      <w:numFmt w:val="bullet"/>
      <w:lvlText w:val=""/>
      <w:lvlJc w:val="left"/>
      <w:pPr>
        <w:ind w:left="2879" w:hanging="360"/>
      </w:pPr>
      <w:rPr>
        <w:rFonts w:ascii="Symbol" w:hAnsi="Symbol" w:hint="default"/>
      </w:rPr>
    </w:lvl>
    <w:lvl w:ilvl="4" w:tplc="20000003" w:tentative="1">
      <w:start w:val="1"/>
      <w:numFmt w:val="bullet"/>
      <w:lvlText w:val="o"/>
      <w:lvlJc w:val="left"/>
      <w:pPr>
        <w:ind w:left="3599" w:hanging="360"/>
      </w:pPr>
      <w:rPr>
        <w:rFonts w:ascii="Courier New" w:hAnsi="Courier New" w:cs="Courier New" w:hint="default"/>
      </w:rPr>
    </w:lvl>
    <w:lvl w:ilvl="5" w:tplc="20000005" w:tentative="1">
      <w:start w:val="1"/>
      <w:numFmt w:val="bullet"/>
      <w:lvlText w:val=""/>
      <w:lvlJc w:val="left"/>
      <w:pPr>
        <w:ind w:left="4319" w:hanging="360"/>
      </w:pPr>
      <w:rPr>
        <w:rFonts w:ascii="Wingdings" w:hAnsi="Wingdings" w:hint="default"/>
      </w:rPr>
    </w:lvl>
    <w:lvl w:ilvl="6" w:tplc="20000001" w:tentative="1">
      <w:start w:val="1"/>
      <w:numFmt w:val="bullet"/>
      <w:lvlText w:val=""/>
      <w:lvlJc w:val="left"/>
      <w:pPr>
        <w:ind w:left="5039" w:hanging="360"/>
      </w:pPr>
      <w:rPr>
        <w:rFonts w:ascii="Symbol" w:hAnsi="Symbol" w:hint="default"/>
      </w:rPr>
    </w:lvl>
    <w:lvl w:ilvl="7" w:tplc="20000003" w:tentative="1">
      <w:start w:val="1"/>
      <w:numFmt w:val="bullet"/>
      <w:lvlText w:val="o"/>
      <w:lvlJc w:val="left"/>
      <w:pPr>
        <w:ind w:left="5759" w:hanging="360"/>
      </w:pPr>
      <w:rPr>
        <w:rFonts w:ascii="Courier New" w:hAnsi="Courier New" w:cs="Courier New" w:hint="default"/>
      </w:rPr>
    </w:lvl>
    <w:lvl w:ilvl="8" w:tplc="20000005" w:tentative="1">
      <w:start w:val="1"/>
      <w:numFmt w:val="bullet"/>
      <w:lvlText w:val=""/>
      <w:lvlJc w:val="left"/>
      <w:pPr>
        <w:ind w:left="6479" w:hanging="360"/>
      </w:pPr>
      <w:rPr>
        <w:rFonts w:ascii="Wingdings" w:hAnsi="Wingdings" w:hint="default"/>
      </w:rPr>
    </w:lvl>
  </w:abstractNum>
  <w:abstractNum w:abstractNumId="9" w15:restartNumberingAfterBreak="0">
    <w:nsid w:val="3F5F5C92"/>
    <w:multiLevelType w:val="hybridMultilevel"/>
    <w:tmpl w:val="393AE7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E9B3C01"/>
    <w:multiLevelType w:val="hybridMultilevel"/>
    <w:tmpl w:val="C264EF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4880EA0"/>
    <w:multiLevelType w:val="hybridMultilevel"/>
    <w:tmpl w:val="21B0B0BC"/>
    <w:lvl w:ilvl="0" w:tplc="FC42F7CE">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7CA73D3"/>
    <w:multiLevelType w:val="hybridMultilevel"/>
    <w:tmpl w:val="AEAC80DA"/>
    <w:lvl w:ilvl="0" w:tplc="CBB8ED6A">
      <w:start w:val="1"/>
      <w:numFmt w:val="bullet"/>
      <w:lvlText w:val=""/>
      <w:lvlJc w:val="left"/>
      <w:pPr>
        <w:ind w:left="720" w:hanging="360"/>
      </w:pPr>
      <w:rPr>
        <w:rFonts w:ascii="Wingdings 3" w:hAnsi="Wingdings 3"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89F728C"/>
    <w:multiLevelType w:val="hybridMultilevel"/>
    <w:tmpl w:val="69369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2C5FE6"/>
    <w:multiLevelType w:val="hybridMultilevel"/>
    <w:tmpl w:val="3A008736"/>
    <w:lvl w:ilvl="0" w:tplc="970EA14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6863F34"/>
    <w:multiLevelType w:val="multilevel"/>
    <w:tmpl w:val="C246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496872"/>
    <w:multiLevelType w:val="hybridMultilevel"/>
    <w:tmpl w:val="6C44D9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9045430"/>
    <w:multiLevelType w:val="hybridMultilevel"/>
    <w:tmpl w:val="499A24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AB430CD"/>
    <w:multiLevelType w:val="multilevel"/>
    <w:tmpl w:val="228EF7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
  </w:num>
  <w:num w:numId="3">
    <w:abstractNumId w:val="8"/>
  </w:num>
  <w:num w:numId="4">
    <w:abstractNumId w:val="10"/>
  </w:num>
  <w:num w:numId="5">
    <w:abstractNumId w:val="17"/>
  </w:num>
  <w:num w:numId="6">
    <w:abstractNumId w:val="6"/>
  </w:num>
  <w:num w:numId="7">
    <w:abstractNumId w:val="13"/>
  </w:num>
  <w:num w:numId="8">
    <w:abstractNumId w:val="2"/>
  </w:num>
  <w:num w:numId="9">
    <w:abstractNumId w:val="14"/>
  </w:num>
  <w:num w:numId="10">
    <w:abstractNumId w:val="7"/>
  </w:num>
  <w:num w:numId="11">
    <w:abstractNumId w:val="11"/>
  </w:num>
  <w:num w:numId="12">
    <w:abstractNumId w:val="4"/>
  </w:num>
  <w:num w:numId="13">
    <w:abstractNumId w:val="16"/>
  </w:num>
  <w:num w:numId="14">
    <w:abstractNumId w:val="9"/>
  </w:num>
  <w:num w:numId="15">
    <w:abstractNumId w:val="0"/>
  </w:num>
  <w:num w:numId="16">
    <w:abstractNumId w:val="12"/>
  </w:num>
  <w:num w:numId="17">
    <w:abstractNumId w:val="15"/>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3C"/>
    <w:rsid w:val="00003218"/>
    <w:rsid w:val="000041AB"/>
    <w:rsid w:val="00004C18"/>
    <w:rsid w:val="00022F84"/>
    <w:rsid w:val="00025D55"/>
    <w:rsid w:val="00030A9F"/>
    <w:rsid w:val="000311CF"/>
    <w:rsid w:val="00032335"/>
    <w:rsid w:val="0003270D"/>
    <w:rsid w:val="000337FF"/>
    <w:rsid w:val="000347F6"/>
    <w:rsid w:val="00036AA4"/>
    <w:rsid w:val="00037292"/>
    <w:rsid w:val="00037812"/>
    <w:rsid w:val="000402D6"/>
    <w:rsid w:val="0004242C"/>
    <w:rsid w:val="000457E6"/>
    <w:rsid w:val="00046842"/>
    <w:rsid w:val="00046A95"/>
    <w:rsid w:val="0005406C"/>
    <w:rsid w:val="00056DF9"/>
    <w:rsid w:val="000636CB"/>
    <w:rsid w:val="00063E35"/>
    <w:rsid w:val="00065A36"/>
    <w:rsid w:val="000773AB"/>
    <w:rsid w:val="000827E8"/>
    <w:rsid w:val="00082EA5"/>
    <w:rsid w:val="00084051"/>
    <w:rsid w:val="0008588E"/>
    <w:rsid w:val="000906CA"/>
    <w:rsid w:val="000954AB"/>
    <w:rsid w:val="0009716F"/>
    <w:rsid w:val="00097442"/>
    <w:rsid w:val="000A1C4D"/>
    <w:rsid w:val="000A3C8D"/>
    <w:rsid w:val="000A4456"/>
    <w:rsid w:val="000B0201"/>
    <w:rsid w:val="000B0C7E"/>
    <w:rsid w:val="000B1EBE"/>
    <w:rsid w:val="000B3A0E"/>
    <w:rsid w:val="000C0333"/>
    <w:rsid w:val="000C0E8E"/>
    <w:rsid w:val="000C3ACC"/>
    <w:rsid w:val="000C7F61"/>
    <w:rsid w:val="000E22BB"/>
    <w:rsid w:val="000E22D7"/>
    <w:rsid w:val="000E27B7"/>
    <w:rsid w:val="000E346C"/>
    <w:rsid w:val="000F0F2D"/>
    <w:rsid w:val="000F18E2"/>
    <w:rsid w:val="000F1D07"/>
    <w:rsid w:val="000F2164"/>
    <w:rsid w:val="00105544"/>
    <w:rsid w:val="0011213C"/>
    <w:rsid w:val="001221AC"/>
    <w:rsid w:val="00122B04"/>
    <w:rsid w:val="001236C0"/>
    <w:rsid w:val="001253C2"/>
    <w:rsid w:val="001260F7"/>
    <w:rsid w:val="00126F2E"/>
    <w:rsid w:val="0012779A"/>
    <w:rsid w:val="00135362"/>
    <w:rsid w:val="00135E34"/>
    <w:rsid w:val="00140F72"/>
    <w:rsid w:val="0014414B"/>
    <w:rsid w:val="001457E5"/>
    <w:rsid w:val="00146C80"/>
    <w:rsid w:val="00156D9A"/>
    <w:rsid w:val="00157F07"/>
    <w:rsid w:val="00160B9A"/>
    <w:rsid w:val="0016164B"/>
    <w:rsid w:val="00166F24"/>
    <w:rsid w:val="00170FE0"/>
    <w:rsid w:val="001722C0"/>
    <w:rsid w:val="0017284C"/>
    <w:rsid w:val="0017323F"/>
    <w:rsid w:val="00174AA3"/>
    <w:rsid w:val="00175406"/>
    <w:rsid w:val="0017592F"/>
    <w:rsid w:val="0017624C"/>
    <w:rsid w:val="00181830"/>
    <w:rsid w:val="001902B8"/>
    <w:rsid w:val="00194DF4"/>
    <w:rsid w:val="00194FA7"/>
    <w:rsid w:val="001A3B28"/>
    <w:rsid w:val="001A7661"/>
    <w:rsid w:val="001B13AF"/>
    <w:rsid w:val="001C11A0"/>
    <w:rsid w:val="001C2532"/>
    <w:rsid w:val="001C476F"/>
    <w:rsid w:val="001C7815"/>
    <w:rsid w:val="001D2E83"/>
    <w:rsid w:val="001D6F61"/>
    <w:rsid w:val="001E047B"/>
    <w:rsid w:val="001E146A"/>
    <w:rsid w:val="001E22A8"/>
    <w:rsid w:val="001E2FE5"/>
    <w:rsid w:val="001E3B9C"/>
    <w:rsid w:val="001E4239"/>
    <w:rsid w:val="001F1229"/>
    <w:rsid w:val="001F31A6"/>
    <w:rsid w:val="001F38BD"/>
    <w:rsid w:val="001F398A"/>
    <w:rsid w:val="00200396"/>
    <w:rsid w:val="0020093A"/>
    <w:rsid w:val="00203C79"/>
    <w:rsid w:val="0020451E"/>
    <w:rsid w:val="002102B0"/>
    <w:rsid w:val="00214CD7"/>
    <w:rsid w:val="00221938"/>
    <w:rsid w:val="00226CE8"/>
    <w:rsid w:val="00230A5D"/>
    <w:rsid w:val="00232D00"/>
    <w:rsid w:val="00232E27"/>
    <w:rsid w:val="00235C79"/>
    <w:rsid w:val="00235CD0"/>
    <w:rsid w:val="00236662"/>
    <w:rsid w:val="00236774"/>
    <w:rsid w:val="00241E2D"/>
    <w:rsid w:val="00242152"/>
    <w:rsid w:val="00242FEB"/>
    <w:rsid w:val="002433B2"/>
    <w:rsid w:val="00244C7D"/>
    <w:rsid w:val="002450B1"/>
    <w:rsid w:val="00245675"/>
    <w:rsid w:val="002473EC"/>
    <w:rsid w:val="00253882"/>
    <w:rsid w:val="002538E2"/>
    <w:rsid w:val="002605C8"/>
    <w:rsid w:val="00281EBF"/>
    <w:rsid w:val="00287E5B"/>
    <w:rsid w:val="00293FA5"/>
    <w:rsid w:val="00295289"/>
    <w:rsid w:val="00297AA7"/>
    <w:rsid w:val="002A00A6"/>
    <w:rsid w:val="002A084F"/>
    <w:rsid w:val="002A542D"/>
    <w:rsid w:val="002A759A"/>
    <w:rsid w:val="002C0C02"/>
    <w:rsid w:val="002C15B5"/>
    <w:rsid w:val="002C5E53"/>
    <w:rsid w:val="002C6B27"/>
    <w:rsid w:val="002D0886"/>
    <w:rsid w:val="002D18EE"/>
    <w:rsid w:val="002D7C25"/>
    <w:rsid w:val="002E2B6F"/>
    <w:rsid w:val="002E3A05"/>
    <w:rsid w:val="002F09EF"/>
    <w:rsid w:val="002F2938"/>
    <w:rsid w:val="002F5DC3"/>
    <w:rsid w:val="00300E74"/>
    <w:rsid w:val="00303A1E"/>
    <w:rsid w:val="00303B07"/>
    <w:rsid w:val="00305026"/>
    <w:rsid w:val="0031108E"/>
    <w:rsid w:val="003112B9"/>
    <w:rsid w:val="00312031"/>
    <w:rsid w:val="00312BD7"/>
    <w:rsid w:val="00313996"/>
    <w:rsid w:val="003153B8"/>
    <w:rsid w:val="00315855"/>
    <w:rsid w:val="00316BE3"/>
    <w:rsid w:val="00316C83"/>
    <w:rsid w:val="00320E2C"/>
    <w:rsid w:val="003220E4"/>
    <w:rsid w:val="0032331B"/>
    <w:rsid w:val="0032382E"/>
    <w:rsid w:val="00323EA2"/>
    <w:rsid w:val="003365CE"/>
    <w:rsid w:val="00337F09"/>
    <w:rsid w:val="00343D79"/>
    <w:rsid w:val="003530DC"/>
    <w:rsid w:val="00354906"/>
    <w:rsid w:val="003763C3"/>
    <w:rsid w:val="00377627"/>
    <w:rsid w:val="00383744"/>
    <w:rsid w:val="00383A16"/>
    <w:rsid w:val="0038485B"/>
    <w:rsid w:val="003923D9"/>
    <w:rsid w:val="0039603C"/>
    <w:rsid w:val="003A126A"/>
    <w:rsid w:val="003A701D"/>
    <w:rsid w:val="003B0969"/>
    <w:rsid w:val="003B28B4"/>
    <w:rsid w:val="003B5B3D"/>
    <w:rsid w:val="003C2921"/>
    <w:rsid w:val="003C39AA"/>
    <w:rsid w:val="003C4256"/>
    <w:rsid w:val="003C66CC"/>
    <w:rsid w:val="003D14C9"/>
    <w:rsid w:val="003D387C"/>
    <w:rsid w:val="003D3E36"/>
    <w:rsid w:val="003D4AF3"/>
    <w:rsid w:val="003D54AB"/>
    <w:rsid w:val="003D6617"/>
    <w:rsid w:val="003E0D6D"/>
    <w:rsid w:val="003E4FFC"/>
    <w:rsid w:val="003E59DC"/>
    <w:rsid w:val="00401D5C"/>
    <w:rsid w:val="0040399D"/>
    <w:rsid w:val="00403DA1"/>
    <w:rsid w:val="004063CD"/>
    <w:rsid w:val="004071A1"/>
    <w:rsid w:val="00412BCE"/>
    <w:rsid w:val="00416E6C"/>
    <w:rsid w:val="0042161E"/>
    <w:rsid w:val="0042222D"/>
    <w:rsid w:val="00423940"/>
    <w:rsid w:val="004266E3"/>
    <w:rsid w:val="00427BE1"/>
    <w:rsid w:val="00430AD4"/>
    <w:rsid w:val="004329E3"/>
    <w:rsid w:val="00433D95"/>
    <w:rsid w:val="00434D9E"/>
    <w:rsid w:val="004377CE"/>
    <w:rsid w:val="00441B8E"/>
    <w:rsid w:val="00441C7E"/>
    <w:rsid w:val="004459A7"/>
    <w:rsid w:val="004503F0"/>
    <w:rsid w:val="004523E1"/>
    <w:rsid w:val="004642CB"/>
    <w:rsid w:val="004643FD"/>
    <w:rsid w:val="00464A04"/>
    <w:rsid w:val="004716DB"/>
    <w:rsid w:val="00482A14"/>
    <w:rsid w:val="00484878"/>
    <w:rsid w:val="00485C09"/>
    <w:rsid w:val="0048617F"/>
    <w:rsid w:val="004873FD"/>
    <w:rsid w:val="004901AA"/>
    <w:rsid w:val="00497590"/>
    <w:rsid w:val="004A3352"/>
    <w:rsid w:val="004A3C21"/>
    <w:rsid w:val="004A59E2"/>
    <w:rsid w:val="004B0646"/>
    <w:rsid w:val="004C11B6"/>
    <w:rsid w:val="004C3664"/>
    <w:rsid w:val="004C3ED6"/>
    <w:rsid w:val="004C4736"/>
    <w:rsid w:val="004C775A"/>
    <w:rsid w:val="004C7E96"/>
    <w:rsid w:val="004D0A4C"/>
    <w:rsid w:val="004D1CB1"/>
    <w:rsid w:val="004D3A26"/>
    <w:rsid w:val="004D53A0"/>
    <w:rsid w:val="004D6109"/>
    <w:rsid w:val="004D7024"/>
    <w:rsid w:val="004E003F"/>
    <w:rsid w:val="004E1573"/>
    <w:rsid w:val="004E2782"/>
    <w:rsid w:val="004E2F04"/>
    <w:rsid w:val="004E3251"/>
    <w:rsid w:val="004E3893"/>
    <w:rsid w:val="004E4051"/>
    <w:rsid w:val="004E4ADC"/>
    <w:rsid w:val="004E50E0"/>
    <w:rsid w:val="004E5B43"/>
    <w:rsid w:val="004E6F6F"/>
    <w:rsid w:val="004E7E43"/>
    <w:rsid w:val="0050050F"/>
    <w:rsid w:val="00501F99"/>
    <w:rsid w:val="00502DBB"/>
    <w:rsid w:val="005069C0"/>
    <w:rsid w:val="0050752D"/>
    <w:rsid w:val="00507E91"/>
    <w:rsid w:val="005105C2"/>
    <w:rsid w:val="00510758"/>
    <w:rsid w:val="00511EE2"/>
    <w:rsid w:val="00513298"/>
    <w:rsid w:val="00522C2A"/>
    <w:rsid w:val="005302B2"/>
    <w:rsid w:val="00530C3F"/>
    <w:rsid w:val="0053203A"/>
    <w:rsid w:val="005363CA"/>
    <w:rsid w:val="00541767"/>
    <w:rsid w:val="005425BC"/>
    <w:rsid w:val="00545B00"/>
    <w:rsid w:val="00546344"/>
    <w:rsid w:val="00547FA2"/>
    <w:rsid w:val="00550312"/>
    <w:rsid w:val="00551EF9"/>
    <w:rsid w:val="0055387C"/>
    <w:rsid w:val="00554ECB"/>
    <w:rsid w:val="00562EE6"/>
    <w:rsid w:val="00563201"/>
    <w:rsid w:val="0056385E"/>
    <w:rsid w:val="00563A6D"/>
    <w:rsid w:val="005643A6"/>
    <w:rsid w:val="005676BB"/>
    <w:rsid w:val="00567834"/>
    <w:rsid w:val="00570B67"/>
    <w:rsid w:val="005760C0"/>
    <w:rsid w:val="00576710"/>
    <w:rsid w:val="005805E2"/>
    <w:rsid w:val="005813A6"/>
    <w:rsid w:val="0058239F"/>
    <w:rsid w:val="00583D99"/>
    <w:rsid w:val="0059048E"/>
    <w:rsid w:val="0059399B"/>
    <w:rsid w:val="005956DC"/>
    <w:rsid w:val="00597729"/>
    <w:rsid w:val="005A5443"/>
    <w:rsid w:val="005A67A3"/>
    <w:rsid w:val="005B1328"/>
    <w:rsid w:val="005B1E29"/>
    <w:rsid w:val="005B1FE1"/>
    <w:rsid w:val="005B46F8"/>
    <w:rsid w:val="005B4CF9"/>
    <w:rsid w:val="005C08E7"/>
    <w:rsid w:val="005C2ABA"/>
    <w:rsid w:val="005C5CF8"/>
    <w:rsid w:val="005D2E2A"/>
    <w:rsid w:val="005E4BB4"/>
    <w:rsid w:val="005E50C2"/>
    <w:rsid w:val="005E6149"/>
    <w:rsid w:val="005F02FB"/>
    <w:rsid w:val="005F34AA"/>
    <w:rsid w:val="005F3D76"/>
    <w:rsid w:val="005F7DFB"/>
    <w:rsid w:val="00600743"/>
    <w:rsid w:val="00603292"/>
    <w:rsid w:val="00604314"/>
    <w:rsid w:val="00605A71"/>
    <w:rsid w:val="00607340"/>
    <w:rsid w:val="006076AA"/>
    <w:rsid w:val="00607C6F"/>
    <w:rsid w:val="006108F8"/>
    <w:rsid w:val="00610F4A"/>
    <w:rsid w:val="00614A89"/>
    <w:rsid w:val="0061675F"/>
    <w:rsid w:val="0062481C"/>
    <w:rsid w:val="00624B77"/>
    <w:rsid w:val="00625E94"/>
    <w:rsid w:val="006276EB"/>
    <w:rsid w:val="0064421C"/>
    <w:rsid w:val="00644D6E"/>
    <w:rsid w:val="00644E02"/>
    <w:rsid w:val="00647C67"/>
    <w:rsid w:val="00653B80"/>
    <w:rsid w:val="00656FD5"/>
    <w:rsid w:val="0066212D"/>
    <w:rsid w:val="00662422"/>
    <w:rsid w:val="006631EE"/>
    <w:rsid w:val="006674DF"/>
    <w:rsid w:val="0067171E"/>
    <w:rsid w:val="006717B5"/>
    <w:rsid w:val="00671C49"/>
    <w:rsid w:val="0067617E"/>
    <w:rsid w:val="006927ED"/>
    <w:rsid w:val="00693861"/>
    <w:rsid w:val="006A0522"/>
    <w:rsid w:val="006A5868"/>
    <w:rsid w:val="006A617A"/>
    <w:rsid w:val="006B0527"/>
    <w:rsid w:val="006B34C0"/>
    <w:rsid w:val="006B3C1F"/>
    <w:rsid w:val="006B3DA7"/>
    <w:rsid w:val="006B4782"/>
    <w:rsid w:val="006B4C72"/>
    <w:rsid w:val="006B64BF"/>
    <w:rsid w:val="006B65DB"/>
    <w:rsid w:val="006B77D6"/>
    <w:rsid w:val="006C1163"/>
    <w:rsid w:val="006C27FF"/>
    <w:rsid w:val="006C5271"/>
    <w:rsid w:val="006C77B0"/>
    <w:rsid w:val="006C7AE3"/>
    <w:rsid w:val="006D2075"/>
    <w:rsid w:val="006D3A63"/>
    <w:rsid w:val="006D549A"/>
    <w:rsid w:val="006E41ED"/>
    <w:rsid w:val="006E79FB"/>
    <w:rsid w:val="006F793F"/>
    <w:rsid w:val="00700A99"/>
    <w:rsid w:val="00702848"/>
    <w:rsid w:val="00703C9F"/>
    <w:rsid w:val="007052E6"/>
    <w:rsid w:val="0070694E"/>
    <w:rsid w:val="00707B21"/>
    <w:rsid w:val="007145AC"/>
    <w:rsid w:val="0072064B"/>
    <w:rsid w:val="007234CE"/>
    <w:rsid w:val="0072385C"/>
    <w:rsid w:val="007246D4"/>
    <w:rsid w:val="00731A2B"/>
    <w:rsid w:val="0073211C"/>
    <w:rsid w:val="00732D93"/>
    <w:rsid w:val="00733AAC"/>
    <w:rsid w:val="007370E1"/>
    <w:rsid w:val="007374A1"/>
    <w:rsid w:val="00744348"/>
    <w:rsid w:val="00745204"/>
    <w:rsid w:val="00745523"/>
    <w:rsid w:val="007472D2"/>
    <w:rsid w:val="00747DF0"/>
    <w:rsid w:val="00750295"/>
    <w:rsid w:val="00757A06"/>
    <w:rsid w:val="007626B7"/>
    <w:rsid w:val="00770F4E"/>
    <w:rsid w:val="00773ED6"/>
    <w:rsid w:val="00774DE0"/>
    <w:rsid w:val="00775BAA"/>
    <w:rsid w:val="00784FD2"/>
    <w:rsid w:val="0078771D"/>
    <w:rsid w:val="00790B37"/>
    <w:rsid w:val="00794172"/>
    <w:rsid w:val="00795954"/>
    <w:rsid w:val="007973EB"/>
    <w:rsid w:val="007A1D52"/>
    <w:rsid w:val="007A27CB"/>
    <w:rsid w:val="007A42D3"/>
    <w:rsid w:val="007A488B"/>
    <w:rsid w:val="007A72B7"/>
    <w:rsid w:val="007B0967"/>
    <w:rsid w:val="007B1011"/>
    <w:rsid w:val="007B15C6"/>
    <w:rsid w:val="007B3324"/>
    <w:rsid w:val="007B5D52"/>
    <w:rsid w:val="007B73B5"/>
    <w:rsid w:val="007C01A0"/>
    <w:rsid w:val="007C0E51"/>
    <w:rsid w:val="007C15EA"/>
    <w:rsid w:val="007C387F"/>
    <w:rsid w:val="007C675E"/>
    <w:rsid w:val="007C703B"/>
    <w:rsid w:val="007C7FBF"/>
    <w:rsid w:val="007D158C"/>
    <w:rsid w:val="007D1C07"/>
    <w:rsid w:val="007D3C93"/>
    <w:rsid w:val="007D717F"/>
    <w:rsid w:val="007E18A3"/>
    <w:rsid w:val="007E2607"/>
    <w:rsid w:val="007E2818"/>
    <w:rsid w:val="007E6D8C"/>
    <w:rsid w:val="007F00B8"/>
    <w:rsid w:val="007F100F"/>
    <w:rsid w:val="007F1961"/>
    <w:rsid w:val="007F1C92"/>
    <w:rsid w:val="007F3696"/>
    <w:rsid w:val="007F545F"/>
    <w:rsid w:val="00800024"/>
    <w:rsid w:val="00802C79"/>
    <w:rsid w:val="008044C1"/>
    <w:rsid w:val="00805FFF"/>
    <w:rsid w:val="00811FE4"/>
    <w:rsid w:val="0082067F"/>
    <w:rsid w:val="008233B4"/>
    <w:rsid w:val="008234FC"/>
    <w:rsid w:val="00823634"/>
    <w:rsid w:val="008272B8"/>
    <w:rsid w:val="00827477"/>
    <w:rsid w:val="00827757"/>
    <w:rsid w:val="00841DFE"/>
    <w:rsid w:val="008426BA"/>
    <w:rsid w:val="00844E51"/>
    <w:rsid w:val="008501B6"/>
    <w:rsid w:val="00852556"/>
    <w:rsid w:val="00863AB0"/>
    <w:rsid w:val="00865D8C"/>
    <w:rsid w:val="00866481"/>
    <w:rsid w:val="0087126D"/>
    <w:rsid w:val="008757AB"/>
    <w:rsid w:val="00875ACE"/>
    <w:rsid w:val="00877E19"/>
    <w:rsid w:val="008810BC"/>
    <w:rsid w:val="00885D78"/>
    <w:rsid w:val="00886CF1"/>
    <w:rsid w:val="008916D5"/>
    <w:rsid w:val="008917A2"/>
    <w:rsid w:val="0089214D"/>
    <w:rsid w:val="00893CC8"/>
    <w:rsid w:val="0089477C"/>
    <w:rsid w:val="00894FB8"/>
    <w:rsid w:val="00896B16"/>
    <w:rsid w:val="008A0728"/>
    <w:rsid w:val="008A4AAE"/>
    <w:rsid w:val="008B2AB4"/>
    <w:rsid w:val="008B329A"/>
    <w:rsid w:val="008B46C2"/>
    <w:rsid w:val="008C00EE"/>
    <w:rsid w:val="008C048B"/>
    <w:rsid w:val="008C1D4C"/>
    <w:rsid w:val="008C589D"/>
    <w:rsid w:val="008D15F3"/>
    <w:rsid w:val="008D6644"/>
    <w:rsid w:val="008D7C77"/>
    <w:rsid w:val="008E42BA"/>
    <w:rsid w:val="008F202F"/>
    <w:rsid w:val="008F2299"/>
    <w:rsid w:val="008F3592"/>
    <w:rsid w:val="008F51A5"/>
    <w:rsid w:val="008F57A5"/>
    <w:rsid w:val="0090273E"/>
    <w:rsid w:val="009129A9"/>
    <w:rsid w:val="00924A3F"/>
    <w:rsid w:val="00925F3D"/>
    <w:rsid w:val="009304B4"/>
    <w:rsid w:val="009339E0"/>
    <w:rsid w:val="00937FAD"/>
    <w:rsid w:val="00940B76"/>
    <w:rsid w:val="00941DE3"/>
    <w:rsid w:val="00941E35"/>
    <w:rsid w:val="00942EF2"/>
    <w:rsid w:val="009465CE"/>
    <w:rsid w:val="009473F1"/>
    <w:rsid w:val="0094775A"/>
    <w:rsid w:val="00950678"/>
    <w:rsid w:val="0095466B"/>
    <w:rsid w:val="00954C64"/>
    <w:rsid w:val="0095506C"/>
    <w:rsid w:val="00955C73"/>
    <w:rsid w:val="00956A9F"/>
    <w:rsid w:val="00961503"/>
    <w:rsid w:val="00964A09"/>
    <w:rsid w:val="009702B0"/>
    <w:rsid w:val="009710D9"/>
    <w:rsid w:val="00971B55"/>
    <w:rsid w:val="0097625E"/>
    <w:rsid w:val="009808E7"/>
    <w:rsid w:val="009834A2"/>
    <w:rsid w:val="0098452E"/>
    <w:rsid w:val="00986B7E"/>
    <w:rsid w:val="00993CF2"/>
    <w:rsid w:val="00997099"/>
    <w:rsid w:val="009A4158"/>
    <w:rsid w:val="009B0066"/>
    <w:rsid w:val="009B374F"/>
    <w:rsid w:val="009B3F61"/>
    <w:rsid w:val="009B4B45"/>
    <w:rsid w:val="009B57B8"/>
    <w:rsid w:val="009C1461"/>
    <w:rsid w:val="009C3654"/>
    <w:rsid w:val="009C463E"/>
    <w:rsid w:val="009C6AD2"/>
    <w:rsid w:val="009D359F"/>
    <w:rsid w:val="009D3986"/>
    <w:rsid w:val="009D3EA5"/>
    <w:rsid w:val="009D640B"/>
    <w:rsid w:val="009E1130"/>
    <w:rsid w:val="009F4222"/>
    <w:rsid w:val="009F5C57"/>
    <w:rsid w:val="009F7F72"/>
    <w:rsid w:val="00A039DD"/>
    <w:rsid w:val="00A03CCB"/>
    <w:rsid w:val="00A054D5"/>
    <w:rsid w:val="00A07753"/>
    <w:rsid w:val="00A07A0D"/>
    <w:rsid w:val="00A12025"/>
    <w:rsid w:val="00A121A2"/>
    <w:rsid w:val="00A138E5"/>
    <w:rsid w:val="00A15561"/>
    <w:rsid w:val="00A1584B"/>
    <w:rsid w:val="00A16061"/>
    <w:rsid w:val="00A16C12"/>
    <w:rsid w:val="00A24903"/>
    <w:rsid w:val="00A265AD"/>
    <w:rsid w:val="00A339C1"/>
    <w:rsid w:val="00A343B4"/>
    <w:rsid w:val="00A369FC"/>
    <w:rsid w:val="00A37631"/>
    <w:rsid w:val="00A42FD5"/>
    <w:rsid w:val="00A47B62"/>
    <w:rsid w:val="00A507B1"/>
    <w:rsid w:val="00A50D30"/>
    <w:rsid w:val="00A57A81"/>
    <w:rsid w:val="00A605FF"/>
    <w:rsid w:val="00A627B5"/>
    <w:rsid w:val="00A641D2"/>
    <w:rsid w:val="00A71F8F"/>
    <w:rsid w:val="00A75CE4"/>
    <w:rsid w:val="00A77B0D"/>
    <w:rsid w:val="00A81775"/>
    <w:rsid w:val="00A81BE6"/>
    <w:rsid w:val="00A81CE1"/>
    <w:rsid w:val="00A848CA"/>
    <w:rsid w:val="00A8644E"/>
    <w:rsid w:val="00A974BE"/>
    <w:rsid w:val="00AA03BC"/>
    <w:rsid w:val="00AA312B"/>
    <w:rsid w:val="00AA5416"/>
    <w:rsid w:val="00AB7B47"/>
    <w:rsid w:val="00AC6424"/>
    <w:rsid w:val="00AC662D"/>
    <w:rsid w:val="00AC77B6"/>
    <w:rsid w:val="00AD07CD"/>
    <w:rsid w:val="00AD0CAA"/>
    <w:rsid w:val="00AD58F1"/>
    <w:rsid w:val="00AD5F5C"/>
    <w:rsid w:val="00AD7B01"/>
    <w:rsid w:val="00AE3244"/>
    <w:rsid w:val="00AF514F"/>
    <w:rsid w:val="00AF6ED3"/>
    <w:rsid w:val="00B027B0"/>
    <w:rsid w:val="00B035E4"/>
    <w:rsid w:val="00B03988"/>
    <w:rsid w:val="00B10155"/>
    <w:rsid w:val="00B1604E"/>
    <w:rsid w:val="00B20E7E"/>
    <w:rsid w:val="00B222A6"/>
    <w:rsid w:val="00B22678"/>
    <w:rsid w:val="00B22A78"/>
    <w:rsid w:val="00B24652"/>
    <w:rsid w:val="00B24949"/>
    <w:rsid w:val="00B266B5"/>
    <w:rsid w:val="00B32207"/>
    <w:rsid w:val="00B33CF4"/>
    <w:rsid w:val="00B33F9C"/>
    <w:rsid w:val="00B33FAC"/>
    <w:rsid w:val="00B35FDB"/>
    <w:rsid w:val="00B37A0A"/>
    <w:rsid w:val="00B41762"/>
    <w:rsid w:val="00B47D2F"/>
    <w:rsid w:val="00B51990"/>
    <w:rsid w:val="00B604CD"/>
    <w:rsid w:val="00B62541"/>
    <w:rsid w:val="00B64520"/>
    <w:rsid w:val="00B64A6B"/>
    <w:rsid w:val="00B720BF"/>
    <w:rsid w:val="00B73011"/>
    <w:rsid w:val="00B745BF"/>
    <w:rsid w:val="00B757FA"/>
    <w:rsid w:val="00B878AA"/>
    <w:rsid w:val="00B9141E"/>
    <w:rsid w:val="00B926A2"/>
    <w:rsid w:val="00B97006"/>
    <w:rsid w:val="00BA5E35"/>
    <w:rsid w:val="00BB2F08"/>
    <w:rsid w:val="00BB3C33"/>
    <w:rsid w:val="00BB7293"/>
    <w:rsid w:val="00BC114A"/>
    <w:rsid w:val="00BC15C3"/>
    <w:rsid w:val="00BC4358"/>
    <w:rsid w:val="00BC5688"/>
    <w:rsid w:val="00BC5B06"/>
    <w:rsid w:val="00BD2E4E"/>
    <w:rsid w:val="00BD4A38"/>
    <w:rsid w:val="00BD52E2"/>
    <w:rsid w:val="00BD6304"/>
    <w:rsid w:val="00BE3B9B"/>
    <w:rsid w:val="00BE7920"/>
    <w:rsid w:val="00BE7E33"/>
    <w:rsid w:val="00C07831"/>
    <w:rsid w:val="00C13D2C"/>
    <w:rsid w:val="00C15969"/>
    <w:rsid w:val="00C2317C"/>
    <w:rsid w:val="00C24533"/>
    <w:rsid w:val="00C252FB"/>
    <w:rsid w:val="00C32029"/>
    <w:rsid w:val="00C361AF"/>
    <w:rsid w:val="00C36E79"/>
    <w:rsid w:val="00C36ED3"/>
    <w:rsid w:val="00C37B70"/>
    <w:rsid w:val="00C40BCF"/>
    <w:rsid w:val="00C42DC0"/>
    <w:rsid w:val="00C44516"/>
    <w:rsid w:val="00C44E5C"/>
    <w:rsid w:val="00C47306"/>
    <w:rsid w:val="00C51441"/>
    <w:rsid w:val="00C5350D"/>
    <w:rsid w:val="00C56172"/>
    <w:rsid w:val="00C63E3E"/>
    <w:rsid w:val="00C667A5"/>
    <w:rsid w:val="00C73639"/>
    <w:rsid w:val="00C73FDE"/>
    <w:rsid w:val="00C749CD"/>
    <w:rsid w:val="00C84E43"/>
    <w:rsid w:val="00C85083"/>
    <w:rsid w:val="00C852F5"/>
    <w:rsid w:val="00C85810"/>
    <w:rsid w:val="00C9043F"/>
    <w:rsid w:val="00C9090B"/>
    <w:rsid w:val="00C91713"/>
    <w:rsid w:val="00C95952"/>
    <w:rsid w:val="00C95FD9"/>
    <w:rsid w:val="00C968A5"/>
    <w:rsid w:val="00CA1505"/>
    <w:rsid w:val="00CA5301"/>
    <w:rsid w:val="00CA7AD3"/>
    <w:rsid w:val="00CB332A"/>
    <w:rsid w:val="00CC0088"/>
    <w:rsid w:val="00CC424E"/>
    <w:rsid w:val="00CC4600"/>
    <w:rsid w:val="00CD3BC3"/>
    <w:rsid w:val="00CE00FD"/>
    <w:rsid w:val="00CE02CC"/>
    <w:rsid w:val="00CE0D7A"/>
    <w:rsid w:val="00CE59DE"/>
    <w:rsid w:val="00CF111D"/>
    <w:rsid w:val="00CF1DA3"/>
    <w:rsid w:val="00CF67B9"/>
    <w:rsid w:val="00CF79DB"/>
    <w:rsid w:val="00D018C0"/>
    <w:rsid w:val="00D033F9"/>
    <w:rsid w:val="00D03F95"/>
    <w:rsid w:val="00D04EEE"/>
    <w:rsid w:val="00D05FC0"/>
    <w:rsid w:val="00D06C93"/>
    <w:rsid w:val="00D07226"/>
    <w:rsid w:val="00D07255"/>
    <w:rsid w:val="00D109D7"/>
    <w:rsid w:val="00D126D2"/>
    <w:rsid w:val="00D14387"/>
    <w:rsid w:val="00D1552C"/>
    <w:rsid w:val="00D1717A"/>
    <w:rsid w:val="00D240AE"/>
    <w:rsid w:val="00D30140"/>
    <w:rsid w:val="00D308CF"/>
    <w:rsid w:val="00D330DB"/>
    <w:rsid w:val="00D36D8D"/>
    <w:rsid w:val="00D407DF"/>
    <w:rsid w:val="00D40D09"/>
    <w:rsid w:val="00D535A2"/>
    <w:rsid w:val="00D53F75"/>
    <w:rsid w:val="00D63C3C"/>
    <w:rsid w:val="00D716A9"/>
    <w:rsid w:val="00D7194B"/>
    <w:rsid w:val="00D73654"/>
    <w:rsid w:val="00D74EDF"/>
    <w:rsid w:val="00D7564A"/>
    <w:rsid w:val="00D801C6"/>
    <w:rsid w:val="00D81AC9"/>
    <w:rsid w:val="00D81B64"/>
    <w:rsid w:val="00D82D2D"/>
    <w:rsid w:val="00D85148"/>
    <w:rsid w:val="00D86168"/>
    <w:rsid w:val="00D87A1E"/>
    <w:rsid w:val="00D92DB7"/>
    <w:rsid w:val="00D93245"/>
    <w:rsid w:val="00D9574F"/>
    <w:rsid w:val="00DA0245"/>
    <w:rsid w:val="00DB19F3"/>
    <w:rsid w:val="00DC3999"/>
    <w:rsid w:val="00DC3E33"/>
    <w:rsid w:val="00DC47CA"/>
    <w:rsid w:val="00DC55E4"/>
    <w:rsid w:val="00DC6875"/>
    <w:rsid w:val="00DE2067"/>
    <w:rsid w:val="00DE4470"/>
    <w:rsid w:val="00DE47BE"/>
    <w:rsid w:val="00E04447"/>
    <w:rsid w:val="00E05EAA"/>
    <w:rsid w:val="00E10216"/>
    <w:rsid w:val="00E11278"/>
    <w:rsid w:val="00E17B99"/>
    <w:rsid w:val="00E2107D"/>
    <w:rsid w:val="00E21CE1"/>
    <w:rsid w:val="00E220B0"/>
    <w:rsid w:val="00E22800"/>
    <w:rsid w:val="00E245A7"/>
    <w:rsid w:val="00E27941"/>
    <w:rsid w:val="00E27E94"/>
    <w:rsid w:val="00E320C8"/>
    <w:rsid w:val="00E419CD"/>
    <w:rsid w:val="00E41F64"/>
    <w:rsid w:val="00E42AA1"/>
    <w:rsid w:val="00E46327"/>
    <w:rsid w:val="00E50BA0"/>
    <w:rsid w:val="00E5101C"/>
    <w:rsid w:val="00E5234F"/>
    <w:rsid w:val="00E52925"/>
    <w:rsid w:val="00E52E0E"/>
    <w:rsid w:val="00E53D63"/>
    <w:rsid w:val="00E55C76"/>
    <w:rsid w:val="00E56FEE"/>
    <w:rsid w:val="00E57263"/>
    <w:rsid w:val="00E61D61"/>
    <w:rsid w:val="00E74721"/>
    <w:rsid w:val="00E74852"/>
    <w:rsid w:val="00E75809"/>
    <w:rsid w:val="00E80FB5"/>
    <w:rsid w:val="00E819E7"/>
    <w:rsid w:val="00E867E2"/>
    <w:rsid w:val="00E93979"/>
    <w:rsid w:val="00E94D13"/>
    <w:rsid w:val="00E96911"/>
    <w:rsid w:val="00EA062F"/>
    <w:rsid w:val="00EA1575"/>
    <w:rsid w:val="00EA2E18"/>
    <w:rsid w:val="00EA4875"/>
    <w:rsid w:val="00EA742B"/>
    <w:rsid w:val="00EB4342"/>
    <w:rsid w:val="00EB47FD"/>
    <w:rsid w:val="00EB5832"/>
    <w:rsid w:val="00EB5D6B"/>
    <w:rsid w:val="00EC5348"/>
    <w:rsid w:val="00ED077F"/>
    <w:rsid w:val="00ED0C07"/>
    <w:rsid w:val="00ED1375"/>
    <w:rsid w:val="00ED3685"/>
    <w:rsid w:val="00ED44C7"/>
    <w:rsid w:val="00ED4F91"/>
    <w:rsid w:val="00EE2875"/>
    <w:rsid w:val="00EF3321"/>
    <w:rsid w:val="00EF6DCD"/>
    <w:rsid w:val="00EF741F"/>
    <w:rsid w:val="00F00CB6"/>
    <w:rsid w:val="00F01C4F"/>
    <w:rsid w:val="00F0453D"/>
    <w:rsid w:val="00F04828"/>
    <w:rsid w:val="00F05BB7"/>
    <w:rsid w:val="00F066FB"/>
    <w:rsid w:val="00F0675E"/>
    <w:rsid w:val="00F07601"/>
    <w:rsid w:val="00F0784C"/>
    <w:rsid w:val="00F14BEF"/>
    <w:rsid w:val="00F15B21"/>
    <w:rsid w:val="00F2496D"/>
    <w:rsid w:val="00F25FB2"/>
    <w:rsid w:val="00F26177"/>
    <w:rsid w:val="00F30838"/>
    <w:rsid w:val="00F35067"/>
    <w:rsid w:val="00F434A6"/>
    <w:rsid w:val="00F44B86"/>
    <w:rsid w:val="00F46BEE"/>
    <w:rsid w:val="00F4727B"/>
    <w:rsid w:val="00F53AC7"/>
    <w:rsid w:val="00F569EF"/>
    <w:rsid w:val="00F60A64"/>
    <w:rsid w:val="00F62307"/>
    <w:rsid w:val="00F627BD"/>
    <w:rsid w:val="00F62F2C"/>
    <w:rsid w:val="00F6459D"/>
    <w:rsid w:val="00F70384"/>
    <w:rsid w:val="00F800B2"/>
    <w:rsid w:val="00F825B3"/>
    <w:rsid w:val="00F847D9"/>
    <w:rsid w:val="00F86541"/>
    <w:rsid w:val="00F91A10"/>
    <w:rsid w:val="00F92F52"/>
    <w:rsid w:val="00F94043"/>
    <w:rsid w:val="00F94869"/>
    <w:rsid w:val="00F95869"/>
    <w:rsid w:val="00FA2677"/>
    <w:rsid w:val="00FA5669"/>
    <w:rsid w:val="00FA5774"/>
    <w:rsid w:val="00FA7573"/>
    <w:rsid w:val="00FB0E0A"/>
    <w:rsid w:val="00FB26B3"/>
    <w:rsid w:val="00FB4D43"/>
    <w:rsid w:val="00FC0834"/>
    <w:rsid w:val="00FC3207"/>
    <w:rsid w:val="00FD05EB"/>
    <w:rsid w:val="00FD3B6A"/>
    <w:rsid w:val="00FD3FFF"/>
    <w:rsid w:val="00FD6FD7"/>
    <w:rsid w:val="00FE06D1"/>
    <w:rsid w:val="00FE123B"/>
    <w:rsid w:val="00FE14B5"/>
    <w:rsid w:val="00FE2560"/>
    <w:rsid w:val="00FE3EB6"/>
    <w:rsid w:val="00FE55C7"/>
    <w:rsid w:val="00FE5704"/>
    <w:rsid w:val="00FF3597"/>
    <w:rsid w:val="00FF5DAA"/>
    <w:rsid w:val="00FF75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9B0B"/>
  <w15:docId w15:val="{A586C089-7C14-4B2C-BB40-692D0C66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B62"/>
    <w:rPr>
      <w:rFonts w:ascii="Calibri" w:hAnsi="Calibri"/>
      <w:sz w:val="24"/>
    </w:rPr>
  </w:style>
  <w:style w:type="paragraph" w:styleId="Heading1">
    <w:name w:val="heading 1"/>
    <w:basedOn w:val="Normal"/>
    <w:next w:val="Normal"/>
    <w:uiPriority w:val="9"/>
    <w:qFormat/>
    <w:rsid w:val="00FF3597"/>
    <w:pPr>
      <w:keepNext/>
      <w:keepLines/>
      <w:spacing w:before="400" w:after="120"/>
      <w:outlineLvl w:val="0"/>
    </w:pPr>
    <w:rPr>
      <w:rFonts w:ascii="Verdana" w:hAnsi="Verdana"/>
      <w:sz w:val="40"/>
      <w:szCs w:val="40"/>
      <w:lang w:val="en-GB"/>
    </w:rPr>
  </w:style>
  <w:style w:type="paragraph" w:styleId="Heading2">
    <w:name w:val="heading 2"/>
    <w:basedOn w:val="Normal"/>
    <w:next w:val="Normal"/>
    <w:uiPriority w:val="9"/>
    <w:unhideWhenUsed/>
    <w:qFormat/>
    <w:rsid w:val="00B24949"/>
    <w:pPr>
      <w:keepNext/>
      <w:keepLines/>
      <w:shd w:val="clear" w:color="auto" w:fill="E7EFF9"/>
      <w:spacing w:before="360" w:after="120"/>
      <w:outlineLvl w:val="1"/>
    </w:pPr>
    <w:rPr>
      <w:rFonts w:ascii="Verdana Pro SemiBold" w:hAnsi="Verdana Pro SemiBold"/>
      <w:color w:val="002060"/>
      <w:sz w:val="36"/>
      <w:szCs w:val="32"/>
      <w:lang w:val="en-GB"/>
    </w:rPr>
  </w:style>
  <w:style w:type="paragraph" w:styleId="Heading3">
    <w:name w:val="heading 3"/>
    <w:basedOn w:val="Normal"/>
    <w:next w:val="Normal"/>
    <w:uiPriority w:val="9"/>
    <w:unhideWhenUsed/>
    <w:qFormat/>
    <w:rsid w:val="00FF3597"/>
    <w:pPr>
      <w:keepNext/>
      <w:keepLines/>
      <w:spacing w:before="320" w:after="80"/>
      <w:outlineLvl w:val="2"/>
    </w:pPr>
    <w:rPr>
      <w:rFonts w:ascii="Verdana Pro SemiBold" w:hAnsi="Verdana Pro SemiBold"/>
      <w:color w:val="002060"/>
      <w:sz w:val="32"/>
      <w:szCs w:val="28"/>
      <w:lang w:val="en-GB"/>
    </w:rPr>
  </w:style>
  <w:style w:type="paragraph" w:styleId="Heading4">
    <w:name w:val="heading 4"/>
    <w:basedOn w:val="Normal"/>
    <w:next w:val="Normal"/>
    <w:uiPriority w:val="9"/>
    <w:unhideWhenUsed/>
    <w:qFormat/>
    <w:rsid w:val="00C252FB"/>
    <w:pPr>
      <w:keepNext/>
      <w:keepLines/>
      <w:spacing w:before="280" w:after="80"/>
      <w:outlineLvl w:val="3"/>
    </w:pPr>
    <w:rPr>
      <w:rFonts w:ascii="Verdana Pro Cond" w:hAnsi="Verdana Pro Cond"/>
      <w:color w:val="002060"/>
      <w:sz w:val="32"/>
      <w:szCs w:val="32"/>
      <w:lang w:val="en-GB"/>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D18EE"/>
    <w:pPr>
      <w:tabs>
        <w:tab w:val="center" w:pos="4513"/>
        <w:tab w:val="right" w:pos="9026"/>
      </w:tabs>
      <w:spacing w:line="240" w:lineRule="auto"/>
    </w:pPr>
  </w:style>
  <w:style w:type="character" w:customStyle="1" w:styleId="HeaderChar">
    <w:name w:val="Header Char"/>
    <w:basedOn w:val="DefaultParagraphFont"/>
    <w:link w:val="Header"/>
    <w:uiPriority w:val="99"/>
    <w:rsid w:val="002D18EE"/>
  </w:style>
  <w:style w:type="paragraph" w:styleId="Footer">
    <w:name w:val="footer"/>
    <w:basedOn w:val="Normal"/>
    <w:link w:val="FooterChar"/>
    <w:uiPriority w:val="99"/>
    <w:unhideWhenUsed/>
    <w:rsid w:val="002D18EE"/>
    <w:pPr>
      <w:tabs>
        <w:tab w:val="center" w:pos="4513"/>
        <w:tab w:val="right" w:pos="9026"/>
      </w:tabs>
      <w:spacing w:line="240" w:lineRule="auto"/>
    </w:pPr>
  </w:style>
  <w:style w:type="character" w:customStyle="1" w:styleId="FooterChar">
    <w:name w:val="Footer Char"/>
    <w:basedOn w:val="DefaultParagraphFont"/>
    <w:link w:val="Footer"/>
    <w:uiPriority w:val="99"/>
    <w:rsid w:val="002D18EE"/>
  </w:style>
  <w:style w:type="paragraph" w:styleId="ListParagraph">
    <w:name w:val="List Paragraph"/>
    <w:basedOn w:val="Normal"/>
    <w:uiPriority w:val="34"/>
    <w:qFormat/>
    <w:rsid w:val="006631EE"/>
    <w:pPr>
      <w:ind w:left="720"/>
      <w:contextualSpacing/>
    </w:pPr>
  </w:style>
  <w:style w:type="character" w:styleId="Hyperlink">
    <w:name w:val="Hyperlink"/>
    <w:basedOn w:val="DefaultParagraphFont"/>
    <w:uiPriority w:val="99"/>
    <w:unhideWhenUsed/>
    <w:rsid w:val="00A1584B"/>
    <w:rPr>
      <w:color w:val="0000FF" w:themeColor="hyperlink"/>
      <w:u w:val="single"/>
    </w:rPr>
  </w:style>
  <w:style w:type="character" w:styleId="UnresolvedMention">
    <w:name w:val="Unresolved Mention"/>
    <w:basedOn w:val="DefaultParagraphFont"/>
    <w:uiPriority w:val="99"/>
    <w:semiHidden/>
    <w:unhideWhenUsed/>
    <w:rsid w:val="00A1584B"/>
    <w:rPr>
      <w:color w:val="605E5C"/>
      <w:shd w:val="clear" w:color="auto" w:fill="E1DFDD"/>
    </w:rPr>
  </w:style>
  <w:style w:type="character" w:styleId="CommentReference">
    <w:name w:val="annotation reference"/>
    <w:basedOn w:val="DefaultParagraphFont"/>
    <w:uiPriority w:val="99"/>
    <w:semiHidden/>
    <w:unhideWhenUsed/>
    <w:rsid w:val="0008588E"/>
    <w:rPr>
      <w:sz w:val="16"/>
      <w:szCs w:val="16"/>
    </w:rPr>
  </w:style>
  <w:style w:type="paragraph" w:styleId="CommentText">
    <w:name w:val="annotation text"/>
    <w:basedOn w:val="Normal"/>
    <w:link w:val="CommentTextChar"/>
    <w:uiPriority w:val="99"/>
    <w:unhideWhenUsed/>
    <w:rsid w:val="0008588E"/>
    <w:pPr>
      <w:spacing w:line="240" w:lineRule="auto"/>
    </w:pPr>
    <w:rPr>
      <w:sz w:val="20"/>
      <w:szCs w:val="20"/>
    </w:rPr>
  </w:style>
  <w:style w:type="character" w:customStyle="1" w:styleId="CommentTextChar">
    <w:name w:val="Comment Text Char"/>
    <w:basedOn w:val="DefaultParagraphFont"/>
    <w:link w:val="CommentText"/>
    <w:uiPriority w:val="99"/>
    <w:rsid w:val="0008588E"/>
    <w:rPr>
      <w:sz w:val="20"/>
      <w:szCs w:val="20"/>
    </w:rPr>
  </w:style>
  <w:style w:type="paragraph" w:styleId="CommentSubject">
    <w:name w:val="annotation subject"/>
    <w:basedOn w:val="CommentText"/>
    <w:next w:val="CommentText"/>
    <w:link w:val="CommentSubjectChar"/>
    <w:uiPriority w:val="99"/>
    <w:semiHidden/>
    <w:unhideWhenUsed/>
    <w:rsid w:val="0008588E"/>
    <w:rPr>
      <w:b/>
      <w:bCs/>
    </w:rPr>
  </w:style>
  <w:style w:type="character" w:customStyle="1" w:styleId="CommentSubjectChar">
    <w:name w:val="Comment Subject Char"/>
    <w:basedOn w:val="CommentTextChar"/>
    <w:link w:val="CommentSubject"/>
    <w:uiPriority w:val="99"/>
    <w:semiHidden/>
    <w:rsid w:val="0008588E"/>
    <w:rPr>
      <w:b/>
      <w:bCs/>
      <w:sz w:val="20"/>
      <w:szCs w:val="20"/>
    </w:rPr>
  </w:style>
  <w:style w:type="character" w:styleId="FollowedHyperlink">
    <w:name w:val="FollowedHyperlink"/>
    <w:basedOn w:val="DefaultParagraphFont"/>
    <w:uiPriority w:val="99"/>
    <w:semiHidden/>
    <w:unhideWhenUsed/>
    <w:rsid w:val="006B3C1F"/>
    <w:rPr>
      <w:color w:val="800080" w:themeColor="followedHyperlink"/>
      <w:u w:val="single"/>
    </w:rPr>
  </w:style>
  <w:style w:type="character" w:styleId="SubtleEmphasis">
    <w:name w:val="Subtle Emphasis"/>
    <w:basedOn w:val="DefaultParagraphFont"/>
    <w:uiPriority w:val="19"/>
    <w:qFormat/>
    <w:rsid w:val="00B035E4"/>
    <w:rPr>
      <w:i/>
      <w:iCs/>
      <w:color w:val="404040" w:themeColor="text1" w:themeTint="BF"/>
      <w:sz w:val="24"/>
      <w:szCs w:val="24"/>
      <w:u w:val="single"/>
    </w:rPr>
  </w:style>
  <w:style w:type="paragraph" w:styleId="Revision">
    <w:name w:val="Revision"/>
    <w:hidden/>
    <w:uiPriority w:val="99"/>
    <w:semiHidden/>
    <w:rsid w:val="00A07753"/>
    <w:pPr>
      <w:spacing w:line="240" w:lineRule="auto"/>
    </w:pPr>
  </w:style>
  <w:style w:type="paragraph" w:styleId="FootnoteText">
    <w:name w:val="footnote text"/>
    <w:basedOn w:val="Normal"/>
    <w:link w:val="FootnoteTextChar"/>
    <w:uiPriority w:val="99"/>
    <w:semiHidden/>
    <w:unhideWhenUsed/>
    <w:rsid w:val="00BE7E33"/>
    <w:pPr>
      <w:spacing w:line="240" w:lineRule="auto"/>
    </w:pPr>
    <w:rPr>
      <w:sz w:val="20"/>
      <w:szCs w:val="20"/>
    </w:rPr>
  </w:style>
  <w:style w:type="character" w:customStyle="1" w:styleId="FootnoteTextChar">
    <w:name w:val="Footnote Text Char"/>
    <w:basedOn w:val="DefaultParagraphFont"/>
    <w:link w:val="FootnoteText"/>
    <w:uiPriority w:val="99"/>
    <w:semiHidden/>
    <w:rsid w:val="00BE7E33"/>
    <w:rPr>
      <w:sz w:val="20"/>
      <w:szCs w:val="20"/>
    </w:rPr>
  </w:style>
  <w:style w:type="character" w:styleId="FootnoteReference">
    <w:name w:val="footnote reference"/>
    <w:aliases w:val="Footnote Reference (Alt+R),ftref,Ref,de nota al pie,4_G"/>
    <w:basedOn w:val="DefaultParagraphFont"/>
    <w:uiPriority w:val="99"/>
    <w:unhideWhenUsed/>
    <w:qFormat/>
    <w:rsid w:val="00BE7E33"/>
    <w:rPr>
      <w:vertAlign w:val="superscript"/>
    </w:rPr>
  </w:style>
  <w:style w:type="paragraph" w:styleId="TOCHeading">
    <w:name w:val="TOC Heading"/>
    <w:basedOn w:val="Heading1"/>
    <w:next w:val="Normal"/>
    <w:uiPriority w:val="39"/>
    <w:unhideWhenUsed/>
    <w:qFormat/>
    <w:rsid w:val="00F066FB"/>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3">
    <w:name w:val="toc 3"/>
    <w:basedOn w:val="Normal"/>
    <w:next w:val="Normal"/>
    <w:autoRedefine/>
    <w:uiPriority w:val="39"/>
    <w:unhideWhenUsed/>
    <w:rsid w:val="00F066FB"/>
    <w:pPr>
      <w:tabs>
        <w:tab w:val="right" w:leader="dot" w:pos="9019"/>
      </w:tabs>
      <w:spacing w:after="100"/>
      <w:ind w:left="440"/>
    </w:pPr>
  </w:style>
  <w:style w:type="paragraph" w:styleId="TOC2">
    <w:name w:val="toc 2"/>
    <w:basedOn w:val="Normal"/>
    <w:next w:val="Normal"/>
    <w:autoRedefine/>
    <w:uiPriority w:val="39"/>
    <w:unhideWhenUsed/>
    <w:rsid w:val="00562EE6"/>
    <w:pPr>
      <w:tabs>
        <w:tab w:val="right" w:leader="dot" w:pos="9019"/>
      </w:tabs>
      <w:spacing w:after="100"/>
      <w:ind w:left="220"/>
    </w:pPr>
  </w:style>
  <w:style w:type="paragraph" w:styleId="TOC4">
    <w:name w:val="toc 4"/>
    <w:basedOn w:val="Normal"/>
    <w:next w:val="Normal"/>
    <w:autoRedefine/>
    <w:uiPriority w:val="39"/>
    <w:unhideWhenUsed/>
    <w:rsid w:val="00562EE6"/>
    <w:pPr>
      <w:spacing w:after="100"/>
      <w:ind w:left="660"/>
    </w:pPr>
  </w:style>
  <w:style w:type="paragraph" w:styleId="EndnoteText">
    <w:name w:val="endnote text"/>
    <w:basedOn w:val="Normal"/>
    <w:link w:val="EndnoteTextChar"/>
    <w:uiPriority w:val="99"/>
    <w:semiHidden/>
    <w:unhideWhenUsed/>
    <w:rsid w:val="00A339C1"/>
    <w:pPr>
      <w:spacing w:line="240" w:lineRule="auto"/>
    </w:pPr>
    <w:rPr>
      <w:sz w:val="20"/>
      <w:szCs w:val="20"/>
    </w:rPr>
  </w:style>
  <w:style w:type="character" w:customStyle="1" w:styleId="EndnoteTextChar">
    <w:name w:val="Endnote Text Char"/>
    <w:basedOn w:val="DefaultParagraphFont"/>
    <w:link w:val="EndnoteText"/>
    <w:uiPriority w:val="99"/>
    <w:semiHidden/>
    <w:rsid w:val="00A339C1"/>
    <w:rPr>
      <w:sz w:val="20"/>
      <w:szCs w:val="20"/>
    </w:rPr>
  </w:style>
  <w:style w:type="character" w:styleId="EndnoteReference">
    <w:name w:val="endnote reference"/>
    <w:basedOn w:val="DefaultParagraphFont"/>
    <w:uiPriority w:val="99"/>
    <w:semiHidden/>
    <w:unhideWhenUsed/>
    <w:rsid w:val="00A339C1"/>
    <w:rPr>
      <w:vertAlign w:val="superscript"/>
    </w:rPr>
  </w:style>
  <w:style w:type="paragraph" w:styleId="TOC1">
    <w:name w:val="toc 1"/>
    <w:basedOn w:val="Normal"/>
    <w:next w:val="Normal"/>
    <w:autoRedefine/>
    <w:uiPriority w:val="39"/>
    <w:unhideWhenUsed/>
    <w:rsid w:val="00B24949"/>
    <w:pPr>
      <w:tabs>
        <w:tab w:val="right" w:leader="dot" w:pos="9019"/>
      </w:tabs>
      <w:spacing w:after="100"/>
    </w:pPr>
  </w:style>
  <w:style w:type="paragraph" w:styleId="NormalWeb">
    <w:name w:val="Normal (Web)"/>
    <w:basedOn w:val="Normal"/>
    <w:uiPriority w:val="99"/>
    <w:semiHidden/>
    <w:unhideWhenUsed/>
    <w:rsid w:val="001E047B"/>
    <w:rPr>
      <w:rFonts w:ascii="Times New Roman" w:hAnsi="Times New Roman" w:cs="Times New Roman"/>
      <w:szCs w:val="24"/>
    </w:rPr>
  </w:style>
  <w:style w:type="character" w:styleId="Emphasis">
    <w:name w:val="Emphasis"/>
    <w:basedOn w:val="DefaultParagraphFont"/>
    <w:uiPriority w:val="20"/>
    <w:qFormat/>
    <w:rsid w:val="008044C1"/>
    <w:rPr>
      <w:rFonts w:ascii="Calibri Light" w:hAnsi="Calibri Light"/>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835">
      <w:bodyDiv w:val="1"/>
      <w:marLeft w:val="0"/>
      <w:marRight w:val="0"/>
      <w:marTop w:val="0"/>
      <w:marBottom w:val="0"/>
      <w:divBdr>
        <w:top w:val="none" w:sz="0" w:space="0" w:color="auto"/>
        <w:left w:val="none" w:sz="0" w:space="0" w:color="auto"/>
        <w:bottom w:val="none" w:sz="0" w:space="0" w:color="auto"/>
        <w:right w:val="none" w:sz="0" w:space="0" w:color="auto"/>
      </w:divBdr>
    </w:div>
    <w:div w:id="74205331">
      <w:bodyDiv w:val="1"/>
      <w:marLeft w:val="0"/>
      <w:marRight w:val="0"/>
      <w:marTop w:val="0"/>
      <w:marBottom w:val="0"/>
      <w:divBdr>
        <w:top w:val="none" w:sz="0" w:space="0" w:color="auto"/>
        <w:left w:val="none" w:sz="0" w:space="0" w:color="auto"/>
        <w:bottom w:val="none" w:sz="0" w:space="0" w:color="auto"/>
        <w:right w:val="none" w:sz="0" w:space="0" w:color="auto"/>
      </w:divBdr>
    </w:div>
    <w:div w:id="122427902">
      <w:bodyDiv w:val="1"/>
      <w:marLeft w:val="0"/>
      <w:marRight w:val="0"/>
      <w:marTop w:val="0"/>
      <w:marBottom w:val="0"/>
      <w:divBdr>
        <w:top w:val="none" w:sz="0" w:space="0" w:color="auto"/>
        <w:left w:val="none" w:sz="0" w:space="0" w:color="auto"/>
        <w:bottom w:val="none" w:sz="0" w:space="0" w:color="auto"/>
        <w:right w:val="none" w:sz="0" w:space="0" w:color="auto"/>
      </w:divBdr>
    </w:div>
    <w:div w:id="171796485">
      <w:bodyDiv w:val="1"/>
      <w:marLeft w:val="0"/>
      <w:marRight w:val="0"/>
      <w:marTop w:val="0"/>
      <w:marBottom w:val="0"/>
      <w:divBdr>
        <w:top w:val="none" w:sz="0" w:space="0" w:color="auto"/>
        <w:left w:val="none" w:sz="0" w:space="0" w:color="auto"/>
        <w:bottom w:val="none" w:sz="0" w:space="0" w:color="auto"/>
        <w:right w:val="none" w:sz="0" w:space="0" w:color="auto"/>
      </w:divBdr>
    </w:div>
    <w:div w:id="180899655">
      <w:bodyDiv w:val="1"/>
      <w:marLeft w:val="0"/>
      <w:marRight w:val="0"/>
      <w:marTop w:val="0"/>
      <w:marBottom w:val="0"/>
      <w:divBdr>
        <w:top w:val="none" w:sz="0" w:space="0" w:color="auto"/>
        <w:left w:val="none" w:sz="0" w:space="0" w:color="auto"/>
        <w:bottom w:val="none" w:sz="0" w:space="0" w:color="auto"/>
        <w:right w:val="none" w:sz="0" w:space="0" w:color="auto"/>
      </w:divBdr>
    </w:div>
    <w:div w:id="198595679">
      <w:bodyDiv w:val="1"/>
      <w:marLeft w:val="0"/>
      <w:marRight w:val="0"/>
      <w:marTop w:val="0"/>
      <w:marBottom w:val="0"/>
      <w:divBdr>
        <w:top w:val="none" w:sz="0" w:space="0" w:color="auto"/>
        <w:left w:val="none" w:sz="0" w:space="0" w:color="auto"/>
        <w:bottom w:val="none" w:sz="0" w:space="0" w:color="auto"/>
        <w:right w:val="none" w:sz="0" w:space="0" w:color="auto"/>
      </w:divBdr>
    </w:div>
    <w:div w:id="288317967">
      <w:bodyDiv w:val="1"/>
      <w:marLeft w:val="0"/>
      <w:marRight w:val="0"/>
      <w:marTop w:val="0"/>
      <w:marBottom w:val="0"/>
      <w:divBdr>
        <w:top w:val="none" w:sz="0" w:space="0" w:color="auto"/>
        <w:left w:val="none" w:sz="0" w:space="0" w:color="auto"/>
        <w:bottom w:val="none" w:sz="0" w:space="0" w:color="auto"/>
        <w:right w:val="none" w:sz="0" w:space="0" w:color="auto"/>
      </w:divBdr>
    </w:div>
    <w:div w:id="297297346">
      <w:bodyDiv w:val="1"/>
      <w:marLeft w:val="0"/>
      <w:marRight w:val="0"/>
      <w:marTop w:val="0"/>
      <w:marBottom w:val="0"/>
      <w:divBdr>
        <w:top w:val="none" w:sz="0" w:space="0" w:color="auto"/>
        <w:left w:val="none" w:sz="0" w:space="0" w:color="auto"/>
        <w:bottom w:val="none" w:sz="0" w:space="0" w:color="auto"/>
        <w:right w:val="none" w:sz="0" w:space="0" w:color="auto"/>
      </w:divBdr>
    </w:div>
    <w:div w:id="358090248">
      <w:bodyDiv w:val="1"/>
      <w:marLeft w:val="0"/>
      <w:marRight w:val="0"/>
      <w:marTop w:val="0"/>
      <w:marBottom w:val="0"/>
      <w:divBdr>
        <w:top w:val="none" w:sz="0" w:space="0" w:color="auto"/>
        <w:left w:val="none" w:sz="0" w:space="0" w:color="auto"/>
        <w:bottom w:val="none" w:sz="0" w:space="0" w:color="auto"/>
        <w:right w:val="none" w:sz="0" w:space="0" w:color="auto"/>
      </w:divBdr>
    </w:div>
    <w:div w:id="409355756">
      <w:bodyDiv w:val="1"/>
      <w:marLeft w:val="0"/>
      <w:marRight w:val="0"/>
      <w:marTop w:val="0"/>
      <w:marBottom w:val="0"/>
      <w:divBdr>
        <w:top w:val="none" w:sz="0" w:space="0" w:color="auto"/>
        <w:left w:val="none" w:sz="0" w:space="0" w:color="auto"/>
        <w:bottom w:val="none" w:sz="0" w:space="0" w:color="auto"/>
        <w:right w:val="none" w:sz="0" w:space="0" w:color="auto"/>
      </w:divBdr>
    </w:div>
    <w:div w:id="485440858">
      <w:bodyDiv w:val="1"/>
      <w:marLeft w:val="0"/>
      <w:marRight w:val="0"/>
      <w:marTop w:val="0"/>
      <w:marBottom w:val="0"/>
      <w:divBdr>
        <w:top w:val="none" w:sz="0" w:space="0" w:color="auto"/>
        <w:left w:val="none" w:sz="0" w:space="0" w:color="auto"/>
        <w:bottom w:val="none" w:sz="0" w:space="0" w:color="auto"/>
        <w:right w:val="none" w:sz="0" w:space="0" w:color="auto"/>
      </w:divBdr>
    </w:div>
    <w:div w:id="539630139">
      <w:bodyDiv w:val="1"/>
      <w:marLeft w:val="0"/>
      <w:marRight w:val="0"/>
      <w:marTop w:val="0"/>
      <w:marBottom w:val="0"/>
      <w:divBdr>
        <w:top w:val="none" w:sz="0" w:space="0" w:color="auto"/>
        <w:left w:val="none" w:sz="0" w:space="0" w:color="auto"/>
        <w:bottom w:val="none" w:sz="0" w:space="0" w:color="auto"/>
        <w:right w:val="none" w:sz="0" w:space="0" w:color="auto"/>
      </w:divBdr>
    </w:div>
    <w:div w:id="626857764">
      <w:bodyDiv w:val="1"/>
      <w:marLeft w:val="0"/>
      <w:marRight w:val="0"/>
      <w:marTop w:val="0"/>
      <w:marBottom w:val="0"/>
      <w:divBdr>
        <w:top w:val="none" w:sz="0" w:space="0" w:color="auto"/>
        <w:left w:val="none" w:sz="0" w:space="0" w:color="auto"/>
        <w:bottom w:val="none" w:sz="0" w:space="0" w:color="auto"/>
        <w:right w:val="none" w:sz="0" w:space="0" w:color="auto"/>
      </w:divBdr>
    </w:div>
    <w:div w:id="694690857">
      <w:bodyDiv w:val="1"/>
      <w:marLeft w:val="0"/>
      <w:marRight w:val="0"/>
      <w:marTop w:val="0"/>
      <w:marBottom w:val="0"/>
      <w:divBdr>
        <w:top w:val="none" w:sz="0" w:space="0" w:color="auto"/>
        <w:left w:val="none" w:sz="0" w:space="0" w:color="auto"/>
        <w:bottom w:val="none" w:sz="0" w:space="0" w:color="auto"/>
        <w:right w:val="none" w:sz="0" w:space="0" w:color="auto"/>
      </w:divBdr>
    </w:div>
    <w:div w:id="713890457">
      <w:bodyDiv w:val="1"/>
      <w:marLeft w:val="0"/>
      <w:marRight w:val="0"/>
      <w:marTop w:val="0"/>
      <w:marBottom w:val="0"/>
      <w:divBdr>
        <w:top w:val="none" w:sz="0" w:space="0" w:color="auto"/>
        <w:left w:val="none" w:sz="0" w:space="0" w:color="auto"/>
        <w:bottom w:val="none" w:sz="0" w:space="0" w:color="auto"/>
        <w:right w:val="none" w:sz="0" w:space="0" w:color="auto"/>
      </w:divBdr>
    </w:div>
    <w:div w:id="764767876">
      <w:bodyDiv w:val="1"/>
      <w:marLeft w:val="0"/>
      <w:marRight w:val="0"/>
      <w:marTop w:val="0"/>
      <w:marBottom w:val="0"/>
      <w:divBdr>
        <w:top w:val="none" w:sz="0" w:space="0" w:color="auto"/>
        <w:left w:val="none" w:sz="0" w:space="0" w:color="auto"/>
        <w:bottom w:val="none" w:sz="0" w:space="0" w:color="auto"/>
        <w:right w:val="none" w:sz="0" w:space="0" w:color="auto"/>
      </w:divBdr>
    </w:div>
    <w:div w:id="784230959">
      <w:bodyDiv w:val="1"/>
      <w:marLeft w:val="0"/>
      <w:marRight w:val="0"/>
      <w:marTop w:val="0"/>
      <w:marBottom w:val="0"/>
      <w:divBdr>
        <w:top w:val="none" w:sz="0" w:space="0" w:color="auto"/>
        <w:left w:val="none" w:sz="0" w:space="0" w:color="auto"/>
        <w:bottom w:val="none" w:sz="0" w:space="0" w:color="auto"/>
        <w:right w:val="none" w:sz="0" w:space="0" w:color="auto"/>
      </w:divBdr>
    </w:div>
    <w:div w:id="905839147">
      <w:bodyDiv w:val="1"/>
      <w:marLeft w:val="0"/>
      <w:marRight w:val="0"/>
      <w:marTop w:val="0"/>
      <w:marBottom w:val="0"/>
      <w:divBdr>
        <w:top w:val="none" w:sz="0" w:space="0" w:color="auto"/>
        <w:left w:val="none" w:sz="0" w:space="0" w:color="auto"/>
        <w:bottom w:val="none" w:sz="0" w:space="0" w:color="auto"/>
        <w:right w:val="none" w:sz="0" w:space="0" w:color="auto"/>
      </w:divBdr>
    </w:div>
    <w:div w:id="970600141">
      <w:bodyDiv w:val="1"/>
      <w:marLeft w:val="0"/>
      <w:marRight w:val="0"/>
      <w:marTop w:val="0"/>
      <w:marBottom w:val="0"/>
      <w:divBdr>
        <w:top w:val="none" w:sz="0" w:space="0" w:color="auto"/>
        <w:left w:val="none" w:sz="0" w:space="0" w:color="auto"/>
        <w:bottom w:val="none" w:sz="0" w:space="0" w:color="auto"/>
        <w:right w:val="none" w:sz="0" w:space="0" w:color="auto"/>
      </w:divBdr>
    </w:div>
    <w:div w:id="977494064">
      <w:bodyDiv w:val="1"/>
      <w:marLeft w:val="0"/>
      <w:marRight w:val="0"/>
      <w:marTop w:val="0"/>
      <w:marBottom w:val="0"/>
      <w:divBdr>
        <w:top w:val="none" w:sz="0" w:space="0" w:color="auto"/>
        <w:left w:val="none" w:sz="0" w:space="0" w:color="auto"/>
        <w:bottom w:val="none" w:sz="0" w:space="0" w:color="auto"/>
        <w:right w:val="none" w:sz="0" w:space="0" w:color="auto"/>
      </w:divBdr>
    </w:div>
    <w:div w:id="990795557">
      <w:bodyDiv w:val="1"/>
      <w:marLeft w:val="0"/>
      <w:marRight w:val="0"/>
      <w:marTop w:val="0"/>
      <w:marBottom w:val="0"/>
      <w:divBdr>
        <w:top w:val="none" w:sz="0" w:space="0" w:color="auto"/>
        <w:left w:val="none" w:sz="0" w:space="0" w:color="auto"/>
        <w:bottom w:val="none" w:sz="0" w:space="0" w:color="auto"/>
        <w:right w:val="none" w:sz="0" w:space="0" w:color="auto"/>
      </w:divBdr>
    </w:div>
    <w:div w:id="1025323823">
      <w:bodyDiv w:val="1"/>
      <w:marLeft w:val="0"/>
      <w:marRight w:val="0"/>
      <w:marTop w:val="0"/>
      <w:marBottom w:val="0"/>
      <w:divBdr>
        <w:top w:val="none" w:sz="0" w:space="0" w:color="auto"/>
        <w:left w:val="none" w:sz="0" w:space="0" w:color="auto"/>
        <w:bottom w:val="none" w:sz="0" w:space="0" w:color="auto"/>
        <w:right w:val="none" w:sz="0" w:space="0" w:color="auto"/>
      </w:divBdr>
    </w:div>
    <w:div w:id="1029525779">
      <w:bodyDiv w:val="1"/>
      <w:marLeft w:val="0"/>
      <w:marRight w:val="0"/>
      <w:marTop w:val="0"/>
      <w:marBottom w:val="0"/>
      <w:divBdr>
        <w:top w:val="none" w:sz="0" w:space="0" w:color="auto"/>
        <w:left w:val="none" w:sz="0" w:space="0" w:color="auto"/>
        <w:bottom w:val="none" w:sz="0" w:space="0" w:color="auto"/>
        <w:right w:val="none" w:sz="0" w:space="0" w:color="auto"/>
      </w:divBdr>
    </w:div>
    <w:div w:id="1063410385">
      <w:bodyDiv w:val="1"/>
      <w:marLeft w:val="0"/>
      <w:marRight w:val="0"/>
      <w:marTop w:val="0"/>
      <w:marBottom w:val="0"/>
      <w:divBdr>
        <w:top w:val="none" w:sz="0" w:space="0" w:color="auto"/>
        <w:left w:val="none" w:sz="0" w:space="0" w:color="auto"/>
        <w:bottom w:val="none" w:sz="0" w:space="0" w:color="auto"/>
        <w:right w:val="none" w:sz="0" w:space="0" w:color="auto"/>
      </w:divBdr>
    </w:div>
    <w:div w:id="1130707388">
      <w:bodyDiv w:val="1"/>
      <w:marLeft w:val="0"/>
      <w:marRight w:val="0"/>
      <w:marTop w:val="0"/>
      <w:marBottom w:val="0"/>
      <w:divBdr>
        <w:top w:val="none" w:sz="0" w:space="0" w:color="auto"/>
        <w:left w:val="none" w:sz="0" w:space="0" w:color="auto"/>
        <w:bottom w:val="none" w:sz="0" w:space="0" w:color="auto"/>
        <w:right w:val="none" w:sz="0" w:space="0" w:color="auto"/>
      </w:divBdr>
    </w:div>
    <w:div w:id="1134298618">
      <w:bodyDiv w:val="1"/>
      <w:marLeft w:val="0"/>
      <w:marRight w:val="0"/>
      <w:marTop w:val="0"/>
      <w:marBottom w:val="0"/>
      <w:divBdr>
        <w:top w:val="none" w:sz="0" w:space="0" w:color="auto"/>
        <w:left w:val="none" w:sz="0" w:space="0" w:color="auto"/>
        <w:bottom w:val="none" w:sz="0" w:space="0" w:color="auto"/>
        <w:right w:val="none" w:sz="0" w:space="0" w:color="auto"/>
      </w:divBdr>
    </w:div>
    <w:div w:id="1140149829">
      <w:bodyDiv w:val="1"/>
      <w:marLeft w:val="0"/>
      <w:marRight w:val="0"/>
      <w:marTop w:val="0"/>
      <w:marBottom w:val="0"/>
      <w:divBdr>
        <w:top w:val="none" w:sz="0" w:space="0" w:color="auto"/>
        <w:left w:val="none" w:sz="0" w:space="0" w:color="auto"/>
        <w:bottom w:val="none" w:sz="0" w:space="0" w:color="auto"/>
        <w:right w:val="none" w:sz="0" w:space="0" w:color="auto"/>
      </w:divBdr>
    </w:div>
    <w:div w:id="1143699490">
      <w:bodyDiv w:val="1"/>
      <w:marLeft w:val="0"/>
      <w:marRight w:val="0"/>
      <w:marTop w:val="0"/>
      <w:marBottom w:val="0"/>
      <w:divBdr>
        <w:top w:val="none" w:sz="0" w:space="0" w:color="auto"/>
        <w:left w:val="none" w:sz="0" w:space="0" w:color="auto"/>
        <w:bottom w:val="none" w:sz="0" w:space="0" w:color="auto"/>
        <w:right w:val="none" w:sz="0" w:space="0" w:color="auto"/>
      </w:divBdr>
    </w:div>
    <w:div w:id="1151672624">
      <w:bodyDiv w:val="1"/>
      <w:marLeft w:val="0"/>
      <w:marRight w:val="0"/>
      <w:marTop w:val="0"/>
      <w:marBottom w:val="0"/>
      <w:divBdr>
        <w:top w:val="none" w:sz="0" w:space="0" w:color="auto"/>
        <w:left w:val="none" w:sz="0" w:space="0" w:color="auto"/>
        <w:bottom w:val="none" w:sz="0" w:space="0" w:color="auto"/>
        <w:right w:val="none" w:sz="0" w:space="0" w:color="auto"/>
      </w:divBdr>
    </w:div>
    <w:div w:id="1165438629">
      <w:bodyDiv w:val="1"/>
      <w:marLeft w:val="0"/>
      <w:marRight w:val="0"/>
      <w:marTop w:val="0"/>
      <w:marBottom w:val="0"/>
      <w:divBdr>
        <w:top w:val="none" w:sz="0" w:space="0" w:color="auto"/>
        <w:left w:val="none" w:sz="0" w:space="0" w:color="auto"/>
        <w:bottom w:val="none" w:sz="0" w:space="0" w:color="auto"/>
        <w:right w:val="none" w:sz="0" w:space="0" w:color="auto"/>
      </w:divBdr>
    </w:div>
    <w:div w:id="1171065752">
      <w:bodyDiv w:val="1"/>
      <w:marLeft w:val="0"/>
      <w:marRight w:val="0"/>
      <w:marTop w:val="0"/>
      <w:marBottom w:val="0"/>
      <w:divBdr>
        <w:top w:val="none" w:sz="0" w:space="0" w:color="auto"/>
        <w:left w:val="none" w:sz="0" w:space="0" w:color="auto"/>
        <w:bottom w:val="none" w:sz="0" w:space="0" w:color="auto"/>
        <w:right w:val="none" w:sz="0" w:space="0" w:color="auto"/>
      </w:divBdr>
    </w:div>
    <w:div w:id="1206671808">
      <w:bodyDiv w:val="1"/>
      <w:marLeft w:val="0"/>
      <w:marRight w:val="0"/>
      <w:marTop w:val="0"/>
      <w:marBottom w:val="0"/>
      <w:divBdr>
        <w:top w:val="none" w:sz="0" w:space="0" w:color="auto"/>
        <w:left w:val="none" w:sz="0" w:space="0" w:color="auto"/>
        <w:bottom w:val="none" w:sz="0" w:space="0" w:color="auto"/>
        <w:right w:val="none" w:sz="0" w:space="0" w:color="auto"/>
      </w:divBdr>
    </w:div>
    <w:div w:id="1243174274">
      <w:bodyDiv w:val="1"/>
      <w:marLeft w:val="0"/>
      <w:marRight w:val="0"/>
      <w:marTop w:val="0"/>
      <w:marBottom w:val="0"/>
      <w:divBdr>
        <w:top w:val="none" w:sz="0" w:space="0" w:color="auto"/>
        <w:left w:val="none" w:sz="0" w:space="0" w:color="auto"/>
        <w:bottom w:val="none" w:sz="0" w:space="0" w:color="auto"/>
        <w:right w:val="none" w:sz="0" w:space="0" w:color="auto"/>
      </w:divBdr>
    </w:div>
    <w:div w:id="1270626437">
      <w:bodyDiv w:val="1"/>
      <w:marLeft w:val="0"/>
      <w:marRight w:val="0"/>
      <w:marTop w:val="0"/>
      <w:marBottom w:val="0"/>
      <w:divBdr>
        <w:top w:val="none" w:sz="0" w:space="0" w:color="auto"/>
        <w:left w:val="none" w:sz="0" w:space="0" w:color="auto"/>
        <w:bottom w:val="none" w:sz="0" w:space="0" w:color="auto"/>
        <w:right w:val="none" w:sz="0" w:space="0" w:color="auto"/>
      </w:divBdr>
    </w:div>
    <w:div w:id="1289314421">
      <w:bodyDiv w:val="1"/>
      <w:marLeft w:val="0"/>
      <w:marRight w:val="0"/>
      <w:marTop w:val="0"/>
      <w:marBottom w:val="0"/>
      <w:divBdr>
        <w:top w:val="none" w:sz="0" w:space="0" w:color="auto"/>
        <w:left w:val="none" w:sz="0" w:space="0" w:color="auto"/>
        <w:bottom w:val="none" w:sz="0" w:space="0" w:color="auto"/>
        <w:right w:val="none" w:sz="0" w:space="0" w:color="auto"/>
      </w:divBdr>
    </w:div>
    <w:div w:id="1295328041">
      <w:bodyDiv w:val="1"/>
      <w:marLeft w:val="0"/>
      <w:marRight w:val="0"/>
      <w:marTop w:val="0"/>
      <w:marBottom w:val="0"/>
      <w:divBdr>
        <w:top w:val="none" w:sz="0" w:space="0" w:color="auto"/>
        <w:left w:val="none" w:sz="0" w:space="0" w:color="auto"/>
        <w:bottom w:val="none" w:sz="0" w:space="0" w:color="auto"/>
        <w:right w:val="none" w:sz="0" w:space="0" w:color="auto"/>
      </w:divBdr>
    </w:div>
    <w:div w:id="1301305603">
      <w:bodyDiv w:val="1"/>
      <w:marLeft w:val="0"/>
      <w:marRight w:val="0"/>
      <w:marTop w:val="0"/>
      <w:marBottom w:val="0"/>
      <w:divBdr>
        <w:top w:val="none" w:sz="0" w:space="0" w:color="auto"/>
        <w:left w:val="none" w:sz="0" w:space="0" w:color="auto"/>
        <w:bottom w:val="none" w:sz="0" w:space="0" w:color="auto"/>
        <w:right w:val="none" w:sz="0" w:space="0" w:color="auto"/>
      </w:divBdr>
    </w:div>
    <w:div w:id="1348287016">
      <w:bodyDiv w:val="1"/>
      <w:marLeft w:val="0"/>
      <w:marRight w:val="0"/>
      <w:marTop w:val="0"/>
      <w:marBottom w:val="0"/>
      <w:divBdr>
        <w:top w:val="none" w:sz="0" w:space="0" w:color="auto"/>
        <w:left w:val="none" w:sz="0" w:space="0" w:color="auto"/>
        <w:bottom w:val="none" w:sz="0" w:space="0" w:color="auto"/>
        <w:right w:val="none" w:sz="0" w:space="0" w:color="auto"/>
      </w:divBdr>
    </w:div>
    <w:div w:id="1369524546">
      <w:bodyDiv w:val="1"/>
      <w:marLeft w:val="0"/>
      <w:marRight w:val="0"/>
      <w:marTop w:val="0"/>
      <w:marBottom w:val="0"/>
      <w:divBdr>
        <w:top w:val="none" w:sz="0" w:space="0" w:color="auto"/>
        <w:left w:val="none" w:sz="0" w:space="0" w:color="auto"/>
        <w:bottom w:val="none" w:sz="0" w:space="0" w:color="auto"/>
        <w:right w:val="none" w:sz="0" w:space="0" w:color="auto"/>
      </w:divBdr>
    </w:div>
    <w:div w:id="1382098245">
      <w:bodyDiv w:val="1"/>
      <w:marLeft w:val="0"/>
      <w:marRight w:val="0"/>
      <w:marTop w:val="0"/>
      <w:marBottom w:val="0"/>
      <w:divBdr>
        <w:top w:val="none" w:sz="0" w:space="0" w:color="auto"/>
        <w:left w:val="none" w:sz="0" w:space="0" w:color="auto"/>
        <w:bottom w:val="none" w:sz="0" w:space="0" w:color="auto"/>
        <w:right w:val="none" w:sz="0" w:space="0" w:color="auto"/>
      </w:divBdr>
    </w:div>
    <w:div w:id="1450860208">
      <w:bodyDiv w:val="1"/>
      <w:marLeft w:val="0"/>
      <w:marRight w:val="0"/>
      <w:marTop w:val="0"/>
      <w:marBottom w:val="0"/>
      <w:divBdr>
        <w:top w:val="none" w:sz="0" w:space="0" w:color="auto"/>
        <w:left w:val="none" w:sz="0" w:space="0" w:color="auto"/>
        <w:bottom w:val="none" w:sz="0" w:space="0" w:color="auto"/>
        <w:right w:val="none" w:sz="0" w:space="0" w:color="auto"/>
      </w:divBdr>
    </w:div>
    <w:div w:id="1485775876">
      <w:bodyDiv w:val="1"/>
      <w:marLeft w:val="0"/>
      <w:marRight w:val="0"/>
      <w:marTop w:val="0"/>
      <w:marBottom w:val="0"/>
      <w:divBdr>
        <w:top w:val="none" w:sz="0" w:space="0" w:color="auto"/>
        <w:left w:val="none" w:sz="0" w:space="0" w:color="auto"/>
        <w:bottom w:val="none" w:sz="0" w:space="0" w:color="auto"/>
        <w:right w:val="none" w:sz="0" w:space="0" w:color="auto"/>
      </w:divBdr>
    </w:div>
    <w:div w:id="1495955459">
      <w:bodyDiv w:val="1"/>
      <w:marLeft w:val="0"/>
      <w:marRight w:val="0"/>
      <w:marTop w:val="0"/>
      <w:marBottom w:val="0"/>
      <w:divBdr>
        <w:top w:val="none" w:sz="0" w:space="0" w:color="auto"/>
        <w:left w:val="none" w:sz="0" w:space="0" w:color="auto"/>
        <w:bottom w:val="none" w:sz="0" w:space="0" w:color="auto"/>
        <w:right w:val="none" w:sz="0" w:space="0" w:color="auto"/>
      </w:divBdr>
    </w:div>
    <w:div w:id="1508711639">
      <w:bodyDiv w:val="1"/>
      <w:marLeft w:val="0"/>
      <w:marRight w:val="0"/>
      <w:marTop w:val="0"/>
      <w:marBottom w:val="0"/>
      <w:divBdr>
        <w:top w:val="none" w:sz="0" w:space="0" w:color="auto"/>
        <w:left w:val="none" w:sz="0" w:space="0" w:color="auto"/>
        <w:bottom w:val="none" w:sz="0" w:space="0" w:color="auto"/>
        <w:right w:val="none" w:sz="0" w:space="0" w:color="auto"/>
      </w:divBdr>
    </w:div>
    <w:div w:id="1522209920">
      <w:bodyDiv w:val="1"/>
      <w:marLeft w:val="0"/>
      <w:marRight w:val="0"/>
      <w:marTop w:val="0"/>
      <w:marBottom w:val="0"/>
      <w:divBdr>
        <w:top w:val="none" w:sz="0" w:space="0" w:color="auto"/>
        <w:left w:val="none" w:sz="0" w:space="0" w:color="auto"/>
        <w:bottom w:val="none" w:sz="0" w:space="0" w:color="auto"/>
        <w:right w:val="none" w:sz="0" w:space="0" w:color="auto"/>
      </w:divBdr>
    </w:div>
    <w:div w:id="1643852986">
      <w:bodyDiv w:val="1"/>
      <w:marLeft w:val="0"/>
      <w:marRight w:val="0"/>
      <w:marTop w:val="0"/>
      <w:marBottom w:val="0"/>
      <w:divBdr>
        <w:top w:val="none" w:sz="0" w:space="0" w:color="auto"/>
        <w:left w:val="none" w:sz="0" w:space="0" w:color="auto"/>
        <w:bottom w:val="none" w:sz="0" w:space="0" w:color="auto"/>
        <w:right w:val="none" w:sz="0" w:space="0" w:color="auto"/>
      </w:divBdr>
    </w:div>
    <w:div w:id="1655640970">
      <w:bodyDiv w:val="1"/>
      <w:marLeft w:val="0"/>
      <w:marRight w:val="0"/>
      <w:marTop w:val="0"/>
      <w:marBottom w:val="0"/>
      <w:divBdr>
        <w:top w:val="none" w:sz="0" w:space="0" w:color="auto"/>
        <w:left w:val="none" w:sz="0" w:space="0" w:color="auto"/>
        <w:bottom w:val="none" w:sz="0" w:space="0" w:color="auto"/>
        <w:right w:val="none" w:sz="0" w:space="0" w:color="auto"/>
      </w:divBdr>
    </w:div>
    <w:div w:id="1729961702">
      <w:bodyDiv w:val="1"/>
      <w:marLeft w:val="0"/>
      <w:marRight w:val="0"/>
      <w:marTop w:val="0"/>
      <w:marBottom w:val="0"/>
      <w:divBdr>
        <w:top w:val="none" w:sz="0" w:space="0" w:color="auto"/>
        <w:left w:val="none" w:sz="0" w:space="0" w:color="auto"/>
        <w:bottom w:val="none" w:sz="0" w:space="0" w:color="auto"/>
        <w:right w:val="none" w:sz="0" w:space="0" w:color="auto"/>
      </w:divBdr>
    </w:div>
    <w:div w:id="1756168969">
      <w:bodyDiv w:val="1"/>
      <w:marLeft w:val="0"/>
      <w:marRight w:val="0"/>
      <w:marTop w:val="0"/>
      <w:marBottom w:val="0"/>
      <w:divBdr>
        <w:top w:val="none" w:sz="0" w:space="0" w:color="auto"/>
        <w:left w:val="none" w:sz="0" w:space="0" w:color="auto"/>
        <w:bottom w:val="none" w:sz="0" w:space="0" w:color="auto"/>
        <w:right w:val="none" w:sz="0" w:space="0" w:color="auto"/>
      </w:divBdr>
    </w:div>
    <w:div w:id="1783723393">
      <w:bodyDiv w:val="1"/>
      <w:marLeft w:val="0"/>
      <w:marRight w:val="0"/>
      <w:marTop w:val="0"/>
      <w:marBottom w:val="0"/>
      <w:divBdr>
        <w:top w:val="none" w:sz="0" w:space="0" w:color="auto"/>
        <w:left w:val="none" w:sz="0" w:space="0" w:color="auto"/>
        <w:bottom w:val="none" w:sz="0" w:space="0" w:color="auto"/>
        <w:right w:val="none" w:sz="0" w:space="0" w:color="auto"/>
      </w:divBdr>
    </w:div>
    <w:div w:id="1788742672">
      <w:bodyDiv w:val="1"/>
      <w:marLeft w:val="0"/>
      <w:marRight w:val="0"/>
      <w:marTop w:val="0"/>
      <w:marBottom w:val="0"/>
      <w:divBdr>
        <w:top w:val="none" w:sz="0" w:space="0" w:color="auto"/>
        <w:left w:val="none" w:sz="0" w:space="0" w:color="auto"/>
        <w:bottom w:val="none" w:sz="0" w:space="0" w:color="auto"/>
        <w:right w:val="none" w:sz="0" w:space="0" w:color="auto"/>
      </w:divBdr>
    </w:div>
    <w:div w:id="1829511971">
      <w:bodyDiv w:val="1"/>
      <w:marLeft w:val="0"/>
      <w:marRight w:val="0"/>
      <w:marTop w:val="0"/>
      <w:marBottom w:val="0"/>
      <w:divBdr>
        <w:top w:val="none" w:sz="0" w:space="0" w:color="auto"/>
        <w:left w:val="none" w:sz="0" w:space="0" w:color="auto"/>
        <w:bottom w:val="none" w:sz="0" w:space="0" w:color="auto"/>
        <w:right w:val="none" w:sz="0" w:space="0" w:color="auto"/>
      </w:divBdr>
    </w:div>
    <w:div w:id="1842626494">
      <w:bodyDiv w:val="1"/>
      <w:marLeft w:val="0"/>
      <w:marRight w:val="0"/>
      <w:marTop w:val="0"/>
      <w:marBottom w:val="0"/>
      <w:divBdr>
        <w:top w:val="none" w:sz="0" w:space="0" w:color="auto"/>
        <w:left w:val="none" w:sz="0" w:space="0" w:color="auto"/>
        <w:bottom w:val="none" w:sz="0" w:space="0" w:color="auto"/>
        <w:right w:val="none" w:sz="0" w:space="0" w:color="auto"/>
      </w:divBdr>
    </w:div>
    <w:div w:id="1842699720">
      <w:bodyDiv w:val="1"/>
      <w:marLeft w:val="0"/>
      <w:marRight w:val="0"/>
      <w:marTop w:val="0"/>
      <w:marBottom w:val="0"/>
      <w:divBdr>
        <w:top w:val="none" w:sz="0" w:space="0" w:color="auto"/>
        <w:left w:val="none" w:sz="0" w:space="0" w:color="auto"/>
        <w:bottom w:val="none" w:sz="0" w:space="0" w:color="auto"/>
        <w:right w:val="none" w:sz="0" w:space="0" w:color="auto"/>
      </w:divBdr>
    </w:div>
    <w:div w:id="1885944199">
      <w:bodyDiv w:val="1"/>
      <w:marLeft w:val="0"/>
      <w:marRight w:val="0"/>
      <w:marTop w:val="0"/>
      <w:marBottom w:val="0"/>
      <w:divBdr>
        <w:top w:val="none" w:sz="0" w:space="0" w:color="auto"/>
        <w:left w:val="none" w:sz="0" w:space="0" w:color="auto"/>
        <w:bottom w:val="none" w:sz="0" w:space="0" w:color="auto"/>
        <w:right w:val="none" w:sz="0" w:space="0" w:color="auto"/>
      </w:divBdr>
    </w:div>
    <w:div w:id="1897163213">
      <w:bodyDiv w:val="1"/>
      <w:marLeft w:val="0"/>
      <w:marRight w:val="0"/>
      <w:marTop w:val="0"/>
      <w:marBottom w:val="0"/>
      <w:divBdr>
        <w:top w:val="none" w:sz="0" w:space="0" w:color="auto"/>
        <w:left w:val="none" w:sz="0" w:space="0" w:color="auto"/>
        <w:bottom w:val="none" w:sz="0" w:space="0" w:color="auto"/>
        <w:right w:val="none" w:sz="0" w:space="0" w:color="auto"/>
      </w:divBdr>
    </w:div>
    <w:div w:id="1911189756">
      <w:bodyDiv w:val="1"/>
      <w:marLeft w:val="0"/>
      <w:marRight w:val="0"/>
      <w:marTop w:val="0"/>
      <w:marBottom w:val="0"/>
      <w:divBdr>
        <w:top w:val="none" w:sz="0" w:space="0" w:color="auto"/>
        <w:left w:val="none" w:sz="0" w:space="0" w:color="auto"/>
        <w:bottom w:val="none" w:sz="0" w:space="0" w:color="auto"/>
        <w:right w:val="none" w:sz="0" w:space="0" w:color="auto"/>
      </w:divBdr>
    </w:div>
    <w:div w:id="1938098379">
      <w:bodyDiv w:val="1"/>
      <w:marLeft w:val="0"/>
      <w:marRight w:val="0"/>
      <w:marTop w:val="0"/>
      <w:marBottom w:val="0"/>
      <w:divBdr>
        <w:top w:val="none" w:sz="0" w:space="0" w:color="auto"/>
        <w:left w:val="none" w:sz="0" w:space="0" w:color="auto"/>
        <w:bottom w:val="none" w:sz="0" w:space="0" w:color="auto"/>
        <w:right w:val="none" w:sz="0" w:space="0" w:color="auto"/>
      </w:divBdr>
    </w:div>
    <w:div w:id="2026132114">
      <w:bodyDiv w:val="1"/>
      <w:marLeft w:val="0"/>
      <w:marRight w:val="0"/>
      <w:marTop w:val="0"/>
      <w:marBottom w:val="0"/>
      <w:divBdr>
        <w:top w:val="none" w:sz="0" w:space="0" w:color="auto"/>
        <w:left w:val="none" w:sz="0" w:space="0" w:color="auto"/>
        <w:bottom w:val="none" w:sz="0" w:space="0" w:color="auto"/>
        <w:right w:val="none" w:sz="0" w:space="0" w:color="auto"/>
      </w:divBdr>
    </w:div>
    <w:div w:id="2042855187">
      <w:bodyDiv w:val="1"/>
      <w:marLeft w:val="0"/>
      <w:marRight w:val="0"/>
      <w:marTop w:val="0"/>
      <w:marBottom w:val="0"/>
      <w:divBdr>
        <w:top w:val="none" w:sz="0" w:space="0" w:color="auto"/>
        <w:left w:val="none" w:sz="0" w:space="0" w:color="auto"/>
        <w:bottom w:val="none" w:sz="0" w:space="0" w:color="auto"/>
        <w:right w:val="none" w:sz="0" w:space="0" w:color="auto"/>
      </w:divBdr>
    </w:div>
    <w:div w:id="2063166521">
      <w:bodyDiv w:val="1"/>
      <w:marLeft w:val="0"/>
      <w:marRight w:val="0"/>
      <w:marTop w:val="0"/>
      <w:marBottom w:val="0"/>
      <w:divBdr>
        <w:top w:val="none" w:sz="0" w:space="0" w:color="auto"/>
        <w:left w:val="none" w:sz="0" w:space="0" w:color="auto"/>
        <w:bottom w:val="none" w:sz="0" w:space="0" w:color="auto"/>
        <w:right w:val="none" w:sz="0" w:space="0" w:color="auto"/>
      </w:divBdr>
    </w:div>
    <w:div w:id="2070495090">
      <w:bodyDiv w:val="1"/>
      <w:marLeft w:val="0"/>
      <w:marRight w:val="0"/>
      <w:marTop w:val="0"/>
      <w:marBottom w:val="0"/>
      <w:divBdr>
        <w:top w:val="none" w:sz="0" w:space="0" w:color="auto"/>
        <w:left w:val="none" w:sz="0" w:space="0" w:color="auto"/>
        <w:bottom w:val="none" w:sz="0" w:space="0" w:color="auto"/>
        <w:right w:val="none" w:sz="0" w:space="0" w:color="auto"/>
      </w:divBdr>
    </w:div>
    <w:div w:id="2097511949">
      <w:bodyDiv w:val="1"/>
      <w:marLeft w:val="0"/>
      <w:marRight w:val="0"/>
      <w:marTop w:val="0"/>
      <w:marBottom w:val="0"/>
      <w:divBdr>
        <w:top w:val="none" w:sz="0" w:space="0" w:color="auto"/>
        <w:left w:val="none" w:sz="0" w:space="0" w:color="auto"/>
        <w:bottom w:val="none" w:sz="0" w:space="0" w:color="auto"/>
        <w:right w:val="none" w:sz="0" w:space="0" w:color="auto"/>
      </w:divBdr>
    </w:div>
    <w:div w:id="2138864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f-feph.org/" TargetMode="External"/><Relationship Id="rId21" Type="http://schemas.openxmlformats.org/officeDocument/2006/relationships/image" Target="media/image11.png"/><Relationship Id="rId42" Type="http://schemas.openxmlformats.org/officeDocument/2006/relationships/hyperlink" Target="https://ec.europa.eu/info/policies/justice-and-fundamental-rights/combatting-discrimination/lesbian-gay-bi-trans-and-intersex-equality/lgbtiq-equality-strategy-2020-2025_en" TargetMode="External"/><Relationship Id="rId47" Type="http://schemas.openxmlformats.org/officeDocument/2006/relationships/hyperlink" Target="https://ec.europa.eu/info/sites/default/files/eu_roma_strategic_framework_for_equality_inclusion_and_participation_for_2020_-_2030_0.pdf" TargetMode="External"/><Relationship Id="rId63" Type="http://schemas.openxmlformats.org/officeDocument/2006/relationships/hyperlink" Target="https://ec.europa.eu/info/publications/new-eu-roma-strategic-framework-equality-inclusion-and-participation-full-package_en" TargetMode="External"/><Relationship Id="rId68" Type="http://schemas.openxmlformats.org/officeDocument/2006/relationships/hyperlink" Target="https://equineteurope.org/wp-content/uploads/2016/02/economic_and_social_rights_electronic.pdf" TargetMode="External"/><Relationship Id="rId84" Type="http://schemas.openxmlformats.org/officeDocument/2006/relationships/hyperlink" Target="https://ec.europa.eu/info/sites/default/files/equality_bodies_making_a_difference.pdf" TargetMode="External"/><Relationship Id="rId89" Type="http://schemas.openxmlformats.org/officeDocument/2006/relationships/fontTable" Target="fontTable.xml"/><Relationship Id="rId16" Type="http://schemas.openxmlformats.org/officeDocument/2006/relationships/image" Target="media/image6.png"/><Relationship Id="rId11" Type="http://schemas.openxmlformats.org/officeDocument/2006/relationships/image" Target="media/image1.png"/><Relationship Id="rId32" Type="http://schemas.openxmlformats.org/officeDocument/2006/relationships/hyperlink" Target="https://www.ilga-europe.org/" TargetMode="External"/><Relationship Id="rId37" Type="http://schemas.openxmlformats.org/officeDocument/2006/relationships/hyperlink" Target="https://ec.europa.eu/info/files/communication-extending-eu-crimes-hate-speech-and-hate-crime_en" TargetMode="External"/><Relationship Id="rId53" Type="http://schemas.openxmlformats.org/officeDocument/2006/relationships/hyperlink" Target="https://eur-lex.europa.eu/legal-content/EN/TXT/?uri=OJ:C:2018:456:FULL" TargetMode="External"/><Relationship Id="rId58" Type="http://schemas.openxmlformats.org/officeDocument/2006/relationships/hyperlink" Target="https://eur-lex.europa.eu/legal-content/EN/ALL/?uri=COM:2021:137:FIN" TargetMode="External"/><Relationship Id="rId74" Type="http://schemas.openxmlformats.org/officeDocument/2006/relationships/hyperlink" Target="https://equineteurope.org/wp-content/uploads/2021/09/equinet_youth-handbook_web_01.pdf" TargetMode="External"/><Relationship Id="rId79" Type="http://schemas.openxmlformats.org/officeDocument/2006/relationships/hyperlink" Target="https://equineteurope.org/wp-content/uploads/2021/01/Women-in-Poverty-digital.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yperlink" Target="https://www.enar-eu.org/" TargetMode="External"/><Relationship Id="rId30" Type="http://schemas.openxmlformats.org/officeDocument/2006/relationships/hyperlink" Target="https://www.youthforum.org/" TargetMode="External"/><Relationship Id="rId35" Type="http://schemas.openxmlformats.org/officeDocument/2006/relationships/footer" Target="footer1.xml"/><Relationship Id="rId43" Type="http://schemas.openxmlformats.org/officeDocument/2006/relationships/hyperlink" Target="https://ec.europa.eu/info/policies/justice-and-fundamental-rights/combatting-discrimination/lesbian-gay-bi-trans-and-intersex-equality/lgbtiq-equality-strategy-2020-2025_en" TargetMode="External"/><Relationship Id="rId48" Type="http://schemas.openxmlformats.org/officeDocument/2006/relationships/hyperlink" Target="https://ec.europa.eu/info/sites/default/files/eu_roma_strategic_framework_for_equality_inclusion_and_participation_for_2020_-_2030_0.pdf" TargetMode="External"/><Relationship Id="rId56" Type="http://schemas.openxmlformats.org/officeDocument/2006/relationships/hyperlink" Target="https://ec.europa.eu/info/policies/justice-and-fundamental-rights/rights-child/eu-strategy-rights-child-and-european-child-guarantee_en" TargetMode="External"/><Relationship Id="rId64" Type="http://schemas.openxmlformats.org/officeDocument/2006/relationships/hyperlink" Target="https://www.edf-feph.org/publications/european-human-rights-report-2/" TargetMode="External"/><Relationship Id="rId69" Type="http://schemas.openxmlformats.org/officeDocument/2006/relationships/hyperlink" Target="https://equineteurope.org/wp-content/uploads/2021/02/Equality_Covid19_NEBs-2.pdf" TargetMode="External"/><Relationship Id="rId77" Type="http://schemas.openxmlformats.org/officeDocument/2006/relationships/hyperlink" Target="https://equineteurope.org/wp-content/uploads/2019/11/Violence-against-Women-and-Gender-based-Violence-Equality-Bodies-Contribution-FINAL.pdf" TargetMode="External"/><Relationship Id="rId8" Type="http://schemas.openxmlformats.org/officeDocument/2006/relationships/webSettings" Target="webSettings.xml"/><Relationship Id="rId51" Type="http://schemas.openxmlformats.org/officeDocument/2006/relationships/hyperlink" Target="https://ec.europa.eu/info/strategy/priorities-2019-2024/economy-works-people/jobs-growth-and-investment/european-pillar-social-rights/european-pillar-social-rights-action-plan/" TargetMode="External"/><Relationship Id="rId72" Type="http://schemas.openxmlformats.org/officeDocument/2006/relationships/hyperlink" Target="https://equineteurope.org/wp-content/uploads/2020/02/policy_brief_gender_strategy-1.pdf" TargetMode="External"/><Relationship Id="rId80" Type="http://schemas.openxmlformats.org/officeDocument/2006/relationships/hyperlink" Target="https://op.europa.eu/en/publication-detail/-/publication/fc350c8a-b9e0-11eb-8aca-01aa75ed71a1" TargetMode="External"/><Relationship Id="rId85" Type="http://schemas.openxmlformats.org/officeDocument/2006/relationships/hyperlink" Target="https://www.openingdoors.eu/wp-content/uploads/2020/01/OD-lessons-learned.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ww.eurochild.org/" TargetMode="External"/><Relationship Id="rId33" Type="http://schemas.openxmlformats.org/officeDocument/2006/relationships/hyperlink" Target="https://www.wearelumos.org" TargetMode="External"/><Relationship Id="rId38" Type="http://schemas.openxmlformats.org/officeDocument/2006/relationships/hyperlink" Target="https://ec.europa.eu/info/files/annex-extending-eu-crimes-hate-speech-and-hate-crime_en" TargetMode="External"/><Relationship Id="rId46" Type="http://schemas.openxmlformats.org/officeDocument/2006/relationships/hyperlink" Target="https://ec.europa.eu/info/policies/justice-and-fundamental-rights/rights-child/eu-strategy-rights-childand-european-child-guarantee_e" TargetMode="External"/><Relationship Id="rId59" Type="http://schemas.openxmlformats.org/officeDocument/2006/relationships/hyperlink" Target="https://equineteurope.org/wp-content/uploads/2021/01/Women-in-Poverty-digital.pdf" TargetMode="External"/><Relationship Id="rId67" Type="http://schemas.openxmlformats.org/officeDocument/2006/relationships/hyperlink" Target="https://equineteurope.org/wp-content/uploads/2020/06/equinet_rebuilding-recommendation_A4_03-web.pdf" TargetMode="External"/><Relationship Id="rId20" Type="http://schemas.openxmlformats.org/officeDocument/2006/relationships/image" Target="media/image10.jpeg"/><Relationship Id="rId41" Type="http://schemas.openxmlformats.org/officeDocument/2006/relationships/hyperlink" Target="https://ec.europa.eu/info/policies/justice-and-fundamental-rights/gender-equality/gender-equality-strategy_en" TargetMode="External"/><Relationship Id="rId54" Type="http://schemas.openxmlformats.org/officeDocument/2006/relationships/hyperlink" Target="https://ec.europa.eu/commission/presscorner/detail/en/ip_21_881" TargetMode="External"/><Relationship Id="rId62" Type="http://schemas.openxmlformats.org/officeDocument/2006/relationships/hyperlink" Target="https://hatecrime.osce.org/hate-crime-data" TargetMode="External"/><Relationship Id="rId70" Type="http://schemas.openxmlformats.org/officeDocument/2006/relationships/hyperlink" Target="https://equineteurope.org/publications/equality-diversity-and-non-discrimination-in-healthcare-learning-from-the-work-of-equality-bodies/" TargetMode="External"/><Relationship Id="rId75" Type="http://schemas.openxmlformats.org/officeDocument/2006/relationships/hyperlink" Target="https://equineteurope.org/publications/strategic-litigation-handbook/" TargetMode="External"/><Relationship Id="rId83" Type="http://schemas.openxmlformats.org/officeDocument/2006/relationships/hyperlink" Target="https://www.equalitylaw.eu/downloads/3850-intersectional-discrimination-in-eu-gender-equality-and-non-discrimination-law-pdf-731-kb"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www.age-platform.eu/" TargetMode="External"/><Relationship Id="rId28" Type="http://schemas.openxmlformats.org/officeDocument/2006/relationships/hyperlink" Target="https://equineteurope.org/" TargetMode="External"/><Relationship Id="rId36" Type="http://schemas.openxmlformats.org/officeDocument/2006/relationships/hyperlink" Target="https://ec.europa.eu/info/files/communication-extending-eu-crimes-hate-speech-and-hate-crime_en" TargetMode="External"/><Relationship Id="rId49" Type="http://schemas.openxmlformats.org/officeDocument/2006/relationships/hyperlink" Target="https://ec.europa.eu/home-affairs/sites/default/files/pdf/action_plan_on_integration_and_inclusion_2021-2027.pdf" TargetMode="External"/><Relationship Id="rId57" Type="http://schemas.openxmlformats.org/officeDocument/2006/relationships/hyperlink" Target="https://ec.europa.eu/social/main.jsp?catId=1428&amp;langId=en" TargetMode="External"/><Relationship Id="rId10" Type="http://schemas.openxmlformats.org/officeDocument/2006/relationships/endnotes" Target="endnotes.xml"/><Relationship Id="rId31" Type="http://schemas.openxmlformats.org/officeDocument/2006/relationships/hyperlink" Target="https://www.hopeandhomes.org/" TargetMode="External"/><Relationship Id="rId44" Type="http://schemas.openxmlformats.org/officeDocument/2006/relationships/hyperlink" Target="https://ec.europa.eu/info/files/union-equality-eu-action-plan-against-racism-2020-2025_en" TargetMode="External"/><Relationship Id="rId52" Type="http://schemas.openxmlformats.org/officeDocument/2006/relationships/hyperlink" Target="https://eur-lex.europa.eu/legal-content/EN/TXT/?uri=OJ:C:2018:456:FULL" TargetMode="External"/><Relationship Id="rId60" Type="http://schemas.openxmlformats.org/officeDocument/2006/relationships/hyperlink" Target="https://ec.europa.eu/info/sites/default/files/lgbtiq_strategy_2020-2025_en.pdf" TargetMode="External"/><Relationship Id="rId65" Type="http://schemas.openxmlformats.org/officeDocument/2006/relationships/hyperlink" Target="https://www.edf-feph.org/publications/european-human-rights-report/" TargetMode="External"/><Relationship Id="rId73" Type="http://schemas.openxmlformats.org/officeDocument/2006/relationships/hyperlink" Target="https://equineteurope.org/wp-content/uploads/2020/07/Roma_Traveller-Inclusion_Equality-Bodies.pdf" TargetMode="External"/><Relationship Id="rId78" Type="http://schemas.openxmlformats.org/officeDocument/2006/relationships/hyperlink" Target="https://equineteurope.org/wp-content/uploads/2019/11/Violence-against-Women-and-Gender-based-Violence-Equality-Bodies-Contribution-FINAL.pdf" TargetMode="External"/><Relationship Id="rId81" Type="http://schemas.openxmlformats.org/officeDocument/2006/relationships/hyperlink" Target="https://fra.europa.eu/sites/default/files/fra_uploads/fra-2021-opinion-equality-directives-01-2021_en.pdf" TargetMode="External"/><Relationship Id="rId86" Type="http://schemas.openxmlformats.org/officeDocument/2006/relationships/hyperlink" Target="https://tgeu.org/wp-content/uploads/2021/01/impact-assessment-covid19-and-trans-people-in-europe-and-central-asia.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eg"/><Relationship Id="rId39" Type="http://schemas.openxmlformats.org/officeDocument/2006/relationships/hyperlink" Target="https://ec.europa.eu/social/main.jsp?catId=738&amp;langId=en&amp;pubId=8376&amp;furtherPubs=yes" TargetMode="External"/><Relationship Id="rId34" Type="http://schemas.openxmlformats.org/officeDocument/2006/relationships/hyperlink" Target="https://tgeu.org/" TargetMode="External"/><Relationship Id="rId50" Type="http://schemas.openxmlformats.org/officeDocument/2006/relationships/hyperlink" Target="https://ec.europa.eu/home-affairs/sites/default/files/pdf/action_plan_on_integration_and_inclusion_2021-2027.pdf" TargetMode="External"/><Relationship Id="rId55" Type="http://schemas.openxmlformats.org/officeDocument/2006/relationships/hyperlink" Target="https://eur-lex.europa.eu/legal-content/EN/TXT/?uri=OJ:C:2018:456:FULL" TargetMode="External"/><Relationship Id="rId76" Type="http://schemas.openxmlformats.org/officeDocument/2006/relationships/hyperlink" Target="https://equineteurope.org/wp-content/uploads/2019/11/Violence-against-Women-and-Gender-based-Violence-Equality-Bodies-Contribution-FINAL.pdf" TargetMode="External"/><Relationship Id="rId7" Type="http://schemas.openxmlformats.org/officeDocument/2006/relationships/settings" Target="settings.xml"/><Relationship Id="rId71" Type="http://schemas.openxmlformats.org/officeDocument/2006/relationships/hyperlink" Target="https://equineteurope.org/wp-content/uploads/2017/02/equinet_discussion_paper_final_-_web-2.pdf" TargetMode="External"/><Relationship Id="rId2" Type="http://schemas.openxmlformats.org/officeDocument/2006/relationships/customXml" Target="../customXml/item2.xml"/><Relationship Id="rId29" Type="http://schemas.openxmlformats.org/officeDocument/2006/relationships/hyperlink" Target="https://ergonetwork.org/" TargetMode="External"/><Relationship Id="rId24" Type="http://schemas.openxmlformats.org/officeDocument/2006/relationships/hyperlink" Target="https://www.equinox-eu.com/" TargetMode="External"/><Relationship Id="rId40" Type="http://schemas.openxmlformats.org/officeDocument/2006/relationships/hyperlink" Target="https://ec.europa.eu/info/policies/justice-and-fundamental-rights/gender-equality/gender-equality-strategy_en" TargetMode="External"/><Relationship Id="rId45" Type="http://schemas.openxmlformats.org/officeDocument/2006/relationships/hyperlink" Target="https://ec.europa.eu/info/files/union-equality-eu-action-plan-against-racism-2020-2025_en" TargetMode="External"/><Relationship Id="rId66" Type="http://schemas.openxmlformats.org/officeDocument/2006/relationships/hyperlink" Target="https://www.edf-feph.org/publications/human-rights-report-2021-impact-of-covid19-on-persons-with-disabilities/" TargetMode="External"/><Relationship Id="rId87" Type="http://schemas.openxmlformats.org/officeDocument/2006/relationships/hyperlink" Target="https://eurochild.org/uploads/2022/02/UNICEF-DataCare-Technical-Report-Final.pdf" TargetMode="External"/><Relationship Id="rId61" Type="http://schemas.openxmlformats.org/officeDocument/2006/relationships/hyperlink" Target="https://ec.europa.eu/info/sites/default/files/1_en_act_part1_v8_0.pdf" TargetMode="External"/><Relationship Id="rId82" Type="http://schemas.openxmlformats.org/officeDocument/2006/relationships/hyperlink" Target="https://www.youthforum.org/news/beyond-lockdown-the-pandemic-scar-on-young-people" TargetMode="External"/><Relationship Id="rId19" Type="http://schemas.openxmlformats.org/officeDocument/2006/relationships/image" Target="media/image9.png"/></Relationships>
</file>

<file path=word/_rels/footnotes.xml.rels><?xml version="1.0" encoding="UTF-8" standalone="yes"?>
<Relationships xmlns="http://schemas.openxmlformats.org/package/2006/relationships"><Relationship Id="rId13" Type="http://schemas.openxmlformats.org/officeDocument/2006/relationships/hyperlink" Target="https://www.ihrec.ie/app/uploads/2022/01/IHREC-Submission-on-the-Review-of-the-Equality-Acts.pdf" TargetMode="External"/><Relationship Id="rId18" Type="http://schemas.openxmlformats.org/officeDocument/2006/relationships/hyperlink" Target="https://www.youthforum.org/news/beyond-lockdown-the-pandemic-scar-on-young-people" TargetMode="External"/><Relationship Id="rId26" Type="http://schemas.openxmlformats.org/officeDocument/2006/relationships/hyperlink" Target="https://equineteurope.org/wp-content/uploads/2021/01/Women-in-Poverty-digital.pdf" TargetMode="External"/><Relationship Id="rId39" Type="http://schemas.openxmlformats.org/officeDocument/2006/relationships/hyperlink" Target="https://docs.wixstatic.com/ugd/27aa99_a45774f42cb040a7a4d6e0a132559170.pdf?index=true" TargetMode="External"/><Relationship Id="rId21" Type="http://schemas.openxmlformats.org/officeDocument/2006/relationships/hyperlink" Target="https://equineteurope.org/wp-content/uploads/2021/06/Health-Perspective.pdf" TargetMode="External"/><Relationship Id="rId34" Type="http://schemas.openxmlformats.org/officeDocument/2006/relationships/hyperlink" Target="https://www.ohchr.org/EN/Issues/OlderPersons/IE/Pages/Reports.aspx" TargetMode="External"/><Relationship Id="rId42" Type="http://schemas.openxmlformats.org/officeDocument/2006/relationships/hyperlink" Target="https://equineteurope.org/wp-content/uploads/2017/02/equinet_discussion_paper_final_-_web-2.pdf" TargetMode="External"/><Relationship Id="rId7" Type="http://schemas.openxmlformats.org/officeDocument/2006/relationships/hyperlink" Target="https://ec.europa.eu/info/sites/default/files/1_en_act_part1_v8_0.pdf" TargetMode="External"/><Relationship Id="rId2" Type="http://schemas.openxmlformats.org/officeDocument/2006/relationships/hyperlink" Target="https://curia.europa.eu/juris/document/document.jsf?text=&amp;docid=185565&amp;pageIndex=0&amp;doclang=EN&amp;mode=lst&amp;dir=&amp;occ=first&amp;part=1&amp;cid=340131" TargetMode="External"/><Relationship Id="rId16" Type="http://schemas.openxmlformats.org/officeDocument/2006/relationships/hyperlink" Target="https://fra.europa.eu/sites/default/files/fra_uploads/fra-2015-violence-against-children-with-disabilities_en.pdf" TargetMode="External"/><Relationship Id="rId20" Type="http://schemas.openxmlformats.org/officeDocument/2006/relationships/hyperlink" Target="https://equineteurope.org/wp-content/uploads/2016/02/economic_and_social_rights_electronic.pdf" TargetMode="External"/><Relationship Id="rId29" Type="http://schemas.openxmlformats.org/officeDocument/2006/relationships/hyperlink" Target="https://eur-lex.europa.eu/legal-content/EN/TXT/?uri=celex%3A32006L0054" TargetMode="External"/><Relationship Id="rId41" Type="http://schemas.openxmlformats.org/officeDocument/2006/relationships/hyperlink" Target="https://www.edf-feph.org/content/uploads/2021/04/EDF-position-and-recommendation-on-hate-speech-and-hate-crime.pdf" TargetMode="External"/><Relationship Id="rId1" Type="http://schemas.openxmlformats.org/officeDocument/2006/relationships/hyperlink" Target="https://eur-lex.europa.eu/legal-content/EN/TXT/?uri=celex%3A32000L0078" TargetMode="External"/><Relationship Id="rId6" Type="http://schemas.openxmlformats.org/officeDocument/2006/relationships/hyperlink" Target="https://www.edf-feph.org/content/uploads/2021/04/EDF-position-and-recommendation-on-hate-speech-and-hate-crime.pdf" TargetMode="External"/><Relationship Id="rId11" Type="http://schemas.openxmlformats.org/officeDocument/2006/relationships/hyperlink" Target="https://op.europa.eu/en/publication-detail/-/publication/fc350c8a-b9e0-11eb-8aca-01aa75ed71a1" TargetMode="External"/><Relationship Id="rId24" Type="http://schemas.openxmlformats.org/officeDocument/2006/relationships/hyperlink" Target="https://ec.europa.eu/social/main.jsp?catId=1428&amp;langId=en" TargetMode="External"/><Relationship Id="rId32" Type="http://schemas.openxmlformats.org/officeDocument/2006/relationships/hyperlink" Target="https://www.edf-feph.org/publications/human-rights-report-2021-impact-of-covid19-on-persons-with-disabilities/" TargetMode="External"/><Relationship Id="rId37" Type="http://schemas.openxmlformats.org/officeDocument/2006/relationships/hyperlink" Target="https://equineteurope.org/wp-content/uploads/2017/02/equinet_discussion_paper_final_-_web-2.pdf" TargetMode="External"/><Relationship Id="rId40" Type="http://schemas.openxmlformats.org/officeDocument/2006/relationships/hyperlink" Target="https://www.mentalhealth.org.uk/sites/default/files/recovery_and_resilience.pdf" TargetMode="External"/><Relationship Id="rId5" Type="http://schemas.openxmlformats.org/officeDocument/2006/relationships/hyperlink" Target="https://eur-lex.europa.eu/legal-content/EN/TXT/?uri=celex%3A32000L0078" TargetMode="External"/><Relationship Id="rId15" Type="http://schemas.openxmlformats.org/officeDocument/2006/relationships/hyperlink" Target="https://www.openingdoors.eu/wp-content/uploads/2020/01/OD-lessons-learned.pdf" TargetMode="External"/><Relationship Id="rId23" Type="http://schemas.openxmlformats.org/officeDocument/2006/relationships/hyperlink" Target="https://equineteurope.org/wp-content/uploads/2018/01/young_people_perspective_web.2.pdf" TargetMode="External"/><Relationship Id="rId28" Type="http://schemas.openxmlformats.org/officeDocument/2006/relationships/hyperlink" Target="https://tgeu.org/wp-content/uploads/2018/02/Oppression-Squared.pdf" TargetMode="External"/><Relationship Id="rId36" Type="http://schemas.openxmlformats.org/officeDocument/2006/relationships/hyperlink" Target="https://www.age-platform.eu/press-releases/green-paper-ageing-there-no-solidarity-without-equality" TargetMode="External"/><Relationship Id="rId10" Type="http://schemas.openxmlformats.org/officeDocument/2006/relationships/hyperlink" Target="https://fra.europa.eu/sites/default/files/fra_uploads/fra-2021-opinion-equality-directives-01-2021_en.pdf" TargetMode="External"/><Relationship Id="rId19" Type="http://schemas.openxmlformats.org/officeDocument/2006/relationships/hyperlink" Target="https://equineteurope.org/wp-content/uploads/2021/09/equinet_youth-handbook_web_01.pdf" TargetMode="External"/><Relationship Id="rId31" Type="http://schemas.openxmlformats.org/officeDocument/2006/relationships/hyperlink" Target="https://www.age-platform.eu/sites/default/files/AGE_input_Draft_GCArt5_CRPD.pdf" TargetMode="External"/><Relationship Id="rId44" Type="http://schemas.openxmlformats.org/officeDocument/2006/relationships/hyperlink" Target="https://equineteurope.org/wp-content/uploads/2020/07/Roma_Traveller-Inclusion_Equality-Bodies.pdf" TargetMode="External"/><Relationship Id="rId4" Type="http://schemas.openxmlformats.org/officeDocument/2006/relationships/hyperlink" Target="https://eur-lex.europa.eu/legal-content/EN/TXT/PDF/?uri=CONSIL:ST_10740_2019_INIT&amp;from=EN" TargetMode="External"/><Relationship Id="rId9" Type="http://schemas.openxmlformats.org/officeDocument/2006/relationships/hyperlink" Target="https://curia.europa.eu/juris/document/document.jsf?text=&amp;docid=185565&amp;pageIndex=0&amp;doclang=EN&amp;mode=lst&amp;dir=&amp;occ=first&amp;part=1&amp;cid=340131" TargetMode="External"/><Relationship Id="rId14" Type="http://schemas.openxmlformats.org/officeDocument/2006/relationships/hyperlink" Target="https://eurochild.org/uploads/2022/02/UNICEF-DataCare-Technical-Report-Final.pdf" TargetMode="External"/><Relationship Id="rId22" Type="http://schemas.openxmlformats.org/officeDocument/2006/relationships/hyperlink" Target="https://equineteurope.org/publications/strategic-litigation-handbook/" TargetMode="External"/><Relationship Id="rId27" Type="http://schemas.openxmlformats.org/officeDocument/2006/relationships/hyperlink" Target="https://equineteurope.org/wp-content/uploads/2021/01/Women-in-Poverty-digital.pdf" TargetMode="External"/><Relationship Id="rId30" Type="http://schemas.openxmlformats.org/officeDocument/2006/relationships/hyperlink" Target="https://tgeu.org/wp-content/uploads/2021/01/impact-assessment-covid19-and-trans-people-in-europe-and-central-asia.pdf" TargetMode="External"/><Relationship Id="rId35" Type="http://schemas.openxmlformats.org/officeDocument/2006/relationships/hyperlink" Target="https://equineteurope.org/wp-content/uploads/2020/06/equinet_rebuilding-recommendation_A4_03-web.pdf" TargetMode="External"/><Relationship Id="rId43" Type="http://schemas.openxmlformats.org/officeDocument/2006/relationships/hyperlink" Target="https://equineteurope.org/wp-content/uploads/2018/01/equinet_perspective_2016_-_intersectionality_final_web.pdf" TargetMode="External"/><Relationship Id="rId8" Type="http://schemas.openxmlformats.org/officeDocument/2006/relationships/hyperlink" Target="https://www.equalitylaw.eu/downloads/3850-intersectional-discrimination-in-eu-gender-equality-and-non-discrimination-law-pdf-731-kb" TargetMode="External"/><Relationship Id="rId3" Type="http://schemas.openxmlformats.org/officeDocument/2006/relationships/hyperlink" Target="https://curia.europa.eu/juris/document/document.jsf?text=&amp;docid=185565&amp;pageIndex=0&amp;doclang=EN&amp;mode=lst&amp;dir=&amp;occ=first&amp;part=1&amp;cid=340131" TargetMode="External"/><Relationship Id="rId12" Type="http://schemas.openxmlformats.org/officeDocument/2006/relationships/hyperlink" Target="https://ec.europa.eu/info/sites/default/files/equality_bodies_making_a_difference.pdf" TargetMode="External"/><Relationship Id="rId17" Type="http://schemas.openxmlformats.org/officeDocument/2006/relationships/hyperlink" Target="https://tools.youthforum.org/policy-library/wp-content/uploads/2021/04/Multiple-discrimination-and-young-people-in-Europe.pdf" TargetMode="External"/><Relationship Id="rId25" Type="http://schemas.openxmlformats.org/officeDocument/2006/relationships/hyperlink" Target="https://equineteurope.org/wp-content/uploads/2021/01/Women-in-Poverty-digital.pdf" TargetMode="External"/><Relationship Id="rId33" Type="http://schemas.openxmlformats.org/officeDocument/2006/relationships/hyperlink" Target="https://www.ohchr.org/EN/Issues/Disability/SRDisabilities/Pages/SupportingTheAutonomyOlderPersons.aspx" TargetMode="External"/><Relationship Id="rId38" Type="http://schemas.openxmlformats.org/officeDocument/2006/relationships/hyperlink" Target="https://www.br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20D3E3E695243A18602BCD7DE657A" ma:contentTypeVersion="14" ma:contentTypeDescription="Create a new document." ma:contentTypeScope="" ma:versionID="ed14667e626d68e0449e43adb6ec3af0">
  <xsd:schema xmlns:xsd="http://www.w3.org/2001/XMLSchema" xmlns:xs="http://www.w3.org/2001/XMLSchema" xmlns:p="http://schemas.microsoft.com/office/2006/metadata/properties" xmlns:ns2="5dcaf206-b009-4658-99e1-4d638e44d8f5" xmlns:ns3="1fbf4851-1fe8-4378-a6d9-5967d98f316b" targetNamespace="http://schemas.microsoft.com/office/2006/metadata/properties" ma:root="true" ma:fieldsID="49ddc2d1be03f396d92afb23ef480a7e" ns2:_="" ns3:_="">
    <xsd:import namespace="5dcaf206-b009-4658-99e1-4d638e44d8f5"/>
    <xsd:import namespace="1fbf4851-1fe8-4378-a6d9-5967d98f31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UR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af206-b009-4658-99e1-4d638e44d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URL" ma:index="2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bf4851-1fe8-4378-a6d9-5967d98f3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5dcaf206-b009-4658-99e1-4d638e44d8f5">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713F-DB88-4B0A-9991-F774B99AE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af206-b009-4658-99e1-4d638e44d8f5"/>
    <ds:schemaRef ds:uri="1fbf4851-1fe8-4378-a6d9-5967d98f3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0651F-621D-452C-96DC-672701A92CC1}">
  <ds:schemaRefs>
    <ds:schemaRef ds:uri="http://schemas.microsoft.com/sharepoint/v3/contenttype/forms"/>
  </ds:schemaRefs>
</ds:datastoreItem>
</file>

<file path=customXml/itemProps3.xml><?xml version="1.0" encoding="utf-8"?>
<ds:datastoreItem xmlns:ds="http://schemas.openxmlformats.org/officeDocument/2006/customXml" ds:itemID="{4ADF44E1-AD99-4D00-A631-14AED69E5475}">
  <ds:schemaRefs>
    <ds:schemaRef ds:uri="http://schemas.microsoft.com/office/2006/metadata/properties"/>
    <ds:schemaRef ds:uri="http://schemas.microsoft.com/office/infopath/2007/PartnerControls"/>
    <ds:schemaRef ds:uri="5dcaf206-b009-4658-99e1-4d638e44d8f5"/>
  </ds:schemaRefs>
</ds:datastoreItem>
</file>

<file path=customXml/itemProps4.xml><?xml version="1.0" encoding="utf-8"?>
<ds:datastoreItem xmlns:ds="http://schemas.openxmlformats.org/officeDocument/2006/customXml" ds:itemID="{12329D2C-22EE-4B49-8C48-107A7DD6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7147</Words>
  <Characters>40742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47794</CharactersWithSpaces>
  <SharedDoc>false</SharedDoc>
  <HLinks>
    <vt:vector size="756" baseType="variant">
      <vt:variant>
        <vt:i4>5636126</vt:i4>
      </vt:variant>
      <vt:variant>
        <vt:i4>297</vt:i4>
      </vt:variant>
      <vt:variant>
        <vt:i4>0</vt:i4>
      </vt:variant>
      <vt:variant>
        <vt:i4>5</vt:i4>
      </vt:variant>
      <vt:variant>
        <vt:lpwstr>https://eurochild.org/uploads/2022/02/UNICEF-DataCare-Technical-Report-Final.pdf</vt:lpwstr>
      </vt:variant>
      <vt:variant>
        <vt:lpwstr/>
      </vt:variant>
      <vt:variant>
        <vt:i4>65621</vt:i4>
      </vt:variant>
      <vt:variant>
        <vt:i4>294</vt:i4>
      </vt:variant>
      <vt:variant>
        <vt:i4>0</vt:i4>
      </vt:variant>
      <vt:variant>
        <vt:i4>5</vt:i4>
      </vt:variant>
      <vt:variant>
        <vt:lpwstr>https://tgeu.org/wp-content/uploads/2021/01/impact-assessment-covid19-and-trans-people-in-europe-and-central-asia.pdf</vt:lpwstr>
      </vt:variant>
      <vt:variant>
        <vt:lpwstr/>
      </vt:variant>
      <vt:variant>
        <vt:i4>6029401</vt:i4>
      </vt:variant>
      <vt:variant>
        <vt:i4>291</vt:i4>
      </vt:variant>
      <vt:variant>
        <vt:i4>0</vt:i4>
      </vt:variant>
      <vt:variant>
        <vt:i4>5</vt:i4>
      </vt:variant>
      <vt:variant>
        <vt:lpwstr>https://www.openingdoors.eu/wp-content/uploads/2020/01/OD-lessons-learned.pdf</vt:lpwstr>
      </vt:variant>
      <vt:variant>
        <vt:lpwstr/>
      </vt:variant>
      <vt:variant>
        <vt:i4>3145849</vt:i4>
      </vt:variant>
      <vt:variant>
        <vt:i4>288</vt:i4>
      </vt:variant>
      <vt:variant>
        <vt:i4>0</vt:i4>
      </vt:variant>
      <vt:variant>
        <vt:i4>5</vt:i4>
      </vt:variant>
      <vt:variant>
        <vt:lpwstr>https://ec.europa.eu/info/sites/default/files/equality_bodies_making_a_difference.pdf</vt:lpwstr>
      </vt:variant>
      <vt:variant>
        <vt:lpwstr/>
      </vt:variant>
      <vt:variant>
        <vt:i4>6881339</vt:i4>
      </vt:variant>
      <vt:variant>
        <vt:i4>285</vt:i4>
      </vt:variant>
      <vt:variant>
        <vt:i4>0</vt:i4>
      </vt:variant>
      <vt:variant>
        <vt:i4>5</vt:i4>
      </vt:variant>
      <vt:variant>
        <vt:lpwstr>https://www.equalitylaw.eu/downloads/3850-intersectional-discrimination-in-eu-gender-equality-and-non-discrimination-law-pdf-731-kb</vt:lpwstr>
      </vt:variant>
      <vt:variant>
        <vt:lpwstr/>
      </vt:variant>
      <vt:variant>
        <vt:i4>4980802</vt:i4>
      </vt:variant>
      <vt:variant>
        <vt:i4>282</vt:i4>
      </vt:variant>
      <vt:variant>
        <vt:i4>0</vt:i4>
      </vt:variant>
      <vt:variant>
        <vt:i4>5</vt:i4>
      </vt:variant>
      <vt:variant>
        <vt:lpwstr>https://www.youthforum.org/news/beyond-lockdown-the-pandemic-scar-on-young-people</vt:lpwstr>
      </vt:variant>
      <vt:variant>
        <vt:lpwstr/>
      </vt:variant>
      <vt:variant>
        <vt:i4>7733291</vt:i4>
      </vt:variant>
      <vt:variant>
        <vt:i4>279</vt:i4>
      </vt:variant>
      <vt:variant>
        <vt:i4>0</vt:i4>
      </vt:variant>
      <vt:variant>
        <vt:i4>5</vt:i4>
      </vt:variant>
      <vt:variant>
        <vt:lpwstr>https://fra.europa.eu/sites/default/files/fra_uploads/fra-2021-opinion-equality-directives-01-2021_en.pdf</vt:lpwstr>
      </vt:variant>
      <vt:variant>
        <vt:lpwstr/>
      </vt:variant>
      <vt:variant>
        <vt:i4>5636127</vt:i4>
      </vt:variant>
      <vt:variant>
        <vt:i4>276</vt:i4>
      </vt:variant>
      <vt:variant>
        <vt:i4>0</vt:i4>
      </vt:variant>
      <vt:variant>
        <vt:i4>5</vt:i4>
      </vt:variant>
      <vt:variant>
        <vt:lpwstr>https://op.europa.eu/en/publication-detail/-/publication/fc350c8a-b9e0-11eb-8aca-01aa75ed71a1</vt:lpwstr>
      </vt:variant>
      <vt:variant>
        <vt:lpwstr/>
      </vt:variant>
      <vt:variant>
        <vt:i4>4784216</vt:i4>
      </vt:variant>
      <vt:variant>
        <vt:i4>273</vt:i4>
      </vt:variant>
      <vt:variant>
        <vt:i4>0</vt:i4>
      </vt:variant>
      <vt:variant>
        <vt:i4>5</vt:i4>
      </vt:variant>
      <vt:variant>
        <vt:lpwstr>https://equineteurope.org/wp-content/uploads/2021/01/Women-in-Poverty-digital.pdf</vt:lpwstr>
      </vt:variant>
      <vt:variant>
        <vt:lpwstr/>
      </vt:variant>
      <vt:variant>
        <vt:i4>786500</vt:i4>
      </vt:variant>
      <vt:variant>
        <vt:i4>270</vt:i4>
      </vt:variant>
      <vt:variant>
        <vt:i4>0</vt:i4>
      </vt:variant>
      <vt:variant>
        <vt:i4>5</vt:i4>
      </vt:variant>
      <vt:variant>
        <vt:lpwstr>https://equineteurope.org/wp-content/uploads/2019/11/Violence-against-Women-and-Gender-based-Violence-Equality-Bodies-Contribution-FINAL.pdf</vt:lpwstr>
      </vt:variant>
      <vt:variant>
        <vt:lpwstr/>
      </vt:variant>
      <vt:variant>
        <vt:i4>786500</vt:i4>
      </vt:variant>
      <vt:variant>
        <vt:i4>267</vt:i4>
      </vt:variant>
      <vt:variant>
        <vt:i4>0</vt:i4>
      </vt:variant>
      <vt:variant>
        <vt:i4>5</vt:i4>
      </vt:variant>
      <vt:variant>
        <vt:lpwstr>https://equineteurope.org/wp-content/uploads/2019/11/Violence-against-Women-and-Gender-based-Violence-Equality-Bodies-Contribution-FINAL.pdf</vt:lpwstr>
      </vt:variant>
      <vt:variant>
        <vt:lpwstr/>
      </vt:variant>
      <vt:variant>
        <vt:i4>786500</vt:i4>
      </vt:variant>
      <vt:variant>
        <vt:i4>264</vt:i4>
      </vt:variant>
      <vt:variant>
        <vt:i4>0</vt:i4>
      </vt:variant>
      <vt:variant>
        <vt:i4>5</vt:i4>
      </vt:variant>
      <vt:variant>
        <vt:lpwstr>https://equineteurope.org/wp-content/uploads/2019/11/Violence-against-Women-and-Gender-based-Violence-Equality-Bodies-Contribution-FINAL.pdf</vt:lpwstr>
      </vt:variant>
      <vt:variant>
        <vt:lpwstr/>
      </vt:variant>
      <vt:variant>
        <vt:i4>5439574</vt:i4>
      </vt:variant>
      <vt:variant>
        <vt:i4>261</vt:i4>
      </vt:variant>
      <vt:variant>
        <vt:i4>0</vt:i4>
      </vt:variant>
      <vt:variant>
        <vt:i4>5</vt:i4>
      </vt:variant>
      <vt:variant>
        <vt:lpwstr>https://equineteurope.org/publications/strategic-litigation-handbook/</vt:lpwstr>
      </vt:variant>
      <vt:variant>
        <vt:lpwstr/>
      </vt:variant>
      <vt:variant>
        <vt:i4>3014669</vt:i4>
      </vt:variant>
      <vt:variant>
        <vt:i4>258</vt:i4>
      </vt:variant>
      <vt:variant>
        <vt:i4>0</vt:i4>
      </vt:variant>
      <vt:variant>
        <vt:i4>5</vt:i4>
      </vt:variant>
      <vt:variant>
        <vt:lpwstr>https://equineteurope.org/wp-content/uploads/2021/09/equinet_youth-handbook_web_01.pdf</vt:lpwstr>
      </vt:variant>
      <vt:variant>
        <vt:lpwstr/>
      </vt:variant>
      <vt:variant>
        <vt:i4>983118</vt:i4>
      </vt:variant>
      <vt:variant>
        <vt:i4>255</vt:i4>
      </vt:variant>
      <vt:variant>
        <vt:i4>0</vt:i4>
      </vt:variant>
      <vt:variant>
        <vt:i4>5</vt:i4>
      </vt:variant>
      <vt:variant>
        <vt:lpwstr>https://equineteurope.org/wp-content/uploads/2020/07/Roma_Traveller-Inclusion_Equality-Bodies.pdf</vt:lpwstr>
      </vt:variant>
      <vt:variant>
        <vt:lpwstr/>
      </vt:variant>
      <vt:variant>
        <vt:i4>7077919</vt:i4>
      </vt:variant>
      <vt:variant>
        <vt:i4>252</vt:i4>
      </vt:variant>
      <vt:variant>
        <vt:i4>0</vt:i4>
      </vt:variant>
      <vt:variant>
        <vt:i4>5</vt:i4>
      </vt:variant>
      <vt:variant>
        <vt:lpwstr>https://equineteurope.org/wp-content/uploads/2020/02/policy_brief_gender_strategy-1.pdf</vt:lpwstr>
      </vt:variant>
      <vt:variant>
        <vt:lpwstr/>
      </vt:variant>
      <vt:variant>
        <vt:i4>8060993</vt:i4>
      </vt:variant>
      <vt:variant>
        <vt:i4>249</vt:i4>
      </vt:variant>
      <vt:variant>
        <vt:i4>0</vt:i4>
      </vt:variant>
      <vt:variant>
        <vt:i4>5</vt:i4>
      </vt:variant>
      <vt:variant>
        <vt:lpwstr>https://equineteurope.org/wp-content/uploads/2017/02/equinet_discussion_paper_final_-_web-2.pdf</vt:lpwstr>
      </vt:variant>
      <vt:variant>
        <vt:lpwstr/>
      </vt:variant>
      <vt:variant>
        <vt:i4>1376344</vt:i4>
      </vt:variant>
      <vt:variant>
        <vt:i4>246</vt:i4>
      </vt:variant>
      <vt:variant>
        <vt:i4>0</vt:i4>
      </vt:variant>
      <vt:variant>
        <vt:i4>5</vt:i4>
      </vt:variant>
      <vt:variant>
        <vt:lpwstr>https://equineteurope.org/publications/equality-diversity-and-non-discrimination-in-healthcare-learning-from-the-work-of-equality-bodies/</vt:lpwstr>
      </vt:variant>
      <vt:variant>
        <vt:lpwstr/>
      </vt:variant>
      <vt:variant>
        <vt:i4>983124</vt:i4>
      </vt:variant>
      <vt:variant>
        <vt:i4>243</vt:i4>
      </vt:variant>
      <vt:variant>
        <vt:i4>0</vt:i4>
      </vt:variant>
      <vt:variant>
        <vt:i4>5</vt:i4>
      </vt:variant>
      <vt:variant>
        <vt:lpwstr>https://equineteurope.org/wp-content/uploads/2021/02/Equality_Covid19_NEBs-2.pdf</vt:lpwstr>
      </vt:variant>
      <vt:variant>
        <vt:lpwstr/>
      </vt:variant>
      <vt:variant>
        <vt:i4>5308434</vt:i4>
      </vt:variant>
      <vt:variant>
        <vt:i4>240</vt:i4>
      </vt:variant>
      <vt:variant>
        <vt:i4>0</vt:i4>
      </vt:variant>
      <vt:variant>
        <vt:i4>5</vt:i4>
      </vt:variant>
      <vt:variant>
        <vt:lpwstr>https://equineteurope.org/wp-content/uploads/2016/02/economic_and_social_rights_electronic.pdf</vt:lpwstr>
      </vt:variant>
      <vt:variant>
        <vt:lpwstr/>
      </vt:variant>
      <vt:variant>
        <vt:i4>3342361</vt:i4>
      </vt:variant>
      <vt:variant>
        <vt:i4>237</vt:i4>
      </vt:variant>
      <vt:variant>
        <vt:i4>0</vt:i4>
      </vt:variant>
      <vt:variant>
        <vt:i4>5</vt:i4>
      </vt:variant>
      <vt:variant>
        <vt:lpwstr>https://equineteurope.org/wp-content/uploads/2020/06/equinet_rebuilding-recommendation_A4_03-web.pdf</vt:lpwstr>
      </vt:variant>
      <vt:variant>
        <vt:lpwstr/>
      </vt:variant>
      <vt:variant>
        <vt:i4>6881324</vt:i4>
      </vt:variant>
      <vt:variant>
        <vt:i4>234</vt:i4>
      </vt:variant>
      <vt:variant>
        <vt:i4>0</vt:i4>
      </vt:variant>
      <vt:variant>
        <vt:i4>5</vt:i4>
      </vt:variant>
      <vt:variant>
        <vt:lpwstr>https://www.edf-feph.org/publications/human-rights-report-2021-impact-of-covid19-on-persons-with-disabilities/</vt:lpwstr>
      </vt:variant>
      <vt:variant>
        <vt:lpwstr/>
      </vt:variant>
      <vt:variant>
        <vt:i4>8257572</vt:i4>
      </vt:variant>
      <vt:variant>
        <vt:i4>231</vt:i4>
      </vt:variant>
      <vt:variant>
        <vt:i4>0</vt:i4>
      </vt:variant>
      <vt:variant>
        <vt:i4>5</vt:i4>
      </vt:variant>
      <vt:variant>
        <vt:lpwstr>https://www.edf-feph.org/publications/european-human-rights-report/</vt:lpwstr>
      </vt:variant>
      <vt:variant>
        <vt:lpwstr/>
      </vt:variant>
      <vt:variant>
        <vt:i4>4980745</vt:i4>
      </vt:variant>
      <vt:variant>
        <vt:i4>228</vt:i4>
      </vt:variant>
      <vt:variant>
        <vt:i4>0</vt:i4>
      </vt:variant>
      <vt:variant>
        <vt:i4>5</vt:i4>
      </vt:variant>
      <vt:variant>
        <vt:lpwstr>https://www.edf-feph.org/publications/european-human-rights-report-2/</vt:lpwstr>
      </vt:variant>
      <vt:variant>
        <vt:lpwstr/>
      </vt:variant>
      <vt:variant>
        <vt:i4>3801097</vt:i4>
      </vt:variant>
      <vt:variant>
        <vt:i4>225</vt:i4>
      </vt:variant>
      <vt:variant>
        <vt:i4>0</vt:i4>
      </vt:variant>
      <vt:variant>
        <vt:i4>5</vt:i4>
      </vt:variant>
      <vt:variant>
        <vt:lpwstr>https://ec.europa.eu/info/publications/new-eu-roma-strategic-framework-equality-inclusion-and-participation-full-package_en</vt:lpwstr>
      </vt:variant>
      <vt:variant>
        <vt:lpwstr/>
      </vt:variant>
      <vt:variant>
        <vt:i4>1310798</vt:i4>
      </vt:variant>
      <vt:variant>
        <vt:i4>222</vt:i4>
      </vt:variant>
      <vt:variant>
        <vt:i4>0</vt:i4>
      </vt:variant>
      <vt:variant>
        <vt:i4>5</vt:i4>
      </vt:variant>
      <vt:variant>
        <vt:lpwstr>https://hatecrime.osce.org/taxonomy/term/234</vt:lpwstr>
      </vt:variant>
      <vt:variant>
        <vt:lpwstr/>
      </vt:variant>
      <vt:variant>
        <vt:i4>1572954</vt:i4>
      </vt:variant>
      <vt:variant>
        <vt:i4>219</vt:i4>
      </vt:variant>
      <vt:variant>
        <vt:i4>0</vt:i4>
      </vt:variant>
      <vt:variant>
        <vt:i4>5</vt:i4>
      </vt:variant>
      <vt:variant>
        <vt:lpwstr>https://www.brap.org.uk/</vt:lpwstr>
      </vt:variant>
      <vt:variant>
        <vt:lpwstr/>
      </vt:variant>
      <vt:variant>
        <vt:i4>6094896</vt:i4>
      </vt:variant>
      <vt:variant>
        <vt:i4>216</vt:i4>
      </vt:variant>
      <vt:variant>
        <vt:i4>0</vt:i4>
      </vt:variant>
      <vt:variant>
        <vt:i4>5</vt:i4>
      </vt:variant>
      <vt:variant>
        <vt:lpwstr>https://ec.europa.eu/info/sites/default/files/1_en_act_part1_v8_0.pdf</vt:lpwstr>
      </vt:variant>
      <vt:variant>
        <vt:lpwstr/>
      </vt:variant>
      <vt:variant>
        <vt:i4>2162691</vt:i4>
      </vt:variant>
      <vt:variant>
        <vt:i4>213</vt:i4>
      </vt:variant>
      <vt:variant>
        <vt:i4>0</vt:i4>
      </vt:variant>
      <vt:variant>
        <vt:i4>5</vt:i4>
      </vt:variant>
      <vt:variant>
        <vt:lpwstr>https://ec.europa.eu/info/sites/default/files/lgbtiq_strategy_2020-2025_en.pdf</vt:lpwstr>
      </vt:variant>
      <vt:variant>
        <vt:lpwstr/>
      </vt:variant>
      <vt:variant>
        <vt:i4>4784216</vt:i4>
      </vt:variant>
      <vt:variant>
        <vt:i4>210</vt:i4>
      </vt:variant>
      <vt:variant>
        <vt:i4>0</vt:i4>
      </vt:variant>
      <vt:variant>
        <vt:i4>5</vt:i4>
      </vt:variant>
      <vt:variant>
        <vt:lpwstr>https://equineteurope.org/wp-content/uploads/2021/01/Women-in-Poverty-digital.pdf</vt:lpwstr>
      </vt:variant>
      <vt:variant>
        <vt:lpwstr/>
      </vt:variant>
      <vt:variant>
        <vt:i4>589893</vt:i4>
      </vt:variant>
      <vt:variant>
        <vt:i4>207</vt:i4>
      </vt:variant>
      <vt:variant>
        <vt:i4>0</vt:i4>
      </vt:variant>
      <vt:variant>
        <vt:i4>5</vt:i4>
      </vt:variant>
      <vt:variant>
        <vt:lpwstr>https://eur-lex.europa.eu/legal-content/EN/ALL/?uri=COM:2021:137:FIN</vt:lpwstr>
      </vt:variant>
      <vt:variant>
        <vt:lpwstr/>
      </vt:variant>
      <vt:variant>
        <vt:i4>5505113</vt:i4>
      </vt:variant>
      <vt:variant>
        <vt:i4>204</vt:i4>
      </vt:variant>
      <vt:variant>
        <vt:i4>0</vt:i4>
      </vt:variant>
      <vt:variant>
        <vt:i4>5</vt:i4>
      </vt:variant>
      <vt:variant>
        <vt:lpwstr>https://ec.europa.eu/social/main.jsp?catId=1428&amp;langId=en</vt:lpwstr>
      </vt:variant>
      <vt:variant>
        <vt:lpwstr/>
      </vt:variant>
      <vt:variant>
        <vt:i4>3080267</vt:i4>
      </vt:variant>
      <vt:variant>
        <vt:i4>201</vt:i4>
      </vt:variant>
      <vt:variant>
        <vt:i4>0</vt:i4>
      </vt:variant>
      <vt:variant>
        <vt:i4>5</vt:i4>
      </vt:variant>
      <vt:variant>
        <vt:lpwstr>https://ec.europa.eu/info/policies/justice-and-fundamental-rights/rights-child/eu-strategy-rights-child-and-european-child-guarantee_en</vt:lpwstr>
      </vt:variant>
      <vt:variant>
        <vt:lpwstr/>
      </vt:variant>
      <vt:variant>
        <vt:i4>7864426</vt:i4>
      </vt:variant>
      <vt:variant>
        <vt:i4>198</vt:i4>
      </vt:variant>
      <vt:variant>
        <vt:i4>0</vt:i4>
      </vt:variant>
      <vt:variant>
        <vt:i4>5</vt:i4>
      </vt:variant>
      <vt:variant>
        <vt:lpwstr>https://eur-lex.europa.eu/legal-content/EN/TXT/?uri=OJ:C:2018:456:FULL</vt:lpwstr>
      </vt:variant>
      <vt:variant>
        <vt:lpwstr/>
      </vt:variant>
      <vt:variant>
        <vt:i4>4653150</vt:i4>
      </vt:variant>
      <vt:variant>
        <vt:i4>195</vt:i4>
      </vt:variant>
      <vt:variant>
        <vt:i4>0</vt:i4>
      </vt:variant>
      <vt:variant>
        <vt:i4>5</vt:i4>
      </vt:variant>
      <vt:variant>
        <vt:lpwstr>https://ec.europa.eu/commission/presscorner/detail/en/ip_21_881</vt:lpwstr>
      </vt:variant>
      <vt:variant>
        <vt:lpwstr/>
      </vt:variant>
      <vt:variant>
        <vt:i4>7864426</vt:i4>
      </vt:variant>
      <vt:variant>
        <vt:i4>192</vt:i4>
      </vt:variant>
      <vt:variant>
        <vt:i4>0</vt:i4>
      </vt:variant>
      <vt:variant>
        <vt:i4>5</vt:i4>
      </vt:variant>
      <vt:variant>
        <vt:lpwstr>https://eur-lex.europa.eu/legal-content/EN/TXT/?uri=OJ:C:2018:456:FULL</vt:lpwstr>
      </vt:variant>
      <vt:variant>
        <vt:lpwstr/>
      </vt:variant>
      <vt:variant>
        <vt:i4>7864426</vt:i4>
      </vt:variant>
      <vt:variant>
        <vt:i4>189</vt:i4>
      </vt:variant>
      <vt:variant>
        <vt:i4>0</vt:i4>
      </vt:variant>
      <vt:variant>
        <vt:i4>5</vt:i4>
      </vt:variant>
      <vt:variant>
        <vt:lpwstr>https://eur-lex.europa.eu/legal-content/EN/TXT/?uri=OJ:C:2018:456:FULL</vt:lpwstr>
      </vt:variant>
      <vt:variant>
        <vt:lpwstr/>
      </vt:variant>
      <vt:variant>
        <vt:i4>2555975</vt:i4>
      </vt:variant>
      <vt:variant>
        <vt:i4>186</vt:i4>
      </vt:variant>
      <vt:variant>
        <vt:i4>0</vt:i4>
      </vt:variant>
      <vt:variant>
        <vt:i4>5</vt:i4>
      </vt:variant>
      <vt:variant>
        <vt:lpwstr>https://ec.europa.eu/info/strategy/priorities-2019-2024/economyworks-people/jobs-growth-and-investment/european-pillar-social-rights/european-pillar-social-rights-action-plan_ en</vt:lpwstr>
      </vt:variant>
      <vt:variant>
        <vt:lpwstr/>
      </vt:variant>
      <vt:variant>
        <vt:i4>2687012</vt:i4>
      </vt:variant>
      <vt:variant>
        <vt:i4>183</vt:i4>
      </vt:variant>
      <vt:variant>
        <vt:i4>0</vt:i4>
      </vt:variant>
      <vt:variant>
        <vt:i4>5</vt:i4>
      </vt:variant>
      <vt:variant>
        <vt:lpwstr>https://ec.europa.eu/home-affairs/sites/default/files/pdf/action_plan_on_integration_and_inclusion_2021-2027.pdf</vt:lpwstr>
      </vt:variant>
      <vt:variant>
        <vt:lpwstr/>
      </vt:variant>
      <vt:variant>
        <vt:i4>2687012</vt:i4>
      </vt:variant>
      <vt:variant>
        <vt:i4>180</vt:i4>
      </vt:variant>
      <vt:variant>
        <vt:i4>0</vt:i4>
      </vt:variant>
      <vt:variant>
        <vt:i4>5</vt:i4>
      </vt:variant>
      <vt:variant>
        <vt:lpwstr>https://ec.europa.eu/home-affairs/sites/default/files/pdf/action_plan_on_integration_and_inclusion_2021-2027.pdf</vt:lpwstr>
      </vt:variant>
      <vt:variant>
        <vt:lpwstr/>
      </vt:variant>
      <vt:variant>
        <vt:i4>262254</vt:i4>
      </vt:variant>
      <vt:variant>
        <vt:i4>177</vt:i4>
      </vt:variant>
      <vt:variant>
        <vt:i4>0</vt:i4>
      </vt:variant>
      <vt:variant>
        <vt:i4>5</vt:i4>
      </vt:variant>
      <vt:variant>
        <vt:lpwstr>https://ec.europa.eu/info/sites/default/files/eu_roma_strategic_framework_for_equality_inclusion_and_participation_for_2020_-_2030_0.pdf</vt:lpwstr>
      </vt:variant>
      <vt:variant>
        <vt:lpwstr/>
      </vt:variant>
      <vt:variant>
        <vt:i4>262254</vt:i4>
      </vt:variant>
      <vt:variant>
        <vt:i4>174</vt:i4>
      </vt:variant>
      <vt:variant>
        <vt:i4>0</vt:i4>
      </vt:variant>
      <vt:variant>
        <vt:i4>5</vt:i4>
      </vt:variant>
      <vt:variant>
        <vt:lpwstr>https://ec.europa.eu/info/sites/default/files/eu_roma_strategic_framework_for_equality_inclusion_and_participation_for_2020_-_2030_0.pdf</vt:lpwstr>
      </vt:variant>
      <vt:variant>
        <vt:lpwstr/>
      </vt:variant>
      <vt:variant>
        <vt:i4>7929941</vt:i4>
      </vt:variant>
      <vt:variant>
        <vt:i4>171</vt:i4>
      </vt:variant>
      <vt:variant>
        <vt:i4>0</vt:i4>
      </vt:variant>
      <vt:variant>
        <vt:i4>5</vt:i4>
      </vt:variant>
      <vt:variant>
        <vt:lpwstr>https://ec.europa.eu/info/policies/justice-and-fundamental-rights/rights-child/eu-strategy-rights-childand-european-child-guarantee_e</vt:lpwstr>
      </vt:variant>
      <vt:variant>
        <vt:lpwstr/>
      </vt:variant>
      <vt:variant>
        <vt:i4>589887</vt:i4>
      </vt:variant>
      <vt:variant>
        <vt:i4>168</vt:i4>
      </vt:variant>
      <vt:variant>
        <vt:i4>0</vt:i4>
      </vt:variant>
      <vt:variant>
        <vt:i4>5</vt:i4>
      </vt:variant>
      <vt:variant>
        <vt:lpwstr>https://ec.europa.eu/info/files/union-equality-eu-action-plan-against-racism-2020-2025_en</vt:lpwstr>
      </vt:variant>
      <vt:variant>
        <vt:lpwstr/>
      </vt:variant>
      <vt:variant>
        <vt:i4>589887</vt:i4>
      </vt:variant>
      <vt:variant>
        <vt:i4>165</vt:i4>
      </vt:variant>
      <vt:variant>
        <vt:i4>0</vt:i4>
      </vt:variant>
      <vt:variant>
        <vt:i4>5</vt:i4>
      </vt:variant>
      <vt:variant>
        <vt:lpwstr>https://ec.europa.eu/info/files/union-equality-eu-action-plan-against-racism-2020-2025_en</vt:lpwstr>
      </vt:variant>
      <vt:variant>
        <vt:lpwstr/>
      </vt:variant>
      <vt:variant>
        <vt:i4>7536645</vt:i4>
      </vt:variant>
      <vt:variant>
        <vt:i4>162</vt:i4>
      </vt:variant>
      <vt:variant>
        <vt:i4>0</vt:i4>
      </vt:variant>
      <vt:variant>
        <vt:i4>5</vt:i4>
      </vt:variant>
      <vt:variant>
        <vt:lpwstr>https://ec.europa.eu/info/policies/justice-and-fundamental-rights/combatting-discrimination/lesbian-gay-bi-trans-and-intersex-equality/lgbtiq-equality-strategy-2020-2025_en</vt:lpwstr>
      </vt:variant>
      <vt:variant>
        <vt:lpwstr/>
      </vt:variant>
      <vt:variant>
        <vt:i4>7536645</vt:i4>
      </vt:variant>
      <vt:variant>
        <vt:i4>159</vt:i4>
      </vt:variant>
      <vt:variant>
        <vt:i4>0</vt:i4>
      </vt:variant>
      <vt:variant>
        <vt:i4>5</vt:i4>
      </vt:variant>
      <vt:variant>
        <vt:lpwstr>https://ec.europa.eu/info/policies/justice-and-fundamental-rights/combatting-discrimination/lesbian-gay-bi-trans-and-intersex-equality/lgbtiq-equality-strategy-2020-2025_en</vt:lpwstr>
      </vt:variant>
      <vt:variant>
        <vt:lpwstr/>
      </vt:variant>
      <vt:variant>
        <vt:i4>5636195</vt:i4>
      </vt:variant>
      <vt:variant>
        <vt:i4>156</vt:i4>
      </vt:variant>
      <vt:variant>
        <vt:i4>0</vt:i4>
      </vt:variant>
      <vt:variant>
        <vt:i4>5</vt:i4>
      </vt:variant>
      <vt:variant>
        <vt:lpwstr>https://ec.europa.eu/info/policies/justice-and-fundamental-rights/gender-equality/gender-equality-strategy_en</vt:lpwstr>
      </vt:variant>
      <vt:variant>
        <vt:lpwstr/>
      </vt:variant>
      <vt:variant>
        <vt:i4>5636195</vt:i4>
      </vt:variant>
      <vt:variant>
        <vt:i4>153</vt:i4>
      </vt:variant>
      <vt:variant>
        <vt:i4>0</vt:i4>
      </vt:variant>
      <vt:variant>
        <vt:i4>5</vt:i4>
      </vt:variant>
      <vt:variant>
        <vt:lpwstr>https://ec.europa.eu/info/policies/justice-and-fundamental-rights/gender-equality/gender-equality-strategy_en</vt:lpwstr>
      </vt:variant>
      <vt:variant>
        <vt:lpwstr/>
      </vt:variant>
      <vt:variant>
        <vt:i4>3145826</vt:i4>
      </vt:variant>
      <vt:variant>
        <vt:i4>150</vt:i4>
      </vt:variant>
      <vt:variant>
        <vt:i4>0</vt:i4>
      </vt:variant>
      <vt:variant>
        <vt:i4>5</vt:i4>
      </vt:variant>
      <vt:variant>
        <vt:lpwstr>https://ec.europa.eu/social/main.jsp?catId=738&amp;langId=en&amp;pubId=8376&amp;furtherPubs=yes</vt:lpwstr>
      </vt:variant>
      <vt:variant>
        <vt:lpwstr/>
      </vt:variant>
      <vt:variant>
        <vt:i4>7798872</vt:i4>
      </vt:variant>
      <vt:variant>
        <vt:i4>147</vt:i4>
      </vt:variant>
      <vt:variant>
        <vt:i4>0</vt:i4>
      </vt:variant>
      <vt:variant>
        <vt:i4>5</vt:i4>
      </vt:variant>
      <vt:variant>
        <vt:lpwstr>https://ec.europa.eu/info/files/annex-extending-eu-crimes-hate-speech-and-hate-crime_en</vt:lpwstr>
      </vt:variant>
      <vt:variant>
        <vt:lpwstr/>
      </vt:variant>
      <vt:variant>
        <vt:i4>6815835</vt:i4>
      </vt:variant>
      <vt:variant>
        <vt:i4>144</vt:i4>
      </vt:variant>
      <vt:variant>
        <vt:i4>0</vt:i4>
      </vt:variant>
      <vt:variant>
        <vt:i4>5</vt:i4>
      </vt:variant>
      <vt:variant>
        <vt:lpwstr>https://ec.europa.eu/info/files/communication-extending-eu-crimes-hate-speech-and-hate-crime_en</vt:lpwstr>
      </vt:variant>
      <vt:variant>
        <vt:lpwstr/>
      </vt:variant>
      <vt:variant>
        <vt:i4>6815835</vt:i4>
      </vt:variant>
      <vt:variant>
        <vt:i4>141</vt:i4>
      </vt:variant>
      <vt:variant>
        <vt:i4>0</vt:i4>
      </vt:variant>
      <vt:variant>
        <vt:i4>5</vt:i4>
      </vt:variant>
      <vt:variant>
        <vt:lpwstr>https://ec.europa.eu/info/files/communication-extending-eu-crimes-hate-speech-and-hate-crime_en</vt:lpwstr>
      </vt:variant>
      <vt:variant>
        <vt:lpwstr/>
      </vt:variant>
      <vt:variant>
        <vt:i4>1048632</vt:i4>
      </vt:variant>
      <vt:variant>
        <vt:i4>134</vt:i4>
      </vt:variant>
      <vt:variant>
        <vt:i4>0</vt:i4>
      </vt:variant>
      <vt:variant>
        <vt:i4>5</vt:i4>
      </vt:variant>
      <vt:variant>
        <vt:lpwstr/>
      </vt:variant>
      <vt:variant>
        <vt:lpwstr>_Toc95740761</vt:lpwstr>
      </vt:variant>
      <vt:variant>
        <vt:i4>1114168</vt:i4>
      </vt:variant>
      <vt:variant>
        <vt:i4>128</vt:i4>
      </vt:variant>
      <vt:variant>
        <vt:i4>0</vt:i4>
      </vt:variant>
      <vt:variant>
        <vt:i4>5</vt:i4>
      </vt:variant>
      <vt:variant>
        <vt:lpwstr/>
      </vt:variant>
      <vt:variant>
        <vt:lpwstr>_Toc95740760</vt:lpwstr>
      </vt:variant>
      <vt:variant>
        <vt:i4>1572923</vt:i4>
      </vt:variant>
      <vt:variant>
        <vt:i4>122</vt:i4>
      </vt:variant>
      <vt:variant>
        <vt:i4>0</vt:i4>
      </vt:variant>
      <vt:variant>
        <vt:i4>5</vt:i4>
      </vt:variant>
      <vt:variant>
        <vt:lpwstr/>
      </vt:variant>
      <vt:variant>
        <vt:lpwstr>_Toc95740759</vt:lpwstr>
      </vt:variant>
      <vt:variant>
        <vt:i4>1638459</vt:i4>
      </vt:variant>
      <vt:variant>
        <vt:i4>116</vt:i4>
      </vt:variant>
      <vt:variant>
        <vt:i4>0</vt:i4>
      </vt:variant>
      <vt:variant>
        <vt:i4>5</vt:i4>
      </vt:variant>
      <vt:variant>
        <vt:lpwstr/>
      </vt:variant>
      <vt:variant>
        <vt:lpwstr>_Toc95740758</vt:lpwstr>
      </vt:variant>
      <vt:variant>
        <vt:i4>1441851</vt:i4>
      </vt:variant>
      <vt:variant>
        <vt:i4>110</vt:i4>
      </vt:variant>
      <vt:variant>
        <vt:i4>0</vt:i4>
      </vt:variant>
      <vt:variant>
        <vt:i4>5</vt:i4>
      </vt:variant>
      <vt:variant>
        <vt:lpwstr/>
      </vt:variant>
      <vt:variant>
        <vt:lpwstr>_Toc95740757</vt:lpwstr>
      </vt:variant>
      <vt:variant>
        <vt:i4>1507387</vt:i4>
      </vt:variant>
      <vt:variant>
        <vt:i4>104</vt:i4>
      </vt:variant>
      <vt:variant>
        <vt:i4>0</vt:i4>
      </vt:variant>
      <vt:variant>
        <vt:i4>5</vt:i4>
      </vt:variant>
      <vt:variant>
        <vt:lpwstr/>
      </vt:variant>
      <vt:variant>
        <vt:lpwstr>_Toc95740756</vt:lpwstr>
      </vt:variant>
      <vt:variant>
        <vt:i4>1310779</vt:i4>
      </vt:variant>
      <vt:variant>
        <vt:i4>98</vt:i4>
      </vt:variant>
      <vt:variant>
        <vt:i4>0</vt:i4>
      </vt:variant>
      <vt:variant>
        <vt:i4>5</vt:i4>
      </vt:variant>
      <vt:variant>
        <vt:lpwstr/>
      </vt:variant>
      <vt:variant>
        <vt:lpwstr>_Toc95740755</vt:lpwstr>
      </vt:variant>
      <vt:variant>
        <vt:i4>1376315</vt:i4>
      </vt:variant>
      <vt:variant>
        <vt:i4>92</vt:i4>
      </vt:variant>
      <vt:variant>
        <vt:i4>0</vt:i4>
      </vt:variant>
      <vt:variant>
        <vt:i4>5</vt:i4>
      </vt:variant>
      <vt:variant>
        <vt:lpwstr/>
      </vt:variant>
      <vt:variant>
        <vt:lpwstr>_Toc95740754</vt:lpwstr>
      </vt:variant>
      <vt:variant>
        <vt:i4>1179707</vt:i4>
      </vt:variant>
      <vt:variant>
        <vt:i4>86</vt:i4>
      </vt:variant>
      <vt:variant>
        <vt:i4>0</vt:i4>
      </vt:variant>
      <vt:variant>
        <vt:i4>5</vt:i4>
      </vt:variant>
      <vt:variant>
        <vt:lpwstr/>
      </vt:variant>
      <vt:variant>
        <vt:lpwstr>_Toc95740753</vt:lpwstr>
      </vt:variant>
      <vt:variant>
        <vt:i4>1245243</vt:i4>
      </vt:variant>
      <vt:variant>
        <vt:i4>80</vt:i4>
      </vt:variant>
      <vt:variant>
        <vt:i4>0</vt:i4>
      </vt:variant>
      <vt:variant>
        <vt:i4>5</vt:i4>
      </vt:variant>
      <vt:variant>
        <vt:lpwstr/>
      </vt:variant>
      <vt:variant>
        <vt:lpwstr>_Toc95740752</vt:lpwstr>
      </vt:variant>
      <vt:variant>
        <vt:i4>1048635</vt:i4>
      </vt:variant>
      <vt:variant>
        <vt:i4>74</vt:i4>
      </vt:variant>
      <vt:variant>
        <vt:i4>0</vt:i4>
      </vt:variant>
      <vt:variant>
        <vt:i4>5</vt:i4>
      </vt:variant>
      <vt:variant>
        <vt:lpwstr/>
      </vt:variant>
      <vt:variant>
        <vt:lpwstr>_Toc95740751</vt:lpwstr>
      </vt:variant>
      <vt:variant>
        <vt:i4>1114171</vt:i4>
      </vt:variant>
      <vt:variant>
        <vt:i4>68</vt:i4>
      </vt:variant>
      <vt:variant>
        <vt:i4>0</vt:i4>
      </vt:variant>
      <vt:variant>
        <vt:i4>5</vt:i4>
      </vt:variant>
      <vt:variant>
        <vt:lpwstr/>
      </vt:variant>
      <vt:variant>
        <vt:lpwstr>_Toc95740750</vt:lpwstr>
      </vt:variant>
      <vt:variant>
        <vt:i4>1572922</vt:i4>
      </vt:variant>
      <vt:variant>
        <vt:i4>62</vt:i4>
      </vt:variant>
      <vt:variant>
        <vt:i4>0</vt:i4>
      </vt:variant>
      <vt:variant>
        <vt:i4>5</vt:i4>
      </vt:variant>
      <vt:variant>
        <vt:lpwstr/>
      </vt:variant>
      <vt:variant>
        <vt:lpwstr>_Toc95740749</vt:lpwstr>
      </vt:variant>
      <vt:variant>
        <vt:i4>1638458</vt:i4>
      </vt:variant>
      <vt:variant>
        <vt:i4>56</vt:i4>
      </vt:variant>
      <vt:variant>
        <vt:i4>0</vt:i4>
      </vt:variant>
      <vt:variant>
        <vt:i4>5</vt:i4>
      </vt:variant>
      <vt:variant>
        <vt:lpwstr/>
      </vt:variant>
      <vt:variant>
        <vt:lpwstr>_Toc95740748</vt:lpwstr>
      </vt:variant>
      <vt:variant>
        <vt:i4>1441850</vt:i4>
      </vt:variant>
      <vt:variant>
        <vt:i4>50</vt:i4>
      </vt:variant>
      <vt:variant>
        <vt:i4>0</vt:i4>
      </vt:variant>
      <vt:variant>
        <vt:i4>5</vt:i4>
      </vt:variant>
      <vt:variant>
        <vt:lpwstr/>
      </vt:variant>
      <vt:variant>
        <vt:lpwstr>_Toc95740747</vt:lpwstr>
      </vt:variant>
      <vt:variant>
        <vt:i4>1507386</vt:i4>
      </vt:variant>
      <vt:variant>
        <vt:i4>44</vt:i4>
      </vt:variant>
      <vt:variant>
        <vt:i4>0</vt:i4>
      </vt:variant>
      <vt:variant>
        <vt:i4>5</vt:i4>
      </vt:variant>
      <vt:variant>
        <vt:lpwstr/>
      </vt:variant>
      <vt:variant>
        <vt:lpwstr>_Toc95740746</vt:lpwstr>
      </vt:variant>
      <vt:variant>
        <vt:i4>1310778</vt:i4>
      </vt:variant>
      <vt:variant>
        <vt:i4>38</vt:i4>
      </vt:variant>
      <vt:variant>
        <vt:i4>0</vt:i4>
      </vt:variant>
      <vt:variant>
        <vt:i4>5</vt:i4>
      </vt:variant>
      <vt:variant>
        <vt:lpwstr/>
      </vt:variant>
      <vt:variant>
        <vt:lpwstr>_Toc95740745</vt:lpwstr>
      </vt:variant>
      <vt:variant>
        <vt:i4>720909</vt:i4>
      </vt:variant>
      <vt:variant>
        <vt:i4>33</vt:i4>
      </vt:variant>
      <vt:variant>
        <vt:i4>0</vt:i4>
      </vt:variant>
      <vt:variant>
        <vt:i4>5</vt:i4>
      </vt:variant>
      <vt:variant>
        <vt:lpwstr>https://tgeu.org/</vt:lpwstr>
      </vt:variant>
      <vt:variant>
        <vt:lpwstr/>
      </vt:variant>
      <vt:variant>
        <vt:i4>2424949</vt:i4>
      </vt:variant>
      <vt:variant>
        <vt:i4>30</vt:i4>
      </vt:variant>
      <vt:variant>
        <vt:i4>0</vt:i4>
      </vt:variant>
      <vt:variant>
        <vt:i4>5</vt:i4>
      </vt:variant>
      <vt:variant>
        <vt:lpwstr>https://www.wearelumos.org/</vt:lpwstr>
      </vt:variant>
      <vt:variant>
        <vt:lpwstr/>
      </vt:variant>
      <vt:variant>
        <vt:i4>5308436</vt:i4>
      </vt:variant>
      <vt:variant>
        <vt:i4>27</vt:i4>
      </vt:variant>
      <vt:variant>
        <vt:i4>0</vt:i4>
      </vt:variant>
      <vt:variant>
        <vt:i4>5</vt:i4>
      </vt:variant>
      <vt:variant>
        <vt:lpwstr>https://www.ilga-europe.org/</vt:lpwstr>
      </vt:variant>
      <vt:variant>
        <vt:lpwstr/>
      </vt:variant>
      <vt:variant>
        <vt:i4>5373963</vt:i4>
      </vt:variant>
      <vt:variant>
        <vt:i4>24</vt:i4>
      </vt:variant>
      <vt:variant>
        <vt:i4>0</vt:i4>
      </vt:variant>
      <vt:variant>
        <vt:i4>5</vt:i4>
      </vt:variant>
      <vt:variant>
        <vt:lpwstr>https://www.hopeandhomes.org/</vt:lpwstr>
      </vt:variant>
      <vt:variant>
        <vt:lpwstr/>
      </vt:variant>
      <vt:variant>
        <vt:i4>2228322</vt:i4>
      </vt:variant>
      <vt:variant>
        <vt:i4>21</vt:i4>
      </vt:variant>
      <vt:variant>
        <vt:i4>0</vt:i4>
      </vt:variant>
      <vt:variant>
        <vt:i4>5</vt:i4>
      </vt:variant>
      <vt:variant>
        <vt:lpwstr>https://www.youthforum.org/</vt:lpwstr>
      </vt:variant>
      <vt:variant>
        <vt:lpwstr/>
      </vt:variant>
      <vt:variant>
        <vt:i4>2031700</vt:i4>
      </vt:variant>
      <vt:variant>
        <vt:i4>18</vt:i4>
      </vt:variant>
      <vt:variant>
        <vt:i4>0</vt:i4>
      </vt:variant>
      <vt:variant>
        <vt:i4>5</vt:i4>
      </vt:variant>
      <vt:variant>
        <vt:lpwstr>https://ergonetwork.org/</vt:lpwstr>
      </vt:variant>
      <vt:variant>
        <vt:lpwstr/>
      </vt:variant>
      <vt:variant>
        <vt:i4>7864381</vt:i4>
      </vt:variant>
      <vt:variant>
        <vt:i4>15</vt:i4>
      </vt:variant>
      <vt:variant>
        <vt:i4>0</vt:i4>
      </vt:variant>
      <vt:variant>
        <vt:i4>5</vt:i4>
      </vt:variant>
      <vt:variant>
        <vt:lpwstr>https://equineteurope.org/</vt:lpwstr>
      </vt:variant>
      <vt:variant>
        <vt:lpwstr/>
      </vt:variant>
      <vt:variant>
        <vt:i4>4325396</vt:i4>
      </vt:variant>
      <vt:variant>
        <vt:i4>12</vt:i4>
      </vt:variant>
      <vt:variant>
        <vt:i4>0</vt:i4>
      </vt:variant>
      <vt:variant>
        <vt:i4>5</vt:i4>
      </vt:variant>
      <vt:variant>
        <vt:lpwstr>https://www.enar-eu.org/</vt:lpwstr>
      </vt:variant>
      <vt:variant>
        <vt:lpwstr/>
      </vt:variant>
      <vt:variant>
        <vt:i4>262153</vt:i4>
      </vt:variant>
      <vt:variant>
        <vt:i4>9</vt:i4>
      </vt:variant>
      <vt:variant>
        <vt:i4>0</vt:i4>
      </vt:variant>
      <vt:variant>
        <vt:i4>5</vt:i4>
      </vt:variant>
      <vt:variant>
        <vt:lpwstr>https://www.edf-feph.org/</vt:lpwstr>
      </vt:variant>
      <vt:variant>
        <vt:lpwstr/>
      </vt:variant>
      <vt:variant>
        <vt:i4>2424881</vt:i4>
      </vt:variant>
      <vt:variant>
        <vt:i4>6</vt:i4>
      </vt:variant>
      <vt:variant>
        <vt:i4>0</vt:i4>
      </vt:variant>
      <vt:variant>
        <vt:i4>5</vt:i4>
      </vt:variant>
      <vt:variant>
        <vt:lpwstr>https://www.eurochild.org/</vt:lpwstr>
      </vt:variant>
      <vt:variant>
        <vt:lpwstr/>
      </vt:variant>
      <vt:variant>
        <vt:i4>6881378</vt:i4>
      </vt:variant>
      <vt:variant>
        <vt:i4>3</vt:i4>
      </vt:variant>
      <vt:variant>
        <vt:i4>0</vt:i4>
      </vt:variant>
      <vt:variant>
        <vt:i4>5</vt:i4>
      </vt:variant>
      <vt:variant>
        <vt:lpwstr>https://www.equinox-eu.com/</vt:lpwstr>
      </vt:variant>
      <vt:variant>
        <vt:lpwstr/>
      </vt:variant>
      <vt:variant>
        <vt:i4>5373978</vt:i4>
      </vt:variant>
      <vt:variant>
        <vt:i4>0</vt:i4>
      </vt:variant>
      <vt:variant>
        <vt:i4>0</vt:i4>
      </vt:variant>
      <vt:variant>
        <vt:i4>5</vt:i4>
      </vt:variant>
      <vt:variant>
        <vt:lpwstr>https://www.age-platform.eu/</vt:lpwstr>
      </vt:variant>
      <vt:variant>
        <vt:lpwstr/>
      </vt:variant>
      <vt:variant>
        <vt:i4>983118</vt:i4>
      </vt:variant>
      <vt:variant>
        <vt:i4>129</vt:i4>
      </vt:variant>
      <vt:variant>
        <vt:i4>0</vt:i4>
      </vt:variant>
      <vt:variant>
        <vt:i4>5</vt:i4>
      </vt:variant>
      <vt:variant>
        <vt:lpwstr>https://equineteurope.org/wp-content/uploads/2020/07/Roma_Traveller-Inclusion_Equality-Bodies.pdf</vt:lpwstr>
      </vt:variant>
      <vt:variant>
        <vt:lpwstr/>
      </vt:variant>
      <vt:variant>
        <vt:i4>3473464</vt:i4>
      </vt:variant>
      <vt:variant>
        <vt:i4>126</vt:i4>
      </vt:variant>
      <vt:variant>
        <vt:i4>0</vt:i4>
      </vt:variant>
      <vt:variant>
        <vt:i4>5</vt:i4>
      </vt:variant>
      <vt:variant>
        <vt:lpwstr>https://equineteurope.org/wp-content/uploads/2018/01/equinet_perspective_2016_-_intersectionality_final_web.pdf</vt:lpwstr>
      </vt:variant>
      <vt:variant>
        <vt:lpwstr/>
      </vt:variant>
      <vt:variant>
        <vt:i4>8060993</vt:i4>
      </vt:variant>
      <vt:variant>
        <vt:i4>123</vt:i4>
      </vt:variant>
      <vt:variant>
        <vt:i4>0</vt:i4>
      </vt:variant>
      <vt:variant>
        <vt:i4>5</vt:i4>
      </vt:variant>
      <vt:variant>
        <vt:lpwstr>https://equineteurope.org/wp-content/uploads/2017/02/equinet_discussion_paper_final_-_web-2.pdf</vt:lpwstr>
      </vt:variant>
      <vt:variant>
        <vt:lpwstr/>
      </vt:variant>
      <vt:variant>
        <vt:i4>3276915</vt:i4>
      </vt:variant>
      <vt:variant>
        <vt:i4>120</vt:i4>
      </vt:variant>
      <vt:variant>
        <vt:i4>0</vt:i4>
      </vt:variant>
      <vt:variant>
        <vt:i4>5</vt:i4>
      </vt:variant>
      <vt:variant>
        <vt:lpwstr>https://www.edf-feph.org/content/uploads/2021/04/EDF-position-and-recommendation-on-hate-speech-and-hate-crime.pdf</vt:lpwstr>
      </vt:variant>
      <vt:variant>
        <vt:lpwstr/>
      </vt:variant>
      <vt:variant>
        <vt:i4>7209059</vt:i4>
      </vt:variant>
      <vt:variant>
        <vt:i4>117</vt:i4>
      </vt:variant>
      <vt:variant>
        <vt:i4>0</vt:i4>
      </vt:variant>
      <vt:variant>
        <vt:i4>5</vt:i4>
      </vt:variant>
      <vt:variant>
        <vt:lpwstr>http://www.survivor-research.com/images/documents/black women recovery and resilience final report.pdf</vt:lpwstr>
      </vt:variant>
      <vt:variant>
        <vt:lpwstr/>
      </vt:variant>
      <vt:variant>
        <vt:i4>8060938</vt:i4>
      </vt:variant>
      <vt:variant>
        <vt:i4>114</vt:i4>
      </vt:variant>
      <vt:variant>
        <vt:i4>0</vt:i4>
      </vt:variant>
      <vt:variant>
        <vt:i4>5</vt:i4>
      </vt:variant>
      <vt:variant>
        <vt:lpwstr>https://docs.wixstatic.com/ugd/27aa99_a45774f42cb040a7a4d6e0a132559170.pdf?index=true</vt:lpwstr>
      </vt:variant>
      <vt:variant>
        <vt:lpwstr/>
      </vt:variant>
      <vt:variant>
        <vt:i4>1572954</vt:i4>
      </vt:variant>
      <vt:variant>
        <vt:i4>111</vt:i4>
      </vt:variant>
      <vt:variant>
        <vt:i4>0</vt:i4>
      </vt:variant>
      <vt:variant>
        <vt:i4>5</vt:i4>
      </vt:variant>
      <vt:variant>
        <vt:lpwstr>https://www.brap.org.uk/</vt:lpwstr>
      </vt:variant>
      <vt:variant>
        <vt:lpwstr/>
      </vt:variant>
      <vt:variant>
        <vt:i4>8060993</vt:i4>
      </vt:variant>
      <vt:variant>
        <vt:i4>108</vt:i4>
      </vt:variant>
      <vt:variant>
        <vt:i4>0</vt:i4>
      </vt:variant>
      <vt:variant>
        <vt:i4>5</vt:i4>
      </vt:variant>
      <vt:variant>
        <vt:lpwstr>https://equineteurope.org/wp-content/uploads/2017/02/equinet_discussion_paper_final_-_web-2.pdf</vt:lpwstr>
      </vt:variant>
      <vt:variant>
        <vt:lpwstr/>
      </vt:variant>
      <vt:variant>
        <vt:i4>7733347</vt:i4>
      </vt:variant>
      <vt:variant>
        <vt:i4>105</vt:i4>
      </vt:variant>
      <vt:variant>
        <vt:i4>0</vt:i4>
      </vt:variant>
      <vt:variant>
        <vt:i4>5</vt:i4>
      </vt:variant>
      <vt:variant>
        <vt:lpwstr>https://www.age-platform.eu/press-releases/green-paper-ageing-there-no-solidarity-without-equality</vt:lpwstr>
      </vt:variant>
      <vt:variant>
        <vt:lpwstr/>
      </vt:variant>
      <vt:variant>
        <vt:i4>3342361</vt:i4>
      </vt:variant>
      <vt:variant>
        <vt:i4>102</vt:i4>
      </vt:variant>
      <vt:variant>
        <vt:i4>0</vt:i4>
      </vt:variant>
      <vt:variant>
        <vt:i4>5</vt:i4>
      </vt:variant>
      <vt:variant>
        <vt:lpwstr>https://equineteurope.org/wp-content/uploads/2020/06/equinet_rebuilding-recommendation_A4_03-web.pdf</vt:lpwstr>
      </vt:variant>
      <vt:variant>
        <vt:lpwstr/>
      </vt:variant>
      <vt:variant>
        <vt:i4>2359348</vt:i4>
      </vt:variant>
      <vt:variant>
        <vt:i4>99</vt:i4>
      </vt:variant>
      <vt:variant>
        <vt:i4>0</vt:i4>
      </vt:variant>
      <vt:variant>
        <vt:i4>5</vt:i4>
      </vt:variant>
      <vt:variant>
        <vt:lpwstr>https://www.ohchr.org/EN/Issues/OlderPersons/IE/Pages/Reports.aspx</vt:lpwstr>
      </vt:variant>
      <vt:variant>
        <vt:lpwstr/>
      </vt:variant>
      <vt:variant>
        <vt:i4>2621474</vt:i4>
      </vt:variant>
      <vt:variant>
        <vt:i4>96</vt:i4>
      </vt:variant>
      <vt:variant>
        <vt:i4>0</vt:i4>
      </vt:variant>
      <vt:variant>
        <vt:i4>5</vt:i4>
      </vt:variant>
      <vt:variant>
        <vt:lpwstr>https://www.ohchr.org/EN/Issues/Disability/SRDisabilities/Pages/SupportingTheAutonomyOlderPersons.aspx</vt:lpwstr>
      </vt:variant>
      <vt:variant>
        <vt:lpwstr/>
      </vt:variant>
      <vt:variant>
        <vt:i4>6881324</vt:i4>
      </vt:variant>
      <vt:variant>
        <vt:i4>93</vt:i4>
      </vt:variant>
      <vt:variant>
        <vt:i4>0</vt:i4>
      </vt:variant>
      <vt:variant>
        <vt:i4>5</vt:i4>
      </vt:variant>
      <vt:variant>
        <vt:lpwstr>https://www.edf-feph.org/publications/human-rights-report-2021-impact-of-covid19-on-persons-with-disabilities/</vt:lpwstr>
      </vt:variant>
      <vt:variant>
        <vt:lpwstr/>
      </vt:variant>
      <vt:variant>
        <vt:i4>6225991</vt:i4>
      </vt:variant>
      <vt:variant>
        <vt:i4>90</vt:i4>
      </vt:variant>
      <vt:variant>
        <vt:i4>0</vt:i4>
      </vt:variant>
      <vt:variant>
        <vt:i4>5</vt:i4>
      </vt:variant>
      <vt:variant>
        <vt:lpwstr>https://www.age-platform.eu/sites/default/files/AGE_input_Draft_GCArt5_CRPD.pdf</vt:lpwstr>
      </vt:variant>
      <vt:variant>
        <vt:lpwstr/>
      </vt:variant>
      <vt:variant>
        <vt:i4>65621</vt:i4>
      </vt:variant>
      <vt:variant>
        <vt:i4>87</vt:i4>
      </vt:variant>
      <vt:variant>
        <vt:i4>0</vt:i4>
      </vt:variant>
      <vt:variant>
        <vt:i4>5</vt:i4>
      </vt:variant>
      <vt:variant>
        <vt:lpwstr>https://tgeu.org/wp-content/uploads/2021/01/impact-assessment-covid19-and-trans-people-in-europe-and-central-asia.pdf</vt:lpwstr>
      </vt:variant>
      <vt:variant>
        <vt:lpwstr/>
      </vt:variant>
      <vt:variant>
        <vt:i4>7340145</vt:i4>
      </vt:variant>
      <vt:variant>
        <vt:i4>84</vt:i4>
      </vt:variant>
      <vt:variant>
        <vt:i4>0</vt:i4>
      </vt:variant>
      <vt:variant>
        <vt:i4>5</vt:i4>
      </vt:variant>
      <vt:variant>
        <vt:lpwstr>https://eur-lex.europa.eu/legal-content/EN/TXT/?uri=celex%3A32006L0054</vt:lpwstr>
      </vt:variant>
      <vt:variant>
        <vt:lpwstr/>
      </vt:variant>
      <vt:variant>
        <vt:i4>3670063</vt:i4>
      </vt:variant>
      <vt:variant>
        <vt:i4>81</vt:i4>
      </vt:variant>
      <vt:variant>
        <vt:i4>0</vt:i4>
      </vt:variant>
      <vt:variant>
        <vt:i4>5</vt:i4>
      </vt:variant>
      <vt:variant>
        <vt:lpwstr>https://tgeu.org/wp-content/uploads/2018/02/Oppression-Squared.pdf</vt:lpwstr>
      </vt:variant>
      <vt:variant>
        <vt:lpwstr/>
      </vt:variant>
      <vt:variant>
        <vt:i4>4784216</vt:i4>
      </vt:variant>
      <vt:variant>
        <vt:i4>78</vt:i4>
      </vt:variant>
      <vt:variant>
        <vt:i4>0</vt:i4>
      </vt:variant>
      <vt:variant>
        <vt:i4>5</vt:i4>
      </vt:variant>
      <vt:variant>
        <vt:lpwstr>https://equineteurope.org/wp-content/uploads/2021/01/Women-in-Poverty-digital.pdf</vt:lpwstr>
      </vt:variant>
      <vt:variant>
        <vt:lpwstr/>
      </vt:variant>
      <vt:variant>
        <vt:i4>4784216</vt:i4>
      </vt:variant>
      <vt:variant>
        <vt:i4>75</vt:i4>
      </vt:variant>
      <vt:variant>
        <vt:i4>0</vt:i4>
      </vt:variant>
      <vt:variant>
        <vt:i4>5</vt:i4>
      </vt:variant>
      <vt:variant>
        <vt:lpwstr>https://equineteurope.org/wp-content/uploads/2021/01/Women-in-Poverty-digital.pdf</vt:lpwstr>
      </vt:variant>
      <vt:variant>
        <vt:lpwstr/>
      </vt:variant>
      <vt:variant>
        <vt:i4>4784216</vt:i4>
      </vt:variant>
      <vt:variant>
        <vt:i4>72</vt:i4>
      </vt:variant>
      <vt:variant>
        <vt:i4>0</vt:i4>
      </vt:variant>
      <vt:variant>
        <vt:i4>5</vt:i4>
      </vt:variant>
      <vt:variant>
        <vt:lpwstr>https://equineteurope.org/wp-content/uploads/2021/01/Women-in-Poverty-digital.pdf</vt:lpwstr>
      </vt:variant>
      <vt:variant>
        <vt:lpwstr/>
      </vt:variant>
      <vt:variant>
        <vt:i4>5505113</vt:i4>
      </vt:variant>
      <vt:variant>
        <vt:i4>69</vt:i4>
      </vt:variant>
      <vt:variant>
        <vt:i4>0</vt:i4>
      </vt:variant>
      <vt:variant>
        <vt:i4>5</vt:i4>
      </vt:variant>
      <vt:variant>
        <vt:lpwstr>https://ec.europa.eu/social/main.jsp?catId=1428&amp;langId=en</vt:lpwstr>
      </vt:variant>
      <vt:variant>
        <vt:lpwstr/>
      </vt:variant>
      <vt:variant>
        <vt:i4>6946842</vt:i4>
      </vt:variant>
      <vt:variant>
        <vt:i4>66</vt:i4>
      </vt:variant>
      <vt:variant>
        <vt:i4>0</vt:i4>
      </vt:variant>
      <vt:variant>
        <vt:i4>5</vt:i4>
      </vt:variant>
      <vt:variant>
        <vt:lpwstr>https://equineteurope.org/wp-content/uploads/2018/01/young_people_perspective_web.2.pdf</vt:lpwstr>
      </vt:variant>
      <vt:variant>
        <vt:lpwstr/>
      </vt:variant>
      <vt:variant>
        <vt:i4>5439574</vt:i4>
      </vt:variant>
      <vt:variant>
        <vt:i4>63</vt:i4>
      </vt:variant>
      <vt:variant>
        <vt:i4>0</vt:i4>
      </vt:variant>
      <vt:variant>
        <vt:i4>5</vt:i4>
      </vt:variant>
      <vt:variant>
        <vt:lpwstr>https://equineteurope.org/publications/strategic-litigation-handbook/</vt:lpwstr>
      </vt:variant>
      <vt:variant>
        <vt:lpwstr/>
      </vt:variant>
      <vt:variant>
        <vt:i4>7143547</vt:i4>
      </vt:variant>
      <vt:variant>
        <vt:i4>60</vt:i4>
      </vt:variant>
      <vt:variant>
        <vt:i4>0</vt:i4>
      </vt:variant>
      <vt:variant>
        <vt:i4>5</vt:i4>
      </vt:variant>
      <vt:variant>
        <vt:lpwstr>https://equineteurope.org/wp-content/uploads/2021/06/Health-Perspective.pdf</vt:lpwstr>
      </vt:variant>
      <vt:variant>
        <vt:lpwstr/>
      </vt:variant>
      <vt:variant>
        <vt:i4>5308434</vt:i4>
      </vt:variant>
      <vt:variant>
        <vt:i4>57</vt:i4>
      </vt:variant>
      <vt:variant>
        <vt:i4>0</vt:i4>
      </vt:variant>
      <vt:variant>
        <vt:i4>5</vt:i4>
      </vt:variant>
      <vt:variant>
        <vt:lpwstr>https://equineteurope.org/wp-content/uploads/2016/02/economic_and_social_rights_electronic.pdf</vt:lpwstr>
      </vt:variant>
      <vt:variant>
        <vt:lpwstr/>
      </vt:variant>
      <vt:variant>
        <vt:i4>3014669</vt:i4>
      </vt:variant>
      <vt:variant>
        <vt:i4>54</vt:i4>
      </vt:variant>
      <vt:variant>
        <vt:i4>0</vt:i4>
      </vt:variant>
      <vt:variant>
        <vt:i4>5</vt:i4>
      </vt:variant>
      <vt:variant>
        <vt:lpwstr>https://equineteurope.org/wp-content/uploads/2021/09/equinet_youth-handbook_web_01.pdf</vt:lpwstr>
      </vt:variant>
      <vt:variant>
        <vt:lpwstr/>
      </vt:variant>
      <vt:variant>
        <vt:i4>4980802</vt:i4>
      </vt:variant>
      <vt:variant>
        <vt:i4>51</vt:i4>
      </vt:variant>
      <vt:variant>
        <vt:i4>0</vt:i4>
      </vt:variant>
      <vt:variant>
        <vt:i4>5</vt:i4>
      </vt:variant>
      <vt:variant>
        <vt:lpwstr>https://www.youthforum.org/news/beyond-lockdown-the-pandemic-scar-on-young-people</vt:lpwstr>
      </vt:variant>
      <vt:variant>
        <vt:lpwstr/>
      </vt:variant>
      <vt:variant>
        <vt:i4>8257639</vt:i4>
      </vt:variant>
      <vt:variant>
        <vt:i4>48</vt:i4>
      </vt:variant>
      <vt:variant>
        <vt:i4>0</vt:i4>
      </vt:variant>
      <vt:variant>
        <vt:i4>5</vt:i4>
      </vt:variant>
      <vt:variant>
        <vt:lpwstr>https://www.youthforum.org/sites/default/files/publication-pdfs/Multiple-discrimination-and-young-people-in-Europe.pdf</vt:lpwstr>
      </vt:variant>
      <vt:variant>
        <vt:lpwstr/>
      </vt:variant>
      <vt:variant>
        <vt:i4>7405610</vt:i4>
      </vt:variant>
      <vt:variant>
        <vt:i4>45</vt:i4>
      </vt:variant>
      <vt:variant>
        <vt:i4>0</vt:i4>
      </vt:variant>
      <vt:variant>
        <vt:i4>5</vt:i4>
      </vt:variant>
      <vt:variant>
        <vt:lpwstr>https://fra.europa.eu/sites/default/files/fra_uploads/fra-2015-violence-against-children-with-disabilities_en.pdf</vt:lpwstr>
      </vt:variant>
      <vt:variant>
        <vt:lpwstr/>
      </vt:variant>
      <vt:variant>
        <vt:i4>6029401</vt:i4>
      </vt:variant>
      <vt:variant>
        <vt:i4>42</vt:i4>
      </vt:variant>
      <vt:variant>
        <vt:i4>0</vt:i4>
      </vt:variant>
      <vt:variant>
        <vt:i4>5</vt:i4>
      </vt:variant>
      <vt:variant>
        <vt:lpwstr>https://www.openingdoors.eu/wp-content/uploads/2020/01/OD-lessons-learned.pdf</vt:lpwstr>
      </vt:variant>
      <vt:variant>
        <vt:lpwstr/>
      </vt:variant>
      <vt:variant>
        <vt:i4>5636126</vt:i4>
      </vt:variant>
      <vt:variant>
        <vt:i4>39</vt:i4>
      </vt:variant>
      <vt:variant>
        <vt:i4>0</vt:i4>
      </vt:variant>
      <vt:variant>
        <vt:i4>5</vt:i4>
      </vt:variant>
      <vt:variant>
        <vt:lpwstr>https://eurochild.org/uploads/2022/02/UNICEF-DataCare-Technical-Report-Final.pdf</vt:lpwstr>
      </vt:variant>
      <vt:variant>
        <vt:lpwstr/>
      </vt:variant>
      <vt:variant>
        <vt:i4>6029312</vt:i4>
      </vt:variant>
      <vt:variant>
        <vt:i4>36</vt:i4>
      </vt:variant>
      <vt:variant>
        <vt:i4>0</vt:i4>
      </vt:variant>
      <vt:variant>
        <vt:i4>5</vt:i4>
      </vt:variant>
      <vt:variant>
        <vt:lpwstr>https://www.ihrec.ie/app/uploads/2022/01/IHREC-Submission-on-the-Review-of-the-Equality-Acts.pdf</vt:lpwstr>
      </vt:variant>
      <vt:variant>
        <vt:lpwstr/>
      </vt:variant>
      <vt:variant>
        <vt:i4>3145849</vt:i4>
      </vt:variant>
      <vt:variant>
        <vt:i4>33</vt:i4>
      </vt:variant>
      <vt:variant>
        <vt:i4>0</vt:i4>
      </vt:variant>
      <vt:variant>
        <vt:i4>5</vt:i4>
      </vt:variant>
      <vt:variant>
        <vt:lpwstr>https://ec.europa.eu/info/sites/default/files/equality_bodies_making_a_difference.pdf</vt:lpwstr>
      </vt:variant>
      <vt:variant>
        <vt:lpwstr/>
      </vt:variant>
      <vt:variant>
        <vt:i4>5636127</vt:i4>
      </vt:variant>
      <vt:variant>
        <vt:i4>30</vt:i4>
      </vt:variant>
      <vt:variant>
        <vt:i4>0</vt:i4>
      </vt:variant>
      <vt:variant>
        <vt:i4>5</vt:i4>
      </vt:variant>
      <vt:variant>
        <vt:lpwstr>https://op.europa.eu/en/publication-detail/-/publication/fc350c8a-b9e0-11eb-8aca-01aa75ed71a1</vt:lpwstr>
      </vt:variant>
      <vt:variant>
        <vt:lpwstr/>
      </vt:variant>
      <vt:variant>
        <vt:i4>7733291</vt:i4>
      </vt:variant>
      <vt:variant>
        <vt:i4>27</vt:i4>
      </vt:variant>
      <vt:variant>
        <vt:i4>0</vt:i4>
      </vt:variant>
      <vt:variant>
        <vt:i4>5</vt:i4>
      </vt:variant>
      <vt:variant>
        <vt:lpwstr>https://fra.europa.eu/sites/default/files/fra_uploads/fra-2021-opinion-equality-directives-01-2021_en.pdf</vt:lpwstr>
      </vt:variant>
      <vt:variant>
        <vt:lpwstr/>
      </vt:variant>
      <vt:variant>
        <vt:i4>3866678</vt:i4>
      </vt:variant>
      <vt:variant>
        <vt:i4>24</vt:i4>
      </vt:variant>
      <vt:variant>
        <vt:i4>0</vt:i4>
      </vt:variant>
      <vt:variant>
        <vt:i4>5</vt:i4>
      </vt:variant>
      <vt:variant>
        <vt:lpwstr>https://curia.europa.eu/juris/document/document.jsf?text=&amp;docid=185565&amp;pageIndex=0&amp;doclang=EN&amp;mode=lst&amp;dir=&amp;occ=first&amp;part=1&amp;cid=340131</vt:lpwstr>
      </vt:variant>
      <vt:variant>
        <vt:lpwstr/>
      </vt:variant>
      <vt:variant>
        <vt:i4>6881339</vt:i4>
      </vt:variant>
      <vt:variant>
        <vt:i4>21</vt:i4>
      </vt:variant>
      <vt:variant>
        <vt:i4>0</vt:i4>
      </vt:variant>
      <vt:variant>
        <vt:i4>5</vt:i4>
      </vt:variant>
      <vt:variant>
        <vt:lpwstr>https://www.equalitylaw.eu/downloads/3850-intersectional-discrimination-in-eu-gender-equality-and-non-discrimination-law-pdf-731-kb</vt:lpwstr>
      </vt:variant>
      <vt:variant>
        <vt:lpwstr/>
      </vt:variant>
      <vt:variant>
        <vt:i4>6094896</vt:i4>
      </vt:variant>
      <vt:variant>
        <vt:i4>18</vt:i4>
      </vt:variant>
      <vt:variant>
        <vt:i4>0</vt:i4>
      </vt:variant>
      <vt:variant>
        <vt:i4>5</vt:i4>
      </vt:variant>
      <vt:variant>
        <vt:lpwstr>https://ec.europa.eu/info/sites/default/files/1_en_act_part1_v8_0.pdf</vt:lpwstr>
      </vt:variant>
      <vt:variant>
        <vt:lpwstr/>
      </vt:variant>
      <vt:variant>
        <vt:i4>3276915</vt:i4>
      </vt:variant>
      <vt:variant>
        <vt:i4>15</vt:i4>
      </vt:variant>
      <vt:variant>
        <vt:i4>0</vt:i4>
      </vt:variant>
      <vt:variant>
        <vt:i4>5</vt:i4>
      </vt:variant>
      <vt:variant>
        <vt:lpwstr>https://www.edf-feph.org/content/uploads/2021/04/EDF-position-and-recommendation-on-hate-speech-and-hate-crime.pdf</vt:lpwstr>
      </vt:variant>
      <vt:variant>
        <vt:lpwstr/>
      </vt:variant>
      <vt:variant>
        <vt:i4>8126581</vt:i4>
      </vt:variant>
      <vt:variant>
        <vt:i4>12</vt:i4>
      </vt:variant>
      <vt:variant>
        <vt:i4>0</vt:i4>
      </vt:variant>
      <vt:variant>
        <vt:i4>5</vt:i4>
      </vt:variant>
      <vt:variant>
        <vt:lpwstr>https://eur-lex.europa.eu/legal-content/EN/TXT/?uri=celex%3A32000L0078</vt:lpwstr>
      </vt:variant>
      <vt:variant>
        <vt:lpwstr/>
      </vt:variant>
      <vt:variant>
        <vt:i4>1703968</vt:i4>
      </vt:variant>
      <vt:variant>
        <vt:i4>9</vt:i4>
      </vt:variant>
      <vt:variant>
        <vt:i4>0</vt:i4>
      </vt:variant>
      <vt:variant>
        <vt:i4>5</vt:i4>
      </vt:variant>
      <vt:variant>
        <vt:lpwstr>https://eur-lex.europa.eu/legal-content/EN/TXT/PDF/?uri=CONSIL:ST_10740_2019_INIT&amp;from=EN</vt:lpwstr>
      </vt:variant>
      <vt:variant>
        <vt:lpwstr/>
      </vt:variant>
      <vt:variant>
        <vt:i4>3866678</vt:i4>
      </vt:variant>
      <vt:variant>
        <vt:i4>5</vt:i4>
      </vt:variant>
      <vt:variant>
        <vt:i4>0</vt:i4>
      </vt:variant>
      <vt:variant>
        <vt:i4>5</vt:i4>
      </vt:variant>
      <vt:variant>
        <vt:lpwstr>https://curia.europa.eu/juris/document/document.jsf?text=&amp;docid=185565&amp;pageIndex=0&amp;doclang=EN&amp;mode=lst&amp;dir=&amp;occ=first&amp;part=1&amp;cid=340131</vt:lpwstr>
      </vt:variant>
      <vt:variant>
        <vt:lpwstr/>
      </vt:variant>
      <vt:variant>
        <vt:i4>3866678</vt:i4>
      </vt:variant>
      <vt:variant>
        <vt:i4>3</vt:i4>
      </vt:variant>
      <vt:variant>
        <vt:i4>0</vt:i4>
      </vt:variant>
      <vt:variant>
        <vt:i4>5</vt:i4>
      </vt:variant>
      <vt:variant>
        <vt:lpwstr>https://curia.europa.eu/juris/document/document.jsf?text=&amp;docid=185565&amp;pageIndex=0&amp;doclang=EN&amp;mode=lst&amp;dir=&amp;occ=first&amp;part=1&amp;cid=340131</vt:lpwstr>
      </vt:variant>
      <vt:variant>
        <vt:lpwstr/>
      </vt:variant>
      <vt:variant>
        <vt:i4>8126581</vt:i4>
      </vt:variant>
      <vt:variant>
        <vt:i4>0</vt:i4>
      </vt:variant>
      <vt:variant>
        <vt:i4>0</vt:i4>
      </vt:variant>
      <vt:variant>
        <vt:i4>5</vt:i4>
      </vt:variant>
      <vt:variant>
        <vt:lpwstr>https://eur-lex.europa.eu/legal-content/EN/TXT/?uri=celex%3A32000L0078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Equinet Finance</dc:creator>
  <cp:keywords/>
  <cp:lastModifiedBy>Jone Elizondo Urrestarazu</cp:lastModifiedBy>
  <cp:revision>47</cp:revision>
  <cp:lastPrinted>2022-02-14T17:22:00Z</cp:lastPrinted>
  <dcterms:created xsi:type="dcterms:W3CDTF">2022-02-14T22:19:00Z</dcterms:created>
  <dcterms:modified xsi:type="dcterms:W3CDTF">2022-02-14T17:22:00Z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0x01010008820D3E3E695243A18602BCD7DE657A</vt:lpwstr>
  </property>
</Properties>
</file>