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2076" w14:textId="46EFBF46" w:rsidR="00E55227" w:rsidRPr="00216C84" w:rsidRDefault="00EA7F51" w:rsidP="006804DA">
      <w:pPr>
        <w:pStyle w:val="CoverTitle"/>
        <w:rPr>
          <w:sz w:val="72"/>
          <w:szCs w:val="20"/>
          <w:lang w:val="es-ES"/>
          <w14:textOutline w14:w="25400" w14:cap="sq" w14:cmpd="sng" w14:algn="ctr">
            <w14:solidFill>
              <w14:schemeClr w14:val="tx1"/>
            </w14:solidFill>
            <w14:prstDash w14:val="solid"/>
            <w14:round/>
          </w14:textOutline>
        </w:rPr>
      </w:pPr>
      <w:r w:rsidRPr="00ED3BD2">
        <w:rPr>
          <w:noProof/>
          <w:sz w:val="80"/>
          <w:szCs w:val="80"/>
          <w:lang w:val="fr-FR"/>
        </w:rPr>
        <w:drawing>
          <wp:anchor distT="0" distB="0" distL="114300" distR="114300" simplePos="0" relativeHeight="251664384" behindDoc="0" locked="0" layoutInCell="1" allowOverlap="1" wp14:anchorId="67A11F71" wp14:editId="2E19CC96">
            <wp:simplePos x="0" y="0"/>
            <wp:positionH relativeFrom="margin">
              <wp:align>center</wp:align>
            </wp:positionH>
            <wp:positionV relativeFrom="paragraph">
              <wp:posOffset>-68580</wp:posOffset>
            </wp:positionV>
            <wp:extent cx="1828800" cy="18288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28800" cy="1828800"/>
                    </a:xfrm>
                    <a:prstGeom prst="rect">
                      <a:avLst/>
                    </a:prstGeom>
                  </pic:spPr>
                </pic:pic>
              </a:graphicData>
            </a:graphic>
          </wp:anchor>
        </w:drawing>
      </w:r>
      <w:r>
        <w:rPr>
          <w:sz w:val="72"/>
          <w:szCs w:val="20"/>
          <w:lang w:val="es-ES"/>
          <w14:textOutline w14:w="25400" w14:cap="sq" w14:cmpd="sng" w14:algn="ctr">
            <w14:solidFill>
              <w14:schemeClr w14:val="tx1"/>
            </w14:solidFill>
            <w14:prstDash w14:val="solid"/>
            <w14:round/>
          </w14:textOutline>
        </w:rPr>
        <w:br/>
      </w:r>
      <w:r>
        <w:rPr>
          <w:sz w:val="72"/>
          <w:szCs w:val="20"/>
          <w:lang w:val="es-ES"/>
          <w14:textOutline w14:w="25400" w14:cap="sq" w14:cmpd="sng" w14:algn="ctr">
            <w14:solidFill>
              <w14:schemeClr w14:val="tx1"/>
            </w14:solidFill>
            <w14:prstDash w14:val="solid"/>
            <w14:round/>
          </w14:textOutline>
        </w:rPr>
        <w:br/>
      </w:r>
      <w:r>
        <w:rPr>
          <w:sz w:val="72"/>
          <w:szCs w:val="20"/>
          <w:lang w:val="es-ES"/>
          <w14:textOutline w14:w="25400" w14:cap="sq" w14:cmpd="sng" w14:algn="ctr">
            <w14:solidFill>
              <w14:schemeClr w14:val="tx1"/>
            </w14:solidFill>
            <w14:prstDash w14:val="solid"/>
            <w14:round/>
          </w14:textOutline>
        </w:rPr>
        <w:br/>
      </w:r>
      <w:r w:rsidR="00E55227" w:rsidRPr="00216C84">
        <w:rPr>
          <w:noProof/>
          <w:sz w:val="72"/>
          <w:szCs w:val="20"/>
          <w14:textOutline w14:w="25400" w14:cap="sq" w14:cmpd="sng" w14:algn="ctr">
            <w14:solidFill>
              <w14:schemeClr w14:val="tx1"/>
            </w14:solidFill>
            <w14:prstDash w14:val="solid"/>
            <w14:round/>
          </w14:textOutline>
        </w:rPr>
        <w:drawing>
          <wp:anchor distT="0" distB="0" distL="114300" distR="114300" simplePos="0" relativeHeight="251659264" behindDoc="1" locked="0" layoutInCell="1" allowOverlap="1" wp14:anchorId="0FCAC17E" wp14:editId="2ECA5EF3">
            <wp:simplePos x="0" y="0"/>
            <wp:positionH relativeFrom="margin">
              <wp:align>center</wp:align>
            </wp:positionH>
            <wp:positionV relativeFrom="paragraph">
              <wp:posOffset>-518795</wp:posOffset>
            </wp:positionV>
            <wp:extent cx="6943725" cy="9886950"/>
            <wp:effectExtent l="0" t="0" r="9525"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943725" cy="9886950"/>
                    </a:xfrm>
                    <a:prstGeom prst="rect">
                      <a:avLst/>
                    </a:prstGeom>
                  </pic:spPr>
                </pic:pic>
              </a:graphicData>
            </a:graphic>
            <wp14:sizeRelH relativeFrom="margin">
              <wp14:pctWidth>0</wp14:pctWidth>
            </wp14:sizeRelH>
            <wp14:sizeRelV relativeFrom="margin">
              <wp14:pctHeight>0</wp14:pctHeight>
            </wp14:sizeRelV>
          </wp:anchor>
        </w:drawing>
      </w:r>
      <w:r w:rsidR="006804DA" w:rsidRPr="00216C84">
        <w:rPr>
          <w:rFonts w:eastAsiaTheme="majorEastAsia" w:cs="Times New Roman"/>
          <w:noProof/>
          <w:spacing w:val="-10"/>
          <w:kern w:val="28"/>
          <w:sz w:val="72"/>
          <w:szCs w:val="52"/>
          <w:lang w:val="en-US"/>
          <w14:textOutline w14:w="25400" w14:cap="sq" w14:cmpd="sng" w14:algn="ctr">
            <w14:solidFill>
              <w14:schemeClr w14:val="tx1"/>
            </w14:solidFill>
            <w14:prstDash w14:val="solid"/>
            <w14:round/>
          </w14:textOutline>
        </w:rPr>
        <w:drawing>
          <wp:anchor distT="0" distB="0" distL="114300" distR="114300" simplePos="0" relativeHeight="251658240" behindDoc="1" locked="0" layoutInCell="1" allowOverlap="1" wp14:anchorId="334E26D9" wp14:editId="2E1295AD">
            <wp:simplePos x="0" y="0"/>
            <wp:positionH relativeFrom="page">
              <wp:align>right</wp:align>
            </wp:positionH>
            <wp:positionV relativeFrom="paragraph">
              <wp:posOffset>-899795</wp:posOffset>
            </wp:positionV>
            <wp:extent cx="7610475" cy="11276257"/>
            <wp:effectExtent l="0" t="0" r="0" b="190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10475" cy="11276257"/>
                    </a:xfrm>
                    <a:prstGeom prst="rect">
                      <a:avLst/>
                    </a:prstGeom>
                  </pic:spPr>
                </pic:pic>
              </a:graphicData>
            </a:graphic>
            <wp14:sizeRelH relativeFrom="page">
              <wp14:pctWidth>0</wp14:pctWidth>
            </wp14:sizeRelH>
            <wp14:sizeRelV relativeFrom="page">
              <wp14:pctHeight>0</wp14:pctHeight>
            </wp14:sizeRelV>
          </wp:anchor>
        </w:drawing>
      </w:r>
      <w:r w:rsidR="00C8139E" w:rsidRPr="00216C84">
        <w:rPr>
          <w:sz w:val="72"/>
          <w:szCs w:val="20"/>
          <w:lang w:val="es-ES"/>
          <w14:textOutline w14:w="25400" w14:cap="sq" w14:cmpd="sng" w14:algn="ctr">
            <w14:solidFill>
              <w14:schemeClr w14:val="tx1"/>
            </w14:solidFill>
            <w14:prstDash w14:val="solid"/>
            <w14:round/>
          </w14:textOutline>
        </w:rPr>
        <w:t>Informe alternativo de EDF para la segunda revisión de la UE por parte del Comité</w:t>
      </w:r>
      <w:r w:rsidR="00216C84" w:rsidRPr="00216C84">
        <w:rPr>
          <w:sz w:val="72"/>
          <w:szCs w:val="20"/>
          <w:lang w:val="es-ES"/>
          <w14:textOutline w14:w="25400" w14:cap="sq" w14:cmpd="sng" w14:algn="ctr">
            <w14:solidFill>
              <w14:schemeClr w14:val="tx1"/>
            </w14:solidFill>
            <w14:prstDash w14:val="solid"/>
            <w14:round/>
          </w14:textOutline>
        </w:rPr>
        <w:t xml:space="preserve"> de los </w:t>
      </w:r>
      <w:r w:rsidR="006D09AA">
        <w:rPr>
          <w:sz w:val="72"/>
          <w:szCs w:val="20"/>
          <w:lang w:val="es-ES"/>
          <w14:textOutline w14:w="25400" w14:cap="sq" w14:cmpd="sng" w14:algn="ctr">
            <w14:solidFill>
              <w14:schemeClr w14:val="tx1"/>
            </w14:solidFill>
            <w14:prstDash w14:val="solid"/>
            <w14:round/>
          </w14:textOutline>
        </w:rPr>
        <w:t>D</w:t>
      </w:r>
      <w:r w:rsidR="00216C84" w:rsidRPr="00216C84">
        <w:rPr>
          <w:sz w:val="72"/>
          <w:szCs w:val="20"/>
          <w:lang w:val="es-ES"/>
          <w14:textOutline w14:w="25400" w14:cap="sq" w14:cmpd="sng" w14:algn="ctr">
            <w14:solidFill>
              <w14:schemeClr w14:val="tx1"/>
            </w14:solidFill>
            <w14:prstDash w14:val="solid"/>
            <w14:round/>
          </w14:textOutline>
        </w:rPr>
        <w:t xml:space="preserve">erechos de las </w:t>
      </w:r>
      <w:r w:rsidR="006D09AA">
        <w:rPr>
          <w:sz w:val="72"/>
          <w:szCs w:val="20"/>
          <w:lang w:val="es-ES"/>
          <w14:textOutline w14:w="25400" w14:cap="sq" w14:cmpd="sng" w14:algn="ctr">
            <w14:solidFill>
              <w14:schemeClr w14:val="tx1"/>
            </w14:solidFill>
            <w14:prstDash w14:val="solid"/>
            <w14:round/>
          </w14:textOutline>
        </w:rPr>
        <w:t>P</w:t>
      </w:r>
      <w:r w:rsidR="00216C84" w:rsidRPr="00216C84">
        <w:rPr>
          <w:sz w:val="72"/>
          <w:szCs w:val="20"/>
          <w:lang w:val="es-ES"/>
          <w14:textOutline w14:w="25400" w14:cap="sq" w14:cmpd="sng" w14:algn="ctr">
            <w14:solidFill>
              <w14:schemeClr w14:val="tx1"/>
            </w14:solidFill>
            <w14:prstDash w14:val="solid"/>
            <w14:round/>
          </w14:textOutline>
        </w:rPr>
        <w:t xml:space="preserve">ersonas con </w:t>
      </w:r>
      <w:r w:rsidR="006D09AA">
        <w:rPr>
          <w:sz w:val="72"/>
          <w:szCs w:val="20"/>
          <w:lang w:val="es-ES"/>
          <w14:textOutline w14:w="25400" w14:cap="sq" w14:cmpd="sng" w14:algn="ctr">
            <w14:solidFill>
              <w14:schemeClr w14:val="tx1"/>
            </w14:solidFill>
            <w14:prstDash w14:val="solid"/>
            <w14:round/>
          </w14:textOutline>
        </w:rPr>
        <w:t>D</w:t>
      </w:r>
      <w:r w:rsidR="00216C84" w:rsidRPr="00216C84">
        <w:rPr>
          <w:sz w:val="72"/>
          <w:szCs w:val="20"/>
          <w:lang w:val="es-ES"/>
          <w14:textOutline w14:w="25400" w14:cap="sq" w14:cmpd="sng" w14:algn="ctr">
            <w14:solidFill>
              <w14:schemeClr w14:val="tx1"/>
            </w14:solidFill>
            <w14:prstDash w14:val="solid"/>
            <w14:round/>
          </w14:textOutline>
        </w:rPr>
        <w:t>iscapacidad</w:t>
      </w:r>
      <w:r>
        <w:rPr>
          <w:sz w:val="72"/>
          <w:szCs w:val="20"/>
          <w:lang w:val="es-ES"/>
          <w14:textOutline w14:w="25400" w14:cap="sq" w14:cmpd="sng" w14:algn="ctr">
            <w14:solidFill>
              <w14:schemeClr w14:val="tx1"/>
            </w14:solidFill>
            <w14:prstDash w14:val="solid"/>
            <w14:round/>
          </w14:textOutline>
        </w:rPr>
        <w:t xml:space="preserve"> </w:t>
      </w:r>
      <w:r w:rsidR="002E60DD" w:rsidRPr="00216C84">
        <w:rPr>
          <w:sz w:val="72"/>
          <w:szCs w:val="20"/>
          <w:lang w:val="es-ES"/>
          <w14:textOutline w14:w="25400" w14:cap="sq" w14:cmpd="sng" w14:algn="ctr">
            <w14:solidFill>
              <w14:schemeClr w14:val="tx1"/>
            </w14:solidFill>
            <w14:prstDash w14:val="solid"/>
            <w14:round/>
          </w14:textOutline>
        </w:rPr>
        <w:t>–</w:t>
      </w:r>
      <w:r w:rsidR="00216C84" w:rsidRPr="00216C84">
        <w:rPr>
          <w:sz w:val="72"/>
          <w:szCs w:val="20"/>
          <w:lang w:val="es-ES"/>
          <w14:textOutline w14:w="25400" w14:cap="sq" w14:cmpd="sng" w14:algn="ctr">
            <w14:solidFill>
              <w14:schemeClr w14:val="tx1"/>
            </w14:solidFill>
            <w14:prstDash w14:val="solid"/>
            <w14:round/>
          </w14:textOutline>
        </w:rPr>
        <w:t xml:space="preserve"> </w:t>
      </w:r>
      <w:r w:rsidR="00A54FCF">
        <w:rPr>
          <w:sz w:val="72"/>
          <w:szCs w:val="20"/>
          <w:lang w:val="es-ES"/>
          <w14:textOutline w14:w="25400" w14:cap="sq" w14:cmpd="sng" w14:algn="ctr">
            <w14:solidFill>
              <w14:schemeClr w14:val="tx1"/>
            </w14:solidFill>
            <w14:prstDash w14:val="solid"/>
            <w14:round/>
          </w14:textOutline>
        </w:rPr>
        <w:t>Resumen ejecutivo</w:t>
      </w:r>
    </w:p>
    <w:p w14:paraId="7C73574A" w14:textId="6D72E367" w:rsidR="00E55227" w:rsidRPr="00EA7F51" w:rsidRDefault="00EA7F51" w:rsidP="00E55227">
      <w:pPr>
        <w:numPr>
          <w:ilvl w:val="1"/>
          <w:numId w:val="0"/>
        </w:numPr>
        <w:spacing w:before="120" w:after="360" w:line="259" w:lineRule="auto"/>
        <w:rPr>
          <w:rFonts w:eastAsiaTheme="minorEastAsia" w:cs="Times New Roman"/>
          <w:b/>
          <w:color w:val="FFFFFF" w:themeColor="background1"/>
          <w:spacing w:val="15"/>
          <w:sz w:val="40"/>
          <w:szCs w:val="40"/>
          <w:lang w:val="es-ES"/>
        </w:rPr>
      </w:pPr>
      <w:r w:rsidRPr="00E55227">
        <w:rPr>
          <w:rFonts w:ascii="Verdana" w:eastAsia="Times New Roman" w:hAnsi="Verdana" w:cs="Times New Roman"/>
          <w:noProof/>
          <w:lang w:val="en-US"/>
        </w:rPr>
        <mc:AlternateContent>
          <mc:Choice Requires="wps">
            <w:drawing>
              <wp:anchor distT="0" distB="0" distL="114300" distR="114300" simplePos="0" relativeHeight="251661312" behindDoc="1" locked="0" layoutInCell="1" allowOverlap="1" wp14:anchorId="2F3F05C0" wp14:editId="6B8ACD38">
                <wp:simplePos x="0" y="0"/>
                <wp:positionH relativeFrom="page">
                  <wp:align>right</wp:align>
                </wp:positionH>
                <wp:positionV relativeFrom="paragraph">
                  <wp:posOffset>1147445</wp:posOffset>
                </wp:positionV>
                <wp:extent cx="7548880" cy="48577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485775"/>
                        </a:xfrm>
                        <a:prstGeom prst="rect">
                          <a:avLst/>
                        </a:prstGeom>
                        <a:solidFill>
                          <a:srgbClr val="A2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D8917" id="Rectangle 4" o:spid="_x0000_s1026" style="position:absolute;margin-left:543.2pt;margin-top:90.35pt;width:594.4pt;height:38.2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" fillcolor="#a20000" stroked="f" strokeweight="1pt">
                <w10:wrap anchorx="page"/>
              </v:rect>
            </w:pict>
          </mc:Fallback>
        </mc:AlternateContent>
      </w:r>
      <w:r>
        <w:rPr>
          <w:rFonts w:eastAsiaTheme="minorEastAsia" w:cs="Times New Roman"/>
          <w:b/>
          <w:color w:val="FFFFFF" w:themeColor="background1"/>
          <w:spacing w:val="15"/>
          <w:sz w:val="36"/>
          <w:szCs w:val="20"/>
          <w:lang w:val="es-ES"/>
        </w:rPr>
        <w:br/>
      </w:r>
      <w:r w:rsidR="006D09AA" w:rsidRPr="00EA7F51">
        <w:rPr>
          <w:rFonts w:eastAsiaTheme="minorEastAsia" w:cs="Times New Roman"/>
          <w:b/>
          <w:color w:val="FFFFFF" w:themeColor="background1"/>
          <w:spacing w:val="15"/>
          <w:sz w:val="40"/>
          <w:szCs w:val="40"/>
          <w:lang w:val="es-ES"/>
        </w:rPr>
        <w:t xml:space="preserve">Foro Europeo de la Discapacidad  </w:t>
      </w:r>
      <w:r w:rsidRPr="00EA7F51">
        <w:rPr>
          <w:rFonts w:eastAsiaTheme="minorEastAsia" w:cs="Times New Roman"/>
          <w:b/>
          <w:color w:val="FFFFFF" w:themeColor="background1"/>
          <w:spacing w:val="15"/>
          <w:sz w:val="40"/>
          <w:szCs w:val="40"/>
          <w:lang w:val="es-ES"/>
        </w:rPr>
        <w:br/>
      </w:r>
      <w:r w:rsidR="00E55227" w:rsidRPr="00EA7F51">
        <w:rPr>
          <w:rFonts w:eastAsiaTheme="minorEastAsia" w:cs="Times New Roman"/>
          <w:b/>
          <w:color w:val="FFFFFF" w:themeColor="background1"/>
          <w:spacing w:val="15"/>
          <w:sz w:val="40"/>
          <w:szCs w:val="40"/>
          <w:lang w:val="es-ES"/>
        </w:rPr>
        <w:t>P</w:t>
      </w:r>
      <w:r w:rsidR="00216C84" w:rsidRPr="00EA7F51">
        <w:rPr>
          <w:rFonts w:eastAsiaTheme="minorEastAsia" w:cs="Times New Roman"/>
          <w:b/>
          <w:color w:val="FFFFFF" w:themeColor="background1"/>
          <w:spacing w:val="15"/>
          <w:sz w:val="40"/>
          <w:szCs w:val="40"/>
          <w:lang w:val="es-ES"/>
        </w:rPr>
        <w:t>ublicado en febrero de 2022</w:t>
      </w:r>
    </w:p>
    <w:p w14:paraId="73622E51" w14:textId="04D91BF8" w:rsidR="00C9050B" w:rsidRPr="00EA7F51" w:rsidRDefault="00EA7F51" w:rsidP="00E55227">
      <w:pPr>
        <w:spacing w:before="360" w:after="840" w:line="259" w:lineRule="auto"/>
        <w:rPr>
          <w:rFonts w:ascii="Verdana" w:eastAsia="Times New Roman" w:hAnsi="Verdana" w:cs="Times New Roman"/>
          <w:b/>
          <w:bCs/>
          <w:color w:val="FFFFFF" w:themeColor="background1"/>
          <w:szCs w:val="24"/>
          <w:lang w:val="es-ES"/>
        </w:rPr>
      </w:pPr>
      <w:r w:rsidRPr="00C9050B">
        <w:rPr>
          <w:noProof/>
        </w:rPr>
        <w:drawing>
          <wp:anchor distT="0" distB="0" distL="114300" distR="114300" simplePos="0" relativeHeight="251662336" behindDoc="0" locked="0" layoutInCell="1" allowOverlap="1" wp14:anchorId="591318DC" wp14:editId="1812AA40">
            <wp:simplePos x="0" y="0"/>
            <wp:positionH relativeFrom="margin">
              <wp:align>left</wp:align>
            </wp:positionH>
            <wp:positionV relativeFrom="paragraph">
              <wp:posOffset>901700</wp:posOffset>
            </wp:positionV>
            <wp:extent cx="904875" cy="609600"/>
            <wp:effectExtent l="0" t="0" r="9525" b="0"/>
            <wp:wrapSquare wrapText="bothSides"/>
            <wp:docPr id="5" name="Picture 5"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creen with yellow stars&#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904875" cy="609600"/>
                    </a:xfrm>
                    <a:prstGeom prst="rect">
                      <a:avLst/>
                    </a:prstGeom>
                  </pic:spPr>
                </pic:pic>
              </a:graphicData>
            </a:graphic>
          </wp:anchor>
        </w:drawing>
      </w:r>
      <w:r w:rsidR="004F1E38" w:rsidRPr="004F1E38">
        <w:rPr>
          <w:rFonts w:ascii="Verdana" w:eastAsia="Times New Roman" w:hAnsi="Verdana" w:cs="Times New Roman"/>
          <w:b/>
          <w:bCs/>
          <w:color w:val="FFFFFF" w:themeColor="background1"/>
          <w:szCs w:val="24"/>
          <w:lang w:val="es-ES"/>
        </w:rPr>
        <w:t xml:space="preserve">Comunicación </w:t>
      </w:r>
      <w:r w:rsidR="004F1E38">
        <w:rPr>
          <w:rFonts w:ascii="Verdana" w:eastAsia="Times New Roman" w:hAnsi="Verdana" w:cs="Times New Roman"/>
          <w:b/>
          <w:bCs/>
          <w:color w:val="FFFFFF" w:themeColor="background1"/>
          <w:szCs w:val="24"/>
          <w:lang w:val="es-ES"/>
        </w:rPr>
        <w:t xml:space="preserve">para la </w:t>
      </w:r>
      <w:r w:rsidR="004F1E38" w:rsidRPr="004F1E38">
        <w:rPr>
          <w:rFonts w:ascii="Verdana" w:eastAsia="Times New Roman" w:hAnsi="Verdana" w:cs="Times New Roman"/>
          <w:b/>
          <w:bCs/>
          <w:color w:val="FFFFFF" w:themeColor="background1"/>
          <w:szCs w:val="24"/>
          <w:lang w:val="es-ES"/>
        </w:rPr>
        <w:t xml:space="preserve">lista de cuestiones previa a la presentación de informes </w:t>
      </w:r>
      <w:r w:rsidR="004F1E38">
        <w:rPr>
          <w:rFonts w:ascii="Verdana" w:eastAsia="Times New Roman" w:hAnsi="Verdana" w:cs="Times New Roman"/>
          <w:b/>
          <w:bCs/>
          <w:color w:val="FFFFFF" w:themeColor="background1"/>
          <w:szCs w:val="24"/>
          <w:lang w:val="es-ES"/>
        </w:rPr>
        <w:t>sobre la UE</w:t>
      </w:r>
    </w:p>
    <w:p w14:paraId="49409AB3" w14:textId="35F91ED8" w:rsidR="00EA7F51" w:rsidRPr="00EA7F51" w:rsidRDefault="004F1E38" w:rsidP="00EA7F51">
      <w:pPr>
        <w:spacing w:before="360" w:after="840" w:line="259" w:lineRule="auto"/>
        <w:rPr>
          <w:rFonts w:ascii="Verdana" w:eastAsia="Times New Roman" w:hAnsi="Verdana" w:cs="Times New Roman"/>
          <w:b/>
          <w:bCs/>
          <w:color w:val="FFFFFF" w:themeColor="background1"/>
          <w:sz w:val="28"/>
          <w:szCs w:val="28"/>
          <w:lang w:val="es-ES"/>
        </w:rPr>
      </w:pPr>
      <w:r w:rsidRPr="004F1E38">
        <w:rPr>
          <w:color w:val="FFFFFF" w:themeColor="background1"/>
          <w:lang w:val="es-ES" w:eastAsia="zh-CN" w:bidi="hi-IN"/>
        </w:rPr>
        <w:t>Esta publicación ha recibido apoyo financiero de la Unión Europea.</w:t>
      </w:r>
      <w:r>
        <w:rPr>
          <w:color w:val="FFFFFF" w:themeColor="background1"/>
          <w:lang w:val="es-ES" w:eastAsia="zh-CN" w:bidi="hi-IN"/>
        </w:rPr>
        <w:t xml:space="preserve"> </w:t>
      </w:r>
      <w:r w:rsidRPr="004F1E38">
        <w:rPr>
          <w:color w:val="FFFFFF" w:themeColor="background1"/>
          <w:lang w:val="es-ES" w:eastAsia="zh-CN" w:bidi="hi-IN"/>
        </w:rPr>
        <w:t>La información contenida en esta publicación no refleja necesariamente la posición oficial de la Comisión Europea.</w:t>
      </w:r>
    </w:p>
    <w:p w14:paraId="601537B8" w14:textId="3FB621EF" w:rsidR="00505128" w:rsidRPr="00E43297" w:rsidRDefault="005A29E6" w:rsidP="00E43297">
      <w:pPr>
        <w:pStyle w:val="Heading1"/>
        <w:jc w:val="both"/>
        <w:rPr>
          <w:rFonts w:cs="Arial"/>
          <w:lang w:val="es-ES"/>
        </w:rPr>
      </w:pPr>
      <w:r w:rsidRPr="00EA7F51">
        <w:rPr>
          <w:lang w:val="es-ES"/>
        </w:rPr>
        <w:br w:type="column"/>
      </w:r>
      <w:r w:rsidR="006D09AA" w:rsidRPr="00E43297">
        <w:rPr>
          <w:rFonts w:cs="Arial"/>
          <w:lang w:val="es-ES"/>
        </w:rPr>
        <w:lastRenderedPageBreak/>
        <w:t xml:space="preserve">Foro Europeo de la Discapacidad </w:t>
      </w:r>
      <w:r w:rsidR="00505128" w:rsidRPr="00E43297">
        <w:rPr>
          <w:rFonts w:cs="Arial"/>
          <w:lang w:val="es-ES"/>
        </w:rPr>
        <w:t xml:space="preserve"> </w:t>
      </w:r>
    </w:p>
    <w:p w14:paraId="5B4F556C" w14:textId="59D6BE65" w:rsidR="004F1E38" w:rsidRPr="00E43297" w:rsidRDefault="004F1E38" w:rsidP="00E43297">
      <w:pPr>
        <w:jc w:val="both"/>
        <w:rPr>
          <w:rFonts w:cs="Arial"/>
          <w:lang w:val="es-ES"/>
        </w:rPr>
      </w:pPr>
      <w:r w:rsidRPr="00E43297">
        <w:rPr>
          <w:rFonts w:cs="Arial"/>
          <w:lang w:val="es-ES"/>
        </w:rPr>
        <w:t xml:space="preserve">El Foro Europeo de la Discapacidad (EDF) es una organización marco de personas con discapacidad que defiende los intereses de más de 100 millones de personas con discapacidad en toda Europa. </w:t>
      </w:r>
    </w:p>
    <w:p w14:paraId="0D8CE954" w14:textId="6F8C10D6" w:rsidR="004F1E38" w:rsidRPr="00E43297" w:rsidRDefault="004F1E38" w:rsidP="00E43297">
      <w:pPr>
        <w:jc w:val="both"/>
        <w:rPr>
          <w:rFonts w:cs="Arial"/>
          <w:lang w:val="es-ES"/>
        </w:rPr>
      </w:pPr>
      <w:r w:rsidRPr="00E43297">
        <w:rPr>
          <w:rFonts w:cs="Arial"/>
          <w:lang w:val="es-ES"/>
        </w:rPr>
        <w:t xml:space="preserve">Somos una organización no gubernamental independiente, la cual reúne a organizaciones </w:t>
      </w:r>
      <w:r w:rsidR="006D09AA" w:rsidRPr="00E43297">
        <w:rPr>
          <w:rFonts w:cs="Arial"/>
          <w:lang w:val="es-ES"/>
        </w:rPr>
        <w:t>representantes</w:t>
      </w:r>
      <w:r w:rsidRPr="00E43297">
        <w:rPr>
          <w:rFonts w:cs="Arial"/>
          <w:lang w:val="es-ES"/>
        </w:rPr>
        <w:t xml:space="preserve"> </w:t>
      </w:r>
      <w:r w:rsidR="006D09AA" w:rsidRPr="00E43297">
        <w:rPr>
          <w:rFonts w:cs="Arial"/>
          <w:lang w:val="es-ES"/>
        </w:rPr>
        <w:t xml:space="preserve">de </w:t>
      </w:r>
      <w:r w:rsidRPr="00E43297">
        <w:rPr>
          <w:rFonts w:cs="Arial"/>
          <w:lang w:val="es-ES"/>
        </w:rPr>
        <w:t xml:space="preserve">personas con discapacidad </w:t>
      </w:r>
      <w:r w:rsidR="006D09AA" w:rsidRPr="00E43297">
        <w:rPr>
          <w:rFonts w:cs="Arial"/>
          <w:lang w:val="es-ES"/>
        </w:rPr>
        <w:t xml:space="preserve">europeas. </w:t>
      </w:r>
      <w:r w:rsidRPr="00E43297">
        <w:rPr>
          <w:rFonts w:cs="Arial"/>
          <w:lang w:val="es-ES"/>
        </w:rPr>
        <w:t>En la actualidad</w:t>
      </w:r>
      <w:r w:rsidR="006D09AA" w:rsidRPr="00E43297">
        <w:rPr>
          <w:rFonts w:cs="Arial"/>
          <w:lang w:val="es-ES"/>
        </w:rPr>
        <w:t xml:space="preserve">, </w:t>
      </w:r>
      <w:r w:rsidRPr="00E43297">
        <w:rPr>
          <w:rFonts w:cs="Arial"/>
          <w:lang w:val="es-ES"/>
        </w:rPr>
        <w:t xml:space="preserve">contamos con 101 miembros, entre los que </w:t>
      </w:r>
      <w:r w:rsidR="006D09AA" w:rsidRPr="00E43297">
        <w:rPr>
          <w:rFonts w:cs="Arial"/>
          <w:lang w:val="es-ES"/>
        </w:rPr>
        <w:t>podemos encontrar</w:t>
      </w:r>
      <w:r w:rsidRPr="00E43297">
        <w:rPr>
          <w:rFonts w:cs="Arial"/>
          <w:lang w:val="es-ES"/>
        </w:rPr>
        <w:t xml:space="preserve"> organizaciones de ámbito europeo que representan a diversos colectivos de personas con discapacidad y consejos nacionales de personas con discapacidad. </w:t>
      </w:r>
      <w:r w:rsidR="006D09AA" w:rsidRPr="00E43297">
        <w:rPr>
          <w:rFonts w:cs="Arial"/>
          <w:lang w:val="es-ES"/>
        </w:rPr>
        <w:t xml:space="preserve">Además, si contamos las organizaciones afiliadas a nuestros miembros, </w:t>
      </w:r>
      <w:r w:rsidRPr="00E43297">
        <w:rPr>
          <w:rFonts w:cs="Arial"/>
          <w:lang w:val="es-ES"/>
        </w:rPr>
        <w:t xml:space="preserve">reunimos </w:t>
      </w:r>
      <w:r w:rsidR="006D09AA" w:rsidRPr="00E43297">
        <w:rPr>
          <w:rFonts w:cs="Arial"/>
          <w:lang w:val="es-ES"/>
        </w:rPr>
        <w:t xml:space="preserve"> un total de más de </w:t>
      </w:r>
      <w:r w:rsidRPr="00E43297">
        <w:rPr>
          <w:rFonts w:cs="Arial"/>
          <w:lang w:val="es-ES"/>
        </w:rPr>
        <w:t xml:space="preserve">3000 organizaciones. </w:t>
      </w:r>
    </w:p>
    <w:p w14:paraId="71DFEDDD" w14:textId="6767DCFF" w:rsidR="004F1E38" w:rsidRPr="00E43297" w:rsidRDefault="006D09AA" w:rsidP="00E43297">
      <w:pPr>
        <w:jc w:val="both"/>
        <w:rPr>
          <w:rFonts w:cs="Arial"/>
          <w:lang w:val="es-ES"/>
        </w:rPr>
      </w:pPr>
      <w:r w:rsidRPr="00E43297">
        <w:rPr>
          <w:rFonts w:cs="Arial"/>
          <w:lang w:val="es-ES"/>
        </w:rPr>
        <w:t>Por último, nuestra organización está dirigida por personas</w:t>
      </w:r>
      <w:r w:rsidR="004F1E38" w:rsidRPr="00E43297">
        <w:rPr>
          <w:rFonts w:cs="Arial"/>
          <w:lang w:val="es-ES"/>
        </w:rPr>
        <w:t xml:space="preserve"> con discapacidad y sus familias. </w:t>
      </w:r>
      <w:r w:rsidR="00A640D1" w:rsidRPr="00E43297">
        <w:rPr>
          <w:rFonts w:cs="Arial"/>
          <w:lang w:val="es-ES"/>
        </w:rPr>
        <w:t>Somos</w:t>
      </w:r>
      <w:r w:rsidR="004F1E38" w:rsidRPr="00E43297">
        <w:rPr>
          <w:rFonts w:cs="Arial"/>
          <w:lang w:val="es-ES"/>
        </w:rPr>
        <w:t xml:space="preserve"> </w:t>
      </w:r>
      <w:r w:rsidRPr="00E43297">
        <w:rPr>
          <w:rFonts w:cs="Arial"/>
          <w:lang w:val="es-ES"/>
        </w:rPr>
        <w:t xml:space="preserve">la voz, </w:t>
      </w:r>
      <w:r w:rsidR="004F1E38" w:rsidRPr="00E43297">
        <w:rPr>
          <w:rFonts w:cs="Arial"/>
          <w:lang w:val="es-ES"/>
        </w:rPr>
        <w:t>fuerte y unida</w:t>
      </w:r>
      <w:r w:rsidRPr="00E43297">
        <w:rPr>
          <w:rFonts w:cs="Arial"/>
          <w:lang w:val="es-ES"/>
        </w:rPr>
        <w:t>,</w:t>
      </w:r>
      <w:r w:rsidR="004F1E38" w:rsidRPr="00E43297">
        <w:rPr>
          <w:rFonts w:cs="Arial"/>
          <w:lang w:val="es-ES"/>
        </w:rPr>
        <w:t xml:space="preserve"> de las personas con discapacidad en Europa.</w:t>
      </w:r>
    </w:p>
    <w:p w14:paraId="5CE752D9" w14:textId="18F4BCA0" w:rsidR="006030F2" w:rsidRPr="003237FC" w:rsidRDefault="006030F2" w:rsidP="00E43297">
      <w:pPr>
        <w:pStyle w:val="Heading1"/>
        <w:jc w:val="both"/>
        <w:rPr>
          <w:rFonts w:cs="Arial"/>
          <w:lang w:val="es-ES"/>
        </w:rPr>
      </w:pPr>
      <w:bookmarkStart w:id="0" w:name="_Toc93906408"/>
      <w:r w:rsidRPr="003237FC">
        <w:rPr>
          <w:rFonts w:cs="Arial"/>
          <w:lang w:val="es-ES"/>
        </w:rPr>
        <w:t>Context</w:t>
      </w:r>
      <w:bookmarkEnd w:id="0"/>
      <w:r w:rsidR="006D09AA" w:rsidRPr="003237FC">
        <w:rPr>
          <w:rFonts w:cs="Arial"/>
          <w:lang w:val="es-ES"/>
        </w:rPr>
        <w:t>o</w:t>
      </w:r>
    </w:p>
    <w:p w14:paraId="589A04A7" w14:textId="02A925D9" w:rsidR="006D09AA" w:rsidRPr="00E43297" w:rsidRDefault="006D09AA" w:rsidP="00E43297">
      <w:pPr>
        <w:jc w:val="both"/>
        <w:rPr>
          <w:rFonts w:cs="Arial"/>
          <w:lang w:val="es-ES"/>
        </w:rPr>
      </w:pPr>
      <w:r w:rsidRPr="00E43297">
        <w:rPr>
          <w:rFonts w:cs="Arial"/>
          <w:lang w:val="es-ES"/>
        </w:rPr>
        <w:t xml:space="preserve">La Unión Europea (UE) es una unión económica y política única entre </w:t>
      </w:r>
      <w:hyperlink r:id="rId13" w:history="1">
        <w:r w:rsidRPr="00E43297">
          <w:rPr>
            <w:rStyle w:val="Hyperlink"/>
            <w:rFonts w:cs="Arial"/>
            <w:lang w:val="es-ES"/>
          </w:rPr>
          <w:t>27 Estados miembros</w:t>
        </w:r>
      </w:hyperlink>
      <w:r w:rsidRPr="00E43297">
        <w:rPr>
          <w:rFonts w:cs="Arial"/>
          <w:lang w:val="es-ES"/>
        </w:rPr>
        <w:t xml:space="preserve">, los cuales, juntos, cubren gran parte del continente europeo. </w:t>
      </w:r>
    </w:p>
    <w:p w14:paraId="0AC23C90" w14:textId="52642D9F" w:rsidR="006D09AA" w:rsidRPr="00E43297" w:rsidRDefault="00042E6C" w:rsidP="00E43297">
      <w:pPr>
        <w:jc w:val="both"/>
        <w:rPr>
          <w:rFonts w:cs="Arial"/>
          <w:lang w:val="es-ES"/>
        </w:rPr>
      </w:pPr>
      <w:r w:rsidRPr="00E43297">
        <w:rPr>
          <w:rFonts w:cs="Arial"/>
          <w:lang w:val="es-ES"/>
        </w:rPr>
        <w:t>En 2010, l</w:t>
      </w:r>
      <w:r w:rsidR="006D09AA" w:rsidRPr="00E43297">
        <w:rPr>
          <w:rFonts w:cs="Arial"/>
          <w:lang w:val="es-ES"/>
        </w:rPr>
        <w:t>a UE fue la primera organización regional en ratificar la Convención de las Naciones Unidas sobre los Derechos de las Personas con Discapacidad</w:t>
      </w:r>
      <w:r w:rsidRPr="00E43297">
        <w:rPr>
          <w:rFonts w:cs="Arial"/>
          <w:lang w:val="es-ES"/>
        </w:rPr>
        <w:t xml:space="preserve"> (CDPD)</w:t>
      </w:r>
      <w:r w:rsidR="006D09AA" w:rsidRPr="00E43297">
        <w:rPr>
          <w:rFonts w:cs="Arial"/>
          <w:lang w:val="es-ES"/>
        </w:rPr>
        <w:t>. En 2015, fue revisada por primera vez por el Comité de la ONU sobre los Derechos de las Personas con Discapacidad. Desde entonces,</w:t>
      </w:r>
      <w:r w:rsidRPr="00E43297">
        <w:rPr>
          <w:rFonts w:cs="Arial"/>
          <w:lang w:val="es-ES"/>
        </w:rPr>
        <w:t xml:space="preserve"> en el ámbito de la Unión Europea, han sucedido diversos acontecimientos muy relevantes:</w:t>
      </w:r>
    </w:p>
    <w:p w14:paraId="4915241A" w14:textId="2C390E3D" w:rsidR="00042E6C" w:rsidRPr="00E43297" w:rsidRDefault="00042E6C" w:rsidP="00E43297">
      <w:pPr>
        <w:pStyle w:val="ListParagraph"/>
        <w:numPr>
          <w:ilvl w:val="0"/>
          <w:numId w:val="38"/>
        </w:numPr>
        <w:jc w:val="both"/>
        <w:rPr>
          <w:rFonts w:cs="Arial"/>
          <w:lang w:val="es-ES"/>
        </w:rPr>
      </w:pPr>
      <w:r w:rsidRPr="00E43297">
        <w:rPr>
          <w:rFonts w:cs="Arial"/>
          <w:lang w:val="es-ES"/>
        </w:rPr>
        <w:t xml:space="preserve">En marzo de 2018, todos los Estados miembros de la UE </w:t>
      </w:r>
      <w:r w:rsidR="00A54FCF" w:rsidRPr="00E43297">
        <w:rPr>
          <w:rFonts w:cs="Arial"/>
          <w:lang w:val="es-ES"/>
        </w:rPr>
        <w:t>habían ratificado</w:t>
      </w:r>
      <w:r w:rsidRPr="00E43297">
        <w:rPr>
          <w:rFonts w:cs="Arial"/>
          <w:lang w:val="es-ES"/>
        </w:rPr>
        <w:t xml:space="preserve"> la CDPD.</w:t>
      </w:r>
    </w:p>
    <w:p w14:paraId="4B16D010" w14:textId="0EFC5B3D" w:rsidR="00042E6C" w:rsidRPr="00E43297" w:rsidRDefault="00042E6C" w:rsidP="00E43297">
      <w:pPr>
        <w:pStyle w:val="ListParagraph"/>
        <w:numPr>
          <w:ilvl w:val="0"/>
          <w:numId w:val="38"/>
        </w:numPr>
        <w:jc w:val="both"/>
        <w:rPr>
          <w:rFonts w:cs="Arial"/>
          <w:lang w:val="es-ES"/>
        </w:rPr>
      </w:pPr>
      <w:r w:rsidRPr="00E43297">
        <w:rPr>
          <w:rFonts w:cs="Arial"/>
          <w:lang w:val="es-ES"/>
        </w:rPr>
        <w:t xml:space="preserve">El 31 de enero de 2020, el Reino Unido abandonó la UE. Antes de esa fecha había 28 Estados miembros. </w:t>
      </w:r>
    </w:p>
    <w:p w14:paraId="4538CEC1" w14:textId="7436AC97" w:rsidR="00042E6C" w:rsidRPr="00E43297" w:rsidRDefault="00042E6C" w:rsidP="00E43297">
      <w:pPr>
        <w:pStyle w:val="ListParagraph"/>
        <w:numPr>
          <w:ilvl w:val="0"/>
          <w:numId w:val="38"/>
        </w:numPr>
        <w:jc w:val="both"/>
        <w:rPr>
          <w:rFonts w:cs="Arial"/>
          <w:lang w:val="es-ES"/>
        </w:rPr>
      </w:pPr>
      <w:r w:rsidRPr="00E43297">
        <w:rPr>
          <w:rFonts w:cs="Arial"/>
          <w:lang w:val="es-ES"/>
        </w:rPr>
        <w:t xml:space="preserve">Desde 2015, dos Colegios de Comisarios consecutivos han dirigido el trabajo de la Comisión Europea (el órgano ejecutivo de la UE). El </w:t>
      </w:r>
      <w:hyperlink r:id="rId14" w:history="1">
        <w:r w:rsidRPr="00E43297">
          <w:rPr>
            <w:rStyle w:val="Hyperlink"/>
            <w:rFonts w:cs="Arial"/>
            <w:lang w:val="es-ES"/>
          </w:rPr>
          <w:t>Colegio de Comisarios</w:t>
        </w:r>
      </w:hyperlink>
      <w:r w:rsidR="00A54FCF" w:rsidRPr="00E43297">
        <w:rPr>
          <w:rFonts w:cs="Arial"/>
          <w:lang w:val="es-ES"/>
        </w:rPr>
        <w:t xml:space="preserve"> actual</w:t>
      </w:r>
      <w:r w:rsidRPr="00E43297">
        <w:rPr>
          <w:rFonts w:cs="Arial"/>
          <w:lang w:val="es-ES"/>
        </w:rPr>
        <w:t xml:space="preserve"> está dirigido por la presidenta de la Comisión Europea, </w:t>
      </w:r>
      <w:proofErr w:type="spellStart"/>
      <w:r w:rsidRPr="00E43297">
        <w:rPr>
          <w:rFonts w:cs="Arial"/>
          <w:lang w:val="es-ES"/>
        </w:rPr>
        <w:t>Ursula</w:t>
      </w:r>
      <w:proofErr w:type="spellEnd"/>
      <w:r w:rsidRPr="00E43297">
        <w:rPr>
          <w:rFonts w:cs="Arial"/>
          <w:lang w:val="es-ES"/>
        </w:rPr>
        <w:t xml:space="preserve"> </w:t>
      </w:r>
      <w:proofErr w:type="spellStart"/>
      <w:r w:rsidRPr="00E43297">
        <w:rPr>
          <w:rFonts w:cs="Arial"/>
          <w:lang w:val="es-ES"/>
        </w:rPr>
        <w:t>von</w:t>
      </w:r>
      <w:proofErr w:type="spellEnd"/>
      <w:r w:rsidRPr="00E43297">
        <w:rPr>
          <w:rFonts w:cs="Arial"/>
          <w:lang w:val="es-ES"/>
        </w:rPr>
        <w:t xml:space="preserve"> </w:t>
      </w:r>
      <w:proofErr w:type="spellStart"/>
      <w:r w:rsidRPr="00E43297">
        <w:rPr>
          <w:rFonts w:cs="Arial"/>
          <w:lang w:val="es-ES"/>
        </w:rPr>
        <w:t>der</w:t>
      </w:r>
      <w:proofErr w:type="spellEnd"/>
      <w:r w:rsidRPr="00E43297">
        <w:rPr>
          <w:rFonts w:cs="Arial"/>
          <w:lang w:val="es-ES"/>
        </w:rPr>
        <w:t xml:space="preserve"> </w:t>
      </w:r>
      <w:proofErr w:type="spellStart"/>
      <w:r w:rsidRPr="00E43297">
        <w:rPr>
          <w:rFonts w:cs="Arial"/>
          <w:lang w:val="es-ES"/>
        </w:rPr>
        <w:t>Leyen</w:t>
      </w:r>
      <w:proofErr w:type="spellEnd"/>
      <w:r w:rsidRPr="00E43297">
        <w:rPr>
          <w:rFonts w:cs="Arial"/>
          <w:lang w:val="es-ES"/>
        </w:rPr>
        <w:t>, por un período de cinco años (2019-2024). Está compuesto por 27 Comisarios</w:t>
      </w:r>
      <w:r w:rsidR="00A54FCF" w:rsidRPr="00E43297">
        <w:rPr>
          <w:rFonts w:cs="Arial"/>
          <w:lang w:val="es-ES"/>
        </w:rPr>
        <w:t>, uno</w:t>
      </w:r>
      <w:r w:rsidRPr="00E43297">
        <w:rPr>
          <w:rFonts w:cs="Arial"/>
          <w:lang w:val="es-ES"/>
        </w:rPr>
        <w:t xml:space="preserve"> de cada Estado miembro de la UE</w:t>
      </w:r>
      <w:r w:rsidR="00A54FCF" w:rsidRPr="00E43297">
        <w:rPr>
          <w:rFonts w:cs="Arial"/>
          <w:lang w:val="es-ES"/>
        </w:rPr>
        <w:t xml:space="preserve">. Los Comisarios </w:t>
      </w:r>
      <w:r w:rsidR="00A640D1" w:rsidRPr="00E43297">
        <w:rPr>
          <w:rFonts w:cs="Arial"/>
          <w:lang w:val="es-ES"/>
        </w:rPr>
        <w:t>dirigen</w:t>
      </w:r>
      <w:r w:rsidR="00A54FCF" w:rsidRPr="00E43297">
        <w:rPr>
          <w:rFonts w:cs="Arial"/>
          <w:lang w:val="es-ES"/>
        </w:rPr>
        <w:t xml:space="preserve"> el trabajo de la Comisión en las distintas </w:t>
      </w:r>
      <w:r w:rsidRPr="00E43297">
        <w:rPr>
          <w:rFonts w:cs="Arial"/>
          <w:lang w:val="es-ES"/>
        </w:rPr>
        <w:t>áreas políticas</w:t>
      </w:r>
      <w:r w:rsidR="00A54FCF" w:rsidRPr="00E43297">
        <w:rPr>
          <w:rFonts w:cs="Arial"/>
          <w:lang w:val="es-ES"/>
        </w:rPr>
        <w:t xml:space="preserve">, como </w:t>
      </w:r>
      <w:r w:rsidRPr="00E43297">
        <w:rPr>
          <w:rFonts w:cs="Arial"/>
          <w:lang w:val="es-ES"/>
        </w:rPr>
        <w:t xml:space="preserve">por ejemplo: igualdad, justicia, empleo y derechos sociales, salud y seguridad alimentaria, democracia y demografía, valores y transparencia. La </w:t>
      </w:r>
      <w:r w:rsidR="00A54FCF" w:rsidRPr="00E43297">
        <w:rPr>
          <w:rFonts w:cs="Arial"/>
          <w:lang w:val="es-ES"/>
        </w:rPr>
        <w:t xml:space="preserve">implementación </w:t>
      </w:r>
      <w:r w:rsidRPr="00E43297">
        <w:rPr>
          <w:rFonts w:cs="Arial"/>
          <w:lang w:val="es-ES"/>
        </w:rPr>
        <w:t xml:space="preserve">de la CDPD está bajo el mandato de la Comisaria de Igualdad, Helena </w:t>
      </w:r>
      <w:proofErr w:type="spellStart"/>
      <w:r w:rsidRPr="00E43297">
        <w:rPr>
          <w:rFonts w:cs="Arial"/>
          <w:lang w:val="es-ES"/>
        </w:rPr>
        <w:t>Dalli</w:t>
      </w:r>
      <w:proofErr w:type="spellEnd"/>
      <w:r w:rsidRPr="00E43297">
        <w:rPr>
          <w:rFonts w:cs="Arial"/>
          <w:lang w:val="es-ES"/>
        </w:rPr>
        <w:t xml:space="preserve">. </w:t>
      </w:r>
    </w:p>
    <w:p w14:paraId="2F608CE5" w14:textId="77777777" w:rsidR="00042E6C" w:rsidRPr="00E43297" w:rsidRDefault="00042E6C" w:rsidP="00E43297">
      <w:pPr>
        <w:jc w:val="both"/>
        <w:rPr>
          <w:rFonts w:cs="Arial"/>
          <w:lang w:val="es-ES"/>
        </w:rPr>
      </w:pPr>
    </w:p>
    <w:p w14:paraId="2609EB4F" w14:textId="77777777" w:rsidR="00042E6C" w:rsidRPr="00E43297" w:rsidRDefault="00042E6C" w:rsidP="00E43297">
      <w:pPr>
        <w:jc w:val="both"/>
        <w:rPr>
          <w:rFonts w:cs="Arial"/>
          <w:lang w:val="es-ES"/>
        </w:rPr>
      </w:pPr>
    </w:p>
    <w:p w14:paraId="23E75D44" w14:textId="57FD3D1F" w:rsidR="00185CFC" w:rsidRPr="00E43297" w:rsidRDefault="00A54FCF" w:rsidP="00E43297">
      <w:pPr>
        <w:pStyle w:val="Heading1"/>
        <w:jc w:val="both"/>
        <w:rPr>
          <w:rFonts w:cs="Arial"/>
          <w:lang w:val="es-ES"/>
        </w:rPr>
      </w:pPr>
      <w:r w:rsidRPr="00E43297">
        <w:rPr>
          <w:rFonts w:cs="Arial"/>
          <w:lang w:val="es-ES"/>
        </w:rPr>
        <w:lastRenderedPageBreak/>
        <w:t xml:space="preserve">Resumen ejecutivo </w:t>
      </w:r>
    </w:p>
    <w:p w14:paraId="7294A62E" w14:textId="34D06BBE" w:rsidR="000744C2" w:rsidRPr="00E43297" w:rsidRDefault="000744C2" w:rsidP="00E43297">
      <w:pPr>
        <w:jc w:val="both"/>
        <w:rPr>
          <w:rFonts w:cs="Arial"/>
          <w:lang w:val="es-ES"/>
        </w:rPr>
      </w:pPr>
      <w:r w:rsidRPr="00E43297">
        <w:rPr>
          <w:rFonts w:cs="Arial"/>
          <w:lang w:val="es-ES"/>
        </w:rPr>
        <w:t xml:space="preserve">El informe alternativo del EDF examina la aplicación por parte de la Unión Europea (UE) de la Convención sobre los Derechos de las Personas con Discapacidad (en lo sucesivo denominada "CDPD" o "la Convención") desde su primera revisión por parte del Comité </w:t>
      </w:r>
      <w:r w:rsidR="00A640D1" w:rsidRPr="00E43297">
        <w:rPr>
          <w:rFonts w:cs="Arial"/>
          <w:lang w:val="es-ES"/>
        </w:rPr>
        <w:t xml:space="preserve">de </w:t>
      </w:r>
      <w:r w:rsidRPr="00E43297">
        <w:rPr>
          <w:rFonts w:cs="Arial"/>
          <w:lang w:val="es-ES"/>
        </w:rPr>
        <w:t xml:space="preserve">los Derechos de las Personas con Discapacidad de las Naciones Unidas (ONU) en 2015. </w:t>
      </w:r>
    </w:p>
    <w:p w14:paraId="50F28454" w14:textId="35CE922E" w:rsidR="00A54FCF" w:rsidRPr="00E43297" w:rsidRDefault="000744C2" w:rsidP="00E43297">
      <w:pPr>
        <w:jc w:val="both"/>
        <w:rPr>
          <w:rFonts w:cs="Arial"/>
          <w:lang w:val="es-ES"/>
        </w:rPr>
      </w:pPr>
      <w:r w:rsidRPr="00E43297">
        <w:rPr>
          <w:rFonts w:cs="Arial"/>
          <w:lang w:val="es-ES"/>
        </w:rPr>
        <w:t>Es innegable que la UE ha progresado en este ámbito con, por ejemplo, la adopción del Acta Europea de Accesibilidad, la publicación de la nueva estrategia sobre los derechos de las personas con discapacidad (2021-2030) y la ratificación del Tratado de Marrakech.</w:t>
      </w:r>
      <w:r w:rsidR="00852B14" w:rsidRPr="00E43297">
        <w:rPr>
          <w:rStyle w:val="FootnoteReference"/>
          <w:rFonts w:cs="Arial"/>
        </w:rPr>
        <w:footnoteReference w:id="1"/>
      </w:r>
      <w:r w:rsidRPr="00E43297">
        <w:rPr>
          <w:rFonts w:cs="Arial"/>
          <w:lang w:val="es-ES"/>
        </w:rPr>
        <w:t xml:space="preserve"> Sin embargo, </w:t>
      </w:r>
      <w:r w:rsidR="00A54FCF" w:rsidRPr="00E43297">
        <w:rPr>
          <w:rFonts w:cs="Arial"/>
          <w:lang w:val="es-ES"/>
        </w:rPr>
        <w:t>el objetivo general de la CDPD</w:t>
      </w:r>
      <w:r w:rsidR="00A640D1" w:rsidRPr="00E43297">
        <w:rPr>
          <w:rFonts w:cs="Arial"/>
          <w:lang w:val="es-ES"/>
        </w:rPr>
        <w:t xml:space="preserve"> (p</w:t>
      </w:r>
      <w:r w:rsidR="00A54FCF" w:rsidRPr="00E43297">
        <w:rPr>
          <w:rFonts w:cs="Arial"/>
          <w:lang w:val="es-ES"/>
        </w:rPr>
        <w:t xml:space="preserve">romover, proteger y garantizar el disfrute pleno </w:t>
      </w:r>
      <w:r w:rsidR="00A640D1" w:rsidRPr="00E43297">
        <w:rPr>
          <w:rFonts w:cs="Arial"/>
          <w:lang w:val="es-ES"/>
        </w:rPr>
        <w:t xml:space="preserve">e igualitario </w:t>
      </w:r>
      <w:r w:rsidR="00A54FCF" w:rsidRPr="00E43297">
        <w:rPr>
          <w:rFonts w:cs="Arial"/>
          <w:lang w:val="es-ES"/>
        </w:rPr>
        <w:t>de todos los derechos humanos y libertades fundamentales por parte de todas las personas con discapacidad</w:t>
      </w:r>
      <w:r w:rsidR="00A640D1" w:rsidRPr="00E43297">
        <w:rPr>
          <w:rFonts w:cs="Arial"/>
          <w:lang w:val="es-ES"/>
        </w:rPr>
        <w:t>)</w:t>
      </w:r>
      <w:r w:rsidR="00A54FCF" w:rsidRPr="00E43297">
        <w:rPr>
          <w:rFonts w:cs="Arial"/>
          <w:lang w:val="es-ES"/>
        </w:rPr>
        <w:t xml:space="preserve"> aún no se ha</w:t>
      </w:r>
      <w:r w:rsidRPr="00E43297">
        <w:rPr>
          <w:rFonts w:cs="Arial"/>
          <w:lang w:val="es-ES"/>
        </w:rPr>
        <w:t xml:space="preserve"> </w:t>
      </w:r>
      <w:r w:rsidR="00A640D1" w:rsidRPr="00E43297">
        <w:rPr>
          <w:rFonts w:cs="Arial"/>
          <w:lang w:val="es-ES"/>
        </w:rPr>
        <w:t>alcanzado.</w:t>
      </w:r>
      <w:r w:rsidRPr="00E43297">
        <w:rPr>
          <w:rFonts w:cs="Arial"/>
          <w:lang w:val="es-ES"/>
        </w:rPr>
        <w:t xml:space="preserve"> </w:t>
      </w:r>
    </w:p>
    <w:p w14:paraId="02CB71B2" w14:textId="6F359343" w:rsidR="00A54FCF" w:rsidRPr="00E43297" w:rsidRDefault="00A54FCF" w:rsidP="00E43297">
      <w:pPr>
        <w:jc w:val="both"/>
        <w:rPr>
          <w:rFonts w:cs="Arial"/>
          <w:b/>
          <w:bCs/>
          <w:lang w:val="es-ES"/>
        </w:rPr>
      </w:pPr>
      <w:r w:rsidRPr="00E43297">
        <w:rPr>
          <w:rFonts w:cs="Arial"/>
          <w:b/>
          <w:bCs/>
          <w:lang w:val="es-ES"/>
        </w:rPr>
        <w:t xml:space="preserve">Las principales preocupaciones del </w:t>
      </w:r>
      <w:r w:rsidR="000744C2" w:rsidRPr="00E43297">
        <w:rPr>
          <w:rFonts w:cs="Arial"/>
          <w:b/>
          <w:bCs/>
          <w:lang w:val="es-ES"/>
        </w:rPr>
        <w:t>EFD</w:t>
      </w:r>
      <w:r w:rsidRPr="00E43297">
        <w:rPr>
          <w:rFonts w:cs="Arial"/>
          <w:b/>
          <w:bCs/>
          <w:lang w:val="es-ES"/>
        </w:rPr>
        <w:t xml:space="preserve"> son las siguientes</w:t>
      </w:r>
      <w:r w:rsidR="000744C2" w:rsidRPr="00E43297">
        <w:rPr>
          <w:rFonts w:cs="Arial"/>
          <w:b/>
          <w:bCs/>
          <w:lang w:val="es-ES"/>
        </w:rPr>
        <w:t>:</w:t>
      </w:r>
    </w:p>
    <w:p w14:paraId="698553F6" w14:textId="24170AD8" w:rsidR="0036692F" w:rsidRPr="00E43297" w:rsidRDefault="0036692F" w:rsidP="00E43297">
      <w:pPr>
        <w:pStyle w:val="ListParagraph"/>
        <w:numPr>
          <w:ilvl w:val="0"/>
          <w:numId w:val="41"/>
        </w:numPr>
        <w:ind w:left="142" w:firstLine="218"/>
        <w:jc w:val="both"/>
        <w:rPr>
          <w:rFonts w:cs="Arial"/>
          <w:lang w:val="es-ES"/>
        </w:rPr>
      </w:pPr>
      <w:r w:rsidRPr="00E43297">
        <w:rPr>
          <w:rFonts w:cs="Arial"/>
          <w:b/>
          <w:bCs/>
          <w:lang w:val="es-ES"/>
        </w:rPr>
        <w:t>Armonización jurídica con la CDPD</w:t>
      </w:r>
      <w:r w:rsidRPr="00E43297">
        <w:rPr>
          <w:rFonts w:cs="Arial"/>
          <w:lang w:val="es-ES"/>
        </w:rPr>
        <w:t>: La Comisión no ha tomado medidas para garantizar la armonización jurídica con la CDPD. No se ha llevado a cabo ninguna revisión de la legislación y las políticas existentes.</w:t>
      </w:r>
    </w:p>
    <w:p w14:paraId="2307D225" w14:textId="77777777" w:rsidR="0089183F" w:rsidRPr="00E43297" w:rsidRDefault="0089183F" w:rsidP="00E43297">
      <w:pPr>
        <w:pStyle w:val="ListParagraph"/>
        <w:ind w:left="360"/>
        <w:jc w:val="both"/>
        <w:rPr>
          <w:rFonts w:cs="Arial"/>
          <w:lang w:val="es-ES"/>
        </w:rPr>
      </w:pPr>
    </w:p>
    <w:p w14:paraId="1B2131D2" w14:textId="7F84D027" w:rsidR="0089183F" w:rsidRPr="00E43297" w:rsidRDefault="0036692F" w:rsidP="00E43297">
      <w:pPr>
        <w:pStyle w:val="ListParagraph"/>
        <w:numPr>
          <w:ilvl w:val="0"/>
          <w:numId w:val="41"/>
        </w:numPr>
        <w:ind w:left="142" w:firstLine="218"/>
        <w:jc w:val="both"/>
        <w:rPr>
          <w:rFonts w:cs="Arial"/>
          <w:lang w:val="es-ES"/>
        </w:rPr>
      </w:pPr>
      <w:r w:rsidRPr="00E43297">
        <w:rPr>
          <w:rFonts w:cs="Arial"/>
          <w:b/>
          <w:bCs/>
          <w:lang w:val="es-ES"/>
        </w:rPr>
        <w:t>Implementación y cumplimiento de la legislación de la UE</w:t>
      </w:r>
      <w:r w:rsidRPr="00E43297">
        <w:rPr>
          <w:rFonts w:cs="Arial"/>
          <w:lang w:val="es-ES"/>
        </w:rPr>
        <w:t xml:space="preserve">: La legislación de la UE existente </w:t>
      </w:r>
      <w:r w:rsidR="00A640D1" w:rsidRPr="00E43297">
        <w:rPr>
          <w:rFonts w:cs="Arial"/>
          <w:lang w:val="es-ES"/>
        </w:rPr>
        <w:t>en materia de</w:t>
      </w:r>
      <w:r w:rsidRPr="00E43297">
        <w:rPr>
          <w:rFonts w:cs="Arial"/>
          <w:lang w:val="es-ES"/>
        </w:rPr>
        <w:t xml:space="preserve"> </w:t>
      </w:r>
      <w:r w:rsidR="00A640D1" w:rsidRPr="00E43297">
        <w:rPr>
          <w:rFonts w:cs="Arial"/>
          <w:lang w:val="es-ES"/>
        </w:rPr>
        <w:t>d</w:t>
      </w:r>
      <w:r w:rsidRPr="00E43297">
        <w:rPr>
          <w:rFonts w:cs="Arial"/>
          <w:lang w:val="es-ES"/>
        </w:rPr>
        <w:t>erechos de las personas con discapacidad, como la Directiva relativa a la igualdad de trato en el empleo</w:t>
      </w:r>
      <w:r w:rsidR="00A640D1" w:rsidRPr="00E43297">
        <w:rPr>
          <w:rFonts w:cs="Arial"/>
          <w:lang w:val="es-ES"/>
        </w:rPr>
        <w:t>,</w:t>
      </w:r>
      <w:r w:rsidRPr="00E43297">
        <w:rPr>
          <w:rFonts w:cs="Arial"/>
          <w:lang w:val="es-ES"/>
        </w:rPr>
        <w:t xml:space="preserve"> el paquete de derechos de los pasajeros de la UE (reglamentos relacionados con los derechos de los pasajeros en todos los m</w:t>
      </w:r>
      <w:r w:rsidR="00A640D1" w:rsidRPr="00E43297">
        <w:rPr>
          <w:rFonts w:cs="Arial"/>
          <w:lang w:val="es-ES"/>
        </w:rPr>
        <w:t>edios</w:t>
      </w:r>
      <w:r w:rsidRPr="00E43297">
        <w:rPr>
          <w:rFonts w:cs="Arial"/>
          <w:lang w:val="es-ES"/>
        </w:rPr>
        <w:t xml:space="preserve"> de transporte: mar, aire, vía férrea o carretera (autocar), el Reglamento sobre accesibilidad ferroviaria</w:t>
      </w:r>
      <w:r w:rsidRPr="00E43297">
        <w:rPr>
          <w:rStyle w:val="FootnoteReference"/>
          <w:rFonts w:cs="Arial"/>
          <w:lang w:val="es-ES"/>
        </w:rPr>
        <w:footnoteReference w:id="2"/>
      </w:r>
      <w:r w:rsidRPr="00E43297">
        <w:rPr>
          <w:rFonts w:cs="Arial"/>
          <w:lang w:val="es-ES"/>
        </w:rPr>
        <w:t>, la Directiva de servicios de  comunicación audiovisual</w:t>
      </w:r>
      <w:r w:rsidRPr="00E43297">
        <w:rPr>
          <w:rStyle w:val="FootnoteReference"/>
          <w:rFonts w:cs="Arial"/>
          <w:lang w:val="es-ES"/>
        </w:rPr>
        <w:footnoteReference w:id="3"/>
      </w:r>
      <w:r w:rsidRPr="00E43297">
        <w:rPr>
          <w:rFonts w:cs="Arial"/>
          <w:lang w:val="es-ES"/>
        </w:rPr>
        <w:t xml:space="preserve"> y la Directiva sobre los derechos de las víctimas, carecen de una aplicación y un cumplimiento efectivos.</w:t>
      </w:r>
    </w:p>
    <w:p w14:paraId="31000A6F" w14:textId="77777777" w:rsidR="0089183F" w:rsidRPr="00E43297" w:rsidRDefault="0089183F" w:rsidP="00E43297">
      <w:pPr>
        <w:pStyle w:val="ListParagraph"/>
        <w:jc w:val="both"/>
        <w:rPr>
          <w:rFonts w:cs="Arial"/>
          <w:lang w:val="es-ES"/>
        </w:rPr>
      </w:pPr>
    </w:p>
    <w:p w14:paraId="16FAD99C" w14:textId="57F80BED" w:rsidR="0089183F" w:rsidRPr="00E43297" w:rsidRDefault="0036692F" w:rsidP="00E43297">
      <w:pPr>
        <w:pStyle w:val="ListParagraph"/>
        <w:numPr>
          <w:ilvl w:val="0"/>
          <w:numId w:val="41"/>
        </w:numPr>
        <w:ind w:left="142" w:firstLine="218"/>
        <w:jc w:val="both"/>
        <w:rPr>
          <w:rFonts w:cs="Arial"/>
          <w:lang w:val="es-ES"/>
        </w:rPr>
      </w:pPr>
      <w:r w:rsidRPr="00E43297">
        <w:rPr>
          <w:rFonts w:cs="Arial"/>
          <w:b/>
          <w:bCs/>
          <w:lang w:val="es-ES"/>
        </w:rPr>
        <w:t>Consulta y participación de las personas con discapacidad:</w:t>
      </w:r>
      <w:r w:rsidRPr="00E43297">
        <w:rPr>
          <w:rFonts w:cs="Arial"/>
          <w:lang w:val="es-ES"/>
        </w:rPr>
        <w:t xml:space="preserve"> No existe un proceso estructurado o documentado para guiar los procesos de consulta con las personas con discapacidad y las organizaciones que las representan. En todas las instituciones, este tipo de consulta </w:t>
      </w:r>
      <w:r w:rsidR="00A640D1" w:rsidRPr="00E43297">
        <w:rPr>
          <w:rFonts w:cs="Arial"/>
          <w:lang w:val="es-ES"/>
        </w:rPr>
        <w:t>se lleva a cabo</w:t>
      </w:r>
      <w:r w:rsidRPr="00E43297">
        <w:rPr>
          <w:rFonts w:cs="Arial"/>
          <w:lang w:val="es-ES"/>
        </w:rPr>
        <w:t xml:space="preserve"> </w:t>
      </w:r>
      <w:r w:rsidRPr="00E43297">
        <w:rPr>
          <w:rFonts w:cs="Arial"/>
          <w:i/>
          <w:iCs/>
          <w:lang w:val="es-ES"/>
        </w:rPr>
        <w:t>ad hoc</w:t>
      </w:r>
      <w:r w:rsidRPr="00E43297">
        <w:rPr>
          <w:rFonts w:cs="Arial"/>
          <w:lang w:val="es-ES"/>
        </w:rPr>
        <w:t xml:space="preserve">. En algunas instituciones y organismos, como en el Consejo de la Unión Europea, la consulta es nula o la participación es mínima. Además, las herramientas digitales para las consultas </w:t>
      </w:r>
      <w:r w:rsidRPr="00E43297">
        <w:rPr>
          <w:rFonts w:cs="Arial"/>
          <w:lang w:val="es-ES"/>
        </w:rPr>
        <w:lastRenderedPageBreak/>
        <w:t xml:space="preserve">públicas no son realmente accesibles, ya que no </w:t>
      </w:r>
      <w:r w:rsidR="00A640D1" w:rsidRPr="00E43297">
        <w:rPr>
          <w:rFonts w:cs="Arial"/>
          <w:lang w:val="es-ES"/>
        </w:rPr>
        <w:t>se llevan a cabo</w:t>
      </w:r>
      <w:r w:rsidRPr="00E43297">
        <w:rPr>
          <w:rFonts w:cs="Arial"/>
          <w:lang w:val="es-ES"/>
        </w:rPr>
        <w:t xml:space="preserve"> en formatos accesibles o de fácil lectura. </w:t>
      </w:r>
    </w:p>
    <w:p w14:paraId="307AF12B" w14:textId="77777777" w:rsidR="0089183F" w:rsidRPr="00E43297" w:rsidRDefault="0089183F" w:rsidP="00E43297">
      <w:pPr>
        <w:pStyle w:val="ListParagraph"/>
        <w:jc w:val="both"/>
        <w:rPr>
          <w:rFonts w:cs="Arial"/>
          <w:b/>
          <w:bCs/>
          <w:lang w:val="es-ES"/>
        </w:rPr>
      </w:pPr>
    </w:p>
    <w:p w14:paraId="5A63C187" w14:textId="6076F162" w:rsidR="003C7D76" w:rsidRPr="00E43297" w:rsidRDefault="00A54FCF" w:rsidP="00E43297">
      <w:pPr>
        <w:pStyle w:val="ListParagraph"/>
        <w:numPr>
          <w:ilvl w:val="0"/>
          <w:numId w:val="41"/>
        </w:numPr>
        <w:ind w:left="142" w:firstLine="218"/>
        <w:jc w:val="both"/>
        <w:rPr>
          <w:rFonts w:cs="Arial"/>
          <w:lang w:val="es-ES"/>
        </w:rPr>
      </w:pPr>
      <w:r w:rsidRPr="00E43297">
        <w:rPr>
          <w:rFonts w:cs="Arial"/>
          <w:b/>
          <w:bCs/>
          <w:lang w:val="es-ES"/>
        </w:rPr>
        <w:t>Protección contra la discriminación</w:t>
      </w:r>
      <w:r w:rsidRPr="00E43297">
        <w:rPr>
          <w:rFonts w:cs="Arial"/>
          <w:lang w:val="es-ES"/>
        </w:rPr>
        <w:t xml:space="preserve">: </w:t>
      </w:r>
      <w:r w:rsidR="0036692F" w:rsidRPr="00E43297">
        <w:rPr>
          <w:rFonts w:cs="Arial"/>
          <w:lang w:val="es-ES"/>
        </w:rPr>
        <w:t>El alcance de la legislación de la UE contra la discriminación es incoherente</w:t>
      </w:r>
      <w:r w:rsidR="003C7D76" w:rsidRPr="00E43297">
        <w:rPr>
          <w:rFonts w:cs="Arial"/>
          <w:lang w:val="es-ES"/>
        </w:rPr>
        <w:t xml:space="preserve"> y crea </w:t>
      </w:r>
      <w:r w:rsidR="0036692F" w:rsidRPr="00E43297">
        <w:rPr>
          <w:rFonts w:cs="Arial"/>
          <w:lang w:val="es-ES"/>
        </w:rPr>
        <w:t>una jerarquía entre los diferentes motivos de discriminación. Las personas con discapacidad s</w:t>
      </w:r>
      <w:r w:rsidR="003C7D76" w:rsidRPr="00E43297">
        <w:rPr>
          <w:rFonts w:cs="Arial"/>
          <w:lang w:val="es-ES"/>
        </w:rPr>
        <w:t>o</w:t>
      </w:r>
      <w:r w:rsidR="0036692F" w:rsidRPr="00E43297">
        <w:rPr>
          <w:rFonts w:cs="Arial"/>
          <w:lang w:val="es-ES"/>
        </w:rPr>
        <w:t>lo están protegidas contra la discriminación en el</w:t>
      </w:r>
      <w:r w:rsidR="003C7D76" w:rsidRPr="00E43297">
        <w:rPr>
          <w:rFonts w:cs="Arial"/>
          <w:lang w:val="es-ES"/>
        </w:rPr>
        <w:t xml:space="preserve"> ámbito del</w:t>
      </w:r>
      <w:r w:rsidR="0036692F" w:rsidRPr="00E43297">
        <w:rPr>
          <w:rFonts w:cs="Arial"/>
          <w:lang w:val="es-ES"/>
        </w:rPr>
        <w:t xml:space="preserve"> empleo y la formación profesional. La legislación de la UE no cubre las múltiples</w:t>
      </w:r>
      <w:r w:rsidR="003C7D76" w:rsidRPr="00E43297">
        <w:rPr>
          <w:rFonts w:cs="Arial"/>
          <w:lang w:val="es-ES"/>
        </w:rPr>
        <w:t xml:space="preserve"> formas de </w:t>
      </w:r>
      <w:r w:rsidR="0036692F" w:rsidRPr="00E43297">
        <w:rPr>
          <w:rFonts w:cs="Arial"/>
          <w:lang w:val="es-ES"/>
        </w:rPr>
        <w:t>discriminación</w:t>
      </w:r>
      <w:r w:rsidR="003C7D76" w:rsidRPr="00E43297">
        <w:rPr>
          <w:rFonts w:cs="Arial"/>
          <w:lang w:val="es-ES"/>
        </w:rPr>
        <w:t xml:space="preserve"> interseccional</w:t>
      </w:r>
      <w:r w:rsidR="0036692F" w:rsidRPr="00E43297">
        <w:rPr>
          <w:rFonts w:cs="Arial"/>
          <w:lang w:val="es-ES"/>
        </w:rPr>
        <w:t xml:space="preserve"> ni la discriminación por asociación. La UE aún no ha adoptado </w:t>
      </w:r>
      <w:r w:rsidR="003C7D76" w:rsidRPr="00E43297">
        <w:rPr>
          <w:rFonts w:cs="Arial"/>
          <w:lang w:val="es-ES"/>
        </w:rPr>
        <w:t xml:space="preserve">ninguna </w:t>
      </w:r>
      <w:r w:rsidR="0036692F" w:rsidRPr="00E43297">
        <w:rPr>
          <w:rFonts w:cs="Arial"/>
          <w:lang w:val="es-ES"/>
        </w:rPr>
        <w:t xml:space="preserve">legislación horizontal contra la discriminación, ya que la propuesta de una Directiva sobre la igualdad de trato </w:t>
      </w:r>
      <w:r w:rsidR="003C7D76" w:rsidRPr="00E43297">
        <w:rPr>
          <w:rFonts w:cs="Arial"/>
          <w:lang w:val="es-ES"/>
        </w:rPr>
        <w:t xml:space="preserve">(2008) </w:t>
      </w:r>
      <w:r w:rsidR="0036692F" w:rsidRPr="00E43297">
        <w:rPr>
          <w:rFonts w:cs="Arial"/>
          <w:lang w:val="es-ES"/>
        </w:rPr>
        <w:t xml:space="preserve">está estancada en el Consejo. </w:t>
      </w:r>
      <w:r w:rsidR="003C7D76" w:rsidRPr="00E43297">
        <w:rPr>
          <w:rFonts w:cs="Arial"/>
          <w:lang w:val="es-ES"/>
        </w:rPr>
        <w:t>A día de hoy, n</w:t>
      </w:r>
      <w:r w:rsidR="0036692F" w:rsidRPr="00E43297">
        <w:rPr>
          <w:rFonts w:cs="Arial"/>
          <w:lang w:val="es-ES"/>
        </w:rPr>
        <w:t>o existe ningún requisito legal para que los Organismos de Igualdad protejan a las víctimas de discriminación en toda la U</w:t>
      </w:r>
      <w:r w:rsidR="0089183F" w:rsidRPr="00E43297">
        <w:rPr>
          <w:rFonts w:cs="Arial"/>
          <w:lang w:val="es-ES"/>
        </w:rPr>
        <w:t>E.</w:t>
      </w:r>
    </w:p>
    <w:p w14:paraId="686E2B95" w14:textId="77777777" w:rsidR="0089183F" w:rsidRPr="00E43297" w:rsidRDefault="0089183F" w:rsidP="00E43297">
      <w:pPr>
        <w:pStyle w:val="ListParagraph"/>
        <w:jc w:val="both"/>
        <w:rPr>
          <w:rFonts w:cs="Arial"/>
          <w:lang w:val="es-ES"/>
        </w:rPr>
      </w:pPr>
    </w:p>
    <w:p w14:paraId="1EECDEC9" w14:textId="6C19D575" w:rsidR="0089183F" w:rsidRPr="00E43297" w:rsidRDefault="003C7D76" w:rsidP="00E43297">
      <w:pPr>
        <w:pStyle w:val="ListParagraph"/>
        <w:numPr>
          <w:ilvl w:val="0"/>
          <w:numId w:val="41"/>
        </w:numPr>
        <w:ind w:left="142" w:firstLine="218"/>
        <w:jc w:val="both"/>
        <w:rPr>
          <w:rFonts w:cs="Arial"/>
          <w:lang w:val="es-ES"/>
        </w:rPr>
      </w:pPr>
      <w:r w:rsidRPr="00E43297">
        <w:rPr>
          <w:rFonts w:cs="Arial"/>
          <w:b/>
          <w:bCs/>
          <w:lang w:val="es-ES"/>
        </w:rPr>
        <w:t>Las mujeres con discapacidad:</w:t>
      </w:r>
      <w:r w:rsidRPr="00E43297">
        <w:rPr>
          <w:rFonts w:cs="Arial"/>
          <w:lang w:val="es-ES"/>
        </w:rPr>
        <w:t xml:space="preserve"> La legislación y las políticas de la UE en materia de igualdad de género y de discapacidad no recogen del todo los derechos y las necesidades de las mujeres y las niñas con discapacidad. Dichas mujeres y niñas se enfrentan a un mayor riesgo de violencia que el resto de las mujeres, a una mayor discriminación que los hombres con discapacidad en el acceso al empleo, la educación y la sanidad, y están expuestas a diferentes violaciones de </w:t>
      </w:r>
      <w:r w:rsidR="00033B8D" w:rsidRPr="00E43297">
        <w:rPr>
          <w:rFonts w:cs="Arial"/>
          <w:lang w:val="es-ES"/>
        </w:rPr>
        <w:t xml:space="preserve">los </w:t>
      </w:r>
      <w:r w:rsidRPr="00E43297">
        <w:rPr>
          <w:rFonts w:cs="Arial"/>
          <w:lang w:val="es-ES"/>
        </w:rPr>
        <w:t>derechos humanos, como la esterilización forzada.</w:t>
      </w:r>
    </w:p>
    <w:p w14:paraId="2C03F226" w14:textId="77777777" w:rsidR="0089183F" w:rsidRPr="00E43297" w:rsidRDefault="0089183F" w:rsidP="00E43297">
      <w:pPr>
        <w:pStyle w:val="ListParagraph"/>
        <w:jc w:val="both"/>
        <w:rPr>
          <w:rFonts w:cs="Arial"/>
          <w:lang w:val="es-ES"/>
        </w:rPr>
      </w:pPr>
    </w:p>
    <w:p w14:paraId="2AAE313A" w14:textId="4B3D3A8E" w:rsidR="001B2A45" w:rsidRPr="00E43297" w:rsidRDefault="003C7D76" w:rsidP="00E43297">
      <w:pPr>
        <w:pStyle w:val="ListParagraph"/>
        <w:numPr>
          <w:ilvl w:val="0"/>
          <w:numId w:val="41"/>
        </w:numPr>
        <w:ind w:left="142" w:firstLine="218"/>
        <w:jc w:val="both"/>
        <w:rPr>
          <w:rFonts w:cs="Arial"/>
          <w:lang w:val="es-ES"/>
        </w:rPr>
      </w:pPr>
      <w:r w:rsidRPr="00E43297">
        <w:rPr>
          <w:rFonts w:cs="Arial"/>
          <w:b/>
          <w:bCs/>
          <w:lang w:val="es-ES"/>
        </w:rPr>
        <w:t>Accesibilidad:</w:t>
      </w:r>
      <w:r w:rsidRPr="00E43297">
        <w:rPr>
          <w:rFonts w:cs="Arial"/>
          <w:lang w:val="es-ES"/>
        </w:rPr>
        <w:t xml:space="preserve"> A pesar de los recientes avances </w:t>
      </w:r>
      <w:r w:rsidR="00033B8D" w:rsidRPr="00E43297">
        <w:rPr>
          <w:rFonts w:cs="Arial"/>
          <w:lang w:val="es-ES"/>
        </w:rPr>
        <w:t>de la UE</w:t>
      </w:r>
      <w:r w:rsidRPr="00E43297">
        <w:rPr>
          <w:rFonts w:cs="Arial"/>
          <w:lang w:val="es-ES"/>
        </w:rPr>
        <w:t xml:space="preserve"> en materia de accesibilidad</w:t>
      </w:r>
      <w:r w:rsidRPr="00E43297">
        <w:rPr>
          <w:rStyle w:val="FootnoteReference"/>
          <w:rFonts w:cs="Arial"/>
          <w:lang w:val="es-ES"/>
        </w:rPr>
        <w:t xml:space="preserve"> </w:t>
      </w:r>
      <w:r w:rsidR="00033E02" w:rsidRPr="00E43297">
        <w:rPr>
          <w:rStyle w:val="FootnoteReference"/>
          <w:rFonts w:cs="Arial"/>
        </w:rPr>
        <w:footnoteReference w:id="4"/>
      </w:r>
      <w:r w:rsidR="00AC7C25" w:rsidRPr="00E43297">
        <w:rPr>
          <w:rFonts w:cs="Arial"/>
          <w:lang w:val="es-ES"/>
        </w:rPr>
        <w:t>,</w:t>
      </w:r>
      <w:r w:rsidR="00033E02" w:rsidRPr="00E43297">
        <w:rPr>
          <w:rFonts w:cs="Arial"/>
          <w:lang w:val="es-ES"/>
        </w:rPr>
        <w:t xml:space="preserve"> </w:t>
      </w:r>
      <w:r w:rsidR="0089183F" w:rsidRPr="00E43297">
        <w:rPr>
          <w:rFonts w:cs="Arial"/>
          <w:lang w:val="es-ES"/>
        </w:rPr>
        <w:t>las personas con discapacidad siguen sin tener el mismo acceso al entorno construido, al transporte, a las tecnologías digitales, a la información</w:t>
      </w:r>
      <w:r w:rsidR="00033B8D" w:rsidRPr="00E43297">
        <w:rPr>
          <w:rFonts w:cs="Arial"/>
          <w:lang w:val="es-ES"/>
        </w:rPr>
        <w:t xml:space="preserve">, a </w:t>
      </w:r>
      <w:r w:rsidR="0089183F" w:rsidRPr="00E43297">
        <w:rPr>
          <w:rFonts w:cs="Arial"/>
          <w:lang w:val="es-ES"/>
        </w:rPr>
        <w:t xml:space="preserve">la comunicación y a los servicios. La falta de disponibilidad de tecnologías de asistencia asequibles y la falta de información y comunicación en formatos accesibles (incluido el lenguaje de signos) limitan la participación activa y plena de muchas personas con discapacidad en el mercado interior de la UE. Además, les priva de una de las libertades básicas </w:t>
      </w:r>
      <w:r w:rsidR="00033B8D" w:rsidRPr="00E43297">
        <w:rPr>
          <w:rFonts w:cs="Arial"/>
          <w:lang w:val="es-ES"/>
        </w:rPr>
        <w:t xml:space="preserve">recogidas en </w:t>
      </w:r>
      <w:r w:rsidR="0089183F" w:rsidRPr="00E43297">
        <w:rPr>
          <w:rFonts w:cs="Arial"/>
          <w:lang w:val="es-ES"/>
        </w:rPr>
        <w:t xml:space="preserve">los Tratados de la UE: el derecho de libre circulación. </w:t>
      </w:r>
      <w:r w:rsidR="00033B8D" w:rsidRPr="00E43297">
        <w:rPr>
          <w:rFonts w:cs="Arial"/>
          <w:lang w:val="es-ES"/>
        </w:rPr>
        <w:t>En el ámbito digital, l</w:t>
      </w:r>
      <w:r w:rsidR="0089183F" w:rsidRPr="00E43297">
        <w:rPr>
          <w:rFonts w:cs="Arial"/>
          <w:lang w:val="es-ES"/>
        </w:rPr>
        <w:t xml:space="preserve">as recientes propuestas </w:t>
      </w:r>
      <w:r w:rsidR="00033B8D" w:rsidRPr="00E43297">
        <w:rPr>
          <w:rFonts w:cs="Arial"/>
          <w:lang w:val="es-ES"/>
        </w:rPr>
        <w:t>legislativas</w:t>
      </w:r>
      <w:r w:rsidR="0089183F" w:rsidRPr="00E43297">
        <w:rPr>
          <w:rFonts w:cs="Arial"/>
          <w:lang w:val="es-ES"/>
        </w:rPr>
        <w:t xml:space="preserve"> que regulan los servicios y las plataformas digitales, así como la inteligencia artificial, nos muestran que </w:t>
      </w:r>
      <w:r w:rsidR="00033B8D" w:rsidRPr="00E43297">
        <w:rPr>
          <w:rFonts w:cs="Arial"/>
          <w:lang w:val="es-ES"/>
        </w:rPr>
        <w:t>este sector</w:t>
      </w:r>
      <w:r w:rsidR="0089183F" w:rsidRPr="00E43297">
        <w:rPr>
          <w:rFonts w:cs="Arial"/>
          <w:lang w:val="es-ES"/>
        </w:rPr>
        <w:t xml:space="preserve"> aún no ha incorporado los requisitos de accesibilidad</w:t>
      </w:r>
      <w:r w:rsidR="00033B8D" w:rsidRPr="00E43297">
        <w:rPr>
          <w:rFonts w:cs="Arial"/>
          <w:lang w:val="es-ES"/>
        </w:rPr>
        <w:t xml:space="preserve"> necesarios</w:t>
      </w:r>
      <w:r w:rsidR="0089183F" w:rsidRPr="00E43297">
        <w:rPr>
          <w:rFonts w:cs="Arial"/>
          <w:lang w:val="es-ES"/>
        </w:rPr>
        <w:t>.</w:t>
      </w:r>
      <w:r w:rsidR="00FB2792" w:rsidRPr="00E43297">
        <w:rPr>
          <w:rStyle w:val="FootnoteReference"/>
          <w:rFonts w:cs="Arial"/>
        </w:rPr>
        <w:footnoteReference w:id="5"/>
      </w:r>
    </w:p>
    <w:p w14:paraId="77A34626" w14:textId="77777777" w:rsidR="001B2A45" w:rsidRPr="00E43297" w:rsidRDefault="001B2A45" w:rsidP="00E43297">
      <w:pPr>
        <w:pStyle w:val="ListParagraph"/>
        <w:jc w:val="both"/>
        <w:rPr>
          <w:rFonts w:cs="Arial"/>
          <w:b/>
          <w:bCs/>
          <w:lang w:val="es-ES"/>
        </w:rPr>
      </w:pPr>
    </w:p>
    <w:p w14:paraId="27622DA1" w14:textId="6072BC3F" w:rsidR="001B2A45" w:rsidRPr="00E43297" w:rsidRDefault="003C7D76" w:rsidP="00E43297">
      <w:pPr>
        <w:pStyle w:val="ListParagraph"/>
        <w:numPr>
          <w:ilvl w:val="0"/>
          <w:numId w:val="41"/>
        </w:numPr>
        <w:ind w:left="142" w:firstLine="218"/>
        <w:jc w:val="both"/>
        <w:rPr>
          <w:rFonts w:cs="Arial"/>
          <w:lang w:val="es-ES"/>
        </w:rPr>
      </w:pPr>
      <w:r w:rsidRPr="00E43297">
        <w:rPr>
          <w:rFonts w:cs="Arial"/>
          <w:b/>
          <w:bCs/>
          <w:lang w:val="es-ES"/>
        </w:rPr>
        <w:t>Protección civil, acciones humanitarias y climáticas</w:t>
      </w:r>
      <w:r w:rsidRPr="00E43297">
        <w:rPr>
          <w:rFonts w:cs="Arial"/>
          <w:lang w:val="es-ES"/>
        </w:rPr>
        <w:t>: Las personas con discapacidad de toda Europa y del mundo siguen viéndose afectadas de forma desproporcionada por los conflictos y por</w:t>
      </w:r>
      <w:r w:rsidR="00033B8D" w:rsidRPr="00E43297">
        <w:rPr>
          <w:rFonts w:cs="Arial"/>
          <w:lang w:val="es-ES"/>
        </w:rPr>
        <w:t xml:space="preserve"> diversos</w:t>
      </w:r>
      <w:r w:rsidRPr="00E43297">
        <w:rPr>
          <w:rFonts w:cs="Arial"/>
          <w:lang w:val="es-ES"/>
        </w:rPr>
        <w:t xml:space="preserve"> fenómenos naturales</w:t>
      </w:r>
      <w:r w:rsidR="00033B8D" w:rsidRPr="00E43297">
        <w:rPr>
          <w:rFonts w:cs="Arial"/>
          <w:lang w:val="es-ES"/>
        </w:rPr>
        <w:t>,</w:t>
      </w:r>
      <w:r w:rsidRPr="00E43297">
        <w:rPr>
          <w:rFonts w:cs="Arial"/>
          <w:lang w:val="es-ES"/>
        </w:rPr>
        <w:t xml:space="preserve"> </w:t>
      </w:r>
      <w:r w:rsidR="0089183F" w:rsidRPr="00E43297">
        <w:rPr>
          <w:rFonts w:cs="Arial"/>
          <w:lang w:val="es-ES"/>
        </w:rPr>
        <w:t xml:space="preserve">tales </w:t>
      </w:r>
      <w:r w:rsidRPr="00E43297">
        <w:rPr>
          <w:rFonts w:cs="Arial"/>
          <w:lang w:val="es-ES"/>
        </w:rPr>
        <w:t xml:space="preserve">como </w:t>
      </w:r>
      <w:r w:rsidRPr="00E43297">
        <w:rPr>
          <w:rFonts w:cs="Arial"/>
          <w:lang w:val="es-ES"/>
        </w:rPr>
        <w:lastRenderedPageBreak/>
        <w:t xml:space="preserve">la pandemia de </w:t>
      </w:r>
      <w:r w:rsidR="0089183F" w:rsidRPr="00E43297">
        <w:rPr>
          <w:rFonts w:cs="Arial"/>
          <w:lang w:val="es-ES"/>
        </w:rPr>
        <w:t xml:space="preserve">la </w:t>
      </w:r>
      <w:r w:rsidRPr="00E43297">
        <w:rPr>
          <w:rFonts w:cs="Arial"/>
          <w:lang w:val="es-ES"/>
        </w:rPr>
        <w:t xml:space="preserve">COVID-19, inundaciones </w:t>
      </w:r>
      <w:r w:rsidR="00033B8D" w:rsidRPr="00E43297">
        <w:rPr>
          <w:rFonts w:cs="Arial"/>
          <w:lang w:val="es-ES"/>
        </w:rPr>
        <w:t>u</w:t>
      </w:r>
      <w:r w:rsidRPr="00E43297">
        <w:rPr>
          <w:rFonts w:cs="Arial"/>
          <w:lang w:val="es-ES"/>
        </w:rPr>
        <w:t xml:space="preserve"> olas de calor. En los últimos años</w:t>
      </w:r>
      <w:r w:rsidR="0089183F" w:rsidRPr="00E43297">
        <w:rPr>
          <w:rFonts w:cs="Arial"/>
          <w:lang w:val="es-ES"/>
        </w:rPr>
        <w:t xml:space="preserve">, </w:t>
      </w:r>
      <w:r w:rsidRPr="00E43297">
        <w:rPr>
          <w:rFonts w:cs="Arial"/>
          <w:lang w:val="es-ES"/>
        </w:rPr>
        <w:t xml:space="preserve"> se han producido mejoras en las políticas internacionales y de la UE en este ámbito</w:t>
      </w:r>
      <w:r w:rsidR="0089183F" w:rsidRPr="00E43297">
        <w:rPr>
          <w:rFonts w:cs="Arial"/>
          <w:lang w:val="es-ES"/>
        </w:rPr>
        <w:t>. Sin embargo,</w:t>
      </w:r>
      <w:r w:rsidRPr="00E43297">
        <w:rPr>
          <w:rFonts w:cs="Arial"/>
          <w:lang w:val="es-ES"/>
        </w:rPr>
        <w:t xml:space="preserve"> estos marcos </w:t>
      </w:r>
      <w:r w:rsidR="001B2A45" w:rsidRPr="00E43297">
        <w:rPr>
          <w:rFonts w:cs="Arial"/>
          <w:lang w:val="es-ES"/>
        </w:rPr>
        <w:t xml:space="preserve">legislativos </w:t>
      </w:r>
      <w:r w:rsidRPr="00E43297">
        <w:rPr>
          <w:rFonts w:cs="Arial"/>
          <w:lang w:val="es-ES"/>
        </w:rPr>
        <w:t xml:space="preserve">aún no </w:t>
      </w:r>
      <w:r w:rsidR="001B2A45" w:rsidRPr="00E43297">
        <w:rPr>
          <w:rFonts w:cs="Arial"/>
          <w:lang w:val="es-ES"/>
        </w:rPr>
        <w:t>se han aplicado</w:t>
      </w:r>
      <w:r w:rsidR="00033B8D" w:rsidRPr="00E43297">
        <w:rPr>
          <w:rFonts w:cs="Arial"/>
          <w:lang w:val="es-ES"/>
        </w:rPr>
        <w:t xml:space="preserve"> </w:t>
      </w:r>
      <w:r w:rsidRPr="00E43297">
        <w:rPr>
          <w:rFonts w:cs="Arial"/>
          <w:lang w:val="es-ES"/>
        </w:rPr>
        <w:t xml:space="preserve">y </w:t>
      </w:r>
      <w:r w:rsidR="001B2A45" w:rsidRPr="00E43297">
        <w:rPr>
          <w:rFonts w:cs="Arial"/>
          <w:lang w:val="es-ES"/>
        </w:rPr>
        <w:t>dichos</w:t>
      </w:r>
      <w:r w:rsidRPr="00E43297">
        <w:rPr>
          <w:rFonts w:cs="Arial"/>
          <w:lang w:val="es-ES"/>
        </w:rPr>
        <w:t xml:space="preserve"> avances se ven frenados por la falta de cohesión y colaboración entre los organismos responsables de la inclusión de la discapacidad en la acción humanitaria, la protección civil, la reducción del riesgo de catástrofes, la acción climática y las políticas de refugiados. Además, los objetivos y las políticas climáticas de la UE </w:t>
      </w:r>
      <w:r w:rsidR="001B2A45" w:rsidRPr="00E43297">
        <w:rPr>
          <w:rFonts w:cs="Arial"/>
          <w:lang w:val="es-ES"/>
        </w:rPr>
        <w:t>deberían centrarse más</w:t>
      </w:r>
      <w:r w:rsidRPr="00E43297">
        <w:rPr>
          <w:rFonts w:cs="Arial"/>
          <w:lang w:val="es-ES"/>
        </w:rPr>
        <w:t xml:space="preserve"> en los aspectos sociales de la sostenibilidad y la reducción del riesgo de desastres. Ni la mitigación ni la planificación de la adaptación tienen en cuenta a las personas con discapacidad. </w:t>
      </w:r>
    </w:p>
    <w:p w14:paraId="7C7D42BA" w14:textId="77777777" w:rsidR="001B2A45" w:rsidRPr="00E43297" w:rsidRDefault="001B2A45" w:rsidP="00E43297">
      <w:pPr>
        <w:pStyle w:val="ListParagraph"/>
        <w:jc w:val="both"/>
        <w:rPr>
          <w:rFonts w:cs="Arial"/>
          <w:b/>
          <w:bCs/>
          <w:lang w:val="es-ES"/>
        </w:rPr>
      </w:pPr>
    </w:p>
    <w:p w14:paraId="24C1A621" w14:textId="77777777" w:rsidR="00EB4AF0" w:rsidRPr="00E43297" w:rsidRDefault="001B2A45" w:rsidP="00E43297">
      <w:pPr>
        <w:pStyle w:val="ListParagraph"/>
        <w:numPr>
          <w:ilvl w:val="0"/>
          <w:numId w:val="41"/>
        </w:numPr>
        <w:ind w:left="142" w:firstLine="218"/>
        <w:jc w:val="both"/>
        <w:rPr>
          <w:rFonts w:cs="Arial"/>
          <w:lang w:val="es-ES"/>
        </w:rPr>
      </w:pPr>
      <w:r w:rsidRPr="00E43297">
        <w:rPr>
          <w:rFonts w:cs="Arial"/>
          <w:b/>
          <w:bCs/>
          <w:lang w:val="es-ES"/>
        </w:rPr>
        <w:t>Den</w:t>
      </w:r>
      <w:r w:rsidR="003C7D76" w:rsidRPr="00E43297">
        <w:rPr>
          <w:rFonts w:cs="Arial"/>
          <w:b/>
          <w:bCs/>
          <w:lang w:val="es-ES"/>
        </w:rPr>
        <w:t>egación de la capacidad jurídica</w:t>
      </w:r>
      <w:r w:rsidR="003C7D76" w:rsidRPr="00E43297">
        <w:rPr>
          <w:rFonts w:cs="Arial"/>
          <w:lang w:val="es-ES"/>
        </w:rPr>
        <w:t>: Las personas con discapacidad, cuya capacidad jurídica ha sido denegada o limitada, no pueden disfrutar y ejercer una serie de derechos que se derivan de la legislación de la UE, como el derecho a un juicio justo, a decidir dónde vivir, a firmar contratos laborales o comerciales, a realizar transacciones financieras, a la privacidad o a votar y presentarse a las elecciones europeas y locales.</w:t>
      </w:r>
    </w:p>
    <w:p w14:paraId="340EF7E3" w14:textId="77777777" w:rsidR="00EB4AF0" w:rsidRPr="00E43297" w:rsidRDefault="00EB4AF0" w:rsidP="00E43297">
      <w:pPr>
        <w:pStyle w:val="ListParagraph"/>
        <w:jc w:val="both"/>
        <w:rPr>
          <w:rFonts w:cs="Arial"/>
          <w:b/>
          <w:bCs/>
          <w:lang w:val="es-ES"/>
        </w:rPr>
      </w:pPr>
    </w:p>
    <w:p w14:paraId="3172D06F" w14:textId="0663A290" w:rsidR="00EB4AF0" w:rsidRPr="00E43297" w:rsidRDefault="001B2A45" w:rsidP="00E43297">
      <w:pPr>
        <w:pStyle w:val="ListParagraph"/>
        <w:numPr>
          <w:ilvl w:val="0"/>
          <w:numId w:val="41"/>
        </w:numPr>
        <w:ind w:left="142" w:firstLine="218"/>
        <w:jc w:val="both"/>
        <w:rPr>
          <w:rFonts w:cs="Arial"/>
          <w:lang w:val="es-ES"/>
        </w:rPr>
      </w:pPr>
      <w:r w:rsidRPr="00E43297">
        <w:rPr>
          <w:rFonts w:cs="Arial"/>
          <w:b/>
          <w:bCs/>
          <w:lang w:val="es-ES"/>
        </w:rPr>
        <w:t>Acceso a la justicia</w:t>
      </w:r>
      <w:r w:rsidRPr="00E43297">
        <w:rPr>
          <w:rFonts w:cs="Arial"/>
          <w:lang w:val="es-ES"/>
        </w:rPr>
        <w:t>: El sistema judicial a nivel nacional y de la UE no es totalmente accesible para las personas con discapacidad. Ya sea como víctimas, testigos, sospechoso</w:t>
      </w:r>
      <w:r w:rsidR="00033B8D" w:rsidRPr="00E43297">
        <w:rPr>
          <w:rFonts w:cs="Arial"/>
          <w:lang w:val="es-ES"/>
        </w:rPr>
        <w:t>, acusados</w:t>
      </w:r>
      <w:r w:rsidRPr="00E43297">
        <w:rPr>
          <w:rFonts w:cs="Arial"/>
          <w:lang w:val="es-ES"/>
        </w:rPr>
        <w:t>, o como personal, las personas con discapacidad se enfrentan a muchos obstáculos para poder ejercer sus derechos. La legislación de la UE relativa al sistema judicial no se aplica de una forma que sea accesible para las personas con discapacidad y</w:t>
      </w:r>
      <w:r w:rsidR="00033B8D" w:rsidRPr="00E43297">
        <w:rPr>
          <w:rFonts w:cs="Arial"/>
          <w:lang w:val="es-ES"/>
        </w:rPr>
        <w:t xml:space="preserve"> no</w:t>
      </w:r>
      <w:r w:rsidRPr="00E43297">
        <w:rPr>
          <w:rFonts w:cs="Arial"/>
          <w:lang w:val="es-ES"/>
        </w:rPr>
        <w:t xml:space="preserve"> garanti</w:t>
      </w:r>
      <w:r w:rsidR="00033B8D" w:rsidRPr="00E43297">
        <w:rPr>
          <w:rFonts w:cs="Arial"/>
          <w:lang w:val="es-ES"/>
        </w:rPr>
        <w:t>za</w:t>
      </w:r>
      <w:r w:rsidRPr="00E43297">
        <w:rPr>
          <w:rFonts w:cs="Arial"/>
          <w:lang w:val="es-ES"/>
        </w:rPr>
        <w:t xml:space="preserve"> su derecho a un juicio justo. El Cuadro de Indicadores de Justicia en la UE no evalúa si el sistema de justicia nacional cumple con la CDPD. </w:t>
      </w:r>
    </w:p>
    <w:p w14:paraId="1CB312E9" w14:textId="77777777" w:rsidR="00EB4AF0" w:rsidRPr="00E43297" w:rsidRDefault="00EB4AF0" w:rsidP="00E43297">
      <w:pPr>
        <w:pStyle w:val="ListParagraph"/>
        <w:jc w:val="both"/>
        <w:rPr>
          <w:rFonts w:cs="Arial"/>
          <w:b/>
          <w:bCs/>
          <w:lang w:val="es-ES"/>
        </w:rPr>
      </w:pPr>
    </w:p>
    <w:p w14:paraId="78CCEF49" w14:textId="2628CD8A" w:rsidR="00EB4AF0" w:rsidRPr="00E43297" w:rsidRDefault="00EB4AF0" w:rsidP="00E43297">
      <w:pPr>
        <w:pStyle w:val="ListParagraph"/>
        <w:numPr>
          <w:ilvl w:val="0"/>
          <w:numId w:val="41"/>
        </w:numPr>
        <w:ind w:left="142" w:firstLine="218"/>
        <w:jc w:val="both"/>
        <w:rPr>
          <w:rFonts w:cs="Arial"/>
          <w:lang w:val="es-ES"/>
        </w:rPr>
      </w:pPr>
      <w:r w:rsidRPr="00E43297">
        <w:rPr>
          <w:rFonts w:cs="Arial"/>
          <w:b/>
          <w:bCs/>
          <w:lang w:val="es-ES"/>
        </w:rPr>
        <w:t xml:space="preserve"> </w:t>
      </w:r>
      <w:r w:rsidR="001B2A45" w:rsidRPr="00E43297">
        <w:rPr>
          <w:rFonts w:cs="Arial"/>
          <w:b/>
          <w:bCs/>
          <w:lang w:val="es-ES"/>
        </w:rPr>
        <w:t>Violencia:</w:t>
      </w:r>
      <w:r w:rsidR="001B2A45" w:rsidRPr="00E43297">
        <w:rPr>
          <w:rFonts w:cs="Arial"/>
          <w:lang w:val="es-ES"/>
        </w:rPr>
        <w:t xml:space="preserve"> Las personas con discapacidad, en particular los niños, las niñas y las mujeres con discapacidad, las personas con discapacidad intelectual y autismo, </w:t>
      </w:r>
      <w:r w:rsidR="001B2A45" w:rsidRPr="003237FC">
        <w:rPr>
          <w:rFonts w:cs="Arial"/>
          <w:lang w:val="es-ES"/>
        </w:rPr>
        <w:t xml:space="preserve">las personas de edad avanzada con discapacidad y las personas con discapacidad que viven en </w:t>
      </w:r>
      <w:r w:rsidR="003237FC" w:rsidRPr="003237FC">
        <w:rPr>
          <w:rFonts w:cs="Arial"/>
          <w:lang w:val="es-ES"/>
        </w:rPr>
        <w:t xml:space="preserve">centros institucionales u otros </w:t>
      </w:r>
      <w:r w:rsidR="00033B8D" w:rsidRPr="003237FC">
        <w:rPr>
          <w:rFonts w:cs="Arial"/>
          <w:lang w:val="es-ES"/>
        </w:rPr>
        <w:t>entornos cerrados</w:t>
      </w:r>
      <w:r w:rsidR="001B2A45" w:rsidRPr="003237FC">
        <w:rPr>
          <w:rFonts w:cs="Arial"/>
          <w:lang w:val="es-ES"/>
        </w:rPr>
        <w:t>,</w:t>
      </w:r>
      <w:r w:rsidR="001B2A45" w:rsidRPr="00E43297">
        <w:rPr>
          <w:rFonts w:cs="Arial"/>
          <w:lang w:val="es-ES"/>
        </w:rPr>
        <w:t xml:space="preserve"> corren un mayor </w:t>
      </w:r>
      <w:r w:rsidRPr="00E43297">
        <w:rPr>
          <w:rFonts w:cs="Arial"/>
          <w:lang w:val="es-ES"/>
        </w:rPr>
        <w:t xml:space="preserve">riesgo de estar expuestas a la violencia y al abuso. </w:t>
      </w:r>
      <w:r w:rsidR="001B2A45" w:rsidRPr="00E43297">
        <w:rPr>
          <w:rFonts w:cs="Arial"/>
          <w:lang w:val="es-ES"/>
        </w:rPr>
        <w:t>La UE no ha ratificado el Convenio de Estambul sobre la violencia contra las mujeres y la violencia doméstica</w:t>
      </w:r>
      <w:r w:rsidRPr="00E43297">
        <w:rPr>
          <w:rStyle w:val="FootnoteReference"/>
          <w:rFonts w:cs="Arial"/>
          <w:lang w:val="es-ES"/>
        </w:rPr>
        <w:footnoteReference w:id="6"/>
      </w:r>
      <w:r w:rsidRPr="00E43297">
        <w:rPr>
          <w:rFonts w:cs="Arial"/>
          <w:lang w:val="es-ES"/>
        </w:rPr>
        <w:t>,</w:t>
      </w:r>
      <w:r w:rsidR="001B2A45" w:rsidRPr="00E43297">
        <w:rPr>
          <w:rFonts w:cs="Arial"/>
          <w:lang w:val="es-ES"/>
        </w:rPr>
        <w:t xml:space="preserve"> ni ha adoptado otras medidas para combatir la violencia. </w:t>
      </w:r>
    </w:p>
    <w:p w14:paraId="6904C31F" w14:textId="77777777" w:rsidR="00EB4AF0" w:rsidRPr="00E43297" w:rsidRDefault="00EB4AF0" w:rsidP="00E43297">
      <w:pPr>
        <w:pStyle w:val="ListParagraph"/>
        <w:jc w:val="both"/>
        <w:rPr>
          <w:rFonts w:cs="Arial"/>
          <w:b/>
          <w:bCs/>
          <w:lang w:val="es-ES"/>
        </w:rPr>
      </w:pPr>
    </w:p>
    <w:p w14:paraId="6787B263" w14:textId="1A331498" w:rsidR="0045117F" w:rsidRPr="00E43297" w:rsidRDefault="00EB4AF0" w:rsidP="00E43297">
      <w:pPr>
        <w:pStyle w:val="ListParagraph"/>
        <w:numPr>
          <w:ilvl w:val="0"/>
          <w:numId w:val="41"/>
        </w:numPr>
        <w:ind w:left="142" w:firstLine="218"/>
        <w:jc w:val="both"/>
        <w:rPr>
          <w:rFonts w:cs="Arial"/>
          <w:lang w:val="es-ES"/>
        </w:rPr>
      </w:pPr>
      <w:r w:rsidRPr="00E43297">
        <w:rPr>
          <w:rFonts w:cs="Arial"/>
          <w:b/>
          <w:bCs/>
          <w:lang w:val="es-ES"/>
        </w:rPr>
        <w:t xml:space="preserve"> </w:t>
      </w:r>
      <w:r w:rsidR="001B2A45" w:rsidRPr="00E43297">
        <w:rPr>
          <w:rFonts w:cs="Arial"/>
          <w:b/>
          <w:bCs/>
          <w:lang w:val="es-ES"/>
        </w:rPr>
        <w:t>Libertad de circulación</w:t>
      </w:r>
      <w:r w:rsidR="001B2A45" w:rsidRPr="00E43297">
        <w:rPr>
          <w:rFonts w:cs="Arial"/>
          <w:lang w:val="es-ES"/>
        </w:rPr>
        <w:t xml:space="preserve">: Las personas con discapacidad no pueden transferir sus prestaciones de </w:t>
      </w:r>
      <w:r w:rsidRPr="00E43297">
        <w:rPr>
          <w:rFonts w:cs="Arial"/>
          <w:lang w:val="es-ES"/>
        </w:rPr>
        <w:t xml:space="preserve">la </w:t>
      </w:r>
      <w:r w:rsidR="001B2A45" w:rsidRPr="00E43297">
        <w:rPr>
          <w:rFonts w:cs="Arial"/>
          <w:lang w:val="es-ES"/>
        </w:rPr>
        <w:t>seguridad social desde su Estado miembro de origen a otro Estado miembro</w:t>
      </w:r>
      <w:r w:rsidRPr="00E43297">
        <w:rPr>
          <w:rFonts w:cs="Arial"/>
          <w:lang w:val="es-ES"/>
        </w:rPr>
        <w:t xml:space="preserve"> al que se traslada</w:t>
      </w:r>
      <w:r w:rsidR="00033B8D" w:rsidRPr="00E43297">
        <w:rPr>
          <w:rFonts w:cs="Arial"/>
          <w:lang w:val="es-ES"/>
        </w:rPr>
        <w:t>n</w:t>
      </w:r>
      <w:r w:rsidRPr="00E43297">
        <w:rPr>
          <w:rFonts w:cs="Arial"/>
          <w:lang w:val="es-ES"/>
        </w:rPr>
        <w:t xml:space="preserve"> temporalmente.</w:t>
      </w:r>
      <w:r w:rsidR="001B2A45" w:rsidRPr="00E43297">
        <w:rPr>
          <w:rFonts w:cs="Arial"/>
          <w:lang w:val="es-ES"/>
        </w:rPr>
        <w:t xml:space="preserve"> En la práctica, esto niega a</w:t>
      </w:r>
      <w:r w:rsidRPr="00E43297">
        <w:rPr>
          <w:rFonts w:cs="Arial"/>
          <w:lang w:val="es-ES"/>
        </w:rPr>
        <w:t xml:space="preserve"> cualquier</w:t>
      </w:r>
      <w:r w:rsidR="001B2A45" w:rsidRPr="00E43297">
        <w:rPr>
          <w:rFonts w:cs="Arial"/>
          <w:lang w:val="es-ES"/>
        </w:rPr>
        <w:t xml:space="preserve"> persona con discapacidad </w:t>
      </w:r>
      <w:r w:rsidRPr="00E43297">
        <w:rPr>
          <w:rFonts w:cs="Arial"/>
          <w:lang w:val="es-ES"/>
        </w:rPr>
        <w:t>ciudadana</w:t>
      </w:r>
      <w:r w:rsidR="001B2A45" w:rsidRPr="00E43297">
        <w:rPr>
          <w:rFonts w:cs="Arial"/>
          <w:lang w:val="es-ES"/>
        </w:rPr>
        <w:t xml:space="preserve"> de uno de los 27 Estados miembros</w:t>
      </w:r>
      <w:r w:rsidRPr="00E43297">
        <w:rPr>
          <w:rFonts w:cs="Arial"/>
          <w:lang w:val="es-ES"/>
        </w:rPr>
        <w:t xml:space="preserve">, </w:t>
      </w:r>
      <w:r w:rsidR="001B2A45" w:rsidRPr="00E43297">
        <w:rPr>
          <w:rFonts w:cs="Arial"/>
          <w:lang w:val="es-ES"/>
        </w:rPr>
        <w:t xml:space="preserve">así como de Noruega, Islandia, Liechtenstein y Suiza, el derecho </w:t>
      </w:r>
      <w:r w:rsidRPr="00E43297">
        <w:rPr>
          <w:rFonts w:cs="Arial"/>
          <w:lang w:val="es-ES"/>
        </w:rPr>
        <w:t xml:space="preserve">a </w:t>
      </w:r>
      <w:r w:rsidR="001B2A45" w:rsidRPr="00E43297">
        <w:rPr>
          <w:rFonts w:cs="Arial"/>
          <w:lang w:val="es-ES"/>
        </w:rPr>
        <w:t>vivir y trabajar libremente en toda la UE</w:t>
      </w:r>
      <w:r w:rsidRPr="00E43297">
        <w:rPr>
          <w:rFonts w:cs="Arial"/>
          <w:lang w:val="es-ES"/>
        </w:rPr>
        <w:t xml:space="preserve">. Un derecho que está recogido en los tratados de la UE. </w:t>
      </w:r>
      <w:r w:rsidRPr="00E43297">
        <w:rPr>
          <w:rFonts w:cs="Arial"/>
          <w:lang w:val="es-ES"/>
        </w:rPr>
        <w:lastRenderedPageBreak/>
        <w:t xml:space="preserve">Asimismo, estas personas </w:t>
      </w:r>
      <w:r w:rsidR="001B2A45" w:rsidRPr="00E43297">
        <w:rPr>
          <w:rFonts w:cs="Arial"/>
          <w:lang w:val="es-ES"/>
        </w:rPr>
        <w:t xml:space="preserve">suelen tener dificultades para que se les reconozca su </w:t>
      </w:r>
      <w:r w:rsidRPr="00E43297">
        <w:rPr>
          <w:rFonts w:cs="Arial"/>
          <w:lang w:val="es-ES"/>
        </w:rPr>
        <w:t>discapacidad</w:t>
      </w:r>
      <w:r w:rsidR="001B2A45" w:rsidRPr="00E43297">
        <w:rPr>
          <w:rFonts w:cs="Arial"/>
          <w:lang w:val="es-ES"/>
        </w:rPr>
        <w:t xml:space="preserve"> </w:t>
      </w:r>
      <w:r w:rsidRPr="00E43297">
        <w:rPr>
          <w:rFonts w:cs="Arial"/>
          <w:lang w:val="es-ES"/>
        </w:rPr>
        <w:t xml:space="preserve">incluso cuando se mudan a otro Estado miembro de forma permanente </w:t>
      </w:r>
      <w:r w:rsidR="001B2A45" w:rsidRPr="00E43297">
        <w:rPr>
          <w:rFonts w:cs="Arial"/>
          <w:lang w:val="es-ES"/>
        </w:rPr>
        <w:t>y</w:t>
      </w:r>
      <w:r w:rsidRPr="00E43297">
        <w:rPr>
          <w:rFonts w:cs="Arial"/>
          <w:lang w:val="es-ES"/>
        </w:rPr>
        <w:t>, además,</w:t>
      </w:r>
      <w:r w:rsidR="001B2A45" w:rsidRPr="00E43297">
        <w:rPr>
          <w:rFonts w:cs="Arial"/>
          <w:lang w:val="es-ES"/>
        </w:rPr>
        <w:t xml:space="preserve"> se enfrentan a cargas burocráticas adicionales. Esto también afecta a los jóvenes que participan en programas de intercambio.</w:t>
      </w:r>
    </w:p>
    <w:p w14:paraId="5BD3632B" w14:textId="77777777" w:rsidR="0045117F" w:rsidRPr="00E43297" w:rsidRDefault="0045117F" w:rsidP="00E43297">
      <w:pPr>
        <w:pStyle w:val="ListParagraph"/>
        <w:jc w:val="both"/>
        <w:rPr>
          <w:rFonts w:cs="Arial"/>
          <w:b/>
          <w:bCs/>
          <w:lang w:val="es-ES"/>
        </w:rPr>
      </w:pPr>
    </w:p>
    <w:p w14:paraId="6564CE4A" w14:textId="0C7F61FB" w:rsidR="0045117F" w:rsidRPr="00E43297" w:rsidRDefault="0045117F" w:rsidP="00E43297">
      <w:pPr>
        <w:pStyle w:val="ListParagraph"/>
        <w:numPr>
          <w:ilvl w:val="0"/>
          <w:numId w:val="41"/>
        </w:numPr>
        <w:ind w:left="142" w:firstLine="218"/>
        <w:jc w:val="both"/>
        <w:rPr>
          <w:rFonts w:cs="Arial"/>
          <w:lang w:val="es-ES"/>
        </w:rPr>
      </w:pPr>
      <w:r w:rsidRPr="00E43297">
        <w:rPr>
          <w:rFonts w:cs="Arial"/>
          <w:b/>
          <w:bCs/>
          <w:lang w:val="es-ES"/>
        </w:rPr>
        <w:t xml:space="preserve"> Uso de los fondos de la UE y vida independiente:</w:t>
      </w:r>
      <w:r w:rsidRPr="00E43297">
        <w:rPr>
          <w:rFonts w:cs="Arial"/>
          <w:lang w:val="es-ES"/>
        </w:rPr>
        <w:t xml:space="preserve"> Algunos Estados miembros han utilizado los Fondos Estructurales para mantener y promover la atención institucional, en lugar de </w:t>
      </w:r>
      <w:r w:rsidR="00E43297" w:rsidRPr="00E43297">
        <w:rPr>
          <w:rFonts w:cs="Arial"/>
          <w:lang w:val="es-ES"/>
        </w:rPr>
        <w:t>buscar</w:t>
      </w:r>
      <w:r w:rsidRPr="00E43297">
        <w:rPr>
          <w:rFonts w:cs="Arial"/>
          <w:lang w:val="es-ES"/>
        </w:rPr>
        <w:t xml:space="preserve"> alternativas basadas en la comunidad de acuerdo con la CDPD e invertir en oportunidades de asistencia personal. </w:t>
      </w:r>
      <w:r w:rsidRPr="003237FC">
        <w:rPr>
          <w:rFonts w:cs="Arial"/>
          <w:lang w:val="es-ES"/>
        </w:rPr>
        <w:t xml:space="preserve">El resultado de estas acciones es la continua violación de los derechos humanos en </w:t>
      </w:r>
      <w:r w:rsidR="00033B8D" w:rsidRPr="003237FC">
        <w:rPr>
          <w:rFonts w:cs="Arial"/>
          <w:lang w:val="es-ES"/>
        </w:rPr>
        <w:t>dichas</w:t>
      </w:r>
      <w:r w:rsidRPr="003237FC">
        <w:rPr>
          <w:rFonts w:cs="Arial"/>
          <w:lang w:val="es-ES"/>
        </w:rPr>
        <w:t xml:space="preserve"> instituciones</w:t>
      </w:r>
      <w:r w:rsidR="00033B8D" w:rsidRPr="003237FC">
        <w:rPr>
          <w:rFonts w:cs="Arial"/>
          <w:lang w:val="es-ES"/>
        </w:rPr>
        <w:t>.</w:t>
      </w:r>
      <w:r w:rsidR="00033B8D" w:rsidRPr="00E43297">
        <w:rPr>
          <w:rFonts w:cs="Arial"/>
          <w:lang w:val="es-ES"/>
        </w:rPr>
        <w:t xml:space="preserve"> </w:t>
      </w:r>
      <w:r w:rsidRPr="00E43297">
        <w:rPr>
          <w:rFonts w:cs="Arial"/>
          <w:lang w:val="es-ES"/>
        </w:rPr>
        <w:t xml:space="preserve">La UE tampoco recoge datos sobre las personas que viven en instituciones, ya que la recogida de datos a nivel de la UE se centra en las personas que viven en "hogares", lo cual excluye los entornos institucionales. Esto significa que la UE no tiene una visión clara de cuántas personas viven en este tipo de entornos, ni una forma de medir el progreso en la transición para abandonar la institucionalización. </w:t>
      </w:r>
      <w:r w:rsidR="00033B8D" w:rsidRPr="00E43297">
        <w:rPr>
          <w:rFonts w:cs="Arial"/>
          <w:lang w:val="es-ES"/>
        </w:rPr>
        <w:t>Sin embargo,</w:t>
      </w:r>
      <w:r w:rsidRPr="00E43297">
        <w:rPr>
          <w:rFonts w:cs="Arial"/>
          <w:lang w:val="es-ES"/>
        </w:rPr>
        <w:t xml:space="preserve"> se supone que los fondos de la UE deb</w:t>
      </w:r>
      <w:r w:rsidR="00033B8D" w:rsidRPr="00E43297">
        <w:rPr>
          <w:rFonts w:cs="Arial"/>
          <w:lang w:val="es-ES"/>
        </w:rPr>
        <w:t xml:space="preserve">erían ser utilizados para </w:t>
      </w:r>
      <w:r w:rsidRPr="00E43297">
        <w:rPr>
          <w:rFonts w:cs="Arial"/>
          <w:lang w:val="es-ES"/>
        </w:rPr>
        <w:t xml:space="preserve">facilitar dicha transición. </w:t>
      </w:r>
    </w:p>
    <w:p w14:paraId="674ACA3E" w14:textId="77777777" w:rsidR="0045117F" w:rsidRPr="00E43297" w:rsidRDefault="0045117F" w:rsidP="00E43297">
      <w:pPr>
        <w:pStyle w:val="ListParagraph"/>
        <w:jc w:val="both"/>
        <w:rPr>
          <w:rFonts w:cs="Arial"/>
          <w:b/>
          <w:bCs/>
          <w:lang w:val="es-ES"/>
        </w:rPr>
      </w:pPr>
    </w:p>
    <w:p w14:paraId="7B9291F8" w14:textId="58B746EB" w:rsidR="0045117F" w:rsidRPr="00E43297" w:rsidRDefault="0045117F" w:rsidP="00E43297">
      <w:pPr>
        <w:pStyle w:val="ListParagraph"/>
        <w:numPr>
          <w:ilvl w:val="0"/>
          <w:numId w:val="41"/>
        </w:numPr>
        <w:ind w:left="142" w:firstLine="218"/>
        <w:jc w:val="both"/>
        <w:rPr>
          <w:rFonts w:cs="Arial"/>
          <w:lang w:val="es-ES"/>
        </w:rPr>
      </w:pPr>
      <w:r w:rsidRPr="00E43297">
        <w:rPr>
          <w:rFonts w:cs="Arial"/>
          <w:b/>
          <w:bCs/>
          <w:lang w:val="es-ES"/>
        </w:rPr>
        <w:t xml:space="preserve"> Salud</w:t>
      </w:r>
      <w:r w:rsidRPr="00E43297">
        <w:rPr>
          <w:rFonts w:cs="Arial"/>
          <w:lang w:val="es-ES"/>
        </w:rPr>
        <w:t>: La UE no tiene en cuenta los derechos y las necesidades de las personas con discapacidad en sus políticas sanitarias, ni siquiera en las medidas adoptadas durante la pandemia de la COVID-19</w:t>
      </w:r>
      <w:r w:rsidR="00E43297" w:rsidRPr="00E43297">
        <w:rPr>
          <w:rFonts w:cs="Arial"/>
          <w:lang w:val="es-ES"/>
        </w:rPr>
        <w:t>,</w:t>
      </w:r>
      <w:r w:rsidRPr="00E43297">
        <w:rPr>
          <w:rFonts w:cs="Arial"/>
          <w:lang w:val="es-ES"/>
        </w:rPr>
        <w:t xml:space="preserve"> ni en su Plan Europeo contra el Cáncer, desde </w:t>
      </w:r>
      <w:r w:rsidR="00E43297" w:rsidRPr="00E43297">
        <w:rPr>
          <w:rFonts w:cs="Arial"/>
          <w:lang w:val="es-ES"/>
        </w:rPr>
        <w:t xml:space="preserve">su </w:t>
      </w:r>
      <w:r w:rsidRPr="00E43297">
        <w:rPr>
          <w:rFonts w:cs="Arial"/>
          <w:lang w:val="es-ES"/>
        </w:rPr>
        <w:t>prevención hasta el cribado y el tratamiento. Solo 14 Estados miembros de la UE prohíben la discriminación por motivos de discapacidad y exigen ajustes razonables en el acceso a la asistencia sanitaria.</w:t>
      </w:r>
    </w:p>
    <w:p w14:paraId="40F6C085" w14:textId="77777777" w:rsidR="0045117F" w:rsidRPr="00E43297" w:rsidRDefault="0045117F" w:rsidP="00E43297">
      <w:pPr>
        <w:pStyle w:val="ListParagraph"/>
        <w:jc w:val="both"/>
        <w:rPr>
          <w:rFonts w:cs="Arial"/>
          <w:b/>
          <w:bCs/>
          <w:lang w:val="es-ES"/>
        </w:rPr>
      </w:pPr>
    </w:p>
    <w:p w14:paraId="4446D0CE" w14:textId="3FF2E0CB" w:rsidR="0045117F" w:rsidRPr="00E43297" w:rsidRDefault="0045117F" w:rsidP="00E43297">
      <w:pPr>
        <w:pStyle w:val="ListParagraph"/>
        <w:numPr>
          <w:ilvl w:val="0"/>
          <w:numId w:val="41"/>
        </w:numPr>
        <w:ind w:left="142" w:firstLine="218"/>
        <w:jc w:val="both"/>
        <w:rPr>
          <w:rFonts w:cs="Arial"/>
          <w:lang w:val="es-ES"/>
        </w:rPr>
      </w:pPr>
      <w:r w:rsidRPr="00E43297">
        <w:rPr>
          <w:rFonts w:cs="Arial"/>
          <w:b/>
          <w:bCs/>
          <w:lang w:val="es-ES"/>
        </w:rPr>
        <w:t xml:space="preserve"> </w:t>
      </w:r>
      <w:r w:rsidR="000524F8" w:rsidRPr="00E43297">
        <w:rPr>
          <w:rFonts w:cs="Arial"/>
          <w:b/>
          <w:bCs/>
          <w:lang w:val="es-ES"/>
        </w:rPr>
        <w:t>Participación en la vida política y pública:</w:t>
      </w:r>
      <w:r w:rsidR="000524F8" w:rsidRPr="00E43297">
        <w:rPr>
          <w:rFonts w:cs="Arial"/>
          <w:lang w:val="es-ES"/>
        </w:rPr>
        <w:t xml:space="preserve"> La UE no ha adaptado la Ley Electoral de 1976 a la CDPD. Hay 14 Estados miembros en los que a las personas con discapacidad bajo tutela total o parcial se les niega el derecho a votar en las elecciones europeas (aproximadamente 400.000 personas). </w:t>
      </w:r>
      <w:r w:rsidR="00E43297" w:rsidRPr="00E43297">
        <w:rPr>
          <w:rFonts w:cs="Arial"/>
          <w:lang w:val="es-ES"/>
        </w:rPr>
        <w:t xml:space="preserve">En </w:t>
      </w:r>
      <w:r w:rsidR="000524F8" w:rsidRPr="00E43297">
        <w:rPr>
          <w:rFonts w:cs="Arial"/>
          <w:lang w:val="es-ES"/>
        </w:rPr>
        <w:t>7 Estados miembros, todas las personas con discapacidad tienen derecho a presentarse como candidat</w:t>
      </w:r>
      <w:r w:rsidR="00E43297" w:rsidRPr="00E43297">
        <w:rPr>
          <w:rFonts w:cs="Arial"/>
          <w:lang w:val="es-ES"/>
        </w:rPr>
        <w:t>a</w:t>
      </w:r>
      <w:r w:rsidR="000524F8" w:rsidRPr="00E43297">
        <w:rPr>
          <w:rFonts w:cs="Arial"/>
          <w:lang w:val="es-ES"/>
        </w:rPr>
        <w:t>s a las elecciones al Parlamento Europeo. Asimismo, much</w:t>
      </w:r>
      <w:r w:rsidR="00E43297" w:rsidRPr="00E43297">
        <w:rPr>
          <w:rFonts w:cs="Arial"/>
          <w:lang w:val="es-ES"/>
        </w:rPr>
        <w:t xml:space="preserve">as barreras de </w:t>
      </w:r>
      <w:r w:rsidR="000524F8" w:rsidRPr="00E43297">
        <w:rPr>
          <w:rFonts w:cs="Arial"/>
          <w:lang w:val="es-ES"/>
        </w:rPr>
        <w:t>accesibilidad impiden a millones de personas con discapacidad participar en las elecciones. Por último, ejercicios democráticos como la Conferencia sobre el Futuro de Europa son inaccesibles para las personas con discapacidad.</w:t>
      </w:r>
      <w:r w:rsidRPr="00E43297">
        <w:rPr>
          <w:rStyle w:val="FootnoteReference"/>
          <w:rFonts w:cs="Arial"/>
          <w:lang w:val="es-ES"/>
        </w:rPr>
        <w:footnoteReference w:id="7"/>
      </w:r>
    </w:p>
    <w:p w14:paraId="6BC55689" w14:textId="77777777" w:rsidR="0045117F" w:rsidRPr="00E43297" w:rsidRDefault="0045117F" w:rsidP="00E43297">
      <w:pPr>
        <w:pStyle w:val="ListParagraph"/>
        <w:jc w:val="both"/>
        <w:rPr>
          <w:rFonts w:cs="Arial"/>
          <w:b/>
          <w:bCs/>
          <w:lang w:val="es-ES"/>
        </w:rPr>
      </w:pPr>
    </w:p>
    <w:p w14:paraId="5555762A" w14:textId="1D3C06E8" w:rsidR="0045117F" w:rsidRPr="00E43297" w:rsidRDefault="0045117F" w:rsidP="00E43297">
      <w:pPr>
        <w:pStyle w:val="ListParagraph"/>
        <w:numPr>
          <w:ilvl w:val="0"/>
          <w:numId w:val="41"/>
        </w:numPr>
        <w:ind w:left="142" w:firstLine="218"/>
        <w:jc w:val="both"/>
        <w:rPr>
          <w:rFonts w:cs="Arial"/>
          <w:lang w:val="es-ES"/>
        </w:rPr>
      </w:pPr>
      <w:r w:rsidRPr="00E43297">
        <w:rPr>
          <w:rFonts w:cs="Arial"/>
          <w:b/>
          <w:bCs/>
          <w:lang w:val="es-ES"/>
        </w:rPr>
        <w:t xml:space="preserve"> </w:t>
      </w:r>
      <w:r w:rsidR="000524F8" w:rsidRPr="00E43297">
        <w:rPr>
          <w:rFonts w:cs="Arial"/>
          <w:b/>
          <w:bCs/>
          <w:lang w:val="es-ES"/>
        </w:rPr>
        <w:t>Recogida de datos:</w:t>
      </w:r>
      <w:r w:rsidR="000524F8" w:rsidRPr="00E43297">
        <w:rPr>
          <w:rFonts w:cs="Arial"/>
          <w:lang w:val="es-ES"/>
        </w:rPr>
        <w:t xml:space="preserve"> Se dispone de muy pocos datos fidedignos sobre las personas con discapacidad a nivel de la UE. Por ejemplo, no hay casi información sobre las personas con discapacidad </w:t>
      </w:r>
      <w:r w:rsidRPr="00E43297">
        <w:rPr>
          <w:rFonts w:cs="Arial"/>
          <w:lang w:val="es-ES"/>
        </w:rPr>
        <w:t>que viven en instituciones o centros</w:t>
      </w:r>
      <w:r w:rsidR="000524F8" w:rsidRPr="00E43297">
        <w:rPr>
          <w:rFonts w:cs="Arial"/>
          <w:lang w:val="es-ES"/>
        </w:rPr>
        <w:t xml:space="preserve">, las mujeres y las niñas con discapacidad, las personas LGTBIQ+ con discapacidad y las personas con discapacidad que pertenecen a minorías étnicas como la población romaní. Los datos tampoco están </w:t>
      </w:r>
      <w:r w:rsidR="00E43297" w:rsidRPr="00E43297">
        <w:rPr>
          <w:rFonts w:cs="Arial"/>
          <w:lang w:val="es-ES"/>
        </w:rPr>
        <w:t xml:space="preserve">categorizados por </w:t>
      </w:r>
      <w:r w:rsidR="000524F8" w:rsidRPr="00E43297">
        <w:rPr>
          <w:rFonts w:cs="Arial"/>
          <w:lang w:val="es-ES"/>
        </w:rPr>
        <w:t xml:space="preserve">diferentes tipos de </w:t>
      </w:r>
      <w:r w:rsidR="000524F8" w:rsidRPr="00E43297">
        <w:rPr>
          <w:rFonts w:cs="Arial"/>
          <w:lang w:val="es-ES"/>
        </w:rPr>
        <w:lastRenderedPageBreak/>
        <w:t xml:space="preserve">discapacidad, género y edad, y la recogida de datos y las encuestas pueden </w:t>
      </w:r>
      <w:r w:rsidR="00E43297" w:rsidRPr="00E43297">
        <w:rPr>
          <w:rFonts w:cs="Arial"/>
          <w:lang w:val="es-ES"/>
        </w:rPr>
        <w:t>resultar</w:t>
      </w:r>
      <w:r w:rsidR="000524F8" w:rsidRPr="00E43297">
        <w:rPr>
          <w:rFonts w:cs="Arial"/>
          <w:lang w:val="es-ES"/>
        </w:rPr>
        <w:t xml:space="preserve"> </w:t>
      </w:r>
      <w:r w:rsidR="00E43297" w:rsidRPr="00E43297">
        <w:rPr>
          <w:rFonts w:cs="Arial"/>
          <w:lang w:val="es-ES"/>
        </w:rPr>
        <w:t>in</w:t>
      </w:r>
      <w:r w:rsidR="000524F8" w:rsidRPr="00E43297">
        <w:rPr>
          <w:rFonts w:cs="Arial"/>
          <w:lang w:val="es-ES"/>
        </w:rPr>
        <w:t>accesibles para todas las personas con discapacidad. Por lo tanto, no es posible realizar una evaluación precisa de la situación de las personas con discapacidad en toda Europa (incluso, por ejemplo, en relación con la situación de emergencia).</w:t>
      </w:r>
    </w:p>
    <w:p w14:paraId="4AA31F6B" w14:textId="77777777" w:rsidR="0045117F" w:rsidRPr="00E43297" w:rsidRDefault="0045117F" w:rsidP="00E43297">
      <w:pPr>
        <w:pStyle w:val="ListParagraph"/>
        <w:jc w:val="both"/>
        <w:rPr>
          <w:rFonts w:cs="Arial"/>
          <w:b/>
          <w:bCs/>
          <w:lang w:val="es-ES"/>
        </w:rPr>
      </w:pPr>
    </w:p>
    <w:p w14:paraId="1B0DB200" w14:textId="77777777" w:rsidR="0045117F" w:rsidRPr="00E43297" w:rsidRDefault="0045117F" w:rsidP="00E43297">
      <w:pPr>
        <w:pStyle w:val="ListParagraph"/>
        <w:numPr>
          <w:ilvl w:val="0"/>
          <w:numId w:val="41"/>
        </w:numPr>
        <w:ind w:left="142" w:firstLine="218"/>
        <w:jc w:val="both"/>
        <w:rPr>
          <w:rFonts w:cs="Arial"/>
          <w:lang w:val="es-ES"/>
        </w:rPr>
      </w:pPr>
      <w:r w:rsidRPr="00E43297">
        <w:rPr>
          <w:rFonts w:cs="Arial"/>
          <w:b/>
          <w:bCs/>
          <w:lang w:val="es-ES"/>
        </w:rPr>
        <w:t xml:space="preserve"> </w:t>
      </w:r>
      <w:r w:rsidR="00EB4AF0" w:rsidRPr="00E43297">
        <w:rPr>
          <w:rFonts w:cs="Arial"/>
          <w:b/>
          <w:bCs/>
          <w:lang w:val="es-ES"/>
        </w:rPr>
        <w:t>La UE en el mundo</w:t>
      </w:r>
      <w:r w:rsidR="00EB4AF0" w:rsidRPr="00E43297">
        <w:rPr>
          <w:rFonts w:cs="Arial"/>
          <w:lang w:val="es-ES"/>
        </w:rPr>
        <w:t>: Aunque la UE es el mayor donante en el ámbito de la cooperación internacional, todavía no ha adoptado todas las medidas adecuadas para mejorar las políticas y programas de desarrollo de la UE que incluyan, de manera efectiva, la discapacidad. Las perspectivas y las voces de las personas con discapacidad no se incluyen en las políticas globales de la UE.</w:t>
      </w:r>
    </w:p>
    <w:p w14:paraId="777267D0" w14:textId="77777777" w:rsidR="0045117F" w:rsidRPr="00E43297" w:rsidRDefault="0045117F" w:rsidP="00E43297">
      <w:pPr>
        <w:pStyle w:val="ListParagraph"/>
        <w:jc w:val="both"/>
        <w:rPr>
          <w:rFonts w:cs="Arial"/>
          <w:b/>
          <w:bCs/>
          <w:lang w:val="es-ES"/>
        </w:rPr>
      </w:pPr>
    </w:p>
    <w:p w14:paraId="652856A7" w14:textId="4575B717" w:rsidR="00EB4AF0" w:rsidRPr="00E43297" w:rsidRDefault="0045117F" w:rsidP="00E43297">
      <w:pPr>
        <w:pStyle w:val="ListParagraph"/>
        <w:numPr>
          <w:ilvl w:val="0"/>
          <w:numId w:val="41"/>
        </w:numPr>
        <w:ind w:left="142" w:firstLine="218"/>
        <w:jc w:val="both"/>
        <w:rPr>
          <w:rFonts w:cs="Arial"/>
          <w:lang w:val="es-ES"/>
        </w:rPr>
      </w:pPr>
      <w:r w:rsidRPr="00E43297">
        <w:rPr>
          <w:rFonts w:cs="Arial"/>
          <w:b/>
          <w:bCs/>
          <w:lang w:val="es-ES"/>
        </w:rPr>
        <w:t xml:space="preserve"> </w:t>
      </w:r>
      <w:r w:rsidR="000524F8" w:rsidRPr="00E43297">
        <w:rPr>
          <w:rFonts w:cs="Arial"/>
          <w:b/>
          <w:bCs/>
          <w:lang w:val="es-ES"/>
        </w:rPr>
        <w:t>Implementación</w:t>
      </w:r>
      <w:r w:rsidR="00EB4AF0" w:rsidRPr="00E43297">
        <w:rPr>
          <w:rFonts w:cs="Arial"/>
          <w:b/>
          <w:bCs/>
          <w:lang w:val="es-ES"/>
        </w:rPr>
        <w:t xml:space="preserve"> y seguimiento de la CDPD:</w:t>
      </w:r>
      <w:r w:rsidR="00EB4AF0" w:rsidRPr="00E43297">
        <w:rPr>
          <w:rFonts w:cs="Arial"/>
          <w:lang w:val="es-ES"/>
        </w:rPr>
        <w:t xml:space="preserve"> La UE no ha creado una unidad para gestionar la CDPD, no ha designado puntos de contacto en todas las instituciones, agencias y organismos</w:t>
      </w:r>
      <w:r w:rsidR="00E43297" w:rsidRPr="00E43297">
        <w:rPr>
          <w:rFonts w:cs="Arial"/>
          <w:lang w:val="es-ES"/>
        </w:rPr>
        <w:t>;</w:t>
      </w:r>
      <w:r w:rsidR="000524F8" w:rsidRPr="00E43297">
        <w:rPr>
          <w:rFonts w:cs="Arial"/>
          <w:lang w:val="es-ES"/>
        </w:rPr>
        <w:t xml:space="preserve"> y tampoco</w:t>
      </w:r>
      <w:r w:rsidR="00EB4AF0" w:rsidRPr="00E43297">
        <w:rPr>
          <w:rFonts w:cs="Arial"/>
          <w:lang w:val="es-ES"/>
        </w:rPr>
        <w:t xml:space="preserve"> ha establecido un mecanismo interinstitucional para la coordinación de </w:t>
      </w:r>
      <w:r w:rsidR="000524F8" w:rsidRPr="00E43297">
        <w:rPr>
          <w:rFonts w:cs="Arial"/>
          <w:lang w:val="es-ES"/>
        </w:rPr>
        <w:t>la implementación</w:t>
      </w:r>
      <w:r w:rsidR="00EB4AF0" w:rsidRPr="00E43297">
        <w:rPr>
          <w:rFonts w:cs="Arial"/>
          <w:lang w:val="es-ES"/>
        </w:rPr>
        <w:t xml:space="preserve"> de la Convención entre la Comisión, el Parlamento y el Consejo.</w:t>
      </w:r>
    </w:p>
    <w:p w14:paraId="53825559" w14:textId="77777777" w:rsidR="00E43297" w:rsidRPr="00E43297" w:rsidRDefault="00E43297" w:rsidP="00E43297">
      <w:pPr>
        <w:pStyle w:val="ListParagraph"/>
        <w:jc w:val="both"/>
        <w:rPr>
          <w:rFonts w:cs="Arial"/>
          <w:lang w:val="es-ES"/>
        </w:rPr>
      </w:pPr>
    </w:p>
    <w:p w14:paraId="4FFDB7D5" w14:textId="77777777" w:rsidR="00E43297" w:rsidRPr="00E43297" w:rsidRDefault="00E43297" w:rsidP="00E43297">
      <w:pPr>
        <w:jc w:val="both"/>
        <w:rPr>
          <w:rFonts w:cs="Arial"/>
          <w:lang w:val="es-ES"/>
        </w:rPr>
      </w:pPr>
    </w:p>
    <w:p w14:paraId="3C06705A" w14:textId="18838313" w:rsidR="00EB4AF0" w:rsidRPr="00EB4AF0" w:rsidRDefault="000524F8" w:rsidP="00E43297">
      <w:pPr>
        <w:jc w:val="both"/>
        <w:rPr>
          <w:lang w:val="es-ES"/>
        </w:rPr>
      </w:pPr>
      <w:r w:rsidRPr="00E43297">
        <w:rPr>
          <w:rFonts w:cs="Arial"/>
          <w:lang w:val="es-ES"/>
        </w:rPr>
        <w:t>Para mayor información consulte el informe</w:t>
      </w:r>
      <w:r w:rsidR="00EB4AF0" w:rsidRPr="00E43297">
        <w:rPr>
          <w:rFonts w:cs="Arial"/>
          <w:lang w:val="es-ES"/>
        </w:rPr>
        <w:t xml:space="preserve"> alternativo disponible en inglés</w:t>
      </w:r>
      <w:r w:rsidR="00EB4AF0" w:rsidRPr="00EB4AF0">
        <w:rPr>
          <w:lang w:val="es-ES"/>
        </w:rPr>
        <w:t>.</w:t>
      </w:r>
    </w:p>
    <w:sectPr w:rsidR="00EB4AF0" w:rsidRPr="00EB4AF0">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63AB" w14:textId="77777777" w:rsidR="00976329" w:rsidRDefault="00976329" w:rsidP="00F62C0E">
      <w:pPr>
        <w:spacing w:after="0" w:line="240" w:lineRule="auto"/>
      </w:pPr>
      <w:r>
        <w:separator/>
      </w:r>
    </w:p>
  </w:endnote>
  <w:endnote w:type="continuationSeparator" w:id="0">
    <w:p w14:paraId="4175008D" w14:textId="77777777" w:rsidR="00976329" w:rsidRDefault="00976329" w:rsidP="00F6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NFQU P+ Interstate">
    <w:altName w:val="Calibri"/>
    <w:panose1 w:val="00000000000000000000"/>
    <w:charset w:val="00"/>
    <w:family w:val="swiss"/>
    <w:notTrueType/>
    <w:pitch w:val="default"/>
    <w:sig w:usb0="00000003" w:usb1="00000000" w:usb2="00000000" w:usb3="00000000" w:csb0="00000001" w:csb1="00000000"/>
  </w:font>
  <w:font w:name="Interstate Light">
    <w:altName w:val="Calibri"/>
    <w:panose1 w:val="00000000000000000000"/>
    <w:charset w:val="00"/>
    <w:family w:val="swiss"/>
    <w:notTrueType/>
    <w:pitch w:val="default"/>
    <w:sig w:usb0="00000003" w:usb1="00000000" w:usb2="00000000" w:usb3="00000000" w:csb0="00000001" w:csb1="00000000"/>
  </w:font>
  <w:font w:name="DaxlinePro">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XCAE V+ Interstate">
    <w:altName w:val="Calibri"/>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164877"/>
      <w:docPartObj>
        <w:docPartGallery w:val="Page Numbers (Bottom of Page)"/>
        <w:docPartUnique/>
      </w:docPartObj>
    </w:sdtPr>
    <w:sdtEndPr>
      <w:rPr>
        <w:noProof/>
      </w:rPr>
    </w:sdtEndPr>
    <w:sdtContent>
      <w:p w14:paraId="48BA5E3D" w14:textId="17194773" w:rsidR="00146AA7" w:rsidRDefault="00146AA7">
        <w:pPr>
          <w:pStyle w:val="Footer"/>
          <w:jc w:val="center"/>
        </w:pPr>
        <w:r>
          <w:fldChar w:fldCharType="begin"/>
        </w:r>
        <w:r>
          <w:instrText xml:space="preserve"> PAGE   \* MERGEFORMAT </w:instrText>
        </w:r>
        <w:r>
          <w:fldChar w:fldCharType="separate"/>
        </w:r>
        <w:r w:rsidR="00026BAE">
          <w:rPr>
            <w:noProof/>
          </w:rPr>
          <w:t>13</w:t>
        </w:r>
        <w:r>
          <w:rPr>
            <w:noProof/>
          </w:rPr>
          <w:fldChar w:fldCharType="end"/>
        </w:r>
      </w:p>
    </w:sdtContent>
  </w:sdt>
  <w:p w14:paraId="277A8CF3" w14:textId="4D36C1EC" w:rsidR="00146AA7" w:rsidRDefault="00146AA7" w:rsidP="009311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4BBC" w14:textId="77777777" w:rsidR="00976329" w:rsidRDefault="00976329" w:rsidP="00F62C0E">
      <w:pPr>
        <w:spacing w:after="0" w:line="240" w:lineRule="auto"/>
      </w:pPr>
      <w:r>
        <w:separator/>
      </w:r>
    </w:p>
  </w:footnote>
  <w:footnote w:type="continuationSeparator" w:id="0">
    <w:p w14:paraId="23EFAA4C" w14:textId="77777777" w:rsidR="00976329" w:rsidRDefault="00976329" w:rsidP="00F62C0E">
      <w:pPr>
        <w:spacing w:after="0" w:line="240" w:lineRule="auto"/>
      </w:pPr>
      <w:r>
        <w:continuationSeparator/>
      </w:r>
    </w:p>
  </w:footnote>
  <w:footnote w:id="1">
    <w:p w14:paraId="6AFD6FBC" w14:textId="5EE932A0" w:rsidR="00852B14" w:rsidRPr="0036692F" w:rsidRDefault="00976329">
      <w:pPr>
        <w:pStyle w:val="FootnoteText"/>
        <w:rPr>
          <w:lang w:val="es-ES"/>
        </w:rPr>
      </w:pPr>
      <w:hyperlink r:id="rId1" w:history="1">
        <w:r w:rsidR="00852B14" w:rsidRPr="0036692F">
          <w:rPr>
            <w:rStyle w:val="Hyperlink"/>
            <w:vertAlign w:val="superscript"/>
          </w:rPr>
          <w:footnoteRef/>
        </w:r>
        <w:r w:rsidR="00852B14" w:rsidRPr="0036692F">
          <w:rPr>
            <w:rStyle w:val="Hyperlink"/>
            <w:lang w:val="es-ES"/>
          </w:rPr>
          <w:t xml:space="preserve"> </w:t>
        </w:r>
        <w:r w:rsidR="0036692F" w:rsidRPr="0036692F">
          <w:rPr>
            <w:rStyle w:val="Hyperlink"/>
            <w:lang w:val="es-ES"/>
          </w:rPr>
          <w:t>Tratado de Marrakech para facilitar el acceso a las obras publicadas a las personas ciegas, con discapacidad visual o con otras dificultades para acceder al texto impreso</w:t>
        </w:r>
      </w:hyperlink>
    </w:p>
  </w:footnote>
  <w:footnote w:id="2">
    <w:p w14:paraId="17622DF5" w14:textId="77777777" w:rsidR="0036692F" w:rsidRPr="0036692F" w:rsidRDefault="002D2EAB" w:rsidP="0036692F">
      <w:pPr>
        <w:pStyle w:val="FootnoteText"/>
        <w:rPr>
          <w:lang w:val="es-ES"/>
        </w:rPr>
      </w:pPr>
      <w:hyperlink r:id="rId2" w:history="1">
        <w:r w:rsidR="0036692F" w:rsidRPr="0036692F">
          <w:rPr>
            <w:rStyle w:val="Hyperlink"/>
            <w:vertAlign w:val="superscript"/>
          </w:rPr>
          <w:footnoteRef/>
        </w:r>
        <w:r w:rsidR="0036692F" w:rsidRPr="0036692F">
          <w:rPr>
            <w:rStyle w:val="Hyperlink"/>
            <w:lang w:val="es-ES"/>
          </w:rPr>
          <w:t xml:space="preserve"> REGLAMENTO (UE) No 1300/2014 DE LA COMISIÓN de 18 de noviembre de 2014 sobre la especificación técnica de interoperabilidad relativa a la accesibilidad del sistema ferroviario de la Unión para las personas con discapacidad y las personas de movilidad reducida.</w:t>
        </w:r>
      </w:hyperlink>
    </w:p>
  </w:footnote>
  <w:footnote w:id="3">
    <w:p w14:paraId="2C89C3A2" w14:textId="77777777" w:rsidR="0036692F" w:rsidRPr="0036692F" w:rsidRDefault="0036692F" w:rsidP="0036692F">
      <w:pPr>
        <w:pStyle w:val="FootnoteText"/>
        <w:rPr>
          <w:lang w:val="es-ES"/>
        </w:rPr>
      </w:pPr>
      <w:r w:rsidRPr="0036692F">
        <w:rPr>
          <w:rStyle w:val="FootnoteReference"/>
        </w:rPr>
        <w:footnoteRef/>
      </w:r>
      <w:r w:rsidRPr="0036692F">
        <w:rPr>
          <w:lang w:val="es-ES"/>
        </w:rPr>
        <w:t xml:space="preserve"> </w:t>
      </w:r>
      <w:hyperlink r:id="rId3" w:history="1">
        <w:r w:rsidRPr="0036692F">
          <w:rPr>
            <w:rStyle w:val="Hyperlink"/>
            <w:color w:val="000000"/>
            <w:u w:val="none"/>
            <w:shd w:val="clear" w:color="auto" w:fill="FFFFFF"/>
            <w:lang w:val="es-ES"/>
          </w:rPr>
          <w:t>Directiva (UE) 2018/1808 del Parlamento Europeo y del Consejo, de 14 de noviembre de 2018, por la que se modifica la Directiva 2010/13/UE sobre la coordinación de determinadas disposiciones legales, reglamentarias y administrativas de los Estados miembros relativas a la prestación de servicios de comunicación audiovisual (Directiva de servicios de comunicación audiovisual), habida cuenta de la evolución de las realidades del mercado</w:t>
        </w:r>
      </w:hyperlink>
    </w:p>
  </w:footnote>
  <w:footnote w:id="4">
    <w:p w14:paraId="6519CEFF" w14:textId="1F724B01" w:rsidR="00033E02" w:rsidRPr="0089183F" w:rsidRDefault="00033E02">
      <w:pPr>
        <w:pStyle w:val="FootnoteText"/>
        <w:rPr>
          <w:lang w:val="es-ES"/>
        </w:rPr>
      </w:pPr>
      <w:r>
        <w:rPr>
          <w:rStyle w:val="FootnoteReference"/>
        </w:rPr>
        <w:footnoteRef/>
      </w:r>
      <w:r w:rsidRPr="0089183F">
        <w:rPr>
          <w:lang w:val="es-ES"/>
        </w:rPr>
        <w:t xml:space="preserve"> </w:t>
      </w:r>
      <w:r w:rsidR="0089183F" w:rsidRPr="0089183F">
        <w:rPr>
          <w:lang w:val="es-ES"/>
        </w:rPr>
        <w:t>Directiva de Accesibilidad a la Web, Código Europeo de las Comunicaciones Electrónicas, Directiva de servicios de comunicación audiovisual, Acta Europea de Accesibilidad.</w:t>
      </w:r>
    </w:p>
  </w:footnote>
  <w:footnote w:id="5">
    <w:p w14:paraId="02260F70" w14:textId="666415F8" w:rsidR="00FB2792" w:rsidRPr="0089183F" w:rsidRDefault="00FB2792">
      <w:pPr>
        <w:pStyle w:val="FootnoteText"/>
        <w:rPr>
          <w:b/>
          <w:bCs/>
          <w:lang w:val="es-ES"/>
        </w:rPr>
      </w:pPr>
      <w:r>
        <w:rPr>
          <w:rStyle w:val="FootnoteReference"/>
        </w:rPr>
        <w:footnoteRef/>
      </w:r>
      <w:r w:rsidRPr="0089183F">
        <w:rPr>
          <w:lang w:val="es-ES"/>
        </w:rPr>
        <w:t xml:space="preserve"> </w:t>
      </w:r>
      <w:r w:rsidR="0089183F" w:rsidRPr="0089183F">
        <w:rPr>
          <w:lang w:val="es-ES"/>
        </w:rPr>
        <w:t>Además, la accesibilidad en la UE suele entenderse como la accesibilidad</w:t>
      </w:r>
      <w:r w:rsidR="0089183F">
        <w:rPr>
          <w:lang w:val="es-ES"/>
        </w:rPr>
        <w:t xml:space="preserve"> de</w:t>
      </w:r>
      <w:r w:rsidR="0089183F" w:rsidRPr="0089183F">
        <w:rPr>
          <w:lang w:val="es-ES"/>
        </w:rPr>
        <w:t xml:space="preserve"> los entornos físicos y virtuales únicamente, lo que significa que a menudo no se aborda la accesibilidad de la información y la comunicación, especialmente en las lenguas de signos nacionales, en la UE. </w:t>
      </w:r>
      <w:r w:rsidR="0089183F" w:rsidRPr="0089183F">
        <w:rPr>
          <w:b/>
          <w:bCs/>
          <w:lang w:val="es-ES"/>
        </w:rPr>
        <w:t>Aunque todos los Estados miembros de la UE han reconocido sus lenguas de signos nacionales, la UE no reconoce las lenguas de signos nacionales como parte del multilingüismo de la UE y no promueve su uso.</w:t>
      </w:r>
    </w:p>
  </w:footnote>
  <w:footnote w:id="6">
    <w:p w14:paraId="512351E8" w14:textId="3A7025BA" w:rsidR="00EB4AF0" w:rsidRPr="00EB4AF0" w:rsidRDefault="002D2EAB">
      <w:pPr>
        <w:pStyle w:val="FootnoteText"/>
        <w:rPr>
          <w:lang w:val="es-ES"/>
        </w:rPr>
      </w:pPr>
      <w:hyperlink r:id="rId4" w:history="1">
        <w:r w:rsidR="00EB4AF0" w:rsidRPr="00EB4AF0">
          <w:rPr>
            <w:rStyle w:val="Hyperlink"/>
            <w:vertAlign w:val="superscript"/>
          </w:rPr>
          <w:footnoteRef/>
        </w:r>
        <w:r w:rsidR="00EB4AF0" w:rsidRPr="00EB4AF0">
          <w:rPr>
            <w:rStyle w:val="Hyperlink"/>
            <w:lang w:val="es-ES"/>
          </w:rPr>
          <w:t xml:space="preserve"> Convenio del Consejo de Europa para prevenir y combatir la violencia contra las mujeres y la violencia doméstica</w:t>
        </w:r>
      </w:hyperlink>
    </w:p>
  </w:footnote>
  <w:footnote w:id="7">
    <w:p w14:paraId="01343080" w14:textId="51A1B5A5" w:rsidR="0045117F" w:rsidRPr="0045117F" w:rsidRDefault="0045117F">
      <w:pPr>
        <w:pStyle w:val="FootnoteText"/>
        <w:rPr>
          <w:lang w:val="es-ES"/>
        </w:rPr>
      </w:pPr>
      <w:r>
        <w:rPr>
          <w:rStyle w:val="FootnoteReference"/>
        </w:rPr>
        <w:footnoteRef/>
      </w:r>
      <w:r w:rsidRPr="0045117F">
        <w:rPr>
          <w:lang w:val="es-ES"/>
        </w:rPr>
        <w:t xml:space="preserve"> EDF, </w:t>
      </w:r>
      <w:hyperlink r:id="rId5" w:history="1">
        <w:r w:rsidRPr="0045117F">
          <w:rPr>
            <w:rStyle w:val="Hyperlink"/>
            <w:lang w:val="es-ES"/>
          </w:rPr>
          <w:t>La plataforma de la Conferencia sobre el Futuro de Europa debe solucionar sus problemas de accesibilidad</w:t>
        </w:r>
      </w:hyperlink>
      <w:r w:rsidRPr="0045117F">
        <w:rPr>
          <w:lang w:val="es-ES"/>
        </w:rPr>
        <w:t xml:space="preserve"> (Sept</w:t>
      </w:r>
      <w:r>
        <w:rPr>
          <w:lang w:val="es-ES"/>
        </w:rPr>
        <w:t>iembre,</w:t>
      </w:r>
      <w:r w:rsidRPr="0045117F">
        <w:rPr>
          <w:lang w:val="es-ES"/>
        </w:rPr>
        <w:t xml:space="preserv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5654" w14:textId="60E05945" w:rsidR="00146AA7" w:rsidRDefault="0014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00000012"/>
    <w:lvl w:ilvl="0" w:tplc="FFFFFFFF">
      <w:start w:val="1"/>
      <w:numFmt w:val="bullet"/>
      <w:lvlText w:val=""/>
      <w:lvlJc w:val="left"/>
      <w:pPr>
        <w:tabs>
          <w:tab w:val="num" w:pos="720"/>
        </w:tabs>
        <w:ind w:left="720" w:hanging="360"/>
      </w:pPr>
      <w:rPr>
        <w:rFonts w:ascii="Symbol" w:eastAsia="Times New Roman" w:hAnsi="Symbol" w:cs="OpenSymbol"/>
      </w:rPr>
    </w:lvl>
    <w:lvl w:ilvl="1" w:tplc="FFFFFFFF">
      <w:start w:val="1"/>
      <w:numFmt w:val="bullet"/>
      <w:lvlText w:val="◦"/>
      <w:lvlJc w:val="left"/>
      <w:pPr>
        <w:tabs>
          <w:tab w:val="num" w:pos="1080"/>
        </w:tabs>
        <w:ind w:left="1080" w:hanging="360"/>
      </w:pPr>
      <w:rPr>
        <w:rFonts w:ascii="OpenSymbol" w:eastAsia="Times New Roman" w:hAnsi="OpenSymbol" w:cs="OpenSymbol"/>
      </w:rPr>
    </w:lvl>
    <w:lvl w:ilvl="2" w:tplc="FFFFFFFF">
      <w:start w:val="1"/>
      <w:numFmt w:val="bullet"/>
      <w:lvlText w:val="▪"/>
      <w:lvlJc w:val="left"/>
      <w:pPr>
        <w:tabs>
          <w:tab w:val="num" w:pos="1440"/>
        </w:tabs>
        <w:ind w:left="1440" w:hanging="360"/>
      </w:pPr>
      <w:rPr>
        <w:rFonts w:ascii="OpenSymbol" w:eastAsia="Times New Roman" w:hAnsi="OpenSymbol" w:cs="OpenSymbol"/>
      </w:rPr>
    </w:lvl>
    <w:lvl w:ilvl="3" w:tplc="FFFFFFFF">
      <w:start w:val="1"/>
      <w:numFmt w:val="bullet"/>
      <w:lvlText w:val=""/>
      <w:lvlJc w:val="left"/>
      <w:pPr>
        <w:tabs>
          <w:tab w:val="num" w:pos="1800"/>
        </w:tabs>
        <w:ind w:left="1800" w:hanging="360"/>
      </w:pPr>
      <w:rPr>
        <w:rFonts w:ascii="Symbol" w:eastAsia="Times New Roman" w:hAnsi="Symbol" w:cs="OpenSymbol"/>
      </w:rPr>
    </w:lvl>
    <w:lvl w:ilvl="4" w:tplc="FFFFFFFF">
      <w:start w:val="1"/>
      <w:numFmt w:val="bullet"/>
      <w:lvlText w:val="◦"/>
      <w:lvlJc w:val="left"/>
      <w:pPr>
        <w:tabs>
          <w:tab w:val="num" w:pos="2160"/>
        </w:tabs>
        <w:ind w:left="2160" w:hanging="360"/>
      </w:pPr>
      <w:rPr>
        <w:rFonts w:ascii="OpenSymbol" w:eastAsia="Times New Roman" w:hAnsi="OpenSymbol" w:cs="OpenSymbol"/>
      </w:rPr>
    </w:lvl>
    <w:lvl w:ilvl="5" w:tplc="FFFFFFFF">
      <w:start w:val="1"/>
      <w:numFmt w:val="bullet"/>
      <w:lvlText w:val="▪"/>
      <w:lvlJc w:val="left"/>
      <w:pPr>
        <w:tabs>
          <w:tab w:val="num" w:pos="2520"/>
        </w:tabs>
        <w:ind w:left="2520" w:hanging="360"/>
      </w:pPr>
      <w:rPr>
        <w:rFonts w:ascii="OpenSymbol" w:eastAsia="Times New Roman" w:hAnsi="OpenSymbol" w:cs="OpenSymbol"/>
      </w:rPr>
    </w:lvl>
    <w:lvl w:ilvl="6" w:tplc="FFFFFFFF">
      <w:start w:val="1"/>
      <w:numFmt w:val="bullet"/>
      <w:lvlText w:val=""/>
      <w:lvlJc w:val="left"/>
      <w:pPr>
        <w:tabs>
          <w:tab w:val="num" w:pos="2880"/>
        </w:tabs>
        <w:ind w:left="2880" w:hanging="360"/>
      </w:pPr>
      <w:rPr>
        <w:rFonts w:ascii="Symbol" w:eastAsia="Times New Roman" w:hAnsi="Symbol" w:cs="OpenSymbol"/>
      </w:rPr>
    </w:lvl>
    <w:lvl w:ilvl="7" w:tplc="FFFFFFFF">
      <w:start w:val="1"/>
      <w:numFmt w:val="bullet"/>
      <w:lvlText w:val="◦"/>
      <w:lvlJc w:val="left"/>
      <w:pPr>
        <w:tabs>
          <w:tab w:val="num" w:pos="3240"/>
        </w:tabs>
        <w:ind w:left="3240" w:hanging="360"/>
      </w:pPr>
      <w:rPr>
        <w:rFonts w:ascii="OpenSymbol" w:eastAsia="Times New Roman" w:hAnsi="OpenSymbol" w:cs="OpenSymbol"/>
      </w:rPr>
    </w:lvl>
    <w:lvl w:ilvl="8" w:tplc="FFFFFFFF">
      <w:start w:val="1"/>
      <w:numFmt w:val="bullet"/>
      <w:lvlText w:val="▪"/>
      <w:lvlJc w:val="left"/>
      <w:pPr>
        <w:tabs>
          <w:tab w:val="num" w:pos="3600"/>
        </w:tabs>
        <w:ind w:left="3600" w:hanging="360"/>
      </w:pPr>
      <w:rPr>
        <w:rFonts w:ascii="OpenSymbol" w:eastAsia="Times New Roman" w:hAnsi="OpenSymbol" w:cs="OpenSymbol"/>
      </w:rPr>
    </w:lvl>
  </w:abstractNum>
  <w:abstractNum w:abstractNumId="1" w15:restartNumberingAfterBreak="0">
    <w:nsid w:val="002B231E"/>
    <w:multiLevelType w:val="hybridMultilevel"/>
    <w:tmpl w:val="BE6E36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142135"/>
    <w:multiLevelType w:val="hybridMultilevel"/>
    <w:tmpl w:val="4164FE38"/>
    <w:lvl w:ilvl="0" w:tplc="7986792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BB7F35"/>
    <w:multiLevelType w:val="hybridMultilevel"/>
    <w:tmpl w:val="F738BA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E3F44B7"/>
    <w:multiLevelType w:val="hybridMultilevel"/>
    <w:tmpl w:val="06901FB8"/>
    <w:lvl w:ilvl="0" w:tplc="D818C0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9F209D"/>
    <w:multiLevelType w:val="hybridMultilevel"/>
    <w:tmpl w:val="A7641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B377B0"/>
    <w:multiLevelType w:val="hybridMultilevel"/>
    <w:tmpl w:val="FF340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8B5C53"/>
    <w:multiLevelType w:val="hybridMultilevel"/>
    <w:tmpl w:val="6CAA2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45315A"/>
    <w:multiLevelType w:val="hybridMultilevel"/>
    <w:tmpl w:val="C5E4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C67AD"/>
    <w:multiLevelType w:val="hybridMultilevel"/>
    <w:tmpl w:val="47CA8F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0C154A0"/>
    <w:multiLevelType w:val="hybridMultilevel"/>
    <w:tmpl w:val="867C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80401"/>
    <w:multiLevelType w:val="hybridMultilevel"/>
    <w:tmpl w:val="9E360F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C6E41D5"/>
    <w:multiLevelType w:val="hybridMultilevel"/>
    <w:tmpl w:val="715686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D5147B3"/>
    <w:multiLevelType w:val="hybridMultilevel"/>
    <w:tmpl w:val="AF66514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586F6F"/>
    <w:multiLevelType w:val="hybridMultilevel"/>
    <w:tmpl w:val="64744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73A6224"/>
    <w:multiLevelType w:val="hybridMultilevel"/>
    <w:tmpl w:val="4BAEB8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B7E1DC6"/>
    <w:multiLevelType w:val="hybridMultilevel"/>
    <w:tmpl w:val="1326FBFE"/>
    <w:lvl w:ilvl="0" w:tplc="F526590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C432523"/>
    <w:multiLevelType w:val="hybridMultilevel"/>
    <w:tmpl w:val="EE5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13D7F"/>
    <w:multiLevelType w:val="hybridMultilevel"/>
    <w:tmpl w:val="F8E2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3547D"/>
    <w:multiLevelType w:val="hybridMultilevel"/>
    <w:tmpl w:val="16A62B4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26853C9"/>
    <w:multiLevelType w:val="hybridMultilevel"/>
    <w:tmpl w:val="3D0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02D81"/>
    <w:multiLevelType w:val="hybridMultilevel"/>
    <w:tmpl w:val="C79637E6"/>
    <w:lvl w:ilvl="0" w:tplc="C0F2788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C854B47"/>
    <w:multiLevelType w:val="hybridMultilevel"/>
    <w:tmpl w:val="102CC432"/>
    <w:lvl w:ilvl="0" w:tplc="1A4E70F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E4919BC"/>
    <w:multiLevelType w:val="multilevel"/>
    <w:tmpl w:val="4E491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1727D9"/>
    <w:multiLevelType w:val="hybridMultilevel"/>
    <w:tmpl w:val="C6B0EE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7662A75"/>
    <w:multiLevelType w:val="hybridMultilevel"/>
    <w:tmpl w:val="ED80035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CC37D55"/>
    <w:multiLevelType w:val="hybridMultilevel"/>
    <w:tmpl w:val="DA0813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5D097181"/>
    <w:multiLevelType w:val="hybridMultilevel"/>
    <w:tmpl w:val="8A765772"/>
    <w:lvl w:ilvl="0" w:tplc="D444C998">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606845E1"/>
    <w:multiLevelType w:val="hybridMultilevel"/>
    <w:tmpl w:val="C63CA690"/>
    <w:lvl w:ilvl="0" w:tplc="F5BA62E8">
      <w:start w:val="1"/>
      <w:numFmt w:val="decimal"/>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A60F97"/>
    <w:multiLevelType w:val="hybridMultilevel"/>
    <w:tmpl w:val="A86221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62D42931"/>
    <w:multiLevelType w:val="hybridMultilevel"/>
    <w:tmpl w:val="056665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4235987"/>
    <w:multiLevelType w:val="hybridMultilevel"/>
    <w:tmpl w:val="C57484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66701D14"/>
    <w:multiLevelType w:val="hybridMultilevel"/>
    <w:tmpl w:val="9DEE5B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A755D26"/>
    <w:multiLevelType w:val="multilevel"/>
    <w:tmpl w:val="6A75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9D68A8"/>
    <w:multiLevelType w:val="hybridMultilevel"/>
    <w:tmpl w:val="9B3E4A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73C52D8D"/>
    <w:multiLevelType w:val="hybridMultilevel"/>
    <w:tmpl w:val="67F46A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5980D55"/>
    <w:multiLevelType w:val="hybridMultilevel"/>
    <w:tmpl w:val="5F8604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75B2206"/>
    <w:multiLevelType w:val="hybridMultilevel"/>
    <w:tmpl w:val="F3FE0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B0E1D40"/>
    <w:multiLevelType w:val="hybridMultilevel"/>
    <w:tmpl w:val="8F02E3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EC82382"/>
    <w:multiLevelType w:val="hybridMultilevel"/>
    <w:tmpl w:val="CC90509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num w:numId="1">
    <w:abstractNumId w:val="16"/>
  </w:num>
  <w:num w:numId="2">
    <w:abstractNumId w:val="12"/>
  </w:num>
  <w:num w:numId="3">
    <w:abstractNumId w:val="19"/>
  </w:num>
  <w:num w:numId="4">
    <w:abstractNumId w:val="31"/>
  </w:num>
  <w:num w:numId="5">
    <w:abstractNumId w:val="24"/>
  </w:num>
  <w:num w:numId="6">
    <w:abstractNumId w:val="25"/>
  </w:num>
  <w:num w:numId="7">
    <w:abstractNumId w:val="15"/>
  </w:num>
  <w:num w:numId="8">
    <w:abstractNumId w:val="9"/>
  </w:num>
  <w:num w:numId="9">
    <w:abstractNumId w:val="30"/>
  </w:num>
  <w:num w:numId="10">
    <w:abstractNumId w:val="34"/>
  </w:num>
  <w:num w:numId="11">
    <w:abstractNumId w:val="29"/>
  </w:num>
  <w:num w:numId="12">
    <w:abstractNumId w:val="3"/>
  </w:num>
  <w:num w:numId="13">
    <w:abstractNumId w:val="23"/>
  </w:num>
  <w:num w:numId="14">
    <w:abstractNumId w:val="33"/>
  </w:num>
  <w:num w:numId="15">
    <w:abstractNumId w:val="37"/>
  </w:num>
  <w:num w:numId="16">
    <w:abstractNumId w:val="18"/>
  </w:num>
  <w:num w:numId="17">
    <w:abstractNumId w:val="8"/>
  </w:num>
  <w:num w:numId="18">
    <w:abstractNumId w:val="2"/>
  </w:num>
  <w:num w:numId="19">
    <w:abstractNumId w:val="11"/>
  </w:num>
  <w:num w:numId="20">
    <w:abstractNumId w:val="26"/>
  </w:num>
  <w:num w:numId="21">
    <w:abstractNumId w:val="35"/>
  </w:num>
  <w:num w:numId="22">
    <w:abstractNumId w:val="38"/>
  </w:num>
  <w:num w:numId="23">
    <w:abstractNumId w:val="0"/>
  </w:num>
  <w:num w:numId="24">
    <w:abstractNumId w:val="36"/>
  </w:num>
  <w:num w:numId="25">
    <w:abstractNumId w:val="10"/>
  </w:num>
  <w:num w:numId="26">
    <w:abstractNumId w:val="4"/>
  </w:num>
  <w:num w:numId="27">
    <w:abstractNumId w:val="4"/>
  </w:num>
  <w:num w:numId="28">
    <w:abstractNumId w:val="20"/>
  </w:num>
  <w:num w:numId="29">
    <w:abstractNumId w:val="17"/>
  </w:num>
  <w:num w:numId="30">
    <w:abstractNumId w:val="32"/>
  </w:num>
  <w:num w:numId="31">
    <w:abstractNumId w:val="39"/>
  </w:num>
  <w:num w:numId="32">
    <w:abstractNumId w:val="21"/>
  </w:num>
  <w:num w:numId="33">
    <w:abstractNumId w:val="13"/>
  </w:num>
  <w:num w:numId="34">
    <w:abstractNumId w:val="27"/>
  </w:num>
  <w:num w:numId="35">
    <w:abstractNumId w:val="6"/>
  </w:num>
  <w:num w:numId="36">
    <w:abstractNumId w:val="7"/>
  </w:num>
  <w:num w:numId="37">
    <w:abstractNumId w:val="5"/>
  </w:num>
  <w:num w:numId="38">
    <w:abstractNumId w:val="14"/>
  </w:num>
  <w:num w:numId="39">
    <w:abstractNumId w:val="22"/>
  </w:num>
  <w:num w:numId="40">
    <w:abstractNumId w:val="1"/>
  </w:num>
  <w:num w:numId="4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6E9DE8-D376-4731-92C6-63C6D7124BE8}"/>
    <w:docVar w:name="dgnword-eventsink" w:val="446208128"/>
    <w:docVar w:name="dgnword-lastRevisionsView" w:val="0"/>
  </w:docVars>
  <w:rsids>
    <w:rsidRoot w:val="00567949"/>
    <w:rsid w:val="00000B75"/>
    <w:rsid w:val="000015CA"/>
    <w:rsid w:val="00001680"/>
    <w:rsid w:val="000023A1"/>
    <w:rsid w:val="000025B5"/>
    <w:rsid w:val="00002675"/>
    <w:rsid w:val="00002945"/>
    <w:rsid w:val="00002B03"/>
    <w:rsid w:val="00002DAC"/>
    <w:rsid w:val="000031D4"/>
    <w:rsid w:val="00004199"/>
    <w:rsid w:val="00004E38"/>
    <w:rsid w:val="00005ACA"/>
    <w:rsid w:val="00010CE1"/>
    <w:rsid w:val="00011AB8"/>
    <w:rsid w:val="00013322"/>
    <w:rsid w:val="000138F5"/>
    <w:rsid w:val="00013D87"/>
    <w:rsid w:val="000145B3"/>
    <w:rsid w:val="0001528E"/>
    <w:rsid w:val="00015E7D"/>
    <w:rsid w:val="00016311"/>
    <w:rsid w:val="000163B6"/>
    <w:rsid w:val="00017E2F"/>
    <w:rsid w:val="000215F2"/>
    <w:rsid w:val="0002253B"/>
    <w:rsid w:val="00022B43"/>
    <w:rsid w:val="00023CDA"/>
    <w:rsid w:val="00024A52"/>
    <w:rsid w:val="00025BDC"/>
    <w:rsid w:val="0002644F"/>
    <w:rsid w:val="0002661A"/>
    <w:rsid w:val="000269AF"/>
    <w:rsid w:val="00026BAE"/>
    <w:rsid w:val="00026CA5"/>
    <w:rsid w:val="00027174"/>
    <w:rsid w:val="00027D68"/>
    <w:rsid w:val="00030123"/>
    <w:rsid w:val="000302B6"/>
    <w:rsid w:val="00030873"/>
    <w:rsid w:val="00030E5E"/>
    <w:rsid w:val="00031197"/>
    <w:rsid w:val="00032D70"/>
    <w:rsid w:val="000334B0"/>
    <w:rsid w:val="00033B69"/>
    <w:rsid w:val="00033B8D"/>
    <w:rsid w:val="00033E02"/>
    <w:rsid w:val="00034757"/>
    <w:rsid w:val="00034845"/>
    <w:rsid w:val="00034A5B"/>
    <w:rsid w:val="00034A8E"/>
    <w:rsid w:val="00037476"/>
    <w:rsid w:val="0003766F"/>
    <w:rsid w:val="00040332"/>
    <w:rsid w:val="000404B9"/>
    <w:rsid w:val="00042E6C"/>
    <w:rsid w:val="00043C6D"/>
    <w:rsid w:val="00043FEC"/>
    <w:rsid w:val="00044342"/>
    <w:rsid w:val="00044878"/>
    <w:rsid w:val="00044901"/>
    <w:rsid w:val="00044BF2"/>
    <w:rsid w:val="000451B7"/>
    <w:rsid w:val="000500E0"/>
    <w:rsid w:val="00050932"/>
    <w:rsid w:val="0005093E"/>
    <w:rsid w:val="00051709"/>
    <w:rsid w:val="000524F8"/>
    <w:rsid w:val="0005355D"/>
    <w:rsid w:val="00053BF4"/>
    <w:rsid w:val="00055820"/>
    <w:rsid w:val="00056396"/>
    <w:rsid w:val="000568A1"/>
    <w:rsid w:val="00057530"/>
    <w:rsid w:val="000578E8"/>
    <w:rsid w:val="00057EEF"/>
    <w:rsid w:val="00057F21"/>
    <w:rsid w:val="00060A08"/>
    <w:rsid w:val="00060B9B"/>
    <w:rsid w:val="00060EA6"/>
    <w:rsid w:val="00061A9F"/>
    <w:rsid w:val="0006276B"/>
    <w:rsid w:val="00062ABA"/>
    <w:rsid w:val="00064506"/>
    <w:rsid w:val="000654B5"/>
    <w:rsid w:val="00067B6B"/>
    <w:rsid w:val="00067FC7"/>
    <w:rsid w:val="0007074B"/>
    <w:rsid w:val="00072308"/>
    <w:rsid w:val="00073FF1"/>
    <w:rsid w:val="000744C2"/>
    <w:rsid w:val="000752EA"/>
    <w:rsid w:val="0007596D"/>
    <w:rsid w:val="00076FC5"/>
    <w:rsid w:val="0008127E"/>
    <w:rsid w:val="000818B4"/>
    <w:rsid w:val="00082FE6"/>
    <w:rsid w:val="00083FB2"/>
    <w:rsid w:val="00084F13"/>
    <w:rsid w:val="00085748"/>
    <w:rsid w:val="0008583C"/>
    <w:rsid w:val="00085FE6"/>
    <w:rsid w:val="00086F67"/>
    <w:rsid w:val="00087204"/>
    <w:rsid w:val="000920B0"/>
    <w:rsid w:val="0009288C"/>
    <w:rsid w:val="00093E47"/>
    <w:rsid w:val="00095DEB"/>
    <w:rsid w:val="0009666C"/>
    <w:rsid w:val="00096D45"/>
    <w:rsid w:val="00097714"/>
    <w:rsid w:val="000A0572"/>
    <w:rsid w:val="000A1ECE"/>
    <w:rsid w:val="000A32C6"/>
    <w:rsid w:val="000A3F6F"/>
    <w:rsid w:val="000A4B4C"/>
    <w:rsid w:val="000A526A"/>
    <w:rsid w:val="000A52B3"/>
    <w:rsid w:val="000A5DF9"/>
    <w:rsid w:val="000A6EBB"/>
    <w:rsid w:val="000B11BD"/>
    <w:rsid w:val="000B3DF2"/>
    <w:rsid w:val="000B4993"/>
    <w:rsid w:val="000C0E9F"/>
    <w:rsid w:val="000C32B1"/>
    <w:rsid w:val="000C4DB2"/>
    <w:rsid w:val="000C5D90"/>
    <w:rsid w:val="000C5F96"/>
    <w:rsid w:val="000D03B7"/>
    <w:rsid w:val="000D2407"/>
    <w:rsid w:val="000D60FF"/>
    <w:rsid w:val="000D6B59"/>
    <w:rsid w:val="000D7206"/>
    <w:rsid w:val="000D75A0"/>
    <w:rsid w:val="000D768A"/>
    <w:rsid w:val="000D7E48"/>
    <w:rsid w:val="000E0B51"/>
    <w:rsid w:val="000E1DFB"/>
    <w:rsid w:val="000E247B"/>
    <w:rsid w:val="000E5A74"/>
    <w:rsid w:val="000E5CD1"/>
    <w:rsid w:val="000E7F72"/>
    <w:rsid w:val="000F0BA9"/>
    <w:rsid w:val="000F0DAA"/>
    <w:rsid w:val="000F17EB"/>
    <w:rsid w:val="000F227C"/>
    <w:rsid w:val="000F3BF6"/>
    <w:rsid w:val="000F3C1D"/>
    <w:rsid w:val="000F60FE"/>
    <w:rsid w:val="00100420"/>
    <w:rsid w:val="0010053A"/>
    <w:rsid w:val="00100800"/>
    <w:rsid w:val="001016A6"/>
    <w:rsid w:val="001018FF"/>
    <w:rsid w:val="00101A71"/>
    <w:rsid w:val="00101D84"/>
    <w:rsid w:val="00102E10"/>
    <w:rsid w:val="0010321B"/>
    <w:rsid w:val="00103F8C"/>
    <w:rsid w:val="00110800"/>
    <w:rsid w:val="001123C1"/>
    <w:rsid w:val="00112434"/>
    <w:rsid w:val="00112AD4"/>
    <w:rsid w:val="00112FED"/>
    <w:rsid w:val="00113D47"/>
    <w:rsid w:val="00113FA8"/>
    <w:rsid w:val="0011431E"/>
    <w:rsid w:val="00117E3A"/>
    <w:rsid w:val="00120B9D"/>
    <w:rsid w:val="00120D6C"/>
    <w:rsid w:val="00120FA7"/>
    <w:rsid w:val="00121D16"/>
    <w:rsid w:val="001235D7"/>
    <w:rsid w:val="00125393"/>
    <w:rsid w:val="0012540A"/>
    <w:rsid w:val="001255DD"/>
    <w:rsid w:val="00130573"/>
    <w:rsid w:val="0013084A"/>
    <w:rsid w:val="001309BE"/>
    <w:rsid w:val="001309D5"/>
    <w:rsid w:val="0013198C"/>
    <w:rsid w:val="00132624"/>
    <w:rsid w:val="00136C55"/>
    <w:rsid w:val="001374C4"/>
    <w:rsid w:val="00137E92"/>
    <w:rsid w:val="001432A6"/>
    <w:rsid w:val="00145CB1"/>
    <w:rsid w:val="00146AA7"/>
    <w:rsid w:val="00147507"/>
    <w:rsid w:val="001506B0"/>
    <w:rsid w:val="00150AE1"/>
    <w:rsid w:val="00150C8A"/>
    <w:rsid w:val="00151909"/>
    <w:rsid w:val="00152FBA"/>
    <w:rsid w:val="001530DA"/>
    <w:rsid w:val="00153BD4"/>
    <w:rsid w:val="001543A4"/>
    <w:rsid w:val="00154A53"/>
    <w:rsid w:val="001556D5"/>
    <w:rsid w:val="001570FB"/>
    <w:rsid w:val="00157572"/>
    <w:rsid w:val="001578F5"/>
    <w:rsid w:val="00157E08"/>
    <w:rsid w:val="00160B35"/>
    <w:rsid w:val="00162FC7"/>
    <w:rsid w:val="00162FD1"/>
    <w:rsid w:val="00163232"/>
    <w:rsid w:val="001638D6"/>
    <w:rsid w:val="0016399F"/>
    <w:rsid w:val="001655D4"/>
    <w:rsid w:val="00166E67"/>
    <w:rsid w:val="00167A73"/>
    <w:rsid w:val="00167C27"/>
    <w:rsid w:val="0017008D"/>
    <w:rsid w:val="001712FA"/>
    <w:rsid w:val="0017185E"/>
    <w:rsid w:val="00171B07"/>
    <w:rsid w:val="0017396F"/>
    <w:rsid w:val="0017435D"/>
    <w:rsid w:val="00174823"/>
    <w:rsid w:val="001754D3"/>
    <w:rsid w:val="001755AE"/>
    <w:rsid w:val="001756F8"/>
    <w:rsid w:val="00176D03"/>
    <w:rsid w:val="001802CE"/>
    <w:rsid w:val="00180BF7"/>
    <w:rsid w:val="00182822"/>
    <w:rsid w:val="001843A6"/>
    <w:rsid w:val="0018464F"/>
    <w:rsid w:val="00185AE4"/>
    <w:rsid w:val="00185CFC"/>
    <w:rsid w:val="001909D7"/>
    <w:rsid w:val="00190F1C"/>
    <w:rsid w:val="001917A0"/>
    <w:rsid w:val="001948E6"/>
    <w:rsid w:val="00194B7A"/>
    <w:rsid w:val="00195931"/>
    <w:rsid w:val="00195F18"/>
    <w:rsid w:val="001962A0"/>
    <w:rsid w:val="00197080"/>
    <w:rsid w:val="001972AF"/>
    <w:rsid w:val="001977BA"/>
    <w:rsid w:val="00197B33"/>
    <w:rsid w:val="00197F54"/>
    <w:rsid w:val="001A1261"/>
    <w:rsid w:val="001A16C7"/>
    <w:rsid w:val="001A203F"/>
    <w:rsid w:val="001A21EF"/>
    <w:rsid w:val="001A2C7C"/>
    <w:rsid w:val="001A30A3"/>
    <w:rsid w:val="001A3ED1"/>
    <w:rsid w:val="001A503A"/>
    <w:rsid w:val="001A50EC"/>
    <w:rsid w:val="001A5F60"/>
    <w:rsid w:val="001A7F00"/>
    <w:rsid w:val="001B19A5"/>
    <w:rsid w:val="001B1E3E"/>
    <w:rsid w:val="001B1E73"/>
    <w:rsid w:val="001B2A22"/>
    <w:rsid w:val="001B2A45"/>
    <w:rsid w:val="001B392A"/>
    <w:rsid w:val="001B3DBE"/>
    <w:rsid w:val="001B4915"/>
    <w:rsid w:val="001B647D"/>
    <w:rsid w:val="001B6561"/>
    <w:rsid w:val="001B7DD6"/>
    <w:rsid w:val="001C0323"/>
    <w:rsid w:val="001C0A83"/>
    <w:rsid w:val="001C1365"/>
    <w:rsid w:val="001C13C8"/>
    <w:rsid w:val="001C3C40"/>
    <w:rsid w:val="001C6BBB"/>
    <w:rsid w:val="001D1031"/>
    <w:rsid w:val="001D1114"/>
    <w:rsid w:val="001D13D6"/>
    <w:rsid w:val="001D30C9"/>
    <w:rsid w:val="001D545E"/>
    <w:rsid w:val="001D6372"/>
    <w:rsid w:val="001D7FA6"/>
    <w:rsid w:val="001E028F"/>
    <w:rsid w:val="001E03F6"/>
    <w:rsid w:val="001E0FEF"/>
    <w:rsid w:val="001E2262"/>
    <w:rsid w:val="001E28E4"/>
    <w:rsid w:val="001E3689"/>
    <w:rsid w:val="001E3699"/>
    <w:rsid w:val="001E3BAD"/>
    <w:rsid w:val="001E3D2C"/>
    <w:rsid w:val="001E3E60"/>
    <w:rsid w:val="001E531B"/>
    <w:rsid w:val="001E536E"/>
    <w:rsid w:val="001E5B7A"/>
    <w:rsid w:val="001E5F1E"/>
    <w:rsid w:val="001E6BBE"/>
    <w:rsid w:val="001E724D"/>
    <w:rsid w:val="001E7801"/>
    <w:rsid w:val="001E7C62"/>
    <w:rsid w:val="001F0930"/>
    <w:rsid w:val="001F10F2"/>
    <w:rsid w:val="001F2D34"/>
    <w:rsid w:val="001F3686"/>
    <w:rsid w:val="001F43D0"/>
    <w:rsid w:val="001F4D94"/>
    <w:rsid w:val="001F53CB"/>
    <w:rsid w:val="001F56C7"/>
    <w:rsid w:val="001F7DE7"/>
    <w:rsid w:val="001F7FEA"/>
    <w:rsid w:val="00200263"/>
    <w:rsid w:val="0020051B"/>
    <w:rsid w:val="00202FB8"/>
    <w:rsid w:val="002030C1"/>
    <w:rsid w:val="0020377A"/>
    <w:rsid w:val="0020480E"/>
    <w:rsid w:val="00206713"/>
    <w:rsid w:val="00206B75"/>
    <w:rsid w:val="00207A7D"/>
    <w:rsid w:val="00207E0E"/>
    <w:rsid w:val="002101F3"/>
    <w:rsid w:val="00210D2B"/>
    <w:rsid w:val="00211290"/>
    <w:rsid w:val="002112C3"/>
    <w:rsid w:val="002158F8"/>
    <w:rsid w:val="00215CF8"/>
    <w:rsid w:val="00216C84"/>
    <w:rsid w:val="00217486"/>
    <w:rsid w:val="00221020"/>
    <w:rsid w:val="00221D63"/>
    <w:rsid w:val="0022250B"/>
    <w:rsid w:val="00222576"/>
    <w:rsid w:val="002233D3"/>
    <w:rsid w:val="00223EA8"/>
    <w:rsid w:val="002243E5"/>
    <w:rsid w:val="00225891"/>
    <w:rsid w:val="00225959"/>
    <w:rsid w:val="00225E5A"/>
    <w:rsid w:val="00226DF5"/>
    <w:rsid w:val="00226F49"/>
    <w:rsid w:val="00230186"/>
    <w:rsid w:val="002303E7"/>
    <w:rsid w:val="00230AA4"/>
    <w:rsid w:val="00232B7B"/>
    <w:rsid w:val="0023331D"/>
    <w:rsid w:val="00234885"/>
    <w:rsid w:val="00235191"/>
    <w:rsid w:val="002359F0"/>
    <w:rsid w:val="00235EFE"/>
    <w:rsid w:val="002407C5"/>
    <w:rsid w:val="00240CE0"/>
    <w:rsid w:val="00242814"/>
    <w:rsid w:val="002437B9"/>
    <w:rsid w:val="00243F96"/>
    <w:rsid w:val="0024409B"/>
    <w:rsid w:val="0024435C"/>
    <w:rsid w:val="00245982"/>
    <w:rsid w:val="00245BF0"/>
    <w:rsid w:val="00245C2E"/>
    <w:rsid w:val="0024649C"/>
    <w:rsid w:val="0024659E"/>
    <w:rsid w:val="00246A61"/>
    <w:rsid w:val="00246A76"/>
    <w:rsid w:val="002504F4"/>
    <w:rsid w:val="00250B0E"/>
    <w:rsid w:val="00250EC3"/>
    <w:rsid w:val="002511A0"/>
    <w:rsid w:val="0025295F"/>
    <w:rsid w:val="00252B72"/>
    <w:rsid w:val="002533AD"/>
    <w:rsid w:val="002544E0"/>
    <w:rsid w:val="00255820"/>
    <w:rsid w:val="00256BB0"/>
    <w:rsid w:val="00262918"/>
    <w:rsid w:val="00263731"/>
    <w:rsid w:val="00267260"/>
    <w:rsid w:val="0027169B"/>
    <w:rsid w:val="00273334"/>
    <w:rsid w:val="00273712"/>
    <w:rsid w:val="00274905"/>
    <w:rsid w:val="00274E61"/>
    <w:rsid w:val="00276037"/>
    <w:rsid w:val="00276DD8"/>
    <w:rsid w:val="0027774A"/>
    <w:rsid w:val="00277F32"/>
    <w:rsid w:val="00280718"/>
    <w:rsid w:val="00280CD6"/>
    <w:rsid w:val="00281A34"/>
    <w:rsid w:val="00282941"/>
    <w:rsid w:val="00282AAB"/>
    <w:rsid w:val="002833D3"/>
    <w:rsid w:val="00283989"/>
    <w:rsid w:val="00284A9A"/>
    <w:rsid w:val="002860C4"/>
    <w:rsid w:val="002863B1"/>
    <w:rsid w:val="00286B02"/>
    <w:rsid w:val="00286D39"/>
    <w:rsid w:val="00287942"/>
    <w:rsid w:val="00291245"/>
    <w:rsid w:val="0029240A"/>
    <w:rsid w:val="0029258D"/>
    <w:rsid w:val="002932AE"/>
    <w:rsid w:val="002933B2"/>
    <w:rsid w:val="00294D2F"/>
    <w:rsid w:val="00295AA8"/>
    <w:rsid w:val="00295DA7"/>
    <w:rsid w:val="0029732C"/>
    <w:rsid w:val="002A0AF4"/>
    <w:rsid w:val="002A0B93"/>
    <w:rsid w:val="002A1873"/>
    <w:rsid w:val="002A1D7D"/>
    <w:rsid w:val="002A2945"/>
    <w:rsid w:val="002A402E"/>
    <w:rsid w:val="002A426B"/>
    <w:rsid w:val="002A439C"/>
    <w:rsid w:val="002A49A7"/>
    <w:rsid w:val="002A61AE"/>
    <w:rsid w:val="002A6426"/>
    <w:rsid w:val="002A67F3"/>
    <w:rsid w:val="002A6FEB"/>
    <w:rsid w:val="002B2AAA"/>
    <w:rsid w:val="002B59AC"/>
    <w:rsid w:val="002B6BFD"/>
    <w:rsid w:val="002B6FCA"/>
    <w:rsid w:val="002B7269"/>
    <w:rsid w:val="002B7CC1"/>
    <w:rsid w:val="002B7EAE"/>
    <w:rsid w:val="002C1956"/>
    <w:rsid w:val="002C1CAB"/>
    <w:rsid w:val="002C2127"/>
    <w:rsid w:val="002C22E1"/>
    <w:rsid w:val="002C3FFC"/>
    <w:rsid w:val="002C4810"/>
    <w:rsid w:val="002C4D0C"/>
    <w:rsid w:val="002C536A"/>
    <w:rsid w:val="002C6318"/>
    <w:rsid w:val="002C74B5"/>
    <w:rsid w:val="002C7723"/>
    <w:rsid w:val="002D0BE4"/>
    <w:rsid w:val="002D0C14"/>
    <w:rsid w:val="002D0C67"/>
    <w:rsid w:val="002D1B2E"/>
    <w:rsid w:val="002D1FC7"/>
    <w:rsid w:val="002D2EAB"/>
    <w:rsid w:val="002D3A9F"/>
    <w:rsid w:val="002D4276"/>
    <w:rsid w:val="002D5AEF"/>
    <w:rsid w:val="002D72A6"/>
    <w:rsid w:val="002E0680"/>
    <w:rsid w:val="002E171A"/>
    <w:rsid w:val="002E2D4E"/>
    <w:rsid w:val="002E5BD3"/>
    <w:rsid w:val="002E5C24"/>
    <w:rsid w:val="002E60DD"/>
    <w:rsid w:val="002F0421"/>
    <w:rsid w:val="002F1CBB"/>
    <w:rsid w:val="002F31D2"/>
    <w:rsid w:val="002F5967"/>
    <w:rsid w:val="002F642C"/>
    <w:rsid w:val="002F79F3"/>
    <w:rsid w:val="002F7D07"/>
    <w:rsid w:val="002F7F47"/>
    <w:rsid w:val="0030336C"/>
    <w:rsid w:val="00303E34"/>
    <w:rsid w:val="00305087"/>
    <w:rsid w:val="00305878"/>
    <w:rsid w:val="00305EA4"/>
    <w:rsid w:val="003060BE"/>
    <w:rsid w:val="00306327"/>
    <w:rsid w:val="003065AE"/>
    <w:rsid w:val="00307DCA"/>
    <w:rsid w:val="00311065"/>
    <w:rsid w:val="0031368B"/>
    <w:rsid w:val="00313FBE"/>
    <w:rsid w:val="00314048"/>
    <w:rsid w:val="00315C18"/>
    <w:rsid w:val="00315D65"/>
    <w:rsid w:val="00316774"/>
    <w:rsid w:val="0031724E"/>
    <w:rsid w:val="00320B88"/>
    <w:rsid w:val="00321322"/>
    <w:rsid w:val="00321883"/>
    <w:rsid w:val="003237FC"/>
    <w:rsid w:val="00323EC0"/>
    <w:rsid w:val="00324609"/>
    <w:rsid w:val="0032592C"/>
    <w:rsid w:val="00325EA5"/>
    <w:rsid w:val="00331C6F"/>
    <w:rsid w:val="00331E1B"/>
    <w:rsid w:val="00332CC8"/>
    <w:rsid w:val="00333424"/>
    <w:rsid w:val="00333A70"/>
    <w:rsid w:val="00333B26"/>
    <w:rsid w:val="00333D93"/>
    <w:rsid w:val="0033409E"/>
    <w:rsid w:val="00334738"/>
    <w:rsid w:val="00334A57"/>
    <w:rsid w:val="003365C4"/>
    <w:rsid w:val="00336B2D"/>
    <w:rsid w:val="00336C49"/>
    <w:rsid w:val="0033773F"/>
    <w:rsid w:val="00337A83"/>
    <w:rsid w:val="00341385"/>
    <w:rsid w:val="00342EA0"/>
    <w:rsid w:val="00342ED8"/>
    <w:rsid w:val="00344043"/>
    <w:rsid w:val="00344077"/>
    <w:rsid w:val="003444EA"/>
    <w:rsid w:val="00344AFB"/>
    <w:rsid w:val="00346681"/>
    <w:rsid w:val="00347AA5"/>
    <w:rsid w:val="00347AAD"/>
    <w:rsid w:val="00347E26"/>
    <w:rsid w:val="0035005E"/>
    <w:rsid w:val="00350762"/>
    <w:rsid w:val="0035095E"/>
    <w:rsid w:val="00351CAA"/>
    <w:rsid w:val="00352828"/>
    <w:rsid w:val="00352FD7"/>
    <w:rsid w:val="0035378F"/>
    <w:rsid w:val="00353987"/>
    <w:rsid w:val="003539F3"/>
    <w:rsid w:val="00353C9F"/>
    <w:rsid w:val="00354F55"/>
    <w:rsid w:val="0035546D"/>
    <w:rsid w:val="00355BF2"/>
    <w:rsid w:val="00356109"/>
    <w:rsid w:val="003564FC"/>
    <w:rsid w:val="00356825"/>
    <w:rsid w:val="00360FA1"/>
    <w:rsid w:val="003615B0"/>
    <w:rsid w:val="0036160E"/>
    <w:rsid w:val="00362BEA"/>
    <w:rsid w:val="00364792"/>
    <w:rsid w:val="0036692F"/>
    <w:rsid w:val="00366C1C"/>
    <w:rsid w:val="00367362"/>
    <w:rsid w:val="003701F4"/>
    <w:rsid w:val="0037069F"/>
    <w:rsid w:val="00372D21"/>
    <w:rsid w:val="00372F05"/>
    <w:rsid w:val="00373DC8"/>
    <w:rsid w:val="0038083D"/>
    <w:rsid w:val="0038084A"/>
    <w:rsid w:val="00382E8B"/>
    <w:rsid w:val="003832D4"/>
    <w:rsid w:val="00385283"/>
    <w:rsid w:val="00385724"/>
    <w:rsid w:val="00385F5F"/>
    <w:rsid w:val="00385FF7"/>
    <w:rsid w:val="00386C02"/>
    <w:rsid w:val="00386F50"/>
    <w:rsid w:val="00386FE9"/>
    <w:rsid w:val="00390B10"/>
    <w:rsid w:val="003939C8"/>
    <w:rsid w:val="0039620A"/>
    <w:rsid w:val="003962A0"/>
    <w:rsid w:val="00396348"/>
    <w:rsid w:val="003966B5"/>
    <w:rsid w:val="003A0D17"/>
    <w:rsid w:val="003A1735"/>
    <w:rsid w:val="003A3B17"/>
    <w:rsid w:val="003A3C15"/>
    <w:rsid w:val="003A3E4F"/>
    <w:rsid w:val="003A4EE4"/>
    <w:rsid w:val="003A5623"/>
    <w:rsid w:val="003A6BDE"/>
    <w:rsid w:val="003A748E"/>
    <w:rsid w:val="003A7BED"/>
    <w:rsid w:val="003B0392"/>
    <w:rsid w:val="003B0AAA"/>
    <w:rsid w:val="003B2232"/>
    <w:rsid w:val="003B54D3"/>
    <w:rsid w:val="003B6DA1"/>
    <w:rsid w:val="003C07F3"/>
    <w:rsid w:val="003C08AF"/>
    <w:rsid w:val="003C1594"/>
    <w:rsid w:val="003C394C"/>
    <w:rsid w:val="003C6997"/>
    <w:rsid w:val="003C6CB7"/>
    <w:rsid w:val="003C7D76"/>
    <w:rsid w:val="003C7EB1"/>
    <w:rsid w:val="003D0652"/>
    <w:rsid w:val="003D1F68"/>
    <w:rsid w:val="003D25ED"/>
    <w:rsid w:val="003D2EF4"/>
    <w:rsid w:val="003D4B9D"/>
    <w:rsid w:val="003D6309"/>
    <w:rsid w:val="003D6B22"/>
    <w:rsid w:val="003D718D"/>
    <w:rsid w:val="003E1AD3"/>
    <w:rsid w:val="003E2CF6"/>
    <w:rsid w:val="003E3FC9"/>
    <w:rsid w:val="003E5F47"/>
    <w:rsid w:val="003E7479"/>
    <w:rsid w:val="003E771B"/>
    <w:rsid w:val="003F10E9"/>
    <w:rsid w:val="003F12C7"/>
    <w:rsid w:val="003F224B"/>
    <w:rsid w:val="003F273C"/>
    <w:rsid w:val="003F3191"/>
    <w:rsid w:val="003F3E6F"/>
    <w:rsid w:val="003F55D2"/>
    <w:rsid w:val="003F6AB5"/>
    <w:rsid w:val="003F6E9A"/>
    <w:rsid w:val="003F7D0C"/>
    <w:rsid w:val="00401497"/>
    <w:rsid w:val="00403B1F"/>
    <w:rsid w:val="00405EF3"/>
    <w:rsid w:val="004113A2"/>
    <w:rsid w:val="00412523"/>
    <w:rsid w:val="00412F54"/>
    <w:rsid w:val="004135D6"/>
    <w:rsid w:val="004144AB"/>
    <w:rsid w:val="004147A0"/>
    <w:rsid w:val="00414F7A"/>
    <w:rsid w:val="00415173"/>
    <w:rsid w:val="00415C04"/>
    <w:rsid w:val="00416B36"/>
    <w:rsid w:val="00420C2A"/>
    <w:rsid w:val="0042107E"/>
    <w:rsid w:val="00425A09"/>
    <w:rsid w:val="00426A0E"/>
    <w:rsid w:val="00430038"/>
    <w:rsid w:val="004300C4"/>
    <w:rsid w:val="0043017F"/>
    <w:rsid w:val="00431BA5"/>
    <w:rsid w:val="00434C1C"/>
    <w:rsid w:val="0043548E"/>
    <w:rsid w:val="0043614B"/>
    <w:rsid w:val="004377A8"/>
    <w:rsid w:val="0043788B"/>
    <w:rsid w:val="004418A2"/>
    <w:rsid w:val="00441D2E"/>
    <w:rsid w:val="004424AF"/>
    <w:rsid w:val="0044286B"/>
    <w:rsid w:val="00443DFB"/>
    <w:rsid w:val="00444A0D"/>
    <w:rsid w:val="004458F7"/>
    <w:rsid w:val="0044594C"/>
    <w:rsid w:val="00447659"/>
    <w:rsid w:val="00447968"/>
    <w:rsid w:val="0045069E"/>
    <w:rsid w:val="00450D60"/>
    <w:rsid w:val="0045117F"/>
    <w:rsid w:val="00454150"/>
    <w:rsid w:val="004555EB"/>
    <w:rsid w:val="00456606"/>
    <w:rsid w:val="00456A5B"/>
    <w:rsid w:val="00456DF9"/>
    <w:rsid w:val="00460291"/>
    <w:rsid w:val="00460EE5"/>
    <w:rsid w:val="00461366"/>
    <w:rsid w:val="00463BF7"/>
    <w:rsid w:val="0046531B"/>
    <w:rsid w:val="00467A85"/>
    <w:rsid w:val="00470536"/>
    <w:rsid w:val="00470A4E"/>
    <w:rsid w:val="00471133"/>
    <w:rsid w:val="00471CAA"/>
    <w:rsid w:val="00472696"/>
    <w:rsid w:val="00475E79"/>
    <w:rsid w:val="00477B41"/>
    <w:rsid w:val="00480268"/>
    <w:rsid w:val="00480B03"/>
    <w:rsid w:val="00481970"/>
    <w:rsid w:val="004848DC"/>
    <w:rsid w:val="0048685B"/>
    <w:rsid w:val="00486E4F"/>
    <w:rsid w:val="004879E3"/>
    <w:rsid w:val="00487EDA"/>
    <w:rsid w:val="00490AFE"/>
    <w:rsid w:val="00491891"/>
    <w:rsid w:val="00492645"/>
    <w:rsid w:val="00494CB9"/>
    <w:rsid w:val="00494E53"/>
    <w:rsid w:val="00496146"/>
    <w:rsid w:val="00496BEF"/>
    <w:rsid w:val="00496C71"/>
    <w:rsid w:val="00496CEC"/>
    <w:rsid w:val="00496DC4"/>
    <w:rsid w:val="00496E45"/>
    <w:rsid w:val="004A59E1"/>
    <w:rsid w:val="004A59E5"/>
    <w:rsid w:val="004A5B5E"/>
    <w:rsid w:val="004A6AA3"/>
    <w:rsid w:val="004A6B07"/>
    <w:rsid w:val="004A6ED6"/>
    <w:rsid w:val="004A70F7"/>
    <w:rsid w:val="004B0F25"/>
    <w:rsid w:val="004B3417"/>
    <w:rsid w:val="004B4492"/>
    <w:rsid w:val="004B460F"/>
    <w:rsid w:val="004B4654"/>
    <w:rsid w:val="004B4742"/>
    <w:rsid w:val="004B477E"/>
    <w:rsid w:val="004B6185"/>
    <w:rsid w:val="004B7503"/>
    <w:rsid w:val="004C018B"/>
    <w:rsid w:val="004C03C5"/>
    <w:rsid w:val="004C2B59"/>
    <w:rsid w:val="004C36B0"/>
    <w:rsid w:val="004C3854"/>
    <w:rsid w:val="004C4260"/>
    <w:rsid w:val="004C439E"/>
    <w:rsid w:val="004C5C94"/>
    <w:rsid w:val="004C66AD"/>
    <w:rsid w:val="004C79A0"/>
    <w:rsid w:val="004C7DF1"/>
    <w:rsid w:val="004D15EE"/>
    <w:rsid w:val="004D1CF7"/>
    <w:rsid w:val="004D23FA"/>
    <w:rsid w:val="004D3DC5"/>
    <w:rsid w:val="004D42F7"/>
    <w:rsid w:val="004D45E7"/>
    <w:rsid w:val="004D5904"/>
    <w:rsid w:val="004D5970"/>
    <w:rsid w:val="004E0747"/>
    <w:rsid w:val="004E0E05"/>
    <w:rsid w:val="004E141D"/>
    <w:rsid w:val="004E1E7C"/>
    <w:rsid w:val="004E2E7B"/>
    <w:rsid w:val="004E34A2"/>
    <w:rsid w:val="004E46B6"/>
    <w:rsid w:val="004E5E29"/>
    <w:rsid w:val="004E6A6D"/>
    <w:rsid w:val="004E6CF8"/>
    <w:rsid w:val="004E77E6"/>
    <w:rsid w:val="004F03A7"/>
    <w:rsid w:val="004F1075"/>
    <w:rsid w:val="004F145F"/>
    <w:rsid w:val="004F1E38"/>
    <w:rsid w:val="004F1EA5"/>
    <w:rsid w:val="004F2327"/>
    <w:rsid w:val="004F307A"/>
    <w:rsid w:val="004F3F8D"/>
    <w:rsid w:val="004F49AB"/>
    <w:rsid w:val="004F6140"/>
    <w:rsid w:val="004F6185"/>
    <w:rsid w:val="005026ED"/>
    <w:rsid w:val="00505128"/>
    <w:rsid w:val="00505373"/>
    <w:rsid w:val="00505463"/>
    <w:rsid w:val="00507ECF"/>
    <w:rsid w:val="005108B0"/>
    <w:rsid w:val="00511763"/>
    <w:rsid w:val="00512DEF"/>
    <w:rsid w:val="00514677"/>
    <w:rsid w:val="00516F87"/>
    <w:rsid w:val="00517D10"/>
    <w:rsid w:val="0052095D"/>
    <w:rsid w:val="00523C40"/>
    <w:rsid w:val="005241CA"/>
    <w:rsid w:val="00524783"/>
    <w:rsid w:val="00527217"/>
    <w:rsid w:val="005318AA"/>
    <w:rsid w:val="0053465F"/>
    <w:rsid w:val="00535089"/>
    <w:rsid w:val="0053534C"/>
    <w:rsid w:val="00535B86"/>
    <w:rsid w:val="005364DA"/>
    <w:rsid w:val="0053673D"/>
    <w:rsid w:val="00540184"/>
    <w:rsid w:val="0054087C"/>
    <w:rsid w:val="00540FFF"/>
    <w:rsid w:val="005415B4"/>
    <w:rsid w:val="005417B3"/>
    <w:rsid w:val="00541A27"/>
    <w:rsid w:val="00542065"/>
    <w:rsid w:val="00542250"/>
    <w:rsid w:val="0054498A"/>
    <w:rsid w:val="00544BA4"/>
    <w:rsid w:val="005455EC"/>
    <w:rsid w:val="00545672"/>
    <w:rsid w:val="00545E9F"/>
    <w:rsid w:val="005477F4"/>
    <w:rsid w:val="00550783"/>
    <w:rsid w:val="00552977"/>
    <w:rsid w:val="00552CDE"/>
    <w:rsid w:val="005539E2"/>
    <w:rsid w:val="00554689"/>
    <w:rsid w:val="00554793"/>
    <w:rsid w:val="00554DB9"/>
    <w:rsid w:val="005557D7"/>
    <w:rsid w:val="005575FE"/>
    <w:rsid w:val="005604DD"/>
    <w:rsid w:val="005617C7"/>
    <w:rsid w:val="0056230B"/>
    <w:rsid w:val="0056546E"/>
    <w:rsid w:val="00566BE4"/>
    <w:rsid w:val="005675BB"/>
    <w:rsid w:val="0056773F"/>
    <w:rsid w:val="00567949"/>
    <w:rsid w:val="0056795C"/>
    <w:rsid w:val="00567A41"/>
    <w:rsid w:val="005703D0"/>
    <w:rsid w:val="005706C0"/>
    <w:rsid w:val="00570A1F"/>
    <w:rsid w:val="005712F4"/>
    <w:rsid w:val="00573EBF"/>
    <w:rsid w:val="00574EEB"/>
    <w:rsid w:val="00575D6A"/>
    <w:rsid w:val="00576068"/>
    <w:rsid w:val="00576636"/>
    <w:rsid w:val="00576BD0"/>
    <w:rsid w:val="0057758E"/>
    <w:rsid w:val="005810A0"/>
    <w:rsid w:val="00581377"/>
    <w:rsid w:val="005814C3"/>
    <w:rsid w:val="005818EC"/>
    <w:rsid w:val="0058226F"/>
    <w:rsid w:val="00584E9F"/>
    <w:rsid w:val="0058648D"/>
    <w:rsid w:val="00586F46"/>
    <w:rsid w:val="00587373"/>
    <w:rsid w:val="005903BC"/>
    <w:rsid w:val="00590BF9"/>
    <w:rsid w:val="00590FED"/>
    <w:rsid w:val="0059249F"/>
    <w:rsid w:val="005941E3"/>
    <w:rsid w:val="00595354"/>
    <w:rsid w:val="00595E0F"/>
    <w:rsid w:val="00596FE5"/>
    <w:rsid w:val="00597F1A"/>
    <w:rsid w:val="005A1AC7"/>
    <w:rsid w:val="005A29E6"/>
    <w:rsid w:val="005A352A"/>
    <w:rsid w:val="005A3B11"/>
    <w:rsid w:val="005A4355"/>
    <w:rsid w:val="005A4F6F"/>
    <w:rsid w:val="005A6823"/>
    <w:rsid w:val="005A75B1"/>
    <w:rsid w:val="005B2300"/>
    <w:rsid w:val="005B390E"/>
    <w:rsid w:val="005B3C7F"/>
    <w:rsid w:val="005B4133"/>
    <w:rsid w:val="005B50D3"/>
    <w:rsid w:val="005B51C9"/>
    <w:rsid w:val="005B5AE9"/>
    <w:rsid w:val="005B5E60"/>
    <w:rsid w:val="005B6626"/>
    <w:rsid w:val="005B7412"/>
    <w:rsid w:val="005B75D3"/>
    <w:rsid w:val="005B7DEF"/>
    <w:rsid w:val="005C1F8A"/>
    <w:rsid w:val="005C22B9"/>
    <w:rsid w:val="005C4A1E"/>
    <w:rsid w:val="005C62A0"/>
    <w:rsid w:val="005C6718"/>
    <w:rsid w:val="005D264C"/>
    <w:rsid w:val="005D36B5"/>
    <w:rsid w:val="005D6B46"/>
    <w:rsid w:val="005D737B"/>
    <w:rsid w:val="005D76C5"/>
    <w:rsid w:val="005D7C5C"/>
    <w:rsid w:val="005E13BE"/>
    <w:rsid w:val="005E1F42"/>
    <w:rsid w:val="005E1F50"/>
    <w:rsid w:val="005E1F82"/>
    <w:rsid w:val="005E30EE"/>
    <w:rsid w:val="005E3FE5"/>
    <w:rsid w:val="005E41DD"/>
    <w:rsid w:val="005E4A11"/>
    <w:rsid w:val="005E56EF"/>
    <w:rsid w:val="005E5773"/>
    <w:rsid w:val="005E68D0"/>
    <w:rsid w:val="005E7ADC"/>
    <w:rsid w:val="005F0606"/>
    <w:rsid w:val="005F2352"/>
    <w:rsid w:val="005F246F"/>
    <w:rsid w:val="005F340A"/>
    <w:rsid w:val="005F3832"/>
    <w:rsid w:val="005F3DEA"/>
    <w:rsid w:val="005F3DF9"/>
    <w:rsid w:val="005F42D2"/>
    <w:rsid w:val="005F457C"/>
    <w:rsid w:val="005F4BA1"/>
    <w:rsid w:val="005F4D5B"/>
    <w:rsid w:val="005F50D6"/>
    <w:rsid w:val="005F52AB"/>
    <w:rsid w:val="005F5AC5"/>
    <w:rsid w:val="005F70B8"/>
    <w:rsid w:val="005F7C0F"/>
    <w:rsid w:val="00600B5F"/>
    <w:rsid w:val="006013E7"/>
    <w:rsid w:val="00601495"/>
    <w:rsid w:val="006028A1"/>
    <w:rsid w:val="006030F2"/>
    <w:rsid w:val="00603797"/>
    <w:rsid w:val="00603B28"/>
    <w:rsid w:val="0060409E"/>
    <w:rsid w:val="00606373"/>
    <w:rsid w:val="006063EB"/>
    <w:rsid w:val="00606540"/>
    <w:rsid w:val="0060678E"/>
    <w:rsid w:val="0060725B"/>
    <w:rsid w:val="0060746D"/>
    <w:rsid w:val="00607B4B"/>
    <w:rsid w:val="0061058C"/>
    <w:rsid w:val="0061077C"/>
    <w:rsid w:val="00612574"/>
    <w:rsid w:val="00612E09"/>
    <w:rsid w:val="00613725"/>
    <w:rsid w:val="00613901"/>
    <w:rsid w:val="0061479A"/>
    <w:rsid w:val="00615035"/>
    <w:rsid w:val="00615F4D"/>
    <w:rsid w:val="00617332"/>
    <w:rsid w:val="00617549"/>
    <w:rsid w:val="00617EA0"/>
    <w:rsid w:val="0062013B"/>
    <w:rsid w:val="00624404"/>
    <w:rsid w:val="006246FF"/>
    <w:rsid w:val="00624B5E"/>
    <w:rsid w:val="006262FC"/>
    <w:rsid w:val="00630DD8"/>
    <w:rsid w:val="006324DA"/>
    <w:rsid w:val="00634BE7"/>
    <w:rsid w:val="00637C82"/>
    <w:rsid w:val="00637CA0"/>
    <w:rsid w:val="00640449"/>
    <w:rsid w:val="006407F2"/>
    <w:rsid w:val="00640E22"/>
    <w:rsid w:val="00640FC7"/>
    <w:rsid w:val="00641953"/>
    <w:rsid w:val="00641AB1"/>
    <w:rsid w:val="0064453E"/>
    <w:rsid w:val="0064494A"/>
    <w:rsid w:val="00646617"/>
    <w:rsid w:val="006473AF"/>
    <w:rsid w:val="00656239"/>
    <w:rsid w:val="00656411"/>
    <w:rsid w:val="00656530"/>
    <w:rsid w:val="006601CD"/>
    <w:rsid w:val="0066129A"/>
    <w:rsid w:val="00661C9C"/>
    <w:rsid w:val="0066381F"/>
    <w:rsid w:val="00664372"/>
    <w:rsid w:val="006670DD"/>
    <w:rsid w:val="00671FDC"/>
    <w:rsid w:val="006734A0"/>
    <w:rsid w:val="006744F8"/>
    <w:rsid w:val="006764B7"/>
    <w:rsid w:val="00676D21"/>
    <w:rsid w:val="00677B6B"/>
    <w:rsid w:val="00680235"/>
    <w:rsid w:val="006804DA"/>
    <w:rsid w:val="006810C2"/>
    <w:rsid w:val="00681A54"/>
    <w:rsid w:val="006827FF"/>
    <w:rsid w:val="0068293E"/>
    <w:rsid w:val="00685709"/>
    <w:rsid w:val="00685723"/>
    <w:rsid w:val="00686FBD"/>
    <w:rsid w:val="00687393"/>
    <w:rsid w:val="00687C2A"/>
    <w:rsid w:val="00691FCF"/>
    <w:rsid w:val="00692925"/>
    <w:rsid w:val="00692E80"/>
    <w:rsid w:val="0069420A"/>
    <w:rsid w:val="00694355"/>
    <w:rsid w:val="0069556E"/>
    <w:rsid w:val="00695F40"/>
    <w:rsid w:val="00697EAF"/>
    <w:rsid w:val="006A112F"/>
    <w:rsid w:val="006A3DBA"/>
    <w:rsid w:val="006A3F57"/>
    <w:rsid w:val="006A443B"/>
    <w:rsid w:val="006A4851"/>
    <w:rsid w:val="006A5E80"/>
    <w:rsid w:val="006A62AE"/>
    <w:rsid w:val="006A66A4"/>
    <w:rsid w:val="006A6948"/>
    <w:rsid w:val="006A6CDD"/>
    <w:rsid w:val="006A6F53"/>
    <w:rsid w:val="006B06FC"/>
    <w:rsid w:val="006B2E03"/>
    <w:rsid w:val="006B3FAF"/>
    <w:rsid w:val="006B4008"/>
    <w:rsid w:val="006B4027"/>
    <w:rsid w:val="006B53D8"/>
    <w:rsid w:val="006B5CD6"/>
    <w:rsid w:val="006B6D5F"/>
    <w:rsid w:val="006B6D95"/>
    <w:rsid w:val="006B7A87"/>
    <w:rsid w:val="006C0E5F"/>
    <w:rsid w:val="006C14AF"/>
    <w:rsid w:val="006C1803"/>
    <w:rsid w:val="006C1FCF"/>
    <w:rsid w:val="006C2035"/>
    <w:rsid w:val="006C20B6"/>
    <w:rsid w:val="006C38E5"/>
    <w:rsid w:val="006C39B8"/>
    <w:rsid w:val="006C3B9C"/>
    <w:rsid w:val="006C58D3"/>
    <w:rsid w:val="006C7FDC"/>
    <w:rsid w:val="006D09AA"/>
    <w:rsid w:val="006D138A"/>
    <w:rsid w:val="006D200F"/>
    <w:rsid w:val="006D31D1"/>
    <w:rsid w:val="006D4285"/>
    <w:rsid w:val="006E1056"/>
    <w:rsid w:val="006E1960"/>
    <w:rsid w:val="006E1FE3"/>
    <w:rsid w:val="006E4727"/>
    <w:rsid w:val="006E5724"/>
    <w:rsid w:val="006E78B4"/>
    <w:rsid w:val="006E7FE2"/>
    <w:rsid w:val="006F135C"/>
    <w:rsid w:val="006F25AB"/>
    <w:rsid w:val="006F2EA2"/>
    <w:rsid w:val="006F4E6D"/>
    <w:rsid w:val="006F64D1"/>
    <w:rsid w:val="006F72C6"/>
    <w:rsid w:val="00701207"/>
    <w:rsid w:val="00701CC2"/>
    <w:rsid w:val="0070244E"/>
    <w:rsid w:val="007026D4"/>
    <w:rsid w:val="00702822"/>
    <w:rsid w:val="007051DA"/>
    <w:rsid w:val="007054C8"/>
    <w:rsid w:val="007073EF"/>
    <w:rsid w:val="00707D40"/>
    <w:rsid w:val="0071151C"/>
    <w:rsid w:val="00713471"/>
    <w:rsid w:val="00713F25"/>
    <w:rsid w:val="0071599D"/>
    <w:rsid w:val="0072114F"/>
    <w:rsid w:val="0072116C"/>
    <w:rsid w:val="007218C2"/>
    <w:rsid w:val="0072194F"/>
    <w:rsid w:val="0072256E"/>
    <w:rsid w:val="00724008"/>
    <w:rsid w:val="00725841"/>
    <w:rsid w:val="00726482"/>
    <w:rsid w:val="007264F8"/>
    <w:rsid w:val="00726820"/>
    <w:rsid w:val="007276B9"/>
    <w:rsid w:val="00731419"/>
    <w:rsid w:val="0073179A"/>
    <w:rsid w:val="00731A8E"/>
    <w:rsid w:val="00732BA7"/>
    <w:rsid w:val="00732C87"/>
    <w:rsid w:val="00732D14"/>
    <w:rsid w:val="007331A1"/>
    <w:rsid w:val="00733A2F"/>
    <w:rsid w:val="00733DA4"/>
    <w:rsid w:val="00733EE3"/>
    <w:rsid w:val="007346BF"/>
    <w:rsid w:val="00734A9B"/>
    <w:rsid w:val="00735610"/>
    <w:rsid w:val="007409CD"/>
    <w:rsid w:val="00740F76"/>
    <w:rsid w:val="00741A73"/>
    <w:rsid w:val="007424CE"/>
    <w:rsid w:val="00742BDE"/>
    <w:rsid w:val="00742F25"/>
    <w:rsid w:val="0074316B"/>
    <w:rsid w:val="00743226"/>
    <w:rsid w:val="007432B0"/>
    <w:rsid w:val="007437E8"/>
    <w:rsid w:val="007444FC"/>
    <w:rsid w:val="0074476E"/>
    <w:rsid w:val="007456F8"/>
    <w:rsid w:val="00746491"/>
    <w:rsid w:val="00750B1E"/>
    <w:rsid w:val="007512A4"/>
    <w:rsid w:val="00751B99"/>
    <w:rsid w:val="00751F6B"/>
    <w:rsid w:val="007524AF"/>
    <w:rsid w:val="00752A6A"/>
    <w:rsid w:val="00753D2A"/>
    <w:rsid w:val="00755607"/>
    <w:rsid w:val="00755B59"/>
    <w:rsid w:val="00755E45"/>
    <w:rsid w:val="00756538"/>
    <w:rsid w:val="007615D4"/>
    <w:rsid w:val="00762B9D"/>
    <w:rsid w:val="00763F6B"/>
    <w:rsid w:val="00764411"/>
    <w:rsid w:val="007645C1"/>
    <w:rsid w:val="00770867"/>
    <w:rsid w:val="007717F2"/>
    <w:rsid w:val="007723EC"/>
    <w:rsid w:val="0077341F"/>
    <w:rsid w:val="00773C8A"/>
    <w:rsid w:val="007754B5"/>
    <w:rsid w:val="00775DD8"/>
    <w:rsid w:val="007767C6"/>
    <w:rsid w:val="00777774"/>
    <w:rsid w:val="00777DEE"/>
    <w:rsid w:val="00777E78"/>
    <w:rsid w:val="007802ED"/>
    <w:rsid w:val="007806F3"/>
    <w:rsid w:val="00782553"/>
    <w:rsid w:val="007830E0"/>
    <w:rsid w:val="00784188"/>
    <w:rsid w:val="00784C67"/>
    <w:rsid w:val="00784C81"/>
    <w:rsid w:val="00785ABB"/>
    <w:rsid w:val="0078614D"/>
    <w:rsid w:val="007867BF"/>
    <w:rsid w:val="00787377"/>
    <w:rsid w:val="00787824"/>
    <w:rsid w:val="007903EE"/>
    <w:rsid w:val="00790695"/>
    <w:rsid w:val="0079264D"/>
    <w:rsid w:val="00792BB9"/>
    <w:rsid w:val="00793369"/>
    <w:rsid w:val="00793E8A"/>
    <w:rsid w:val="007940AB"/>
    <w:rsid w:val="0079531F"/>
    <w:rsid w:val="007956D0"/>
    <w:rsid w:val="007959AC"/>
    <w:rsid w:val="0079626C"/>
    <w:rsid w:val="00797138"/>
    <w:rsid w:val="007A0A41"/>
    <w:rsid w:val="007A170C"/>
    <w:rsid w:val="007A2B82"/>
    <w:rsid w:val="007A3822"/>
    <w:rsid w:val="007A3C29"/>
    <w:rsid w:val="007A4861"/>
    <w:rsid w:val="007A4D06"/>
    <w:rsid w:val="007A668F"/>
    <w:rsid w:val="007A6865"/>
    <w:rsid w:val="007A7C79"/>
    <w:rsid w:val="007B4678"/>
    <w:rsid w:val="007B5470"/>
    <w:rsid w:val="007B5F49"/>
    <w:rsid w:val="007B75BF"/>
    <w:rsid w:val="007C0371"/>
    <w:rsid w:val="007C1595"/>
    <w:rsid w:val="007C1607"/>
    <w:rsid w:val="007C165F"/>
    <w:rsid w:val="007C17B3"/>
    <w:rsid w:val="007C231D"/>
    <w:rsid w:val="007C4DC0"/>
    <w:rsid w:val="007C753A"/>
    <w:rsid w:val="007C7EF8"/>
    <w:rsid w:val="007D0FD9"/>
    <w:rsid w:val="007D304F"/>
    <w:rsid w:val="007D3C46"/>
    <w:rsid w:val="007D4E9A"/>
    <w:rsid w:val="007D676B"/>
    <w:rsid w:val="007D7AFA"/>
    <w:rsid w:val="007D7BC7"/>
    <w:rsid w:val="007E0B1A"/>
    <w:rsid w:val="007E1219"/>
    <w:rsid w:val="007E3772"/>
    <w:rsid w:val="007E3F00"/>
    <w:rsid w:val="007E403E"/>
    <w:rsid w:val="007E44D4"/>
    <w:rsid w:val="007E4F93"/>
    <w:rsid w:val="007E5084"/>
    <w:rsid w:val="007E50D1"/>
    <w:rsid w:val="007E512B"/>
    <w:rsid w:val="007E5292"/>
    <w:rsid w:val="007E653B"/>
    <w:rsid w:val="007E784C"/>
    <w:rsid w:val="007E7DE3"/>
    <w:rsid w:val="007F0595"/>
    <w:rsid w:val="007F0C5E"/>
    <w:rsid w:val="007F16AE"/>
    <w:rsid w:val="007F1D4C"/>
    <w:rsid w:val="007F242C"/>
    <w:rsid w:val="007F2D6A"/>
    <w:rsid w:val="007F3360"/>
    <w:rsid w:val="007F33FD"/>
    <w:rsid w:val="007F393E"/>
    <w:rsid w:val="007F4A11"/>
    <w:rsid w:val="007F4B78"/>
    <w:rsid w:val="007F5964"/>
    <w:rsid w:val="00801028"/>
    <w:rsid w:val="00801E3A"/>
    <w:rsid w:val="00801FDF"/>
    <w:rsid w:val="0080213E"/>
    <w:rsid w:val="00803143"/>
    <w:rsid w:val="00803A15"/>
    <w:rsid w:val="00803FF9"/>
    <w:rsid w:val="00805428"/>
    <w:rsid w:val="00811673"/>
    <w:rsid w:val="008116B2"/>
    <w:rsid w:val="00811AD4"/>
    <w:rsid w:val="00812DB7"/>
    <w:rsid w:val="00813836"/>
    <w:rsid w:val="0081463E"/>
    <w:rsid w:val="00816739"/>
    <w:rsid w:val="0082005E"/>
    <w:rsid w:val="0082250A"/>
    <w:rsid w:val="00823033"/>
    <w:rsid w:val="0082408F"/>
    <w:rsid w:val="0082416C"/>
    <w:rsid w:val="008244C8"/>
    <w:rsid w:val="0082510E"/>
    <w:rsid w:val="008257FE"/>
    <w:rsid w:val="008264BE"/>
    <w:rsid w:val="00827134"/>
    <w:rsid w:val="008279B9"/>
    <w:rsid w:val="00831C93"/>
    <w:rsid w:val="00831EF3"/>
    <w:rsid w:val="008328E8"/>
    <w:rsid w:val="00832CBD"/>
    <w:rsid w:val="00832F2C"/>
    <w:rsid w:val="00833221"/>
    <w:rsid w:val="00833FFD"/>
    <w:rsid w:val="00835E77"/>
    <w:rsid w:val="00837829"/>
    <w:rsid w:val="00837A48"/>
    <w:rsid w:val="00840DC9"/>
    <w:rsid w:val="0084581E"/>
    <w:rsid w:val="0084618C"/>
    <w:rsid w:val="008464F7"/>
    <w:rsid w:val="00846D77"/>
    <w:rsid w:val="00847E29"/>
    <w:rsid w:val="0085106F"/>
    <w:rsid w:val="008516DA"/>
    <w:rsid w:val="00851F01"/>
    <w:rsid w:val="00852B14"/>
    <w:rsid w:val="00854F85"/>
    <w:rsid w:val="00855666"/>
    <w:rsid w:val="00856944"/>
    <w:rsid w:val="008601A8"/>
    <w:rsid w:val="00860658"/>
    <w:rsid w:val="00861AD5"/>
    <w:rsid w:val="008622B2"/>
    <w:rsid w:val="00863472"/>
    <w:rsid w:val="008640EF"/>
    <w:rsid w:val="00864371"/>
    <w:rsid w:val="00865B82"/>
    <w:rsid w:val="00866157"/>
    <w:rsid w:val="008663EF"/>
    <w:rsid w:val="00867DF5"/>
    <w:rsid w:val="00870926"/>
    <w:rsid w:val="00870E98"/>
    <w:rsid w:val="00871AFA"/>
    <w:rsid w:val="00872352"/>
    <w:rsid w:val="008728D2"/>
    <w:rsid w:val="00873336"/>
    <w:rsid w:val="008735ED"/>
    <w:rsid w:val="0087579B"/>
    <w:rsid w:val="008813C4"/>
    <w:rsid w:val="008816DC"/>
    <w:rsid w:val="00883203"/>
    <w:rsid w:val="00883E53"/>
    <w:rsid w:val="008842D6"/>
    <w:rsid w:val="00884442"/>
    <w:rsid w:val="00884590"/>
    <w:rsid w:val="00885ABF"/>
    <w:rsid w:val="00886AE0"/>
    <w:rsid w:val="008871A6"/>
    <w:rsid w:val="008875F1"/>
    <w:rsid w:val="0089083F"/>
    <w:rsid w:val="0089183F"/>
    <w:rsid w:val="00892F4D"/>
    <w:rsid w:val="0089336A"/>
    <w:rsid w:val="00893C09"/>
    <w:rsid w:val="0089408E"/>
    <w:rsid w:val="00894792"/>
    <w:rsid w:val="00894DFD"/>
    <w:rsid w:val="008A0A09"/>
    <w:rsid w:val="008A0A5D"/>
    <w:rsid w:val="008A0AA0"/>
    <w:rsid w:val="008A4E54"/>
    <w:rsid w:val="008A5546"/>
    <w:rsid w:val="008A5841"/>
    <w:rsid w:val="008A5BA7"/>
    <w:rsid w:val="008A5FF1"/>
    <w:rsid w:val="008A71C1"/>
    <w:rsid w:val="008B072D"/>
    <w:rsid w:val="008B0CE0"/>
    <w:rsid w:val="008B21FD"/>
    <w:rsid w:val="008B367E"/>
    <w:rsid w:val="008B3C01"/>
    <w:rsid w:val="008B4697"/>
    <w:rsid w:val="008B471E"/>
    <w:rsid w:val="008B7D7F"/>
    <w:rsid w:val="008C17A5"/>
    <w:rsid w:val="008C1C5E"/>
    <w:rsid w:val="008C3578"/>
    <w:rsid w:val="008C4511"/>
    <w:rsid w:val="008C6FE0"/>
    <w:rsid w:val="008C732B"/>
    <w:rsid w:val="008D0FE4"/>
    <w:rsid w:val="008D314B"/>
    <w:rsid w:val="008D3A22"/>
    <w:rsid w:val="008D3F13"/>
    <w:rsid w:val="008D436C"/>
    <w:rsid w:val="008D5545"/>
    <w:rsid w:val="008D563B"/>
    <w:rsid w:val="008D58D8"/>
    <w:rsid w:val="008D7323"/>
    <w:rsid w:val="008D77B7"/>
    <w:rsid w:val="008E0455"/>
    <w:rsid w:val="008E05B1"/>
    <w:rsid w:val="008E0ADB"/>
    <w:rsid w:val="008E0D73"/>
    <w:rsid w:val="008E1FE0"/>
    <w:rsid w:val="008E2117"/>
    <w:rsid w:val="008E3683"/>
    <w:rsid w:val="008E49BD"/>
    <w:rsid w:val="008E6093"/>
    <w:rsid w:val="008E6238"/>
    <w:rsid w:val="008E680F"/>
    <w:rsid w:val="008E7873"/>
    <w:rsid w:val="008F18C7"/>
    <w:rsid w:val="008F1983"/>
    <w:rsid w:val="008F3387"/>
    <w:rsid w:val="008F4F3E"/>
    <w:rsid w:val="00900646"/>
    <w:rsid w:val="00900C17"/>
    <w:rsid w:val="00901B2C"/>
    <w:rsid w:val="00901E87"/>
    <w:rsid w:val="00903AFD"/>
    <w:rsid w:val="00903B2B"/>
    <w:rsid w:val="00903B38"/>
    <w:rsid w:val="00905BE8"/>
    <w:rsid w:val="009061E5"/>
    <w:rsid w:val="00906806"/>
    <w:rsid w:val="00907268"/>
    <w:rsid w:val="00907A0A"/>
    <w:rsid w:val="00907ABE"/>
    <w:rsid w:val="00907BAF"/>
    <w:rsid w:val="009108D9"/>
    <w:rsid w:val="0091218A"/>
    <w:rsid w:val="00913021"/>
    <w:rsid w:val="00913B5A"/>
    <w:rsid w:val="00916061"/>
    <w:rsid w:val="00916A58"/>
    <w:rsid w:val="00916B4B"/>
    <w:rsid w:val="009173CE"/>
    <w:rsid w:val="009178DD"/>
    <w:rsid w:val="00917BED"/>
    <w:rsid w:val="00921027"/>
    <w:rsid w:val="00921783"/>
    <w:rsid w:val="00921EFA"/>
    <w:rsid w:val="00924B06"/>
    <w:rsid w:val="00924CDB"/>
    <w:rsid w:val="00924D03"/>
    <w:rsid w:val="00926252"/>
    <w:rsid w:val="00927C92"/>
    <w:rsid w:val="00930FFB"/>
    <w:rsid w:val="009311B9"/>
    <w:rsid w:val="009312A1"/>
    <w:rsid w:val="00931F06"/>
    <w:rsid w:val="009321D8"/>
    <w:rsid w:val="0093513C"/>
    <w:rsid w:val="00935FA7"/>
    <w:rsid w:val="00936080"/>
    <w:rsid w:val="00936434"/>
    <w:rsid w:val="009379AA"/>
    <w:rsid w:val="009420F4"/>
    <w:rsid w:val="00942541"/>
    <w:rsid w:val="00943621"/>
    <w:rsid w:val="00943FFA"/>
    <w:rsid w:val="00944B86"/>
    <w:rsid w:val="0094532D"/>
    <w:rsid w:val="00945933"/>
    <w:rsid w:val="00945C92"/>
    <w:rsid w:val="00947814"/>
    <w:rsid w:val="00950A67"/>
    <w:rsid w:val="00950EC9"/>
    <w:rsid w:val="00950F02"/>
    <w:rsid w:val="009521A6"/>
    <w:rsid w:val="00952220"/>
    <w:rsid w:val="009538E0"/>
    <w:rsid w:val="0095411D"/>
    <w:rsid w:val="009545F1"/>
    <w:rsid w:val="00955437"/>
    <w:rsid w:val="00956ED8"/>
    <w:rsid w:val="00960270"/>
    <w:rsid w:val="009615B4"/>
    <w:rsid w:val="00961739"/>
    <w:rsid w:val="00962156"/>
    <w:rsid w:val="00962806"/>
    <w:rsid w:val="00965205"/>
    <w:rsid w:val="009668BC"/>
    <w:rsid w:val="00970541"/>
    <w:rsid w:val="00970CD4"/>
    <w:rsid w:val="00971285"/>
    <w:rsid w:val="00971A59"/>
    <w:rsid w:val="009722AF"/>
    <w:rsid w:val="009730F0"/>
    <w:rsid w:val="0097327C"/>
    <w:rsid w:val="009738B8"/>
    <w:rsid w:val="009741FF"/>
    <w:rsid w:val="00974465"/>
    <w:rsid w:val="00974C3D"/>
    <w:rsid w:val="00975AA8"/>
    <w:rsid w:val="00976329"/>
    <w:rsid w:val="0097665B"/>
    <w:rsid w:val="00976C67"/>
    <w:rsid w:val="00980929"/>
    <w:rsid w:val="00981484"/>
    <w:rsid w:val="00981564"/>
    <w:rsid w:val="00981F27"/>
    <w:rsid w:val="00983950"/>
    <w:rsid w:val="00985402"/>
    <w:rsid w:val="009871DE"/>
    <w:rsid w:val="00991675"/>
    <w:rsid w:val="009923F4"/>
    <w:rsid w:val="0099278C"/>
    <w:rsid w:val="00993332"/>
    <w:rsid w:val="00993AB9"/>
    <w:rsid w:val="00993E83"/>
    <w:rsid w:val="0099679D"/>
    <w:rsid w:val="00996C71"/>
    <w:rsid w:val="0099762E"/>
    <w:rsid w:val="009A0CAD"/>
    <w:rsid w:val="009A2551"/>
    <w:rsid w:val="009A36B6"/>
    <w:rsid w:val="009A3C1C"/>
    <w:rsid w:val="009A5EA7"/>
    <w:rsid w:val="009A6319"/>
    <w:rsid w:val="009A78E7"/>
    <w:rsid w:val="009B2EA6"/>
    <w:rsid w:val="009B320C"/>
    <w:rsid w:val="009B34C0"/>
    <w:rsid w:val="009B3978"/>
    <w:rsid w:val="009B595A"/>
    <w:rsid w:val="009B5F46"/>
    <w:rsid w:val="009B6B39"/>
    <w:rsid w:val="009C025F"/>
    <w:rsid w:val="009C08B5"/>
    <w:rsid w:val="009C124E"/>
    <w:rsid w:val="009C12F7"/>
    <w:rsid w:val="009C1D33"/>
    <w:rsid w:val="009C24CB"/>
    <w:rsid w:val="009C33BA"/>
    <w:rsid w:val="009C3AAE"/>
    <w:rsid w:val="009C609E"/>
    <w:rsid w:val="009C6C92"/>
    <w:rsid w:val="009C7C17"/>
    <w:rsid w:val="009D0048"/>
    <w:rsid w:val="009D036B"/>
    <w:rsid w:val="009D0DC9"/>
    <w:rsid w:val="009D2C72"/>
    <w:rsid w:val="009D317B"/>
    <w:rsid w:val="009D3FAA"/>
    <w:rsid w:val="009D41AF"/>
    <w:rsid w:val="009D4290"/>
    <w:rsid w:val="009D432F"/>
    <w:rsid w:val="009D4633"/>
    <w:rsid w:val="009D595C"/>
    <w:rsid w:val="009D5D1B"/>
    <w:rsid w:val="009D6F0D"/>
    <w:rsid w:val="009D6FF2"/>
    <w:rsid w:val="009E2528"/>
    <w:rsid w:val="009E4983"/>
    <w:rsid w:val="009E4A94"/>
    <w:rsid w:val="009E5E56"/>
    <w:rsid w:val="009E65A6"/>
    <w:rsid w:val="009E6F0E"/>
    <w:rsid w:val="009E77AD"/>
    <w:rsid w:val="009F111F"/>
    <w:rsid w:val="009F1ABE"/>
    <w:rsid w:val="009F1D4C"/>
    <w:rsid w:val="009F1FE1"/>
    <w:rsid w:val="009F471F"/>
    <w:rsid w:val="009F573A"/>
    <w:rsid w:val="009F5CA4"/>
    <w:rsid w:val="00A00819"/>
    <w:rsid w:val="00A010B8"/>
    <w:rsid w:val="00A027A8"/>
    <w:rsid w:val="00A02A9F"/>
    <w:rsid w:val="00A04922"/>
    <w:rsid w:val="00A05829"/>
    <w:rsid w:val="00A06565"/>
    <w:rsid w:val="00A06E66"/>
    <w:rsid w:val="00A115D5"/>
    <w:rsid w:val="00A11A43"/>
    <w:rsid w:val="00A127AC"/>
    <w:rsid w:val="00A14145"/>
    <w:rsid w:val="00A14627"/>
    <w:rsid w:val="00A16534"/>
    <w:rsid w:val="00A16548"/>
    <w:rsid w:val="00A17280"/>
    <w:rsid w:val="00A1799D"/>
    <w:rsid w:val="00A21FE3"/>
    <w:rsid w:val="00A2280B"/>
    <w:rsid w:val="00A22EBC"/>
    <w:rsid w:val="00A2479D"/>
    <w:rsid w:val="00A24F5F"/>
    <w:rsid w:val="00A25DF6"/>
    <w:rsid w:val="00A2700B"/>
    <w:rsid w:val="00A27393"/>
    <w:rsid w:val="00A30C6E"/>
    <w:rsid w:val="00A31D2C"/>
    <w:rsid w:val="00A321B9"/>
    <w:rsid w:val="00A3437B"/>
    <w:rsid w:val="00A34FD8"/>
    <w:rsid w:val="00A36A58"/>
    <w:rsid w:val="00A37388"/>
    <w:rsid w:val="00A37FAF"/>
    <w:rsid w:val="00A37FEF"/>
    <w:rsid w:val="00A44451"/>
    <w:rsid w:val="00A44973"/>
    <w:rsid w:val="00A449B7"/>
    <w:rsid w:val="00A453CD"/>
    <w:rsid w:val="00A46107"/>
    <w:rsid w:val="00A464DF"/>
    <w:rsid w:val="00A46EEC"/>
    <w:rsid w:val="00A50E47"/>
    <w:rsid w:val="00A52539"/>
    <w:rsid w:val="00A5345F"/>
    <w:rsid w:val="00A5399B"/>
    <w:rsid w:val="00A540DD"/>
    <w:rsid w:val="00A54D06"/>
    <w:rsid w:val="00A54FCF"/>
    <w:rsid w:val="00A55511"/>
    <w:rsid w:val="00A558C2"/>
    <w:rsid w:val="00A56780"/>
    <w:rsid w:val="00A56E4D"/>
    <w:rsid w:val="00A572CC"/>
    <w:rsid w:val="00A60508"/>
    <w:rsid w:val="00A60B0D"/>
    <w:rsid w:val="00A61B20"/>
    <w:rsid w:val="00A6330A"/>
    <w:rsid w:val="00A633B1"/>
    <w:rsid w:val="00A640D1"/>
    <w:rsid w:val="00A64CFB"/>
    <w:rsid w:val="00A64E80"/>
    <w:rsid w:val="00A64FCD"/>
    <w:rsid w:val="00A65530"/>
    <w:rsid w:val="00A65BA4"/>
    <w:rsid w:val="00A66372"/>
    <w:rsid w:val="00A663F3"/>
    <w:rsid w:val="00A7032A"/>
    <w:rsid w:val="00A70BB8"/>
    <w:rsid w:val="00A70C70"/>
    <w:rsid w:val="00A717F8"/>
    <w:rsid w:val="00A71A85"/>
    <w:rsid w:val="00A722B1"/>
    <w:rsid w:val="00A73E6F"/>
    <w:rsid w:val="00A742E2"/>
    <w:rsid w:val="00A74BFD"/>
    <w:rsid w:val="00A7710A"/>
    <w:rsid w:val="00A77303"/>
    <w:rsid w:val="00A77919"/>
    <w:rsid w:val="00A809B5"/>
    <w:rsid w:val="00A81584"/>
    <w:rsid w:val="00A82269"/>
    <w:rsid w:val="00A8399A"/>
    <w:rsid w:val="00A85BBB"/>
    <w:rsid w:val="00A91559"/>
    <w:rsid w:val="00A9314C"/>
    <w:rsid w:val="00A946BD"/>
    <w:rsid w:val="00A94E9F"/>
    <w:rsid w:val="00A96E57"/>
    <w:rsid w:val="00AA1D5E"/>
    <w:rsid w:val="00AA5EA9"/>
    <w:rsid w:val="00AA7214"/>
    <w:rsid w:val="00AB0466"/>
    <w:rsid w:val="00AB1D75"/>
    <w:rsid w:val="00AB2F04"/>
    <w:rsid w:val="00AB3B4E"/>
    <w:rsid w:val="00AB5EFC"/>
    <w:rsid w:val="00AB6DCD"/>
    <w:rsid w:val="00AB739B"/>
    <w:rsid w:val="00AC0B61"/>
    <w:rsid w:val="00AC2535"/>
    <w:rsid w:val="00AC31E2"/>
    <w:rsid w:val="00AC363B"/>
    <w:rsid w:val="00AC3A74"/>
    <w:rsid w:val="00AC3F9D"/>
    <w:rsid w:val="00AC4052"/>
    <w:rsid w:val="00AC4587"/>
    <w:rsid w:val="00AC715D"/>
    <w:rsid w:val="00AC74F3"/>
    <w:rsid w:val="00AC7C25"/>
    <w:rsid w:val="00AD0B55"/>
    <w:rsid w:val="00AD1816"/>
    <w:rsid w:val="00AD28E2"/>
    <w:rsid w:val="00AD2BBC"/>
    <w:rsid w:val="00AD428C"/>
    <w:rsid w:val="00AD54E5"/>
    <w:rsid w:val="00AD576D"/>
    <w:rsid w:val="00AD58AF"/>
    <w:rsid w:val="00AD6470"/>
    <w:rsid w:val="00AD6E4C"/>
    <w:rsid w:val="00AD700C"/>
    <w:rsid w:val="00AD70F3"/>
    <w:rsid w:val="00AE05A0"/>
    <w:rsid w:val="00AE0A0F"/>
    <w:rsid w:val="00AE10CA"/>
    <w:rsid w:val="00AE1FB3"/>
    <w:rsid w:val="00AE2410"/>
    <w:rsid w:val="00AE2947"/>
    <w:rsid w:val="00AE6A01"/>
    <w:rsid w:val="00AF16ED"/>
    <w:rsid w:val="00AF26F1"/>
    <w:rsid w:val="00AF301A"/>
    <w:rsid w:val="00AF4393"/>
    <w:rsid w:val="00AF4959"/>
    <w:rsid w:val="00AF4A51"/>
    <w:rsid w:val="00AF6C5A"/>
    <w:rsid w:val="00B002DF"/>
    <w:rsid w:val="00B00A0B"/>
    <w:rsid w:val="00B03009"/>
    <w:rsid w:val="00B03E1F"/>
    <w:rsid w:val="00B04B84"/>
    <w:rsid w:val="00B05112"/>
    <w:rsid w:val="00B06E55"/>
    <w:rsid w:val="00B06FE1"/>
    <w:rsid w:val="00B073E2"/>
    <w:rsid w:val="00B0771D"/>
    <w:rsid w:val="00B07DF8"/>
    <w:rsid w:val="00B1105C"/>
    <w:rsid w:val="00B13007"/>
    <w:rsid w:val="00B13065"/>
    <w:rsid w:val="00B13266"/>
    <w:rsid w:val="00B1403E"/>
    <w:rsid w:val="00B14ACE"/>
    <w:rsid w:val="00B15471"/>
    <w:rsid w:val="00B1645E"/>
    <w:rsid w:val="00B1698C"/>
    <w:rsid w:val="00B16BEA"/>
    <w:rsid w:val="00B16D27"/>
    <w:rsid w:val="00B17772"/>
    <w:rsid w:val="00B20D69"/>
    <w:rsid w:val="00B21130"/>
    <w:rsid w:val="00B23C3D"/>
    <w:rsid w:val="00B24C89"/>
    <w:rsid w:val="00B265FA"/>
    <w:rsid w:val="00B278AF"/>
    <w:rsid w:val="00B27AF5"/>
    <w:rsid w:val="00B303F2"/>
    <w:rsid w:val="00B329DE"/>
    <w:rsid w:val="00B34B12"/>
    <w:rsid w:val="00B362B5"/>
    <w:rsid w:val="00B36A53"/>
    <w:rsid w:val="00B36F48"/>
    <w:rsid w:val="00B4094D"/>
    <w:rsid w:val="00B4116F"/>
    <w:rsid w:val="00B42D53"/>
    <w:rsid w:val="00B4574C"/>
    <w:rsid w:val="00B50656"/>
    <w:rsid w:val="00B50A0B"/>
    <w:rsid w:val="00B51427"/>
    <w:rsid w:val="00B516C8"/>
    <w:rsid w:val="00B5242D"/>
    <w:rsid w:val="00B52F00"/>
    <w:rsid w:val="00B53D72"/>
    <w:rsid w:val="00B54293"/>
    <w:rsid w:val="00B54738"/>
    <w:rsid w:val="00B55A03"/>
    <w:rsid w:val="00B56159"/>
    <w:rsid w:val="00B57350"/>
    <w:rsid w:val="00B611BE"/>
    <w:rsid w:val="00B61342"/>
    <w:rsid w:val="00B6171D"/>
    <w:rsid w:val="00B6205D"/>
    <w:rsid w:val="00B64D3E"/>
    <w:rsid w:val="00B6505D"/>
    <w:rsid w:val="00B65AC4"/>
    <w:rsid w:val="00B678A6"/>
    <w:rsid w:val="00B702EB"/>
    <w:rsid w:val="00B72A61"/>
    <w:rsid w:val="00B74F4A"/>
    <w:rsid w:val="00B753D4"/>
    <w:rsid w:val="00B76DC7"/>
    <w:rsid w:val="00B80600"/>
    <w:rsid w:val="00B813DB"/>
    <w:rsid w:val="00B8348E"/>
    <w:rsid w:val="00B8386F"/>
    <w:rsid w:val="00B83A65"/>
    <w:rsid w:val="00B83BCC"/>
    <w:rsid w:val="00B85229"/>
    <w:rsid w:val="00B8671B"/>
    <w:rsid w:val="00B877A6"/>
    <w:rsid w:val="00B902E8"/>
    <w:rsid w:val="00B90E38"/>
    <w:rsid w:val="00B937C1"/>
    <w:rsid w:val="00B94E4D"/>
    <w:rsid w:val="00B95F47"/>
    <w:rsid w:val="00B9648A"/>
    <w:rsid w:val="00B97D0B"/>
    <w:rsid w:val="00BA1F26"/>
    <w:rsid w:val="00BA22B1"/>
    <w:rsid w:val="00BA2405"/>
    <w:rsid w:val="00BA32AF"/>
    <w:rsid w:val="00BA5319"/>
    <w:rsid w:val="00BA5BBB"/>
    <w:rsid w:val="00BA6179"/>
    <w:rsid w:val="00BA742F"/>
    <w:rsid w:val="00BA7CAB"/>
    <w:rsid w:val="00BB135A"/>
    <w:rsid w:val="00BB253D"/>
    <w:rsid w:val="00BB4C83"/>
    <w:rsid w:val="00BB596E"/>
    <w:rsid w:val="00BB72F2"/>
    <w:rsid w:val="00BC0737"/>
    <w:rsid w:val="00BC2986"/>
    <w:rsid w:val="00BC31E9"/>
    <w:rsid w:val="00BC379B"/>
    <w:rsid w:val="00BC48DA"/>
    <w:rsid w:val="00BC4BA9"/>
    <w:rsid w:val="00BC4D4E"/>
    <w:rsid w:val="00BC5586"/>
    <w:rsid w:val="00BD2A6D"/>
    <w:rsid w:val="00BD2D38"/>
    <w:rsid w:val="00BD3D83"/>
    <w:rsid w:val="00BD4304"/>
    <w:rsid w:val="00BD5124"/>
    <w:rsid w:val="00BD6285"/>
    <w:rsid w:val="00BD7A01"/>
    <w:rsid w:val="00BE23DF"/>
    <w:rsid w:val="00BE26D2"/>
    <w:rsid w:val="00BE2F38"/>
    <w:rsid w:val="00BE5F73"/>
    <w:rsid w:val="00BE7794"/>
    <w:rsid w:val="00BE7FBF"/>
    <w:rsid w:val="00BF1811"/>
    <w:rsid w:val="00BF4B57"/>
    <w:rsid w:val="00BF55C0"/>
    <w:rsid w:val="00BF587A"/>
    <w:rsid w:val="00BF7853"/>
    <w:rsid w:val="00BF7F37"/>
    <w:rsid w:val="00C00E09"/>
    <w:rsid w:val="00C04135"/>
    <w:rsid w:val="00C0593F"/>
    <w:rsid w:val="00C060D8"/>
    <w:rsid w:val="00C06DD5"/>
    <w:rsid w:val="00C1011F"/>
    <w:rsid w:val="00C10B1A"/>
    <w:rsid w:val="00C12007"/>
    <w:rsid w:val="00C14330"/>
    <w:rsid w:val="00C15787"/>
    <w:rsid w:val="00C20924"/>
    <w:rsid w:val="00C2241D"/>
    <w:rsid w:val="00C226A0"/>
    <w:rsid w:val="00C22FF2"/>
    <w:rsid w:val="00C234BE"/>
    <w:rsid w:val="00C24140"/>
    <w:rsid w:val="00C2422A"/>
    <w:rsid w:val="00C24775"/>
    <w:rsid w:val="00C2567C"/>
    <w:rsid w:val="00C26BA0"/>
    <w:rsid w:val="00C26C7B"/>
    <w:rsid w:val="00C275A6"/>
    <w:rsid w:val="00C302D8"/>
    <w:rsid w:val="00C3357D"/>
    <w:rsid w:val="00C34DCE"/>
    <w:rsid w:val="00C357AB"/>
    <w:rsid w:val="00C35A85"/>
    <w:rsid w:val="00C35EE4"/>
    <w:rsid w:val="00C36CFB"/>
    <w:rsid w:val="00C37EFF"/>
    <w:rsid w:val="00C408CE"/>
    <w:rsid w:val="00C40B99"/>
    <w:rsid w:val="00C4164F"/>
    <w:rsid w:val="00C43E8F"/>
    <w:rsid w:val="00C44541"/>
    <w:rsid w:val="00C450CE"/>
    <w:rsid w:val="00C46ECE"/>
    <w:rsid w:val="00C53001"/>
    <w:rsid w:val="00C547E8"/>
    <w:rsid w:val="00C55A6B"/>
    <w:rsid w:val="00C55A70"/>
    <w:rsid w:val="00C569A4"/>
    <w:rsid w:val="00C60121"/>
    <w:rsid w:val="00C61869"/>
    <w:rsid w:val="00C62CA7"/>
    <w:rsid w:val="00C62D93"/>
    <w:rsid w:val="00C63C84"/>
    <w:rsid w:val="00C66BAD"/>
    <w:rsid w:val="00C66EC2"/>
    <w:rsid w:val="00C67286"/>
    <w:rsid w:val="00C67CC5"/>
    <w:rsid w:val="00C70F6A"/>
    <w:rsid w:val="00C7181E"/>
    <w:rsid w:val="00C725C8"/>
    <w:rsid w:val="00C733C2"/>
    <w:rsid w:val="00C736B6"/>
    <w:rsid w:val="00C747CD"/>
    <w:rsid w:val="00C74F52"/>
    <w:rsid w:val="00C75BBA"/>
    <w:rsid w:val="00C77CC3"/>
    <w:rsid w:val="00C77DDC"/>
    <w:rsid w:val="00C80F3F"/>
    <w:rsid w:val="00C8139E"/>
    <w:rsid w:val="00C820EE"/>
    <w:rsid w:val="00C82DCD"/>
    <w:rsid w:val="00C83AA7"/>
    <w:rsid w:val="00C84376"/>
    <w:rsid w:val="00C85A1E"/>
    <w:rsid w:val="00C85E30"/>
    <w:rsid w:val="00C875A4"/>
    <w:rsid w:val="00C877EA"/>
    <w:rsid w:val="00C902A7"/>
    <w:rsid w:val="00C9050B"/>
    <w:rsid w:val="00C90583"/>
    <w:rsid w:val="00C91288"/>
    <w:rsid w:val="00C939DA"/>
    <w:rsid w:val="00C94084"/>
    <w:rsid w:val="00C947DF"/>
    <w:rsid w:val="00C94929"/>
    <w:rsid w:val="00C950D4"/>
    <w:rsid w:val="00C95E0C"/>
    <w:rsid w:val="00C970B3"/>
    <w:rsid w:val="00C97D0A"/>
    <w:rsid w:val="00CA051C"/>
    <w:rsid w:val="00CA0747"/>
    <w:rsid w:val="00CA0938"/>
    <w:rsid w:val="00CA4739"/>
    <w:rsid w:val="00CA4903"/>
    <w:rsid w:val="00CA7BFD"/>
    <w:rsid w:val="00CA7F42"/>
    <w:rsid w:val="00CB2550"/>
    <w:rsid w:val="00CB2944"/>
    <w:rsid w:val="00CB346A"/>
    <w:rsid w:val="00CB4958"/>
    <w:rsid w:val="00CB4F13"/>
    <w:rsid w:val="00CB681F"/>
    <w:rsid w:val="00CB7F1D"/>
    <w:rsid w:val="00CC25D7"/>
    <w:rsid w:val="00CC3256"/>
    <w:rsid w:val="00CC383B"/>
    <w:rsid w:val="00CC3A09"/>
    <w:rsid w:val="00CC3EA6"/>
    <w:rsid w:val="00CC4BAE"/>
    <w:rsid w:val="00CC59E5"/>
    <w:rsid w:val="00CC7252"/>
    <w:rsid w:val="00CD0E88"/>
    <w:rsid w:val="00CD1643"/>
    <w:rsid w:val="00CD1C76"/>
    <w:rsid w:val="00CD30EE"/>
    <w:rsid w:val="00CD35B5"/>
    <w:rsid w:val="00CD5016"/>
    <w:rsid w:val="00CD792C"/>
    <w:rsid w:val="00CD7E37"/>
    <w:rsid w:val="00CD7F03"/>
    <w:rsid w:val="00CE0824"/>
    <w:rsid w:val="00CE1D73"/>
    <w:rsid w:val="00CE309C"/>
    <w:rsid w:val="00CE37DC"/>
    <w:rsid w:val="00CE4087"/>
    <w:rsid w:val="00CE492B"/>
    <w:rsid w:val="00CE4E42"/>
    <w:rsid w:val="00CE6019"/>
    <w:rsid w:val="00CE7042"/>
    <w:rsid w:val="00CE74D9"/>
    <w:rsid w:val="00CF001F"/>
    <w:rsid w:val="00CF0062"/>
    <w:rsid w:val="00CF02A6"/>
    <w:rsid w:val="00CF07DF"/>
    <w:rsid w:val="00CF083A"/>
    <w:rsid w:val="00CF1825"/>
    <w:rsid w:val="00CF1E85"/>
    <w:rsid w:val="00CF2DD9"/>
    <w:rsid w:val="00CF31F0"/>
    <w:rsid w:val="00CF3396"/>
    <w:rsid w:val="00CF37EE"/>
    <w:rsid w:val="00CF5242"/>
    <w:rsid w:val="00CF55BC"/>
    <w:rsid w:val="00CF604E"/>
    <w:rsid w:val="00CF6B03"/>
    <w:rsid w:val="00CF7EE0"/>
    <w:rsid w:val="00D0200D"/>
    <w:rsid w:val="00D02288"/>
    <w:rsid w:val="00D04587"/>
    <w:rsid w:val="00D04EE3"/>
    <w:rsid w:val="00D0576E"/>
    <w:rsid w:val="00D05F9D"/>
    <w:rsid w:val="00D06686"/>
    <w:rsid w:val="00D07637"/>
    <w:rsid w:val="00D10363"/>
    <w:rsid w:val="00D10C6A"/>
    <w:rsid w:val="00D1134A"/>
    <w:rsid w:val="00D11743"/>
    <w:rsid w:val="00D13254"/>
    <w:rsid w:val="00D135A1"/>
    <w:rsid w:val="00D13E7D"/>
    <w:rsid w:val="00D15005"/>
    <w:rsid w:val="00D16A7C"/>
    <w:rsid w:val="00D16CC8"/>
    <w:rsid w:val="00D17A21"/>
    <w:rsid w:val="00D20490"/>
    <w:rsid w:val="00D2189B"/>
    <w:rsid w:val="00D228E7"/>
    <w:rsid w:val="00D246D4"/>
    <w:rsid w:val="00D24EFB"/>
    <w:rsid w:val="00D25550"/>
    <w:rsid w:val="00D270EA"/>
    <w:rsid w:val="00D31101"/>
    <w:rsid w:val="00D31BBB"/>
    <w:rsid w:val="00D3255A"/>
    <w:rsid w:val="00D3255E"/>
    <w:rsid w:val="00D33830"/>
    <w:rsid w:val="00D340BB"/>
    <w:rsid w:val="00D35A22"/>
    <w:rsid w:val="00D3632A"/>
    <w:rsid w:val="00D404B4"/>
    <w:rsid w:val="00D40FC8"/>
    <w:rsid w:val="00D436CA"/>
    <w:rsid w:val="00D43790"/>
    <w:rsid w:val="00D43E4A"/>
    <w:rsid w:val="00D4487C"/>
    <w:rsid w:val="00D449FA"/>
    <w:rsid w:val="00D47487"/>
    <w:rsid w:val="00D53AE4"/>
    <w:rsid w:val="00D54306"/>
    <w:rsid w:val="00D5441D"/>
    <w:rsid w:val="00D554F8"/>
    <w:rsid w:val="00D555C4"/>
    <w:rsid w:val="00D55D72"/>
    <w:rsid w:val="00D55DA7"/>
    <w:rsid w:val="00D56AF0"/>
    <w:rsid w:val="00D57CC2"/>
    <w:rsid w:val="00D57F4A"/>
    <w:rsid w:val="00D605BD"/>
    <w:rsid w:val="00D60A22"/>
    <w:rsid w:val="00D62D0E"/>
    <w:rsid w:val="00D6409A"/>
    <w:rsid w:val="00D65B71"/>
    <w:rsid w:val="00D66535"/>
    <w:rsid w:val="00D677EE"/>
    <w:rsid w:val="00D73710"/>
    <w:rsid w:val="00D74F8C"/>
    <w:rsid w:val="00D76661"/>
    <w:rsid w:val="00D76832"/>
    <w:rsid w:val="00D80D7B"/>
    <w:rsid w:val="00D83134"/>
    <w:rsid w:val="00D842C0"/>
    <w:rsid w:val="00D84992"/>
    <w:rsid w:val="00D854C1"/>
    <w:rsid w:val="00D85B26"/>
    <w:rsid w:val="00D86E20"/>
    <w:rsid w:val="00D8773D"/>
    <w:rsid w:val="00D91643"/>
    <w:rsid w:val="00D92798"/>
    <w:rsid w:val="00D9285F"/>
    <w:rsid w:val="00D94150"/>
    <w:rsid w:val="00D95031"/>
    <w:rsid w:val="00D96BD2"/>
    <w:rsid w:val="00D97883"/>
    <w:rsid w:val="00DA01CC"/>
    <w:rsid w:val="00DA0ECF"/>
    <w:rsid w:val="00DA1B3F"/>
    <w:rsid w:val="00DA2F9F"/>
    <w:rsid w:val="00DA4330"/>
    <w:rsid w:val="00DA4348"/>
    <w:rsid w:val="00DA4796"/>
    <w:rsid w:val="00DA5148"/>
    <w:rsid w:val="00DA5448"/>
    <w:rsid w:val="00DA5919"/>
    <w:rsid w:val="00DA5D2F"/>
    <w:rsid w:val="00DB01D9"/>
    <w:rsid w:val="00DB0523"/>
    <w:rsid w:val="00DB07B6"/>
    <w:rsid w:val="00DB0E6A"/>
    <w:rsid w:val="00DB1FA0"/>
    <w:rsid w:val="00DB43FE"/>
    <w:rsid w:val="00DB7CC1"/>
    <w:rsid w:val="00DB7D74"/>
    <w:rsid w:val="00DC06C0"/>
    <w:rsid w:val="00DC09AE"/>
    <w:rsid w:val="00DC0DB3"/>
    <w:rsid w:val="00DC121D"/>
    <w:rsid w:val="00DC138E"/>
    <w:rsid w:val="00DC2365"/>
    <w:rsid w:val="00DC238B"/>
    <w:rsid w:val="00DC2794"/>
    <w:rsid w:val="00DC3FB2"/>
    <w:rsid w:val="00DC4355"/>
    <w:rsid w:val="00DC48AA"/>
    <w:rsid w:val="00DC5058"/>
    <w:rsid w:val="00DC572A"/>
    <w:rsid w:val="00DC669B"/>
    <w:rsid w:val="00DC69CE"/>
    <w:rsid w:val="00DC77A1"/>
    <w:rsid w:val="00DD0459"/>
    <w:rsid w:val="00DD07FA"/>
    <w:rsid w:val="00DD0A3F"/>
    <w:rsid w:val="00DD171C"/>
    <w:rsid w:val="00DD1873"/>
    <w:rsid w:val="00DD2244"/>
    <w:rsid w:val="00DD256E"/>
    <w:rsid w:val="00DD292A"/>
    <w:rsid w:val="00DD2F8F"/>
    <w:rsid w:val="00DD343D"/>
    <w:rsid w:val="00DD37FF"/>
    <w:rsid w:val="00DD387B"/>
    <w:rsid w:val="00DD4028"/>
    <w:rsid w:val="00DE0E40"/>
    <w:rsid w:val="00DE1191"/>
    <w:rsid w:val="00DE138E"/>
    <w:rsid w:val="00DE1BCF"/>
    <w:rsid w:val="00DE354C"/>
    <w:rsid w:val="00DE3E7C"/>
    <w:rsid w:val="00DE4B42"/>
    <w:rsid w:val="00DE5980"/>
    <w:rsid w:val="00DE7924"/>
    <w:rsid w:val="00DE7F18"/>
    <w:rsid w:val="00DF0358"/>
    <w:rsid w:val="00DF0BB2"/>
    <w:rsid w:val="00DF0F04"/>
    <w:rsid w:val="00DF10FC"/>
    <w:rsid w:val="00DF1802"/>
    <w:rsid w:val="00DF1DBB"/>
    <w:rsid w:val="00DF3108"/>
    <w:rsid w:val="00DF4673"/>
    <w:rsid w:val="00DF48C3"/>
    <w:rsid w:val="00DF5DCD"/>
    <w:rsid w:val="00DF6062"/>
    <w:rsid w:val="00DF64D8"/>
    <w:rsid w:val="00DF6A5E"/>
    <w:rsid w:val="00DF7FA9"/>
    <w:rsid w:val="00E00D09"/>
    <w:rsid w:val="00E01D89"/>
    <w:rsid w:val="00E0449B"/>
    <w:rsid w:val="00E06835"/>
    <w:rsid w:val="00E06982"/>
    <w:rsid w:val="00E06BD5"/>
    <w:rsid w:val="00E06CCA"/>
    <w:rsid w:val="00E07BFF"/>
    <w:rsid w:val="00E11740"/>
    <w:rsid w:val="00E1410F"/>
    <w:rsid w:val="00E145E3"/>
    <w:rsid w:val="00E164AF"/>
    <w:rsid w:val="00E22D77"/>
    <w:rsid w:val="00E246EB"/>
    <w:rsid w:val="00E24EE1"/>
    <w:rsid w:val="00E26B7B"/>
    <w:rsid w:val="00E27877"/>
    <w:rsid w:val="00E300D0"/>
    <w:rsid w:val="00E32876"/>
    <w:rsid w:val="00E332AE"/>
    <w:rsid w:val="00E33998"/>
    <w:rsid w:val="00E33BD9"/>
    <w:rsid w:val="00E35B25"/>
    <w:rsid w:val="00E36203"/>
    <w:rsid w:val="00E37D04"/>
    <w:rsid w:val="00E37FCF"/>
    <w:rsid w:val="00E40643"/>
    <w:rsid w:val="00E40715"/>
    <w:rsid w:val="00E40FA3"/>
    <w:rsid w:val="00E42A32"/>
    <w:rsid w:val="00E43287"/>
    <w:rsid w:val="00E43297"/>
    <w:rsid w:val="00E441DD"/>
    <w:rsid w:val="00E45AB0"/>
    <w:rsid w:val="00E46E20"/>
    <w:rsid w:val="00E47ACE"/>
    <w:rsid w:val="00E502BC"/>
    <w:rsid w:val="00E505A1"/>
    <w:rsid w:val="00E50A86"/>
    <w:rsid w:val="00E52906"/>
    <w:rsid w:val="00E53124"/>
    <w:rsid w:val="00E545A2"/>
    <w:rsid w:val="00E55227"/>
    <w:rsid w:val="00E57645"/>
    <w:rsid w:val="00E57A5D"/>
    <w:rsid w:val="00E60571"/>
    <w:rsid w:val="00E60986"/>
    <w:rsid w:val="00E60A0F"/>
    <w:rsid w:val="00E62823"/>
    <w:rsid w:val="00E62AC6"/>
    <w:rsid w:val="00E63081"/>
    <w:rsid w:val="00E63BE6"/>
    <w:rsid w:val="00E645FC"/>
    <w:rsid w:val="00E65815"/>
    <w:rsid w:val="00E6608D"/>
    <w:rsid w:val="00E66110"/>
    <w:rsid w:val="00E662BF"/>
    <w:rsid w:val="00E66C61"/>
    <w:rsid w:val="00E703E3"/>
    <w:rsid w:val="00E705E1"/>
    <w:rsid w:val="00E731AB"/>
    <w:rsid w:val="00E73502"/>
    <w:rsid w:val="00E74431"/>
    <w:rsid w:val="00E80F76"/>
    <w:rsid w:val="00E811B2"/>
    <w:rsid w:val="00E8527B"/>
    <w:rsid w:val="00E8531C"/>
    <w:rsid w:val="00E85BD7"/>
    <w:rsid w:val="00E86153"/>
    <w:rsid w:val="00E878A1"/>
    <w:rsid w:val="00E90050"/>
    <w:rsid w:val="00E91516"/>
    <w:rsid w:val="00E91A39"/>
    <w:rsid w:val="00E91CF5"/>
    <w:rsid w:val="00E91EE5"/>
    <w:rsid w:val="00E93827"/>
    <w:rsid w:val="00E942F1"/>
    <w:rsid w:val="00E94D0B"/>
    <w:rsid w:val="00E95EDA"/>
    <w:rsid w:val="00E9644E"/>
    <w:rsid w:val="00E97045"/>
    <w:rsid w:val="00EA0834"/>
    <w:rsid w:val="00EA14D5"/>
    <w:rsid w:val="00EA2064"/>
    <w:rsid w:val="00EA2FEB"/>
    <w:rsid w:val="00EA3971"/>
    <w:rsid w:val="00EA4C83"/>
    <w:rsid w:val="00EA58F5"/>
    <w:rsid w:val="00EA6FDE"/>
    <w:rsid w:val="00EA731B"/>
    <w:rsid w:val="00EA7A95"/>
    <w:rsid w:val="00EA7F51"/>
    <w:rsid w:val="00EB3B3F"/>
    <w:rsid w:val="00EB4AF0"/>
    <w:rsid w:val="00EB4EDA"/>
    <w:rsid w:val="00EB4F20"/>
    <w:rsid w:val="00EB567E"/>
    <w:rsid w:val="00EB5DEF"/>
    <w:rsid w:val="00EB64CC"/>
    <w:rsid w:val="00EC2F3C"/>
    <w:rsid w:val="00EC3B42"/>
    <w:rsid w:val="00EC6470"/>
    <w:rsid w:val="00EC7350"/>
    <w:rsid w:val="00ED0894"/>
    <w:rsid w:val="00ED19DB"/>
    <w:rsid w:val="00ED1C46"/>
    <w:rsid w:val="00ED1F0E"/>
    <w:rsid w:val="00ED2250"/>
    <w:rsid w:val="00ED2812"/>
    <w:rsid w:val="00ED3064"/>
    <w:rsid w:val="00ED3A01"/>
    <w:rsid w:val="00ED4863"/>
    <w:rsid w:val="00ED5362"/>
    <w:rsid w:val="00ED5455"/>
    <w:rsid w:val="00ED56FA"/>
    <w:rsid w:val="00ED6332"/>
    <w:rsid w:val="00ED754A"/>
    <w:rsid w:val="00EE05A6"/>
    <w:rsid w:val="00EE20D0"/>
    <w:rsid w:val="00EE24EE"/>
    <w:rsid w:val="00EE2619"/>
    <w:rsid w:val="00EE2A65"/>
    <w:rsid w:val="00EE757F"/>
    <w:rsid w:val="00EE7E21"/>
    <w:rsid w:val="00EF035C"/>
    <w:rsid w:val="00EF0AC7"/>
    <w:rsid w:val="00EF262A"/>
    <w:rsid w:val="00EF4022"/>
    <w:rsid w:val="00EF45F4"/>
    <w:rsid w:val="00EF470E"/>
    <w:rsid w:val="00EF6196"/>
    <w:rsid w:val="00EF6DF8"/>
    <w:rsid w:val="00EF7656"/>
    <w:rsid w:val="00EF767A"/>
    <w:rsid w:val="00EF78D1"/>
    <w:rsid w:val="00F02970"/>
    <w:rsid w:val="00F02B46"/>
    <w:rsid w:val="00F031D5"/>
    <w:rsid w:val="00F05856"/>
    <w:rsid w:val="00F0623D"/>
    <w:rsid w:val="00F06DFC"/>
    <w:rsid w:val="00F072B9"/>
    <w:rsid w:val="00F07344"/>
    <w:rsid w:val="00F07C1D"/>
    <w:rsid w:val="00F107C9"/>
    <w:rsid w:val="00F10AA5"/>
    <w:rsid w:val="00F10AC4"/>
    <w:rsid w:val="00F11C97"/>
    <w:rsid w:val="00F12E25"/>
    <w:rsid w:val="00F12F45"/>
    <w:rsid w:val="00F13998"/>
    <w:rsid w:val="00F15864"/>
    <w:rsid w:val="00F15D27"/>
    <w:rsid w:val="00F1725B"/>
    <w:rsid w:val="00F175A5"/>
    <w:rsid w:val="00F20C41"/>
    <w:rsid w:val="00F21E41"/>
    <w:rsid w:val="00F221A4"/>
    <w:rsid w:val="00F23014"/>
    <w:rsid w:val="00F230A9"/>
    <w:rsid w:val="00F25396"/>
    <w:rsid w:val="00F26376"/>
    <w:rsid w:val="00F27783"/>
    <w:rsid w:val="00F27B3B"/>
    <w:rsid w:val="00F31D72"/>
    <w:rsid w:val="00F31F34"/>
    <w:rsid w:val="00F32A32"/>
    <w:rsid w:val="00F33CEF"/>
    <w:rsid w:val="00F33FCE"/>
    <w:rsid w:val="00F3400D"/>
    <w:rsid w:val="00F34696"/>
    <w:rsid w:val="00F34D9B"/>
    <w:rsid w:val="00F34DED"/>
    <w:rsid w:val="00F34F26"/>
    <w:rsid w:val="00F359E4"/>
    <w:rsid w:val="00F36356"/>
    <w:rsid w:val="00F40772"/>
    <w:rsid w:val="00F4086A"/>
    <w:rsid w:val="00F40978"/>
    <w:rsid w:val="00F4100A"/>
    <w:rsid w:val="00F4180A"/>
    <w:rsid w:val="00F42277"/>
    <w:rsid w:val="00F4253B"/>
    <w:rsid w:val="00F42A66"/>
    <w:rsid w:val="00F443E4"/>
    <w:rsid w:val="00F444F0"/>
    <w:rsid w:val="00F447A8"/>
    <w:rsid w:val="00F46F34"/>
    <w:rsid w:val="00F4716B"/>
    <w:rsid w:val="00F47203"/>
    <w:rsid w:val="00F47E16"/>
    <w:rsid w:val="00F506CB"/>
    <w:rsid w:val="00F51262"/>
    <w:rsid w:val="00F51BD2"/>
    <w:rsid w:val="00F530E5"/>
    <w:rsid w:val="00F5356C"/>
    <w:rsid w:val="00F53F1F"/>
    <w:rsid w:val="00F5420A"/>
    <w:rsid w:val="00F5499A"/>
    <w:rsid w:val="00F54BFB"/>
    <w:rsid w:val="00F55F3C"/>
    <w:rsid w:val="00F5666D"/>
    <w:rsid w:val="00F56AED"/>
    <w:rsid w:val="00F57589"/>
    <w:rsid w:val="00F57992"/>
    <w:rsid w:val="00F579DD"/>
    <w:rsid w:val="00F57F7F"/>
    <w:rsid w:val="00F60745"/>
    <w:rsid w:val="00F60C18"/>
    <w:rsid w:val="00F6132B"/>
    <w:rsid w:val="00F61343"/>
    <w:rsid w:val="00F62BBF"/>
    <w:rsid w:val="00F62C0E"/>
    <w:rsid w:val="00F62E4C"/>
    <w:rsid w:val="00F638F2"/>
    <w:rsid w:val="00F6426A"/>
    <w:rsid w:val="00F64353"/>
    <w:rsid w:val="00F651ED"/>
    <w:rsid w:val="00F656B8"/>
    <w:rsid w:val="00F672EE"/>
    <w:rsid w:val="00F675E8"/>
    <w:rsid w:val="00F67D8C"/>
    <w:rsid w:val="00F7077A"/>
    <w:rsid w:val="00F70CDF"/>
    <w:rsid w:val="00F71C5D"/>
    <w:rsid w:val="00F71D25"/>
    <w:rsid w:val="00F71E18"/>
    <w:rsid w:val="00F751B0"/>
    <w:rsid w:val="00F75BAB"/>
    <w:rsid w:val="00F76B66"/>
    <w:rsid w:val="00F80BC2"/>
    <w:rsid w:val="00F80F96"/>
    <w:rsid w:val="00F81095"/>
    <w:rsid w:val="00F81180"/>
    <w:rsid w:val="00F8154C"/>
    <w:rsid w:val="00F81652"/>
    <w:rsid w:val="00F82C71"/>
    <w:rsid w:val="00F83822"/>
    <w:rsid w:val="00F85A7C"/>
    <w:rsid w:val="00F87C99"/>
    <w:rsid w:val="00F91F6C"/>
    <w:rsid w:val="00F920F9"/>
    <w:rsid w:val="00F92E55"/>
    <w:rsid w:val="00F945BC"/>
    <w:rsid w:val="00F94AB8"/>
    <w:rsid w:val="00F9527A"/>
    <w:rsid w:val="00F95469"/>
    <w:rsid w:val="00F97316"/>
    <w:rsid w:val="00FA0554"/>
    <w:rsid w:val="00FA0FD2"/>
    <w:rsid w:val="00FA198A"/>
    <w:rsid w:val="00FA2A61"/>
    <w:rsid w:val="00FA2BCE"/>
    <w:rsid w:val="00FA335E"/>
    <w:rsid w:val="00FA37F0"/>
    <w:rsid w:val="00FA3DAC"/>
    <w:rsid w:val="00FA51E3"/>
    <w:rsid w:val="00FA576F"/>
    <w:rsid w:val="00FA5EFC"/>
    <w:rsid w:val="00FA7206"/>
    <w:rsid w:val="00FA7B1F"/>
    <w:rsid w:val="00FB053D"/>
    <w:rsid w:val="00FB127B"/>
    <w:rsid w:val="00FB2792"/>
    <w:rsid w:val="00FB3798"/>
    <w:rsid w:val="00FB3FF7"/>
    <w:rsid w:val="00FB43E5"/>
    <w:rsid w:val="00FB57E3"/>
    <w:rsid w:val="00FB5BEC"/>
    <w:rsid w:val="00FB6279"/>
    <w:rsid w:val="00FB7F99"/>
    <w:rsid w:val="00FC19BE"/>
    <w:rsid w:val="00FC2134"/>
    <w:rsid w:val="00FC23E0"/>
    <w:rsid w:val="00FC4A09"/>
    <w:rsid w:val="00FC4CC1"/>
    <w:rsid w:val="00FC77B6"/>
    <w:rsid w:val="00FD0623"/>
    <w:rsid w:val="00FD136F"/>
    <w:rsid w:val="00FD192C"/>
    <w:rsid w:val="00FD2736"/>
    <w:rsid w:val="00FD2B78"/>
    <w:rsid w:val="00FD2DEC"/>
    <w:rsid w:val="00FE025B"/>
    <w:rsid w:val="00FE1FBD"/>
    <w:rsid w:val="00FE2292"/>
    <w:rsid w:val="00FE2D63"/>
    <w:rsid w:val="00FE4633"/>
    <w:rsid w:val="00FE4C1D"/>
    <w:rsid w:val="00FE4C2E"/>
    <w:rsid w:val="00FE51A2"/>
    <w:rsid w:val="00FE66C6"/>
    <w:rsid w:val="00FE7AEF"/>
    <w:rsid w:val="00FF1C92"/>
    <w:rsid w:val="00FF3424"/>
    <w:rsid w:val="00FF4A00"/>
    <w:rsid w:val="00FF5D08"/>
    <w:rsid w:val="00FF7482"/>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D9369"/>
  <w15:chartTrackingRefBased/>
  <w15:docId w15:val="{366C4429-E65C-482C-A66A-AE2108B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2F"/>
    <w:rPr>
      <w:rFonts w:ascii="Arial" w:hAnsi="Arial"/>
      <w:sz w:val="24"/>
      <w:lang w:val="en-GB"/>
    </w:rPr>
  </w:style>
  <w:style w:type="paragraph" w:styleId="Heading1">
    <w:name w:val="heading 1"/>
    <w:basedOn w:val="Normal"/>
    <w:next w:val="Normal"/>
    <w:link w:val="Heading1Char"/>
    <w:uiPriority w:val="9"/>
    <w:qFormat/>
    <w:rsid w:val="00FB053D"/>
    <w:pPr>
      <w:keepNext/>
      <w:keepLines/>
      <w:spacing w:before="24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qFormat/>
    <w:rsid w:val="00055820"/>
    <w:pPr>
      <w:keepNext/>
      <w:keepLines/>
      <w:spacing w:before="200" w:after="0" w:line="360" w:lineRule="auto"/>
      <w:outlineLvl w:val="1"/>
    </w:pPr>
    <w:rPr>
      <w:rFonts w:eastAsia="Times New Roman" w:cs="Times New Roman"/>
      <w:b/>
      <w:bCs/>
      <w:color w:val="0A77B3"/>
      <w:szCs w:val="26"/>
      <w:lang w:val="en-US" w:bidi="en-US"/>
    </w:rPr>
  </w:style>
  <w:style w:type="paragraph" w:styleId="Heading3">
    <w:name w:val="heading 3"/>
    <w:basedOn w:val="Normal"/>
    <w:next w:val="Normal"/>
    <w:link w:val="Heading3Char"/>
    <w:uiPriority w:val="9"/>
    <w:unhideWhenUsed/>
    <w:qFormat/>
    <w:rsid w:val="00447659"/>
    <w:pPr>
      <w:keepNext/>
      <w:keepLines/>
      <w:spacing w:before="40" w:after="240"/>
      <w:ind w:left="708"/>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AC7"/>
    <w:rPr>
      <w:rFonts w:ascii="Arial" w:eastAsia="Times New Roman" w:hAnsi="Arial" w:cs="Times New Roman"/>
      <w:b/>
      <w:bCs/>
      <w:color w:val="0A77B3"/>
      <w:sz w:val="24"/>
      <w:szCs w:val="26"/>
      <w:lang w:val="en-US" w:bidi="en-US"/>
    </w:rPr>
  </w:style>
  <w:style w:type="character" w:styleId="Hyperlink">
    <w:name w:val="Hyperlink"/>
    <w:uiPriority w:val="99"/>
    <w:unhideWhenUsed/>
    <w:rsid w:val="005A1AC7"/>
    <w:rPr>
      <w:color w:val="0000FF"/>
      <w:u w:val="single"/>
    </w:rPr>
  </w:style>
  <w:style w:type="character" w:customStyle="1" w:styleId="Heading1Char">
    <w:name w:val="Heading 1 Char"/>
    <w:basedOn w:val="DefaultParagraphFont"/>
    <w:link w:val="Heading1"/>
    <w:uiPriority w:val="9"/>
    <w:rsid w:val="00FB053D"/>
    <w:rPr>
      <w:rFonts w:ascii="Arial" w:eastAsiaTheme="majorEastAsia" w:hAnsi="Arial" w:cstheme="majorBidi"/>
      <w:b/>
      <w:color w:val="365F91" w:themeColor="accent1" w:themeShade="BF"/>
      <w:sz w:val="28"/>
      <w:szCs w:val="32"/>
      <w:lang w:val="en-GB"/>
    </w:rPr>
  </w:style>
  <w:style w:type="paragraph" w:styleId="Title">
    <w:name w:val="Title"/>
    <w:basedOn w:val="Normal"/>
    <w:next w:val="Normal"/>
    <w:link w:val="TitleChar"/>
    <w:uiPriority w:val="10"/>
    <w:qFormat/>
    <w:rsid w:val="00A54D06"/>
    <w:pPr>
      <w:spacing w:after="0" w:line="240" w:lineRule="auto"/>
      <w:contextualSpacing/>
    </w:pPr>
    <w:rPr>
      <w:rFonts w:eastAsiaTheme="majorEastAsia" w:cstheme="majorBidi"/>
      <w:b/>
      <w:color w:val="0070C0"/>
      <w:spacing w:val="-10"/>
      <w:kern w:val="28"/>
      <w:sz w:val="28"/>
      <w:szCs w:val="56"/>
    </w:rPr>
  </w:style>
  <w:style w:type="character" w:customStyle="1" w:styleId="TitleChar">
    <w:name w:val="Title Char"/>
    <w:basedOn w:val="DefaultParagraphFont"/>
    <w:link w:val="Title"/>
    <w:rsid w:val="00A54D06"/>
    <w:rPr>
      <w:rFonts w:ascii="Arial" w:eastAsiaTheme="majorEastAsia" w:hAnsi="Arial" w:cstheme="majorBidi"/>
      <w:b/>
      <w:color w:val="0070C0"/>
      <w:spacing w:val="-10"/>
      <w:kern w:val="28"/>
      <w:sz w:val="28"/>
      <w:szCs w:val="56"/>
      <w:lang w:val="en-GB"/>
    </w:rPr>
  </w:style>
  <w:style w:type="paragraph" w:styleId="NoSpacing">
    <w:name w:val="No Spacing"/>
    <w:uiPriority w:val="1"/>
    <w:qFormat/>
    <w:rsid w:val="00CC3256"/>
    <w:pPr>
      <w:spacing w:after="0" w:line="240" w:lineRule="auto"/>
    </w:pPr>
    <w:rPr>
      <w:lang w:val="en-GB"/>
    </w:rPr>
  </w:style>
  <w:style w:type="paragraph" w:styleId="Header">
    <w:name w:val="header"/>
    <w:basedOn w:val="Normal"/>
    <w:link w:val="HeaderChar"/>
    <w:uiPriority w:val="99"/>
    <w:unhideWhenUsed/>
    <w:rsid w:val="00F62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2C0E"/>
    <w:rPr>
      <w:rFonts w:ascii="Arial" w:hAnsi="Arial"/>
      <w:lang w:val="en-GB"/>
    </w:rPr>
  </w:style>
  <w:style w:type="paragraph" w:styleId="Footer">
    <w:name w:val="footer"/>
    <w:basedOn w:val="Normal"/>
    <w:link w:val="FooterChar"/>
    <w:uiPriority w:val="99"/>
    <w:unhideWhenUsed/>
    <w:rsid w:val="00F62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2C0E"/>
    <w:rPr>
      <w:rFonts w:ascii="Arial" w:hAnsi="Arial"/>
      <w:lang w:val="en-GB"/>
    </w:rPr>
  </w:style>
  <w:style w:type="character" w:styleId="FollowedHyperlink">
    <w:name w:val="FollowedHyperlink"/>
    <w:basedOn w:val="DefaultParagraphFont"/>
    <w:uiPriority w:val="99"/>
    <w:semiHidden/>
    <w:unhideWhenUsed/>
    <w:rsid w:val="000A4B4C"/>
    <w:rPr>
      <w:color w:val="800080" w:themeColor="followedHyperlink"/>
      <w:u w:val="single"/>
    </w:rPr>
  </w:style>
  <w:style w:type="character" w:styleId="Mention">
    <w:name w:val="Mention"/>
    <w:basedOn w:val="DefaultParagraphFont"/>
    <w:uiPriority w:val="99"/>
    <w:semiHidden/>
    <w:unhideWhenUsed/>
    <w:rsid w:val="000A4B4C"/>
    <w:rPr>
      <w:color w:val="2B579A"/>
      <w:shd w:val="clear" w:color="auto" w:fill="E6E6E6"/>
    </w:rPr>
  </w:style>
  <w:style w:type="paragraph" w:styleId="ListParagraph">
    <w:name w:val="List Paragraph"/>
    <w:basedOn w:val="Normal"/>
    <w:uiPriority w:val="34"/>
    <w:qFormat/>
    <w:rsid w:val="003A3B17"/>
    <w:pPr>
      <w:ind w:left="720"/>
      <w:contextualSpacing/>
    </w:pPr>
  </w:style>
  <w:style w:type="character" w:styleId="CommentReference">
    <w:name w:val="annotation reference"/>
    <w:basedOn w:val="DefaultParagraphFont"/>
    <w:uiPriority w:val="99"/>
    <w:semiHidden/>
    <w:unhideWhenUsed/>
    <w:qFormat/>
    <w:rsid w:val="00784C67"/>
    <w:rPr>
      <w:sz w:val="16"/>
      <w:szCs w:val="16"/>
    </w:rPr>
  </w:style>
  <w:style w:type="paragraph" w:styleId="CommentText">
    <w:name w:val="annotation text"/>
    <w:basedOn w:val="Normal"/>
    <w:link w:val="CommentTextChar"/>
    <w:uiPriority w:val="99"/>
    <w:unhideWhenUsed/>
    <w:qFormat/>
    <w:rsid w:val="00784C67"/>
    <w:pPr>
      <w:spacing w:line="240" w:lineRule="auto"/>
    </w:pPr>
    <w:rPr>
      <w:sz w:val="20"/>
      <w:szCs w:val="20"/>
    </w:rPr>
  </w:style>
  <w:style w:type="character" w:customStyle="1" w:styleId="CommentTextChar">
    <w:name w:val="Comment Text Char"/>
    <w:basedOn w:val="DefaultParagraphFont"/>
    <w:link w:val="CommentText"/>
    <w:uiPriority w:val="99"/>
    <w:qFormat/>
    <w:rsid w:val="00784C6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84C67"/>
    <w:rPr>
      <w:b/>
      <w:bCs/>
    </w:rPr>
  </w:style>
  <w:style w:type="character" w:customStyle="1" w:styleId="CommentSubjectChar">
    <w:name w:val="Comment Subject Char"/>
    <w:basedOn w:val="CommentTextChar"/>
    <w:link w:val="CommentSubject"/>
    <w:uiPriority w:val="99"/>
    <w:semiHidden/>
    <w:rsid w:val="00784C67"/>
    <w:rPr>
      <w:rFonts w:ascii="Arial" w:hAnsi="Arial"/>
      <w:b/>
      <w:bCs/>
      <w:sz w:val="20"/>
      <w:szCs w:val="20"/>
      <w:lang w:val="en-GB"/>
    </w:rPr>
  </w:style>
  <w:style w:type="paragraph" w:styleId="BalloonText">
    <w:name w:val="Balloon Text"/>
    <w:basedOn w:val="Normal"/>
    <w:link w:val="BalloonTextChar"/>
    <w:uiPriority w:val="99"/>
    <w:semiHidden/>
    <w:unhideWhenUsed/>
    <w:rsid w:val="00784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C67"/>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9379AA"/>
    <w:rPr>
      <w:color w:val="605E5C"/>
      <w:shd w:val="clear" w:color="auto" w:fill="E1DFDD"/>
    </w:rPr>
  </w:style>
  <w:style w:type="paragraph" w:styleId="EndnoteText">
    <w:name w:val="endnote text"/>
    <w:basedOn w:val="Normal"/>
    <w:link w:val="EndnoteTextChar"/>
    <w:uiPriority w:val="99"/>
    <w:unhideWhenUsed/>
    <w:rsid w:val="00DA5D2F"/>
    <w:pPr>
      <w:spacing w:after="0" w:line="240" w:lineRule="auto"/>
    </w:pPr>
    <w:rPr>
      <w:rFonts w:asciiTheme="minorHAnsi" w:hAnsiTheme="minorHAnsi"/>
      <w:sz w:val="20"/>
      <w:szCs w:val="20"/>
      <w:lang w:val="fr-BE"/>
    </w:rPr>
  </w:style>
  <w:style w:type="character" w:customStyle="1" w:styleId="EndnoteTextChar">
    <w:name w:val="Endnote Text Char"/>
    <w:basedOn w:val="DefaultParagraphFont"/>
    <w:link w:val="EndnoteText"/>
    <w:uiPriority w:val="99"/>
    <w:rsid w:val="00DA5D2F"/>
    <w:rPr>
      <w:sz w:val="20"/>
      <w:szCs w:val="20"/>
    </w:rPr>
  </w:style>
  <w:style w:type="character" w:styleId="EndnoteReference">
    <w:name w:val="endnote reference"/>
    <w:basedOn w:val="DefaultParagraphFont"/>
    <w:uiPriority w:val="99"/>
    <w:semiHidden/>
    <w:unhideWhenUsed/>
    <w:rsid w:val="00DA5D2F"/>
    <w:rPr>
      <w:vertAlign w:val="superscript"/>
    </w:rPr>
  </w:style>
  <w:style w:type="paragraph" w:styleId="NormalWeb">
    <w:name w:val="Normal (Web)"/>
    <w:basedOn w:val="Normal"/>
    <w:uiPriority w:val="99"/>
    <w:semiHidden/>
    <w:unhideWhenUsed/>
    <w:rsid w:val="0089408E"/>
    <w:rPr>
      <w:rFonts w:ascii="Times New Roman" w:hAnsi="Times New Roman" w:cs="Times New Roman"/>
      <w:szCs w:val="24"/>
    </w:rPr>
  </w:style>
  <w:style w:type="character" w:customStyle="1" w:styleId="UnresolvedMention2">
    <w:name w:val="Unresolved Mention2"/>
    <w:basedOn w:val="DefaultParagraphFont"/>
    <w:uiPriority w:val="99"/>
    <w:semiHidden/>
    <w:unhideWhenUsed/>
    <w:rsid w:val="00E811B2"/>
    <w:rPr>
      <w:color w:val="605E5C"/>
      <w:shd w:val="clear" w:color="auto" w:fill="E1DFDD"/>
    </w:rPr>
  </w:style>
  <w:style w:type="paragraph" w:styleId="FootnoteText">
    <w:name w:val="footnote text"/>
    <w:basedOn w:val="Normal"/>
    <w:link w:val="FootnoteTextChar"/>
    <w:uiPriority w:val="99"/>
    <w:unhideWhenUsed/>
    <w:qFormat/>
    <w:rsid w:val="00AD700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D700C"/>
    <w:rPr>
      <w:rFonts w:ascii="Arial" w:hAnsi="Arial"/>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AD700C"/>
    <w:rPr>
      <w:vertAlign w:val="superscript"/>
    </w:rPr>
  </w:style>
  <w:style w:type="character" w:customStyle="1" w:styleId="Heading3Char">
    <w:name w:val="Heading 3 Char"/>
    <w:basedOn w:val="DefaultParagraphFont"/>
    <w:link w:val="Heading3"/>
    <w:uiPriority w:val="9"/>
    <w:rsid w:val="00447659"/>
    <w:rPr>
      <w:rFonts w:ascii="Arial" w:eastAsiaTheme="majorEastAsia" w:hAnsi="Arial" w:cstheme="majorBidi"/>
      <w:b/>
      <w:color w:val="243F60" w:themeColor="accent1" w:themeShade="7F"/>
      <w:szCs w:val="24"/>
      <w:lang w:val="en-GB"/>
    </w:rPr>
  </w:style>
  <w:style w:type="character" w:customStyle="1" w:styleId="Mentionnonrsolue1">
    <w:name w:val="Mention non résolue1"/>
    <w:basedOn w:val="DefaultParagraphFont"/>
    <w:uiPriority w:val="99"/>
    <w:semiHidden/>
    <w:unhideWhenUsed/>
    <w:rsid w:val="0007074B"/>
    <w:rPr>
      <w:color w:val="605E5C"/>
      <w:shd w:val="clear" w:color="auto" w:fill="E1DFDD"/>
    </w:rPr>
  </w:style>
  <w:style w:type="paragraph" w:customStyle="1" w:styleId="Default">
    <w:name w:val="Default"/>
    <w:rsid w:val="00031197"/>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622B2"/>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8622B2"/>
    <w:pPr>
      <w:spacing w:after="100"/>
    </w:pPr>
  </w:style>
  <w:style w:type="paragraph" w:styleId="TOC2">
    <w:name w:val="toc 2"/>
    <w:basedOn w:val="Normal"/>
    <w:next w:val="Normal"/>
    <w:autoRedefine/>
    <w:uiPriority w:val="39"/>
    <w:unhideWhenUsed/>
    <w:rsid w:val="008622B2"/>
    <w:pPr>
      <w:spacing w:after="100"/>
      <w:ind w:left="220"/>
    </w:pPr>
  </w:style>
  <w:style w:type="paragraph" w:styleId="TOC3">
    <w:name w:val="toc 3"/>
    <w:basedOn w:val="Normal"/>
    <w:next w:val="Normal"/>
    <w:autoRedefine/>
    <w:uiPriority w:val="39"/>
    <w:unhideWhenUsed/>
    <w:rsid w:val="008622B2"/>
    <w:pPr>
      <w:spacing w:after="100"/>
      <w:ind w:left="440"/>
    </w:pPr>
  </w:style>
  <w:style w:type="character" w:customStyle="1" w:styleId="A10">
    <w:name w:val="A10"/>
    <w:uiPriority w:val="99"/>
    <w:rsid w:val="00CD0E88"/>
    <w:rPr>
      <w:rFonts w:cs="QNFQU P+ Interstate"/>
      <w:color w:val="000000"/>
      <w:sz w:val="12"/>
      <w:szCs w:val="12"/>
    </w:rPr>
  </w:style>
  <w:style w:type="character" w:styleId="Strong">
    <w:name w:val="Strong"/>
    <w:basedOn w:val="DefaultParagraphFont"/>
    <w:uiPriority w:val="22"/>
    <w:qFormat/>
    <w:rsid w:val="00061A9F"/>
    <w:rPr>
      <w:b/>
      <w:bCs/>
    </w:rPr>
  </w:style>
  <w:style w:type="paragraph" w:customStyle="1" w:styleId="Pa4">
    <w:name w:val="Pa4"/>
    <w:basedOn w:val="Default"/>
    <w:next w:val="Default"/>
    <w:uiPriority w:val="99"/>
    <w:rsid w:val="00ED4863"/>
    <w:pPr>
      <w:spacing w:line="220" w:lineRule="atLeast"/>
    </w:pPr>
    <w:rPr>
      <w:rFonts w:ascii="Interstate Light" w:hAnsi="Interstate Light" w:cstheme="minorBidi"/>
      <w:color w:val="auto"/>
    </w:rPr>
  </w:style>
  <w:style w:type="paragraph" w:customStyle="1" w:styleId="Normal1">
    <w:name w:val="Normal1"/>
    <w:basedOn w:val="Normal"/>
    <w:rsid w:val="00F06DFC"/>
    <w:pPr>
      <w:spacing w:before="100" w:beforeAutospacing="1" w:after="100" w:afterAutospacing="1" w:line="240" w:lineRule="auto"/>
    </w:pPr>
    <w:rPr>
      <w:rFonts w:ascii="Times New Roman" w:eastAsia="Times New Roman" w:hAnsi="Times New Roman" w:cs="Times New Roman"/>
      <w:szCs w:val="24"/>
      <w:lang w:val="fr-BE" w:eastAsia="fr-BE"/>
    </w:rPr>
  </w:style>
  <w:style w:type="paragraph" w:customStyle="1" w:styleId="p11">
    <w:name w:val="p11"/>
    <w:basedOn w:val="Normal"/>
    <w:rsid w:val="006A3F5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1">
    <w:name w:val="s1"/>
    <w:basedOn w:val="DefaultParagraphFont"/>
    <w:rsid w:val="006A3F57"/>
  </w:style>
  <w:style w:type="character" w:customStyle="1" w:styleId="s21">
    <w:name w:val="s21"/>
    <w:basedOn w:val="DefaultParagraphFont"/>
    <w:rsid w:val="006A3F57"/>
  </w:style>
  <w:style w:type="character" w:customStyle="1" w:styleId="Mentionnonrsolue2">
    <w:name w:val="Mention non résolue2"/>
    <w:basedOn w:val="DefaultParagraphFont"/>
    <w:uiPriority w:val="99"/>
    <w:semiHidden/>
    <w:unhideWhenUsed/>
    <w:rsid w:val="006A3F57"/>
    <w:rPr>
      <w:color w:val="605E5C"/>
      <w:shd w:val="clear" w:color="auto" w:fill="E1DFDD"/>
    </w:rPr>
  </w:style>
  <w:style w:type="character" w:customStyle="1" w:styleId="A5">
    <w:name w:val="A5"/>
    <w:uiPriority w:val="99"/>
    <w:rsid w:val="00F1725B"/>
    <w:rPr>
      <w:rFonts w:cs="DaxlinePro"/>
      <w:color w:val="000000"/>
      <w:sz w:val="10"/>
      <w:szCs w:val="10"/>
    </w:rPr>
  </w:style>
  <w:style w:type="table" w:styleId="TableGrid">
    <w:name w:val="Table Grid"/>
    <w:basedOn w:val="TableNormal"/>
    <w:uiPriority w:val="59"/>
    <w:rsid w:val="00FB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MChar">
    <w:name w:val="FootnoteRM Char"/>
    <w:basedOn w:val="DefaultParagraphFont"/>
    <w:link w:val="FootnoteRM"/>
    <w:locked/>
    <w:rsid w:val="00A37FAF"/>
    <w:rPr>
      <w:rFonts w:cstheme="minorHAnsi"/>
      <w:sz w:val="18"/>
      <w:szCs w:val="18"/>
    </w:rPr>
  </w:style>
  <w:style w:type="paragraph" w:customStyle="1" w:styleId="FootnoteRM">
    <w:name w:val="FootnoteRM"/>
    <w:basedOn w:val="FootnoteText"/>
    <w:link w:val="FootnoteRMChar"/>
    <w:qFormat/>
    <w:rsid w:val="00A37FAF"/>
    <w:pPr>
      <w:jc w:val="both"/>
    </w:pPr>
    <w:rPr>
      <w:rFonts w:asciiTheme="minorHAnsi" w:hAnsiTheme="minorHAnsi" w:cstheme="minorHAnsi"/>
      <w:sz w:val="18"/>
      <w:szCs w:val="18"/>
      <w:lang w:val="fr-BE"/>
    </w:rPr>
  </w:style>
  <w:style w:type="character" w:styleId="UnresolvedMention">
    <w:name w:val="Unresolved Mention"/>
    <w:basedOn w:val="DefaultParagraphFont"/>
    <w:uiPriority w:val="99"/>
    <w:semiHidden/>
    <w:unhideWhenUsed/>
    <w:rsid w:val="004C5C94"/>
    <w:rPr>
      <w:color w:val="605E5C"/>
      <w:shd w:val="clear" w:color="auto" w:fill="E1DFDD"/>
    </w:rPr>
  </w:style>
  <w:style w:type="paragraph" w:styleId="Revision">
    <w:name w:val="Revision"/>
    <w:hidden/>
    <w:uiPriority w:val="99"/>
    <w:semiHidden/>
    <w:rsid w:val="0017435D"/>
    <w:pPr>
      <w:spacing w:after="0" w:line="240" w:lineRule="auto"/>
    </w:pPr>
    <w:rPr>
      <w:rFonts w:ascii="Arial" w:hAnsi="Arial"/>
      <w:lang w:val="en-GB"/>
    </w:rPr>
  </w:style>
  <w:style w:type="character" w:customStyle="1" w:styleId="Caractresdenotedebasdepage">
    <w:name w:val="Caractères de note de bas de page"/>
    <w:rsid w:val="009C24CB"/>
    <w:rPr>
      <w:rFonts w:ascii="TimesNewRomanPS" w:hAnsi="TimesNewRomanPS" w:cs="TimesNewRomanPS"/>
      <w:position w:val="6"/>
    </w:rPr>
  </w:style>
  <w:style w:type="paragraph" w:customStyle="1" w:styleId="Pa1">
    <w:name w:val="Pa1"/>
    <w:basedOn w:val="Default"/>
    <w:next w:val="Default"/>
    <w:uiPriority w:val="99"/>
    <w:rsid w:val="00B23C3D"/>
    <w:pPr>
      <w:spacing w:line="221" w:lineRule="atLeast"/>
    </w:pPr>
    <w:rPr>
      <w:rFonts w:ascii="NXCAE V+ Interstate" w:hAnsi="NXCAE V+ Interstate" w:cstheme="minorBidi"/>
      <w:color w:val="auto"/>
    </w:rPr>
  </w:style>
  <w:style w:type="character" w:customStyle="1" w:styleId="A16">
    <w:name w:val="A16"/>
    <w:uiPriority w:val="99"/>
    <w:rsid w:val="00976C67"/>
    <w:rPr>
      <w:rFonts w:cs="NXCAE V+ Interstate"/>
      <w:color w:val="000000"/>
      <w:sz w:val="19"/>
      <w:szCs w:val="19"/>
    </w:rPr>
  </w:style>
  <w:style w:type="paragraph" w:customStyle="1" w:styleId="CoverTitle">
    <w:name w:val="Cover Title"/>
    <w:basedOn w:val="Normal"/>
    <w:next w:val="Normal"/>
    <w:link w:val="CoverTitleChar"/>
    <w:qFormat/>
    <w:rsid w:val="00F443E4"/>
    <w:pPr>
      <w:spacing w:before="840" w:after="0" w:line="240" w:lineRule="auto"/>
    </w:pPr>
    <w:rPr>
      <w:b/>
      <w:color w:val="FFFFFF" w:themeColor="background1"/>
      <w:sz w:val="96"/>
    </w:rPr>
  </w:style>
  <w:style w:type="paragraph" w:styleId="Subtitle">
    <w:name w:val="Subtitle"/>
    <w:basedOn w:val="Normal"/>
    <w:next w:val="Normal"/>
    <w:link w:val="SubtitleChar"/>
    <w:qFormat/>
    <w:rsid w:val="00E55227"/>
    <w:pPr>
      <w:numPr>
        <w:ilvl w:val="1"/>
      </w:numPr>
      <w:spacing w:before="120" w:after="120" w:line="259" w:lineRule="auto"/>
    </w:pPr>
    <w:rPr>
      <w:rFonts w:eastAsiaTheme="minorEastAsia" w:cs="Times New Roman"/>
      <w:b/>
      <w:color w:val="FFFFFF" w:themeColor="background1"/>
      <w:spacing w:val="15"/>
      <w:sz w:val="40"/>
      <w:lang w:val="en-US"/>
    </w:rPr>
  </w:style>
  <w:style w:type="character" w:customStyle="1" w:styleId="CoverTitleChar">
    <w:name w:val="Cover Title Char"/>
    <w:basedOn w:val="TitleChar"/>
    <w:link w:val="CoverTitle"/>
    <w:rsid w:val="00F443E4"/>
    <w:rPr>
      <w:rFonts w:ascii="Arial" w:eastAsiaTheme="majorEastAsia" w:hAnsi="Arial" w:cstheme="majorBidi"/>
      <w:b/>
      <w:color w:val="FFFFFF" w:themeColor="background1"/>
      <w:spacing w:val="-10"/>
      <w:kern w:val="28"/>
      <w:sz w:val="96"/>
      <w:szCs w:val="56"/>
      <w:lang w:val="en-GB"/>
    </w:rPr>
  </w:style>
  <w:style w:type="character" w:customStyle="1" w:styleId="SubtitleChar">
    <w:name w:val="Subtitle Char"/>
    <w:basedOn w:val="DefaultParagraphFont"/>
    <w:link w:val="Subtitle"/>
    <w:rsid w:val="00E55227"/>
    <w:rPr>
      <w:rFonts w:ascii="Arial" w:eastAsiaTheme="minorEastAsia" w:hAnsi="Arial" w:cs="Times New Roman"/>
      <w:b/>
      <w:color w:val="FFFFFF" w:themeColor="background1"/>
      <w:spacing w:val="15"/>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436">
      <w:bodyDiv w:val="1"/>
      <w:marLeft w:val="0"/>
      <w:marRight w:val="0"/>
      <w:marTop w:val="0"/>
      <w:marBottom w:val="0"/>
      <w:divBdr>
        <w:top w:val="none" w:sz="0" w:space="0" w:color="auto"/>
        <w:left w:val="none" w:sz="0" w:space="0" w:color="auto"/>
        <w:bottom w:val="none" w:sz="0" w:space="0" w:color="auto"/>
        <w:right w:val="none" w:sz="0" w:space="0" w:color="auto"/>
      </w:divBdr>
    </w:div>
    <w:div w:id="79177492">
      <w:bodyDiv w:val="1"/>
      <w:marLeft w:val="0"/>
      <w:marRight w:val="0"/>
      <w:marTop w:val="0"/>
      <w:marBottom w:val="0"/>
      <w:divBdr>
        <w:top w:val="none" w:sz="0" w:space="0" w:color="auto"/>
        <w:left w:val="none" w:sz="0" w:space="0" w:color="auto"/>
        <w:bottom w:val="none" w:sz="0" w:space="0" w:color="auto"/>
        <w:right w:val="none" w:sz="0" w:space="0" w:color="auto"/>
      </w:divBdr>
    </w:div>
    <w:div w:id="154078336">
      <w:bodyDiv w:val="1"/>
      <w:marLeft w:val="0"/>
      <w:marRight w:val="0"/>
      <w:marTop w:val="0"/>
      <w:marBottom w:val="0"/>
      <w:divBdr>
        <w:top w:val="none" w:sz="0" w:space="0" w:color="auto"/>
        <w:left w:val="none" w:sz="0" w:space="0" w:color="auto"/>
        <w:bottom w:val="none" w:sz="0" w:space="0" w:color="auto"/>
        <w:right w:val="none" w:sz="0" w:space="0" w:color="auto"/>
      </w:divBdr>
    </w:div>
    <w:div w:id="252252094">
      <w:bodyDiv w:val="1"/>
      <w:marLeft w:val="0"/>
      <w:marRight w:val="0"/>
      <w:marTop w:val="0"/>
      <w:marBottom w:val="0"/>
      <w:divBdr>
        <w:top w:val="none" w:sz="0" w:space="0" w:color="auto"/>
        <w:left w:val="none" w:sz="0" w:space="0" w:color="auto"/>
        <w:bottom w:val="none" w:sz="0" w:space="0" w:color="auto"/>
        <w:right w:val="none" w:sz="0" w:space="0" w:color="auto"/>
      </w:divBdr>
    </w:div>
    <w:div w:id="353969462">
      <w:bodyDiv w:val="1"/>
      <w:marLeft w:val="0"/>
      <w:marRight w:val="0"/>
      <w:marTop w:val="0"/>
      <w:marBottom w:val="0"/>
      <w:divBdr>
        <w:top w:val="none" w:sz="0" w:space="0" w:color="auto"/>
        <w:left w:val="none" w:sz="0" w:space="0" w:color="auto"/>
        <w:bottom w:val="none" w:sz="0" w:space="0" w:color="auto"/>
        <w:right w:val="none" w:sz="0" w:space="0" w:color="auto"/>
      </w:divBdr>
    </w:div>
    <w:div w:id="377440260">
      <w:bodyDiv w:val="1"/>
      <w:marLeft w:val="0"/>
      <w:marRight w:val="0"/>
      <w:marTop w:val="0"/>
      <w:marBottom w:val="0"/>
      <w:divBdr>
        <w:top w:val="none" w:sz="0" w:space="0" w:color="auto"/>
        <w:left w:val="none" w:sz="0" w:space="0" w:color="auto"/>
        <w:bottom w:val="none" w:sz="0" w:space="0" w:color="auto"/>
        <w:right w:val="none" w:sz="0" w:space="0" w:color="auto"/>
      </w:divBdr>
    </w:div>
    <w:div w:id="406735584">
      <w:bodyDiv w:val="1"/>
      <w:marLeft w:val="0"/>
      <w:marRight w:val="0"/>
      <w:marTop w:val="0"/>
      <w:marBottom w:val="0"/>
      <w:divBdr>
        <w:top w:val="none" w:sz="0" w:space="0" w:color="auto"/>
        <w:left w:val="none" w:sz="0" w:space="0" w:color="auto"/>
        <w:bottom w:val="none" w:sz="0" w:space="0" w:color="auto"/>
        <w:right w:val="none" w:sz="0" w:space="0" w:color="auto"/>
      </w:divBdr>
    </w:div>
    <w:div w:id="464469648">
      <w:bodyDiv w:val="1"/>
      <w:marLeft w:val="0"/>
      <w:marRight w:val="0"/>
      <w:marTop w:val="0"/>
      <w:marBottom w:val="0"/>
      <w:divBdr>
        <w:top w:val="none" w:sz="0" w:space="0" w:color="auto"/>
        <w:left w:val="none" w:sz="0" w:space="0" w:color="auto"/>
        <w:bottom w:val="none" w:sz="0" w:space="0" w:color="auto"/>
        <w:right w:val="none" w:sz="0" w:space="0" w:color="auto"/>
      </w:divBdr>
    </w:div>
    <w:div w:id="466433780">
      <w:bodyDiv w:val="1"/>
      <w:marLeft w:val="0"/>
      <w:marRight w:val="0"/>
      <w:marTop w:val="0"/>
      <w:marBottom w:val="0"/>
      <w:divBdr>
        <w:top w:val="none" w:sz="0" w:space="0" w:color="auto"/>
        <w:left w:val="none" w:sz="0" w:space="0" w:color="auto"/>
        <w:bottom w:val="none" w:sz="0" w:space="0" w:color="auto"/>
        <w:right w:val="none" w:sz="0" w:space="0" w:color="auto"/>
      </w:divBdr>
    </w:div>
    <w:div w:id="472790748">
      <w:bodyDiv w:val="1"/>
      <w:marLeft w:val="0"/>
      <w:marRight w:val="0"/>
      <w:marTop w:val="0"/>
      <w:marBottom w:val="0"/>
      <w:divBdr>
        <w:top w:val="none" w:sz="0" w:space="0" w:color="auto"/>
        <w:left w:val="none" w:sz="0" w:space="0" w:color="auto"/>
        <w:bottom w:val="none" w:sz="0" w:space="0" w:color="auto"/>
        <w:right w:val="none" w:sz="0" w:space="0" w:color="auto"/>
      </w:divBdr>
      <w:divsChild>
        <w:div w:id="1593005605">
          <w:marLeft w:val="0"/>
          <w:marRight w:val="0"/>
          <w:marTop w:val="0"/>
          <w:marBottom w:val="0"/>
          <w:divBdr>
            <w:top w:val="none" w:sz="0" w:space="0" w:color="auto"/>
            <w:left w:val="none" w:sz="0" w:space="0" w:color="auto"/>
            <w:bottom w:val="none" w:sz="0" w:space="0" w:color="auto"/>
            <w:right w:val="none" w:sz="0" w:space="0" w:color="auto"/>
          </w:divBdr>
        </w:div>
        <w:div w:id="1573470861">
          <w:marLeft w:val="0"/>
          <w:marRight w:val="0"/>
          <w:marTop w:val="0"/>
          <w:marBottom w:val="0"/>
          <w:divBdr>
            <w:top w:val="none" w:sz="0" w:space="0" w:color="auto"/>
            <w:left w:val="none" w:sz="0" w:space="0" w:color="auto"/>
            <w:bottom w:val="none" w:sz="0" w:space="0" w:color="auto"/>
            <w:right w:val="none" w:sz="0" w:space="0" w:color="auto"/>
          </w:divBdr>
        </w:div>
        <w:div w:id="775906904">
          <w:marLeft w:val="0"/>
          <w:marRight w:val="0"/>
          <w:marTop w:val="0"/>
          <w:marBottom w:val="0"/>
          <w:divBdr>
            <w:top w:val="none" w:sz="0" w:space="0" w:color="auto"/>
            <w:left w:val="none" w:sz="0" w:space="0" w:color="auto"/>
            <w:bottom w:val="none" w:sz="0" w:space="0" w:color="auto"/>
            <w:right w:val="none" w:sz="0" w:space="0" w:color="auto"/>
          </w:divBdr>
        </w:div>
      </w:divsChild>
    </w:div>
    <w:div w:id="514198664">
      <w:bodyDiv w:val="1"/>
      <w:marLeft w:val="0"/>
      <w:marRight w:val="0"/>
      <w:marTop w:val="0"/>
      <w:marBottom w:val="0"/>
      <w:divBdr>
        <w:top w:val="none" w:sz="0" w:space="0" w:color="auto"/>
        <w:left w:val="none" w:sz="0" w:space="0" w:color="auto"/>
        <w:bottom w:val="none" w:sz="0" w:space="0" w:color="auto"/>
        <w:right w:val="none" w:sz="0" w:space="0" w:color="auto"/>
      </w:divBdr>
    </w:div>
    <w:div w:id="552426245">
      <w:bodyDiv w:val="1"/>
      <w:marLeft w:val="0"/>
      <w:marRight w:val="0"/>
      <w:marTop w:val="0"/>
      <w:marBottom w:val="0"/>
      <w:divBdr>
        <w:top w:val="none" w:sz="0" w:space="0" w:color="auto"/>
        <w:left w:val="none" w:sz="0" w:space="0" w:color="auto"/>
        <w:bottom w:val="none" w:sz="0" w:space="0" w:color="auto"/>
        <w:right w:val="none" w:sz="0" w:space="0" w:color="auto"/>
      </w:divBdr>
    </w:div>
    <w:div w:id="567232270">
      <w:bodyDiv w:val="1"/>
      <w:marLeft w:val="0"/>
      <w:marRight w:val="0"/>
      <w:marTop w:val="0"/>
      <w:marBottom w:val="0"/>
      <w:divBdr>
        <w:top w:val="none" w:sz="0" w:space="0" w:color="auto"/>
        <w:left w:val="none" w:sz="0" w:space="0" w:color="auto"/>
        <w:bottom w:val="none" w:sz="0" w:space="0" w:color="auto"/>
        <w:right w:val="none" w:sz="0" w:space="0" w:color="auto"/>
      </w:divBdr>
    </w:div>
    <w:div w:id="601111732">
      <w:bodyDiv w:val="1"/>
      <w:marLeft w:val="0"/>
      <w:marRight w:val="0"/>
      <w:marTop w:val="0"/>
      <w:marBottom w:val="0"/>
      <w:divBdr>
        <w:top w:val="none" w:sz="0" w:space="0" w:color="auto"/>
        <w:left w:val="none" w:sz="0" w:space="0" w:color="auto"/>
        <w:bottom w:val="none" w:sz="0" w:space="0" w:color="auto"/>
        <w:right w:val="none" w:sz="0" w:space="0" w:color="auto"/>
      </w:divBdr>
    </w:div>
    <w:div w:id="719211941">
      <w:bodyDiv w:val="1"/>
      <w:marLeft w:val="0"/>
      <w:marRight w:val="0"/>
      <w:marTop w:val="0"/>
      <w:marBottom w:val="0"/>
      <w:divBdr>
        <w:top w:val="none" w:sz="0" w:space="0" w:color="auto"/>
        <w:left w:val="none" w:sz="0" w:space="0" w:color="auto"/>
        <w:bottom w:val="none" w:sz="0" w:space="0" w:color="auto"/>
        <w:right w:val="none" w:sz="0" w:space="0" w:color="auto"/>
      </w:divBdr>
    </w:div>
    <w:div w:id="746461332">
      <w:bodyDiv w:val="1"/>
      <w:marLeft w:val="0"/>
      <w:marRight w:val="0"/>
      <w:marTop w:val="0"/>
      <w:marBottom w:val="0"/>
      <w:divBdr>
        <w:top w:val="none" w:sz="0" w:space="0" w:color="auto"/>
        <w:left w:val="none" w:sz="0" w:space="0" w:color="auto"/>
        <w:bottom w:val="none" w:sz="0" w:space="0" w:color="auto"/>
        <w:right w:val="none" w:sz="0" w:space="0" w:color="auto"/>
      </w:divBdr>
    </w:div>
    <w:div w:id="931161743">
      <w:bodyDiv w:val="1"/>
      <w:marLeft w:val="0"/>
      <w:marRight w:val="0"/>
      <w:marTop w:val="0"/>
      <w:marBottom w:val="0"/>
      <w:divBdr>
        <w:top w:val="none" w:sz="0" w:space="0" w:color="auto"/>
        <w:left w:val="none" w:sz="0" w:space="0" w:color="auto"/>
        <w:bottom w:val="none" w:sz="0" w:space="0" w:color="auto"/>
        <w:right w:val="none" w:sz="0" w:space="0" w:color="auto"/>
      </w:divBdr>
    </w:div>
    <w:div w:id="943347959">
      <w:bodyDiv w:val="1"/>
      <w:marLeft w:val="0"/>
      <w:marRight w:val="0"/>
      <w:marTop w:val="0"/>
      <w:marBottom w:val="0"/>
      <w:divBdr>
        <w:top w:val="none" w:sz="0" w:space="0" w:color="auto"/>
        <w:left w:val="none" w:sz="0" w:space="0" w:color="auto"/>
        <w:bottom w:val="none" w:sz="0" w:space="0" w:color="auto"/>
        <w:right w:val="none" w:sz="0" w:space="0" w:color="auto"/>
      </w:divBdr>
    </w:div>
    <w:div w:id="1065028251">
      <w:bodyDiv w:val="1"/>
      <w:marLeft w:val="0"/>
      <w:marRight w:val="0"/>
      <w:marTop w:val="0"/>
      <w:marBottom w:val="0"/>
      <w:divBdr>
        <w:top w:val="none" w:sz="0" w:space="0" w:color="auto"/>
        <w:left w:val="none" w:sz="0" w:space="0" w:color="auto"/>
        <w:bottom w:val="none" w:sz="0" w:space="0" w:color="auto"/>
        <w:right w:val="none" w:sz="0" w:space="0" w:color="auto"/>
      </w:divBdr>
    </w:div>
    <w:div w:id="1164199528">
      <w:bodyDiv w:val="1"/>
      <w:marLeft w:val="0"/>
      <w:marRight w:val="0"/>
      <w:marTop w:val="0"/>
      <w:marBottom w:val="0"/>
      <w:divBdr>
        <w:top w:val="none" w:sz="0" w:space="0" w:color="auto"/>
        <w:left w:val="none" w:sz="0" w:space="0" w:color="auto"/>
        <w:bottom w:val="none" w:sz="0" w:space="0" w:color="auto"/>
        <w:right w:val="none" w:sz="0" w:space="0" w:color="auto"/>
      </w:divBdr>
    </w:div>
    <w:div w:id="1170102784">
      <w:bodyDiv w:val="1"/>
      <w:marLeft w:val="0"/>
      <w:marRight w:val="0"/>
      <w:marTop w:val="0"/>
      <w:marBottom w:val="0"/>
      <w:divBdr>
        <w:top w:val="none" w:sz="0" w:space="0" w:color="auto"/>
        <w:left w:val="none" w:sz="0" w:space="0" w:color="auto"/>
        <w:bottom w:val="none" w:sz="0" w:space="0" w:color="auto"/>
        <w:right w:val="none" w:sz="0" w:space="0" w:color="auto"/>
      </w:divBdr>
    </w:div>
    <w:div w:id="1232697830">
      <w:bodyDiv w:val="1"/>
      <w:marLeft w:val="0"/>
      <w:marRight w:val="0"/>
      <w:marTop w:val="0"/>
      <w:marBottom w:val="0"/>
      <w:divBdr>
        <w:top w:val="none" w:sz="0" w:space="0" w:color="auto"/>
        <w:left w:val="none" w:sz="0" w:space="0" w:color="auto"/>
        <w:bottom w:val="none" w:sz="0" w:space="0" w:color="auto"/>
        <w:right w:val="none" w:sz="0" w:space="0" w:color="auto"/>
      </w:divBdr>
    </w:div>
    <w:div w:id="1265108598">
      <w:bodyDiv w:val="1"/>
      <w:marLeft w:val="0"/>
      <w:marRight w:val="0"/>
      <w:marTop w:val="0"/>
      <w:marBottom w:val="0"/>
      <w:divBdr>
        <w:top w:val="none" w:sz="0" w:space="0" w:color="auto"/>
        <w:left w:val="none" w:sz="0" w:space="0" w:color="auto"/>
        <w:bottom w:val="none" w:sz="0" w:space="0" w:color="auto"/>
        <w:right w:val="none" w:sz="0" w:space="0" w:color="auto"/>
      </w:divBdr>
    </w:div>
    <w:div w:id="1334526479">
      <w:bodyDiv w:val="1"/>
      <w:marLeft w:val="0"/>
      <w:marRight w:val="0"/>
      <w:marTop w:val="0"/>
      <w:marBottom w:val="0"/>
      <w:divBdr>
        <w:top w:val="none" w:sz="0" w:space="0" w:color="auto"/>
        <w:left w:val="none" w:sz="0" w:space="0" w:color="auto"/>
        <w:bottom w:val="none" w:sz="0" w:space="0" w:color="auto"/>
        <w:right w:val="none" w:sz="0" w:space="0" w:color="auto"/>
      </w:divBdr>
    </w:div>
    <w:div w:id="1376000622">
      <w:bodyDiv w:val="1"/>
      <w:marLeft w:val="0"/>
      <w:marRight w:val="0"/>
      <w:marTop w:val="0"/>
      <w:marBottom w:val="0"/>
      <w:divBdr>
        <w:top w:val="none" w:sz="0" w:space="0" w:color="auto"/>
        <w:left w:val="none" w:sz="0" w:space="0" w:color="auto"/>
        <w:bottom w:val="none" w:sz="0" w:space="0" w:color="auto"/>
        <w:right w:val="none" w:sz="0" w:space="0" w:color="auto"/>
      </w:divBdr>
    </w:div>
    <w:div w:id="1381054995">
      <w:bodyDiv w:val="1"/>
      <w:marLeft w:val="0"/>
      <w:marRight w:val="0"/>
      <w:marTop w:val="0"/>
      <w:marBottom w:val="0"/>
      <w:divBdr>
        <w:top w:val="none" w:sz="0" w:space="0" w:color="auto"/>
        <w:left w:val="none" w:sz="0" w:space="0" w:color="auto"/>
        <w:bottom w:val="none" w:sz="0" w:space="0" w:color="auto"/>
        <w:right w:val="none" w:sz="0" w:space="0" w:color="auto"/>
      </w:divBdr>
    </w:div>
    <w:div w:id="1390837731">
      <w:bodyDiv w:val="1"/>
      <w:marLeft w:val="0"/>
      <w:marRight w:val="0"/>
      <w:marTop w:val="0"/>
      <w:marBottom w:val="0"/>
      <w:divBdr>
        <w:top w:val="none" w:sz="0" w:space="0" w:color="auto"/>
        <w:left w:val="none" w:sz="0" w:space="0" w:color="auto"/>
        <w:bottom w:val="none" w:sz="0" w:space="0" w:color="auto"/>
        <w:right w:val="none" w:sz="0" w:space="0" w:color="auto"/>
      </w:divBdr>
    </w:div>
    <w:div w:id="1461606172">
      <w:bodyDiv w:val="1"/>
      <w:marLeft w:val="0"/>
      <w:marRight w:val="0"/>
      <w:marTop w:val="0"/>
      <w:marBottom w:val="0"/>
      <w:divBdr>
        <w:top w:val="none" w:sz="0" w:space="0" w:color="auto"/>
        <w:left w:val="none" w:sz="0" w:space="0" w:color="auto"/>
        <w:bottom w:val="none" w:sz="0" w:space="0" w:color="auto"/>
        <w:right w:val="none" w:sz="0" w:space="0" w:color="auto"/>
      </w:divBdr>
    </w:div>
    <w:div w:id="1516649535">
      <w:bodyDiv w:val="1"/>
      <w:marLeft w:val="0"/>
      <w:marRight w:val="0"/>
      <w:marTop w:val="0"/>
      <w:marBottom w:val="0"/>
      <w:divBdr>
        <w:top w:val="none" w:sz="0" w:space="0" w:color="auto"/>
        <w:left w:val="none" w:sz="0" w:space="0" w:color="auto"/>
        <w:bottom w:val="none" w:sz="0" w:space="0" w:color="auto"/>
        <w:right w:val="none" w:sz="0" w:space="0" w:color="auto"/>
      </w:divBdr>
    </w:div>
    <w:div w:id="1551305362">
      <w:bodyDiv w:val="1"/>
      <w:marLeft w:val="0"/>
      <w:marRight w:val="0"/>
      <w:marTop w:val="0"/>
      <w:marBottom w:val="0"/>
      <w:divBdr>
        <w:top w:val="none" w:sz="0" w:space="0" w:color="auto"/>
        <w:left w:val="none" w:sz="0" w:space="0" w:color="auto"/>
        <w:bottom w:val="none" w:sz="0" w:space="0" w:color="auto"/>
        <w:right w:val="none" w:sz="0" w:space="0" w:color="auto"/>
      </w:divBdr>
    </w:div>
    <w:div w:id="1556550594">
      <w:bodyDiv w:val="1"/>
      <w:marLeft w:val="0"/>
      <w:marRight w:val="0"/>
      <w:marTop w:val="0"/>
      <w:marBottom w:val="0"/>
      <w:divBdr>
        <w:top w:val="none" w:sz="0" w:space="0" w:color="auto"/>
        <w:left w:val="none" w:sz="0" w:space="0" w:color="auto"/>
        <w:bottom w:val="none" w:sz="0" w:space="0" w:color="auto"/>
        <w:right w:val="none" w:sz="0" w:space="0" w:color="auto"/>
      </w:divBdr>
    </w:div>
    <w:div w:id="1572081355">
      <w:bodyDiv w:val="1"/>
      <w:marLeft w:val="0"/>
      <w:marRight w:val="0"/>
      <w:marTop w:val="0"/>
      <w:marBottom w:val="0"/>
      <w:divBdr>
        <w:top w:val="none" w:sz="0" w:space="0" w:color="auto"/>
        <w:left w:val="none" w:sz="0" w:space="0" w:color="auto"/>
        <w:bottom w:val="none" w:sz="0" w:space="0" w:color="auto"/>
        <w:right w:val="none" w:sz="0" w:space="0" w:color="auto"/>
      </w:divBdr>
    </w:div>
    <w:div w:id="1611357259">
      <w:bodyDiv w:val="1"/>
      <w:marLeft w:val="0"/>
      <w:marRight w:val="0"/>
      <w:marTop w:val="0"/>
      <w:marBottom w:val="0"/>
      <w:divBdr>
        <w:top w:val="none" w:sz="0" w:space="0" w:color="auto"/>
        <w:left w:val="none" w:sz="0" w:space="0" w:color="auto"/>
        <w:bottom w:val="none" w:sz="0" w:space="0" w:color="auto"/>
        <w:right w:val="none" w:sz="0" w:space="0" w:color="auto"/>
      </w:divBdr>
    </w:div>
    <w:div w:id="1647931243">
      <w:bodyDiv w:val="1"/>
      <w:marLeft w:val="0"/>
      <w:marRight w:val="0"/>
      <w:marTop w:val="0"/>
      <w:marBottom w:val="0"/>
      <w:divBdr>
        <w:top w:val="none" w:sz="0" w:space="0" w:color="auto"/>
        <w:left w:val="none" w:sz="0" w:space="0" w:color="auto"/>
        <w:bottom w:val="none" w:sz="0" w:space="0" w:color="auto"/>
        <w:right w:val="none" w:sz="0" w:space="0" w:color="auto"/>
      </w:divBdr>
    </w:div>
    <w:div w:id="1718697888">
      <w:bodyDiv w:val="1"/>
      <w:marLeft w:val="0"/>
      <w:marRight w:val="0"/>
      <w:marTop w:val="0"/>
      <w:marBottom w:val="0"/>
      <w:divBdr>
        <w:top w:val="none" w:sz="0" w:space="0" w:color="auto"/>
        <w:left w:val="none" w:sz="0" w:space="0" w:color="auto"/>
        <w:bottom w:val="none" w:sz="0" w:space="0" w:color="auto"/>
        <w:right w:val="none" w:sz="0" w:space="0" w:color="auto"/>
      </w:divBdr>
    </w:div>
    <w:div w:id="1729451361">
      <w:bodyDiv w:val="1"/>
      <w:marLeft w:val="0"/>
      <w:marRight w:val="0"/>
      <w:marTop w:val="0"/>
      <w:marBottom w:val="0"/>
      <w:divBdr>
        <w:top w:val="none" w:sz="0" w:space="0" w:color="auto"/>
        <w:left w:val="none" w:sz="0" w:space="0" w:color="auto"/>
        <w:bottom w:val="none" w:sz="0" w:space="0" w:color="auto"/>
        <w:right w:val="none" w:sz="0" w:space="0" w:color="auto"/>
      </w:divBdr>
    </w:div>
    <w:div w:id="1736274165">
      <w:bodyDiv w:val="1"/>
      <w:marLeft w:val="0"/>
      <w:marRight w:val="0"/>
      <w:marTop w:val="0"/>
      <w:marBottom w:val="0"/>
      <w:divBdr>
        <w:top w:val="none" w:sz="0" w:space="0" w:color="auto"/>
        <w:left w:val="none" w:sz="0" w:space="0" w:color="auto"/>
        <w:bottom w:val="none" w:sz="0" w:space="0" w:color="auto"/>
        <w:right w:val="none" w:sz="0" w:space="0" w:color="auto"/>
      </w:divBdr>
    </w:div>
    <w:div w:id="1772434581">
      <w:bodyDiv w:val="1"/>
      <w:marLeft w:val="0"/>
      <w:marRight w:val="0"/>
      <w:marTop w:val="0"/>
      <w:marBottom w:val="0"/>
      <w:divBdr>
        <w:top w:val="none" w:sz="0" w:space="0" w:color="auto"/>
        <w:left w:val="none" w:sz="0" w:space="0" w:color="auto"/>
        <w:bottom w:val="none" w:sz="0" w:space="0" w:color="auto"/>
        <w:right w:val="none" w:sz="0" w:space="0" w:color="auto"/>
      </w:divBdr>
    </w:div>
    <w:div w:id="1836531631">
      <w:bodyDiv w:val="1"/>
      <w:marLeft w:val="0"/>
      <w:marRight w:val="0"/>
      <w:marTop w:val="0"/>
      <w:marBottom w:val="0"/>
      <w:divBdr>
        <w:top w:val="none" w:sz="0" w:space="0" w:color="auto"/>
        <w:left w:val="none" w:sz="0" w:space="0" w:color="auto"/>
        <w:bottom w:val="none" w:sz="0" w:space="0" w:color="auto"/>
        <w:right w:val="none" w:sz="0" w:space="0" w:color="auto"/>
      </w:divBdr>
    </w:div>
    <w:div w:id="1890796861">
      <w:bodyDiv w:val="1"/>
      <w:marLeft w:val="0"/>
      <w:marRight w:val="0"/>
      <w:marTop w:val="0"/>
      <w:marBottom w:val="0"/>
      <w:divBdr>
        <w:top w:val="none" w:sz="0" w:space="0" w:color="auto"/>
        <w:left w:val="none" w:sz="0" w:space="0" w:color="auto"/>
        <w:bottom w:val="none" w:sz="0" w:space="0" w:color="auto"/>
        <w:right w:val="none" w:sz="0" w:space="0" w:color="auto"/>
      </w:divBdr>
    </w:div>
    <w:div w:id="1903952555">
      <w:bodyDiv w:val="1"/>
      <w:marLeft w:val="0"/>
      <w:marRight w:val="0"/>
      <w:marTop w:val="0"/>
      <w:marBottom w:val="0"/>
      <w:divBdr>
        <w:top w:val="none" w:sz="0" w:space="0" w:color="auto"/>
        <w:left w:val="none" w:sz="0" w:space="0" w:color="auto"/>
        <w:bottom w:val="none" w:sz="0" w:space="0" w:color="auto"/>
        <w:right w:val="none" w:sz="0" w:space="0" w:color="auto"/>
      </w:divBdr>
    </w:div>
    <w:div w:id="1947348373">
      <w:bodyDiv w:val="1"/>
      <w:marLeft w:val="0"/>
      <w:marRight w:val="0"/>
      <w:marTop w:val="0"/>
      <w:marBottom w:val="0"/>
      <w:divBdr>
        <w:top w:val="none" w:sz="0" w:space="0" w:color="auto"/>
        <w:left w:val="none" w:sz="0" w:space="0" w:color="auto"/>
        <w:bottom w:val="none" w:sz="0" w:space="0" w:color="auto"/>
        <w:right w:val="none" w:sz="0" w:space="0" w:color="auto"/>
      </w:divBdr>
    </w:div>
    <w:div w:id="1966231759">
      <w:bodyDiv w:val="1"/>
      <w:marLeft w:val="0"/>
      <w:marRight w:val="0"/>
      <w:marTop w:val="0"/>
      <w:marBottom w:val="0"/>
      <w:divBdr>
        <w:top w:val="none" w:sz="0" w:space="0" w:color="auto"/>
        <w:left w:val="none" w:sz="0" w:space="0" w:color="auto"/>
        <w:bottom w:val="none" w:sz="0" w:space="0" w:color="auto"/>
        <w:right w:val="none" w:sz="0" w:space="0" w:color="auto"/>
      </w:divBdr>
    </w:div>
    <w:div w:id="1976830331">
      <w:bodyDiv w:val="1"/>
      <w:marLeft w:val="0"/>
      <w:marRight w:val="0"/>
      <w:marTop w:val="0"/>
      <w:marBottom w:val="0"/>
      <w:divBdr>
        <w:top w:val="none" w:sz="0" w:space="0" w:color="auto"/>
        <w:left w:val="none" w:sz="0" w:space="0" w:color="auto"/>
        <w:bottom w:val="none" w:sz="0" w:space="0" w:color="auto"/>
        <w:right w:val="none" w:sz="0" w:space="0" w:color="auto"/>
      </w:divBdr>
    </w:div>
    <w:div w:id="2043626346">
      <w:bodyDiv w:val="1"/>
      <w:marLeft w:val="0"/>
      <w:marRight w:val="0"/>
      <w:marTop w:val="0"/>
      <w:marBottom w:val="0"/>
      <w:divBdr>
        <w:top w:val="none" w:sz="0" w:space="0" w:color="auto"/>
        <w:left w:val="none" w:sz="0" w:space="0" w:color="auto"/>
        <w:bottom w:val="none" w:sz="0" w:space="0" w:color="auto"/>
        <w:right w:val="none" w:sz="0" w:space="0" w:color="auto"/>
      </w:divBdr>
    </w:div>
    <w:div w:id="2085486625">
      <w:bodyDiv w:val="1"/>
      <w:marLeft w:val="0"/>
      <w:marRight w:val="0"/>
      <w:marTop w:val="0"/>
      <w:marBottom w:val="0"/>
      <w:divBdr>
        <w:top w:val="none" w:sz="0" w:space="0" w:color="auto"/>
        <w:left w:val="none" w:sz="0" w:space="0" w:color="auto"/>
        <w:bottom w:val="none" w:sz="0" w:space="0" w:color="auto"/>
        <w:right w:val="none" w:sz="0" w:space="0" w:color="auto"/>
      </w:divBdr>
    </w:div>
    <w:div w:id="2086758004">
      <w:bodyDiv w:val="1"/>
      <w:marLeft w:val="0"/>
      <w:marRight w:val="0"/>
      <w:marTop w:val="0"/>
      <w:marBottom w:val="0"/>
      <w:divBdr>
        <w:top w:val="none" w:sz="0" w:space="0" w:color="auto"/>
        <w:left w:val="none" w:sz="0" w:space="0" w:color="auto"/>
        <w:bottom w:val="none" w:sz="0" w:space="0" w:color="auto"/>
        <w:right w:val="none" w:sz="0" w:space="0" w:color="auto"/>
      </w:divBdr>
    </w:div>
    <w:div w:id="21133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opean-union.europa.eu/principles-countries-history/country-profiles_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ec.europa.eu/commission/commissioners/2019-2024_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AUTO/?uri=uriserv:OJ.L_.2018.303.01.0069.01.SPA&amp;toc=OJ:L:2018:303:TOC" TargetMode="External"/><Relationship Id="rId2" Type="http://schemas.openxmlformats.org/officeDocument/2006/relationships/hyperlink" Target="https://eur-lex.europa.eu/legal-content/ES/TXT/PDF/?uri=CELEX:32014R1300&amp;from=EN" TargetMode="External"/><Relationship Id="rId1" Type="http://schemas.openxmlformats.org/officeDocument/2006/relationships/hyperlink" Target="https://www.wipo.int/marrakesh_treaty/es/index.html" TargetMode="External"/><Relationship Id="rId5" Type="http://schemas.openxmlformats.org/officeDocument/2006/relationships/hyperlink" Target="https://www.edf-feph.org/the-platform-of-the-conference-on-the-future-of-europe-must-fix-its-accessibility-problems/" TargetMode="External"/><Relationship Id="rId4" Type="http://schemas.openxmlformats.org/officeDocument/2006/relationships/hyperlink" Target="https://www.coe.int/en/web/conventions/full-list?module=treaty-detail&amp;treatynum=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285C-704A-480D-9BD5-9E73CC31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2232</Words>
  <Characters>12278</Characters>
  <Application>Microsoft Office Word</Application>
  <DocSecurity>0</DocSecurity>
  <Lines>102</Lines>
  <Paragraphs>28</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Sofie Leenknecht</dc:creator>
  <cp:keywords/>
  <dc:description/>
  <cp:lastModifiedBy>Vanessa James</cp:lastModifiedBy>
  <cp:revision>3</cp:revision>
  <dcterms:created xsi:type="dcterms:W3CDTF">2022-02-22T17:06:00Z</dcterms:created>
  <dcterms:modified xsi:type="dcterms:W3CDTF">2022-02-23T09:23:00Z</dcterms:modified>
</cp:coreProperties>
</file>