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32076" w14:textId="0DAA2E21" w:rsidR="00E55227" w:rsidRPr="00ED3BD2" w:rsidRDefault="00ED3BD2" w:rsidP="006804DA">
      <w:pPr>
        <w:pStyle w:val="CoverTitle"/>
        <w:rPr>
          <w:sz w:val="80"/>
          <w:szCs w:val="80"/>
          <w:lang w:val="fr-FR"/>
          <w14:textOutline w14:w="25400" w14:cap="sq" w14:cmpd="sng" w14:algn="ctr">
            <w14:solidFill>
              <w14:schemeClr w14:val="tx1"/>
            </w14:solidFill>
            <w14:prstDash w14:val="solid"/>
            <w14:round/>
          </w14:textOutline>
        </w:rPr>
      </w:pPr>
      <w:r w:rsidRPr="00ED3BD2">
        <w:rPr>
          <w:noProof/>
          <w:sz w:val="80"/>
          <w:szCs w:val="80"/>
          <w:lang w:val="fr-FR"/>
        </w:rPr>
        <w:drawing>
          <wp:anchor distT="0" distB="0" distL="114300" distR="114300" simplePos="0" relativeHeight="251663360" behindDoc="0" locked="0" layoutInCell="1" allowOverlap="1" wp14:anchorId="33A5EA50" wp14:editId="715FEBC3">
            <wp:simplePos x="0" y="0"/>
            <wp:positionH relativeFrom="margin">
              <wp:align>center</wp:align>
            </wp:positionH>
            <wp:positionV relativeFrom="paragraph">
              <wp:posOffset>141605</wp:posOffset>
            </wp:positionV>
            <wp:extent cx="1828800" cy="1828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28800" cy="1828800"/>
                    </a:xfrm>
                    <a:prstGeom prst="rect">
                      <a:avLst/>
                    </a:prstGeom>
                  </pic:spPr>
                </pic:pic>
              </a:graphicData>
            </a:graphic>
          </wp:anchor>
        </w:drawing>
      </w:r>
      <w:r>
        <w:rPr>
          <w:sz w:val="80"/>
          <w:szCs w:val="80"/>
          <w:lang w:val="fr-FR"/>
          <w14:textOutline w14:w="25400" w14:cap="sq" w14:cmpd="sng" w14:algn="ctr">
            <w14:solidFill>
              <w14:schemeClr w14:val="tx1"/>
            </w14:solidFill>
            <w14:prstDash w14:val="solid"/>
            <w14:round/>
          </w14:textOutline>
        </w:rPr>
        <w:br/>
      </w:r>
      <w:r>
        <w:rPr>
          <w:sz w:val="80"/>
          <w:szCs w:val="80"/>
          <w:lang w:val="fr-FR"/>
          <w14:textOutline w14:w="25400" w14:cap="sq" w14:cmpd="sng" w14:algn="ctr">
            <w14:solidFill>
              <w14:schemeClr w14:val="tx1"/>
            </w14:solidFill>
            <w14:prstDash w14:val="solid"/>
            <w14:round/>
          </w14:textOutline>
        </w:rPr>
        <w:br/>
      </w:r>
      <w:r>
        <w:rPr>
          <w:sz w:val="80"/>
          <w:szCs w:val="80"/>
          <w:lang w:val="fr-FR"/>
          <w14:textOutline w14:w="25400" w14:cap="sq" w14:cmpd="sng" w14:algn="ctr">
            <w14:solidFill>
              <w14:schemeClr w14:val="tx1"/>
            </w14:solidFill>
            <w14:prstDash w14:val="solid"/>
            <w14:round/>
          </w14:textOutline>
        </w:rPr>
        <w:br/>
      </w:r>
      <w:r w:rsidR="00E55227" w:rsidRPr="00ED3BD2">
        <w:rPr>
          <w:noProof/>
          <w:sz w:val="80"/>
          <w:szCs w:val="80"/>
          <w:lang w:val="fr-FR"/>
          <w14:textOutline w14:w="25400" w14:cap="sq" w14:cmpd="sng" w14:algn="ctr">
            <w14:solidFill>
              <w14:schemeClr w14:val="tx1"/>
            </w14:solidFill>
            <w14:prstDash w14:val="solid"/>
            <w14:round/>
          </w14:textOutline>
        </w:rPr>
        <w:drawing>
          <wp:anchor distT="0" distB="0" distL="114300" distR="114300" simplePos="0" relativeHeight="251659264" behindDoc="1" locked="0" layoutInCell="1" allowOverlap="1" wp14:anchorId="0FCAC17E" wp14:editId="606C3655">
            <wp:simplePos x="0" y="0"/>
            <wp:positionH relativeFrom="margin">
              <wp:align>center</wp:align>
            </wp:positionH>
            <wp:positionV relativeFrom="paragraph">
              <wp:posOffset>-509270</wp:posOffset>
            </wp:positionV>
            <wp:extent cx="6943725" cy="9886950"/>
            <wp:effectExtent l="0" t="0" r="9525"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943725" cy="9886950"/>
                    </a:xfrm>
                    <a:prstGeom prst="rect">
                      <a:avLst/>
                    </a:prstGeom>
                  </pic:spPr>
                </pic:pic>
              </a:graphicData>
            </a:graphic>
            <wp14:sizeRelH relativeFrom="margin">
              <wp14:pctWidth>0</wp14:pctWidth>
            </wp14:sizeRelH>
            <wp14:sizeRelV relativeFrom="margin">
              <wp14:pctHeight>0</wp14:pctHeight>
            </wp14:sizeRelV>
          </wp:anchor>
        </w:drawing>
      </w:r>
      <w:r w:rsidR="006804DA" w:rsidRPr="00ED3BD2">
        <w:rPr>
          <w:rFonts w:eastAsiaTheme="majorEastAsia" w:cs="Times New Roman"/>
          <w:noProof/>
          <w:spacing w:val="-10"/>
          <w:kern w:val="28"/>
          <w:sz w:val="80"/>
          <w:szCs w:val="80"/>
          <w:lang w:val="fr-FR"/>
          <w14:textOutline w14:w="25400" w14:cap="sq" w14:cmpd="sng" w14:algn="ctr">
            <w14:solidFill>
              <w14:schemeClr w14:val="tx1"/>
            </w14:solidFill>
            <w14:prstDash w14:val="solid"/>
            <w14:round/>
          </w14:textOutline>
        </w:rPr>
        <w:drawing>
          <wp:anchor distT="0" distB="0" distL="114300" distR="114300" simplePos="0" relativeHeight="251658240" behindDoc="1" locked="0" layoutInCell="1" allowOverlap="1" wp14:anchorId="334E26D9" wp14:editId="1E0CF1B7">
            <wp:simplePos x="0" y="0"/>
            <wp:positionH relativeFrom="page">
              <wp:align>right</wp:align>
            </wp:positionH>
            <wp:positionV relativeFrom="paragraph">
              <wp:posOffset>-899795</wp:posOffset>
            </wp:positionV>
            <wp:extent cx="7610475" cy="11276257"/>
            <wp:effectExtent l="0" t="0" r="0" b="190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10475" cy="11276257"/>
                    </a:xfrm>
                    <a:prstGeom prst="rect">
                      <a:avLst/>
                    </a:prstGeom>
                  </pic:spPr>
                </pic:pic>
              </a:graphicData>
            </a:graphic>
            <wp14:sizeRelH relativeFrom="page">
              <wp14:pctWidth>0</wp14:pctWidth>
            </wp14:sizeRelH>
            <wp14:sizeRelV relativeFrom="page">
              <wp14:pctHeight>0</wp14:pctHeight>
            </wp14:sizeRelV>
          </wp:anchor>
        </w:drawing>
      </w:r>
      <w:r w:rsidR="00D15BD6" w:rsidRPr="00ED3BD2">
        <w:rPr>
          <w:sz w:val="80"/>
          <w:szCs w:val="80"/>
          <w:lang w:val="fr-FR"/>
          <w14:textOutline w14:w="25400" w14:cap="sq" w14:cmpd="sng" w14:algn="ctr">
            <w14:solidFill>
              <w14:schemeClr w14:val="tx1"/>
            </w14:solidFill>
            <w14:prstDash w14:val="solid"/>
            <w14:round/>
          </w14:textOutline>
        </w:rPr>
        <w:t xml:space="preserve">Rapport alternatif du FEPH pour le </w:t>
      </w:r>
      <w:r w:rsidR="00AC7D37" w:rsidRPr="00ED3BD2">
        <w:rPr>
          <w:sz w:val="80"/>
          <w:szCs w:val="80"/>
          <w:lang w:val="fr-FR"/>
          <w14:textOutline w14:w="25400" w14:cap="sq" w14:cmpd="sng" w14:algn="ctr">
            <w14:solidFill>
              <w14:schemeClr w14:val="tx1"/>
            </w14:solidFill>
            <w14:prstDash w14:val="solid"/>
            <w14:round/>
          </w14:textOutline>
        </w:rPr>
        <w:t>deuxième</w:t>
      </w:r>
      <w:r w:rsidR="00D15BD6" w:rsidRPr="00ED3BD2">
        <w:rPr>
          <w:sz w:val="80"/>
          <w:szCs w:val="80"/>
          <w:lang w:val="fr-FR"/>
          <w14:textOutline w14:w="25400" w14:cap="sq" w14:cmpd="sng" w14:algn="ctr">
            <w14:solidFill>
              <w14:schemeClr w14:val="tx1"/>
            </w14:solidFill>
            <w14:prstDash w14:val="solid"/>
            <w14:round/>
          </w14:textOutline>
        </w:rPr>
        <w:t xml:space="preserve"> examen de l</w:t>
      </w:r>
      <w:r w:rsidR="00A13071" w:rsidRPr="00ED3BD2">
        <w:rPr>
          <w:sz w:val="80"/>
          <w:szCs w:val="80"/>
          <w:lang w:val="fr-FR"/>
          <w14:textOutline w14:w="25400" w14:cap="sq" w14:cmpd="sng" w14:algn="ctr">
            <w14:solidFill>
              <w14:schemeClr w14:val="tx1"/>
            </w14:solidFill>
            <w14:prstDash w14:val="solid"/>
            <w14:round/>
          </w14:textOutline>
        </w:rPr>
        <w:t>’</w:t>
      </w:r>
      <w:r w:rsidR="00D15BD6" w:rsidRPr="00ED3BD2">
        <w:rPr>
          <w:sz w:val="80"/>
          <w:szCs w:val="80"/>
          <w:lang w:val="fr-FR"/>
          <w14:textOutline w14:w="25400" w14:cap="sq" w14:cmpd="sng" w14:algn="ctr">
            <w14:solidFill>
              <w14:schemeClr w14:val="tx1"/>
            </w14:solidFill>
            <w14:prstDash w14:val="solid"/>
            <w14:round/>
          </w14:textOutline>
        </w:rPr>
        <w:t>UE par le Comité de la CDPH</w:t>
      </w:r>
      <w:r w:rsidR="002E60DD" w:rsidRPr="00ED3BD2">
        <w:rPr>
          <w:sz w:val="80"/>
          <w:szCs w:val="80"/>
          <w:lang w:val="fr-FR"/>
          <w14:textOutline w14:w="25400" w14:cap="sq" w14:cmpd="sng" w14:algn="ctr">
            <w14:solidFill>
              <w14:schemeClr w14:val="tx1"/>
            </w14:solidFill>
            <w14:prstDash w14:val="solid"/>
            <w14:round/>
          </w14:textOutline>
        </w:rPr>
        <w:t xml:space="preserve"> – </w:t>
      </w:r>
      <w:r w:rsidR="00F91129" w:rsidRPr="00ED3BD2">
        <w:rPr>
          <w:sz w:val="80"/>
          <w:szCs w:val="80"/>
          <w:lang w:val="fr-FR"/>
          <w14:textOutline w14:w="25400" w14:cap="sq" w14:cmpd="sng" w14:algn="ctr">
            <w14:solidFill>
              <w14:schemeClr w14:val="tx1"/>
            </w14:solidFill>
            <w14:prstDash w14:val="solid"/>
            <w14:round/>
          </w14:textOutline>
        </w:rPr>
        <w:t>Sommaire exécutif</w:t>
      </w:r>
    </w:p>
    <w:p w14:paraId="1FCC5205" w14:textId="31C81CC0" w:rsidR="00E55227" w:rsidRPr="00D15BD6" w:rsidRDefault="00E22B31" w:rsidP="00E55227">
      <w:pPr>
        <w:numPr>
          <w:ilvl w:val="1"/>
          <w:numId w:val="0"/>
        </w:numPr>
        <w:spacing w:before="480" w:after="120" w:line="259" w:lineRule="auto"/>
        <w:rPr>
          <w:rFonts w:eastAsiaTheme="minorEastAsia" w:cs="Times New Roman"/>
          <w:b/>
          <w:color w:val="FFFFFF" w:themeColor="background1"/>
          <w:spacing w:val="15"/>
          <w:sz w:val="40"/>
          <w:lang w:val="fr-FR"/>
        </w:rPr>
      </w:pPr>
      <w:r>
        <w:rPr>
          <w:rFonts w:eastAsiaTheme="minorEastAsia" w:cs="Times New Roman"/>
          <w:b/>
          <w:color w:val="FFFFFF" w:themeColor="background1"/>
          <w:spacing w:val="15"/>
          <w:sz w:val="40"/>
          <w:lang w:val="fr-FR"/>
        </w:rPr>
        <w:t xml:space="preserve">Forum Européen des </w:t>
      </w:r>
      <w:r w:rsidRPr="00486FCD">
        <w:rPr>
          <w:rFonts w:eastAsiaTheme="minorEastAsia" w:cs="Times New Roman"/>
          <w:b/>
          <w:color w:val="FFFFFF" w:themeColor="background1"/>
          <w:spacing w:val="15"/>
          <w:sz w:val="40"/>
          <w:lang w:val="fr-FR"/>
        </w:rPr>
        <w:t>Personnes Handicapées</w:t>
      </w:r>
      <w:r w:rsidR="00E55227" w:rsidRPr="00D15BD6">
        <w:rPr>
          <w:rFonts w:eastAsiaTheme="minorEastAsia" w:cs="Times New Roman"/>
          <w:b/>
          <w:color w:val="FFFFFF" w:themeColor="background1"/>
          <w:spacing w:val="15"/>
          <w:sz w:val="40"/>
          <w:lang w:val="fr-FR"/>
        </w:rPr>
        <w:t xml:space="preserve"> </w:t>
      </w:r>
    </w:p>
    <w:p w14:paraId="7C73574A" w14:textId="41BB3DEF" w:rsidR="00E55227" w:rsidRPr="00D15BD6" w:rsidRDefault="00896FB5" w:rsidP="00E55227">
      <w:pPr>
        <w:numPr>
          <w:ilvl w:val="1"/>
          <w:numId w:val="0"/>
        </w:numPr>
        <w:spacing w:before="120" w:after="360" w:line="259" w:lineRule="auto"/>
        <w:rPr>
          <w:rFonts w:eastAsiaTheme="minorEastAsia" w:cs="Times New Roman"/>
          <w:b/>
          <w:color w:val="FFFFFF" w:themeColor="background1"/>
          <w:spacing w:val="15"/>
          <w:sz w:val="40"/>
          <w:lang w:val="fr-FR"/>
        </w:rPr>
      </w:pPr>
      <w:r w:rsidRPr="00D15BD6">
        <w:rPr>
          <w:rFonts w:ascii="Verdana" w:eastAsia="Times New Roman" w:hAnsi="Verdana" w:cs="Times New Roman"/>
          <w:noProof/>
          <w:lang w:val="fr-FR"/>
        </w:rPr>
        <mc:AlternateContent>
          <mc:Choice Requires="wps">
            <w:drawing>
              <wp:anchor distT="0" distB="0" distL="114300" distR="114300" simplePos="0" relativeHeight="251661312" behindDoc="1" locked="0" layoutInCell="1" allowOverlap="1" wp14:anchorId="2F3F05C0" wp14:editId="4743C8B9">
                <wp:simplePos x="0" y="0"/>
                <wp:positionH relativeFrom="page">
                  <wp:align>left</wp:align>
                </wp:positionH>
                <wp:positionV relativeFrom="paragraph">
                  <wp:posOffset>487680</wp:posOffset>
                </wp:positionV>
                <wp:extent cx="7548880" cy="533400"/>
                <wp:effectExtent l="0" t="0" r="1397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533400"/>
                        </a:xfrm>
                        <a:prstGeom prst="rect">
                          <a:avLst/>
                        </a:prstGeom>
                        <a:solidFill>
                          <a:srgbClr val="A2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9E84027" id="Rectangle 4" o:spid="_x0000_s1026" style="position:absolute;margin-left:0;margin-top:38.4pt;width:594.4pt;height:4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" fillcolor="#a20000" strokecolor="#2f528f" strokeweight="1pt">
                <v:path arrowok="t"/>
                <w10:wrap anchorx="page"/>
              </v:rect>
            </w:pict>
          </mc:Fallback>
        </mc:AlternateContent>
      </w:r>
      <w:r w:rsidR="00E55227" w:rsidRPr="00D15BD6">
        <w:rPr>
          <w:rFonts w:eastAsiaTheme="minorEastAsia" w:cs="Times New Roman"/>
          <w:b/>
          <w:color w:val="FFFFFF" w:themeColor="background1"/>
          <w:spacing w:val="15"/>
          <w:sz w:val="40"/>
          <w:lang w:val="fr-FR"/>
        </w:rPr>
        <w:t>Publi</w:t>
      </w:r>
      <w:r w:rsidR="00E22B31">
        <w:rPr>
          <w:rFonts w:eastAsiaTheme="minorEastAsia" w:cs="Times New Roman"/>
          <w:b/>
          <w:color w:val="FFFFFF" w:themeColor="background1"/>
          <w:spacing w:val="15"/>
          <w:sz w:val="40"/>
          <w:lang w:val="fr-FR"/>
        </w:rPr>
        <w:t>é en février</w:t>
      </w:r>
      <w:r w:rsidR="00E55227" w:rsidRPr="00D15BD6">
        <w:rPr>
          <w:rFonts w:eastAsiaTheme="minorEastAsia" w:cs="Times New Roman"/>
          <w:b/>
          <w:color w:val="FFFFFF" w:themeColor="background1"/>
          <w:spacing w:val="15"/>
          <w:sz w:val="40"/>
          <w:lang w:val="fr-FR"/>
        </w:rPr>
        <w:t xml:space="preserve"> 2022</w:t>
      </w:r>
    </w:p>
    <w:p w14:paraId="4DD03B75" w14:textId="641C8745" w:rsidR="006804DA" w:rsidRPr="00D15BD6" w:rsidRDefault="00E22B31" w:rsidP="00E55227">
      <w:pPr>
        <w:spacing w:before="360" w:after="840" w:line="259" w:lineRule="auto"/>
        <w:rPr>
          <w:rFonts w:ascii="Verdana" w:eastAsia="Times New Roman" w:hAnsi="Verdana" w:cs="Times New Roman"/>
          <w:b/>
          <w:bCs/>
          <w:color w:val="FFFFFF" w:themeColor="background1"/>
          <w:szCs w:val="24"/>
          <w:lang w:val="fr-FR"/>
        </w:rPr>
      </w:pPr>
      <w:r>
        <w:rPr>
          <w:rFonts w:ascii="Verdana" w:eastAsia="Times New Roman" w:hAnsi="Verdana" w:cs="Times New Roman"/>
          <w:b/>
          <w:bCs/>
          <w:color w:val="FFFFFF" w:themeColor="background1"/>
          <w:szCs w:val="24"/>
          <w:lang w:val="fr-FR"/>
        </w:rPr>
        <w:t>Soumission</w:t>
      </w:r>
      <w:r w:rsidR="00424C5A">
        <w:rPr>
          <w:rFonts w:ascii="Verdana" w:eastAsia="Times New Roman" w:hAnsi="Verdana" w:cs="Times New Roman"/>
          <w:b/>
          <w:bCs/>
          <w:color w:val="FFFFFF" w:themeColor="background1"/>
          <w:szCs w:val="24"/>
          <w:lang w:val="fr-FR"/>
        </w:rPr>
        <w:t xml:space="preserve"> pour la </w:t>
      </w:r>
      <w:r w:rsidR="00ED3BD2">
        <w:rPr>
          <w:rFonts w:ascii="Verdana" w:eastAsia="Times New Roman" w:hAnsi="Verdana" w:cs="Times New Roman"/>
          <w:b/>
          <w:bCs/>
          <w:color w:val="FFFFFF" w:themeColor="background1"/>
          <w:szCs w:val="24"/>
          <w:lang w:val="fr-FR"/>
        </w:rPr>
        <w:t>l</w:t>
      </w:r>
      <w:r w:rsidR="00ED3BD2" w:rsidRPr="00ED3BD2">
        <w:rPr>
          <w:rFonts w:ascii="Verdana" w:eastAsia="Times New Roman" w:hAnsi="Verdana" w:cs="Times New Roman"/>
          <w:b/>
          <w:bCs/>
          <w:color w:val="FFFFFF" w:themeColor="background1"/>
          <w:szCs w:val="24"/>
          <w:lang w:val="fr-FR"/>
        </w:rPr>
        <w:t>iste de points établie avant la soumission du rapport de l’Union Européenne</w:t>
      </w:r>
    </w:p>
    <w:p w14:paraId="0EC78E8F" w14:textId="1965BA83" w:rsidR="00004199" w:rsidRPr="00896FB5" w:rsidRDefault="00896FB5" w:rsidP="006030F2">
      <w:pPr>
        <w:spacing w:before="360" w:after="840" w:line="259" w:lineRule="auto"/>
        <w:rPr>
          <w:color w:val="FFFFFF" w:themeColor="background1"/>
          <w:lang w:val="fr-FR" w:eastAsia="zh-CN" w:bidi="hi-IN"/>
        </w:rPr>
      </w:pPr>
      <w:r w:rsidRPr="00D15BD6">
        <w:rPr>
          <w:noProof/>
          <w:lang w:val="fr-FR"/>
        </w:rPr>
        <w:drawing>
          <wp:anchor distT="0" distB="0" distL="114300" distR="114300" simplePos="0" relativeHeight="251662336" behindDoc="0" locked="0" layoutInCell="1" allowOverlap="1" wp14:anchorId="591318DC" wp14:editId="26AC8EB2">
            <wp:simplePos x="0" y="0"/>
            <wp:positionH relativeFrom="margin">
              <wp:align>left</wp:align>
            </wp:positionH>
            <wp:positionV relativeFrom="paragraph">
              <wp:posOffset>6985</wp:posOffset>
            </wp:positionV>
            <wp:extent cx="904875" cy="609600"/>
            <wp:effectExtent l="0" t="0" r="9525" b="0"/>
            <wp:wrapSquare wrapText="bothSides"/>
            <wp:docPr id="5" name="Picture 5"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creen with yellow stars&#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904875" cy="609600"/>
                    </a:xfrm>
                    <a:prstGeom prst="rect">
                      <a:avLst/>
                    </a:prstGeom>
                  </pic:spPr>
                </pic:pic>
              </a:graphicData>
            </a:graphic>
          </wp:anchor>
        </w:drawing>
      </w:r>
      <w:r>
        <w:rPr>
          <w:color w:val="FFFFFF" w:themeColor="background1"/>
          <w:lang w:val="fr-FR" w:eastAsia="zh-CN" w:bidi="hi-IN"/>
        </w:rPr>
        <w:t>C</w:t>
      </w:r>
      <w:r w:rsidR="00773BA6" w:rsidRPr="00896FB5">
        <w:rPr>
          <w:color w:val="FFFFFF" w:themeColor="background1"/>
          <w:lang w:val="fr-FR" w:eastAsia="zh-CN" w:bidi="hi-IN"/>
        </w:rPr>
        <w:t>ette publication a bénéficié du soutien financier de l</w:t>
      </w:r>
      <w:r w:rsidR="00A13071" w:rsidRPr="00896FB5">
        <w:rPr>
          <w:color w:val="FFFFFF" w:themeColor="background1"/>
          <w:lang w:val="fr-FR" w:eastAsia="zh-CN" w:bidi="hi-IN"/>
        </w:rPr>
        <w:t>’</w:t>
      </w:r>
      <w:r w:rsidR="00773BA6" w:rsidRPr="00896FB5">
        <w:rPr>
          <w:color w:val="FFFFFF" w:themeColor="background1"/>
          <w:lang w:val="fr-FR" w:eastAsia="zh-CN" w:bidi="hi-IN"/>
        </w:rPr>
        <w:t>Union européenne. Les informations contenues dans cette publication ne reflètent pas nécessairement la position officielle de la Commission européenne</w:t>
      </w:r>
      <w:r w:rsidR="00C9050B" w:rsidRPr="00896FB5">
        <w:rPr>
          <w:color w:val="FFFFFF" w:themeColor="background1"/>
          <w:lang w:val="fr-FR" w:eastAsia="zh-CN" w:bidi="hi-IN"/>
        </w:rPr>
        <w:t>.</w:t>
      </w:r>
    </w:p>
    <w:p w14:paraId="601537B8" w14:textId="05E63A23" w:rsidR="00505128" w:rsidRPr="00D15BD6" w:rsidRDefault="005A29E6" w:rsidP="00AD2BBC">
      <w:pPr>
        <w:pStyle w:val="Heading1"/>
        <w:rPr>
          <w:lang w:val="fr-FR"/>
        </w:rPr>
      </w:pPr>
      <w:r w:rsidRPr="00D15BD6">
        <w:rPr>
          <w:lang w:val="fr-FR"/>
        </w:rPr>
        <w:br w:type="column"/>
      </w:r>
      <w:r w:rsidR="00846803">
        <w:rPr>
          <w:lang w:val="fr-FR"/>
        </w:rPr>
        <w:lastRenderedPageBreak/>
        <w:t>Forum Européen des Personnes Handicapées</w:t>
      </w:r>
      <w:r w:rsidR="00505128" w:rsidRPr="00D15BD6">
        <w:rPr>
          <w:lang w:val="fr-FR"/>
        </w:rPr>
        <w:t xml:space="preserve"> </w:t>
      </w:r>
    </w:p>
    <w:p w14:paraId="2E027988" w14:textId="626DB041" w:rsidR="00924B06" w:rsidRPr="00D15BD6" w:rsidRDefault="000F2ED5" w:rsidP="00AD2BBC">
      <w:pPr>
        <w:rPr>
          <w:lang w:val="fr-FR"/>
        </w:rPr>
      </w:pPr>
      <w:r w:rsidRPr="000F2ED5">
        <w:rPr>
          <w:lang w:val="fr-FR"/>
        </w:rPr>
        <w:t xml:space="preserve">Le Forum </w:t>
      </w:r>
      <w:r>
        <w:rPr>
          <w:lang w:val="fr-FR"/>
        </w:rPr>
        <w:t>E</w:t>
      </w:r>
      <w:r w:rsidRPr="000F2ED5">
        <w:rPr>
          <w:lang w:val="fr-FR"/>
        </w:rPr>
        <w:t xml:space="preserve">uropéen des </w:t>
      </w:r>
      <w:r>
        <w:rPr>
          <w:lang w:val="fr-FR"/>
        </w:rPr>
        <w:t>P</w:t>
      </w:r>
      <w:r w:rsidRPr="000F2ED5">
        <w:rPr>
          <w:lang w:val="fr-FR"/>
        </w:rPr>
        <w:t xml:space="preserve">ersonnes </w:t>
      </w:r>
      <w:r>
        <w:rPr>
          <w:lang w:val="fr-FR"/>
        </w:rPr>
        <w:t>H</w:t>
      </w:r>
      <w:r w:rsidRPr="000F2ED5">
        <w:rPr>
          <w:lang w:val="fr-FR"/>
        </w:rPr>
        <w:t>andicapées (FEPH) est une organi</w:t>
      </w:r>
      <w:r>
        <w:rPr>
          <w:lang w:val="fr-FR"/>
        </w:rPr>
        <w:t>s</w:t>
      </w:r>
      <w:r w:rsidRPr="000F2ED5">
        <w:rPr>
          <w:lang w:val="fr-FR"/>
        </w:rPr>
        <w:t>ation</w:t>
      </w:r>
      <w:r w:rsidR="00366708">
        <w:rPr>
          <w:lang w:val="fr-FR"/>
        </w:rPr>
        <w:t xml:space="preserve"> centrale</w:t>
      </w:r>
      <w:r w:rsidRPr="000F2ED5">
        <w:rPr>
          <w:lang w:val="fr-FR"/>
        </w:rPr>
        <w:t xml:space="preserve"> de </w:t>
      </w:r>
      <w:r w:rsidRPr="00896FB5">
        <w:rPr>
          <w:lang w:val="fr-FR"/>
        </w:rPr>
        <w:t>personnes handicapées</w:t>
      </w:r>
      <w:r w:rsidRPr="000F2ED5">
        <w:rPr>
          <w:lang w:val="fr-FR"/>
        </w:rPr>
        <w:t xml:space="preserve"> qui défend les intérêts de plus de 100</w:t>
      </w:r>
      <w:r>
        <w:rPr>
          <w:lang w:val="fr-FR"/>
        </w:rPr>
        <w:t> </w:t>
      </w:r>
      <w:r w:rsidRPr="000F2ED5">
        <w:rPr>
          <w:lang w:val="fr-FR"/>
        </w:rPr>
        <w:t>millions de personnes handicapées en Europe.</w:t>
      </w:r>
      <w:r w:rsidR="00924B06" w:rsidRPr="00D15BD6">
        <w:rPr>
          <w:lang w:val="fr-FR"/>
        </w:rPr>
        <w:t xml:space="preserve"> </w:t>
      </w:r>
    </w:p>
    <w:p w14:paraId="553B186B" w14:textId="0C7D2413" w:rsidR="002A081A" w:rsidRDefault="002A081A" w:rsidP="00AD2BBC">
      <w:pPr>
        <w:rPr>
          <w:lang w:val="fr-FR"/>
        </w:rPr>
      </w:pPr>
      <w:r w:rsidRPr="002A081A">
        <w:rPr>
          <w:lang w:val="fr-FR"/>
        </w:rPr>
        <w:t>Nous sommes une organisation non gouvernementale indépendante qui rassemble des organisations représentatives de personnes handicapées (OPH) d</w:t>
      </w:r>
      <w:r w:rsidR="00F07F59">
        <w:rPr>
          <w:lang w:val="fr-FR"/>
        </w:rPr>
        <w:t>ans</w:t>
      </w:r>
      <w:r w:rsidRPr="002A081A">
        <w:rPr>
          <w:lang w:val="fr-FR"/>
        </w:rPr>
        <w:t xml:space="preserve"> toute l</w:t>
      </w:r>
      <w:r w:rsidR="00A13071">
        <w:rPr>
          <w:lang w:val="fr-FR"/>
        </w:rPr>
        <w:t>’</w:t>
      </w:r>
      <w:r w:rsidRPr="002A081A">
        <w:rPr>
          <w:lang w:val="fr-FR"/>
        </w:rPr>
        <w:t xml:space="preserve">Europe. Nous comptons actuellement 101 membres, dont des organisations européennes représentant </w:t>
      </w:r>
      <w:r>
        <w:rPr>
          <w:lang w:val="fr-FR"/>
        </w:rPr>
        <w:t>différents</w:t>
      </w:r>
      <w:r w:rsidRPr="002A081A">
        <w:rPr>
          <w:lang w:val="fr-FR"/>
        </w:rPr>
        <w:t xml:space="preserve"> groupes de personnes </w:t>
      </w:r>
      <w:r w:rsidR="00366708">
        <w:rPr>
          <w:lang w:val="fr-FR"/>
        </w:rPr>
        <w:t>en situation de handicap</w:t>
      </w:r>
      <w:r w:rsidRPr="002A081A">
        <w:rPr>
          <w:lang w:val="fr-FR"/>
        </w:rPr>
        <w:t xml:space="preserve"> et des conseils nationaux de personnes handicapées. </w:t>
      </w:r>
      <w:r w:rsidR="001C2C36">
        <w:rPr>
          <w:lang w:val="fr-FR"/>
        </w:rPr>
        <w:t>N</w:t>
      </w:r>
      <w:r w:rsidR="001C2C36" w:rsidRPr="002A081A">
        <w:rPr>
          <w:lang w:val="fr-FR"/>
        </w:rPr>
        <w:t>ous rassemblons plus de 3000 organisations</w:t>
      </w:r>
      <w:r w:rsidR="001C2C36">
        <w:rPr>
          <w:lang w:val="fr-FR"/>
        </w:rPr>
        <w:t>, y compris l</w:t>
      </w:r>
      <w:r w:rsidRPr="002A081A">
        <w:rPr>
          <w:lang w:val="fr-FR"/>
        </w:rPr>
        <w:t xml:space="preserve">es adhésions de nos membres. </w:t>
      </w:r>
    </w:p>
    <w:p w14:paraId="3D79F868" w14:textId="4BCBD875" w:rsidR="00505128" w:rsidRPr="00D15BD6" w:rsidRDefault="001A5E8B" w:rsidP="00AD2BBC">
      <w:pPr>
        <w:rPr>
          <w:lang w:val="fr-FR"/>
        </w:rPr>
      </w:pPr>
      <w:r w:rsidRPr="001A5E8B">
        <w:rPr>
          <w:lang w:val="fr-FR"/>
        </w:rPr>
        <w:t xml:space="preserve">Nous sommes dirigés par des personnes </w:t>
      </w:r>
      <w:r w:rsidR="00366708">
        <w:rPr>
          <w:lang w:val="fr-FR"/>
        </w:rPr>
        <w:t>en situation de handicap</w:t>
      </w:r>
      <w:r w:rsidRPr="001A5E8B">
        <w:rPr>
          <w:lang w:val="fr-FR"/>
        </w:rPr>
        <w:t xml:space="preserve"> et leurs familles. Nous sommes une voix forte et unie des personnes handicapées </w:t>
      </w:r>
      <w:r w:rsidR="00DE3568">
        <w:rPr>
          <w:lang w:val="fr-FR"/>
        </w:rPr>
        <w:t>d’</w:t>
      </w:r>
      <w:r w:rsidRPr="001A5E8B">
        <w:rPr>
          <w:lang w:val="fr-FR"/>
        </w:rPr>
        <w:t>Europe.</w:t>
      </w:r>
    </w:p>
    <w:p w14:paraId="5CE752D9" w14:textId="15181797" w:rsidR="006030F2" w:rsidRPr="00D15BD6" w:rsidRDefault="006030F2" w:rsidP="006030F2">
      <w:pPr>
        <w:pStyle w:val="Heading1"/>
        <w:rPr>
          <w:lang w:val="fr-FR"/>
        </w:rPr>
      </w:pPr>
      <w:bookmarkStart w:id="0" w:name="_Toc93906408"/>
      <w:r w:rsidRPr="00D15BD6">
        <w:rPr>
          <w:lang w:val="fr-FR"/>
        </w:rPr>
        <w:t>Context</w:t>
      </w:r>
      <w:bookmarkEnd w:id="0"/>
      <w:r w:rsidR="00C73B27">
        <w:rPr>
          <w:lang w:val="fr-FR"/>
        </w:rPr>
        <w:t>e</w:t>
      </w:r>
      <w:r w:rsidRPr="00D15BD6">
        <w:rPr>
          <w:lang w:val="fr-FR"/>
        </w:rPr>
        <w:t xml:space="preserve"> </w:t>
      </w:r>
    </w:p>
    <w:p w14:paraId="3AA877E6" w14:textId="07183EF2" w:rsidR="00E70D2B" w:rsidRDefault="00E70D2B" w:rsidP="006030F2">
      <w:pPr>
        <w:rPr>
          <w:lang w:val="fr-FR"/>
        </w:rPr>
      </w:pPr>
      <w:r w:rsidRPr="00E70D2B">
        <w:rPr>
          <w:lang w:val="fr-FR"/>
        </w:rPr>
        <w:t>L</w:t>
      </w:r>
      <w:r w:rsidR="00A13071">
        <w:rPr>
          <w:lang w:val="fr-FR"/>
        </w:rPr>
        <w:t>’</w:t>
      </w:r>
      <w:r w:rsidRPr="00E70D2B">
        <w:rPr>
          <w:lang w:val="fr-FR"/>
        </w:rPr>
        <w:t xml:space="preserve">Union européenne (UE) est une union économique et politique unique entre </w:t>
      </w:r>
      <w:hyperlink r:id="rId13" w:history="1">
        <w:r w:rsidRPr="00E70D2B">
          <w:rPr>
            <w:rStyle w:val="Hyperlink"/>
            <w:lang w:val="fr-FR"/>
          </w:rPr>
          <w:t>27 pays de l</w:t>
        </w:r>
        <w:r w:rsidR="00A13071">
          <w:rPr>
            <w:rStyle w:val="Hyperlink"/>
            <w:lang w:val="fr-FR"/>
          </w:rPr>
          <w:t>’</w:t>
        </w:r>
        <w:r w:rsidRPr="00E70D2B">
          <w:rPr>
            <w:rStyle w:val="Hyperlink"/>
            <w:lang w:val="fr-FR"/>
          </w:rPr>
          <w:t>UE</w:t>
        </w:r>
      </w:hyperlink>
      <w:r w:rsidRPr="00E70D2B">
        <w:rPr>
          <w:lang w:val="fr-FR"/>
        </w:rPr>
        <w:t xml:space="preserve"> qui, ensemble, couvrent une grande partie du continent européen. </w:t>
      </w:r>
    </w:p>
    <w:p w14:paraId="1D54C4F2" w14:textId="29105B97" w:rsidR="006030F2" w:rsidRPr="00D15BD6" w:rsidRDefault="00EE779F" w:rsidP="006030F2">
      <w:pPr>
        <w:rPr>
          <w:lang w:val="fr-FR"/>
        </w:rPr>
      </w:pPr>
      <w:r w:rsidRPr="00EE779F">
        <w:rPr>
          <w:lang w:val="fr-FR"/>
        </w:rPr>
        <w:t>L</w:t>
      </w:r>
      <w:r w:rsidR="00A13071">
        <w:rPr>
          <w:lang w:val="fr-FR"/>
        </w:rPr>
        <w:t>’</w:t>
      </w:r>
      <w:r w:rsidRPr="00EE779F">
        <w:rPr>
          <w:lang w:val="fr-FR"/>
        </w:rPr>
        <w:t xml:space="preserve">UE a été la première organisation régionale à ratifier la Convention des Nations unies relative aux droits des personnes handicapées en 2010. Elle a été </w:t>
      </w:r>
      <w:r w:rsidR="00366708">
        <w:rPr>
          <w:lang w:val="fr-FR"/>
        </w:rPr>
        <w:t>évaluée</w:t>
      </w:r>
      <w:r w:rsidRPr="00EE779F">
        <w:rPr>
          <w:lang w:val="fr-FR"/>
        </w:rPr>
        <w:t xml:space="preserve"> pour la première fois par le Comité des droits des personnes handicapées de l</w:t>
      </w:r>
      <w:r w:rsidR="00A13071">
        <w:rPr>
          <w:lang w:val="fr-FR"/>
        </w:rPr>
        <w:t>’</w:t>
      </w:r>
      <w:r w:rsidRPr="00EE779F">
        <w:rPr>
          <w:lang w:val="fr-FR"/>
        </w:rPr>
        <w:t>ONU en 2015. Depuis lors, l</w:t>
      </w:r>
      <w:r w:rsidR="00A13071">
        <w:rPr>
          <w:lang w:val="fr-FR"/>
        </w:rPr>
        <w:t>’</w:t>
      </w:r>
      <w:r w:rsidRPr="00EE779F">
        <w:rPr>
          <w:lang w:val="fr-FR"/>
        </w:rPr>
        <w:t>UE a été marquée par plusieurs événements</w:t>
      </w:r>
      <w:r>
        <w:rPr>
          <w:lang w:val="fr-FR"/>
        </w:rPr>
        <w:t> </w:t>
      </w:r>
      <w:r w:rsidR="006030F2" w:rsidRPr="00D15BD6">
        <w:rPr>
          <w:lang w:val="fr-FR"/>
        </w:rPr>
        <w:t xml:space="preserve">: </w:t>
      </w:r>
    </w:p>
    <w:p w14:paraId="581429F7" w14:textId="796C9649" w:rsidR="006030F2" w:rsidRPr="00D15BD6" w:rsidRDefault="004F1027" w:rsidP="006030F2">
      <w:pPr>
        <w:pStyle w:val="ListParagraph"/>
        <w:numPr>
          <w:ilvl w:val="0"/>
          <w:numId w:val="2"/>
        </w:numPr>
        <w:rPr>
          <w:lang w:val="fr-FR"/>
        </w:rPr>
      </w:pPr>
      <w:r w:rsidRPr="004F1027">
        <w:rPr>
          <w:lang w:val="fr-FR"/>
        </w:rPr>
        <w:t>Depuis mars 2018, tous les États membres de l</w:t>
      </w:r>
      <w:r w:rsidR="00A13071">
        <w:rPr>
          <w:lang w:val="fr-FR"/>
        </w:rPr>
        <w:t>’</w:t>
      </w:r>
      <w:r w:rsidRPr="004F1027">
        <w:rPr>
          <w:lang w:val="fr-FR"/>
        </w:rPr>
        <w:t>UE ont ratifié la CDPH.</w:t>
      </w:r>
    </w:p>
    <w:p w14:paraId="189ACF76" w14:textId="684FE56C" w:rsidR="006030F2" w:rsidRPr="00D15BD6" w:rsidRDefault="004F1027" w:rsidP="006030F2">
      <w:pPr>
        <w:pStyle w:val="ListParagraph"/>
        <w:numPr>
          <w:ilvl w:val="0"/>
          <w:numId w:val="2"/>
        </w:numPr>
        <w:rPr>
          <w:lang w:val="fr-FR"/>
        </w:rPr>
      </w:pPr>
      <w:r w:rsidRPr="004F1027">
        <w:rPr>
          <w:lang w:val="fr-FR"/>
        </w:rPr>
        <w:t xml:space="preserve">Le 31 janvier 2020, le Royaume-Uni </w:t>
      </w:r>
      <w:r>
        <w:rPr>
          <w:lang w:val="fr-FR"/>
        </w:rPr>
        <w:t>a quitté</w:t>
      </w:r>
      <w:r w:rsidRPr="004F1027">
        <w:rPr>
          <w:lang w:val="fr-FR"/>
        </w:rPr>
        <w:t xml:space="preserve"> l</w:t>
      </w:r>
      <w:r w:rsidR="00A13071">
        <w:rPr>
          <w:lang w:val="fr-FR"/>
        </w:rPr>
        <w:t>’</w:t>
      </w:r>
      <w:r w:rsidRPr="004F1027">
        <w:rPr>
          <w:lang w:val="fr-FR"/>
        </w:rPr>
        <w:t xml:space="preserve">UE. Avant cette date, </w:t>
      </w:r>
      <w:r>
        <w:rPr>
          <w:lang w:val="fr-FR"/>
        </w:rPr>
        <w:t xml:space="preserve">les </w:t>
      </w:r>
      <w:r w:rsidRPr="004F1027">
        <w:rPr>
          <w:lang w:val="fr-FR"/>
        </w:rPr>
        <w:t>États membres</w:t>
      </w:r>
      <w:r>
        <w:rPr>
          <w:lang w:val="fr-FR"/>
        </w:rPr>
        <w:t xml:space="preserve"> étaient au nombre de</w:t>
      </w:r>
      <w:r w:rsidR="006030F2" w:rsidRPr="00D15BD6">
        <w:rPr>
          <w:lang w:val="fr-FR"/>
        </w:rPr>
        <w:t xml:space="preserve"> 28. </w:t>
      </w:r>
    </w:p>
    <w:p w14:paraId="051A4C21" w14:textId="29507446" w:rsidR="006030F2" w:rsidRPr="00D15BD6" w:rsidRDefault="00A52D0F" w:rsidP="00AD2BBC">
      <w:pPr>
        <w:pStyle w:val="ListParagraph"/>
        <w:numPr>
          <w:ilvl w:val="0"/>
          <w:numId w:val="2"/>
        </w:numPr>
        <w:rPr>
          <w:lang w:val="fr-FR"/>
        </w:rPr>
      </w:pPr>
      <w:r w:rsidRPr="00A52D0F">
        <w:rPr>
          <w:lang w:val="fr-FR"/>
        </w:rPr>
        <w:t>Depuis 2015, deux collèges consécutifs de commissaires ont dirigé les travaux de la Commission européenne (l</w:t>
      </w:r>
      <w:r w:rsidR="00A13071">
        <w:rPr>
          <w:lang w:val="fr-FR"/>
        </w:rPr>
        <w:t>’</w:t>
      </w:r>
      <w:r w:rsidRPr="00A52D0F">
        <w:rPr>
          <w:lang w:val="fr-FR"/>
        </w:rPr>
        <w:t>organe exécutif de l</w:t>
      </w:r>
      <w:r w:rsidR="00A13071">
        <w:rPr>
          <w:lang w:val="fr-FR"/>
        </w:rPr>
        <w:t>’</w:t>
      </w:r>
      <w:r w:rsidRPr="00A52D0F">
        <w:rPr>
          <w:lang w:val="fr-FR"/>
        </w:rPr>
        <w:t>UE). L</w:t>
      </w:r>
      <w:r w:rsidR="00A13071">
        <w:rPr>
          <w:lang w:val="fr-FR"/>
        </w:rPr>
        <w:t>’</w:t>
      </w:r>
      <w:r w:rsidRPr="00A52D0F">
        <w:rPr>
          <w:lang w:val="fr-FR"/>
        </w:rPr>
        <w:t xml:space="preserve">actuel </w:t>
      </w:r>
      <w:hyperlink r:id="rId14" w:history="1">
        <w:r w:rsidRPr="00A52D0F">
          <w:rPr>
            <w:rStyle w:val="Hyperlink"/>
            <w:lang w:val="fr-FR"/>
          </w:rPr>
          <w:t>collège des commissaires</w:t>
        </w:r>
      </w:hyperlink>
      <w:r w:rsidRPr="00A52D0F">
        <w:rPr>
          <w:lang w:val="fr-FR"/>
        </w:rPr>
        <w:t xml:space="preserve"> est dirigé par la présidente de la Commission européenne, M</w:t>
      </w:r>
      <w:r w:rsidR="00366708">
        <w:rPr>
          <w:lang w:val="fr-FR"/>
        </w:rPr>
        <w:t>adame</w:t>
      </w:r>
      <w:r w:rsidRPr="00A52D0F">
        <w:rPr>
          <w:lang w:val="fr-FR"/>
        </w:rPr>
        <w:t xml:space="preserve"> Ursula von der </w:t>
      </w:r>
      <w:proofErr w:type="spellStart"/>
      <w:r w:rsidRPr="00A52D0F">
        <w:rPr>
          <w:lang w:val="fr-FR"/>
        </w:rPr>
        <w:t>Leyen</w:t>
      </w:r>
      <w:proofErr w:type="spellEnd"/>
      <w:r w:rsidRPr="00A52D0F">
        <w:rPr>
          <w:lang w:val="fr-FR"/>
        </w:rPr>
        <w:t>, pour un mandat de 5 ans (2019-2024). Il est composé de 27 commissaires issus de chaque État membre de l</w:t>
      </w:r>
      <w:r w:rsidR="00A13071">
        <w:rPr>
          <w:lang w:val="fr-FR"/>
        </w:rPr>
        <w:t>’</w:t>
      </w:r>
      <w:r w:rsidRPr="00A52D0F">
        <w:rPr>
          <w:lang w:val="fr-FR"/>
        </w:rPr>
        <w:t>UE, qui se voient confier la responsabilité de domaines politiques spécifiques, par exemple l</w:t>
      </w:r>
      <w:r w:rsidR="00A13071">
        <w:rPr>
          <w:lang w:val="fr-FR"/>
        </w:rPr>
        <w:t>’</w:t>
      </w:r>
      <w:r w:rsidRPr="00A52D0F">
        <w:rPr>
          <w:lang w:val="fr-FR"/>
        </w:rPr>
        <w:t>égalité, la justice, l</w:t>
      </w:r>
      <w:r w:rsidR="00A13071">
        <w:rPr>
          <w:lang w:val="fr-FR"/>
        </w:rPr>
        <w:t>’</w:t>
      </w:r>
      <w:r w:rsidRPr="00A52D0F">
        <w:rPr>
          <w:lang w:val="fr-FR"/>
        </w:rPr>
        <w:t>emploi et les droits sociaux, la santé et la sécurité alimentaire, la démocratie et la démographie, les valeurs et la transparence. La mise en œuvre de la CDPH relève du mandat de la commissaire à l</w:t>
      </w:r>
      <w:r w:rsidR="00A13071">
        <w:rPr>
          <w:lang w:val="fr-FR"/>
        </w:rPr>
        <w:t>’</w:t>
      </w:r>
      <w:r>
        <w:rPr>
          <w:lang w:val="fr-FR"/>
        </w:rPr>
        <w:t>É</w:t>
      </w:r>
      <w:r w:rsidRPr="00A52D0F">
        <w:rPr>
          <w:lang w:val="fr-FR"/>
        </w:rPr>
        <w:t>galité, M</w:t>
      </w:r>
      <w:r w:rsidR="00366708">
        <w:rPr>
          <w:lang w:val="fr-FR"/>
        </w:rPr>
        <w:t>adame</w:t>
      </w:r>
      <w:r w:rsidRPr="00A52D0F">
        <w:rPr>
          <w:lang w:val="fr-FR"/>
        </w:rPr>
        <w:t xml:space="preserve"> Helena </w:t>
      </w:r>
      <w:proofErr w:type="spellStart"/>
      <w:r w:rsidRPr="00A52D0F">
        <w:rPr>
          <w:lang w:val="fr-FR"/>
        </w:rPr>
        <w:t>Dalli</w:t>
      </w:r>
      <w:proofErr w:type="spellEnd"/>
      <w:r w:rsidRPr="00A52D0F">
        <w:rPr>
          <w:lang w:val="fr-FR"/>
        </w:rPr>
        <w:t>.</w:t>
      </w:r>
      <w:r w:rsidR="006030F2" w:rsidRPr="00D15BD6">
        <w:rPr>
          <w:lang w:val="fr-FR"/>
        </w:rPr>
        <w:t xml:space="preserve"> </w:t>
      </w:r>
    </w:p>
    <w:p w14:paraId="23E75D44" w14:textId="72310102" w:rsidR="00185CFC" w:rsidRPr="00D15BD6" w:rsidRDefault="00B509FE" w:rsidP="00AD2BBC">
      <w:pPr>
        <w:pStyle w:val="Heading1"/>
        <w:rPr>
          <w:lang w:val="fr-FR"/>
        </w:rPr>
      </w:pPr>
      <w:bookmarkStart w:id="1" w:name="_Toc93906407"/>
      <w:r>
        <w:rPr>
          <w:lang w:val="fr-FR"/>
        </w:rPr>
        <w:t>Sommaire exécutif</w:t>
      </w:r>
      <w:bookmarkEnd w:id="1"/>
      <w:r w:rsidR="00185CFC" w:rsidRPr="00D15BD6">
        <w:rPr>
          <w:lang w:val="fr-FR"/>
        </w:rPr>
        <w:t xml:space="preserve"> </w:t>
      </w:r>
    </w:p>
    <w:p w14:paraId="5D12ADFB" w14:textId="07C293BD" w:rsidR="00E3010B" w:rsidRDefault="00E3010B" w:rsidP="00AD2BBC">
      <w:pPr>
        <w:rPr>
          <w:lang w:val="fr-FR"/>
        </w:rPr>
      </w:pPr>
      <w:r w:rsidRPr="00E3010B">
        <w:rPr>
          <w:lang w:val="fr-FR"/>
        </w:rPr>
        <w:t>Le rapport alternatif du FEPH examine la mise en œuvre par l</w:t>
      </w:r>
      <w:r w:rsidR="00A13071">
        <w:rPr>
          <w:lang w:val="fr-FR"/>
        </w:rPr>
        <w:t>’</w:t>
      </w:r>
      <w:r w:rsidRPr="00E3010B">
        <w:rPr>
          <w:lang w:val="fr-FR"/>
        </w:rPr>
        <w:t xml:space="preserve">Union européenne (UE) de la Convention relative aux droits des personnes handicapées (ci-après </w:t>
      </w:r>
      <w:r>
        <w:rPr>
          <w:lang w:val="fr-FR"/>
        </w:rPr>
        <w:t>la « </w:t>
      </w:r>
      <w:r w:rsidRPr="00E3010B">
        <w:rPr>
          <w:lang w:val="fr-FR"/>
        </w:rPr>
        <w:t>CDPH</w:t>
      </w:r>
      <w:r>
        <w:rPr>
          <w:lang w:val="fr-FR"/>
        </w:rPr>
        <w:t> »</w:t>
      </w:r>
      <w:r w:rsidRPr="00E3010B">
        <w:rPr>
          <w:lang w:val="fr-FR"/>
        </w:rPr>
        <w:t xml:space="preserve"> ou la </w:t>
      </w:r>
      <w:r>
        <w:rPr>
          <w:lang w:val="fr-FR"/>
        </w:rPr>
        <w:t>« </w:t>
      </w:r>
      <w:r w:rsidRPr="00E3010B">
        <w:rPr>
          <w:lang w:val="fr-FR"/>
        </w:rPr>
        <w:t>Convention</w:t>
      </w:r>
      <w:r>
        <w:rPr>
          <w:lang w:val="fr-FR"/>
        </w:rPr>
        <w:t> »</w:t>
      </w:r>
      <w:r w:rsidRPr="00E3010B">
        <w:rPr>
          <w:lang w:val="fr-FR"/>
        </w:rPr>
        <w:t xml:space="preserve">) depuis son premier examen par le Comité des Nations unies (ONU) </w:t>
      </w:r>
      <w:r w:rsidR="009C29BB">
        <w:rPr>
          <w:lang w:val="fr-FR"/>
        </w:rPr>
        <w:t>pour</w:t>
      </w:r>
      <w:r w:rsidRPr="00E3010B">
        <w:rPr>
          <w:lang w:val="fr-FR"/>
        </w:rPr>
        <w:t xml:space="preserve"> les droits des personnes handicapées (Comité CDPH) en 2015. </w:t>
      </w:r>
    </w:p>
    <w:p w14:paraId="6D975044" w14:textId="0285D27B" w:rsidR="00A44BAF" w:rsidRDefault="00A44BAF" w:rsidP="00AD2BBC">
      <w:pPr>
        <w:rPr>
          <w:lang w:val="fr-FR"/>
        </w:rPr>
      </w:pPr>
      <w:r w:rsidRPr="00A44BAF">
        <w:rPr>
          <w:lang w:val="fr-FR"/>
        </w:rPr>
        <w:lastRenderedPageBreak/>
        <w:t xml:space="preserve">Si </w:t>
      </w:r>
      <w:r>
        <w:rPr>
          <w:lang w:val="fr-FR"/>
        </w:rPr>
        <w:t>l</w:t>
      </w:r>
      <w:r w:rsidR="00A13071">
        <w:rPr>
          <w:lang w:val="fr-FR"/>
        </w:rPr>
        <w:t>’</w:t>
      </w:r>
      <w:r>
        <w:rPr>
          <w:lang w:val="fr-FR"/>
        </w:rPr>
        <w:t xml:space="preserve">UE a réalisé </w:t>
      </w:r>
      <w:r w:rsidRPr="00A44BAF">
        <w:rPr>
          <w:lang w:val="fr-FR"/>
        </w:rPr>
        <w:t>des progrès, par exemple avec l</w:t>
      </w:r>
      <w:r w:rsidR="00A13071">
        <w:rPr>
          <w:lang w:val="fr-FR"/>
        </w:rPr>
        <w:t>’</w:t>
      </w:r>
      <w:r w:rsidRPr="00A44BAF">
        <w:rPr>
          <w:lang w:val="fr-FR"/>
        </w:rPr>
        <w:t>adoption de l</w:t>
      </w:r>
      <w:r w:rsidR="00A13071">
        <w:rPr>
          <w:lang w:val="fr-FR"/>
        </w:rPr>
        <w:t>’</w:t>
      </w:r>
      <w:r>
        <w:rPr>
          <w:lang w:val="fr-FR"/>
        </w:rPr>
        <w:t xml:space="preserve">acte </w:t>
      </w:r>
      <w:r w:rsidRPr="00A44BAF">
        <w:rPr>
          <w:lang w:val="fr-FR"/>
        </w:rPr>
        <w:t>européen</w:t>
      </w:r>
      <w:r>
        <w:rPr>
          <w:lang w:val="fr-FR"/>
        </w:rPr>
        <w:t xml:space="preserve"> </w:t>
      </w:r>
      <w:r w:rsidRPr="00A44BAF">
        <w:rPr>
          <w:lang w:val="fr-FR"/>
        </w:rPr>
        <w:t>sur l</w:t>
      </w:r>
      <w:r w:rsidR="00A13071">
        <w:rPr>
          <w:lang w:val="fr-FR"/>
        </w:rPr>
        <w:t>’</w:t>
      </w:r>
      <w:r w:rsidRPr="00A44BAF">
        <w:rPr>
          <w:lang w:val="fr-FR"/>
        </w:rPr>
        <w:t>accessibilité, d</w:t>
      </w:r>
      <w:r w:rsidR="00A13071">
        <w:rPr>
          <w:lang w:val="fr-FR"/>
        </w:rPr>
        <w:t>’</w:t>
      </w:r>
      <w:r w:rsidRPr="00A44BAF">
        <w:rPr>
          <w:lang w:val="fr-FR"/>
        </w:rPr>
        <w:t xml:space="preserve">une nouvelle stratégie décennale sur les droits </w:t>
      </w:r>
      <w:r w:rsidRPr="00366708">
        <w:rPr>
          <w:lang w:val="fr-FR"/>
        </w:rPr>
        <w:t xml:space="preserve">des personnes </w:t>
      </w:r>
      <w:r w:rsidR="00366708">
        <w:rPr>
          <w:lang w:val="fr-FR"/>
        </w:rPr>
        <w:t>en situation de handicap</w:t>
      </w:r>
      <w:r w:rsidRPr="00A44BAF">
        <w:rPr>
          <w:lang w:val="fr-FR"/>
        </w:rPr>
        <w:t xml:space="preserve"> et la ratification par l</w:t>
      </w:r>
      <w:r w:rsidR="00A13071">
        <w:rPr>
          <w:lang w:val="fr-FR"/>
        </w:rPr>
        <w:t>’</w:t>
      </w:r>
      <w:r w:rsidRPr="00A44BAF">
        <w:rPr>
          <w:lang w:val="fr-FR"/>
        </w:rPr>
        <w:t>UE du traité de Marrakech</w:t>
      </w:r>
      <w:r w:rsidRPr="00D15BD6">
        <w:rPr>
          <w:rStyle w:val="FootnoteReference"/>
          <w:lang w:val="fr-FR"/>
        </w:rPr>
        <w:footnoteReference w:id="1"/>
      </w:r>
      <w:r w:rsidRPr="00A44BAF">
        <w:rPr>
          <w:lang w:val="fr-FR"/>
        </w:rPr>
        <w:t>, l</w:t>
      </w:r>
      <w:r w:rsidR="00A13071">
        <w:rPr>
          <w:lang w:val="fr-FR"/>
        </w:rPr>
        <w:t>’</w:t>
      </w:r>
      <w:r w:rsidRPr="00A44BAF">
        <w:rPr>
          <w:lang w:val="fr-FR"/>
        </w:rPr>
        <w:t>objectif général de la CDPH</w:t>
      </w:r>
      <w:r w:rsidR="00497102">
        <w:rPr>
          <w:lang w:val="fr-FR"/>
        </w:rPr>
        <w:t>, à savoir</w:t>
      </w:r>
      <w:r w:rsidRPr="00A44BAF">
        <w:rPr>
          <w:lang w:val="fr-FR"/>
        </w:rPr>
        <w:t xml:space="preserve"> promouvoir, protéger et assurer la pleine et égale jouissance de tous les droits de l</w:t>
      </w:r>
      <w:r w:rsidR="00A13071">
        <w:rPr>
          <w:lang w:val="fr-FR"/>
        </w:rPr>
        <w:t>’</w:t>
      </w:r>
      <w:r w:rsidRPr="00A44BAF">
        <w:rPr>
          <w:lang w:val="fr-FR"/>
        </w:rPr>
        <w:t>homme et de toutes les libertés fondamentales par toutes les personnes handicapées</w:t>
      </w:r>
      <w:r w:rsidR="00497102">
        <w:rPr>
          <w:lang w:val="fr-FR"/>
        </w:rPr>
        <w:t>,</w:t>
      </w:r>
      <w:r w:rsidRPr="00A44BAF">
        <w:rPr>
          <w:lang w:val="fr-FR"/>
        </w:rPr>
        <w:t xml:space="preserve"> n</w:t>
      </w:r>
      <w:r w:rsidR="00A13071">
        <w:rPr>
          <w:lang w:val="fr-FR"/>
        </w:rPr>
        <w:t>’</w:t>
      </w:r>
      <w:r w:rsidRPr="00A44BAF">
        <w:rPr>
          <w:lang w:val="fr-FR"/>
        </w:rPr>
        <w:t xml:space="preserve">est pas encore atteint. </w:t>
      </w:r>
    </w:p>
    <w:p w14:paraId="5E70FF2E" w14:textId="6862A7C0" w:rsidR="00D13254" w:rsidRPr="00D15BD6" w:rsidRDefault="00973D8F" w:rsidP="00AD2BBC">
      <w:pPr>
        <w:rPr>
          <w:b/>
          <w:bCs/>
          <w:lang w:val="fr-FR"/>
        </w:rPr>
      </w:pPr>
      <w:r w:rsidRPr="00973D8F">
        <w:rPr>
          <w:b/>
          <w:bCs/>
          <w:lang w:val="fr-FR"/>
        </w:rPr>
        <w:t xml:space="preserve">Les principales préoccupations </w:t>
      </w:r>
      <w:r>
        <w:rPr>
          <w:b/>
          <w:bCs/>
          <w:lang w:val="fr-FR"/>
        </w:rPr>
        <w:t>du FEPH</w:t>
      </w:r>
      <w:r w:rsidRPr="00973D8F">
        <w:rPr>
          <w:b/>
          <w:bCs/>
          <w:lang w:val="fr-FR"/>
        </w:rPr>
        <w:t xml:space="preserve"> sont les suivantes</w:t>
      </w:r>
      <w:r>
        <w:rPr>
          <w:b/>
          <w:bCs/>
          <w:lang w:val="fr-FR"/>
        </w:rPr>
        <w:t> </w:t>
      </w:r>
      <w:r w:rsidR="00903AFD" w:rsidRPr="00D15BD6">
        <w:rPr>
          <w:b/>
          <w:bCs/>
          <w:lang w:val="fr-FR"/>
        </w:rPr>
        <w:t>:</w:t>
      </w:r>
    </w:p>
    <w:p w14:paraId="171AFC34" w14:textId="3E2BB02B" w:rsidR="00903AFD" w:rsidRPr="00D15BD6" w:rsidRDefault="001349FA" w:rsidP="00AD2BBC">
      <w:pPr>
        <w:pStyle w:val="ListParagraph"/>
        <w:numPr>
          <w:ilvl w:val="0"/>
          <w:numId w:val="21"/>
        </w:numPr>
        <w:contextualSpacing w:val="0"/>
        <w:rPr>
          <w:lang w:val="fr-FR"/>
        </w:rPr>
      </w:pPr>
      <w:r w:rsidRPr="001349FA">
        <w:rPr>
          <w:b/>
          <w:bCs/>
          <w:lang w:val="fr-FR"/>
        </w:rPr>
        <w:t>Harmonisation juridique avec la CDPH</w:t>
      </w:r>
      <w:r>
        <w:rPr>
          <w:b/>
          <w:bCs/>
          <w:lang w:val="fr-FR"/>
        </w:rPr>
        <w:t> </w:t>
      </w:r>
      <w:r w:rsidR="000A52B3" w:rsidRPr="00D15BD6">
        <w:rPr>
          <w:lang w:val="fr-FR"/>
        </w:rPr>
        <w:t xml:space="preserve">: </w:t>
      </w:r>
      <w:r>
        <w:rPr>
          <w:lang w:val="fr-FR"/>
        </w:rPr>
        <w:t>l</w:t>
      </w:r>
      <w:r w:rsidRPr="001349FA">
        <w:rPr>
          <w:lang w:val="fr-FR"/>
        </w:rPr>
        <w:t>a Commission n</w:t>
      </w:r>
      <w:r w:rsidR="00A13071">
        <w:rPr>
          <w:lang w:val="fr-FR"/>
        </w:rPr>
        <w:t>’</w:t>
      </w:r>
      <w:r w:rsidRPr="001349FA">
        <w:rPr>
          <w:lang w:val="fr-FR"/>
        </w:rPr>
        <w:t>a pas pris de mesures pour assurer l</w:t>
      </w:r>
      <w:r w:rsidR="00A13071">
        <w:rPr>
          <w:lang w:val="fr-FR"/>
        </w:rPr>
        <w:t>’</w:t>
      </w:r>
      <w:r w:rsidRPr="001349FA">
        <w:rPr>
          <w:lang w:val="fr-FR"/>
        </w:rPr>
        <w:t>harmonisation juridique avec la CDPH. L</w:t>
      </w:r>
      <w:r w:rsidR="00A13071">
        <w:rPr>
          <w:lang w:val="fr-FR"/>
        </w:rPr>
        <w:t>’</w:t>
      </w:r>
      <w:r w:rsidRPr="001349FA">
        <w:rPr>
          <w:lang w:val="fr-FR"/>
        </w:rPr>
        <w:t>examen de la législation et des politiques existantes n</w:t>
      </w:r>
      <w:r w:rsidR="00A13071">
        <w:rPr>
          <w:lang w:val="fr-FR"/>
        </w:rPr>
        <w:t>’</w:t>
      </w:r>
      <w:r w:rsidRPr="001349FA">
        <w:rPr>
          <w:lang w:val="fr-FR"/>
        </w:rPr>
        <w:t>a pas eu lieu.</w:t>
      </w:r>
      <w:r w:rsidR="0029240A" w:rsidRPr="00D15BD6">
        <w:rPr>
          <w:lang w:val="fr-FR"/>
        </w:rPr>
        <w:t xml:space="preserve"> </w:t>
      </w:r>
    </w:p>
    <w:p w14:paraId="681FB12C" w14:textId="7BC7923E" w:rsidR="00496A6C" w:rsidRDefault="00C00DCC" w:rsidP="00AD2BBC">
      <w:pPr>
        <w:pStyle w:val="ListParagraph"/>
        <w:numPr>
          <w:ilvl w:val="0"/>
          <w:numId w:val="21"/>
        </w:numPr>
        <w:contextualSpacing w:val="0"/>
        <w:rPr>
          <w:lang w:val="fr-FR"/>
        </w:rPr>
      </w:pPr>
      <w:r w:rsidRPr="00C00DCC">
        <w:rPr>
          <w:b/>
          <w:bCs/>
          <w:lang w:val="fr-FR"/>
        </w:rPr>
        <w:t>Mise en œuvre et application de la législation européenne</w:t>
      </w:r>
      <w:r>
        <w:rPr>
          <w:b/>
          <w:bCs/>
          <w:lang w:val="fr-FR"/>
        </w:rPr>
        <w:t> </w:t>
      </w:r>
      <w:r w:rsidR="000A52B3" w:rsidRPr="00D15BD6">
        <w:rPr>
          <w:lang w:val="fr-FR"/>
        </w:rPr>
        <w:t xml:space="preserve">: </w:t>
      </w:r>
      <w:r w:rsidR="00496A6C">
        <w:rPr>
          <w:lang w:val="fr-FR"/>
        </w:rPr>
        <w:t>l</w:t>
      </w:r>
      <w:r w:rsidR="00496A6C" w:rsidRPr="00496A6C">
        <w:rPr>
          <w:lang w:val="fr-FR"/>
        </w:rPr>
        <w:t>a législation européenne existante relative aux droits des personnes handicapées, comme la directive sur l</w:t>
      </w:r>
      <w:r w:rsidR="00A13071">
        <w:rPr>
          <w:lang w:val="fr-FR"/>
        </w:rPr>
        <w:t>’</w:t>
      </w:r>
      <w:r w:rsidR="00496A6C" w:rsidRPr="00496A6C">
        <w:rPr>
          <w:lang w:val="fr-FR"/>
        </w:rPr>
        <w:t>égalité en matière d</w:t>
      </w:r>
      <w:r w:rsidR="00A13071">
        <w:rPr>
          <w:lang w:val="fr-FR"/>
        </w:rPr>
        <w:t>’</w:t>
      </w:r>
      <w:r w:rsidR="00496A6C" w:rsidRPr="00496A6C">
        <w:rPr>
          <w:lang w:val="fr-FR"/>
        </w:rPr>
        <w:t>emploi, le paquet européen sur les droits des passagers (règlements relatifs aux droits des passagers aériens, ferroviaires, d</w:t>
      </w:r>
      <w:r w:rsidR="00A13071">
        <w:rPr>
          <w:lang w:val="fr-FR"/>
        </w:rPr>
        <w:t>’</w:t>
      </w:r>
      <w:r w:rsidR="00496A6C" w:rsidRPr="00496A6C">
        <w:rPr>
          <w:lang w:val="fr-FR"/>
        </w:rPr>
        <w:t>autocars et d</w:t>
      </w:r>
      <w:r w:rsidR="00A13071">
        <w:rPr>
          <w:lang w:val="fr-FR"/>
        </w:rPr>
        <w:t>’</w:t>
      </w:r>
      <w:r w:rsidR="00496A6C" w:rsidRPr="00496A6C">
        <w:rPr>
          <w:lang w:val="fr-FR"/>
        </w:rPr>
        <w:t>autobus, et maritimes), le règlement sur l</w:t>
      </w:r>
      <w:r w:rsidR="00A13071">
        <w:rPr>
          <w:lang w:val="fr-FR"/>
        </w:rPr>
        <w:t>’</w:t>
      </w:r>
      <w:r w:rsidR="00496A6C" w:rsidRPr="00496A6C">
        <w:rPr>
          <w:lang w:val="fr-FR"/>
        </w:rPr>
        <w:t>accessibilité ferroviaire</w:t>
      </w:r>
      <w:r w:rsidR="00496A6C" w:rsidRPr="00D15BD6">
        <w:rPr>
          <w:rStyle w:val="FootnoteReference"/>
          <w:lang w:val="fr-FR"/>
        </w:rPr>
        <w:footnoteReference w:id="2"/>
      </w:r>
      <w:r w:rsidR="00496A6C" w:rsidRPr="00496A6C">
        <w:rPr>
          <w:lang w:val="fr-FR"/>
        </w:rPr>
        <w:t>, la directive sur les services de médias audiovisuels</w:t>
      </w:r>
      <w:r w:rsidR="00E04864" w:rsidRPr="00D15BD6">
        <w:rPr>
          <w:rStyle w:val="FootnoteReference"/>
          <w:lang w:val="fr-FR"/>
        </w:rPr>
        <w:footnoteReference w:id="3"/>
      </w:r>
      <w:r w:rsidR="00496A6C" w:rsidRPr="00496A6C">
        <w:rPr>
          <w:lang w:val="fr-FR"/>
        </w:rPr>
        <w:t xml:space="preserve"> et la directive sur les droits des victimes, </w:t>
      </w:r>
      <w:r w:rsidR="00E04864">
        <w:rPr>
          <w:lang w:val="fr-FR"/>
        </w:rPr>
        <w:t>n</w:t>
      </w:r>
      <w:r w:rsidR="00A13071">
        <w:rPr>
          <w:lang w:val="fr-FR"/>
        </w:rPr>
        <w:t>’</w:t>
      </w:r>
      <w:r w:rsidR="00E04864">
        <w:rPr>
          <w:lang w:val="fr-FR"/>
        </w:rPr>
        <w:t>est pas</w:t>
      </w:r>
      <w:r w:rsidR="00496A6C" w:rsidRPr="00496A6C">
        <w:rPr>
          <w:lang w:val="fr-FR"/>
        </w:rPr>
        <w:t xml:space="preserve"> mis</w:t>
      </w:r>
      <w:r w:rsidR="00E04864">
        <w:rPr>
          <w:lang w:val="fr-FR"/>
        </w:rPr>
        <w:t>e</w:t>
      </w:r>
      <w:r w:rsidR="00496A6C" w:rsidRPr="00496A6C">
        <w:rPr>
          <w:lang w:val="fr-FR"/>
        </w:rPr>
        <w:t xml:space="preserve"> en œuvre et appliqué</w:t>
      </w:r>
      <w:r w:rsidR="00E04864">
        <w:rPr>
          <w:lang w:val="fr-FR"/>
        </w:rPr>
        <w:t>e</w:t>
      </w:r>
      <w:r w:rsidR="00496A6C" w:rsidRPr="00496A6C">
        <w:rPr>
          <w:lang w:val="fr-FR"/>
        </w:rPr>
        <w:t xml:space="preserve"> efficacement.</w:t>
      </w:r>
    </w:p>
    <w:p w14:paraId="41E5EF13" w14:textId="2C6B7337" w:rsidR="00903AFD" w:rsidRPr="00AA0C34" w:rsidRDefault="00960B50" w:rsidP="00AA0C34">
      <w:pPr>
        <w:pStyle w:val="ListParagraph"/>
        <w:numPr>
          <w:ilvl w:val="0"/>
          <w:numId w:val="21"/>
        </w:numPr>
        <w:contextualSpacing w:val="0"/>
        <w:rPr>
          <w:lang w:val="fr-FR"/>
        </w:rPr>
      </w:pPr>
      <w:r w:rsidRPr="00960B50">
        <w:rPr>
          <w:b/>
          <w:bCs/>
          <w:lang w:val="fr-FR"/>
        </w:rPr>
        <w:t>Consultation et participation des personnes handicapées</w:t>
      </w:r>
      <w:r>
        <w:rPr>
          <w:b/>
          <w:bCs/>
          <w:lang w:val="fr-FR"/>
        </w:rPr>
        <w:t> </w:t>
      </w:r>
      <w:r w:rsidR="000A52B3" w:rsidRPr="00D15BD6">
        <w:rPr>
          <w:lang w:val="fr-FR"/>
        </w:rPr>
        <w:t xml:space="preserve">: </w:t>
      </w:r>
      <w:r w:rsidR="00300C05">
        <w:rPr>
          <w:lang w:val="fr-FR"/>
        </w:rPr>
        <w:t>i</w:t>
      </w:r>
      <w:r w:rsidR="00300C05" w:rsidRPr="00300C05">
        <w:rPr>
          <w:lang w:val="fr-FR"/>
        </w:rPr>
        <w:t>l n</w:t>
      </w:r>
      <w:r w:rsidR="00A13071">
        <w:rPr>
          <w:lang w:val="fr-FR"/>
        </w:rPr>
        <w:t>’</w:t>
      </w:r>
      <w:r w:rsidR="00300C05" w:rsidRPr="00300C05">
        <w:rPr>
          <w:lang w:val="fr-FR"/>
        </w:rPr>
        <w:t xml:space="preserve">existe pas de processus clairement structuré ou documenté pour la consultation des personnes handicapées et </w:t>
      </w:r>
      <w:r w:rsidR="00300C05">
        <w:rPr>
          <w:lang w:val="fr-FR"/>
        </w:rPr>
        <w:t>de leurs</w:t>
      </w:r>
      <w:r w:rsidR="00300C05" w:rsidRPr="00300C05">
        <w:rPr>
          <w:lang w:val="fr-FR"/>
        </w:rPr>
        <w:t xml:space="preserve"> organisations </w:t>
      </w:r>
      <w:r w:rsidR="00300C05">
        <w:rPr>
          <w:lang w:val="fr-FR"/>
        </w:rPr>
        <w:t>représentatives</w:t>
      </w:r>
      <w:r w:rsidR="00300C05" w:rsidRPr="00300C05">
        <w:rPr>
          <w:lang w:val="fr-FR"/>
        </w:rPr>
        <w:t xml:space="preserve">. La consultation </w:t>
      </w:r>
      <w:r w:rsidR="00AA0C34">
        <w:rPr>
          <w:lang w:val="fr-FR"/>
        </w:rPr>
        <w:t>reste un moyen</w:t>
      </w:r>
      <w:r w:rsidR="00300C05" w:rsidRPr="00300C05">
        <w:rPr>
          <w:lang w:val="fr-FR"/>
        </w:rPr>
        <w:t xml:space="preserve"> ad hoc dans toutes les institutions. Dans certaines institutions et </w:t>
      </w:r>
      <w:r w:rsidR="00AA0C34">
        <w:rPr>
          <w:lang w:val="fr-FR"/>
        </w:rPr>
        <w:t xml:space="preserve">dans certains </w:t>
      </w:r>
      <w:r w:rsidR="00300C05" w:rsidRPr="00300C05">
        <w:rPr>
          <w:lang w:val="fr-FR"/>
        </w:rPr>
        <w:t xml:space="preserve">organes, </w:t>
      </w:r>
      <w:r w:rsidR="00AA0C34">
        <w:rPr>
          <w:lang w:val="fr-FR"/>
        </w:rPr>
        <w:t>notamment</w:t>
      </w:r>
      <w:r w:rsidR="00300C05" w:rsidRPr="00300C05">
        <w:rPr>
          <w:lang w:val="fr-FR"/>
        </w:rPr>
        <w:t xml:space="preserve"> le Conseil, </w:t>
      </w:r>
      <w:r w:rsidR="00AA0C34">
        <w:rPr>
          <w:lang w:val="fr-FR"/>
        </w:rPr>
        <w:t>aucune</w:t>
      </w:r>
      <w:r w:rsidR="00300C05" w:rsidRPr="00300C05">
        <w:rPr>
          <w:lang w:val="fr-FR"/>
        </w:rPr>
        <w:t xml:space="preserve"> consultation </w:t>
      </w:r>
      <w:r w:rsidR="00AA0C34">
        <w:rPr>
          <w:lang w:val="fr-FR"/>
        </w:rPr>
        <w:t>n</w:t>
      </w:r>
      <w:r w:rsidR="00A13071">
        <w:rPr>
          <w:lang w:val="fr-FR"/>
        </w:rPr>
        <w:t>’</w:t>
      </w:r>
      <w:r w:rsidR="00AA0C34">
        <w:rPr>
          <w:lang w:val="fr-FR"/>
        </w:rPr>
        <w:t xml:space="preserve">a lieu </w:t>
      </w:r>
      <w:r w:rsidR="00300C05" w:rsidRPr="00300C05">
        <w:rPr>
          <w:lang w:val="fr-FR"/>
        </w:rPr>
        <w:t xml:space="preserve">ou </w:t>
      </w:r>
      <w:r w:rsidR="00AA0C34">
        <w:rPr>
          <w:lang w:val="fr-FR"/>
        </w:rPr>
        <w:t>la</w:t>
      </w:r>
      <w:r w:rsidR="00300C05" w:rsidRPr="00300C05">
        <w:rPr>
          <w:lang w:val="fr-FR"/>
        </w:rPr>
        <w:t xml:space="preserve"> participation </w:t>
      </w:r>
      <w:r w:rsidR="00AA0C34">
        <w:rPr>
          <w:lang w:val="fr-FR"/>
        </w:rPr>
        <w:t xml:space="preserve">est </w:t>
      </w:r>
      <w:r w:rsidR="00300C05" w:rsidRPr="00300C05">
        <w:rPr>
          <w:lang w:val="fr-FR"/>
        </w:rPr>
        <w:t xml:space="preserve">minimale. En outre, les outils numériques </w:t>
      </w:r>
      <w:r w:rsidR="00AA0C34">
        <w:rPr>
          <w:lang w:val="fr-FR"/>
        </w:rPr>
        <w:t>nécessaires aux</w:t>
      </w:r>
      <w:r w:rsidR="00300C05" w:rsidRPr="00300C05">
        <w:rPr>
          <w:lang w:val="fr-FR"/>
        </w:rPr>
        <w:t xml:space="preserve"> consultations publiques ne sont pas accessibles, ni fournis dans des formats accessibles et faciles à lire.</w:t>
      </w:r>
      <w:r w:rsidR="000A52B3" w:rsidRPr="00AA0C34">
        <w:rPr>
          <w:lang w:val="fr-FR"/>
        </w:rPr>
        <w:t xml:space="preserve"> </w:t>
      </w:r>
    </w:p>
    <w:p w14:paraId="74EF0A0A" w14:textId="3DE30FBF" w:rsidR="00903AFD" w:rsidRPr="006B283C" w:rsidRDefault="000B1AAC" w:rsidP="006B283C">
      <w:pPr>
        <w:pStyle w:val="ListParagraph"/>
        <w:numPr>
          <w:ilvl w:val="0"/>
          <w:numId w:val="21"/>
        </w:numPr>
        <w:contextualSpacing w:val="0"/>
        <w:rPr>
          <w:lang w:val="fr-FR"/>
        </w:rPr>
      </w:pPr>
      <w:r w:rsidRPr="000B1AAC">
        <w:rPr>
          <w:b/>
          <w:bCs/>
          <w:lang w:val="fr-FR"/>
        </w:rPr>
        <w:t>Protection contre la discrimination</w:t>
      </w:r>
      <w:r>
        <w:rPr>
          <w:b/>
          <w:bCs/>
          <w:lang w:val="fr-FR"/>
        </w:rPr>
        <w:t> </w:t>
      </w:r>
      <w:r w:rsidR="005B5AE9" w:rsidRPr="00D15BD6">
        <w:rPr>
          <w:lang w:val="fr-FR"/>
        </w:rPr>
        <w:t xml:space="preserve">: </w:t>
      </w:r>
      <w:r>
        <w:rPr>
          <w:lang w:val="fr-FR"/>
        </w:rPr>
        <w:t>l</w:t>
      </w:r>
      <w:r w:rsidRPr="000B1AAC">
        <w:rPr>
          <w:lang w:val="fr-FR"/>
        </w:rPr>
        <w:t xml:space="preserve">a législation </w:t>
      </w:r>
      <w:proofErr w:type="spellStart"/>
      <w:r w:rsidRPr="000B1AAC">
        <w:rPr>
          <w:lang w:val="fr-FR"/>
        </w:rPr>
        <w:t>antidiscrimination</w:t>
      </w:r>
      <w:proofErr w:type="spellEnd"/>
      <w:r w:rsidRPr="000B1AAC">
        <w:rPr>
          <w:lang w:val="fr-FR"/>
        </w:rPr>
        <w:t xml:space="preserve"> de l</w:t>
      </w:r>
      <w:r w:rsidR="00A13071">
        <w:rPr>
          <w:lang w:val="fr-FR"/>
        </w:rPr>
        <w:t>’</w:t>
      </w:r>
      <w:r w:rsidRPr="000B1AAC">
        <w:rPr>
          <w:lang w:val="fr-FR"/>
        </w:rPr>
        <w:t>UE est incohérente dans son champ d</w:t>
      </w:r>
      <w:r w:rsidR="00A13071">
        <w:rPr>
          <w:lang w:val="fr-FR"/>
        </w:rPr>
        <w:t>’</w:t>
      </w:r>
      <w:r w:rsidRPr="000B1AAC">
        <w:rPr>
          <w:lang w:val="fr-FR"/>
        </w:rPr>
        <w:t xml:space="preserve">application et crée une hiérarchie entre les différents motifs de discrimination. </w:t>
      </w:r>
      <w:r w:rsidRPr="00366708">
        <w:rPr>
          <w:lang w:val="fr-FR"/>
        </w:rPr>
        <w:t>Les personnes handicapées</w:t>
      </w:r>
      <w:r w:rsidRPr="000B1AAC">
        <w:rPr>
          <w:lang w:val="fr-FR"/>
        </w:rPr>
        <w:t xml:space="preserve"> ne sont protégées contre la discrimination qu</w:t>
      </w:r>
      <w:r w:rsidR="00A13071">
        <w:rPr>
          <w:lang w:val="fr-FR"/>
        </w:rPr>
        <w:t>’</w:t>
      </w:r>
      <w:r w:rsidRPr="000B1AAC">
        <w:rPr>
          <w:lang w:val="fr-FR"/>
        </w:rPr>
        <w:t>en matière d</w:t>
      </w:r>
      <w:r w:rsidR="00A13071">
        <w:rPr>
          <w:lang w:val="fr-FR"/>
        </w:rPr>
        <w:t>’</w:t>
      </w:r>
      <w:r w:rsidRPr="000B1AAC">
        <w:rPr>
          <w:lang w:val="fr-FR"/>
        </w:rPr>
        <w:t>emploi et de formation professionnelle. La législation européenne ne couvre pas les formes multiples et intersectionnelles de discrimination ni la discrimination par association.</w:t>
      </w:r>
      <w:r>
        <w:rPr>
          <w:lang w:val="fr-FR"/>
        </w:rPr>
        <w:t xml:space="preserve"> </w:t>
      </w:r>
      <w:r w:rsidR="006B283C" w:rsidRPr="006B283C">
        <w:rPr>
          <w:lang w:val="fr-FR"/>
        </w:rPr>
        <w:t>L</w:t>
      </w:r>
      <w:r w:rsidR="00A13071">
        <w:rPr>
          <w:lang w:val="fr-FR"/>
        </w:rPr>
        <w:t>’</w:t>
      </w:r>
      <w:r w:rsidR="006B283C" w:rsidRPr="006B283C">
        <w:rPr>
          <w:lang w:val="fr-FR"/>
        </w:rPr>
        <w:t>UE n</w:t>
      </w:r>
      <w:r w:rsidR="00A13071">
        <w:rPr>
          <w:lang w:val="fr-FR"/>
        </w:rPr>
        <w:t>’</w:t>
      </w:r>
      <w:r w:rsidR="006B283C" w:rsidRPr="006B283C">
        <w:rPr>
          <w:lang w:val="fr-FR"/>
        </w:rPr>
        <w:t xml:space="preserve">a pas encore adopté de législation horizontale contre la discrimination, </w:t>
      </w:r>
      <w:r w:rsidR="006B283C" w:rsidRPr="006B283C">
        <w:rPr>
          <w:lang w:val="fr-FR"/>
        </w:rPr>
        <w:lastRenderedPageBreak/>
        <w:t>puisque la proposition de directive sur l</w:t>
      </w:r>
      <w:r w:rsidR="00A13071">
        <w:rPr>
          <w:lang w:val="fr-FR"/>
        </w:rPr>
        <w:t>’</w:t>
      </w:r>
      <w:r w:rsidR="006B283C" w:rsidRPr="006B283C">
        <w:rPr>
          <w:lang w:val="fr-FR"/>
        </w:rPr>
        <w:t>égalité de traitement présentée en 2008 est bloquée au Conseil. Il n</w:t>
      </w:r>
      <w:r w:rsidR="00A13071">
        <w:rPr>
          <w:lang w:val="fr-FR"/>
        </w:rPr>
        <w:t>’</w:t>
      </w:r>
      <w:r w:rsidR="006B283C" w:rsidRPr="006B283C">
        <w:rPr>
          <w:lang w:val="fr-FR"/>
        </w:rPr>
        <w:t>existe aucune obligation légale pour les organismes de promotion de l</w:t>
      </w:r>
      <w:r w:rsidR="00A13071">
        <w:rPr>
          <w:lang w:val="fr-FR"/>
        </w:rPr>
        <w:t>’</w:t>
      </w:r>
      <w:r w:rsidR="006B283C" w:rsidRPr="006B283C">
        <w:rPr>
          <w:lang w:val="fr-FR"/>
        </w:rPr>
        <w:t>égalité de protéger les victimes de discrimination dans l</w:t>
      </w:r>
      <w:r w:rsidR="00A13071">
        <w:rPr>
          <w:lang w:val="fr-FR"/>
        </w:rPr>
        <w:t>’</w:t>
      </w:r>
      <w:r w:rsidR="006B283C" w:rsidRPr="006B283C">
        <w:rPr>
          <w:lang w:val="fr-FR"/>
        </w:rPr>
        <w:t>UE.</w:t>
      </w:r>
      <w:bookmarkStart w:id="2" w:name="_Hlk92920352"/>
      <w:r w:rsidR="0058226F" w:rsidRPr="006B283C">
        <w:rPr>
          <w:lang w:val="fr-FR"/>
        </w:rPr>
        <w:t xml:space="preserve"> </w:t>
      </w:r>
      <w:bookmarkEnd w:id="2"/>
    </w:p>
    <w:p w14:paraId="5BFA5B53" w14:textId="18A6EEF8" w:rsidR="00242814" w:rsidRPr="00E906AC" w:rsidRDefault="0028014D" w:rsidP="00E906AC">
      <w:pPr>
        <w:pStyle w:val="ListParagraph"/>
        <w:numPr>
          <w:ilvl w:val="0"/>
          <w:numId w:val="21"/>
        </w:numPr>
        <w:contextualSpacing w:val="0"/>
        <w:rPr>
          <w:lang w:val="fr-FR"/>
        </w:rPr>
      </w:pPr>
      <w:r>
        <w:rPr>
          <w:b/>
          <w:bCs/>
          <w:lang w:val="fr-FR"/>
        </w:rPr>
        <w:t xml:space="preserve">Femmes </w:t>
      </w:r>
      <w:r w:rsidRPr="00366708">
        <w:rPr>
          <w:b/>
          <w:bCs/>
          <w:lang w:val="fr-FR"/>
        </w:rPr>
        <w:t>handicapées</w:t>
      </w:r>
      <w:r>
        <w:rPr>
          <w:b/>
          <w:bCs/>
          <w:lang w:val="fr-FR"/>
        </w:rPr>
        <w:t> </w:t>
      </w:r>
      <w:r w:rsidR="00242814" w:rsidRPr="00D15BD6">
        <w:rPr>
          <w:lang w:val="fr-FR"/>
        </w:rPr>
        <w:t xml:space="preserve">: </w:t>
      </w:r>
      <w:r w:rsidR="00E906AC">
        <w:rPr>
          <w:lang w:val="fr-FR"/>
        </w:rPr>
        <w:t>l</w:t>
      </w:r>
      <w:r w:rsidR="00E906AC" w:rsidRPr="00E906AC">
        <w:rPr>
          <w:lang w:val="fr-FR"/>
        </w:rPr>
        <w:t>es lois et politiques de l</w:t>
      </w:r>
      <w:r w:rsidR="00A13071">
        <w:rPr>
          <w:lang w:val="fr-FR"/>
        </w:rPr>
        <w:t>’</w:t>
      </w:r>
      <w:r w:rsidR="00E906AC" w:rsidRPr="00E906AC">
        <w:rPr>
          <w:lang w:val="fr-FR"/>
        </w:rPr>
        <w:t>UE en matière d</w:t>
      </w:r>
      <w:r w:rsidR="00A13071">
        <w:rPr>
          <w:lang w:val="fr-FR"/>
        </w:rPr>
        <w:t>’</w:t>
      </w:r>
      <w:r w:rsidR="00E906AC" w:rsidRPr="00E906AC">
        <w:rPr>
          <w:lang w:val="fr-FR"/>
        </w:rPr>
        <w:t xml:space="preserve">égalité des sexes et de handicap ne prennent pas pleinement en considération les droits et les besoins des </w:t>
      </w:r>
      <w:r w:rsidR="00E906AC" w:rsidRPr="00366708">
        <w:rPr>
          <w:lang w:val="fr-FR"/>
        </w:rPr>
        <w:t>femmes et des filles handicapées</w:t>
      </w:r>
      <w:r w:rsidR="00E906AC" w:rsidRPr="00E906AC">
        <w:rPr>
          <w:lang w:val="fr-FR"/>
        </w:rPr>
        <w:t xml:space="preserve">. </w:t>
      </w:r>
      <w:r w:rsidR="00E906AC">
        <w:rPr>
          <w:lang w:val="fr-FR"/>
        </w:rPr>
        <w:t>Celles-ci restent</w:t>
      </w:r>
      <w:r w:rsidR="00E906AC" w:rsidRPr="00E906AC">
        <w:rPr>
          <w:lang w:val="fr-FR"/>
        </w:rPr>
        <w:t xml:space="preserve"> exposées à un risque de violence plus élevé que les autres femmes, à davantage de discrimination que </w:t>
      </w:r>
      <w:r w:rsidR="00E906AC" w:rsidRPr="00366708">
        <w:rPr>
          <w:lang w:val="fr-FR"/>
        </w:rPr>
        <w:t>les hommes handicapés</w:t>
      </w:r>
      <w:r w:rsidR="00E906AC" w:rsidRPr="00E906AC">
        <w:rPr>
          <w:lang w:val="fr-FR"/>
        </w:rPr>
        <w:t xml:space="preserve"> dans l</w:t>
      </w:r>
      <w:r w:rsidR="00A13071">
        <w:rPr>
          <w:lang w:val="fr-FR"/>
        </w:rPr>
        <w:t>’</w:t>
      </w:r>
      <w:r w:rsidR="00E906AC" w:rsidRPr="00E906AC">
        <w:rPr>
          <w:lang w:val="fr-FR"/>
        </w:rPr>
        <w:t>accès à l</w:t>
      </w:r>
      <w:r w:rsidR="00A13071">
        <w:rPr>
          <w:lang w:val="fr-FR"/>
        </w:rPr>
        <w:t>’</w:t>
      </w:r>
      <w:r w:rsidR="00E906AC" w:rsidRPr="00E906AC">
        <w:rPr>
          <w:lang w:val="fr-FR"/>
        </w:rPr>
        <w:t>emploi, à l</w:t>
      </w:r>
      <w:r w:rsidR="00A13071">
        <w:rPr>
          <w:lang w:val="fr-FR"/>
        </w:rPr>
        <w:t>’</w:t>
      </w:r>
      <w:r w:rsidR="00E906AC" w:rsidRPr="00E906AC">
        <w:rPr>
          <w:lang w:val="fr-FR"/>
        </w:rPr>
        <w:t xml:space="preserve">éducation et à la santé, et elles sont exposées à des violations des droits </w:t>
      </w:r>
      <w:r w:rsidR="00366708">
        <w:rPr>
          <w:lang w:val="fr-FR"/>
        </w:rPr>
        <w:t>humains</w:t>
      </w:r>
      <w:r w:rsidR="00E906AC" w:rsidRPr="00E906AC">
        <w:rPr>
          <w:lang w:val="fr-FR"/>
        </w:rPr>
        <w:t xml:space="preserve"> telles que la stérilisation forcée.</w:t>
      </w:r>
      <w:r w:rsidR="00A22EBC" w:rsidRPr="00E906AC">
        <w:rPr>
          <w:lang w:val="fr-FR"/>
        </w:rPr>
        <w:t xml:space="preserve"> </w:t>
      </w:r>
    </w:p>
    <w:p w14:paraId="130558E8" w14:textId="74D14930" w:rsidR="00CF3BE1" w:rsidRPr="00CF3BE1" w:rsidRDefault="00E45B2B" w:rsidP="00AD2BBC">
      <w:pPr>
        <w:pStyle w:val="ListParagraph"/>
        <w:numPr>
          <w:ilvl w:val="0"/>
          <w:numId w:val="21"/>
        </w:numPr>
        <w:contextualSpacing w:val="0"/>
        <w:rPr>
          <w:lang w:val="fr-FR"/>
        </w:rPr>
      </w:pPr>
      <w:r>
        <w:rPr>
          <w:b/>
          <w:bCs/>
          <w:lang w:val="fr-FR"/>
        </w:rPr>
        <w:t>Accessibilité </w:t>
      </w:r>
      <w:r w:rsidR="00523C40" w:rsidRPr="00D15BD6">
        <w:rPr>
          <w:b/>
          <w:bCs/>
          <w:lang w:val="fr-FR"/>
        </w:rPr>
        <w:t>:</w:t>
      </w:r>
      <w:r w:rsidR="00033E02" w:rsidRPr="00D15BD6">
        <w:rPr>
          <w:b/>
          <w:bCs/>
          <w:lang w:val="fr-FR"/>
        </w:rPr>
        <w:t xml:space="preserve"> </w:t>
      </w:r>
      <w:r w:rsidR="00CF3BE1">
        <w:rPr>
          <w:lang w:val="fr-FR"/>
        </w:rPr>
        <w:t>m</w:t>
      </w:r>
      <w:r w:rsidR="00CF3BE1" w:rsidRPr="00CF3BE1">
        <w:rPr>
          <w:lang w:val="fr-FR"/>
        </w:rPr>
        <w:t xml:space="preserve">algré les </w:t>
      </w:r>
      <w:r w:rsidR="00CF3BE1">
        <w:rPr>
          <w:lang w:val="fr-FR"/>
        </w:rPr>
        <w:t xml:space="preserve">récents </w:t>
      </w:r>
      <w:r w:rsidR="00CF3BE1" w:rsidRPr="00CF3BE1">
        <w:rPr>
          <w:lang w:val="fr-FR"/>
        </w:rPr>
        <w:t>progrès de la législation européenne en matière d</w:t>
      </w:r>
      <w:r w:rsidR="00A13071">
        <w:rPr>
          <w:lang w:val="fr-FR"/>
        </w:rPr>
        <w:t>’</w:t>
      </w:r>
      <w:r w:rsidR="00CF3BE1" w:rsidRPr="00CF3BE1">
        <w:rPr>
          <w:lang w:val="fr-FR"/>
        </w:rPr>
        <w:t>accessibilité</w:t>
      </w:r>
      <w:r w:rsidR="00CF3BE1" w:rsidRPr="00D15BD6">
        <w:rPr>
          <w:rStyle w:val="FootnoteReference"/>
          <w:lang w:val="fr-FR"/>
        </w:rPr>
        <w:footnoteReference w:id="4"/>
      </w:r>
      <w:r w:rsidR="00CF3BE1" w:rsidRPr="00CF3BE1">
        <w:rPr>
          <w:lang w:val="fr-FR"/>
        </w:rPr>
        <w:t xml:space="preserve">, </w:t>
      </w:r>
      <w:r w:rsidR="00CF3BE1" w:rsidRPr="00366708">
        <w:rPr>
          <w:lang w:val="fr-FR"/>
        </w:rPr>
        <w:t xml:space="preserve">les personnes </w:t>
      </w:r>
      <w:r w:rsidR="00366708">
        <w:rPr>
          <w:lang w:val="fr-FR"/>
        </w:rPr>
        <w:t>en situation de handicap</w:t>
      </w:r>
      <w:r w:rsidR="00CF3BE1" w:rsidRPr="00CF3BE1">
        <w:rPr>
          <w:lang w:val="fr-FR"/>
        </w:rPr>
        <w:t xml:space="preserve"> ne bénéficient toujours pas d</w:t>
      </w:r>
      <w:r w:rsidR="00A13071">
        <w:rPr>
          <w:lang w:val="fr-FR"/>
        </w:rPr>
        <w:t>’</w:t>
      </w:r>
      <w:r w:rsidR="00CF3BE1" w:rsidRPr="00CF3BE1">
        <w:rPr>
          <w:lang w:val="fr-FR"/>
        </w:rPr>
        <w:t>un</w:t>
      </w:r>
      <w:r w:rsidR="00CF3BE1">
        <w:rPr>
          <w:lang w:val="fr-FR"/>
        </w:rPr>
        <w:t>e égalité d</w:t>
      </w:r>
      <w:r w:rsidR="00A13071">
        <w:rPr>
          <w:lang w:val="fr-FR"/>
        </w:rPr>
        <w:t>’</w:t>
      </w:r>
      <w:r w:rsidR="00CF3BE1" w:rsidRPr="00CF3BE1">
        <w:rPr>
          <w:lang w:val="fr-FR"/>
        </w:rPr>
        <w:t>accès à l</w:t>
      </w:r>
      <w:r w:rsidR="00A13071">
        <w:rPr>
          <w:lang w:val="fr-FR"/>
        </w:rPr>
        <w:t>’</w:t>
      </w:r>
      <w:r w:rsidR="00CF3BE1" w:rsidRPr="00CF3BE1">
        <w:rPr>
          <w:lang w:val="fr-FR"/>
        </w:rPr>
        <w:t>environnement bâti, aux transports, aux technologies numériques, à l</w:t>
      </w:r>
      <w:r w:rsidR="00A13071">
        <w:rPr>
          <w:lang w:val="fr-FR"/>
        </w:rPr>
        <w:t>’</w:t>
      </w:r>
      <w:r w:rsidR="00CF3BE1" w:rsidRPr="00CF3BE1">
        <w:rPr>
          <w:lang w:val="fr-FR"/>
        </w:rPr>
        <w:t>information et à la communication</w:t>
      </w:r>
      <w:r w:rsidR="00CF3BE1">
        <w:rPr>
          <w:lang w:val="fr-FR"/>
        </w:rPr>
        <w:t>, ainsi qu</w:t>
      </w:r>
      <w:r w:rsidR="00A13071">
        <w:rPr>
          <w:lang w:val="fr-FR"/>
        </w:rPr>
        <w:t>’</w:t>
      </w:r>
      <w:r w:rsidR="00CF3BE1" w:rsidRPr="00CF3BE1">
        <w:rPr>
          <w:lang w:val="fr-FR"/>
        </w:rPr>
        <w:t>aux services. Le manque de disponibilité de technologies d</w:t>
      </w:r>
      <w:r w:rsidR="00A13071">
        <w:rPr>
          <w:lang w:val="fr-FR"/>
        </w:rPr>
        <w:t>’</w:t>
      </w:r>
      <w:r w:rsidR="00CF3BE1" w:rsidRPr="00CF3BE1">
        <w:rPr>
          <w:lang w:val="fr-FR"/>
        </w:rPr>
        <w:t>assistance abordables et le manque d</w:t>
      </w:r>
      <w:r w:rsidR="00A13071">
        <w:rPr>
          <w:lang w:val="fr-FR"/>
        </w:rPr>
        <w:t>’</w:t>
      </w:r>
      <w:r w:rsidR="00CF3BE1" w:rsidRPr="00CF3BE1">
        <w:rPr>
          <w:lang w:val="fr-FR"/>
        </w:rPr>
        <w:t xml:space="preserve">informations et de communication dans des formats accessibles (y compris </w:t>
      </w:r>
      <w:r w:rsidR="00D4551E">
        <w:rPr>
          <w:lang w:val="fr-FR"/>
        </w:rPr>
        <w:t>en</w:t>
      </w:r>
      <w:r w:rsidR="00CF3BE1" w:rsidRPr="00CF3BE1">
        <w:rPr>
          <w:lang w:val="fr-FR"/>
        </w:rPr>
        <w:t xml:space="preserve"> langue des signes) limitent la participation active et complète de nombreuses personnes handicapées au marché intérieur de l</w:t>
      </w:r>
      <w:r w:rsidR="00A13071">
        <w:rPr>
          <w:lang w:val="fr-FR"/>
        </w:rPr>
        <w:t>’</w:t>
      </w:r>
      <w:r w:rsidR="00CF3BE1" w:rsidRPr="00CF3BE1">
        <w:rPr>
          <w:lang w:val="fr-FR"/>
        </w:rPr>
        <w:t>UE. En outre, cela les prive de</w:t>
      </w:r>
      <w:r w:rsidR="00F53B18">
        <w:rPr>
          <w:lang w:val="fr-FR"/>
        </w:rPr>
        <w:t xml:space="preserve"> </w:t>
      </w:r>
      <w:r w:rsidR="00F53B18" w:rsidRPr="00CF3BE1">
        <w:rPr>
          <w:lang w:val="fr-FR"/>
        </w:rPr>
        <w:t>la liberté de circulation</w:t>
      </w:r>
      <w:r w:rsidR="00F53B18">
        <w:rPr>
          <w:lang w:val="fr-FR"/>
        </w:rPr>
        <w:t>,</w:t>
      </w:r>
      <w:r w:rsidR="00CF3BE1" w:rsidRPr="00CF3BE1">
        <w:rPr>
          <w:lang w:val="fr-FR"/>
        </w:rPr>
        <w:t xml:space="preserve"> l</w:t>
      </w:r>
      <w:r w:rsidR="00A13071">
        <w:rPr>
          <w:lang w:val="fr-FR"/>
        </w:rPr>
        <w:t>’</w:t>
      </w:r>
      <w:r w:rsidR="00CF3BE1" w:rsidRPr="00CF3BE1">
        <w:rPr>
          <w:lang w:val="fr-FR"/>
        </w:rPr>
        <w:t>une des libertés fondamentales prévues par les traités de l</w:t>
      </w:r>
      <w:r w:rsidR="00A13071">
        <w:rPr>
          <w:lang w:val="fr-FR"/>
        </w:rPr>
        <w:t>’</w:t>
      </w:r>
      <w:r w:rsidR="00CF3BE1" w:rsidRPr="00CF3BE1">
        <w:rPr>
          <w:lang w:val="fr-FR"/>
        </w:rPr>
        <w:t>UE. Les récentes propositions législatives dans le domaine numérique qui réglementent les services et les plateformes numériques, ainsi que l</w:t>
      </w:r>
      <w:r w:rsidR="00A13071">
        <w:rPr>
          <w:lang w:val="fr-FR"/>
        </w:rPr>
        <w:t>’</w:t>
      </w:r>
      <w:r w:rsidR="00CF3BE1" w:rsidRPr="00CF3BE1">
        <w:rPr>
          <w:lang w:val="fr-FR"/>
        </w:rPr>
        <w:t xml:space="preserve">intelligence artificielle prouvent </w:t>
      </w:r>
      <w:r w:rsidR="00184EE8">
        <w:rPr>
          <w:lang w:val="fr-FR"/>
        </w:rPr>
        <w:t>le manque d</w:t>
      </w:r>
      <w:r w:rsidR="00A13071">
        <w:rPr>
          <w:lang w:val="fr-FR"/>
        </w:rPr>
        <w:t>’</w:t>
      </w:r>
      <w:r w:rsidR="00184EE8">
        <w:rPr>
          <w:lang w:val="fr-FR"/>
        </w:rPr>
        <w:t>intégration des</w:t>
      </w:r>
      <w:r w:rsidR="00CF3BE1" w:rsidRPr="00CF3BE1">
        <w:rPr>
          <w:lang w:val="fr-FR"/>
        </w:rPr>
        <w:t xml:space="preserve"> exigences d</w:t>
      </w:r>
      <w:r w:rsidR="00A13071">
        <w:rPr>
          <w:lang w:val="fr-FR"/>
        </w:rPr>
        <w:t>’</w:t>
      </w:r>
      <w:r w:rsidR="00CF3BE1" w:rsidRPr="00CF3BE1">
        <w:rPr>
          <w:lang w:val="fr-FR"/>
        </w:rPr>
        <w:t>accessibilité dans le secteur numérique</w:t>
      </w:r>
      <w:r w:rsidR="00184EE8" w:rsidRPr="00D15BD6">
        <w:rPr>
          <w:rStyle w:val="FootnoteReference"/>
          <w:lang w:val="fr-FR"/>
        </w:rPr>
        <w:footnoteReference w:id="5"/>
      </w:r>
      <w:r w:rsidR="00CF3BE1" w:rsidRPr="00CF3BE1">
        <w:rPr>
          <w:lang w:val="fr-FR"/>
        </w:rPr>
        <w:t>.</w:t>
      </w:r>
    </w:p>
    <w:p w14:paraId="23BCE9C9" w14:textId="1F22D93D" w:rsidR="002863B1" w:rsidRPr="00734648" w:rsidRDefault="00B611C0" w:rsidP="00734648">
      <w:pPr>
        <w:pStyle w:val="ListParagraph"/>
        <w:numPr>
          <w:ilvl w:val="0"/>
          <w:numId w:val="21"/>
        </w:numPr>
        <w:contextualSpacing w:val="0"/>
        <w:rPr>
          <w:lang w:val="fr-FR"/>
        </w:rPr>
      </w:pPr>
      <w:r w:rsidRPr="00B611C0">
        <w:rPr>
          <w:b/>
          <w:bCs/>
          <w:lang w:val="fr-FR"/>
        </w:rPr>
        <w:t>Protection civile, actions humanitaires et climatiques</w:t>
      </w:r>
      <w:r>
        <w:rPr>
          <w:b/>
          <w:bCs/>
          <w:lang w:val="fr-FR"/>
        </w:rPr>
        <w:t> </w:t>
      </w:r>
      <w:r w:rsidR="002863B1" w:rsidRPr="00D15BD6">
        <w:rPr>
          <w:lang w:val="fr-FR"/>
        </w:rPr>
        <w:t>:</w:t>
      </w:r>
      <w:r>
        <w:rPr>
          <w:lang w:val="fr-FR"/>
        </w:rPr>
        <w:t xml:space="preserve"> e</w:t>
      </w:r>
      <w:r w:rsidRPr="00B611C0">
        <w:rPr>
          <w:lang w:val="fr-FR"/>
        </w:rPr>
        <w:t>n Europe et dans le monde, les personnes handicapées continuent d</w:t>
      </w:r>
      <w:r w:rsidR="00A13071">
        <w:rPr>
          <w:lang w:val="fr-FR"/>
        </w:rPr>
        <w:t>’</w:t>
      </w:r>
      <w:r w:rsidRPr="00B611C0">
        <w:rPr>
          <w:lang w:val="fr-FR"/>
        </w:rPr>
        <w:t>être touchées de manière disproportionnée par les conflits et les événements naturels tels que la pandémie de COVID-19, les inondations et les vagues de chaleur. Ces dernières années</w:t>
      </w:r>
      <w:r>
        <w:rPr>
          <w:lang w:val="fr-FR"/>
        </w:rPr>
        <w:t>, l</w:t>
      </w:r>
      <w:r w:rsidRPr="00B611C0">
        <w:rPr>
          <w:lang w:val="fr-FR"/>
        </w:rPr>
        <w:t xml:space="preserve">es politiques internationales et européennes </w:t>
      </w:r>
      <w:r>
        <w:rPr>
          <w:lang w:val="fr-FR"/>
        </w:rPr>
        <w:t xml:space="preserve">se sont améliorées </w:t>
      </w:r>
      <w:r w:rsidRPr="00B611C0">
        <w:rPr>
          <w:lang w:val="fr-FR"/>
        </w:rPr>
        <w:t>dans ce domaine, mais ces cadres ne sont pas encore mis en œuvre et les progrès sont ralentis par un manque de cohésion et de collaboration entre les organismes chargés de l</w:t>
      </w:r>
      <w:r w:rsidR="00A13071">
        <w:rPr>
          <w:lang w:val="fr-FR"/>
        </w:rPr>
        <w:t>’</w:t>
      </w:r>
      <w:r w:rsidRPr="00B611C0">
        <w:rPr>
          <w:lang w:val="fr-FR"/>
        </w:rPr>
        <w:t>intégration du handicap dans l</w:t>
      </w:r>
      <w:r w:rsidR="00A13071">
        <w:rPr>
          <w:lang w:val="fr-FR"/>
        </w:rPr>
        <w:t>’</w:t>
      </w:r>
      <w:r w:rsidRPr="00B611C0">
        <w:rPr>
          <w:lang w:val="fr-FR"/>
        </w:rPr>
        <w:t>action humanitaire, la protection civile, la réduction des risques de catastrophe, l</w:t>
      </w:r>
      <w:r w:rsidR="00A13071">
        <w:rPr>
          <w:lang w:val="fr-FR"/>
        </w:rPr>
        <w:t>’</w:t>
      </w:r>
      <w:r w:rsidRPr="00B611C0">
        <w:rPr>
          <w:lang w:val="fr-FR"/>
        </w:rPr>
        <w:t xml:space="preserve">action climatique et les politiques relatives aux réfugiés. </w:t>
      </w:r>
      <w:bookmarkStart w:id="3" w:name="_Hlk93067455"/>
      <w:r w:rsidR="00734648" w:rsidRPr="00734648">
        <w:rPr>
          <w:lang w:val="fr-FR"/>
        </w:rPr>
        <w:t>En outre, les objectifs et les politiques climatiques de l</w:t>
      </w:r>
      <w:r w:rsidR="00A13071">
        <w:rPr>
          <w:lang w:val="fr-FR"/>
        </w:rPr>
        <w:t>’</w:t>
      </w:r>
      <w:r w:rsidR="00734648" w:rsidRPr="00734648">
        <w:rPr>
          <w:lang w:val="fr-FR"/>
        </w:rPr>
        <w:t xml:space="preserve">UE ne sont pas </w:t>
      </w:r>
      <w:r w:rsidR="00734648" w:rsidRPr="00734648">
        <w:rPr>
          <w:lang w:val="fr-FR"/>
        </w:rPr>
        <w:lastRenderedPageBreak/>
        <w:t>suffisamment axés sur les aspects sociaux de la durabilité et de la réduction des risques de catastrophes. Ni les plans d</w:t>
      </w:r>
      <w:r w:rsidR="00A13071">
        <w:rPr>
          <w:lang w:val="fr-FR"/>
        </w:rPr>
        <w:t>’</w:t>
      </w:r>
      <w:r w:rsidR="00734648" w:rsidRPr="00734648">
        <w:rPr>
          <w:lang w:val="fr-FR"/>
        </w:rPr>
        <w:t>atténuation ni les plans d</w:t>
      </w:r>
      <w:r w:rsidR="00A13071">
        <w:rPr>
          <w:lang w:val="fr-FR"/>
        </w:rPr>
        <w:t>’</w:t>
      </w:r>
      <w:r w:rsidR="00734648" w:rsidRPr="00734648">
        <w:rPr>
          <w:lang w:val="fr-FR"/>
        </w:rPr>
        <w:t xml:space="preserve">adaptation ne tiennent suffisamment compte des </w:t>
      </w:r>
      <w:r w:rsidR="00734648" w:rsidRPr="00366708">
        <w:rPr>
          <w:lang w:val="fr-FR"/>
        </w:rPr>
        <w:t>personnes handicapées.</w:t>
      </w:r>
      <w:r w:rsidR="00734648" w:rsidRPr="00734648">
        <w:rPr>
          <w:lang w:val="fr-FR"/>
        </w:rPr>
        <w:t xml:space="preserve"> </w:t>
      </w:r>
      <w:r w:rsidR="000D6B59" w:rsidRPr="00734648">
        <w:rPr>
          <w:lang w:val="fr-FR"/>
        </w:rPr>
        <w:t xml:space="preserve"> </w:t>
      </w:r>
    </w:p>
    <w:bookmarkEnd w:id="3"/>
    <w:p w14:paraId="5C2EEE3C" w14:textId="56F8FECB" w:rsidR="00903AFD" w:rsidRPr="00D15BD6" w:rsidRDefault="0011751C" w:rsidP="00AD2BBC">
      <w:pPr>
        <w:pStyle w:val="ListParagraph"/>
        <w:numPr>
          <w:ilvl w:val="0"/>
          <w:numId w:val="21"/>
        </w:numPr>
        <w:contextualSpacing w:val="0"/>
        <w:rPr>
          <w:lang w:val="fr-FR"/>
        </w:rPr>
      </w:pPr>
      <w:r>
        <w:rPr>
          <w:b/>
          <w:bCs/>
          <w:lang w:val="fr-FR"/>
        </w:rPr>
        <w:t>Déni de la capacité juridique </w:t>
      </w:r>
      <w:r w:rsidR="005B5AE9" w:rsidRPr="00D15BD6">
        <w:rPr>
          <w:lang w:val="fr-FR"/>
        </w:rPr>
        <w:t xml:space="preserve">: </w:t>
      </w:r>
      <w:r w:rsidRPr="00366708">
        <w:rPr>
          <w:lang w:val="fr-FR"/>
        </w:rPr>
        <w:t>les personnes handicapées</w:t>
      </w:r>
      <w:r w:rsidRPr="0011751C">
        <w:rPr>
          <w:lang w:val="fr-FR"/>
        </w:rPr>
        <w:t xml:space="preserve"> dont la capacité juridique a été niée ou limitée ne sont pas en mesure de jouir et d</w:t>
      </w:r>
      <w:r w:rsidR="00A13071">
        <w:rPr>
          <w:lang w:val="fr-FR"/>
        </w:rPr>
        <w:t>’</w:t>
      </w:r>
      <w:r w:rsidRPr="0011751C">
        <w:rPr>
          <w:lang w:val="fr-FR"/>
        </w:rPr>
        <w:t xml:space="preserve">exercer toute une série de droits découlant du droit communautaire, tels que le droit à un procès équitable, le droit de décider de </w:t>
      </w:r>
      <w:r>
        <w:rPr>
          <w:lang w:val="fr-FR"/>
        </w:rPr>
        <w:t>leur</w:t>
      </w:r>
      <w:r w:rsidRPr="0011751C">
        <w:rPr>
          <w:lang w:val="fr-FR"/>
        </w:rPr>
        <w:t xml:space="preserve"> lieu de résidence, le droit de signer des contrats de travail ou des contrats commerciaux, le droit d</w:t>
      </w:r>
      <w:r w:rsidR="00A13071">
        <w:rPr>
          <w:lang w:val="fr-FR"/>
        </w:rPr>
        <w:t>’</w:t>
      </w:r>
      <w:r w:rsidRPr="0011751C">
        <w:rPr>
          <w:lang w:val="fr-FR"/>
        </w:rPr>
        <w:t>effectuer des transactions financières, le droit à la vie privée ou le droit de voter et de se présenter aux élections européennes et locales.</w:t>
      </w:r>
    </w:p>
    <w:p w14:paraId="5FA19439" w14:textId="72930ACD" w:rsidR="0027774A" w:rsidRPr="00D15BD6" w:rsidRDefault="0027774A" w:rsidP="00AD2BBC">
      <w:pPr>
        <w:pStyle w:val="ListParagraph"/>
        <w:numPr>
          <w:ilvl w:val="0"/>
          <w:numId w:val="21"/>
        </w:numPr>
        <w:contextualSpacing w:val="0"/>
        <w:rPr>
          <w:lang w:val="fr-FR"/>
        </w:rPr>
      </w:pPr>
      <w:r w:rsidRPr="00D15BD6">
        <w:rPr>
          <w:b/>
          <w:bCs/>
          <w:lang w:val="fr-FR"/>
        </w:rPr>
        <w:t>Acc</w:t>
      </w:r>
      <w:r w:rsidR="00FE02B8">
        <w:rPr>
          <w:b/>
          <w:bCs/>
          <w:lang w:val="fr-FR"/>
        </w:rPr>
        <w:t>ès à la justice </w:t>
      </w:r>
      <w:r w:rsidRPr="00D15BD6">
        <w:rPr>
          <w:lang w:val="fr-FR"/>
        </w:rPr>
        <w:t xml:space="preserve">: </w:t>
      </w:r>
      <w:r w:rsidR="00FE02B8">
        <w:rPr>
          <w:lang w:val="fr-FR"/>
        </w:rPr>
        <w:t>l</w:t>
      </w:r>
      <w:r w:rsidR="00FE02B8" w:rsidRPr="00FE02B8">
        <w:rPr>
          <w:lang w:val="fr-FR"/>
        </w:rPr>
        <w:t xml:space="preserve">e système judiciaire au niveau national </w:t>
      </w:r>
      <w:r w:rsidR="00FE02B8">
        <w:rPr>
          <w:lang w:val="fr-FR"/>
        </w:rPr>
        <w:t>et de l</w:t>
      </w:r>
      <w:r w:rsidR="00A13071">
        <w:rPr>
          <w:lang w:val="fr-FR"/>
        </w:rPr>
        <w:t>’</w:t>
      </w:r>
      <w:r w:rsidR="00FE02B8">
        <w:rPr>
          <w:lang w:val="fr-FR"/>
        </w:rPr>
        <w:t xml:space="preserve">UE </w:t>
      </w:r>
      <w:r w:rsidR="00FE02B8" w:rsidRPr="00FE02B8">
        <w:rPr>
          <w:lang w:val="fr-FR"/>
        </w:rPr>
        <w:t>n</w:t>
      </w:r>
      <w:r w:rsidR="00A13071">
        <w:rPr>
          <w:lang w:val="fr-FR"/>
        </w:rPr>
        <w:t>’</w:t>
      </w:r>
      <w:r w:rsidR="00FE02B8" w:rsidRPr="00FE02B8">
        <w:rPr>
          <w:lang w:val="fr-FR"/>
        </w:rPr>
        <w:t xml:space="preserve">est pas entièrement accessible </w:t>
      </w:r>
      <w:r w:rsidR="00FE02B8" w:rsidRPr="00366708">
        <w:rPr>
          <w:lang w:val="fr-FR"/>
        </w:rPr>
        <w:t>aux personnes handicapées.</w:t>
      </w:r>
      <w:r w:rsidR="00FE02B8" w:rsidRPr="00FE02B8">
        <w:rPr>
          <w:lang w:val="fr-FR"/>
        </w:rPr>
        <w:t xml:space="preserve"> Que ce soit en tant que victimes, témoins, suspects ou accusés, ou </w:t>
      </w:r>
      <w:r w:rsidR="00FE02B8">
        <w:rPr>
          <w:lang w:val="fr-FR"/>
        </w:rPr>
        <w:t xml:space="preserve">encore </w:t>
      </w:r>
      <w:r w:rsidR="00FE02B8" w:rsidRPr="00FE02B8">
        <w:rPr>
          <w:lang w:val="fr-FR"/>
        </w:rPr>
        <w:t>membres du personnel, les personnes handicapées se heurtent à de nombreux obstacles dans l</w:t>
      </w:r>
      <w:r w:rsidR="00A13071">
        <w:rPr>
          <w:lang w:val="fr-FR"/>
        </w:rPr>
        <w:t>’</w:t>
      </w:r>
      <w:r w:rsidR="00FE02B8" w:rsidRPr="00FE02B8">
        <w:rPr>
          <w:lang w:val="fr-FR"/>
        </w:rPr>
        <w:t>exercice de leurs droits. La législation européenne relative au système judiciaire n</w:t>
      </w:r>
      <w:r w:rsidR="00A13071">
        <w:rPr>
          <w:lang w:val="fr-FR"/>
        </w:rPr>
        <w:t>’</w:t>
      </w:r>
      <w:r w:rsidR="00FE02B8" w:rsidRPr="00FE02B8">
        <w:rPr>
          <w:lang w:val="fr-FR"/>
        </w:rPr>
        <w:t xml:space="preserve">est pas mise en œuvre de manière à être accessible aux </w:t>
      </w:r>
      <w:r w:rsidR="00FE02B8" w:rsidRPr="00366708">
        <w:rPr>
          <w:lang w:val="fr-FR"/>
        </w:rPr>
        <w:t>personnes handicapées</w:t>
      </w:r>
      <w:r w:rsidR="00FE02B8" w:rsidRPr="00FE02B8">
        <w:rPr>
          <w:lang w:val="fr-FR"/>
        </w:rPr>
        <w:t xml:space="preserve"> et à garantir leur droit à un procès équitable. Le tableau </w:t>
      </w:r>
      <w:r w:rsidR="00366708">
        <w:rPr>
          <w:lang w:val="fr-FR"/>
        </w:rPr>
        <w:t xml:space="preserve">de bord </w:t>
      </w:r>
      <w:r w:rsidR="00FE02B8" w:rsidRPr="00FE02B8">
        <w:rPr>
          <w:lang w:val="fr-FR"/>
        </w:rPr>
        <w:t>de la justice d</w:t>
      </w:r>
      <w:r w:rsidR="00366708">
        <w:rPr>
          <w:lang w:val="fr-FR"/>
        </w:rPr>
        <w:t>ans</w:t>
      </w:r>
      <w:r w:rsidR="00FE02B8" w:rsidRPr="00FE02B8">
        <w:rPr>
          <w:lang w:val="fr-FR"/>
        </w:rPr>
        <w:t xml:space="preserve"> l</w:t>
      </w:r>
      <w:r w:rsidR="00A13071">
        <w:rPr>
          <w:lang w:val="fr-FR"/>
        </w:rPr>
        <w:t>’</w:t>
      </w:r>
      <w:r w:rsidR="00FE02B8" w:rsidRPr="00FE02B8">
        <w:rPr>
          <w:lang w:val="fr-FR"/>
        </w:rPr>
        <w:t>UE n</w:t>
      </w:r>
      <w:r w:rsidR="00A13071">
        <w:rPr>
          <w:lang w:val="fr-FR"/>
        </w:rPr>
        <w:t>’</w:t>
      </w:r>
      <w:r w:rsidR="00FE02B8" w:rsidRPr="00FE02B8">
        <w:rPr>
          <w:lang w:val="fr-FR"/>
        </w:rPr>
        <w:t>évalue pas la conformité des systèmes judiciaires nationaux avec la CDPH.</w:t>
      </w:r>
      <w:r w:rsidR="00752A6A" w:rsidRPr="00D15BD6">
        <w:rPr>
          <w:lang w:val="fr-FR"/>
        </w:rPr>
        <w:t xml:space="preserve"> </w:t>
      </w:r>
    </w:p>
    <w:p w14:paraId="2EB2FF18" w14:textId="118A5439" w:rsidR="00974465" w:rsidRPr="00D15BD6" w:rsidRDefault="00974465" w:rsidP="00AD2BBC">
      <w:pPr>
        <w:pStyle w:val="ListParagraph"/>
        <w:numPr>
          <w:ilvl w:val="0"/>
          <w:numId w:val="21"/>
        </w:numPr>
        <w:contextualSpacing w:val="0"/>
        <w:rPr>
          <w:lang w:val="fr-FR"/>
        </w:rPr>
      </w:pPr>
      <w:r w:rsidRPr="00D15BD6">
        <w:rPr>
          <w:b/>
          <w:bCs/>
          <w:lang w:val="fr-FR"/>
        </w:rPr>
        <w:t>Violence</w:t>
      </w:r>
      <w:r w:rsidR="007C6AF3">
        <w:rPr>
          <w:b/>
          <w:bCs/>
          <w:lang w:val="fr-FR"/>
        </w:rPr>
        <w:t> </w:t>
      </w:r>
      <w:r w:rsidRPr="00D15BD6">
        <w:rPr>
          <w:lang w:val="fr-FR"/>
        </w:rPr>
        <w:t xml:space="preserve">: </w:t>
      </w:r>
      <w:r w:rsidR="00197782" w:rsidRPr="00366708">
        <w:rPr>
          <w:lang w:val="fr-FR"/>
        </w:rPr>
        <w:t>l</w:t>
      </w:r>
      <w:r w:rsidR="007C6AF3" w:rsidRPr="00366708">
        <w:rPr>
          <w:lang w:val="fr-FR"/>
        </w:rPr>
        <w:t>es personnes handicapées,</w:t>
      </w:r>
      <w:r w:rsidR="007C6AF3" w:rsidRPr="007C6AF3">
        <w:rPr>
          <w:lang w:val="fr-FR"/>
        </w:rPr>
        <w:t xml:space="preserve"> en particulier les enfants et les femmes handicapés, les personnes </w:t>
      </w:r>
      <w:r w:rsidR="00366708">
        <w:rPr>
          <w:lang w:val="fr-FR"/>
        </w:rPr>
        <w:t>avec un handicap</w:t>
      </w:r>
      <w:r w:rsidR="007C6AF3" w:rsidRPr="007C6AF3">
        <w:rPr>
          <w:lang w:val="fr-FR"/>
        </w:rPr>
        <w:t xml:space="preserve"> intellectuel et d</w:t>
      </w:r>
      <w:r w:rsidR="00A13071">
        <w:rPr>
          <w:lang w:val="fr-FR"/>
        </w:rPr>
        <w:t>’</w:t>
      </w:r>
      <w:r w:rsidR="007C6AF3" w:rsidRPr="007C6AF3">
        <w:rPr>
          <w:lang w:val="fr-FR"/>
        </w:rPr>
        <w:t>autisme, les personnes âgées handicapées et les personnes handicapées vivant en milieu fermé sont toujours plus exposées à la violence et aux abus que les autres personnes. L</w:t>
      </w:r>
      <w:r w:rsidR="00A13071">
        <w:rPr>
          <w:lang w:val="fr-FR"/>
        </w:rPr>
        <w:t>’</w:t>
      </w:r>
      <w:r w:rsidR="007C6AF3" w:rsidRPr="007C6AF3">
        <w:rPr>
          <w:lang w:val="fr-FR"/>
        </w:rPr>
        <w:t>UE n</w:t>
      </w:r>
      <w:r w:rsidR="00A13071">
        <w:rPr>
          <w:lang w:val="fr-FR"/>
        </w:rPr>
        <w:t>’</w:t>
      </w:r>
      <w:r w:rsidR="007C6AF3" w:rsidRPr="007C6AF3">
        <w:rPr>
          <w:lang w:val="fr-FR"/>
        </w:rPr>
        <w:t>a pas ratifié la Convention d</w:t>
      </w:r>
      <w:r w:rsidR="00A13071">
        <w:rPr>
          <w:lang w:val="fr-FR"/>
        </w:rPr>
        <w:t>’</w:t>
      </w:r>
      <w:r w:rsidR="007C6AF3" w:rsidRPr="007C6AF3">
        <w:rPr>
          <w:lang w:val="fr-FR"/>
        </w:rPr>
        <w:t>Istanbul sur la violence à l</w:t>
      </w:r>
      <w:r w:rsidR="00A13071">
        <w:rPr>
          <w:lang w:val="fr-FR"/>
        </w:rPr>
        <w:t>’</w:t>
      </w:r>
      <w:r w:rsidR="007C6AF3" w:rsidRPr="007C6AF3">
        <w:rPr>
          <w:lang w:val="fr-FR"/>
        </w:rPr>
        <w:t>égard des femmes et la violence domestique</w:t>
      </w:r>
      <w:r w:rsidR="00197782" w:rsidRPr="00D15BD6">
        <w:rPr>
          <w:vertAlign w:val="superscript"/>
          <w:lang w:val="fr-FR"/>
        </w:rPr>
        <w:footnoteReference w:id="6"/>
      </w:r>
      <w:r w:rsidR="007C6AF3" w:rsidRPr="007C6AF3">
        <w:rPr>
          <w:lang w:val="fr-FR"/>
        </w:rPr>
        <w:t xml:space="preserve"> ni adopté d</w:t>
      </w:r>
      <w:r w:rsidR="00A13071">
        <w:rPr>
          <w:lang w:val="fr-FR"/>
        </w:rPr>
        <w:t>’</w:t>
      </w:r>
      <w:r w:rsidR="007C6AF3" w:rsidRPr="007C6AF3">
        <w:rPr>
          <w:lang w:val="fr-FR"/>
        </w:rPr>
        <w:t>autres mesures pour lutter contre la violence.</w:t>
      </w:r>
      <w:r w:rsidRPr="00D15BD6">
        <w:rPr>
          <w:lang w:val="fr-FR"/>
        </w:rPr>
        <w:t xml:space="preserve"> </w:t>
      </w:r>
    </w:p>
    <w:p w14:paraId="2B530787" w14:textId="6DE78571" w:rsidR="00906806" w:rsidRPr="00D15BD6" w:rsidRDefault="009E1842" w:rsidP="00906806">
      <w:pPr>
        <w:pStyle w:val="ListParagraph"/>
        <w:numPr>
          <w:ilvl w:val="0"/>
          <w:numId w:val="21"/>
        </w:numPr>
        <w:contextualSpacing w:val="0"/>
        <w:rPr>
          <w:lang w:val="fr-FR"/>
        </w:rPr>
      </w:pPr>
      <w:r>
        <w:rPr>
          <w:b/>
          <w:bCs/>
          <w:lang w:val="fr-FR"/>
        </w:rPr>
        <w:t>Liberté de circulation </w:t>
      </w:r>
      <w:r w:rsidR="00906806" w:rsidRPr="00D15BD6">
        <w:rPr>
          <w:lang w:val="fr-FR"/>
        </w:rPr>
        <w:t xml:space="preserve">: </w:t>
      </w:r>
      <w:r>
        <w:rPr>
          <w:lang w:val="fr-FR"/>
        </w:rPr>
        <w:t>le</w:t>
      </w:r>
      <w:r w:rsidRPr="009E1842">
        <w:rPr>
          <w:lang w:val="fr-FR"/>
        </w:rPr>
        <w:t xml:space="preserve">s </w:t>
      </w:r>
      <w:r w:rsidRPr="00366708">
        <w:rPr>
          <w:lang w:val="fr-FR"/>
        </w:rPr>
        <w:t>personnes handicapées</w:t>
      </w:r>
      <w:r w:rsidRPr="009E1842">
        <w:rPr>
          <w:lang w:val="fr-FR"/>
        </w:rPr>
        <w:t xml:space="preserve"> ne peuvent pas transférer le</w:t>
      </w:r>
      <w:r>
        <w:rPr>
          <w:lang w:val="fr-FR"/>
        </w:rPr>
        <w:t>s</w:t>
      </w:r>
      <w:r w:rsidRPr="009E1842">
        <w:rPr>
          <w:lang w:val="fr-FR"/>
        </w:rPr>
        <w:t xml:space="preserve"> allocations de sécurité sociale de leur État membre d</w:t>
      </w:r>
      <w:r w:rsidR="00A13071">
        <w:rPr>
          <w:lang w:val="fr-FR"/>
        </w:rPr>
        <w:t>’</w:t>
      </w:r>
      <w:r w:rsidRPr="009E1842">
        <w:rPr>
          <w:lang w:val="fr-FR"/>
        </w:rPr>
        <w:t>origine lorsqu</w:t>
      </w:r>
      <w:r w:rsidR="00A13071">
        <w:rPr>
          <w:lang w:val="fr-FR"/>
        </w:rPr>
        <w:t>’</w:t>
      </w:r>
      <w:r w:rsidRPr="009E1842">
        <w:rPr>
          <w:lang w:val="fr-FR"/>
        </w:rPr>
        <w:t>elles s</w:t>
      </w:r>
      <w:r w:rsidR="00A13071">
        <w:rPr>
          <w:lang w:val="fr-FR"/>
        </w:rPr>
        <w:t>’</w:t>
      </w:r>
      <w:r w:rsidRPr="009E1842">
        <w:rPr>
          <w:lang w:val="fr-FR"/>
        </w:rPr>
        <w:t xml:space="preserve">installent temporairement dans un autre État membre. </w:t>
      </w:r>
      <w:r>
        <w:rPr>
          <w:lang w:val="fr-FR"/>
        </w:rPr>
        <w:t>Dans la</w:t>
      </w:r>
      <w:r w:rsidRPr="009E1842">
        <w:rPr>
          <w:lang w:val="fr-FR"/>
        </w:rPr>
        <w:t xml:space="preserve"> pratique, </w:t>
      </w:r>
      <w:r>
        <w:rPr>
          <w:lang w:val="fr-FR"/>
        </w:rPr>
        <w:t>cette interdiction</w:t>
      </w:r>
      <w:r w:rsidRPr="009E1842">
        <w:rPr>
          <w:lang w:val="fr-FR"/>
        </w:rPr>
        <w:t xml:space="preserve"> prive les </w:t>
      </w:r>
      <w:r w:rsidRPr="00366708">
        <w:rPr>
          <w:lang w:val="fr-FR"/>
        </w:rPr>
        <w:t>personnes handicapées</w:t>
      </w:r>
      <w:r w:rsidRPr="009E1842">
        <w:rPr>
          <w:lang w:val="fr-FR"/>
        </w:rPr>
        <w:t xml:space="preserve"> </w:t>
      </w:r>
      <w:r>
        <w:rPr>
          <w:lang w:val="fr-FR"/>
        </w:rPr>
        <w:t>possédant</w:t>
      </w:r>
      <w:r w:rsidRPr="009E1842">
        <w:rPr>
          <w:lang w:val="fr-FR"/>
        </w:rPr>
        <w:t xml:space="preserve"> la nationalité de l</w:t>
      </w:r>
      <w:r w:rsidR="00A13071">
        <w:rPr>
          <w:lang w:val="fr-FR"/>
        </w:rPr>
        <w:t>’</w:t>
      </w:r>
      <w:r w:rsidRPr="009E1842">
        <w:rPr>
          <w:lang w:val="fr-FR"/>
        </w:rPr>
        <w:t>un des 27 États membres de l</w:t>
      </w:r>
      <w:r w:rsidR="00A13071">
        <w:rPr>
          <w:lang w:val="fr-FR"/>
        </w:rPr>
        <w:t>’</w:t>
      </w:r>
      <w:r w:rsidRPr="009E1842">
        <w:rPr>
          <w:lang w:val="fr-FR"/>
        </w:rPr>
        <w:t>UE, ainsi que de la Norvège, de l</w:t>
      </w:r>
      <w:r w:rsidR="00A13071">
        <w:rPr>
          <w:lang w:val="fr-FR"/>
        </w:rPr>
        <w:t>’</w:t>
      </w:r>
      <w:r w:rsidRPr="009E1842">
        <w:rPr>
          <w:lang w:val="fr-FR"/>
        </w:rPr>
        <w:t>Islande, du Li</w:t>
      </w:r>
      <w:r w:rsidR="0066503F">
        <w:rPr>
          <w:lang w:val="fr-FR"/>
        </w:rPr>
        <w:t>e</w:t>
      </w:r>
      <w:r w:rsidRPr="009E1842">
        <w:rPr>
          <w:lang w:val="fr-FR"/>
        </w:rPr>
        <w:t>chtenstein et de la Suisse, du droit que leur confèrent les traités de l</w:t>
      </w:r>
      <w:r w:rsidR="00A13071">
        <w:rPr>
          <w:lang w:val="fr-FR"/>
        </w:rPr>
        <w:t>’</w:t>
      </w:r>
      <w:r w:rsidRPr="009E1842">
        <w:rPr>
          <w:lang w:val="fr-FR"/>
        </w:rPr>
        <w:t>UE de vivre et de travailler librement dans toute l</w:t>
      </w:r>
      <w:r w:rsidR="00A13071">
        <w:rPr>
          <w:lang w:val="fr-FR"/>
        </w:rPr>
        <w:t>’</w:t>
      </w:r>
      <w:r w:rsidRPr="009E1842">
        <w:rPr>
          <w:lang w:val="fr-FR"/>
        </w:rPr>
        <w:t>UE. Même lorsqu</w:t>
      </w:r>
      <w:r w:rsidR="00A13071">
        <w:rPr>
          <w:lang w:val="fr-FR"/>
        </w:rPr>
        <w:t>’</w:t>
      </w:r>
      <w:r>
        <w:rPr>
          <w:lang w:val="fr-FR"/>
        </w:rPr>
        <w:t>elles</w:t>
      </w:r>
      <w:r w:rsidRPr="009E1842">
        <w:rPr>
          <w:lang w:val="fr-FR"/>
        </w:rPr>
        <w:t xml:space="preserve"> s</w:t>
      </w:r>
      <w:r w:rsidR="00A13071">
        <w:rPr>
          <w:lang w:val="fr-FR"/>
        </w:rPr>
        <w:t>’</w:t>
      </w:r>
      <w:r w:rsidRPr="009E1842">
        <w:rPr>
          <w:lang w:val="fr-FR"/>
        </w:rPr>
        <w:t xml:space="preserve">installent définitivement dans un autre État membre, </w:t>
      </w:r>
      <w:r>
        <w:rPr>
          <w:lang w:val="fr-FR"/>
        </w:rPr>
        <w:t>elles</w:t>
      </w:r>
      <w:r w:rsidRPr="009E1842">
        <w:rPr>
          <w:lang w:val="fr-FR"/>
        </w:rPr>
        <w:t xml:space="preserve"> ont souvent </w:t>
      </w:r>
      <w:r>
        <w:rPr>
          <w:lang w:val="fr-FR"/>
        </w:rPr>
        <w:t>du mal</w:t>
      </w:r>
      <w:r w:rsidRPr="009E1842">
        <w:rPr>
          <w:lang w:val="fr-FR"/>
        </w:rPr>
        <w:t xml:space="preserve"> à faire reconnaître leur statut de </w:t>
      </w:r>
      <w:r>
        <w:rPr>
          <w:lang w:val="fr-FR"/>
        </w:rPr>
        <w:t xml:space="preserve">personnes </w:t>
      </w:r>
      <w:r w:rsidRPr="009E1842">
        <w:rPr>
          <w:lang w:val="fr-FR"/>
        </w:rPr>
        <w:t>handicapé</w:t>
      </w:r>
      <w:r>
        <w:rPr>
          <w:lang w:val="fr-FR"/>
        </w:rPr>
        <w:t>es</w:t>
      </w:r>
      <w:r w:rsidRPr="009E1842">
        <w:rPr>
          <w:lang w:val="fr-FR"/>
        </w:rPr>
        <w:t xml:space="preserve"> et sont confronté</w:t>
      </w:r>
      <w:r>
        <w:rPr>
          <w:lang w:val="fr-FR"/>
        </w:rPr>
        <w:t>e</w:t>
      </w:r>
      <w:r w:rsidRPr="009E1842">
        <w:rPr>
          <w:lang w:val="fr-FR"/>
        </w:rPr>
        <w:t>s à des charges bureaucratiques supplémentaires. Cela a également un impact sur les jeunes qui participent à des programmes d</w:t>
      </w:r>
      <w:r w:rsidR="00A13071">
        <w:rPr>
          <w:lang w:val="fr-FR"/>
        </w:rPr>
        <w:t>’</w:t>
      </w:r>
      <w:r w:rsidRPr="009E1842">
        <w:rPr>
          <w:lang w:val="fr-FR"/>
        </w:rPr>
        <w:t>échange.</w:t>
      </w:r>
      <w:r w:rsidR="0024409B" w:rsidRPr="00D15BD6">
        <w:rPr>
          <w:lang w:val="fr-FR"/>
        </w:rPr>
        <w:t xml:space="preserve"> </w:t>
      </w:r>
    </w:p>
    <w:p w14:paraId="2F06BAED" w14:textId="283EACA6" w:rsidR="00F60C18" w:rsidRPr="00D15BD6" w:rsidRDefault="00CF44BC" w:rsidP="00F60C18">
      <w:pPr>
        <w:pStyle w:val="ListParagraph"/>
        <w:numPr>
          <w:ilvl w:val="0"/>
          <w:numId w:val="21"/>
        </w:numPr>
        <w:contextualSpacing w:val="0"/>
        <w:rPr>
          <w:lang w:val="fr-FR"/>
        </w:rPr>
      </w:pPr>
      <w:r w:rsidRPr="00CF44BC">
        <w:rPr>
          <w:b/>
          <w:bCs/>
          <w:lang w:val="fr-FR"/>
        </w:rPr>
        <w:lastRenderedPageBreak/>
        <w:t xml:space="preserve">Utilisation des fonds européens et vie </w:t>
      </w:r>
      <w:r>
        <w:rPr>
          <w:b/>
          <w:bCs/>
          <w:lang w:val="fr-FR"/>
        </w:rPr>
        <w:t xml:space="preserve">en </w:t>
      </w:r>
      <w:r w:rsidRPr="00CF44BC">
        <w:rPr>
          <w:b/>
          <w:bCs/>
          <w:lang w:val="fr-FR"/>
        </w:rPr>
        <w:t>autonom</w:t>
      </w:r>
      <w:r>
        <w:rPr>
          <w:b/>
          <w:bCs/>
          <w:lang w:val="fr-FR"/>
        </w:rPr>
        <w:t>i</w:t>
      </w:r>
      <w:r w:rsidRPr="00CF44BC">
        <w:rPr>
          <w:b/>
          <w:bCs/>
          <w:lang w:val="fr-FR"/>
        </w:rPr>
        <w:t>e</w:t>
      </w:r>
      <w:r>
        <w:rPr>
          <w:b/>
          <w:bCs/>
          <w:lang w:val="fr-FR"/>
        </w:rPr>
        <w:t> </w:t>
      </w:r>
      <w:r w:rsidR="00F60C18" w:rsidRPr="00D15BD6">
        <w:rPr>
          <w:lang w:val="fr-FR"/>
        </w:rPr>
        <w:t xml:space="preserve">: </w:t>
      </w:r>
      <w:r>
        <w:rPr>
          <w:lang w:val="fr-FR"/>
        </w:rPr>
        <w:t>c</w:t>
      </w:r>
      <w:r w:rsidRPr="00CF44BC">
        <w:rPr>
          <w:lang w:val="fr-FR"/>
        </w:rPr>
        <w:t>ertains États membres ont utilisé les Fonds structurels pour maintenir et promouvoir les soins en institution, au lieu de développer des alternatives</w:t>
      </w:r>
      <w:r w:rsidR="00366708">
        <w:rPr>
          <w:lang w:val="fr-FR"/>
        </w:rPr>
        <w:t xml:space="preserve"> de vie dans la communauté</w:t>
      </w:r>
      <w:r w:rsidRPr="00CF44BC">
        <w:rPr>
          <w:lang w:val="fr-FR"/>
        </w:rPr>
        <w:t xml:space="preserve"> conformes à la CDPH et d</w:t>
      </w:r>
      <w:r w:rsidR="00A13071">
        <w:rPr>
          <w:lang w:val="fr-FR"/>
        </w:rPr>
        <w:t>’</w:t>
      </w:r>
      <w:r w:rsidRPr="00CF44BC">
        <w:rPr>
          <w:lang w:val="fr-FR"/>
        </w:rPr>
        <w:t>investir dans des possibilités d</w:t>
      </w:r>
      <w:r w:rsidR="00A13071">
        <w:rPr>
          <w:lang w:val="fr-FR"/>
        </w:rPr>
        <w:t>’</w:t>
      </w:r>
      <w:r w:rsidRPr="00CF44BC">
        <w:rPr>
          <w:lang w:val="fr-FR"/>
        </w:rPr>
        <w:t xml:space="preserve">assistance personnelle. </w:t>
      </w:r>
      <w:r>
        <w:rPr>
          <w:lang w:val="fr-FR"/>
        </w:rPr>
        <w:t>Par conséquent, l</w:t>
      </w:r>
      <w:r w:rsidRPr="00CF44BC">
        <w:rPr>
          <w:lang w:val="fr-FR"/>
        </w:rPr>
        <w:t>es violations des droits de l</w:t>
      </w:r>
      <w:r w:rsidR="00A13071">
        <w:rPr>
          <w:lang w:val="fr-FR"/>
        </w:rPr>
        <w:t>’</w:t>
      </w:r>
      <w:r w:rsidRPr="00CF44BC">
        <w:rPr>
          <w:lang w:val="fr-FR"/>
        </w:rPr>
        <w:t xml:space="preserve">homme </w:t>
      </w:r>
      <w:r>
        <w:rPr>
          <w:lang w:val="fr-FR"/>
        </w:rPr>
        <w:t xml:space="preserve">se poursuivent </w:t>
      </w:r>
      <w:r w:rsidRPr="00CF44BC">
        <w:rPr>
          <w:lang w:val="fr-FR"/>
        </w:rPr>
        <w:t>dans les institutions au sein de l</w:t>
      </w:r>
      <w:r w:rsidR="00A13071">
        <w:rPr>
          <w:lang w:val="fr-FR"/>
        </w:rPr>
        <w:t>’</w:t>
      </w:r>
      <w:r w:rsidRPr="00CF44BC">
        <w:rPr>
          <w:lang w:val="fr-FR"/>
        </w:rPr>
        <w:t>Union européenne. L</w:t>
      </w:r>
      <w:r w:rsidR="00A13071">
        <w:rPr>
          <w:lang w:val="fr-FR"/>
        </w:rPr>
        <w:t>’</w:t>
      </w:r>
      <w:r w:rsidRPr="00CF44BC">
        <w:rPr>
          <w:lang w:val="fr-FR"/>
        </w:rPr>
        <w:t>UE ne parvient pas non plus à collecter des données sur les personnes vivant en institution, car la collecte de données au niveau de l</w:t>
      </w:r>
      <w:r w:rsidR="00A13071">
        <w:rPr>
          <w:lang w:val="fr-FR"/>
        </w:rPr>
        <w:t>’</w:t>
      </w:r>
      <w:r w:rsidRPr="00CF44BC">
        <w:rPr>
          <w:lang w:val="fr-FR"/>
        </w:rPr>
        <w:t xml:space="preserve">UE se concentre sur les personnes vivant dans des </w:t>
      </w:r>
      <w:r>
        <w:rPr>
          <w:lang w:val="fr-FR"/>
        </w:rPr>
        <w:t>« </w:t>
      </w:r>
      <w:r w:rsidRPr="00CF44BC">
        <w:rPr>
          <w:lang w:val="fr-FR"/>
        </w:rPr>
        <w:t>ménages</w:t>
      </w:r>
      <w:r>
        <w:rPr>
          <w:lang w:val="fr-FR"/>
        </w:rPr>
        <w:t> »</w:t>
      </w:r>
      <w:r w:rsidRPr="00CF44BC">
        <w:rPr>
          <w:lang w:val="fr-FR"/>
        </w:rPr>
        <w:t>, ce qui n</w:t>
      </w:r>
      <w:r w:rsidR="00A13071">
        <w:rPr>
          <w:lang w:val="fr-FR"/>
        </w:rPr>
        <w:t>’</w:t>
      </w:r>
      <w:r w:rsidRPr="00CF44BC">
        <w:rPr>
          <w:lang w:val="fr-FR"/>
        </w:rPr>
        <w:t xml:space="preserve">inclut pas les milieux institutionnels. </w:t>
      </w:r>
      <w:r>
        <w:rPr>
          <w:lang w:val="fr-FR"/>
        </w:rPr>
        <w:t>L</w:t>
      </w:r>
      <w:r w:rsidR="00A13071">
        <w:rPr>
          <w:lang w:val="fr-FR"/>
        </w:rPr>
        <w:t>’</w:t>
      </w:r>
      <w:r w:rsidRPr="00CF44BC">
        <w:rPr>
          <w:lang w:val="fr-FR"/>
        </w:rPr>
        <w:t>UE n</w:t>
      </w:r>
      <w:r w:rsidR="00A13071">
        <w:rPr>
          <w:lang w:val="fr-FR"/>
        </w:rPr>
        <w:t>’</w:t>
      </w:r>
      <w:r w:rsidRPr="00CF44BC">
        <w:rPr>
          <w:lang w:val="fr-FR"/>
        </w:rPr>
        <w:t xml:space="preserve">a </w:t>
      </w:r>
      <w:r>
        <w:rPr>
          <w:lang w:val="fr-FR"/>
        </w:rPr>
        <w:t>donc aucune</w:t>
      </w:r>
      <w:r w:rsidRPr="00CF44BC">
        <w:rPr>
          <w:lang w:val="fr-FR"/>
        </w:rPr>
        <w:t xml:space="preserve"> idée précise du nombre de personnes vivant dans ce type d</w:t>
      </w:r>
      <w:r w:rsidR="00A13071">
        <w:rPr>
          <w:lang w:val="fr-FR"/>
        </w:rPr>
        <w:t>’</w:t>
      </w:r>
      <w:r w:rsidRPr="00CF44BC">
        <w:rPr>
          <w:lang w:val="fr-FR"/>
        </w:rPr>
        <w:t>environnement</w:t>
      </w:r>
      <w:r>
        <w:rPr>
          <w:lang w:val="fr-FR"/>
        </w:rPr>
        <w:t xml:space="preserve"> et ne possède aucun</w:t>
      </w:r>
      <w:r w:rsidRPr="00CF44BC">
        <w:rPr>
          <w:lang w:val="fr-FR"/>
        </w:rPr>
        <w:t xml:space="preserve"> moyen de mesurer les progrès réalisés dans la transition vers l</w:t>
      </w:r>
      <w:r w:rsidR="00A13071">
        <w:rPr>
          <w:lang w:val="fr-FR"/>
        </w:rPr>
        <w:t>’</w:t>
      </w:r>
      <w:r w:rsidRPr="00CF44BC">
        <w:rPr>
          <w:lang w:val="fr-FR"/>
        </w:rPr>
        <w:t>abandon de l</w:t>
      </w:r>
      <w:r w:rsidR="00A13071">
        <w:rPr>
          <w:lang w:val="fr-FR"/>
        </w:rPr>
        <w:t>’</w:t>
      </w:r>
      <w:r w:rsidRPr="00CF44BC">
        <w:rPr>
          <w:lang w:val="fr-FR"/>
        </w:rPr>
        <w:t>institutionnalisation que les fonds européens sont censés faciliter.</w:t>
      </w:r>
    </w:p>
    <w:p w14:paraId="38E9B9B2" w14:textId="3C5D11B5" w:rsidR="00250EC3" w:rsidRPr="00D15BD6" w:rsidRDefault="00CF44BC" w:rsidP="00AD2BBC">
      <w:pPr>
        <w:pStyle w:val="ListParagraph"/>
        <w:numPr>
          <w:ilvl w:val="0"/>
          <w:numId w:val="21"/>
        </w:numPr>
        <w:contextualSpacing w:val="0"/>
        <w:rPr>
          <w:lang w:val="fr-FR"/>
        </w:rPr>
      </w:pPr>
      <w:r>
        <w:rPr>
          <w:b/>
          <w:bCs/>
          <w:lang w:val="fr-FR"/>
        </w:rPr>
        <w:t>Santé </w:t>
      </w:r>
      <w:r w:rsidR="00250EC3" w:rsidRPr="00D15BD6">
        <w:rPr>
          <w:lang w:val="fr-FR"/>
        </w:rPr>
        <w:t xml:space="preserve">: </w:t>
      </w:r>
      <w:r>
        <w:rPr>
          <w:lang w:val="fr-FR"/>
        </w:rPr>
        <w:t>l</w:t>
      </w:r>
      <w:r w:rsidR="00A13071">
        <w:rPr>
          <w:lang w:val="fr-FR"/>
        </w:rPr>
        <w:t>’</w:t>
      </w:r>
      <w:r w:rsidRPr="00CF44BC">
        <w:rPr>
          <w:lang w:val="fr-FR"/>
        </w:rPr>
        <w:t xml:space="preserve">UE ne tient pas compte des droits et des besoins des </w:t>
      </w:r>
      <w:r w:rsidRPr="00366708">
        <w:rPr>
          <w:lang w:val="fr-FR"/>
        </w:rPr>
        <w:t>personnes handicapées</w:t>
      </w:r>
      <w:r w:rsidRPr="00CF44BC">
        <w:rPr>
          <w:lang w:val="fr-FR"/>
        </w:rPr>
        <w:t xml:space="preserve"> dans ses politiques de santé, notamment dans les mesures prises pendant la pandémie de COVID-19 et dans son plan européen de lutte contre le cancer, de la prévention au traitement</w:t>
      </w:r>
      <w:r>
        <w:rPr>
          <w:lang w:val="fr-FR"/>
        </w:rPr>
        <w:t xml:space="preserve"> en passant par le dépistage</w:t>
      </w:r>
      <w:r w:rsidRPr="00CF44BC">
        <w:rPr>
          <w:lang w:val="fr-FR"/>
        </w:rPr>
        <w:t>. Seuls 14 États membres de l</w:t>
      </w:r>
      <w:r w:rsidR="00A13071">
        <w:rPr>
          <w:lang w:val="fr-FR"/>
        </w:rPr>
        <w:t>’</w:t>
      </w:r>
      <w:r w:rsidRPr="00CF44BC">
        <w:rPr>
          <w:lang w:val="fr-FR"/>
        </w:rPr>
        <w:t>UE interdisent la discrimination fondée sur le handicap et exigent des aménagements raisonnables pour l</w:t>
      </w:r>
      <w:r w:rsidR="00A13071">
        <w:rPr>
          <w:lang w:val="fr-FR"/>
        </w:rPr>
        <w:t>’</w:t>
      </w:r>
      <w:r w:rsidRPr="00CF44BC">
        <w:rPr>
          <w:lang w:val="fr-FR"/>
        </w:rPr>
        <w:t>accès aux soins de santé.</w:t>
      </w:r>
    </w:p>
    <w:p w14:paraId="02DF5F6D" w14:textId="714AC30F" w:rsidR="007C1607" w:rsidRPr="00D15BD6" w:rsidRDefault="00716B68" w:rsidP="00AD2BBC">
      <w:pPr>
        <w:pStyle w:val="ListParagraph"/>
        <w:numPr>
          <w:ilvl w:val="0"/>
          <w:numId w:val="21"/>
        </w:numPr>
        <w:contextualSpacing w:val="0"/>
        <w:rPr>
          <w:lang w:val="fr-FR"/>
        </w:rPr>
      </w:pPr>
      <w:r w:rsidRPr="00716B68">
        <w:rPr>
          <w:b/>
          <w:bCs/>
          <w:lang w:val="fr-FR"/>
        </w:rPr>
        <w:t>Participation à la vie politique et publique</w:t>
      </w:r>
      <w:r>
        <w:rPr>
          <w:b/>
          <w:bCs/>
          <w:lang w:val="fr-FR"/>
        </w:rPr>
        <w:t> </w:t>
      </w:r>
      <w:r w:rsidR="00CF3396" w:rsidRPr="00716B68">
        <w:rPr>
          <w:lang w:val="fr-FR"/>
        </w:rPr>
        <w:t>:</w:t>
      </w:r>
      <w:r w:rsidR="007C1607" w:rsidRPr="00716B68">
        <w:rPr>
          <w:lang w:val="fr-FR"/>
        </w:rPr>
        <w:t xml:space="preserve"> </w:t>
      </w:r>
      <w:r>
        <w:rPr>
          <w:lang w:val="fr-FR"/>
        </w:rPr>
        <w:t>l</w:t>
      </w:r>
      <w:r w:rsidR="00A13071">
        <w:rPr>
          <w:lang w:val="fr-FR"/>
        </w:rPr>
        <w:t>’</w:t>
      </w:r>
      <w:r w:rsidRPr="00716B68">
        <w:rPr>
          <w:lang w:val="fr-FR"/>
        </w:rPr>
        <w:t>UE n</w:t>
      </w:r>
      <w:r w:rsidR="00A13071">
        <w:rPr>
          <w:lang w:val="fr-FR"/>
        </w:rPr>
        <w:t>’</w:t>
      </w:r>
      <w:r w:rsidRPr="00716B68">
        <w:rPr>
          <w:lang w:val="fr-FR"/>
        </w:rPr>
        <w:t xml:space="preserve">a pas aligné la loi électorale de 1976 sur la CDPH. Dans 14 États membres, </w:t>
      </w:r>
      <w:r w:rsidRPr="00366708">
        <w:rPr>
          <w:lang w:val="fr-FR"/>
        </w:rPr>
        <w:t>les personnes handicapées</w:t>
      </w:r>
      <w:r w:rsidRPr="00716B68">
        <w:rPr>
          <w:lang w:val="fr-FR"/>
        </w:rPr>
        <w:t xml:space="preserve"> sous tutelle totale ou partielle sont privées de leur droit de vote aux élections européennes (environ 400</w:t>
      </w:r>
      <w:r>
        <w:rPr>
          <w:lang w:val="fr-FR"/>
        </w:rPr>
        <w:t> </w:t>
      </w:r>
      <w:r w:rsidRPr="00716B68">
        <w:rPr>
          <w:lang w:val="fr-FR"/>
        </w:rPr>
        <w:t xml:space="preserve">000 personnes). Dans seulement 7 États membres, toutes les personnes handicapées ont le droit de se présenter comme candidats aux élections du Parlement européen. </w:t>
      </w:r>
      <w:r>
        <w:rPr>
          <w:lang w:val="fr-FR"/>
        </w:rPr>
        <w:t>Par ailleurs,</w:t>
      </w:r>
      <w:r w:rsidRPr="00716B68">
        <w:rPr>
          <w:lang w:val="fr-FR"/>
        </w:rPr>
        <w:t xml:space="preserve"> de nombreux obstacles à l</w:t>
      </w:r>
      <w:r w:rsidR="00A13071">
        <w:rPr>
          <w:lang w:val="fr-FR"/>
        </w:rPr>
        <w:t>’</w:t>
      </w:r>
      <w:r w:rsidRPr="00716B68">
        <w:rPr>
          <w:lang w:val="fr-FR"/>
        </w:rPr>
        <w:t>accessibilité empêchent des millions de personnes handicapées de participer aux élections. De même, les exercices démocratiques tels que la Conférence sur l</w:t>
      </w:r>
      <w:r w:rsidR="00A13071">
        <w:rPr>
          <w:lang w:val="fr-FR"/>
        </w:rPr>
        <w:t>’</w:t>
      </w:r>
      <w:r w:rsidRPr="00716B68">
        <w:rPr>
          <w:lang w:val="fr-FR"/>
        </w:rPr>
        <w:t>avenir de l</w:t>
      </w:r>
      <w:r w:rsidR="00A13071">
        <w:rPr>
          <w:lang w:val="fr-FR"/>
        </w:rPr>
        <w:t>’</w:t>
      </w:r>
      <w:r w:rsidRPr="00716B68">
        <w:rPr>
          <w:lang w:val="fr-FR"/>
        </w:rPr>
        <w:t>Europe sont inaccessibles aux personnes handicapées</w:t>
      </w:r>
      <w:r w:rsidR="0093513C" w:rsidRPr="00D15BD6">
        <w:rPr>
          <w:lang w:val="fr-FR"/>
        </w:rPr>
        <w:t>.</w:t>
      </w:r>
      <w:r w:rsidR="00C14330" w:rsidRPr="00D15BD6">
        <w:rPr>
          <w:rStyle w:val="FootnoteReference"/>
          <w:lang w:val="fr-FR"/>
        </w:rPr>
        <w:footnoteReference w:id="7"/>
      </w:r>
    </w:p>
    <w:p w14:paraId="2BBF5E2C" w14:textId="7F10769D" w:rsidR="00903AFD" w:rsidRPr="00D15BD6" w:rsidRDefault="002B1F10" w:rsidP="00AD2BBC">
      <w:pPr>
        <w:pStyle w:val="ListParagraph"/>
        <w:numPr>
          <w:ilvl w:val="0"/>
          <w:numId w:val="21"/>
        </w:numPr>
        <w:contextualSpacing w:val="0"/>
        <w:rPr>
          <w:lang w:val="fr-FR"/>
        </w:rPr>
      </w:pPr>
      <w:r>
        <w:rPr>
          <w:b/>
          <w:bCs/>
          <w:lang w:val="fr-FR"/>
        </w:rPr>
        <w:t>Collecte de données </w:t>
      </w:r>
      <w:r w:rsidR="005B5AE9" w:rsidRPr="00D15BD6">
        <w:rPr>
          <w:lang w:val="fr-FR"/>
        </w:rPr>
        <w:t xml:space="preserve">: </w:t>
      </w:r>
      <w:r w:rsidRPr="002B1F10">
        <w:rPr>
          <w:lang w:val="fr-FR"/>
        </w:rPr>
        <w:t xml:space="preserve">très peu de données fiables sur </w:t>
      </w:r>
      <w:r w:rsidRPr="00366708">
        <w:rPr>
          <w:lang w:val="fr-FR"/>
        </w:rPr>
        <w:t>les personnes handicapées</w:t>
      </w:r>
      <w:r w:rsidRPr="002B1F10">
        <w:rPr>
          <w:lang w:val="fr-FR"/>
        </w:rPr>
        <w:t xml:space="preserve"> </w:t>
      </w:r>
      <w:r>
        <w:rPr>
          <w:lang w:val="fr-FR"/>
        </w:rPr>
        <w:t xml:space="preserve">sont disponibles </w:t>
      </w:r>
      <w:r w:rsidRPr="002B1F10">
        <w:rPr>
          <w:lang w:val="fr-FR"/>
        </w:rPr>
        <w:t>au niveau de l</w:t>
      </w:r>
      <w:r w:rsidR="00A13071">
        <w:rPr>
          <w:lang w:val="fr-FR"/>
        </w:rPr>
        <w:t>’</w:t>
      </w:r>
      <w:r w:rsidRPr="002B1F10">
        <w:rPr>
          <w:lang w:val="fr-FR"/>
        </w:rPr>
        <w:t>UE. Par exemple, il n</w:t>
      </w:r>
      <w:r w:rsidR="00A13071">
        <w:rPr>
          <w:lang w:val="fr-FR"/>
        </w:rPr>
        <w:t>’</w:t>
      </w:r>
      <w:r w:rsidRPr="002B1F10">
        <w:rPr>
          <w:lang w:val="fr-FR"/>
        </w:rPr>
        <w:t xml:space="preserve">existe pratiquement aucune information </w:t>
      </w:r>
      <w:r w:rsidRPr="00366708">
        <w:rPr>
          <w:lang w:val="fr-FR"/>
        </w:rPr>
        <w:t xml:space="preserve">sur les personnes handicapées en institution, les femmes et les filles handicapées, les personnes handicapées LGBTIQ+ et les personnes handicapées issues de minorités ethniques telles que les Roms et les gens du voyage. </w:t>
      </w:r>
      <w:r w:rsidR="00116A7C" w:rsidRPr="00366708">
        <w:rPr>
          <w:lang w:val="fr-FR"/>
        </w:rPr>
        <w:t>Par ailleurs, l</w:t>
      </w:r>
      <w:r w:rsidRPr="00366708">
        <w:rPr>
          <w:lang w:val="fr-FR"/>
        </w:rPr>
        <w:t>es données ne sont pas ventilées selon les différents types de handicap</w:t>
      </w:r>
      <w:r w:rsidR="0066503F" w:rsidRPr="00366708">
        <w:rPr>
          <w:lang w:val="fr-FR"/>
        </w:rPr>
        <w:t>s</w:t>
      </w:r>
      <w:r w:rsidRPr="00366708">
        <w:rPr>
          <w:lang w:val="fr-FR"/>
        </w:rPr>
        <w:t>, le sexe et l</w:t>
      </w:r>
      <w:r w:rsidR="00A13071" w:rsidRPr="00366708">
        <w:rPr>
          <w:lang w:val="fr-FR"/>
        </w:rPr>
        <w:t>’</w:t>
      </w:r>
      <w:r w:rsidRPr="00366708">
        <w:rPr>
          <w:lang w:val="fr-FR"/>
        </w:rPr>
        <w:t xml:space="preserve">âge, et la collecte de données et les enquêtes </w:t>
      </w:r>
      <w:r w:rsidR="00116A7C" w:rsidRPr="00366708">
        <w:rPr>
          <w:lang w:val="fr-FR"/>
        </w:rPr>
        <w:t>ne sont pas toujours</w:t>
      </w:r>
      <w:r w:rsidRPr="00366708">
        <w:rPr>
          <w:lang w:val="fr-FR"/>
        </w:rPr>
        <w:t xml:space="preserve"> accessibles à toutes les personnes handicapées.</w:t>
      </w:r>
      <w:r w:rsidR="00116A7C" w:rsidRPr="00366708">
        <w:rPr>
          <w:lang w:val="fr-FR"/>
        </w:rPr>
        <w:t xml:space="preserve"> </w:t>
      </w:r>
      <w:r w:rsidR="00A13987" w:rsidRPr="00366708">
        <w:rPr>
          <w:lang w:val="fr-FR"/>
        </w:rPr>
        <w:t>Il</w:t>
      </w:r>
      <w:r w:rsidR="00A13987">
        <w:rPr>
          <w:lang w:val="fr-FR"/>
        </w:rPr>
        <w:t xml:space="preserve"> n</w:t>
      </w:r>
      <w:r w:rsidR="00A13071">
        <w:rPr>
          <w:lang w:val="fr-FR"/>
        </w:rPr>
        <w:t>’</w:t>
      </w:r>
      <w:r w:rsidR="00A13987">
        <w:rPr>
          <w:lang w:val="fr-FR"/>
        </w:rPr>
        <w:t>est donc pas possible d</w:t>
      </w:r>
      <w:r w:rsidR="00A13071">
        <w:rPr>
          <w:lang w:val="fr-FR"/>
        </w:rPr>
        <w:t>’</w:t>
      </w:r>
      <w:r w:rsidR="00A13987">
        <w:rPr>
          <w:lang w:val="fr-FR"/>
        </w:rPr>
        <w:t>établir u</w:t>
      </w:r>
      <w:r w:rsidR="00A13987" w:rsidRPr="00A13987">
        <w:rPr>
          <w:lang w:val="fr-FR"/>
        </w:rPr>
        <w:t xml:space="preserve">ne évaluation </w:t>
      </w:r>
      <w:r w:rsidR="00A13987" w:rsidRPr="00A13987">
        <w:rPr>
          <w:lang w:val="fr-FR"/>
        </w:rPr>
        <w:lastRenderedPageBreak/>
        <w:t xml:space="preserve">précise de la situation des </w:t>
      </w:r>
      <w:r w:rsidR="00A13987" w:rsidRPr="00366708">
        <w:rPr>
          <w:lang w:val="fr-FR"/>
        </w:rPr>
        <w:t>personnes handicapées</w:t>
      </w:r>
      <w:r w:rsidR="00A13987" w:rsidRPr="00A13987">
        <w:rPr>
          <w:lang w:val="fr-FR"/>
        </w:rPr>
        <w:t xml:space="preserve"> en Europe (y compris en ce qui concerne les situations d</w:t>
      </w:r>
      <w:r w:rsidR="00A13071">
        <w:rPr>
          <w:lang w:val="fr-FR"/>
        </w:rPr>
        <w:t>’</w:t>
      </w:r>
      <w:r w:rsidR="00A13987" w:rsidRPr="00A13987">
        <w:rPr>
          <w:lang w:val="fr-FR"/>
        </w:rPr>
        <w:t>urgence</w:t>
      </w:r>
      <w:r w:rsidR="00A13987">
        <w:rPr>
          <w:lang w:val="fr-FR"/>
        </w:rPr>
        <w:t>, par exemple</w:t>
      </w:r>
      <w:r w:rsidR="00A13987" w:rsidRPr="00A13987">
        <w:rPr>
          <w:lang w:val="fr-FR"/>
        </w:rPr>
        <w:t>).</w:t>
      </w:r>
    </w:p>
    <w:p w14:paraId="63D589BE" w14:textId="6E2DD8F8" w:rsidR="00903AFD" w:rsidRPr="00D15BD6" w:rsidRDefault="0007306F" w:rsidP="00AD2BBC">
      <w:pPr>
        <w:pStyle w:val="ListParagraph"/>
        <w:numPr>
          <w:ilvl w:val="0"/>
          <w:numId w:val="21"/>
        </w:numPr>
        <w:contextualSpacing w:val="0"/>
        <w:rPr>
          <w:lang w:val="fr-FR"/>
        </w:rPr>
      </w:pPr>
      <w:r>
        <w:rPr>
          <w:b/>
          <w:bCs/>
          <w:lang w:val="fr-FR"/>
        </w:rPr>
        <w:t>L</w:t>
      </w:r>
      <w:r w:rsidR="00A13071">
        <w:rPr>
          <w:b/>
          <w:bCs/>
          <w:lang w:val="fr-FR"/>
        </w:rPr>
        <w:t>’</w:t>
      </w:r>
      <w:r>
        <w:rPr>
          <w:b/>
          <w:bCs/>
          <w:lang w:val="fr-FR"/>
        </w:rPr>
        <w:t>UE dans le monde </w:t>
      </w:r>
      <w:r w:rsidR="00242814" w:rsidRPr="00D15BD6">
        <w:rPr>
          <w:lang w:val="fr-FR"/>
        </w:rPr>
        <w:t xml:space="preserve">: </w:t>
      </w:r>
      <w:r>
        <w:rPr>
          <w:lang w:val="fr-FR"/>
        </w:rPr>
        <w:t>b</w:t>
      </w:r>
      <w:r w:rsidRPr="0007306F">
        <w:rPr>
          <w:lang w:val="fr-FR"/>
        </w:rPr>
        <w:t>ien que l</w:t>
      </w:r>
      <w:r w:rsidR="00A13071">
        <w:rPr>
          <w:lang w:val="fr-FR"/>
        </w:rPr>
        <w:t>’</w:t>
      </w:r>
      <w:r w:rsidRPr="0007306F">
        <w:rPr>
          <w:lang w:val="fr-FR"/>
        </w:rPr>
        <w:t>UE soit le plus grand donateur dans le domaine de la coopération internationale, elle n</w:t>
      </w:r>
      <w:r w:rsidR="00A13071">
        <w:rPr>
          <w:lang w:val="fr-FR"/>
        </w:rPr>
        <w:t>’</w:t>
      </w:r>
      <w:r w:rsidRPr="0007306F">
        <w:rPr>
          <w:lang w:val="fr-FR"/>
        </w:rPr>
        <w:t xml:space="preserve">a pas encore pris toutes les mesures appropriées pour renforcer ses politiques et programmes de développement incluant le handicap. Les perspectives et les voix des </w:t>
      </w:r>
      <w:r w:rsidRPr="00366708">
        <w:rPr>
          <w:lang w:val="fr-FR"/>
        </w:rPr>
        <w:t xml:space="preserve">personnes </w:t>
      </w:r>
      <w:r w:rsidR="00366708">
        <w:rPr>
          <w:lang w:val="fr-FR"/>
        </w:rPr>
        <w:t>en situation de handicap</w:t>
      </w:r>
      <w:r w:rsidRPr="0007306F">
        <w:rPr>
          <w:lang w:val="fr-FR"/>
        </w:rPr>
        <w:t xml:space="preserve"> ne sont pas prises en compte dans les politiques globales de l</w:t>
      </w:r>
      <w:r w:rsidR="00A13071">
        <w:rPr>
          <w:lang w:val="fr-FR"/>
        </w:rPr>
        <w:t>’</w:t>
      </w:r>
      <w:r w:rsidRPr="0007306F">
        <w:rPr>
          <w:lang w:val="fr-FR"/>
        </w:rPr>
        <w:t>UE.</w:t>
      </w:r>
    </w:p>
    <w:p w14:paraId="19B114F2" w14:textId="35A34EFC" w:rsidR="00903AFD" w:rsidRPr="00D15BD6" w:rsidRDefault="00031E66" w:rsidP="00AD2BBC">
      <w:pPr>
        <w:pStyle w:val="ListParagraph"/>
        <w:numPr>
          <w:ilvl w:val="0"/>
          <w:numId w:val="21"/>
        </w:numPr>
        <w:contextualSpacing w:val="0"/>
        <w:rPr>
          <w:lang w:val="fr-FR"/>
        </w:rPr>
      </w:pPr>
      <w:r>
        <w:rPr>
          <w:b/>
          <w:bCs/>
          <w:lang w:val="fr-FR"/>
        </w:rPr>
        <w:t>Mise en œuvre et suivi de la CDPH </w:t>
      </w:r>
      <w:r w:rsidR="0082416C" w:rsidRPr="00D15BD6">
        <w:rPr>
          <w:lang w:val="fr-FR"/>
        </w:rPr>
        <w:t>:</w:t>
      </w:r>
      <w:r w:rsidR="00B50656" w:rsidRPr="00D15BD6">
        <w:rPr>
          <w:lang w:val="fr-FR"/>
        </w:rPr>
        <w:t xml:space="preserve"> </w:t>
      </w:r>
      <w:r>
        <w:rPr>
          <w:lang w:val="fr-FR"/>
        </w:rPr>
        <w:t>l</w:t>
      </w:r>
      <w:r w:rsidR="00A13071">
        <w:rPr>
          <w:lang w:val="fr-FR"/>
        </w:rPr>
        <w:t>’</w:t>
      </w:r>
      <w:r w:rsidRPr="00031E66">
        <w:rPr>
          <w:lang w:val="fr-FR"/>
        </w:rPr>
        <w:t>UE n</w:t>
      </w:r>
      <w:r w:rsidR="00A13071">
        <w:rPr>
          <w:lang w:val="fr-FR"/>
        </w:rPr>
        <w:t>’</w:t>
      </w:r>
      <w:r w:rsidRPr="00031E66">
        <w:rPr>
          <w:lang w:val="fr-FR"/>
        </w:rPr>
        <w:t xml:space="preserve">a </w:t>
      </w:r>
      <w:r>
        <w:rPr>
          <w:lang w:val="fr-FR"/>
        </w:rPr>
        <w:t>pas</w:t>
      </w:r>
      <w:r w:rsidRPr="00031E66">
        <w:rPr>
          <w:lang w:val="fr-FR"/>
        </w:rPr>
        <w:t xml:space="preserve"> créé </w:t>
      </w:r>
      <w:r>
        <w:rPr>
          <w:lang w:val="fr-FR"/>
        </w:rPr>
        <w:t>d</w:t>
      </w:r>
      <w:r w:rsidR="00A13071">
        <w:rPr>
          <w:lang w:val="fr-FR"/>
        </w:rPr>
        <w:t>’</w:t>
      </w:r>
      <w:r>
        <w:rPr>
          <w:lang w:val="fr-FR"/>
        </w:rPr>
        <w:t>u</w:t>
      </w:r>
      <w:r w:rsidRPr="00031E66">
        <w:rPr>
          <w:lang w:val="fr-FR"/>
        </w:rPr>
        <w:t>nité CDPH</w:t>
      </w:r>
      <w:r w:rsidR="0066503F">
        <w:rPr>
          <w:lang w:val="fr-FR"/>
        </w:rPr>
        <w:t>,</w:t>
      </w:r>
      <w:r w:rsidRPr="00031E66">
        <w:rPr>
          <w:lang w:val="fr-FR"/>
        </w:rPr>
        <w:t xml:space="preserve"> ni désigné des points focaux dans toutes les institutions, agences et organes, ni établi </w:t>
      </w:r>
      <w:r>
        <w:rPr>
          <w:lang w:val="fr-FR"/>
        </w:rPr>
        <w:t>de</w:t>
      </w:r>
      <w:r w:rsidRPr="00031E66">
        <w:rPr>
          <w:lang w:val="fr-FR"/>
        </w:rPr>
        <w:t xml:space="preserve"> mécanisme interinstitutionnel pour la coordination de la mise en œuvre de la Convention entre la Commission, le Parlement et le Conseil.</w:t>
      </w:r>
    </w:p>
    <w:p w14:paraId="4E453045" w14:textId="4BDE916D" w:rsidR="0009666C" w:rsidRPr="00D15BD6" w:rsidRDefault="00AB71A2" w:rsidP="00AB71A2">
      <w:pPr>
        <w:rPr>
          <w:lang w:val="fr-FR"/>
        </w:rPr>
      </w:pPr>
      <w:r w:rsidRPr="00AB71A2">
        <w:rPr>
          <w:lang w:val="fr-FR"/>
        </w:rPr>
        <w:t>Vous trouverez de plus amples informations dans la version intégrale du rapport alternatif disponible en anglais.</w:t>
      </w:r>
    </w:p>
    <w:sectPr w:rsidR="0009666C" w:rsidRPr="00D15BD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462E2" w14:textId="77777777" w:rsidR="007D58B9" w:rsidRDefault="007D58B9" w:rsidP="00F62C0E">
      <w:pPr>
        <w:spacing w:after="0" w:line="240" w:lineRule="auto"/>
      </w:pPr>
      <w:r>
        <w:separator/>
      </w:r>
    </w:p>
  </w:endnote>
  <w:endnote w:type="continuationSeparator" w:id="0">
    <w:p w14:paraId="6D95DDB7" w14:textId="77777777" w:rsidR="007D58B9" w:rsidRDefault="007D58B9" w:rsidP="00F6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DaxlinePro">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XCAE V+ Interstate">
    <w:altName w:val="Calibri"/>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5164877"/>
      <w:docPartObj>
        <w:docPartGallery w:val="Page Numbers (Bottom of Page)"/>
        <w:docPartUnique/>
      </w:docPartObj>
    </w:sdtPr>
    <w:sdtEndPr>
      <w:rPr>
        <w:noProof/>
      </w:rPr>
    </w:sdtEndPr>
    <w:sdtContent>
      <w:p w14:paraId="48BA5E3D" w14:textId="17194773" w:rsidR="00146AA7" w:rsidRDefault="00146AA7">
        <w:pPr>
          <w:pStyle w:val="Footer"/>
          <w:jc w:val="center"/>
        </w:pPr>
        <w:r>
          <w:fldChar w:fldCharType="begin"/>
        </w:r>
        <w:r>
          <w:instrText xml:space="preserve"> PAGE   \* MERGEFORMAT </w:instrText>
        </w:r>
        <w:r>
          <w:fldChar w:fldCharType="separate"/>
        </w:r>
        <w:r w:rsidR="00026BAE">
          <w:rPr>
            <w:noProof/>
          </w:rPr>
          <w:t>13</w:t>
        </w:r>
        <w:r>
          <w:rPr>
            <w:noProof/>
          </w:rPr>
          <w:fldChar w:fldCharType="end"/>
        </w:r>
      </w:p>
    </w:sdtContent>
  </w:sdt>
  <w:p w14:paraId="277A8CF3" w14:textId="4D36C1EC" w:rsidR="00146AA7" w:rsidRDefault="00146AA7" w:rsidP="009311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E4144" w14:textId="77777777" w:rsidR="007D58B9" w:rsidRDefault="007D58B9" w:rsidP="00F62C0E">
      <w:pPr>
        <w:spacing w:after="0" w:line="240" w:lineRule="auto"/>
      </w:pPr>
      <w:r>
        <w:separator/>
      </w:r>
    </w:p>
  </w:footnote>
  <w:footnote w:type="continuationSeparator" w:id="0">
    <w:p w14:paraId="060886EA" w14:textId="77777777" w:rsidR="007D58B9" w:rsidRDefault="007D58B9" w:rsidP="00F62C0E">
      <w:pPr>
        <w:spacing w:after="0" w:line="240" w:lineRule="auto"/>
      </w:pPr>
      <w:r>
        <w:continuationSeparator/>
      </w:r>
    </w:p>
  </w:footnote>
  <w:footnote w:id="1">
    <w:p w14:paraId="51CC4504" w14:textId="3BD7747E" w:rsidR="00A44BAF" w:rsidRPr="00C2143E" w:rsidRDefault="00A44BAF" w:rsidP="00A44BAF">
      <w:pPr>
        <w:pStyle w:val="FootnoteText"/>
        <w:rPr>
          <w:lang w:val="fr-FR"/>
        </w:rPr>
      </w:pPr>
      <w:r w:rsidRPr="00C2143E">
        <w:rPr>
          <w:rStyle w:val="FootnoteReference"/>
          <w:lang w:val="fr-FR"/>
        </w:rPr>
        <w:footnoteRef/>
      </w:r>
      <w:r w:rsidRPr="00C2143E">
        <w:rPr>
          <w:lang w:val="fr-FR"/>
        </w:rPr>
        <w:t xml:space="preserve"> </w:t>
      </w:r>
      <w:hyperlink r:id="rId1" w:history="1">
        <w:r w:rsidR="00C2143E" w:rsidRPr="00C2143E">
          <w:rPr>
            <w:rStyle w:val="Hyperlink"/>
            <w:lang w:val="fr-FR"/>
          </w:rPr>
          <w:t>Traité de M</w:t>
        </w:r>
        <w:r w:rsidRPr="00C2143E">
          <w:rPr>
            <w:rStyle w:val="Hyperlink"/>
            <w:lang w:val="fr-FR"/>
          </w:rPr>
          <w:t>arrake</w:t>
        </w:r>
        <w:r w:rsidR="00C2143E">
          <w:rPr>
            <w:rStyle w:val="Hyperlink"/>
            <w:lang w:val="fr-FR"/>
          </w:rPr>
          <w:t>c</w:t>
        </w:r>
        <w:r w:rsidRPr="00C2143E">
          <w:rPr>
            <w:rStyle w:val="Hyperlink"/>
            <w:lang w:val="fr-FR"/>
          </w:rPr>
          <w:t xml:space="preserve">h </w:t>
        </w:r>
        <w:r w:rsidR="00C2143E">
          <w:rPr>
            <w:rStyle w:val="Hyperlink"/>
            <w:lang w:val="fr-FR"/>
          </w:rPr>
          <w:t>visant à faciliter l’accès aux œuvres publiées pour les personnes aveugles, malvoyantes ou incapables de lire les imprimés</w:t>
        </w:r>
      </w:hyperlink>
    </w:p>
  </w:footnote>
  <w:footnote w:id="2">
    <w:p w14:paraId="2114C394" w14:textId="0596CA8E" w:rsidR="00496A6C" w:rsidRPr="00C2143E" w:rsidRDefault="00496A6C" w:rsidP="00496A6C">
      <w:pPr>
        <w:pStyle w:val="FootnoteText"/>
        <w:rPr>
          <w:lang w:val="fr-FR"/>
        </w:rPr>
      </w:pPr>
      <w:r w:rsidRPr="00C2143E">
        <w:rPr>
          <w:rStyle w:val="FootnoteReference"/>
          <w:lang w:val="fr-FR"/>
        </w:rPr>
        <w:footnoteRef/>
      </w:r>
      <w:r w:rsidRPr="00C2143E">
        <w:rPr>
          <w:lang w:val="fr-FR"/>
        </w:rPr>
        <w:t xml:space="preserve"> </w:t>
      </w:r>
      <w:hyperlink r:id="rId2" w:history="1">
        <w:r w:rsidRPr="00C2143E">
          <w:rPr>
            <w:rStyle w:val="Hyperlink"/>
            <w:lang w:val="fr-FR"/>
          </w:rPr>
          <w:t>R</w:t>
        </w:r>
        <w:r w:rsidR="00121A52">
          <w:rPr>
            <w:rStyle w:val="Hyperlink"/>
            <w:lang w:val="fr-FR"/>
          </w:rPr>
          <w:t>èglement (UE) n°</w:t>
        </w:r>
        <w:r w:rsidRPr="00C2143E">
          <w:rPr>
            <w:rStyle w:val="Hyperlink"/>
            <w:lang w:val="fr-FR"/>
          </w:rPr>
          <w:t xml:space="preserve">1300/2014 </w:t>
        </w:r>
        <w:r w:rsidR="00121A52">
          <w:rPr>
            <w:rStyle w:val="Hyperlink"/>
            <w:lang w:val="fr-FR"/>
          </w:rPr>
          <w:t>de la Commission du</w:t>
        </w:r>
        <w:r w:rsidRPr="00C2143E">
          <w:rPr>
            <w:rStyle w:val="Hyperlink"/>
            <w:lang w:val="fr-FR"/>
          </w:rPr>
          <w:t xml:space="preserve"> 18 </w:t>
        </w:r>
        <w:r w:rsidR="00121A52">
          <w:rPr>
            <w:rStyle w:val="Hyperlink"/>
            <w:lang w:val="fr-FR"/>
          </w:rPr>
          <w:t>novembre</w:t>
        </w:r>
        <w:r w:rsidRPr="00C2143E">
          <w:rPr>
            <w:rStyle w:val="Hyperlink"/>
            <w:lang w:val="fr-FR"/>
          </w:rPr>
          <w:t xml:space="preserve"> 2014 </w:t>
        </w:r>
        <w:r w:rsidR="00121A52">
          <w:rPr>
            <w:rStyle w:val="Hyperlink"/>
            <w:lang w:val="fr-FR"/>
          </w:rPr>
          <w:t>sur les spécifications techniques d’interopérabilité relatives à l’accessibilité du système ferroviaire de l’Union pour les personnes handicapées et les personnes à mobilité réduite</w:t>
        </w:r>
      </w:hyperlink>
    </w:p>
  </w:footnote>
  <w:footnote w:id="3">
    <w:p w14:paraId="00960711" w14:textId="312029CB" w:rsidR="00E04864" w:rsidRPr="00C2143E" w:rsidRDefault="00E04864" w:rsidP="00E04864">
      <w:pPr>
        <w:pStyle w:val="FootnoteText"/>
        <w:rPr>
          <w:lang w:val="fr-FR"/>
        </w:rPr>
      </w:pPr>
      <w:r w:rsidRPr="00C2143E">
        <w:rPr>
          <w:rStyle w:val="FootnoteReference"/>
          <w:lang w:val="fr-FR"/>
        </w:rPr>
        <w:footnoteRef/>
      </w:r>
      <w:r w:rsidRPr="00C2143E">
        <w:rPr>
          <w:lang w:val="fr-FR"/>
        </w:rPr>
        <w:t xml:space="preserve"> </w:t>
      </w:r>
      <w:hyperlink r:id="rId3" w:history="1">
        <w:r w:rsidRPr="00C2143E">
          <w:rPr>
            <w:rStyle w:val="Hyperlink"/>
            <w:lang w:val="fr-FR"/>
          </w:rPr>
          <w:t xml:space="preserve">Directive (EU) 2018/1808 </w:t>
        </w:r>
        <w:r w:rsidR="00411C3C">
          <w:rPr>
            <w:rStyle w:val="Hyperlink"/>
            <w:lang w:val="fr-FR"/>
          </w:rPr>
          <w:t>du Parlement européen et du Conseil du</w:t>
        </w:r>
        <w:r w:rsidRPr="00C2143E">
          <w:rPr>
            <w:rStyle w:val="Hyperlink"/>
            <w:lang w:val="fr-FR"/>
          </w:rPr>
          <w:t xml:space="preserve"> 14 </w:t>
        </w:r>
        <w:r w:rsidR="00411C3C">
          <w:rPr>
            <w:rStyle w:val="Hyperlink"/>
            <w:lang w:val="fr-FR"/>
          </w:rPr>
          <w:t>novembre</w:t>
        </w:r>
        <w:r w:rsidRPr="00C2143E">
          <w:rPr>
            <w:rStyle w:val="Hyperlink"/>
            <w:lang w:val="fr-FR"/>
          </w:rPr>
          <w:t xml:space="preserve"> 2018 </w:t>
        </w:r>
        <w:r w:rsidR="00411C3C">
          <w:rPr>
            <w:rStyle w:val="Hyperlink"/>
            <w:lang w:val="fr-FR"/>
          </w:rPr>
          <w:t>modifiant la directive</w:t>
        </w:r>
        <w:r w:rsidRPr="00C2143E">
          <w:rPr>
            <w:rStyle w:val="Hyperlink"/>
            <w:lang w:val="fr-FR"/>
          </w:rPr>
          <w:t xml:space="preserve"> 2010/13/EU </w:t>
        </w:r>
        <w:r w:rsidR="00411C3C">
          <w:rPr>
            <w:rStyle w:val="Hyperlink"/>
            <w:lang w:val="fr-FR"/>
          </w:rPr>
          <w:t>visant à la coordination de certaines dispositions législatives, réglementaires et administratives des États membres relatives à la fourniture de services de médias audiovisuels (directive « Services de médias audiovisuels »</w:t>
        </w:r>
        <w:r w:rsidRPr="00C2143E">
          <w:rPr>
            <w:rStyle w:val="Hyperlink"/>
            <w:lang w:val="fr-FR"/>
          </w:rPr>
          <w:t>)</w:t>
        </w:r>
        <w:r w:rsidR="00411C3C">
          <w:rPr>
            <w:rStyle w:val="Hyperlink"/>
            <w:lang w:val="fr-FR"/>
          </w:rPr>
          <w:t>, compte tenu de l’évolution des réalités du marché</w:t>
        </w:r>
      </w:hyperlink>
    </w:p>
  </w:footnote>
  <w:footnote w:id="4">
    <w:p w14:paraId="62EF33DE" w14:textId="054BD3CA" w:rsidR="00CF3BE1" w:rsidRPr="00C2143E" w:rsidRDefault="00CF3BE1" w:rsidP="00CF3BE1">
      <w:pPr>
        <w:pStyle w:val="FootnoteText"/>
        <w:rPr>
          <w:lang w:val="fr-FR"/>
        </w:rPr>
      </w:pPr>
      <w:r w:rsidRPr="00C2143E">
        <w:rPr>
          <w:rStyle w:val="FootnoteReference"/>
          <w:lang w:val="fr-FR"/>
        </w:rPr>
        <w:footnoteRef/>
      </w:r>
      <w:r w:rsidRPr="00C2143E">
        <w:rPr>
          <w:lang w:val="fr-FR"/>
        </w:rPr>
        <w:t xml:space="preserve"> </w:t>
      </w:r>
      <w:r w:rsidR="000164F9" w:rsidRPr="000164F9">
        <w:rPr>
          <w:lang w:val="fr-FR"/>
        </w:rPr>
        <w:t>Directive sur l</w:t>
      </w:r>
      <w:r w:rsidR="00691D3D">
        <w:rPr>
          <w:lang w:val="fr-FR"/>
        </w:rPr>
        <w:t>’</w:t>
      </w:r>
      <w:r w:rsidR="000164F9" w:rsidRPr="000164F9">
        <w:rPr>
          <w:lang w:val="fr-FR"/>
        </w:rPr>
        <w:t xml:space="preserve">accessibilité du </w:t>
      </w:r>
      <w:r w:rsidR="000164F9">
        <w:rPr>
          <w:lang w:val="fr-FR"/>
        </w:rPr>
        <w:t>w</w:t>
      </w:r>
      <w:r w:rsidR="000164F9" w:rsidRPr="000164F9">
        <w:rPr>
          <w:lang w:val="fr-FR"/>
        </w:rPr>
        <w:t xml:space="preserve">eb, </w:t>
      </w:r>
      <w:r w:rsidR="000164F9">
        <w:rPr>
          <w:lang w:val="fr-FR"/>
        </w:rPr>
        <w:t>c</w:t>
      </w:r>
      <w:r w:rsidR="000164F9" w:rsidRPr="000164F9">
        <w:rPr>
          <w:lang w:val="fr-FR"/>
        </w:rPr>
        <w:t>ode des communications électroniques</w:t>
      </w:r>
      <w:r w:rsidR="000164F9">
        <w:rPr>
          <w:lang w:val="fr-FR"/>
        </w:rPr>
        <w:t xml:space="preserve"> </w:t>
      </w:r>
      <w:r w:rsidR="000164F9" w:rsidRPr="000164F9">
        <w:rPr>
          <w:lang w:val="fr-FR"/>
        </w:rPr>
        <w:t xml:space="preserve">européen, </w:t>
      </w:r>
      <w:r w:rsidR="000164F9">
        <w:rPr>
          <w:lang w:val="fr-FR"/>
        </w:rPr>
        <w:t>d</w:t>
      </w:r>
      <w:r w:rsidR="000164F9" w:rsidRPr="000164F9">
        <w:rPr>
          <w:lang w:val="fr-FR"/>
        </w:rPr>
        <w:t xml:space="preserve">irective </w:t>
      </w:r>
      <w:r w:rsidR="000164F9">
        <w:rPr>
          <w:lang w:val="fr-FR"/>
        </w:rPr>
        <w:t xml:space="preserve">européenne </w:t>
      </w:r>
      <w:r w:rsidR="000164F9" w:rsidRPr="000164F9">
        <w:rPr>
          <w:lang w:val="fr-FR"/>
        </w:rPr>
        <w:t xml:space="preserve">sur les services de médias audiovisuels, </w:t>
      </w:r>
      <w:r w:rsidR="000164F9">
        <w:rPr>
          <w:lang w:val="fr-FR"/>
        </w:rPr>
        <w:t>acte</w:t>
      </w:r>
      <w:r w:rsidR="000164F9" w:rsidRPr="000164F9">
        <w:rPr>
          <w:lang w:val="fr-FR"/>
        </w:rPr>
        <w:t xml:space="preserve"> europée</w:t>
      </w:r>
      <w:r w:rsidR="009463C6">
        <w:rPr>
          <w:lang w:val="fr-FR"/>
        </w:rPr>
        <w:t>n</w:t>
      </w:r>
      <w:r w:rsidR="000164F9" w:rsidRPr="000164F9">
        <w:rPr>
          <w:lang w:val="fr-FR"/>
        </w:rPr>
        <w:t xml:space="preserve"> sur l</w:t>
      </w:r>
      <w:r w:rsidR="00691D3D">
        <w:rPr>
          <w:lang w:val="fr-FR"/>
        </w:rPr>
        <w:t>’</w:t>
      </w:r>
      <w:r w:rsidR="000164F9" w:rsidRPr="000164F9">
        <w:rPr>
          <w:lang w:val="fr-FR"/>
        </w:rPr>
        <w:t xml:space="preserve">accessibilité. </w:t>
      </w:r>
    </w:p>
  </w:footnote>
  <w:footnote w:id="5">
    <w:p w14:paraId="7F7798C7" w14:textId="6097C886" w:rsidR="00184EE8" w:rsidRPr="00C2143E" w:rsidRDefault="00184EE8" w:rsidP="00184EE8">
      <w:pPr>
        <w:pStyle w:val="FootnoteText"/>
        <w:rPr>
          <w:b/>
          <w:bCs/>
          <w:lang w:val="fr-FR"/>
        </w:rPr>
      </w:pPr>
      <w:r w:rsidRPr="00C2143E">
        <w:rPr>
          <w:rStyle w:val="FootnoteReference"/>
          <w:lang w:val="fr-FR"/>
        </w:rPr>
        <w:footnoteRef/>
      </w:r>
      <w:r w:rsidRPr="00C2143E">
        <w:rPr>
          <w:lang w:val="fr-FR"/>
        </w:rPr>
        <w:t xml:space="preserve"> </w:t>
      </w:r>
      <w:r w:rsidR="009463C6" w:rsidRPr="009463C6">
        <w:rPr>
          <w:lang w:val="fr-FR"/>
        </w:rPr>
        <w:t>En outre, l</w:t>
      </w:r>
      <w:r w:rsidR="00691D3D">
        <w:rPr>
          <w:lang w:val="fr-FR"/>
        </w:rPr>
        <w:t>’</w:t>
      </w:r>
      <w:r w:rsidR="009463C6" w:rsidRPr="009463C6">
        <w:rPr>
          <w:lang w:val="fr-FR"/>
        </w:rPr>
        <w:t>accessibilité dans l</w:t>
      </w:r>
      <w:r w:rsidR="00691D3D">
        <w:rPr>
          <w:lang w:val="fr-FR"/>
        </w:rPr>
        <w:t>’</w:t>
      </w:r>
      <w:r w:rsidR="009463C6" w:rsidRPr="009463C6">
        <w:rPr>
          <w:lang w:val="fr-FR"/>
        </w:rPr>
        <w:t>UE est souvent comprise comme l</w:t>
      </w:r>
      <w:r w:rsidR="00691D3D">
        <w:rPr>
          <w:lang w:val="fr-FR"/>
        </w:rPr>
        <w:t>’</w:t>
      </w:r>
      <w:r w:rsidR="009463C6" w:rsidRPr="009463C6">
        <w:rPr>
          <w:lang w:val="fr-FR"/>
        </w:rPr>
        <w:t>accessibilité des environnements physiques et virtuels uniquement, ce qui signifie que l</w:t>
      </w:r>
      <w:r w:rsidR="00691D3D">
        <w:rPr>
          <w:lang w:val="fr-FR"/>
        </w:rPr>
        <w:t>’</w:t>
      </w:r>
      <w:r w:rsidR="009463C6" w:rsidRPr="009463C6">
        <w:rPr>
          <w:lang w:val="fr-FR"/>
        </w:rPr>
        <w:t>accessibilité de l</w:t>
      </w:r>
      <w:r w:rsidR="00691D3D">
        <w:rPr>
          <w:lang w:val="fr-FR"/>
        </w:rPr>
        <w:t>’</w:t>
      </w:r>
      <w:r w:rsidR="009463C6" w:rsidRPr="009463C6">
        <w:rPr>
          <w:lang w:val="fr-FR"/>
        </w:rPr>
        <w:t>information et de la communication, notamment dans les langues des signes nationales, n</w:t>
      </w:r>
      <w:r w:rsidR="00691D3D">
        <w:rPr>
          <w:lang w:val="fr-FR"/>
        </w:rPr>
        <w:t>’</w:t>
      </w:r>
      <w:r w:rsidR="009463C6" w:rsidRPr="009463C6">
        <w:rPr>
          <w:lang w:val="fr-FR"/>
        </w:rPr>
        <w:t>est souvent pas prise en compte.</w:t>
      </w:r>
      <w:r w:rsidR="009463C6">
        <w:rPr>
          <w:lang w:val="fr-FR"/>
        </w:rPr>
        <w:t xml:space="preserve"> </w:t>
      </w:r>
      <w:r w:rsidR="009463C6" w:rsidRPr="009463C6">
        <w:rPr>
          <w:b/>
          <w:bCs/>
          <w:lang w:val="fr-FR"/>
        </w:rPr>
        <w:t>Bien que tous les États membres de l</w:t>
      </w:r>
      <w:r w:rsidR="00691D3D">
        <w:rPr>
          <w:b/>
          <w:bCs/>
          <w:lang w:val="fr-FR"/>
        </w:rPr>
        <w:t>’</w:t>
      </w:r>
      <w:r w:rsidR="009463C6" w:rsidRPr="009463C6">
        <w:rPr>
          <w:b/>
          <w:bCs/>
          <w:lang w:val="fr-FR"/>
        </w:rPr>
        <w:t>UE aient désormais reconnu leurs langues des signes nationales, l</w:t>
      </w:r>
      <w:r w:rsidR="00691D3D">
        <w:rPr>
          <w:b/>
          <w:bCs/>
          <w:lang w:val="fr-FR"/>
        </w:rPr>
        <w:t>’</w:t>
      </w:r>
      <w:r w:rsidR="009463C6" w:rsidRPr="009463C6">
        <w:rPr>
          <w:b/>
          <w:bCs/>
          <w:lang w:val="fr-FR"/>
        </w:rPr>
        <w:t>UE ne reconnaît pas les langues des signes nationales comme faisant partie du multilinguisme de l</w:t>
      </w:r>
      <w:r w:rsidR="00691D3D">
        <w:rPr>
          <w:b/>
          <w:bCs/>
          <w:lang w:val="fr-FR"/>
        </w:rPr>
        <w:t>’</w:t>
      </w:r>
      <w:r w:rsidR="009463C6" w:rsidRPr="009463C6">
        <w:rPr>
          <w:b/>
          <w:bCs/>
          <w:lang w:val="fr-FR"/>
        </w:rPr>
        <w:t>UE et n'encourage pas leur utilisation</w:t>
      </w:r>
      <w:r w:rsidR="009463C6" w:rsidRPr="009463C6">
        <w:rPr>
          <w:lang w:val="fr-FR"/>
        </w:rPr>
        <w:t>.</w:t>
      </w:r>
      <w:r w:rsidRPr="00C2143E">
        <w:rPr>
          <w:b/>
          <w:bCs/>
          <w:lang w:val="fr-FR"/>
        </w:rPr>
        <w:t xml:space="preserve"> </w:t>
      </w:r>
    </w:p>
  </w:footnote>
  <w:footnote w:id="6">
    <w:p w14:paraId="276CDF98" w14:textId="1B780783" w:rsidR="00197782" w:rsidRPr="00C2143E" w:rsidRDefault="00197782" w:rsidP="00197782">
      <w:pPr>
        <w:pStyle w:val="FootnoteText"/>
        <w:rPr>
          <w:lang w:val="fr-FR"/>
        </w:rPr>
      </w:pPr>
      <w:r w:rsidRPr="00C2143E">
        <w:rPr>
          <w:rStyle w:val="FootnoteReference"/>
          <w:lang w:val="fr-FR"/>
        </w:rPr>
        <w:footnoteRef/>
      </w:r>
      <w:r w:rsidRPr="00C2143E">
        <w:rPr>
          <w:lang w:val="fr-FR"/>
        </w:rPr>
        <w:t xml:space="preserve"> </w:t>
      </w:r>
      <w:hyperlink r:id="rId4" w:history="1">
        <w:r w:rsidRPr="00C2143E">
          <w:rPr>
            <w:rStyle w:val="Hyperlink"/>
            <w:lang w:val="fr-FR"/>
          </w:rPr>
          <w:t>Co</w:t>
        </w:r>
        <w:r w:rsidR="002E7000">
          <w:rPr>
            <w:rStyle w:val="Hyperlink"/>
            <w:lang w:val="fr-FR"/>
          </w:rPr>
          <w:t>nvention du Conseil de l’Europe sur la prévention et la lutte contre la v</w:t>
        </w:r>
        <w:r w:rsidRPr="00C2143E">
          <w:rPr>
            <w:rStyle w:val="Hyperlink"/>
            <w:lang w:val="fr-FR"/>
          </w:rPr>
          <w:t xml:space="preserve">iolence </w:t>
        </w:r>
        <w:r w:rsidR="002E7000">
          <w:rPr>
            <w:rStyle w:val="Hyperlink"/>
            <w:lang w:val="fr-FR"/>
          </w:rPr>
          <w:t>à l’égard des femmes et la violence domestique</w:t>
        </w:r>
      </w:hyperlink>
    </w:p>
  </w:footnote>
  <w:footnote w:id="7">
    <w:p w14:paraId="05F2C9AE" w14:textId="37EAFCFC" w:rsidR="00C14330" w:rsidRPr="00C2143E" w:rsidRDefault="00C14330">
      <w:pPr>
        <w:pStyle w:val="FootnoteText"/>
        <w:rPr>
          <w:lang w:val="fr-FR"/>
        </w:rPr>
      </w:pPr>
      <w:r w:rsidRPr="00C2143E">
        <w:rPr>
          <w:rStyle w:val="FootnoteReference"/>
          <w:lang w:val="fr-FR"/>
        </w:rPr>
        <w:footnoteRef/>
      </w:r>
      <w:r w:rsidRPr="00C2143E">
        <w:rPr>
          <w:lang w:val="fr-FR"/>
        </w:rPr>
        <w:t xml:space="preserve"> </w:t>
      </w:r>
      <w:r w:rsidR="00BF7C93">
        <w:rPr>
          <w:lang w:val="fr-FR"/>
        </w:rPr>
        <w:t>FEPH</w:t>
      </w:r>
      <w:r w:rsidR="0093513C" w:rsidRPr="00C2143E">
        <w:rPr>
          <w:lang w:val="fr-FR"/>
        </w:rPr>
        <w:t xml:space="preserve">, </w:t>
      </w:r>
      <w:hyperlink r:id="rId5" w:history="1">
        <w:r w:rsidR="00BF7C93">
          <w:rPr>
            <w:rStyle w:val="Hyperlink"/>
            <w:lang w:val="fr-FR"/>
          </w:rPr>
          <w:t>La plateforme de la Conférence sur l’avenir de l’Europe doit régler ses problè</w:t>
        </w:r>
        <w:r w:rsidR="008C2505">
          <w:rPr>
            <w:rStyle w:val="Hyperlink"/>
            <w:lang w:val="fr-FR"/>
          </w:rPr>
          <w:t>m</w:t>
        </w:r>
        <w:r w:rsidR="00BF7C93">
          <w:rPr>
            <w:rStyle w:val="Hyperlink"/>
            <w:lang w:val="fr-FR"/>
          </w:rPr>
          <w:t>es d’accessibilité</w:t>
        </w:r>
      </w:hyperlink>
      <w:r w:rsidR="0093513C" w:rsidRPr="00C2143E">
        <w:rPr>
          <w:lang w:val="fr-FR"/>
        </w:rPr>
        <w:t xml:space="preserve"> (</w:t>
      </w:r>
      <w:r w:rsidR="00BF7C93">
        <w:rPr>
          <w:lang w:val="fr-FR"/>
        </w:rPr>
        <w:t>septembre</w:t>
      </w:r>
      <w:r w:rsidR="0093513C" w:rsidRPr="00C2143E">
        <w:rPr>
          <w:lang w:val="fr-FR"/>
        </w:rPr>
        <w:t xml:space="preserv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hybridMultilevel"/>
    <w:tmpl w:val="00000012"/>
    <w:lvl w:ilvl="0" w:tplc="FFFFFFFF">
      <w:start w:val="1"/>
      <w:numFmt w:val="bullet"/>
      <w:lvlText w:val=""/>
      <w:lvlJc w:val="left"/>
      <w:pPr>
        <w:tabs>
          <w:tab w:val="num" w:pos="720"/>
        </w:tabs>
        <w:ind w:left="720" w:hanging="360"/>
      </w:pPr>
      <w:rPr>
        <w:rFonts w:ascii="Symbol" w:eastAsia="Times New Roman" w:hAnsi="Symbol" w:cs="OpenSymbol"/>
      </w:rPr>
    </w:lvl>
    <w:lvl w:ilvl="1" w:tplc="FFFFFFFF">
      <w:start w:val="1"/>
      <w:numFmt w:val="bullet"/>
      <w:lvlText w:val="◦"/>
      <w:lvlJc w:val="left"/>
      <w:pPr>
        <w:tabs>
          <w:tab w:val="num" w:pos="1080"/>
        </w:tabs>
        <w:ind w:left="1080" w:hanging="360"/>
      </w:pPr>
      <w:rPr>
        <w:rFonts w:ascii="OpenSymbol" w:eastAsia="Times New Roman" w:hAnsi="OpenSymbol" w:cs="OpenSymbol"/>
      </w:rPr>
    </w:lvl>
    <w:lvl w:ilvl="2" w:tplc="FFFFFFFF">
      <w:start w:val="1"/>
      <w:numFmt w:val="bullet"/>
      <w:lvlText w:val="▪"/>
      <w:lvlJc w:val="left"/>
      <w:pPr>
        <w:tabs>
          <w:tab w:val="num" w:pos="1440"/>
        </w:tabs>
        <w:ind w:left="1440" w:hanging="360"/>
      </w:pPr>
      <w:rPr>
        <w:rFonts w:ascii="OpenSymbol" w:eastAsia="Times New Roman" w:hAnsi="OpenSymbol" w:cs="OpenSymbol"/>
      </w:rPr>
    </w:lvl>
    <w:lvl w:ilvl="3" w:tplc="FFFFFFFF">
      <w:start w:val="1"/>
      <w:numFmt w:val="bullet"/>
      <w:lvlText w:val=""/>
      <w:lvlJc w:val="left"/>
      <w:pPr>
        <w:tabs>
          <w:tab w:val="num" w:pos="1800"/>
        </w:tabs>
        <w:ind w:left="1800" w:hanging="360"/>
      </w:pPr>
      <w:rPr>
        <w:rFonts w:ascii="Symbol" w:eastAsia="Times New Roman" w:hAnsi="Symbol" w:cs="OpenSymbol"/>
      </w:rPr>
    </w:lvl>
    <w:lvl w:ilvl="4" w:tplc="FFFFFFFF">
      <w:start w:val="1"/>
      <w:numFmt w:val="bullet"/>
      <w:lvlText w:val="◦"/>
      <w:lvlJc w:val="left"/>
      <w:pPr>
        <w:tabs>
          <w:tab w:val="num" w:pos="2160"/>
        </w:tabs>
        <w:ind w:left="2160" w:hanging="360"/>
      </w:pPr>
      <w:rPr>
        <w:rFonts w:ascii="OpenSymbol" w:eastAsia="Times New Roman" w:hAnsi="OpenSymbol" w:cs="OpenSymbol"/>
      </w:rPr>
    </w:lvl>
    <w:lvl w:ilvl="5" w:tplc="FFFFFFFF">
      <w:start w:val="1"/>
      <w:numFmt w:val="bullet"/>
      <w:lvlText w:val="▪"/>
      <w:lvlJc w:val="left"/>
      <w:pPr>
        <w:tabs>
          <w:tab w:val="num" w:pos="2520"/>
        </w:tabs>
        <w:ind w:left="2520" w:hanging="360"/>
      </w:pPr>
      <w:rPr>
        <w:rFonts w:ascii="OpenSymbol" w:eastAsia="Times New Roman" w:hAnsi="OpenSymbol" w:cs="OpenSymbol"/>
      </w:rPr>
    </w:lvl>
    <w:lvl w:ilvl="6" w:tplc="FFFFFFFF">
      <w:start w:val="1"/>
      <w:numFmt w:val="bullet"/>
      <w:lvlText w:val=""/>
      <w:lvlJc w:val="left"/>
      <w:pPr>
        <w:tabs>
          <w:tab w:val="num" w:pos="2880"/>
        </w:tabs>
        <w:ind w:left="2880" w:hanging="360"/>
      </w:pPr>
      <w:rPr>
        <w:rFonts w:ascii="Symbol" w:eastAsia="Times New Roman" w:hAnsi="Symbol" w:cs="OpenSymbol"/>
      </w:rPr>
    </w:lvl>
    <w:lvl w:ilvl="7" w:tplc="FFFFFFFF">
      <w:start w:val="1"/>
      <w:numFmt w:val="bullet"/>
      <w:lvlText w:val="◦"/>
      <w:lvlJc w:val="left"/>
      <w:pPr>
        <w:tabs>
          <w:tab w:val="num" w:pos="3240"/>
        </w:tabs>
        <w:ind w:left="3240" w:hanging="360"/>
      </w:pPr>
      <w:rPr>
        <w:rFonts w:ascii="OpenSymbol" w:eastAsia="Times New Roman" w:hAnsi="OpenSymbol" w:cs="OpenSymbol"/>
      </w:rPr>
    </w:lvl>
    <w:lvl w:ilvl="8" w:tplc="FFFFFFFF">
      <w:start w:val="1"/>
      <w:numFmt w:val="bullet"/>
      <w:lvlText w:val="▪"/>
      <w:lvlJc w:val="left"/>
      <w:pPr>
        <w:tabs>
          <w:tab w:val="num" w:pos="3600"/>
        </w:tabs>
        <w:ind w:left="3600" w:hanging="360"/>
      </w:pPr>
      <w:rPr>
        <w:rFonts w:ascii="OpenSymbol" w:eastAsia="Times New Roman" w:hAnsi="OpenSymbol" w:cs="OpenSymbol"/>
      </w:rPr>
    </w:lvl>
  </w:abstractNum>
  <w:abstractNum w:abstractNumId="1" w15:restartNumberingAfterBreak="0">
    <w:nsid w:val="08142135"/>
    <w:multiLevelType w:val="hybridMultilevel"/>
    <w:tmpl w:val="4164FE38"/>
    <w:lvl w:ilvl="0" w:tplc="798679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BB7F35"/>
    <w:multiLevelType w:val="hybridMultilevel"/>
    <w:tmpl w:val="F738BA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E3F44B7"/>
    <w:multiLevelType w:val="hybridMultilevel"/>
    <w:tmpl w:val="06901FB8"/>
    <w:lvl w:ilvl="0" w:tplc="D818C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9F209D"/>
    <w:multiLevelType w:val="hybridMultilevel"/>
    <w:tmpl w:val="A7641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B377B0"/>
    <w:multiLevelType w:val="hybridMultilevel"/>
    <w:tmpl w:val="FF34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8B5C53"/>
    <w:multiLevelType w:val="hybridMultilevel"/>
    <w:tmpl w:val="6CAA2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45315A"/>
    <w:multiLevelType w:val="hybridMultilevel"/>
    <w:tmpl w:val="C5E4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C67AD"/>
    <w:multiLevelType w:val="hybridMultilevel"/>
    <w:tmpl w:val="47CA8F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0C154A0"/>
    <w:multiLevelType w:val="hybridMultilevel"/>
    <w:tmpl w:val="867C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0401"/>
    <w:multiLevelType w:val="hybridMultilevel"/>
    <w:tmpl w:val="9E360F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6E41D5"/>
    <w:multiLevelType w:val="hybridMultilevel"/>
    <w:tmpl w:val="715686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D5147B3"/>
    <w:multiLevelType w:val="hybridMultilevel"/>
    <w:tmpl w:val="AF66514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3A6224"/>
    <w:multiLevelType w:val="hybridMultilevel"/>
    <w:tmpl w:val="4BAEB8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B7E1DC6"/>
    <w:multiLevelType w:val="hybridMultilevel"/>
    <w:tmpl w:val="1326FBFE"/>
    <w:lvl w:ilvl="0" w:tplc="F526590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C432523"/>
    <w:multiLevelType w:val="hybridMultilevel"/>
    <w:tmpl w:val="EE5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13D7F"/>
    <w:multiLevelType w:val="hybridMultilevel"/>
    <w:tmpl w:val="F8E2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47D"/>
    <w:multiLevelType w:val="hybridMultilevel"/>
    <w:tmpl w:val="16A62B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26853C9"/>
    <w:multiLevelType w:val="hybridMultilevel"/>
    <w:tmpl w:val="3D0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02D81"/>
    <w:multiLevelType w:val="hybridMultilevel"/>
    <w:tmpl w:val="C79637E6"/>
    <w:lvl w:ilvl="0" w:tplc="C0F278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4919BC"/>
    <w:multiLevelType w:val="multilevel"/>
    <w:tmpl w:val="4E491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1727D9"/>
    <w:multiLevelType w:val="hybridMultilevel"/>
    <w:tmpl w:val="C6B0EE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7662A75"/>
    <w:multiLevelType w:val="hybridMultilevel"/>
    <w:tmpl w:val="ED80035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CC37D55"/>
    <w:multiLevelType w:val="hybridMultilevel"/>
    <w:tmpl w:val="DA0813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D097181"/>
    <w:multiLevelType w:val="hybridMultilevel"/>
    <w:tmpl w:val="8A765772"/>
    <w:lvl w:ilvl="0" w:tplc="D444C998">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0A60F97"/>
    <w:multiLevelType w:val="hybridMultilevel"/>
    <w:tmpl w:val="A86221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2D42931"/>
    <w:multiLevelType w:val="hybridMultilevel"/>
    <w:tmpl w:val="056665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4235987"/>
    <w:multiLevelType w:val="hybridMultilevel"/>
    <w:tmpl w:val="C57484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6701D14"/>
    <w:multiLevelType w:val="hybridMultilevel"/>
    <w:tmpl w:val="9DEE5B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A755D26"/>
    <w:multiLevelType w:val="multilevel"/>
    <w:tmpl w:val="6A75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D68A8"/>
    <w:multiLevelType w:val="hybridMultilevel"/>
    <w:tmpl w:val="9B3E4A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73C52D8D"/>
    <w:multiLevelType w:val="hybridMultilevel"/>
    <w:tmpl w:val="67F46A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5980D55"/>
    <w:multiLevelType w:val="hybridMultilevel"/>
    <w:tmpl w:val="5F860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75B2206"/>
    <w:multiLevelType w:val="hybridMultilevel"/>
    <w:tmpl w:val="F3FE0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B0E1D40"/>
    <w:multiLevelType w:val="hybridMultilevel"/>
    <w:tmpl w:val="8F02E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EC82382"/>
    <w:multiLevelType w:val="hybridMultilevel"/>
    <w:tmpl w:val="CC90509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num w:numId="1">
    <w:abstractNumId w:val="14"/>
  </w:num>
  <w:num w:numId="2">
    <w:abstractNumId w:val="11"/>
  </w:num>
  <w:num w:numId="3">
    <w:abstractNumId w:val="17"/>
  </w:num>
  <w:num w:numId="4">
    <w:abstractNumId w:val="27"/>
  </w:num>
  <w:num w:numId="5">
    <w:abstractNumId w:val="21"/>
  </w:num>
  <w:num w:numId="6">
    <w:abstractNumId w:val="22"/>
  </w:num>
  <w:num w:numId="7">
    <w:abstractNumId w:val="13"/>
  </w:num>
  <w:num w:numId="8">
    <w:abstractNumId w:val="8"/>
  </w:num>
  <w:num w:numId="9">
    <w:abstractNumId w:val="26"/>
  </w:num>
  <w:num w:numId="10">
    <w:abstractNumId w:val="30"/>
  </w:num>
  <w:num w:numId="11">
    <w:abstractNumId w:val="25"/>
  </w:num>
  <w:num w:numId="12">
    <w:abstractNumId w:val="2"/>
  </w:num>
  <w:num w:numId="13">
    <w:abstractNumId w:val="20"/>
  </w:num>
  <w:num w:numId="14">
    <w:abstractNumId w:val="29"/>
  </w:num>
  <w:num w:numId="15">
    <w:abstractNumId w:val="33"/>
  </w:num>
  <w:num w:numId="16">
    <w:abstractNumId w:val="16"/>
  </w:num>
  <w:num w:numId="17">
    <w:abstractNumId w:val="7"/>
  </w:num>
  <w:num w:numId="18">
    <w:abstractNumId w:val="1"/>
  </w:num>
  <w:num w:numId="19">
    <w:abstractNumId w:val="10"/>
  </w:num>
  <w:num w:numId="20">
    <w:abstractNumId w:val="23"/>
  </w:num>
  <w:num w:numId="21">
    <w:abstractNumId w:val="31"/>
  </w:num>
  <w:num w:numId="22">
    <w:abstractNumId w:val="34"/>
  </w:num>
  <w:num w:numId="23">
    <w:abstractNumId w:val="0"/>
  </w:num>
  <w:num w:numId="24">
    <w:abstractNumId w:val="32"/>
  </w:num>
  <w:num w:numId="25">
    <w:abstractNumId w:val="9"/>
  </w:num>
  <w:num w:numId="26">
    <w:abstractNumId w:val="3"/>
  </w:num>
  <w:num w:numId="27">
    <w:abstractNumId w:val="3"/>
  </w:num>
  <w:num w:numId="28">
    <w:abstractNumId w:val="18"/>
  </w:num>
  <w:num w:numId="29">
    <w:abstractNumId w:val="15"/>
  </w:num>
  <w:num w:numId="30">
    <w:abstractNumId w:val="28"/>
  </w:num>
  <w:num w:numId="31">
    <w:abstractNumId w:val="35"/>
  </w:num>
  <w:num w:numId="32">
    <w:abstractNumId w:val="19"/>
  </w:num>
  <w:num w:numId="33">
    <w:abstractNumId w:val="12"/>
  </w:num>
  <w:num w:numId="34">
    <w:abstractNumId w:val="24"/>
  </w:num>
  <w:num w:numId="35">
    <w:abstractNumId w:val="5"/>
  </w:num>
  <w:num w:numId="36">
    <w:abstractNumId w:val="6"/>
  </w:num>
  <w:num w:numId="3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6E9DE8-D376-4731-92C6-63C6D7124BE8}"/>
    <w:docVar w:name="dgnword-eventsink" w:val="446208128"/>
    <w:docVar w:name="dgnword-lastRevisionsView" w:val="0"/>
  </w:docVars>
  <w:rsids>
    <w:rsidRoot w:val="00567949"/>
    <w:rsid w:val="00000B75"/>
    <w:rsid w:val="00000EDC"/>
    <w:rsid w:val="000015CA"/>
    <w:rsid w:val="00001680"/>
    <w:rsid w:val="000023A1"/>
    <w:rsid w:val="000025B5"/>
    <w:rsid w:val="00002675"/>
    <w:rsid w:val="00002945"/>
    <w:rsid w:val="00002B03"/>
    <w:rsid w:val="00002DAC"/>
    <w:rsid w:val="000031D4"/>
    <w:rsid w:val="00004199"/>
    <w:rsid w:val="00004E38"/>
    <w:rsid w:val="00005ACA"/>
    <w:rsid w:val="00010CE1"/>
    <w:rsid w:val="00011AB8"/>
    <w:rsid w:val="00013322"/>
    <w:rsid w:val="000138F5"/>
    <w:rsid w:val="00013D87"/>
    <w:rsid w:val="000145B3"/>
    <w:rsid w:val="0001528E"/>
    <w:rsid w:val="00015E7D"/>
    <w:rsid w:val="00016311"/>
    <w:rsid w:val="000163B6"/>
    <w:rsid w:val="000164F9"/>
    <w:rsid w:val="00017E2F"/>
    <w:rsid w:val="000215F2"/>
    <w:rsid w:val="0002253B"/>
    <w:rsid w:val="00022B43"/>
    <w:rsid w:val="00023CDA"/>
    <w:rsid w:val="00024A52"/>
    <w:rsid w:val="00025BDC"/>
    <w:rsid w:val="0002644F"/>
    <w:rsid w:val="0002661A"/>
    <w:rsid w:val="000269AF"/>
    <w:rsid w:val="00026BAE"/>
    <w:rsid w:val="00026CA5"/>
    <w:rsid w:val="00027174"/>
    <w:rsid w:val="00027D68"/>
    <w:rsid w:val="00030123"/>
    <w:rsid w:val="000302B6"/>
    <w:rsid w:val="00030873"/>
    <w:rsid w:val="00030E5E"/>
    <w:rsid w:val="00031197"/>
    <w:rsid w:val="00031E66"/>
    <w:rsid w:val="00032D70"/>
    <w:rsid w:val="000334B0"/>
    <w:rsid w:val="00033B69"/>
    <w:rsid w:val="00033E02"/>
    <w:rsid w:val="00034757"/>
    <w:rsid w:val="00034845"/>
    <w:rsid w:val="00034A5B"/>
    <w:rsid w:val="00034A8E"/>
    <w:rsid w:val="00037476"/>
    <w:rsid w:val="0003766F"/>
    <w:rsid w:val="00040332"/>
    <w:rsid w:val="000404B9"/>
    <w:rsid w:val="00043C6D"/>
    <w:rsid w:val="00043FEC"/>
    <w:rsid w:val="00044342"/>
    <w:rsid w:val="00044878"/>
    <w:rsid w:val="00044901"/>
    <w:rsid w:val="00044BF2"/>
    <w:rsid w:val="000451B7"/>
    <w:rsid w:val="000500E0"/>
    <w:rsid w:val="00050932"/>
    <w:rsid w:val="0005093E"/>
    <w:rsid w:val="00051709"/>
    <w:rsid w:val="0005355D"/>
    <w:rsid w:val="00053BF4"/>
    <w:rsid w:val="00055820"/>
    <w:rsid w:val="00056396"/>
    <w:rsid w:val="000568A1"/>
    <w:rsid w:val="00057530"/>
    <w:rsid w:val="000578E8"/>
    <w:rsid w:val="00057EEF"/>
    <w:rsid w:val="00057F21"/>
    <w:rsid w:val="00060A08"/>
    <w:rsid w:val="00060B9B"/>
    <w:rsid w:val="00060EA6"/>
    <w:rsid w:val="00061A9F"/>
    <w:rsid w:val="0006276B"/>
    <w:rsid w:val="00062ABA"/>
    <w:rsid w:val="00064506"/>
    <w:rsid w:val="000654B5"/>
    <w:rsid w:val="00067B6B"/>
    <w:rsid w:val="00067FC7"/>
    <w:rsid w:val="0007074B"/>
    <w:rsid w:val="00072308"/>
    <w:rsid w:val="0007306F"/>
    <w:rsid w:val="00073FF1"/>
    <w:rsid w:val="000752EA"/>
    <w:rsid w:val="0007596D"/>
    <w:rsid w:val="00076FC5"/>
    <w:rsid w:val="0008127E"/>
    <w:rsid w:val="000818B4"/>
    <w:rsid w:val="00082FE6"/>
    <w:rsid w:val="00083FB2"/>
    <w:rsid w:val="00084F13"/>
    <w:rsid w:val="00085748"/>
    <w:rsid w:val="0008583C"/>
    <w:rsid w:val="00085FE6"/>
    <w:rsid w:val="00086F67"/>
    <w:rsid w:val="00087204"/>
    <w:rsid w:val="000920B0"/>
    <w:rsid w:val="0009288C"/>
    <w:rsid w:val="00093E47"/>
    <w:rsid w:val="00095DEB"/>
    <w:rsid w:val="0009666C"/>
    <w:rsid w:val="00096D45"/>
    <w:rsid w:val="00097714"/>
    <w:rsid w:val="000A0572"/>
    <w:rsid w:val="000A1ECE"/>
    <w:rsid w:val="000A32C6"/>
    <w:rsid w:val="000A3F6F"/>
    <w:rsid w:val="000A4B4C"/>
    <w:rsid w:val="000A526A"/>
    <w:rsid w:val="000A52B3"/>
    <w:rsid w:val="000A5DF9"/>
    <w:rsid w:val="000A6EBB"/>
    <w:rsid w:val="000B11BD"/>
    <w:rsid w:val="000B1AAC"/>
    <w:rsid w:val="000B3DF2"/>
    <w:rsid w:val="000B4993"/>
    <w:rsid w:val="000C0E9F"/>
    <w:rsid w:val="000C32B1"/>
    <w:rsid w:val="000C4DB2"/>
    <w:rsid w:val="000C5D90"/>
    <w:rsid w:val="000C5F96"/>
    <w:rsid w:val="000D03B7"/>
    <w:rsid w:val="000D2407"/>
    <w:rsid w:val="000D60FF"/>
    <w:rsid w:val="000D6B59"/>
    <w:rsid w:val="000D7206"/>
    <w:rsid w:val="000D75A0"/>
    <w:rsid w:val="000D768A"/>
    <w:rsid w:val="000D7E48"/>
    <w:rsid w:val="000E0B51"/>
    <w:rsid w:val="000E1DFB"/>
    <w:rsid w:val="000E247B"/>
    <w:rsid w:val="000E53AF"/>
    <w:rsid w:val="000E5A74"/>
    <w:rsid w:val="000E5CD1"/>
    <w:rsid w:val="000E7F72"/>
    <w:rsid w:val="000F0BA9"/>
    <w:rsid w:val="000F0DAA"/>
    <w:rsid w:val="000F17EB"/>
    <w:rsid w:val="000F227C"/>
    <w:rsid w:val="000F2ED5"/>
    <w:rsid w:val="000F3BF6"/>
    <w:rsid w:val="000F3C1D"/>
    <w:rsid w:val="000F60FE"/>
    <w:rsid w:val="00100420"/>
    <w:rsid w:val="0010053A"/>
    <w:rsid w:val="00100800"/>
    <w:rsid w:val="001016A6"/>
    <w:rsid w:val="001018FF"/>
    <w:rsid w:val="00101A71"/>
    <w:rsid w:val="00101D84"/>
    <w:rsid w:val="00102E10"/>
    <w:rsid w:val="0010321B"/>
    <w:rsid w:val="00103F8C"/>
    <w:rsid w:val="00110800"/>
    <w:rsid w:val="001123C1"/>
    <w:rsid w:val="00112434"/>
    <w:rsid w:val="00112AD4"/>
    <w:rsid w:val="00112FED"/>
    <w:rsid w:val="00113D47"/>
    <w:rsid w:val="00113FA8"/>
    <w:rsid w:val="0011431E"/>
    <w:rsid w:val="00116A7C"/>
    <w:rsid w:val="0011751C"/>
    <w:rsid w:val="00117E3A"/>
    <w:rsid w:val="00120B9D"/>
    <w:rsid w:val="00120D6C"/>
    <w:rsid w:val="00120FA7"/>
    <w:rsid w:val="00121A52"/>
    <w:rsid w:val="00121D16"/>
    <w:rsid w:val="001235D7"/>
    <w:rsid w:val="00125393"/>
    <w:rsid w:val="0012540A"/>
    <w:rsid w:val="001255DD"/>
    <w:rsid w:val="00130573"/>
    <w:rsid w:val="0013084A"/>
    <w:rsid w:val="001309BE"/>
    <w:rsid w:val="001309D5"/>
    <w:rsid w:val="0013198C"/>
    <w:rsid w:val="00132624"/>
    <w:rsid w:val="001349FA"/>
    <w:rsid w:val="00136C55"/>
    <w:rsid w:val="001374C4"/>
    <w:rsid w:val="00137E92"/>
    <w:rsid w:val="001432A6"/>
    <w:rsid w:val="00145CB1"/>
    <w:rsid w:val="00146AA7"/>
    <w:rsid w:val="00147507"/>
    <w:rsid w:val="001506B0"/>
    <w:rsid w:val="00150AE1"/>
    <w:rsid w:val="00150C8A"/>
    <w:rsid w:val="00151909"/>
    <w:rsid w:val="00152FBA"/>
    <w:rsid w:val="001530DA"/>
    <w:rsid w:val="00153BD4"/>
    <w:rsid w:val="001543A4"/>
    <w:rsid w:val="00154A53"/>
    <w:rsid w:val="001556D5"/>
    <w:rsid w:val="001570FB"/>
    <w:rsid w:val="00157572"/>
    <w:rsid w:val="001578F5"/>
    <w:rsid w:val="00157E08"/>
    <w:rsid w:val="00160B35"/>
    <w:rsid w:val="00162FC7"/>
    <w:rsid w:val="00162FD1"/>
    <w:rsid w:val="00163232"/>
    <w:rsid w:val="001638D6"/>
    <w:rsid w:val="0016399F"/>
    <w:rsid w:val="0016459E"/>
    <w:rsid w:val="001655D4"/>
    <w:rsid w:val="00166E67"/>
    <w:rsid w:val="00167A73"/>
    <w:rsid w:val="00167C27"/>
    <w:rsid w:val="0017008D"/>
    <w:rsid w:val="001712FA"/>
    <w:rsid w:val="0017185E"/>
    <w:rsid w:val="00171B07"/>
    <w:rsid w:val="0017396F"/>
    <w:rsid w:val="0017435D"/>
    <w:rsid w:val="00174823"/>
    <w:rsid w:val="001754D3"/>
    <w:rsid w:val="001755AE"/>
    <w:rsid w:val="001756F8"/>
    <w:rsid w:val="00176D03"/>
    <w:rsid w:val="001802CE"/>
    <w:rsid w:val="00180BF7"/>
    <w:rsid w:val="00182822"/>
    <w:rsid w:val="001843A6"/>
    <w:rsid w:val="0018464F"/>
    <w:rsid w:val="00184EE8"/>
    <w:rsid w:val="00185AE4"/>
    <w:rsid w:val="00185CFC"/>
    <w:rsid w:val="001909D7"/>
    <w:rsid w:val="00190F1C"/>
    <w:rsid w:val="001917A0"/>
    <w:rsid w:val="001948E6"/>
    <w:rsid w:val="00194B7A"/>
    <w:rsid w:val="00195931"/>
    <w:rsid w:val="00195F18"/>
    <w:rsid w:val="001962A0"/>
    <w:rsid w:val="00197080"/>
    <w:rsid w:val="00197222"/>
    <w:rsid w:val="001972AF"/>
    <w:rsid w:val="00197782"/>
    <w:rsid w:val="001977BA"/>
    <w:rsid w:val="00197B33"/>
    <w:rsid w:val="00197F54"/>
    <w:rsid w:val="001A1261"/>
    <w:rsid w:val="001A16C7"/>
    <w:rsid w:val="001A203F"/>
    <w:rsid w:val="001A21EF"/>
    <w:rsid w:val="001A2C7C"/>
    <w:rsid w:val="001A30A3"/>
    <w:rsid w:val="001A3ED1"/>
    <w:rsid w:val="001A503A"/>
    <w:rsid w:val="001A50EC"/>
    <w:rsid w:val="001A5E8B"/>
    <w:rsid w:val="001A5F60"/>
    <w:rsid w:val="001A7F00"/>
    <w:rsid w:val="001B19A5"/>
    <w:rsid w:val="001B1E3E"/>
    <w:rsid w:val="001B1E73"/>
    <w:rsid w:val="001B2A22"/>
    <w:rsid w:val="001B392A"/>
    <w:rsid w:val="001B3DBE"/>
    <w:rsid w:val="001B4915"/>
    <w:rsid w:val="001B647D"/>
    <w:rsid w:val="001B6561"/>
    <w:rsid w:val="001B7DD6"/>
    <w:rsid w:val="001C0323"/>
    <w:rsid w:val="001C0A83"/>
    <w:rsid w:val="001C1365"/>
    <w:rsid w:val="001C13C8"/>
    <w:rsid w:val="001C2C36"/>
    <w:rsid w:val="001C3C40"/>
    <w:rsid w:val="001C6BBB"/>
    <w:rsid w:val="001D05A2"/>
    <w:rsid w:val="001D1031"/>
    <w:rsid w:val="001D1114"/>
    <w:rsid w:val="001D13D6"/>
    <w:rsid w:val="001D30C9"/>
    <w:rsid w:val="001D545E"/>
    <w:rsid w:val="001D6372"/>
    <w:rsid w:val="001D7FA6"/>
    <w:rsid w:val="001E028F"/>
    <w:rsid w:val="001E03F6"/>
    <w:rsid w:val="001E0FEF"/>
    <w:rsid w:val="001E2262"/>
    <w:rsid w:val="001E28E4"/>
    <w:rsid w:val="001E3689"/>
    <w:rsid w:val="001E3699"/>
    <w:rsid w:val="001E3BAD"/>
    <w:rsid w:val="001E3D2C"/>
    <w:rsid w:val="001E3E60"/>
    <w:rsid w:val="001E531B"/>
    <w:rsid w:val="001E536E"/>
    <w:rsid w:val="001E5B7A"/>
    <w:rsid w:val="001E5F1E"/>
    <w:rsid w:val="001E6BBE"/>
    <w:rsid w:val="001E724D"/>
    <w:rsid w:val="001E7801"/>
    <w:rsid w:val="001E7C62"/>
    <w:rsid w:val="001F0930"/>
    <w:rsid w:val="001F10F2"/>
    <w:rsid w:val="001F2D34"/>
    <w:rsid w:val="001F3686"/>
    <w:rsid w:val="001F43D0"/>
    <w:rsid w:val="001F4D94"/>
    <w:rsid w:val="001F53CB"/>
    <w:rsid w:val="001F56C7"/>
    <w:rsid w:val="001F7DE7"/>
    <w:rsid w:val="001F7FEA"/>
    <w:rsid w:val="00200263"/>
    <w:rsid w:val="0020051B"/>
    <w:rsid w:val="00202FB8"/>
    <w:rsid w:val="002030C1"/>
    <w:rsid w:val="0020377A"/>
    <w:rsid w:val="0020480E"/>
    <w:rsid w:val="00206713"/>
    <w:rsid w:val="00206B75"/>
    <w:rsid w:val="00207A7D"/>
    <w:rsid w:val="00207E0E"/>
    <w:rsid w:val="002101F3"/>
    <w:rsid w:val="00210D2B"/>
    <w:rsid w:val="00211290"/>
    <w:rsid w:val="002112C3"/>
    <w:rsid w:val="002158F8"/>
    <w:rsid w:val="00215CF8"/>
    <w:rsid w:val="00217486"/>
    <w:rsid w:val="00221020"/>
    <w:rsid w:val="00221D63"/>
    <w:rsid w:val="0022250B"/>
    <w:rsid w:val="00222576"/>
    <w:rsid w:val="002233D3"/>
    <w:rsid w:val="00223EA8"/>
    <w:rsid w:val="002243E5"/>
    <w:rsid w:val="00225891"/>
    <w:rsid w:val="00225959"/>
    <w:rsid w:val="00225E5A"/>
    <w:rsid w:val="00226DF5"/>
    <w:rsid w:val="00226F49"/>
    <w:rsid w:val="00230186"/>
    <w:rsid w:val="002303E7"/>
    <w:rsid w:val="00230AA4"/>
    <w:rsid w:val="00232B7B"/>
    <w:rsid w:val="0023331D"/>
    <w:rsid w:val="00234885"/>
    <w:rsid w:val="00235191"/>
    <w:rsid w:val="002359F0"/>
    <w:rsid w:val="00235EFE"/>
    <w:rsid w:val="002407C5"/>
    <w:rsid w:val="00240CE0"/>
    <w:rsid w:val="00242814"/>
    <w:rsid w:val="002437B9"/>
    <w:rsid w:val="00243F96"/>
    <w:rsid w:val="0024409B"/>
    <w:rsid w:val="0024435C"/>
    <w:rsid w:val="00245982"/>
    <w:rsid w:val="00245BF0"/>
    <w:rsid w:val="00245C2E"/>
    <w:rsid w:val="0024649C"/>
    <w:rsid w:val="0024659E"/>
    <w:rsid w:val="00246A61"/>
    <w:rsid w:val="00246A76"/>
    <w:rsid w:val="002504F4"/>
    <w:rsid w:val="00250B0E"/>
    <w:rsid w:val="00250EC3"/>
    <w:rsid w:val="002511A0"/>
    <w:rsid w:val="0025295F"/>
    <w:rsid w:val="00252B72"/>
    <w:rsid w:val="002533AD"/>
    <w:rsid w:val="002544E0"/>
    <w:rsid w:val="00255820"/>
    <w:rsid w:val="00256BB0"/>
    <w:rsid w:val="00262918"/>
    <w:rsid w:val="00263731"/>
    <w:rsid w:val="00267260"/>
    <w:rsid w:val="0027169B"/>
    <w:rsid w:val="00273334"/>
    <w:rsid w:val="00273712"/>
    <w:rsid w:val="00274905"/>
    <w:rsid w:val="00274E61"/>
    <w:rsid w:val="00276037"/>
    <w:rsid w:val="00276DD8"/>
    <w:rsid w:val="0027774A"/>
    <w:rsid w:val="00277F32"/>
    <w:rsid w:val="0028014D"/>
    <w:rsid w:val="00280718"/>
    <w:rsid w:val="00280CD6"/>
    <w:rsid w:val="00281A34"/>
    <w:rsid w:val="00282941"/>
    <w:rsid w:val="00282AAB"/>
    <w:rsid w:val="002833D3"/>
    <w:rsid w:val="00283989"/>
    <w:rsid w:val="00284A9A"/>
    <w:rsid w:val="002860C4"/>
    <w:rsid w:val="002863B1"/>
    <w:rsid w:val="00286B02"/>
    <w:rsid w:val="00286D39"/>
    <w:rsid w:val="00287942"/>
    <w:rsid w:val="00291245"/>
    <w:rsid w:val="0029240A"/>
    <w:rsid w:val="0029258D"/>
    <w:rsid w:val="002932AE"/>
    <w:rsid w:val="002933B2"/>
    <w:rsid w:val="00294D2F"/>
    <w:rsid w:val="00295AA8"/>
    <w:rsid w:val="00295DA7"/>
    <w:rsid w:val="0029732C"/>
    <w:rsid w:val="002A081A"/>
    <w:rsid w:val="002A0AF4"/>
    <w:rsid w:val="002A0B93"/>
    <w:rsid w:val="002A1873"/>
    <w:rsid w:val="002A1D7D"/>
    <w:rsid w:val="002A2945"/>
    <w:rsid w:val="002A402E"/>
    <w:rsid w:val="002A426B"/>
    <w:rsid w:val="002A439C"/>
    <w:rsid w:val="002A49A7"/>
    <w:rsid w:val="002A61AE"/>
    <w:rsid w:val="002A6426"/>
    <w:rsid w:val="002A67F3"/>
    <w:rsid w:val="002A6FEB"/>
    <w:rsid w:val="002B1F10"/>
    <w:rsid w:val="002B2AAA"/>
    <w:rsid w:val="002B59AC"/>
    <w:rsid w:val="002B6BFD"/>
    <w:rsid w:val="002B6FCA"/>
    <w:rsid w:val="002B7269"/>
    <w:rsid w:val="002B7CC1"/>
    <w:rsid w:val="002B7EAE"/>
    <w:rsid w:val="002C1956"/>
    <w:rsid w:val="002C1CAB"/>
    <w:rsid w:val="002C2127"/>
    <w:rsid w:val="002C22E1"/>
    <w:rsid w:val="002C3FFC"/>
    <w:rsid w:val="002C4810"/>
    <w:rsid w:val="002C4D0C"/>
    <w:rsid w:val="002C536A"/>
    <w:rsid w:val="002C6318"/>
    <w:rsid w:val="002C74B5"/>
    <w:rsid w:val="002C7723"/>
    <w:rsid w:val="002D0BE4"/>
    <w:rsid w:val="002D0C14"/>
    <w:rsid w:val="002D0C67"/>
    <w:rsid w:val="002D1B2E"/>
    <w:rsid w:val="002D1FC7"/>
    <w:rsid w:val="002D3A9F"/>
    <w:rsid w:val="002D4276"/>
    <w:rsid w:val="002D5AEF"/>
    <w:rsid w:val="002D72A6"/>
    <w:rsid w:val="002E0680"/>
    <w:rsid w:val="002E171A"/>
    <w:rsid w:val="002E2D4E"/>
    <w:rsid w:val="002E5BD3"/>
    <w:rsid w:val="002E5C24"/>
    <w:rsid w:val="002E60DD"/>
    <w:rsid w:val="002E7000"/>
    <w:rsid w:val="002F0421"/>
    <w:rsid w:val="002F1CBB"/>
    <w:rsid w:val="002F31D2"/>
    <w:rsid w:val="002F5967"/>
    <w:rsid w:val="002F642C"/>
    <w:rsid w:val="002F79F3"/>
    <w:rsid w:val="002F7D07"/>
    <w:rsid w:val="002F7F47"/>
    <w:rsid w:val="00300C05"/>
    <w:rsid w:val="0030336C"/>
    <w:rsid w:val="00303E34"/>
    <w:rsid w:val="00305087"/>
    <w:rsid w:val="00305878"/>
    <w:rsid w:val="00305EA4"/>
    <w:rsid w:val="003060BE"/>
    <w:rsid w:val="00306327"/>
    <w:rsid w:val="003065AE"/>
    <w:rsid w:val="00307DCA"/>
    <w:rsid w:val="00311065"/>
    <w:rsid w:val="0031368B"/>
    <w:rsid w:val="00313FBE"/>
    <w:rsid w:val="00314048"/>
    <w:rsid w:val="00315C18"/>
    <w:rsid w:val="00315D65"/>
    <w:rsid w:val="00316774"/>
    <w:rsid w:val="0031724E"/>
    <w:rsid w:val="00320B88"/>
    <w:rsid w:val="00321322"/>
    <w:rsid w:val="00321883"/>
    <w:rsid w:val="00323EC0"/>
    <w:rsid w:val="00324609"/>
    <w:rsid w:val="0032592C"/>
    <w:rsid w:val="00325EA5"/>
    <w:rsid w:val="00331C6F"/>
    <w:rsid w:val="00331E1B"/>
    <w:rsid w:val="00332CC8"/>
    <w:rsid w:val="00333424"/>
    <w:rsid w:val="00333A70"/>
    <w:rsid w:val="00333B26"/>
    <w:rsid w:val="00333D93"/>
    <w:rsid w:val="0033409E"/>
    <w:rsid w:val="00334738"/>
    <w:rsid w:val="00334A57"/>
    <w:rsid w:val="003365C4"/>
    <w:rsid w:val="00336B2D"/>
    <w:rsid w:val="00336C49"/>
    <w:rsid w:val="0033773F"/>
    <w:rsid w:val="00337A83"/>
    <w:rsid w:val="00341385"/>
    <w:rsid w:val="00342EA0"/>
    <w:rsid w:val="00342ED8"/>
    <w:rsid w:val="00344043"/>
    <w:rsid w:val="00344077"/>
    <w:rsid w:val="003444EA"/>
    <w:rsid w:val="00344AFB"/>
    <w:rsid w:val="00346681"/>
    <w:rsid w:val="00347AA5"/>
    <w:rsid w:val="00347AAD"/>
    <w:rsid w:val="00347E26"/>
    <w:rsid w:val="0035005E"/>
    <w:rsid w:val="00350762"/>
    <w:rsid w:val="0035095E"/>
    <w:rsid w:val="00351CAA"/>
    <w:rsid w:val="00352828"/>
    <w:rsid w:val="00352FD7"/>
    <w:rsid w:val="0035378F"/>
    <w:rsid w:val="00353987"/>
    <w:rsid w:val="003539F3"/>
    <w:rsid w:val="00353C9F"/>
    <w:rsid w:val="00354F55"/>
    <w:rsid w:val="0035546D"/>
    <w:rsid w:val="00355BF2"/>
    <w:rsid w:val="00356109"/>
    <w:rsid w:val="003564FC"/>
    <w:rsid w:val="00356825"/>
    <w:rsid w:val="00360FA1"/>
    <w:rsid w:val="003615B0"/>
    <w:rsid w:val="0036160E"/>
    <w:rsid w:val="00362BEA"/>
    <w:rsid w:val="00364792"/>
    <w:rsid w:val="00366708"/>
    <w:rsid w:val="00366C1C"/>
    <w:rsid w:val="00367362"/>
    <w:rsid w:val="003701F4"/>
    <w:rsid w:val="0037069F"/>
    <w:rsid w:val="00372D21"/>
    <w:rsid w:val="00372F05"/>
    <w:rsid w:val="00373DC8"/>
    <w:rsid w:val="0038083D"/>
    <w:rsid w:val="0038084A"/>
    <w:rsid w:val="00382E8B"/>
    <w:rsid w:val="003832D4"/>
    <w:rsid w:val="00385283"/>
    <w:rsid w:val="00385724"/>
    <w:rsid w:val="00385F5F"/>
    <w:rsid w:val="00385FF7"/>
    <w:rsid w:val="00386C02"/>
    <w:rsid w:val="00386F50"/>
    <w:rsid w:val="00386FE9"/>
    <w:rsid w:val="00390B10"/>
    <w:rsid w:val="003939C8"/>
    <w:rsid w:val="0039620A"/>
    <w:rsid w:val="003962A0"/>
    <w:rsid w:val="00396348"/>
    <w:rsid w:val="003966B5"/>
    <w:rsid w:val="003A0D17"/>
    <w:rsid w:val="003A0DEA"/>
    <w:rsid w:val="003A1735"/>
    <w:rsid w:val="003A3B17"/>
    <w:rsid w:val="003A3C15"/>
    <w:rsid w:val="003A3E4F"/>
    <w:rsid w:val="003A4EE4"/>
    <w:rsid w:val="003A5623"/>
    <w:rsid w:val="003A6BDE"/>
    <w:rsid w:val="003A748E"/>
    <w:rsid w:val="003A7BED"/>
    <w:rsid w:val="003B0392"/>
    <w:rsid w:val="003B0AAA"/>
    <w:rsid w:val="003B2232"/>
    <w:rsid w:val="003B54D3"/>
    <w:rsid w:val="003B6DA1"/>
    <w:rsid w:val="003C07F3"/>
    <w:rsid w:val="003C08AF"/>
    <w:rsid w:val="003C1594"/>
    <w:rsid w:val="003C394C"/>
    <w:rsid w:val="003C6997"/>
    <w:rsid w:val="003C6CB7"/>
    <w:rsid w:val="003C7EB1"/>
    <w:rsid w:val="003D0652"/>
    <w:rsid w:val="003D1F68"/>
    <w:rsid w:val="003D25ED"/>
    <w:rsid w:val="003D2EF4"/>
    <w:rsid w:val="003D4B9D"/>
    <w:rsid w:val="003D6309"/>
    <w:rsid w:val="003D6B22"/>
    <w:rsid w:val="003D718D"/>
    <w:rsid w:val="003E1AD3"/>
    <w:rsid w:val="003E2CF6"/>
    <w:rsid w:val="003E3FC9"/>
    <w:rsid w:val="003E5F47"/>
    <w:rsid w:val="003E7479"/>
    <w:rsid w:val="003E771B"/>
    <w:rsid w:val="003F10E9"/>
    <w:rsid w:val="003F12C7"/>
    <w:rsid w:val="003F224B"/>
    <w:rsid w:val="003F273C"/>
    <w:rsid w:val="003F3191"/>
    <w:rsid w:val="003F3E6F"/>
    <w:rsid w:val="003F55D2"/>
    <w:rsid w:val="003F6AB5"/>
    <w:rsid w:val="003F6E9A"/>
    <w:rsid w:val="003F7D0C"/>
    <w:rsid w:val="00401497"/>
    <w:rsid w:val="00403B1F"/>
    <w:rsid w:val="00405EF3"/>
    <w:rsid w:val="004113A2"/>
    <w:rsid w:val="00411C3C"/>
    <w:rsid w:val="00412523"/>
    <w:rsid w:val="00412F54"/>
    <w:rsid w:val="004135D6"/>
    <w:rsid w:val="004144AB"/>
    <w:rsid w:val="004147A0"/>
    <w:rsid w:val="00414F7A"/>
    <w:rsid w:val="00415173"/>
    <w:rsid w:val="00415C04"/>
    <w:rsid w:val="00416B36"/>
    <w:rsid w:val="00420C2A"/>
    <w:rsid w:val="0042107E"/>
    <w:rsid w:val="00424C5A"/>
    <w:rsid w:val="00425A09"/>
    <w:rsid w:val="00426A0E"/>
    <w:rsid w:val="00430038"/>
    <w:rsid w:val="004300C4"/>
    <w:rsid w:val="0043017F"/>
    <w:rsid w:val="00431BA5"/>
    <w:rsid w:val="00434C1C"/>
    <w:rsid w:val="0043548E"/>
    <w:rsid w:val="0043614B"/>
    <w:rsid w:val="004377A8"/>
    <w:rsid w:val="0043788B"/>
    <w:rsid w:val="004418A2"/>
    <w:rsid w:val="00441D2E"/>
    <w:rsid w:val="004424AF"/>
    <w:rsid w:val="0044286B"/>
    <w:rsid w:val="00443DFB"/>
    <w:rsid w:val="00444A0D"/>
    <w:rsid w:val="004458F7"/>
    <w:rsid w:val="0044594C"/>
    <w:rsid w:val="00447659"/>
    <w:rsid w:val="00447968"/>
    <w:rsid w:val="0045069E"/>
    <w:rsid w:val="00450D60"/>
    <w:rsid w:val="00454150"/>
    <w:rsid w:val="004555EB"/>
    <w:rsid w:val="00456606"/>
    <w:rsid w:val="00456A5B"/>
    <w:rsid w:val="00456DF9"/>
    <w:rsid w:val="00457A66"/>
    <w:rsid w:val="00460291"/>
    <w:rsid w:val="00460EE5"/>
    <w:rsid w:val="00461366"/>
    <w:rsid w:val="00463BF7"/>
    <w:rsid w:val="0046531B"/>
    <w:rsid w:val="00467A85"/>
    <w:rsid w:val="00470536"/>
    <w:rsid w:val="00470A4E"/>
    <w:rsid w:val="00471133"/>
    <w:rsid w:val="00471CAA"/>
    <w:rsid w:val="00472696"/>
    <w:rsid w:val="00475E79"/>
    <w:rsid w:val="00477B41"/>
    <w:rsid w:val="00480268"/>
    <w:rsid w:val="00480B03"/>
    <w:rsid w:val="00481970"/>
    <w:rsid w:val="004848DC"/>
    <w:rsid w:val="0048685B"/>
    <w:rsid w:val="00486E4F"/>
    <w:rsid w:val="00486FCD"/>
    <w:rsid w:val="004879E3"/>
    <w:rsid w:val="00487EDA"/>
    <w:rsid w:val="00490AFE"/>
    <w:rsid w:val="00491891"/>
    <w:rsid w:val="00492645"/>
    <w:rsid w:val="00494CB9"/>
    <w:rsid w:val="00494E53"/>
    <w:rsid w:val="00496146"/>
    <w:rsid w:val="00496A6C"/>
    <w:rsid w:val="00496BEF"/>
    <w:rsid w:val="00496C71"/>
    <w:rsid w:val="00496CEC"/>
    <w:rsid w:val="00496DC4"/>
    <w:rsid w:val="00496E45"/>
    <w:rsid w:val="00497102"/>
    <w:rsid w:val="004A59E1"/>
    <w:rsid w:val="004A59E5"/>
    <w:rsid w:val="004A5B5E"/>
    <w:rsid w:val="004A6AA3"/>
    <w:rsid w:val="004A6B07"/>
    <w:rsid w:val="004A6ED6"/>
    <w:rsid w:val="004A70F7"/>
    <w:rsid w:val="004B0F25"/>
    <w:rsid w:val="004B3417"/>
    <w:rsid w:val="004B4492"/>
    <w:rsid w:val="004B460F"/>
    <w:rsid w:val="004B4654"/>
    <w:rsid w:val="004B4742"/>
    <w:rsid w:val="004B477E"/>
    <w:rsid w:val="004B6185"/>
    <w:rsid w:val="004B7503"/>
    <w:rsid w:val="004C018B"/>
    <w:rsid w:val="004C03C5"/>
    <w:rsid w:val="004C2B59"/>
    <w:rsid w:val="004C36B0"/>
    <w:rsid w:val="004C3854"/>
    <w:rsid w:val="004C4260"/>
    <w:rsid w:val="004C439E"/>
    <w:rsid w:val="004C5C94"/>
    <w:rsid w:val="004C66AD"/>
    <w:rsid w:val="004C79A0"/>
    <w:rsid w:val="004C7DF1"/>
    <w:rsid w:val="004D0089"/>
    <w:rsid w:val="004D15EE"/>
    <w:rsid w:val="004D1CF7"/>
    <w:rsid w:val="004D23FA"/>
    <w:rsid w:val="004D3DC5"/>
    <w:rsid w:val="004D42F7"/>
    <w:rsid w:val="004D45E7"/>
    <w:rsid w:val="004D5904"/>
    <w:rsid w:val="004D5970"/>
    <w:rsid w:val="004E0747"/>
    <w:rsid w:val="004E0E05"/>
    <w:rsid w:val="004E141D"/>
    <w:rsid w:val="004E1E7C"/>
    <w:rsid w:val="004E2E7B"/>
    <w:rsid w:val="004E34A2"/>
    <w:rsid w:val="004E46B6"/>
    <w:rsid w:val="004E5E29"/>
    <w:rsid w:val="004E6A6D"/>
    <w:rsid w:val="004E6CF8"/>
    <w:rsid w:val="004E77E6"/>
    <w:rsid w:val="004F03A7"/>
    <w:rsid w:val="004F1027"/>
    <w:rsid w:val="004F1075"/>
    <w:rsid w:val="004F145F"/>
    <w:rsid w:val="004F1EA5"/>
    <w:rsid w:val="004F2327"/>
    <w:rsid w:val="004F307A"/>
    <w:rsid w:val="004F3F8D"/>
    <w:rsid w:val="004F49AB"/>
    <w:rsid w:val="004F6140"/>
    <w:rsid w:val="004F6185"/>
    <w:rsid w:val="005026ED"/>
    <w:rsid w:val="00505128"/>
    <w:rsid w:val="00505373"/>
    <w:rsid w:val="00505463"/>
    <w:rsid w:val="00507ECF"/>
    <w:rsid w:val="005108B0"/>
    <w:rsid w:val="00511763"/>
    <w:rsid w:val="00512DEF"/>
    <w:rsid w:val="00514677"/>
    <w:rsid w:val="00516F87"/>
    <w:rsid w:val="00517D10"/>
    <w:rsid w:val="0052095D"/>
    <w:rsid w:val="00523C40"/>
    <w:rsid w:val="005241CA"/>
    <w:rsid w:val="00524783"/>
    <w:rsid w:val="00527217"/>
    <w:rsid w:val="005318AA"/>
    <w:rsid w:val="0053465F"/>
    <w:rsid w:val="00535089"/>
    <w:rsid w:val="0053534C"/>
    <w:rsid w:val="00535B86"/>
    <w:rsid w:val="005364DA"/>
    <w:rsid w:val="0053673D"/>
    <w:rsid w:val="00540184"/>
    <w:rsid w:val="0054087C"/>
    <w:rsid w:val="00540FFF"/>
    <w:rsid w:val="005415B4"/>
    <w:rsid w:val="005417B3"/>
    <w:rsid w:val="00541A27"/>
    <w:rsid w:val="00542065"/>
    <w:rsid w:val="00542250"/>
    <w:rsid w:val="00543C15"/>
    <w:rsid w:val="0054498A"/>
    <w:rsid w:val="00544BA4"/>
    <w:rsid w:val="005455EC"/>
    <w:rsid w:val="00545672"/>
    <w:rsid w:val="00545E9F"/>
    <w:rsid w:val="005477F4"/>
    <w:rsid w:val="00550783"/>
    <w:rsid w:val="00552977"/>
    <w:rsid w:val="00552CDE"/>
    <w:rsid w:val="005539E2"/>
    <w:rsid w:val="00554689"/>
    <w:rsid w:val="00554793"/>
    <w:rsid w:val="00554DB9"/>
    <w:rsid w:val="005557D7"/>
    <w:rsid w:val="005575FE"/>
    <w:rsid w:val="005604DD"/>
    <w:rsid w:val="005617C7"/>
    <w:rsid w:val="0056230B"/>
    <w:rsid w:val="0056546E"/>
    <w:rsid w:val="00566BE4"/>
    <w:rsid w:val="005675BB"/>
    <w:rsid w:val="0056773F"/>
    <w:rsid w:val="00567949"/>
    <w:rsid w:val="0056795C"/>
    <w:rsid w:val="00567A41"/>
    <w:rsid w:val="005703D0"/>
    <w:rsid w:val="005706C0"/>
    <w:rsid w:val="00570A1F"/>
    <w:rsid w:val="005712F4"/>
    <w:rsid w:val="00573EBF"/>
    <w:rsid w:val="00574EEB"/>
    <w:rsid w:val="00575D6A"/>
    <w:rsid w:val="00576068"/>
    <w:rsid w:val="00576636"/>
    <w:rsid w:val="00576BD0"/>
    <w:rsid w:val="0057758E"/>
    <w:rsid w:val="005810A0"/>
    <w:rsid w:val="00581377"/>
    <w:rsid w:val="005814C3"/>
    <w:rsid w:val="005818EC"/>
    <w:rsid w:val="0058226F"/>
    <w:rsid w:val="00584142"/>
    <w:rsid w:val="00584E9F"/>
    <w:rsid w:val="0058648D"/>
    <w:rsid w:val="00586F46"/>
    <w:rsid w:val="00587373"/>
    <w:rsid w:val="005903BC"/>
    <w:rsid w:val="00590BF9"/>
    <w:rsid w:val="00590FED"/>
    <w:rsid w:val="0059249F"/>
    <w:rsid w:val="005941E3"/>
    <w:rsid w:val="00595354"/>
    <w:rsid w:val="00595E0F"/>
    <w:rsid w:val="00596FE5"/>
    <w:rsid w:val="00597F1A"/>
    <w:rsid w:val="005A1AC7"/>
    <w:rsid w:val="005A29E6"/>
    <w:rsid w:val="005A352A"/>
    <w:rsid w:val="005A3B11"/>
    <w:rsid w:val="005A4355"/>
    <w:rsid w:val="005A4F6F"/>
    <w:rsid w:val="005A6823"/>
    <w:rsid w:val="005A75B1"/>
    <w:rsid w:val="005B2300"/>
    <w:rsid w:val="005B390E"/>
    <w:rsid w:val="005B3C7F"/>
    <w:rsid w:val="005B4133"/>
    <w:rsid w:val="005B50D3"/>
    <w:rsid w:val="005B51C9"/>
    <w:rsid w:val="005B5AE9"/>
    <w:rsid w:val="005B5E60"/>
    <w:rsid w:val="005B6626"/>
    <w:rsid w:val="005B7412"/>
    <w:rsid w:val="005B75D3"/>
    <w:rsid w:val="005B7DEF"/>
    <w:rsid w:val="005C1F8A"/>
    <w:rsid w:val="005C22B9"/>
    <w:rsid w:val="005C4A1E"/>
    <w:rsid w:val="005C62A0"/>
    <w:rsid w:val="005C6718"/>
    <w:rsid w:val="005D264C"/>
    <w:rsid w:val="005D36B5"/>
    <w:rsid w:val="005D6B46"/>
    <w:rsid w:val="005D737B"/>
    <w:rsid w:val="005D76C5"/>
    <w:rsid w:val="005D7C5C"/>
    <w:rsid w:val="005E13BE"/>
    <w:rsid w:val="005E1F42"/>
    <w:rsid w:val="005E1F50"/>
    <w:rsid w:val="005E1F82"/>
    <w:rsid w:val="005E30EE"/>
    <w:rsid w:val="005E3FE5"/>
    <w:rsid w:val="005E41DD"/>
    <w:rsid w:val="005E4A11"/>
    <w:rsid w:val="005E56EF"/>
    <w:rsid w:val="005E5773"/>
    <w:rsid w:val="005E68D0"/>
    <w:rsid w:val="005E7ADC"/>
    <w:rsid w:val="005F0606"/>
    <w:rsid w:val="005F2352"/>
    <w:rsid w:val="005F246F"/>
    <w:rsid w:val="005F340A"/>
    <w:rsid w:val="005F3832"/>
    <w:rsid w:val="005F3DEA"/>
    <w:rsid w:val="005F3DF9"/>
    <w:rsid w:val="005F42D2"/>
    <w:rsid w:val="005F457C"/>
    <w:rsid w:val="005F4BA1"/>
    <w:rsid w:val="005F4D5B"/>
    <w:rsid w:val="005F50D6"/>
    <w:rsid w:val="005F52AB"/>
    <w:rsid w:val="005F5AC5"/>
    <w:rsid w:val="005F70B8"/>
    <w:rsid w:val="005F7C0F"/>
    <w:rsid w:val="00600B5F"/>
    <w:rsid w:val="006013E7"/>
    <w:rsid w:val="00601495"/>
    <w:rsid w:val="006028A1"/>
    <w:rsid w:val="006030F2"/>
    <w:rsid w:val="00603797"/>
    <w:rsid w:val="00603B28"/>
    <w:rsid w:val="0060409E"/>
    <w:rsid w:val="00606373"/>
    <w:rsid w:val="006063EB"/>
    <w:rsid w:val="00606540"/>
    <w:rsid w:val="0060678E"/>
    <w:rsid w:val="0060725B"/>
    <w:rsid w:val="0060746D"/>
    <w:rsid w:val="00607B4B"/>
    <w:rsid w:val="0061058C"/>
    <w:rsid w:val="0061077C"/>
    <w:rsid w:val="00612574"/>
    <w:rsid w:val="00612E09"/>
    <w:rsid w:val="00613725"/>
    <w:rsid w:val="00613901"/>
    <w:rsid w:val="0061479A"/>
    <w:rsid w:val="00615035"/>
    <w:rsid w:val="00615F4D"/>
    <w:rsid w:val="00617332"/>
    <w:rsid w:val="00617549"/>
    <w:rsid w:val="00617EA0"/>
    <w:rsid w:val="0062013B"/>
    <w:rsid w:val="00624404"/>
    <w:rsid w:val="006246FF"/>
    <w:rsid w:val="00624B5E"/>
    <w:rsid w:val="006262FC"/>
    <w:rsid w:val="00630DD8"/>
    <w:rsid w:val="006324DA"/>
    <w:rsid w:val="00634BE7"/>
    <w:rsid w:val="00634D23"/>
    <w:rsid w:val="00637C82"/>
    <w:rsid w:val="00637CA0"/>
    <w:rsid w:val="00640449"/>
    <w:rsid w:val="006407F2"/>
    <w:rsid w:val="00640E22"/>
    <w:rsid w:val="00640FC7"/>
    <w:rsid w:val="00641953"/>
    <w:rsid w:val="00641AB1"/>
    <w:rsid w:val="0064453E"/>
    <w:rsid w:val="0064494A"/>
    <w:rsid w:val="00646617"/>
    <w:rsid w:val="006473AF"/>
    <w:rsid w:val="006533CD"/>
    <w:rsid w:val="00656239"/>
    <w:rsid w:val="00656411"/>
    <w:rsid w:val="00656530"/>
    <w:rsid w:val="006601CD"/>
    <w:rsid w:val="0066129A"/>
    <w:rsid w:val="00661C9C"/>
    <w:rsid w:val="0066381F"/>
    <w:rsid w:val="00664372"/>
    <w:rsid w:val="0066503F"/>
    <w:rsid w:val="006670DD"/>
    <w:rsid w:val="00671FDC"/>
    <w:rsid w:val="006734A0"/>
    <w:rsid w:val="006744F8"/>
    <w:rsid w:val="006764B7"/>
    <w:rsid w:val="00676D21"/>
    <w:rsid w:val="00677B6B"/>
    <w:rsid w:val="00680235"/>
    <w:rsid w:val="006804DA"/>
    <w:rsid w:val="006810C2"/>
    <w:rsid w:val="00681A54"/>
    <w:rsid w:val="006827FF"/>
    <w:rsid w:val="0068293E"/>
    <w:rsid w:val="00685709"/>
    <w:rsid w:val="00685723"/>
    <w:rsid w:val="00686FBD"/>
    <w:rsid w:val="00687393"/>
    <w:rsid w:val="00687C2A"/>
    <w:rsid w:val="00691D3D"/>
    <w:rsid w:val="00691FCF"/>
    <w:rsid w:val="00692925"/>
    <w:rsid w:val="00692E80"/>
    <w:rsid w:val="0069420A"/>
    <w:rsid w:val="00694355"/>
    <w:rsid w:val="0069556E"/>
    <w:rsid w:val="00695F40"/>
    <w:rsid w:val="00697EAF"/>
    <w:rsid w:val="006A112F"/>
    <w:rsid w:val="006A3DBA"/>
    <w:rsid w:val="006A3F57"/>
    <w:rsid w:val="006A443B"/>
    <w:rsid w:val="006A4851"/>
    <w:rsid w:val="006A5E80"/>
    <w:rsid w:val="006A62AE"/>
    <w:rsid w:val="006A66A4"/>
    <w:rsid w:val="006A6948"/>
    <w:rsid w:val="006A6CDD"/>
    <w:rsid w:val="006A6F53"/>
    <w:rsid w:val="006B06FC"/>
    <w:rsid w:val="006B283C"/>
    <w:rsid w:val="006B2E03"/>
    <w:rsid w:val="006B3FAF"/>
    <w:rsid w:val="006B4008"/>
    <w:rsid w:val="006B4027"/>
    <w:rsid w:val="006B53D8"/>
    <w:rsid w:val="006B5CD6"/>
    <w:rsid w:val="006B6D5F"/>
    <w:rsid w:val="006B6D95"/>
    <w:rsid w:val="006B7A87"/>
    <w:rsid w:val="006C0E5F"/>
    <w:rsid w:val="006C14AF"/>
    <w:rsid w:val="006C1803"/>
    <w:rsid w:val="006C1FCF"/>
    <w:rsid w:val="006C2035"/>
    <w:rsid w:val="006C20B6"/>
    <w:rsid w:val="006C38E5"/>
    <w:rsid w:val="006C39B8"/>
    <w:rsid w:val="006C3B9C"/>
    <w:rsid w:val="006C58D3"/>
    <w:rsid w:val="006C7FDC"/>
    <w:rsid w:val="006C7FE3"/>
    <w:rsid w:val="006D138A"/>
    <w:rsid w:val="006D200F"/>
    <w:rsid w:val="006D31D1"/>
    <w:rsid w:val="006D4285"/>
    <w:rsid w:val="006E1056"/>
    <w:rsid w:val="006E1960"/>
    <w:rsid w:val="006E1FE3"/>
    <w:rsid w:val="006E4727"/>
    <w:rsid w:val="006E5724"/>
    <w:rsid w:val="006E78B4"/>
    <w:rsid w:val="006E7FE2"/>
    <w:rsid w:val="006F135C"/>
    <w:rsid w:val="006F25AB"/>
    <w:rsid w:val="006F2EA2"/>
    <w:rsid w:val="006F4E6D"/>
    <w:rsid w:val="006F64D1"/>
    <w:rsid w:val="006F72C6"/>
    <w:rsid w:val="00701207"/>
    <w:rsid w:val="00701CC2"/>
    <w:rsid w:val="0070244E"/>
    <w:rsid w:val="007026D4"/>
    <w:rsid w:val="00702822"/>
    <w:rsid w:val="007051DA"/>
    <w:rsid w:val="007054C8"/>
    <w:rsid w:val="007073EF"/>
    <w:rsid w:val="00707D40"/>
    <w:rsid w:val="0071151C"/>
    <w:rsid w:val="00713471"/>
    <w:rsid w:val="00713F25"/>
    <w:rsid w:val="0071599D"/>
    <w:rsid w:val="00716B68"/>
    <w:rsid w:val="0072114F"/>
    <w:rsid w:val="0072116C"/>
    <w:rsid w:val="007218C2"/>
    <w:rsid w:val="0072194F"/>
    <w:rsid w:val="0072256E"/>
    <w:rsid w:val="00724008"/>
    <w:rsid w:val="00725841"/>
    <w:rsid w:val="00726482"/>
    <w:rsid w:val="007264F8"/>
    <w:rsid w:val="00726820"/>
    <w:rsid w:val="007276B9"/>
    <w:rsid w:val="00731419"/>
    <w:rsid w:val="0073179A"/>
    <w:rsid w:val="00731A8E"/>
    <w:rsid w:val="00732BA7"/>
    <w:rsid w:val="00732C87"/>
    <w:rsid w:val="00732D14"/>
    <w:rsid w:val="007331A1"/>
    <w:rsid w:val="00733A2F"/>
    <w:rsid w:val="00733DA4"/>
    <w:rsid w:val="00733EE3"/>
    <w:rsid w:val="00734648"/>
    <w:rsid w:val="007346BF"/>
    <w:rsid w:val="00734A9B"/>
    <w:rsid w:val="00735610"/>
    <w:rsid w:val="007409CD"/>
    <w:rsid w:val="00740F76"/>
    <w:rsid w:val="00741A73"/>
    <w:rsid w:val="007424CE"/>
    <w:rsid w:val="00742BDE"/>
    <w:rsid w:val="00742F25"/>
    <w:rsid w:val="0074316B"/>
    <w:rsid w:val="00743226"/>
    <w:rsid w:val="007432B0"/>
    <w:rsid w:val="007437E8"/>
    <w:rsid w:val="007444FC"/>
    <w:rsid w:val="0074476E"/>
    <w:rsid w:val="007456F8"/>
    <w:rsid w:val="00746491"/>
    <w:rsid w:val="00750B1E"/>
    <w:rsid w:val="007512A4"/>
    <w:rsid w:val="00751B99"/>
    <w:rsid w:val="00751F6B"/>
    <w:rsid w:val="007524AF"/>
    <w:rsid w:val="00752A6A"/>
    <w:rsid w:val="00753D2A"/>
    <w:rsid w:val="00755607"/>
    <w:rsid w:val="00755B59"/>
    <w:rsid w:val="00755E45"/>
    <w:rsid w:val="00756538"/>
    <w:rsid w:val="007615D4"/>
    <w:rsid w:val="00762B9D"/>
    <w:rsid w:val="00763F6B"/>
    <w:rsid w:val="00764411"/>
    <w:rsid w:val="007645C1"/>
    <w:rsid w:val="00767CB2"/>
    <w:rsid w:val="00770867"/>
    <w:rsid w:val="007717F2"/>
    <w:rsid w:val="007723EC"/>
    <w:rsid w:val="0077341F"/>
    <w:rsid w:val="00773BA6"/>
    <w:rsid w:val="00773C8A"/>
    <w:rsid w:val="007754B5"/>
    <w:rsid w:val="00775DD8"/>
    <w:rsid w:val="007767C6"/>
    <w:rsid w:val="00777774"/>
    <w:rsid w:val="00777DEE"/>
    <w:rsid w:val="00777E78"/>
    <w:rsid w:val="007802ED"/>
    <w:rsid w:val="007806F3"/>
    <w:rsid w:val="00782553"/>
    <w:rsid w:val="007830E0"/>
    <w:rsid w:val="00784188"/>
    <w:rsid w:val="00784C67"/>
    <w:rsid w:val="00784C81"/>
    <w:rsid w:val="00785ABB"/>
    <w:rsid w:val="0078614D"/>
    <w:rsid w:val="007867BF"/>
    <w:rsid w:val="00787377"/>
    <w:rsid w:val="00787824"/>
    <w:rsid w:val="007903EE"/>
    <w:rsid w:val="00790695"/>
    <w:rsid w:val="0079264D"/>
    <w:rsid w:val="00792BB9"/>
    <w:rsid w:val="00793369"/>
    <w:rsid w:val="00793E8A"/>
    <w:rsid w:val="007940AB"/>
    <w:rsid w:val="0079531F"/>
    <w:rsid w:val="007956D0"/>
    <w:rsid w:val="007959AC"/>
    <w:rsid w:val="0079626C"/>
    <w:rsid w:val="00797138"/>
    <w:rsid w:val="007A0A41"/>
    <w:rsid w:val="007A170C"/>
    <w:rsid w:val="007A2B82"/>
    <w:rsid w:val="007A3822"/>
    <w:rsid w:val="007A3C29"/>
    <w:rsid w:val="007A4861"/>
    <w:rsid w:val="007A4D06"/>
    <w:rsid w:val="007A668F"/>
    <w:rsid w:val="007A6865"/>
    <w:rsid w:val="007A7C79"/>
    <w:rsid w:val="007B4678"/>
    <w:rsid w:val="007B5470"/>
    <w:rsid w:val="007B5F49"/>
    <w:rsid w:val="007B75BF"/>
    <w:rsid w:val="007C0371"/>
    <w:rsid w:val="007C1595"/>
    <w:rsid w:val="007C1607"/>
    <w:rsid w:val="007C165F"/>
    <w:rsid w:val="007C17B3"/>
    <w:rsid w:val="007C231D"/>
    <w:rsid w:val="007C4DC0"/>
    <w:rsid w:val="007C6AF3"/>
    <w:rsid w:val="007C753A"/>
    <w:rsid w:val="007C7EF8"/>
    <w:rsid w:val="007D0FD9"/>
    <w:rsid w:val="007D304F"/>
    <w:rsid w:val="007D3C46"/>
    <w:rsid w:val="007D4E9A"/>
    <w:rsid w:val="007D58B9"/>
    <w:rsid w:val="007D676B"/>
    <w:rsid w:val="007D7AFA"/>
    <w:rsid w:val="007D7BC7"/>
    <w:rsid w:val="007E0B1A"/>
    <w:rsid w:val="007E1219"/>
    <w:rsid w:val="007E3772"/>
    <w:rsid w:val="007E3F00"/>
    <w:rsid w:val="007E403E"/>
    <w:rsid w:val="007E44D4"/>
    <w:rsid w:val="007E4F93"/>
    <w:rsid w:val="007E5084"/>
    <w:rsid w:val="007E50D1"/>
    <w:rsid w:val="007E512B"/>
    <w:rsid w:val="007E5292"/>
    <w:rsid w:val="007E653B"/>
    <w:rsid w:val="007E784C"/>
    <w:rsid w:val="007E7DE3"/>
    <w:rsid w:val="007F0595"/>
    <w:rsid w:val="007F0C5E"/>
    <w:rsid w:val="007F16AE"/>
    <w:rsid w:val="007F1D4C"/>
    <w:rsid w:val="007F242C"/>
    <w:rsid w:val="007F2D6A"/>
    <w:rsid w:val="007F3360"/>
    <w:rsid w:val="007F33FD"/>
    <w:rsid w:val="007F393E"/>
    <w:rsid w:val="007F4A11"/>
    <w:rsid w:val="007F4B78"/>
    <w:rsid w:val="007F5964"/>
    <w:rsid w:val="00801028"/>
    <w:rsid w:val="00801E3A"/>
    <w:rsid w:val="00801FDF"/>
    <w:rsid w:val="0080213E"/>
    <w:rsid w:val="00803143"/>
    <w:rsid w:val="00803A15"/>
    <w:rsid w:val="00803FF9"/>
    <w:rsid w:val="00805428"/>
    <w:rsid w:val="00811673"/>
    <w:rsid w:val="008116B2"/>
    <w:rsid w:val="00811AD4"/>
    <w:rsid w:val="00812DB7"/>
    <w:rsid w:val="00813836"/>
    <w:rsid w:val="0081463E"/>
    <w:rsid w:val="00816739"/>
    <w:rsid w:val="0082005E"/>
    <w:rsid w:val="0082250A"/>
    <w:rsid w:val="00823033"/>
    <w:rsid w:val="0082408F"/>
    <w:rsid w:val="0082416C"/>
    <w:rsid w:val="008244C8"/>
    <w:rsid w:val="0082510E"/>
    <w:rsid w:val="008257FE"/>
    <w:rsid w:val="008264BE"/>
    <w:rsid w:val="00827134"/>
    <w:rsid w:val="008279B9"/>
    <w:rsid w:val="00831C93"/>
    <w:rsid w:val="00831EF3"/>
    <w:rsid w:val="008328E8"/>
    <w:rsid w:val="00832CBD"/>
    <w:rsid w:val="00832F2C"/>
    <w:rsid w:val="00833221"/>
    <w:rsid w:val="00833FFD"/>
    <w:rsid w:val="00835E77"/>
    <w:rsid w:val="00837829"/>
    <w:rsid w:val="00837A48"/>
    <w:rsid w:val="00840DC9"/>
    <w:rsid w:val="0084581E"/>
    <w:rsid w:val="0084618C"/>
    <w:rsid w:val="008464F7"/>
    <w:rsid w:val="00846803"/>
    <w:rsid w:val="00846D77"/>
    <w:rsid w:val="00847E29"/>
    <w:rsid w:val="0085106F"/>
    <w:rsid w:val="008516DA"/>
    <w:rsid w:val="00851F01"/>
    <w:rsid w:val="00852B14"/>
    <w:rsid w:val="00854F85"/>
    <w:rsid w:val="00855666"/>
    <w:rsid w:val="00856944"/>
    <w:rsid w:val="008601A8"/>
    <w:rsid w:val="00860658"/>
    <w:rsid w:val="00861AD5"/>
    <w:rsid w:val="008622B2"/>
    <w:rsid w:val="00863472"/>
    <w:rsid w:val="008640EF"/>
    <w:rsid w:val="00864371"/>
    <w:rsid w:val="00865B82"/>
    <w:rsid w:val="00866157"/>
    <w:rsid w:val="008663EF"/>
    <w:rsid w:val="00867DF5"/>
    <w:rsid w:val="00870926"/>
    <w:rsid w:val="00870E98"/>
    <w:rsid w:val="00871AFA"/>
    <w:rsid w:val="00872352"/>
    <w:rsid w:val="008728D2"/>
    <w:rsid w:val="00873336"/>
    <w:rsid w:val="008735ED"/>
    <w:rsid w:val="0087579B"/>
    <w:rsid w:val="008813C4"/>
    <w:rsid w:val="008816DC"/>
    <w:rsid w:val="00883203"/>
    <w:rsid w:val="00883E53"/>
    <w:rsid w:val="008842D6"/>
    <w:rsid w:val="00884442"/>
    <w:rsid w:val="00884590"/>
    <w:rsid w:val="00885ABF"/>
    <w:rsid w:val="00886AE0"/>
    <w:rsid w:val="008871A6"/>
    <w:rsid w:val="008875F1"/>
    <w:rsid w:val="0089083F"/>
    <w:rsid w:val="00892F4D"/>
    <w:rsid w:val="0089336A"/>
    <w:rsid w:val="00893C09"/>
    <w:rsid w:val="0089408E"/>
    <w:rsid w:val="00894792"/>
    <w:rsid w:val="00894DFD"/>
    <w:rsid w:val="00896FB5"/>
    <w:rsid w:val="008A0A09"/>
    <w:rsid w:val="008A0A5D"/>
    <w:rsid w:val="008A0AA0"/>
    <w:rsid w:val="008A4E54"/>
    <w:rsid w:val="008A5546"/>
    <w:rsid w:val="008A5841"/>
    <w:rsid w:val="008A5BA7"/>
    <w:rsid w:val="008A5FF1"/>
    <w:rsid w:val="008A71C1"/>
    <w:rsid w:val="008B072D"/>
    <w:rsid w:val="008B0CE0"/>
    <w:rsid w:val="008B21FD"/>
    <w:rsid w:val="008B367E"/>
    <w:rsid w:val="008B3C01"/>
    <w:rsid w:val="008B4697"/>
    <w:rsid w:val="008B471E"/>
    <w:rsid w:val="008B7D7F"/>
    <w:rsid w:val="008C17A5"/>
    <w:rsid w:val="008C1C5E"/>
    <w:rsid w:val="008C2505"/>
    <w:rsid w:val="008C3578"/>
    <w:rsid w:val="008C4511"/>
    <w:rsid w:val="008C6FE0"/>
    <w:rsid w:val="008C732B"/>
    <w:rsid w:val="008D0FE4"/>
    <w:rsid w:val="008D314B"/>
    <w:rsid w:val="008D3A22"/>
    <w:rsid w:val="008D3F13"/>
    <w:rsid w:val="008D436C"/>
    <w:rsid w:val="008D5545"/>
    <w:rsid w:val="008D563B"/>
    <w:rsid w:val="008D58D8"/>
    <w:rsid w:val="008D7323"/>
    <w:rsid w:val="008D77B7"/>
    <w:rsid w:val="008E0455"/>
    <w:rsid w:val="008E05B1"/>
    <w:rsid w:val="008E0ADB"/>
    <w:rsid w:val="008E0D73"/>
    <w:rsid w:val="008E1FE0"/>
    <w:rsid w:val="008E2117"/>
    <w:rsid w:val="008E3683"/>
    <w:rsid w:val="008E49BD"/>
    <w:rsid w:val="008E6093"/>
    <w:rsid w:val="008E6238"/>
    <w:rsid w:val="008E680F"/>
    <w:rsid w:val="008E7873"/>
    <w:rsid w:val="008F18C7"/>
    <w:rsid w:val="008F1983"/>
    <w:rsid w:val="008F3387"/>
    <w:rsid w:val="008F4F3E"/>
    <w:rsid w:val="00900646"/>
    <w:rsid w:val="00900C17"/>
    <w:rsid w:val="00901B2C"/>
    <w:rsid w:val="00901E87"/>
    <w:rsid w:val="00903AFD"/>
    <w:rsid w:val="00903B2B"/>
    <w:rsid w:val="00903B38"/>
    <w:rsid w:val="00905BE8"/>
    <w:rsid w:val="009061E5"/>
    <w:rsid w:val="00906806"/>
    <w:rsid w:val="00907268"/>
    <w:rsid w:val="00907A0A"/>
    <w:rsid w:val="00907ABE"/>
    <w:rsid w:val="00907BAF"/>
    <w:rsid w:val="009108D9"/>
    <w:rsid w:val="0091218A"/>
    <w:rsid w:val="00913021"/>
    <w:rsid w:val="00913B5A"/>
    <w:rsid w:val="00914AA8"/>
    <w:rsid w:val="00916061"/>
    <w:rsid w:val="00916A58"/>
    <w:rsid w:val="00916B4B"/>
    <w:rsid w:val="009173CE"/>
    <w:rsid w:val="009178DD"/>
    <w:rsid w:val="00917BED"/>
    <w:rsid w:val="00921027"/>
    <w:rsid w:val="00921783"/>
    <w:rsid w:val="00921EFA"/>
    <w:rsid w:val="00924B06"/>
    <w:rsid w:val="00924CDB"/>
    <w:rsid w:val="00924D03"/>
    <w:rsid w:val="00926252"/>
    <w:rsid w:val="00927C92"/>
    <w:rsid w:val="00930FFB"/>
    <w:rsid w:val="009311B9"/>
    <w:rsid w:val="009312A1"/>
    <w:rsid w:val="00931F06"/>
    <w:rsid w:val="009321D8"/>
    <w:rsid w:val="0093513C"/>
    <w:rsid w:val="00935FA7"/>
    <w:rsid w:val="00936080"/>
    <w:rsid w:val="00936434"/>
    <w:rsid w:val="009379AA"/>
    <w:rsid w:val="009420F4"/>
    <w:rsid w:val="00942541"/>
    <w:rsid w:val="00943621"/>
    <w:rsid w:val="00943FFA"/>
    <w:rsid w:val="00944B86"/>
    <w:rsid w:val="0094532D"/>
    <w:rsid w:val="00945933"/>
    <w:rsid w:val="00945C92"/>
    <w:rsid w:val="009463C6"/>
    <w:rsid w:val="00947814"/>
    <w:rsid w:val="00950A67"/>
    <w:rsid w:val="00950EC9"/>
    <w:rsid w:val="00950F02"/>
    <w:rsid w:val="009521A6"/>
    <w:rsid w:val="00952220"/>
    <w:rsid w:val="009538E0"/>
    <w:rsid w:val="0095411D"/>
    <w:rsid w:val="009545F1"/>
    <w:rsid w:val="00955437"/>
    <w:rsid w:val="00956ED8"/>
    <w:rsid w:val="00960270"/>
    <w:rsid w:val="00960B50"/>
    <w:rsid w:val="009615B4"/>
    <w:rsid w:val="00961739"/>
    <w:rsid w:val="00962156"/>
    <w:rsid w:val="00962806"/>
    <w:rsid w:val="00965205"/>
    <w:rsid w:val="009668BC"/>
    <w:rsid w:val="00970541"/>
    <w:rsid w:val="00970CD4"/>
    <w:rsid w:val="00971285"/>
    <w:rsid w:val="00971A59"/>
    <w:rsid w:val="009722AF"/>
    <w:rsid w:val="009730F0"/>
    <w:rsid w:val="0097327C"/>
    <w:rsid w:val="009738B8"/>
    <w:rsid w:val="00973D8F"/>
    <w:rsid w:val="009741FF"/>
    <w:rsid w:val="00974465"/>
    <w:rsid w:val="00974C3D"/>
    <w:rsid w:val="00975AA8"/>
    <w:rsid w:val="0097665B"/>
    <w:rsid w:val="00976C67"/>
    <w:rsid w:val="00980929"/>
    <w:rsid w:val="00981484"/>
    <w:rsid w:val="00981564"/>
    <w:rsid w:val="00981F27"/>
    <w:rsid w:val="00983950"/>
    <w:rsid w:val="00985402"/>
    <w:rsid w:val="009871DE"/>
    <w:rsid w:val="00991675"/>
    <w:rsid w:val="009923F4"/>
    <w:rsid w:val="0099278C"/>
    <w:rsid w:val="00993332"/>
    <w:rsid w:val="00993AB9"/>
    <w:rsid w:val="00993E83"/>
    <w:rsid w:val="0099679D"/>
    <w:rsid w:val="00996C71"/>
    <w:rsid w:val="0099762E"/>
    <w:rsid w:val="009A0CAD"/>
    <w:rsid w:val="009A2551"/>
    <w:rsid w:val="009A36B6"/>
    <w:rsid w:val="009A3C1C"/>
    <w:rsid w:val="009A5EA7"/>
    <w:rsid w:val="009A6319"/>
    <w:rsid w:val="009A78E7"/>
    <w:rsid w:val="009B2EA6"/>
    <w:rsid w:val="009B320C"/>
    <w:rsid w:val="009B34C0"/>
    <w:rsid w:val="009B3978"/>
    <w:rsid w:val="009B595A"/>
    <w:rsid w:val="009B5F46"/>
    <w:rsid w:val="009B6B39"/>
    <w:rsid w:val="009C025F"/>
    <w:rsid w:val="009C08B5"/>
    <w:rsid w:val="009C124E"/>
    <w:rsid w:val="009C12F7"/>
    <w:rsid w:val="009C1D33"/>
    <w:rsid w:val="009C24CB"/>
    <w:rsid w:val="009C29BB"/>
    <w:rsid w:val="009C33BA"/>
    <w:rsid w:val="009C3AAE"/>
    <w:rsid w:val="009C609E"/>
    <w:rsid w:val="009C6C92"/>
    <w:rsid w:val="009C7C17"/>
    <w:rsid w:val="009D0048"/>
    <w:rsid w:val="009D036B"/>
    <w:rsid w:val="009D0DC9"/>
    <w:rsid w:val="009D2C72"/>
    <w:rsid w:val="009D317B"/>
    <w:rsid w:val="009D3FAA"/>
    <w:rsid w:val="009D41AF"/>
    <w:rsid w:val="009D4290"/>
    <w:rsid w:val="009D432F"/>
    <w:rsid w:val="009D4633"/>
    <w:rsid w:val="009D595C"/>
    <w:rsid w:val="009D5D1B"/>
    <w:rsid w:val="009D6F0D"/>
    <w:rsid w:val="009D6FF2"/>
    <w:rsid w:val="009E1842"/>
    <w:rsid w:val="009E2528"/>
    <w:rsid w:val="009E4983"/>
    <w:rsid w:val="009E4A94"/>
    <w:rsid w:val="009E5E56"/>
    <w:rsid w:val="009E65A6"/>
    <w:rsid w:val="009E6F0E"/>
    <w:rsid w:val="009E77AD"/>
    <w:rsid w:val="009F111F"/>
    <w:rsid w:val="009F1ABE"/>
    <w:rsid w:val="009F1D4C"/>
    <w:rsid w:val="009F1FE1"/>
    <w:rsid w:val="009F471F"/>
    <w:rsid w:val="009F573A"/>
    <w:rsid w:val="009F5CA4"/>
    <w:rsid w:val="00A00819"/>
    <w:rsid w:val="00A010B8"/>
    <w:rsid w:val="00A027A8"/>
    <w:rsid w:val="00A02A9F"/>
    <w:rsid w:val="00A04922"/>
    <w:rsid w:val="00A05829"/>
    <w:rsid w:val="00A06565"/>
    <w:rsid w:val="00A06E66"/>
    <w:rsid w:val="00A115D5"/>
    <w:rsid w:val="00A11A43"/>
    <w:rsid w:val="00A127AC"/>
    <w:rsid w:val="00A13071"/>
    <w:rsid w:val="00A13987"/>
    <w:rsid w:val="00A14145"/>
    <w:rsid w:val="00A14627"/>
    <w:rsid w:val="00A16534"/>
    <w:rsid w:val="00A16548"/>
    <w:rsid w:val="00A17280"/>
    <w:rsid w:val="00A1799D"/>
    <w:rsid w:val="00A21FE3"/>
    <w:rsid w:val="00A2280B"/>
    <w:rsid w:val="00A22EBC"/>
    <w:rsid w:val="00A2479D"/>
    <w:rsid w:val="00A24F5F"/>
    <w:rsid w:val="00A25DF6"/>
    <w:rsid w:val="00A2700B"/>
    <w:rsid w:val="00A27393"/>
    <w:rsid w:val="00A30C6E"/>
    <w:rsid w:val="00A31D2C"/>
    <w:rsid w:val="00A321B9"/>
    <w:rsid w:val="00A3437B"/>
    <w:rsid w:val="00A34FD8"/>
    <w:rsid w:val="00A36A58"/>
    <w:rsid w:val="00A37388"/>
    <w:rsid w:val="00A37FAF"/>
    <w:rsid w:val="00A37FEF"/>
    <w:rsid w:val="00A44451"/>
    <w:rsid w:val="00A44973"/>
    <w:rsid w:val="00A449B7"/>
    <w:rsid w:val="00A44BAF"/>
    <w:rsid w:val="00A453CD"/>
    <w:rsid w:val="00A46107"/>
    <w:rsid w:val="00A464DF"/>
    <w:rsid w:val="00A46EEC"/>
    <w:rsid w:val="00A50E47"/>
    <w:rsid w:val="00A52539"/>
    <w:rsid w:val="00A52D0F"/>
    <w:rsid w:val="00A5345F"/>
    <w:rsid w:val="00A5399B"/>
    <w:rsid w:val="00A540DD"/>
    <w:rsid w:val="00A54D06"/>
    <w:rsid w:val="00A55511"/>
    <w:rsid w:val="00A558C2"/>
    <w:rsid w:val="00A56780"/>
    <w:rsid w:val="00A56E4D"/>
    <w:rsid w:val="00A572CC"/>
    <w:rsid w:val="00A60508"/>
    <w:rsid w:val="00A60B0D"/>
    <w:rsid w:val="00A61B20"/>
    <w:rsid w:val="00A6330A"/>
    <w:rsid w:val="00A633B1"/>
    <w:rsid w:val="00A64CFB"/>
    <w:rsid w:val="00A64E80"/>
    <w:rsid w:val="00A64FCD"/>
    <w:rsid w:val="00A65530"/>
    <w:rsid w:val="00A65BA4"/>
    <w:rsid w:val="00A66372"/>
    <w:rsid w:val="00A663F3"/>
    <w:rsid w:val="00A7032A"/>
    <w:rsid w:val="00A70BB8"/>
    <w:rsid w:val="00A70C70"/>
    <w:rsid w:val="00A717F8"/>
    <w:rsid w:val="00A71A85"/>
    <w:rsid w:val="00A722B1"/>
    <w:rsid w:val="00A73E6F"/>
    <w:rsid w:val="00A742E2"/>
    <w:rsid w:val="00A74BFD"/>
    <w:rsid w:val="00A7710A"/>
    <w:rsid w:val="00A77303"/>
    <w:rsid w:val="00A77919"/>
    <w:rsid w:val="00A809B5"/>
    <w:rsid w:val="00A81584"/>
    <w:rsid w:val="00A82269"/>
    <w:rsid w:val="00A8399A"/>
    <w:rsid w:val="00A85BBB"/>
    <w:rsid w:val="00A91559"/>
    <w:rsid w:val="00A9314C"/>
    <w:rsid w:val="00A946BD"/>
    <w:rsid w:val="00A94E9F"/>
    <w:rsid w:val="00A96E57"/>
    <w:rsid w:val="00AA0C34"/>
    <w:rsid w:val="00AA1D5E"/>
    <w:rsid w:val="00AA5EA9"/>
    <w:rsid w:val="00AA7214"/>
    <w:rsid w:val="00AB0466"/>
    <w:rsid w:val="00AB1D75"/>
    <w:rsid w:val="00AB2F04"/>
    <w:rsid w:val="00AB3B4E"/>
    <w:rsid w:val="00AB5EFC"/>
    <w:rsid w:val="00AB6DCD"/>
    <w:rsid w:val="00AB71A2"/>
    <w:rsid w:val="00AB739B"/>
    <w:rsid w:val="00AC0B61"/>
    <w:rsid w:val="00AC2535"/>
    <w:rsid w:val="00AC31E2"/>
    <w:rsid w:val="00AC363B"/>
    <w:rsid w:val="00AC3A74"/>
    <w:rsid w:val="00AC3F9D"/>
    <w:rsid w:val="00AC4052"/>
    <w:rsid w:val="00AC4587"/>
    <w:rsid w:val="00AC715D"/>
    <w:rsid w:val="00AC74F3"/>
    <w:rsid w:val="00AC7C25"/>
    <w:rsid w:val="00AC7D37"/>
    <w:rsid w:val="00AD0B55"/>
    <w:rsid w:val="00AD1816"/>
    <w:rsid w:val="00AD28E2"/>
    <w:rsid w:val="00AD2BBC"/>
    <w:rsid w:val="00AD428C"/>
    <w:rsid w:val="00AD54E5"/>
    <w:rsid w:val="00AD576D"/>
    <w:rsid w:val="00AD58AF"/>
    <w:rsid w:val="00AD6470"/>
    <w:rsid w:val="00AD6E4C"/>
    <w:rsid w:val="00AD700C"/>
    <w:rsid w:val="00AD70F3"/>
    <w:rsid w:val="00AE05A0"/>
    <w:rsid w:val="00AE0A0F"/>
    <w:rsid w:val="00AE10CA"/>
    <w:rsid w:val="00AE1FB3"/>
    <w:rsid w:val="00AE2410"/>
    <w:rsid w:val="00AE2947"/>
    <w:rsid w:val="00AE6A01"/>
    <w:rsid w:val="00AF16ED"/>
    <w:rsid w:val="00AF26F1"/>
    <w:rsid w:val="00AF301A"/>
    <w:rsid w:val="00AF4393"/>
    <w:rsid w:val="00AF4959"/>
    <w:rsid w:val="00AF4A51"/>
    <w:rsid w:val="00AF6C5A"/>
    <w:rsid w:val="00B002DF"/>
    <w:rsid w:val="00B00A0B"/>
    <w:rsid w:val="00B03009"/>
    <w:rsid w:val="00B03E1F"/>
    <w:rsid w:val="00B04B84"/>
    <w:rsid w:val="00B05112"/>
    <w:rsid w:val="00B06E55"/>
    <w:rsid w:val="00B06FE1"/>
    <w:rsid w:val="00B073E2"/>
    <w:rsid w:val="00B0771D"/>
    <w:rsid w:val="00B07DF8"/>
    <w:rsid w:val="00B1105C"/>
    <w:rsid w:val="00B13007"/>
    <w:rsid w:val="00B13065"/>
    <w:rsid w:val="00B13266"/>
    <w:rsid w:val="00B1403E"/>
    <w:rsid w:val="00B14ACE"/>
    <w:rsid w:val="00B15471"/>
    <w:rsid w:val="00B1645E"/>
    <w:rsid w:val="00B1698C"/>
    <w:rsid w:val="00B16BEA"/>
    <w:rsid w:val="00B16D27"/>
    <w:rsid w:val="00B17772"/>
    <w:rsid w:val="00B20D69"/>
    <w:rsid w:val="00B21130"/>
    <w:rsid w:val="00B23C3D"/>
    <w:rsid w:val="00B24C89"/>
    <w:rsid w:val="00B265FA"/>
    <w:rsid w:val="00B278AF"/>
    <w:rsid w:val="00B27AF5"/>
    <w:rsid w:val="00B303F2"/>
    <w:rsid w:val="00B329DE"/>
    <w:rsid w:val="00B34B12"/>
    <w:rsid w:val="00B362B5"/>
    <w:rsid w:val="00B36A53"/>
    <w:rsid w:val="00B36F48"/>
    <w:rsid w:val="00B4094D"/>
    <w:rsid w:val="00B4116F"/>
    <w:rsid w:val="00B42D53"/>
    <w:rsid w:val="00B4574C"/>
    <w:rsid w:val="00B50656"/>
    <w:rsid w:val="00B509FE"/>
    <w:rsid w:val="00B50A0B"/>
    <w:rsid w:val="00B51427"/>
    <w:rsid w:val="00B516C8"/>
    <w:rsid w:val="00B5242D"/>
    <w:rsid w:val="00B52F00"/>
    <w:rsid w:val="00B53D72"/>
    <w:rsid w:val="00B54293"/>
    <w:rsid w:val="00B54738"/>
    <w:rsid w:val="00B55A03"/>
    <w:rsid w:val="00B56159"/>
    <w:rsid w:val="00B57350"/>
    <w:rsid w:val="00B611BE"/>
    <w:rsid w:val="00B611C0"/>
    <w:rsid w:val="00B61342"/>
    <w:rsid w:val="00B6171D"/>
    <w:rsid w:val="00B6205D"/>
    <w:rsid w:val="00B64D3E"/>
    <w:rsid w:val="00B6505D"/>
    <w:rsid w:val="00B65AC4"/>
    <w:rsid w:val="00B678A6"/>
    <w:rsid w:val="00B702EB"/>
    <w:rsid w:val="00B72A61"/>
    <w:rsid w:val="00B74F4A"/>
    <w:rsid w:val="00B753D4"/>
    <w:rsid w:val="00B76DC7"/>
    <w:rsid w:val="00B80600"/>
    <w:rsid w:val="00B813DB"/>
    <w:rsid w:val="00B8348E"/>
    <w:rsid w:val="00B8386F"/>
    <w:rsid w:val="00B83A65"/>
    <w:rsid w:val="00B83BCC"/>
    <w:rsid w:val="00B85229"/>
    <w:rsid w:val="00B8671B"/>
    <w:rsid w:val="00B877A6"/>
    <w:rsid w:val="00B902E8"/>
    <w:rsid w:val="00B90E38"/>
    <w:rsid w:val="00B937C1"/>
    <w:rsid w:val="00B94E4D"/>
    <w:rsid w:val="00B95F47"/>
    <w:rsid w:val="00B9648A"/>
    <w:rsid w:val="00B9686C"/>
    <w:rsid w:val="00B97D0B"/>
    <w:rsid w:val="00BA1F26"/>
    <w:rsid w:val="00BA22B1"/>
    <w:rsid w:val="00BA2405"/>
    <w:rsid w:val="00BA32AF"/>
    <w:rsid w:val="00BA5319"/>
    <w:rsid w:val="00BA5BBB"/>
    <w:rsid w:val="00BA6179"/>
    <w:rsid w:val="00BA742F"/>
    <w:rsid w:val="00BA7CAB"/>
    <w:rsid w:val="00BB135A"/>
    <w:rsid w:val="00BB253D"/>
    <w:rsid w:val="00BB4C83"/>
    <w:rsid w:val="00BB596E"/>
    <w:rsid w:val="00BB72F2"/>
    <w:rsid w:val="00BC0737"/>
    <w:rsid w:val="00BC2986"/>
    <w:rsid w:val="00BC31E9"/>
    <w:rsid w:val="00BC379B"/>
    <w:rsid w:val="00BC48DA"/>
    <w:rsid w:val="00BC4BA9"/>
    <w:rsid w:val="00BC4D4E"/>
    <w:rsid w:val="00BC5586"/>
    <w:rsid w:val="00BD2A6D"/>
    <w:rsid w:val="00BD2D38"/>
    <w:rsid w:val="00BD3D83"/>
    <w:rsid w:val="00BD4304"/>
    <w:rsid w:val="00BD5124"/>
    <w:rsid w:val="00BD6285"/>
    <w:rsid w:val="00BD7A01"/>
    <w:rsid w:val="00BE23DF"/>
    <w:rsid w:val="00BE26D2"/>
    <w:rsid w:val="00BE2F38"/>
    <w:rsid w:val="00BE5F73"/>
    <w:rsid w:val="00BE7794"/>
    <w:rsid w:val="00BE7FBF"/>
    <w:rsid w:val="00BF1811"/>
    <w:rsid w:val="00BF291A"/>
    <w:rsid w:val="00BF4B57"/>
    <w:rsid w:val="00BF55C0"/>
    <w:rsid w:val="00BF587A"/>
    <w:rsid w:val="00BF7853"/>
    <w:rsid w:val="00BF7C93"/>
    <w:rsid w:val="00BF7F37"/>
    <w:rsid w:val="00C00DCC"/>
    <w:rsid w:val="00C00E09"/>
    <w:rsid w:val="00C04135"/>
    <w:rsid w:val="00C0593F"/>
    <w:rsid w:val="00C060D8"/>
    <w:rsid w:val="00C06DD5"/>
    <w:rsid w:val="00C1011F"/>
    <w:rsid w:val="00C10B1A"/>
    <w:rsid w:val="00C12007"/>
    <w:rsid w:val="00C14330"/>
    <w:rsid w:val="00C15787"/>
    <w:rsid w:val="00C20924"/>
    <w:rsid w:val="00C2143E"/>
    <w:rsid w:val="00C2241D"/>
    <w:rsid w:val="00C226A0"/>
    <w:rsid w:val="00C22FF2"/>
    <w:rsid w:val="00C234BE"/>
    <w:rsid w:val="00C24140"/>
    <w:rsid w:val="00C2422A"/>
    <w:rsid w:val="00C24775"/>
    <w:rsid w:val="00C2567C"/>
    <w:rsid w:val="00C26BA0"/>
    <w:rsid w:val="00C26C7B"/>
    <w:rsid w:val="00C275A6"/>
    <w:rsid w:val="00C302D8"/>
    <w:rsid w:val="00C3357D"/>
    <w:rsid w:val="00C34DCE"/>
    <w:rsid w:val="00C357AB"/>
    <w:rsid w:val="00C35A85"/>
    <w:rsid w:val="00C35EE4"/>
    <w:rsid w:val="00C36CFB"/>
    <w:rsid w:val="00C37EFF"/>
    <w:rsid w:val="00C408CE"/>
    <w:rsid w:val="00C40B99"/>
    <w:rsid w:val="00C4164F"/>
    <w:rsid w:val="00C43E8F"/>
    <w:rsid w:val="00C44541"/>
    <w:rsid w:val="00C450CE"/>
    <w:rsid w:val="00C46ECE"/>
    <w:rsid w:val="00C53001"/>
    <w:rsid w:val="00C547E8"/>
    <w:rsid w:val="00C55A6B"/>
    <w:rsid w:val="00C55A70"/>
    <w:rsid w:val="00C569A4"/>
    <w:rsid w:val="00C60121"/>
    <w:rsid w:val="00C61869"/>
    <w:rsid w:val="00C62CA7"/>
    <w:rsid w:val="00C62D93"/>
    <w:rsid w:val="00C63C84"/>
    <w:rsid w:val="00C66BAD"/>
    <w:rsid w:val="00C66EC2"/>
    <w:rsid w:val="00C67286"/>
    <w:rsid w:val="00C67CC5"/>
    <w:rsid w:val="00C70F6A"/>
    <w:rsid w:val="00C7181E"/>
    <w:rsid w:val="00C725C8"/>
    <w:rsid w:val="00C733C2"/>
    <w:rsid w:val="00C736B6"/>
    <w:rsid w:val="00C73B27"/>
    <w:rsid w:val="00C747CD"/>
    <w:rsid w:val="00C74F52"/>
    <w:rsid w:val="00C75BBA"/>
    <w:rsid w:val="00C77CC3"/>
    <w:rsid w:val="00C77DDC"/>
    <w:rsid w:val="00C80F3F"/>
    <w:rsid w:val="00C820EE"/>
    <w:rsid w:val="00C82DCD"/>
    <w:rsid w:val="00C83AA7"/>
    <w:rsid w:val="00C84376"/>
    <w:rsid w:val="00C85A1E"/>
    <w:rsid w:val="00C85E30"/>
    <w:rsid w:val="00C875A4"/>
    <w:rsid w:val="00C877EA"/>
    <w:rsid w:val="00C902A7"/>
    <w:rsid w:val="00C9050B"/>
    <w:rsid w:val="00C90583"/>
    <w:rsid w:val="00C91288"/>
    <w:rsid w:val="00C939DA"/>
    <w:rsid w:val="00C94084"/>
    <w:rsid w:val="00C947DF"/>
    <w:rsid w:val="00C94929"/>
    <w:rsid w:val="00C950D4"/>
    <w:rsid w:val="00C95E0C"/>
    <w:rsid w:val="00C970B3"/>
    <w:rsid w:val="00C97D0A"/>
    <w:rsid w:val="00CA051C"/>
    <w:rsid w:val="00CA0747"/>
    <w:rsid w:val="00CA0938"/>
    <w:rsid w:val="00CA4739"/>
    <w:rsid w:val="00CA4903"/>
    <w:rsid w:val="00CA7BFD"/>
    <w:rsid w:val="00CA7F42"/>
    <w:rsid w:val="00CB2550"/>
    <w:rsid w:val="00CB2944"/>
    <w:rsid w:val="00CB346A"/>
    <w:rsid w:val="00CB4958"/>
    <w:rsid w:val="00CB4F13"/>
    <w:rsid w:val="00CB681F"/>
    <w:rsid w:val="00CB7F1D"/>
    <w:rsid w:val="00CC25D7"/>
    <w:rsid w:val="00CC3256"/>
    <w:rsid w:val="00CC383B"/>
    <w:rsid w:val="00CC3A09"/>
    <w:rsid w:val="00CC3EA6"/>
    <w:rsid w:val="00CC4BAE"/>
    <w:rsid w:val="00CC59E5"/>
    <w:rsid w:val="00CC7252"/>
    <w:rsid w:val="00CD0E88"/>
    <w:rsid w:val="00CD1643"/>
    <w:rsid w:val="00CD1C76"/>
    <w:rsid w:val="00CD30EE"/>
    <w:rsid w:val="00CD35B5"/>
    <w:rsid w:val="00CD5016"/>
    <w:rsid w:val="00CD792C"/>
    <w:rsid w:val="00CD7E37"/>
    <w:rsid w:val="00CD7F03"/>
    <w:rsid w:val="00CE0824"/>
    <w:rsid w:val="00CE1D73"/>
    <w:rsid w:val="00CE309C"/>
    <w:rsid w:val="00CE37DC"/>
    <w:rsid w:val="00CE4087"/>
    <w:rsid w:val="00CE492B"/>
    <w:rsid w:val="00CE4E42"/>
    <w:rsid w:val="00CE6019"/>
    <w:rsid w:val="00CE7042"/>
    <w:rsid w:val="00CE74D9"/>
    <w:rsid w:val="00CF001F"/>
    <w:rsid w:val="00CF0062"/>
    <w:rsid w:val="00CF02A6"/>
    <w:rsid w:val="00CF07DF"/>
    <w:rsid w:val="00CF083A"/>
    <w:rsid w:val="00CF1825"/>
    <w:rsid w:val="00CF1E85"/>
    <w:rsid w:val="00CF2DD9"/>
    <w:rsid w:val="00CF31F0"/>
    <w:rsid w:val="00CF3396"/>
    <w:rsid w:val="00CF37EE"/>
    <w:rsid w:val="00CF3BE1"/>
    <w:rsid w:val="00CF44BC"/>
    <w:rsid w:val="00CF5242"/>
    <w:rsid w:val="00CF55BC"/>
    <w:rsid w:val="00CF604E"/>
    <w:rsid w:val="00CF6B03"/>
    <w:rsid w:val="00CF7EE0"/>
    <w:rsid w:val="00D0200D"/>
    <w:rsid w:val="00D02288"/>
    <w:rsid w:val="00D04587"/>
    <w:rsid w:val="00D04EE3"/>
    <w:rsid w:val="00D0576E"/>
    <w:rsid w:val="00D05F9D"/>
    <w:rsid w:val="00D06686"/>
    <w:rsid w:val="00D07637"/>
    <w:rsid w:val="00D10363"/>
    <w:rsid w:val="00D10C6A"/>
    <w:rsid w:val="00D1134A"/>
    <w:rsid w:val="00D13254"/>
    <w:rsid w:val="00D135A1"/>
    <w:rsid w:val="00D13E7D"/>
    <w:rsid w:val="00D15005"/>
    <w:rsid w:val="00D15BD6"/>
    <w:rsid w:val="00D16A7C"/>
    <w:rsid w:val="00D16CC8"/>
    <w:rsid w:val="00D17A21"/>
    <w:rsid w:val="00D20490"/>
    <w:rsid w:val="00D2189B"/>
    <w:rsid w:val="00D228E7"/>
    <w:rsid w:val="00D246D4"/>
    <w:rsid w:val="00D24EFB"/>
    <w:rsid w:val="00D25550"/>
    <w:rsid w:val="00D270EA"/>
    <w:rsid w:val="00D31101"/>
    <w:rsid w:val="00D31BBB"/>
    <w:rsid w:val="00D3255A"/>
    <w:rsid w:val="00D3255E"/>
    <w:rsid w:val="00D33830"/>
    <w:rsid w:val="00D340BB"/>
    <w:rsid w:val="00D35A22"/>
    <w:rsid w:val="00D3632A"/>
    <w:rsid w:val="00D404B4"/>
    <w:rsid w:val="00D40FC8"/>
    <w:rsid w:val="00D436CA"/>
    <w:rsid w:val="00D43790"/>
    <w:rsid w:val="00D43E4A"/>
    <w:rsid w:val="00D4487C"/>
    <w:rsid w:val="00D449FA"/>
    <w:rsid w:val="00D4551E"/>
    <w:rsid w:val="00D47487"/>
    <w:rsid w:val="00D53AE4"/>
    <w:rsid w:val="00D54306"/>
    <w:rsid w:val="00D5441D"/>
    <w:rsid w:val="00D554F8"/>
    <w:rsid w:val="00D555C4"/>
    <w:rsid w:val="00D55D72"/>
    <w:rsid w:val="00D55DA7"/>
    <w:rsid w:val="00D56AF0"/>
    <w:rsid w:val="00D57CC2"/>
    <w:rsid w:val="00D57F4A"/>
    <w:rsid w:val="00D605BD"/>
    <w:rsid w:val="00D60A22"/>
    <w:rsid w:val="00D62D0E"/>
    <w:rsid w:val="00D6409A"/>
    <w:rsid w:val="00D65B71"/>
    <w:rsid w:val="00D66535"/>
    <w:rsid w:val="00D677EE"/>
    <w:rsid w:val="00D73710"/>
    <w:rsid w:val="00D74F8C"/>
    <w:rsid w:val="00D76661"/>
    <w:rsid w:val="00D76832"/>
    <w:rsid w:val="00D80D7B"/>
    <w:rsid w:val="00D83134"/>
    <w:rsid w:val="00D842C0"/>
    <w:rsid w:val="00D84992"/>
    <w:rsid w:val="00D854C1"/>
    <w:rsid w:val="00D85B26"/>
    <w:rsid w:val="00D86E20"/>
    <w:rsid w:val="00D8773D"/>
    <w:rsid w:val="00D91643"/>
    <w:rsid w:val="00D92798"/>
    <w:rsid w:val="00D9285F"/>
    <w:rsid w:val="00D94150"/>
    <w:rsid w:val="00D95031"/>
    <w:rsid w:val="00D96BD2"/>
    <w:rsid w:val="00D97883"/>
    <w:rsid w:val="00DA01CC"/>
    <w:rsid w:val="00DA0ECF"/>
    <w:rsid w:val="00DA1B3F"/>
    <w:rsid w:val="00DA2F9F"/>
    <w:rsid w:val="00DA4330"/>
    <w:rsid w:val="00DA4348"/>
    <w:rsid w:val="00DA4796"/>
    <w:rsid w:val="00DA5148"/>
    <w:rsid w:val="00DA5448"/>
    <w:rsid w:val="00DA5919"/>
    <w:rsid w:val="00DA5D2F"/>
    <w:rsid w:val="00DB01D9"/>
    <w:rsid w:val="00DB0523"/>
    <w:rsid w:val="00DB07B6"/>
    <w:rsid w:val="00DB0E6A"/>
    <w:rsid w:val="00DB1FA0"/>
    <w:rsid w:val="00DB43FE"/>
    <w:rsid w:val="00DB7CC1"/>
    <w:rsid w:val="00DB7D74"/>
    <w:rsid w:val="00DC06C0"/>
    <w:rsid w:val="00DC09AE"/>
    <w:rsid w:val="00DC0DB3"/>
    <w:rsid w:val="00DC121D"/>
    <w:rsid w:val="00DC138E"/>
    <w:rsid w:val="00DC2365"/>
    <w:rsid w:val="00DC238B"/>
    <w:rsid w:val="00DC2794"/>
    <w:rsid w:val="00DC3FB2"/>
    <w:rsid w:val="00DC4355"/>
    <w:rsid w:val="00DC48AA"/>
    <w:rsid w:val="00DC5058"/>
    <w:rsid w:val="00DC572A"/>
    <w:rsid w:val="00DC669B"/>
    <w:rsid w:val="00DC69CE"/>
    <w:rsid w:val="00DC77A1"/>
    <w:rsid w:val="00DD0459"/>
    <w:rsid w:val="00DD07FA"/>
    <w:rsid w:val="00DD0A3F"/>
    <w:rsid w:val="00DD171C"/>
    <w:rsid w:val="00DD1873"/>
    <w:rsid w:val="00DD2244"/>
    <w:rsid w:val="00DD256E"/>
    <w:rsid w:val="00DD292A"/>
    <w:rsid w:val="00DD2F8F"/>
    <w:rsid w:val="00DD343D"/>
    <w:rsid w:val="00DD37FF"/>
    <w:rsid w:val="00DD387B"/>
    <w:rsid w:val="00DD4028"/>
    <w:rsid w:val="00DD6334"/>
    <w:rsid w:val="00DE0E40"/>
    <w:rsid w:val="00DE1191"/>
    <w:rsid w:val="00DE138E"/>
    <w:rsid w:val="00DE1BCF"/>
    <w:rsid w:val="00DE354C"/>
    <w:rsid w:val="00DE3568"/>
    <w:rsid w:val="00DE3E7C"/>
    <w:rsid w:val="00DE4B42"/>
    <w:rsid w:val="00DE5980"/>
    <w:rsid w:val="00DE7924"/>
    <w:rsid w:val="00DE7F18"/>
    <w:rsid w:val="00DF0358"/>
    <w:rsid w:val="00DF0BB2"/>
    <w:rsid w:val="00DF0F04"/>
    <w:rsid w:val="00DF10FC"/>
    <w:rsid w:val="00DF1802"/>
    <w:rsid w:val="00DF1DBB"/>
    <w:rsid w:val="00DF3108"/>
    <w:rsid w:val="00DF4673"/>
    <w:rsid w:val="00DF48C3"/>
    <w:rsid w:val="00DF5DCD"/>
    <w:rsid w:val="00DF6062"/>
    <w:rsid w:val="00DF64D8"/>
    <w:rsid w:val="00DF6A5E"/>
    <w:rsid w:val="00DF7FA9"/>
    <w:rsid w:val="00E00D09"/>
    <w:rsid w:val="00E01D89"/>
    <w:rsid w:val="00E0449B"/>
    <w:rsid w:val="00E04864"/>
    <w:rsid w:val="00E06835"/>
    <w:rsid w:val="00E06982"/>
    <w:rsid w:val="00E06BD5"/>
    <w:rsid w:val="00E06CCA"/>
    <w:rsid w:val="00E07BFF"/>
    <w:rsid w:val="00E11740"/>
    <w:rsid w:val="00E1410F"/>
    <w:rsid w:val="00E145E3"/>
    <w:rsid w:val="00E164AF"/>
    <w:rsid w:val="00E22B31"/>
    <w:rsid w:val="00E22D77"/>
    <w:rsid w:val="00E246EB"/>
    <w:rsid w:val="00E24EE1"/>
    <w:rsid w:val="00E26B7B"/>
    <w:rsid w:val="00E27877"/>
    <w:rsid w:val="00E300D0"/>
    <w:rsid w:val="00E3010B"/>
    <w:rsid w:val="00E32876"/>
    <w:rsid w:val="00E332AE"/>
    <w:rsid w:val="00E33998"/>
    <w:rsid w:val="00E33BD9"/>
    <w:rsid w:val="00E35B25"/>
    <w:rsid w:val="00E36203"/>
    <w:rsid w:val="00E37D04"/>
    <w:rsid w:val="00E37FCF"/>
    <w:rsid w:val="00E40643"/>
    <w:rsid w:val="00E40715"/>
    <w:rsid w:val="00E40FA3"/>
    <w:rsid w:val="00E42A32"/>
    <w:rsid w:val="00E43287"/>
    <w:rsid w:val="00E433E9"/>
    <w:rsid w:val="00E441DD"/>
    <w:rsid w:val="00E45AB0"/>
    <w:rsid w:val="00E45B2B"/>
    <w:rsid w:val="00E46E20"/>
    <w:rsid w:val="00E47ACE"/>
    <w:rsid w:val="00E502BC"/>
    <w:rsid w:val="00E505A1"/>
    <w:rsid w:val="00E50A86"/>
    <w:rsid w:val="00E52906"/>
    <w:rsid w:val="00E53124"/>
    <w:rsid w:val="00E545A2"/>
    <w:rsid w:val="00E55227"/>
    <w:rsid w:val="00E57645"/>
    <w:rsid w:val="00E57A5D"/>
    <w:rsid w:val="00E60571"/>
    <w:rsid w:val="00E60986"/>
    <w:rsid w:val="00E60A0F"/>
    <w:rsid w:val="00E62823"/>
    <w:rsid w:val="00E62AC6"/>
    <w:rsid w:val="00E63081"/>
    <w:rsid w:val="00E63BE6"/>
    <w:rsid w:val="00E645FC"/>
    <w:rsid w:val="00E65815"/>
    <w:rsid w:val="00E6608D"/>
    <w:rsid w:val="00E66110"/>
    <w:rsid w:val="00E662BF"/>
    <w:rsid w:val="00E66C61"/>
    <w:rsid w:val="00E703E3"/>
    <w:rsid w:val="00E705E1"/>
    <w:rsid w:val="00E70D2B"/>
    <w:rsid w:val="00E731AB"/>
    <w:rsid w:val="00E73502"/>
    <w:rsid w:val="00E74431"/>
    <w:rsid w:val="00E80CC0"/>
    <w:rsid w:val="00E80F76"/>
    <w:rsid w:val="00E811B2"/>
    <w:rsid w:val="00E8527B"/>
    <w:rsid w:val="00E8531C"/>
    <w:rsid w:val="00E85BD7"/>
    <w:rsid w:val="00E86153"/>
    <w:rsid w:val="00E878A1"/>
    <w:rsid w:val="00E90050"/>
    <w:rsid w:val="00E906AC"/>
    <w:rsid w:val="00E91516"/>
    <w:rsid w:val="00E91A39"/>
    <w:rsid w:val="00E91CF5"/>
    <w:rsid w:val="00E91EE5"/>
    <w:rsid w:val="00E93827"/>
    <w:rsid w:val="00E942F1"/>
    <w:rsid w:val="00E94D0B"/>
    <w:rsid w:val="00E95EDA"/>
    <w:rsid w:val="00E9644E"/>
    <w:rsid w:val="00E97045"/>
    <w:rsid w:val="00EA0834"/>
    <w:rsid w:val="00EA14D5"/>
    <w:rsid w:val="00EA2064"/>
    <w:rsid w:val="00EA2FEB"/>
    <w:rsid w:val="00EA3971"/>
    <w:rsid w:val="00EA4C83"/>
    <w:rsid w:val="00EA58F5"/>
    <w:rsid w:val="00EA6FDE"/>
    <w:rsid w:val="00EA731B"/>
    <w:rsid w:val="00EA7A95"/>
    <w:rsid w:val="00EB3B3F"/>
    <w:rsid w:val="00EB4EDA"/>
    <w:rsid w:val="00EB4F20"/>
    <w:rsid w:val="00EB567E"/>
    <w:rsid w:val="00EB5DEF"/>
    <w:rsid w:val="00EB64CC"/>
    <w:rsid w:val="00EC2F3C"/>
    <w:rsid w:val="00EC3B42"/>
    <w:rsid w:val="00EC6470"/>
    <w:rsid w:val="00EC7350"/>
    <w:rsid w:val="00ED0894"/>
    <w:rsid w:val="00ED19DB"/>
    <w:rsid w:val="00ED1C46"/>
    <w:rsid w:val="00ED1F0E"/>
    <w:rsid w:val="00ED2250"/>
    <w:rsid w:val="00ED2812"/>
    <w:rsid w:val="00ED3064"/>
    <w:rsid w:val="00ED3A01"/>
    <w:rsid w:val="00ED3BD2"/>
    <w:rsid w:val="00ED4863"/>
    <w:rsid w:val="00ED5362"/>
    <w:rsid w:val="00ED5455"/>
    <w:rsid w:val="00ED56FA"/>
    <w:rsid w:val="00ED6332"/>
    <w:rsid w:val="00ED754A"/>
    <w:rsid w:val="00EE05A6"/>
    <w:rsid w:val="00EE20D0"/>
    <w:rsid w:val="00EE24EE"/>
    <w:rsid w:val="00EE2619"/>
    <w:rsid w:val="00EE2A65"/>
    <w:rsid w:val="00EE757F"/>
    <w:rsid w:val="00EE779F"/>
    <w:rsid w:val="00EE7E21"/>
    <w:rsid w:val="00EF035C"/>
    <w:rsid w:val="00EF0AC7"/>
    <w:rsid w:val="00EF262A"/>
    <w:rsid w:val="00EF4022"/>
    <w:rsid w:val="00EF45F4"/>
    <w:rsid w:val="00EF470E"/>
    <w:rsid w:val="00EF6196"/>
    <w:rsid w:val="00EF6DF8"/>
    <w:rsid w:val="00EF7656"/>
    <w:rsid w:val="00EF767A"/>
    <w:rsid w:val="00EF78D1"/>
    <w:rsid w:val="00F02970"/>
    <w:rsid w:val="00F02B46"/>
    <w:rsid w:val="00F031D5"/>
    <w:rsid w:val="00F05856"/>
    <w:rsid w:val="00F0623D"/>
    <w:rsid w:val="00F06DFC"/>
    <w:rsid w:val="00F072B9"/>
    <w:rsid w:val="00F07344"/>
    <w:rsid w:val="00F07C1D"/>
    <w:rsid w:val="00F07F59"/>
    <w:rsid w:val="00F107C9"/>
    <w:rsid w:val="00F10AA5"/>
    <w:rsid w:val="00F10AC4"/>
    <w:rsid w:val="00F11C97"/>
    <w:rsid w:val="00F12E25"/>
    <w:rsid w:val="00F12F45"/>
    <w:rsid w:val="00F13998"/>
    <w:rsid w:val="00F15864"/>
    <w:rsid w:val="00F15D27"/>
    <w:rsid w:val="00F1725B"/>
    <w:rsid w:val="00F175A5"/>
    <w:rsid w:val="00F20C41"/>
    <w:rsid w:val="00F21E41"/>
    <w:rsid w:val="00F221A4"/>
    <w:rsid w:val="00F221AB"/>
    <w:rsid w:val="00F23014"/>
    <w:rsid w:val="00F230A9"/>
    <w:rsid w:val="00F25396"/>
    <w:rsid w:val="00F26376"/>
    <w:rsid w:val="00F27783"/>
    <w:rsid w:val="00F27B3B"/>
    <w:rsid w:val="00F31D72"/>
    <w:rsid w:val="00F31F34"/>
    <w:rsid w:val="00F32A32"/>
    <w:rsid w:val="00F33CEF"/>
    <w:rsid w:val="00F33FCE"/>
    <w:rsid w:val="00F3400D"/>
    <w:rsid w:val="00F34696"/>
    <w:rsid w:val="00F34D9B"/>
    <w:rsid w:val="00F34DED"/>
    <w:rsid w:val="00F34F26"/>
    <w:rsid w:val="00F359E4"/>
    <w:rsid w:val="00F36356"/>
    <w:rsid w:val="00F40772"/>
    <w:rsid w:val="00F4086A"/>
    <w:rsid w:val="00F40978"/>
    <w:rsid w:val="00F4100A"/>
    <w:rsid w:val="00F4180A"/>
    <w:rsid w:val="00F42277"/>
    <w:rsid w:val="00F4253B"/>
    <w:rsid w:val="00F42A66"/>
    <w:rsid w:val="00F443E4"/>
    <w:rsid w:val="00F444F0"/>
    <w:rsid w:val="00F447A8"/>
    <w:rsid w:val="00F46F34"/>
    <w:rsid w:val="00F4716B"/>
    <w:rsid w:val="00F47203"/>
    <w:rsid w:val="00F47E16"/>
    <w:rsid w:val="00F506CB"/>
    <w:rsid w:val="00F51262"/>
    <w:rsid w:val="00F51BD2"/>
    <w:rsid w:val="00F530E5"/>
    <w:rsid w:val="00F5356C"/>
    <w:rsid w:val="00F53B18"/>
    <w:rsid w:val="00F53F1F"/>
    <w:rsid w:val="00F5420A"/>
    <w:rsid w:val="00F5499A"/>
    <w:rsid w:val="00F54BFB"/>
    <w:rsid w:val="00F55F3C"/>
    <w:rsid w:val="00F5666D"/>
    <w:rsid w:val="00F56AED"/>
    <w:rsid w:val="00F57589"/>
    <w:rsid w:val="00F57992"/>
    <w:rsid w:val="00F579DD"/>
    <w:rsid w:val="00F57F7F"/>
    <w:rsid w:val="00F60745"/>
    <w:rsid w:val="00F60C18"/>
    <w:rsid w:val="00F6132B"/>
    <w:rsid w:val="00F61343"/>
    <w:rsid w:val="00F62BBF"/>
    <w:rsid w:val="00F62C0E"/>
    <w:rsid w:val="00F62E4C"/>
    <w:rsid w:val="00F638F2"/>
    <w:rsid w:val="00F6426A"/>
    <w:rsid w:val="00F64353"/>
    <w:rsid w:val="00F651ED"/>
    <w:rsid w:val="00F656B8"/>
    <w:rsid w:val="00F672EE"/>
    <w:rsid w:val="00F675E8"/>
    <w:rsid w:val="00F67D8C"/>
    <w:rsid w:val="00F7077A"/>
    <w:rsid w:val="00F70CDF"/>
    <w:rsid w:val="00F71C5D"/>
    <w:rsid w:val="00F71D25"/>
    <w:rsid w:val="00F71E18"/>
    <w:rsid w:val="00F751B0"/>
    <w:rsid w:val="00F75BAB"/>
    <w:rsid w:val="00F76B66"/>
    <w:rsid w:val="00F80BC2"/>
    <w:rsid w:val="00F80F96"/>
    <w:rsid w:val="00F81095"/>
    <w:rsid w:val="00F81180"/>
    <w:rsid w:val="00F8154C"/>
    <w:rsid w:val="00F81652"/>
    <w:rsid w:val="00F82C71"/>
    <w:rsid w:val="00F83822"/>
    <w:rsid w:val="00F85A7C"/>
    <w:rsid w:val="00F87C99"/>
    <w:rsid w:val="00F91129"/>
    <w:rsid w:val="00F91F6C"/>
    <w:rsid w:val="00F920F9"/>
    <w:rsid w:val="00F92E55"/>
    <w:rsid w:val="00F945BC"/>
    <w:rsid w:val="00F94AB8"/>
    <w:rsid w:val="00F9527A"/>
    <w:rsid w:val="00F95469"/>
    <w:rsid w:val="00F97316"/>
    <w:rsid w:val="00FA0554"/>
    <w:rsid w:val="00FA0FD2"/>
    <w:rsid w:val="00FA198A"/>
    <w:rsid w:val="00FA2A61"/>
    <w:rsid w:val="00FA2BCE"/>
    <w:rsid w:val="00FA335E"/>
    <w:rsid w:val="00FA37F0"/>
    <w:rsid w:val="00FA3DAC"/>
    <w:rsid w:val="00FA51E3"/>
    <w:rsid w:val="00FA576F"/>
    <w:rsid w:val="00FA5EFC"/>
    <w:rsid w:val="00FA7206"/>
    <w:rsid w:val="00FA7B1F"/>
    <w:rsid w:val="00FB053D"/>
    <w:rsid w:val="00FB127B"/>
    <w:rsid w:val="00FB2792"/>
    <w:rsid w:val="00FB3798"/>
    <w:rsid w:val="00FB3FF7"/>
    <w:rsid w:val="00FB43E5"/>
    <w:rsid w:val="00FB57E3"/>
    <w:rsid w:val="00FB5BEC"/>
    <w:rsid w:val="00FB6279"/>
    <w:rsid w:val="00FB7F99"/>
    <w:rsid w:val="00FC19BE"/>
    <w:rsid w:val="00FC2134"/>
    <w:rsid w:val="00FC23E0"/>
    <w:rsid w:val="00FC4A09"/>
    <w:rsid w:val="00FC4CC1"/>
    <w:rsid w:val="00FC77B6"/>
    <w:rsid w:val="00FD0623"/>
    <w:rsid w:val="00FD136F"/>
    <w:rsid w:val="00FD192C"/>
    <w:rsid w:val="00FD2736"/>
    <w:rsid w:val="00FD2B78"/>
    <w:rsid w:val="00FD2DEC"/>
    <w:rsid w:val="00FE025B"/>
    <w:rsid w:val="00FE02B8"/>
    <w:rsid w:val="00FE1FBD"/>
    <w:rsid w:val="00FE2292"/>
    <w:rsid w:val="00FE2D63"/>
    <w:rsid w:val="00FE4633"/>
    <w:rsid w:val="00FE4C1D"/>
    <w:rsid w:val="00FE4C2E"/>
    <w:rsid w:val="00FE51A2"/>
    <w:rsid w:val="00FE66C6"/>
    <w:rsid w:val="00FE7AEF"/>
    <w:rsid w:val="00FF1C92"/>
    <w:rsid w:val="00FF3424"/>
    <w:rsid w:val="00FF4A00"/>
    <w:rsid w:val="00FF5D08"/>
    <w:rsid w:val="00FF74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D9369"/>
  <w15:chartTrackingRefBased/>
  <w15:docId w15:val="{366C4429-E65C-482C-A66A-AE2108B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6F"/>
    <w:rPr>
      <w:rFonts w:ascii="Arial" w:hAnsi="Arial"/>
      <w:sz w:val="24"/>
      <w:lang w:val="en-GB"/>
    </w:rPr>
  </w:style>
  <w:style w:type="paragraph" w:styleId="Heading1">
    <w:name w:val="heading 1"/>
    <w:basedOn w:val="Normal"/>
    <w:next w:val="Normal"/>
    <w:link w:val="Heading1Char"/>
    <w:uiPriority w:val="9"/>
    <w:qFormat/>
    <w:rsid w:val="00FB053D"/>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qFormat/>
    <w:rsid w:val="00055820"/>
    <w:pPr>
      <w:keepNext/>
      <w:keepLines/>
      <w:spacing w:before="200" w:after="0" w:line="360" w:lineRule="auto"/>
      <w:outlineLvl w:val="1"/>
    </w:pPr>
    <w:rPr>
      <w:rFonts w:eastAsia="Times New Roman" w:cs="Times New Roman"/>
      <w:b/>
      <w:bCs/>
      <w:color w:val="0A77B3"/>
      <w:szCs w:val="26"/>
      <w:lang w:val="en-US" w:bidi="en-US"/>
    </w:rPr>
  </w:style>
  <w:style w:type="paragraph" w:styleId="Heading3">
    <w:name w:val="heading 3"/>
    <w:basedOn w:val="Normal"/>
    <w:next w:val="Normal"/>
    <w:link w:val="Heading3Char"/>
    <w:uiPriority w:val="9"/>
    <w:unhideWhenUsed/>
    <w:qFormat/>
    <w:rsid w:val="00447659"/>
    <w:pPr>
      <w:keepNext/>
      <w:keepLines/>
      <w:spacing w:before="40" w:after="240"/>
      <w:ind w:left="708"/>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AC7"/>
    <w:rPr>
      <w:rFonts w:ascii="Arial" w:eastAsia="Times New Roman" w:hAnsi="Arial" w:cs="Times New Roman"/>
      <w:b/>
      <w:bCs/>
      <w:color w:val="0A77B3"/>
      <w:sz w:val="24"/>
      <w:szCs w:val="26"/>
      <w:lang w:val="en-US" w:bidi="en-US"/>
    </w:rPr>
  </w:style>
  <w:style w:type="character" w:styleId="Hyperlink">
    <w:name w:val="Hyperlink"/>
    <w:uiPriority w:val="99"/>
    <w:unhideWhenUsed/>
    <w:rsid w:val="005A1AC7"/>
    <w:rPr>
      <w:color w:val="0000FF"/>
      <w:u w:val="single"/>
    </w:rPr>
  </w:style>
  <w:style w:type="character" w:customStyle="1" w:styleId="Heading1Char">
    <w:name w:val="Heading 1 Char"/>
    <w:basedOn w:val="DefaultParagraphFont"/>
    <w:link w:val="Heading1"/>
    <w:uiPriority w:val="9"/>
    <w:rsid w:val="00FB053D"/>
    <w:rPr>
      <w:rFonts w:ascii="Arial" w:eastAsiaTheme="majorEastAsia" w:hAnsi="Arial" w:cstheme="majorBidi"/>
      <w:b/>
      <w:color w:val="365F91" w:themeColor="accent1" w:themeShade="BF"/>
      <w:sz w:val="28"/>
      <w:szCs w:val="32"/>
      <w:lang w:val="en-GB"/>
    </w:rPr>
  </w:style>
  <w:style w:type="paragraph" w:styleId="Title">
    <w:name w:val="Title"/>
    <w:basedOn w:val="Normal"/>
    <w:next w:val="Normal"/>
    <w:link w:val="TitleChar"/>
    <w:uiPriority w:val="10"/>
    <w:qFormat/>
    <w:rsid w:val="00A54D06"/>
    <w:pPr>
      <w:spacing w:after="0" w:line="240" w:lineRule="auto"/>
      <w:contextualSpacing/>
    </w:pPr>
    <w:rPr>
      <w:rFonts w:eastAsiaTheme="majorEastAsia" w:cstheme="majorBidi"/>
      <w:b/>
      <w:color w:val="0070C0"/>
      <w:spacing w:val="-10"/>
      <w:kern w:val="28"/>
      <w:sz w:val="28"/>
      <w:szCs w:val="56"/>
    </w:rPr>
  </w:style>
  <w:style w:type="character" w:customStyle="1" w:styleId="TitleChar">
    <w:name w:val="Title Char"/>
    <w:basedOn w:val="DefaultParagraphFont"/>
    <w:link w:val="Title"/>
    <w:rsid w:val="00A54D06"/>
    <w:rPr>
      <w:rFonts w:ascii="Arial" w:eastAsiaTheme="majorEastAsia" w:hAnsi="Arial" w:cstheme="majorBidi"/>
      <w:b/>
      <w:color w:val="0070C0"/>
      <w:spacing w:val="-10"/>
      <w:kern w:val="28"/>
      <w:sz w:val="28"/>
      <w:szCs w:val="56"/>
      <w:lang w:val="en-GB"/>
    </w:rPr>
  </w:style>
  <w:style w:type="paragraph" w:styleId="NoSpacing">
    <w:name w:val="No Spacing"/>
    <w:uiPriority w:val="1"/>
    <w:qFormat/>
    <w:rsid w:val="00CC3256"/>
    <w:pPr>
      <w:spacing w:after="0" w:line="240" w:lineRule="auto"/>
    </w:pPr>
    <w:rPr>
      <w:lang w:val="en-GB"/>
    </w:rPr>
  </w:style>
  <w:style w:type="paragraph" w:styleId="Header">
    <w:name w:val="header"/>
    <w:basedOn w:val="Normal"/>
    <w:link w:val="HeaderChar"/>
    <w:uiPriority w:val="99"/>
    <w:unhideWhenUsed/>
    <w:rsid w:val="00F62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C0E"/>
    <w:rPr>
      <w:rFonts w:ascii="Arial" w:hAnsi="Arial"/>
      <w:lang w:val="en-GB"/>
    </w:rPr>
  </w:style>
  <w:style w:type="paragraph" w:styleId="Footer">
    <w:name w:val="footer"/>
    <w:basedOn w:val="Normal"/>
    <w:link w:val="FooterChar"/>
    <w:uiPriority w:val="99"/>
    <w:unhideWhenUsed/>
    <w:rsid w:val="00F62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C0E"/>
    <w:rPr>
      <w:rFonts w:ascii="Arial" w:hAnsi="Arial"/>
      <w:lang w:val="en-GB"/>
    </w:rPr>
  </w:style>
  <w:style w:type="character" w:styleId="FollowedHyperlink">
    <w:name w:val="FollowedHyperlink"/>
    <w:basedOn w:val="DefaultParagraphFont"/>
    <w:uiPriority w:val="99"/>
    <w:semiHidden/>
    <w:unhideWhenUsed/>
    <w:rsid w:val="000A4B4C"/>
    <w:rPr>
      <w:color w:val="800080" w:themeColor="followedHyperlink"/>
      <w:u w:val="single"/>
    </w:rPr>
  </w:style>
  <w:style w:type="character" w:styleId="Mention">
    <w:name w:val="Mention"/>
    <w:basedOn w:val="DefaultParagraphFont"/>
    <w:uiPriority w:val="99"/>
    <w:semiHidden/>
    <w:unhideWhenUsed/>
    <w:rsid w:val="000A4B4C"/>
    <w:rPr>
      <w:color w:val="2B579A"/>
      <w:shd w:val="clear" w:color="auto" w:fill="E6E6E6"/>
    </w:rPr>
  </w:style>
  <w:style w:type="paragraph" w:styleId="ListParagraph">
    <w:name w:val="List Paragraph"/>
    <w:basedOn w:val="Normal"/>
    <w:uiPriority w:val="34"/>
    <w:qFormat/>
    <w:rsid w:val="003A3B17"/>
    <w:pPr>
      <w:ind w:left="720"/>
      <w:contextualSpacing/>
    </w:pPr>
  </w:style>
  <w:style w:type="character" w:styleId="CommentReference">
    <w:name w:val="annotation reference"/>
    <w:basedOn w:val="DefaultParagraphFont"/>
    <w:uiPriority w:val="99"/>
    <w:semiHidden/>
    <w:unhideWhenUsed/>
    <w:qFormat/>
    <w:rsid w:val="00784C67"/>
    <w:rPr>
      <w:sz w:val="16"/>
      <w:szCs w:val="16"/>
    </w:rPr>
  </w:style>
  <w:style w:type="paragraph" w:styleId="CommentText">
    <w:name w:val="annotation text"/>
    <w:basedOn w:val="Normal"/>
    <w:link w:val="CommentTextChar"/>
    <w:uiPriority w:val="99"/>
    <w:unhideWhenUsed/>
    <w:qFormat/>
    <w:rsid w:val="00784C67"/>
    <w:pPr>
      <w:spacing w:line="240" w:lineRule="auto"/>
    </w:pPr>
    <w:rPr>
      <w:sz w:val="20"/>
      <w:szCs w:val="20"/>
    </w:rPr>
  </w:style>
  <w:style w:type="character" w:customStyle="1" w:styleId="CommentTextChar">
    <w:name w:val="Comment Text Char"/>
    <w:basedOn w:val="DefaultParagraphFont"/>
    <w:link w:val="CommentText"/>
    <w:uiPriority w:val="99"/>
    <w:qFormat/>
    <w:rsid w:val="00784C6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84C67"/>
    <w:rPr>
      <w:b/>
      <w:bCs/>
    </w:rPr>
  </w:style>
  <w:style w:type="character" w:customStyle="1" w:styleId="CommentSubjectChar">
    <w:name w:val="Comment Subject Char"/>
    <w:basedOn w:val="CommentTextChar"/>
    <w:link w:val="CommentSubject"/>
    <w:uiPriority w:val="99"/>
    <w:semiHidden/>
    <w:rsid w:val="00784C67"/>
    <w:rPr>
      <w:rFonts w:ascii="Arial" w:hAnsi="Arial"/>
      <w:b/>
      <w:bCs/>
      <w:sz w:val="20"/>
      <w:szCs w:val="20"/>
      <w:lang w:val="en-GB"/>
    </w:rPr>
  </w:style>
  <w:style w:type="paragraph" w:styleId="BalloonText">
    <w:name w:val="Balloon Text"/>
    <w:basedOn w:val="Normal"/>
    <w:link w:val="BalloonTextChar"/>
    <w:uiPriority w:val="99"/>
    <w:semiHidden/>
    <w:unhideWhenUsed/>
    <w:rsid w:val="00784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67"/>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9379AA"/>
    <w:rPr>
      <w:color w:val="605E5C"/>
      <w:shd w:val="clear" w:color="auto" w:fill="E1DFDD"/>
    </w:rPr>
  </w:style>
  <w:style w:type="paragraph" w:styleId="EndnoteText">
    <w:name w:val="endnote text"/>
    <w:basedOn w:val="Normal"/>
    <w:link w:val="EndnoteTextChar"/>
    <w:uiPriority w:val="99"/>
    <w:unhideWhenUsed/>
    <w:rsid w:val="00DA5D2F"/>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DA5D2F"/>
    <w:rPr>
      <w:sz w:val="20"/>
      <w:szCs w:val="20"/>
    </w:rPr>
  </w:style>
  <w:style w:type="character" w:styleId="EndnoteReference">
    <w:name w:val="endnote reference"/>
    <w:basedOn w:val="DefaultParagraphFont"/>
    <w:uiPriority w:val="99"/>
    <w:semiHidden/>
    <w:unhideWhenUsed/>
    <w:rsid w:val="00DA5D2F"/>
    <w:rPr>
      <w:vertAlign w:val="superscript"/>
    </w:rPr>
  </w:style>
  <w:style w:type="paragraph" w:styleId="NormalWeb">
    <w:name w:val="Normal (Web)"/>
    <w:basedOn w:val="Normal"/>
    <w:uiPriority w:val="99"/>
    <w:semiHidden/>
    <w:unhideWhenUsed/>
    <w:rsid w:val="0089408E"/>
    <w:rPr>
      <w:rFonts w:ascii="Times New Roman" w:hAnsi="Times New Roman" w:cs="Times New Roman"/>
      <w:szCs w:val="24"/>
    </w:rPr>
  </w:style>
  <w:style w:type="character" w:customStyle="1" w:styleId="UnresolvedMention2">
    <w:name w:val="Unresolved Mention2"/>
    <w:basedOn w:val="DefaultParagraphFont"/>
    <w:uiPriority w:val="99"/>
    <w:semiHidden/>
    <w:unhideWhenUsed/>
    <w:rsid w:val="00E811B2"/>
    <w:rPr>
      <w:color w:val="605E5C"/>
      <w:shd w:val="clear" w:color="auto" w:fill="E1DFDD"/>
    </w:rPr>
  </w:style>
  <w:style w:type="paragraph" w:styleId="FootnoteText">
    <w:name w:val="footnote text"/>
    <w:basedOn w:val="Normal"/>
    <w:link w:val="FootnoteTextChar"/>
    <w:uiPriority w:val="99"/>
    <w:unhideWhenUsed/>
    <w:qFormat/>
    <w:rsid w:val="00AD70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D700C"/>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AD700C"/>
    <w:rPr>
      <w:vertAlign w:val="superscript"/>
    </w:rPr>
  </w:style>
  <w:style w:type="character" w:customStyle="1" w:styleId="Heading3Char">
    <w:name w:val="Heading 3 Char"/>
    <w:basedOn w:val="DefaultParagraphFont"/>
    <w:link w:val="Heading3"/>
    <w:uiPriority w:val="9"/>
    <w:rsid w:val="00447659"/>
    <w:rPr>
      <w:rFonts w:ascii="Arial" w:eastAsiaTheme="majorEastAsia" w:hAnsi="Arial" w:cstheme="majorBidi"/>
      <w:b/>
      <w:color w:val="243F60" w:themeColor="accent1" w:themeShade="7F"/>
      <w:szCs w:val="24"/>
      <w:lang w:val="en-GB"/>
    </w:rPr>
  </w:style>
  <w:style w:type="character" w:customStyle="1" w:styleId="Mentionnonrsolue1">
    <w:name w:val="Mention non résolue1"/>
    <w:basedOn w:val="DefaultParagraphFont"/>
    <w:uiPriority w:val="99"/>
    <w:semiHidden/>
    <w:unhideWhenUsed/>
    <w:rsid w:val="0007074B"/>
    <w:rPr>
      <w:color w:val="605E5C"/>
      <w:shd w:val="clear" w:color="auto" w:fill="E1DFDD"/>
    </w:rPr>
  </w:style>
  <w:style w:type="paragraph" w:customStyle="1" w:styleId="Default">
    <w:name w:val="Default"/>
    <w:rsid w:val="0003119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622B2"/>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8622B2"/>
    <w:pPr>
      <w:spacing w:after="100"/>
    </w:pPr>
  </w:style>
  <w:style w:type="paragraph" w:styleId="TOC2">
    <w:name w:val="toc 2"/>
    <w:basedOn w:val="Normal"/>
    <w:next w:val="Normal"/>
    <w:autoRedefine/>
    <w:uiPriority w:val="39"/>
    <w:unhideWhenUsed/>
    <w:rsid w:val="008622B2"/>
    <w:pPr>
      <w:spacing w:after="100"/>
      <w:ind w:left="220"/>
    </w:pPr>
  </w:style>
  <w:style w:type="paragraph" w:styleId="TOC3">
    <w:name w:val="toc 3"/>
    <w:basedOn w:val="Normal"/>
    <w:next w:val="Normal"/>
    <w:autoRedefine/>
    <w:uiPriority w:val="39"/>
    <w:unhideWhenUsed/>
    <w:rsid w:val="008622B2"/>
    <w:pPr>
      <w:spacing w:after="100"/>
      <w:ind w:left="440"/>
    </w:pPr>
  </w:style>
  <w:style w:type="character" w:customStyle="1" w:styleId="A10">
    <w:name w:val="A10"/>
    <w:uiPriority w:val="99"/>
    <w:rsid w:val="00CD0E88"/>
    <w:rPr>
      <w:rFonts w:cs="QNFQU P+ Interstate"/>
      <w:color w:val="000000"/>
      <w:sz w:val="12"/>
      <w:szCs w:val="12"/>
    </w:rPr>
  </w:style>
  <w:style w:type="character" w:styleId="Strong">
    <w:name w:val="Strong"/>
    <w:basedOn w:val="DefaultParagraphFont"/>
    <w:uiPriority w:val="22"/>
    <w:qFormat/>
    <w:rsid w:val="00061A9F"/>
    <w:rPr>
      <w:b/>
      <w:bCs/>
    </w:rPr>
  </w:style>
  <w:style w:type="paragraph" w:customStyle="1" w:styleId="Pa4">
    <w:name w:val="Pa4"/>
    <w:basedOn w:val="Default"/>
    <w:next w:val="Default"/>
    <w:uiPriority w:val="99"/>
    <w:rsid w:val="00ED4863"/>
    <w:pPr>
      <w:spacing w:line="220" w:lineRule="atLeast"/>
    </w:pPr>
    <w:rPr>
      <w:rFonts w:ascii="Interstate Light" w:hAnsi="Interstate Light" w:cstheme="minorBidi"/>
      <w:color w:val="auto"/>
    </w:rPr>
  </w:style>
  <w:style w:type="paragraph" w:customStyle="1" w:styleId="Normal1">
    <w:name w:val="Normal1"/>
    <w:basedOn w:val="Normal"/>
    <w:rsid w:val="00F06DFC"/>
    <w:pPr>
      <w:spacing w:before="100" w:beforeAutospacing="1" w:after="100" w:afterAutospacing="1" w:line="240" w:lineRule="auto"/>
    </w:pPr>
    <w:rPr>
      <w:rFonts w:ascii="Times New Roman" w:eastAsia="Times New Roman" w:hAnsi="Times New Roman" w:cs="Times New Roman"/>
      <w:szCs w:val="24"/>
      <w:lang w:val="fr-BE" w:eastAsia="fr-BE"/>
    </w:rPr>
  </w:style>
  <w:style w:type="paragraph" w:customStyle="1" w:styleId="p11">
    <w:name w:val="p11"/>
    <w:basedOn w:val="Normal"/>
    <w:rsid w:val="006A3F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1">
    <w:name w:val="s1"/>
    <w:basedOn w:val="DefaultParagraphFont"/>
    <w:rsid w:val="006A3F57"/>
  </w:style>
  <w:style w:type="character" w:customStyle="1" w:styleId="s21">
    <w:name w:val="s21"/>
    <w:basedOn w:val="DefaultParagraphFont"/>
    <w:rsid w:val="006A3F57"/>
  </w:style>
  <w:style w:type="character" w:customStyle="1" w:styleId="Mentionnonrsolue2">
    <w:name w:val="Mention non résolue2"/>
    <w:basedOn w:val="DefaultParagraphFont"/>
    <w:uiPriority w:val="99"/>
    <w:semiHidden/>
    <w:unhideWhenUsed/>
    <w:rsid w:val="006A3F57"/>
    <w:rPr>
      <w:color w:val="605E5C"/>
      <w:shd w:val="clear" w:color="auto" w:fill="E1DFDD"/>
    </w:rPr>
  </w:style>
  <w:style w:type="character" w:customStyle="1" w:styleId="A5">
    <w:name w:val="A5"/>
    <w:uiPriority w:val="99"/>
    <w:rsid w:val="00F1725B"/>
    <w:rPr>
      <w:rFonts w:cs="DaxlinePro"/>
      <w:color w:val="000000"/>
      <w:sz w:val="10"/>
      <w:szCs w:val="10"/>
    </w:rPr>
  </w:style>
  <w:style w:type="table" w:styleId="TableGrid">
    <w:name w:val="Table Grid"/>
    <w:basedOn w:val="TableNormal"/>
    <w:uiPriority w:val="59"/>
    <w:rsid w:val="00FB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MChar">
    <w:name w:val="FootnoteRM Char"/>
    <w:basedOn w:val="DefaultParagraphFont"/>
    <w:link w:val="FootnoteRM"/>
    <w:locked/>
    <w:rsid w:val="00A37FAF"/>
    <w:rPr>
      <w:rFonts w:cstheme="minorHAnsi"/>
      <w:sz w:val="18"/>
      <w:szCs w:val="18"/>
    </w:rPr>
  </w:style>
  <w:style w:type="paragraph" w:customStyle="1" w:styleId="FootnoteRM">
    <w:name w:val="FootnoteRM"/>
    <w:basedOn w:val="FootnoteText"/>
    <w:link w:val="FootnoteRMChar"/>
    <w:qFormat/>
    <w:rsid w:val="00A37FAF"/>
    <w:pPr>
      <w:jc w:val="both"/>
    </w:pPr>
    <w:rPr>
      <w:rFonts w:asciiTheme="minorHAnsi" w:hAnsiTheme="minorHAnsi" w:cstheme="minorHAnsi"/>
      <w:sz w:val="18"/>
      <w:szCs w:val="18"/>
      <w:lang w:val="fr-BE"/>
    </w:rPr>
  </w:style>
  <w:style w:type="character" w:styleId="UnresolvedMention">
    <w:name w:val="Unresolved Mention"/>
    <w:basedOn w:val="DefaultParagraphFont"/>
    <w:uiPriority w:val="99"/>
    <w:semiHidden/>
    <w:unhideWhenUsed/>
    <w:rsid w:val="004C5C94"/>
    <w:rPr>
      <w:color w:val="605E5C"/>
      <w:shd w:val="clear" w:color="auto" w:fill="E1DFDD"/>
    </w:rPr>
  </w:style>
  <w:style w:type="paragraph" w:styleId="Revision">
    <w:name w:val="Revision"/>
    <w:hidden/>
    <w:uiPriority w:val="99"/>
    <w:semiHidden/>
    <w:rsid w:val="0017435D"/>
    <w:pPr>
      <w:spacing w:after="0" w:line="240" w:lineRule="auto"/>
    </w:pPr>
    <w:rPr>
      <w:rFonts w:ascii="Arial" w:hAnsi="Arial"/>
      <w:lang w:val="en-GB"/>
    </w:rPr>
  </w:style>
  <w:style w:type="character" w:customStyle="1" w:styleId="Caractresdenotedebasdepage">
    <w:name w:val="Caractères de note de bas de page"/>
    <w:rsid w:val="009C24CB"/>
    <w:rPr>
      <w:rFonts w:ascii="TimesNewRomanPS" w:hAnsi="TimesNewRomanPS" w:cs="TimesNewRomanPS"/>
      <w:position w:val="6"/>
    </w:rPr>
  </w:style>
  <w:style w:type="paragraph" w:customStyle="1" w:styleId="Pa1">
    <w:name w:val="Pa1"/>
    <w:basedOn w:val="Default"/>
    <w:next w:val="Default"/>
    <w:uiPriority w:val="99"/>
    <w:rsid w:val="00B23C3D"/>
    <w:pPr>
      <w:spacing w:line="221" w:lineRule="atLeast"/>
    </w:pPr>
    <w:rPr>
      <w:rFonts w:ascii="NXCAE V+ Interstate" w:hAnsi="NXCAE V+ Interstate" w:cstheme="minorBidi"/>
      <w:color w:val="auto"/>
    </w:rPr>
  </w:style>
  <w:style w:type="character" w:customStyle="1" w:styleId="A16">
    <w:name w:val="A16"/>
    <w:uiPriority w:val="99"/>
    <w:rsid w:val="00976C67"/>
    <w:rPr>
      <w:rFonts w:cs="NXCAE V+ Interstate"/>
      <w:color w:val="000000"/>
      <w:sz w:val="19"/>
      <w:szCs w:val="19"/>
    </w:rPr>
  </w:style>
  <w:style w:type="paragraph" w:customStyle="1" w:styleId="CoverTitle">
    <w:name w:val="Cover Title"/>
    <w:basedOn w:val="Normal"/>
    <w:next w:val="Normal"/>
    <w:link w:val="CoverTitleChar"/>
    <w:qFormat/>
    <w:rsid w:val="00F443E4"/>
    <w:pPr>
      <w:spacing w:before="840" w:after="0" w:line="240" w:lineRule="auto"/>
    </w:pPr>
    <w:rPr>
      <w:b/>
      <w:color w:val="FFFFFF" w:themeColor="background1"/>
      <w:sz w:val="96"/>
    </w:rPr>
  </w:style>
  <w:style w:type="paragraph" w:styleId="Subtitle">
    <w:name w:val="Subtitle"/>
    <w:basedOn w:val="Normal"/>
    <w:next w:val="Normal"/>
    <w:link w:val="SubtitleChar"/>
    <w:qFormat/>
    <w:rsid w:val="00E55227"/>
    <w:pPr>
      <w:numPr>
        <w:ilvl w:val="1"/>
      </w:numPr>
      <w:spacing w:before="120" w:after="120" w:line="259" w:lineRule="auto"/>
    </w:pPr>
    <w:rPr>
      <w:rFonts w:eastAsiaTheme="minorEastAsia" w:cs="Times New Roman"/>
      <w:b/>
      <w:color w:val="FFFFFF" w:themeColor="background1"/>
      <w:spacing w:val="15"/>
      <w:sz w:val="40"/>
      <w:lang w:val="en-US"/>
    </w:rPr>
  </w:style>
  <w:style w:type="character" w:customStyle="1" w:styleId="CoverTitleChar">
    <w:name w:val="Cover Title Char"/>
    <w:basedOn w:val="TitleChar"/>
    <w:link w:val="CoverTitle"/>
    <w:rsid w:val="00F443E4"/>
    <w:rPr>
      <w:rFonts w:ascii="Arial" w:eastAsiaTheme="majorEastAsia" w:hAnsi="Arial" w:cstheme="majorBidi"/>
      <w:b/>
      <w:color w:val="FFFFFF" w:themeColor="background1"/>
      <w:spacing w:val="-10"/>
      <w:kern w:val="28"/>
      <w:sz w:val="96"/>
      <w:szCs w:val="56"/>
      <w:lang w:val="en-GB"/>
    </w:rPr>
  </w:style>
  <w:style w:type="character" w:customStyle="1" w:styleId="SubtitleChar">
    <w:name w:val="Subtitle Char"/>
    <w:basedOn w:val="DefaultParagraphFont"/>
    <w:link w:val="Subtitle"/>
    <w:rsid w:val="00E55227"/>
    <w:rPr>
      <w:rFonts w:ascii="Arial" w:eastAsiaTheme="minorEastAsia" w:hAnsi="Arial" w:cs="Times New Roman"/>
      <w:b/>
      <w:color w:val="FFFFFF" w:themeColor="background1"/>
      <w:spacing w:val="15"/>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0436">
      <w:bodyDiv w:val="1"/>
      <w:marLeft w:val="0"/>
      <w:marRight w:val="0"/>
      <w:marTop w:val="0"/>
      <w:marBottom w:val="0"/>
      <w:divBdr>
        <w:top w:val="none" w:sz="0" w:space="0" w:color="auto"/>
        <w:left w:val="none" w:sz="0" w:space="0" w:color="auto"/>
        <w:bottom w:val="none" w:sz="0" w:space="0" w:color="auto"/>
        <w:right w:val="none" w:sz="0" w:space="0" w:color="auto"/>
      </w:divBdr>
    </w:div>
    <w:div w:id="79177492">
      <w:bodyDiv w:val="1"/>
      <w:marLeft w:val="0"/>
      <w:marRight w:val="0"/>
      <w:marTop w:val="0"/>
      <w:marBottom w:val="0"/>
      <w:divBdr>
        <w:top w:val="none" w:sz="0" w:space="0" w:color="auto"/>
        <w:left w:val="none" w:sz="0" w:space="0" w:color="auto"/>
        <w:bottom w:val="none" w:sz="0" w:space="0" w:color="auto"/>
        <w:right w:val="none" w:sz="0" w:space="0" w:color="auto"/>
      </w:divBdr>
    </w:div>
    <w:div w:id="154078336">
      <w:bodyDiv w:val="1"/>
      <w:marLeft w:val="0"/>
      <w:marRight w:val="0"/>
      <w:marTop w:val="0"/>
      <w:marBottom w:val="0"/>
      <w:divBdr>
        <w:top w:val="none" w:sz="0" w:space="0" w:color="auto"/>
        <w:left w:val="none" w:sz="0" w:space="0" w:color="auto"/>
        <w:bottom w:val="none" w:sz="0" w:space="0" w:color="auto"/>
        <w:right w:val="none" w:sz="0" w:space="0" w:color="auto"/>
      </w:divBdr>
    </w:div>
    <w:div w:id="252252094">
      <w:bodyDiv w:val="1"/>
      <w:marLeft w:val="0"/>
      <w:marRight w:val="0"/>
      <w:marTop w:val="0"/>
      <w:marBottom w:val="0"/>
      <w:divBdr>
        <w:top w:val="none" w:sz="0" w:space="0" w:color="auto"/>
        <w:left w:val="none" w:sz="0" w:space="0" w:color="auto"/>
        <w:bottom w:val="none" w:sz="0" w:space="0" w:color="auto"/>
        <w:right w:val="none" w:sz="0" w:space="0" w:color="auto"/>
      </w:divBdr>
    </w:div>
    <w:div w:id="353969462">
      <w:bodyDiv w:val="1"/>
      <w:marLeft w:val="0"/>
      <w:marRight w:val="0"/>
      <w:marTop w:val="0"/>
      <w:marBottom w:val="0"/>
      <w:divBdr>
        <w:top w:val="none" w:sz="0" w:space="0" w:color="auto"/>
        <w:left w:val="none" w:sz="0" w:space="0" w:color="auto"/>
        <w:bottom w:val="none" w:sz="0" w:space="0" w:color="auto"/>
        <w:right w:val="none" w:sz="0" w:space="0" w:color="auto"/>
      </w:divBdr>
    </w:div>
    <w:div w:id="377440260">
      <w:bodyDiv w:val="1"/>
      <w:marLeft w:val="0"/>
      <w:marRight w:val="0"/>
      <w:marTop w:val="0"/>
      <w:marBottom w:val="0"/>
      <w:divBdr>
        <w:top w:val="none" w:sz="0" w:space="0" w:color="auto"/>
        <w:left w:val="none" w:sz="0" w:space="0" w:color="auto"/>
        <w:bottom w:val="none" w:sz="0" w:space="0" w:color="auto"/>
        <w:right w:val="none" w:sz="0" w:space="0" w:color="auto"/>
      </w:divBdr>
    </w:div>
    <w:div w:id="406735584">
      <w:bodyDiv w:val="1"/>
      <w:marLeft w:val="0"/>
      <w:marRight w:val="0"/>
      <w:marTop w:val="0"/>
      <w:marBottom w:val="0"/>
      <w:divBdr>
        <w:top w:val="none" w:sz="0" w:space="0" w:color="auto"/>
        <w:left w:val="none" w:sz="0" w:space="0" w:color="auto"/>
        <w:bottom w:val="none" w:sz="0" w:space="0" w:color="auto"/>
        <w:right w:val="none" w:sz="0" w:space="0" w:color="auto"/>
      </w:divBdr>
    </w:div>
    <w:div w:id="464469648">
      <w:bodyDiv w:val="1"/>
      <w:marLeft w:val="0"/>
      <w:marRight w:val="0"/>
      <w:marTop w:val="0"/>
      <w:marBottom w:val="0"/>
      <w:divBdr>
        <w:top w:val="none" w:sz="0" w:space="0" w:color="auto"/>
        <w:left w:val="none" w:sz="0" w:space="0" w:color="auto"/>
        <w:bottom w:val="none" w:sz="0" w:space="0" w:color="auto"/>
        <w:right w:val="none" w:sz="0" w:space="0" w:color="auto"/>
      </w:divBdr>
    </w:div>
    <w:div w:id="466433780">
      <w:bodyDiv w:val="1"/>
      <w:marLeft w:val="0"/>
      <w:marRight w:val="0"/>
      <w:marTop w:val="0"/>
      <w:marBottom w:val="0"/>
      <w:divBdr>
        <w:top w:val="none" w:sz="0" w:space="0" w:color="auto"/>
        <w:left w:val="none" w:sz="0" w:space="0" w:color="auto"/>
        <w:bottom w:val="none" w:sz="0" w:space="0" w:color="auto"/>
        <w:right w:val="none" w:sz="0" w:space="0" w:color="auto"/>
      </w:divBdr>
    </w:div>
    <w:div w:id="472790748">
      <w:bodyDiv w:val="1"/>
      <w:marLeft w:val="0"/>
      <w:marRight w:val="0"/>
      <w:marTop w:val="0"/>
      <w:marBottom w:val="0"/>
      <w:divBdr>
        <w:top w:val="none" w:sz="0" w:space="0" w:color="auto"/>
        <w:left w:val="none" w:sz="0" w:space="0" w:color="auto"/>
        <w:bottom w:val="none" w:sz="0" w:space="0" w:color="auto"/>
        <w:right w:val="none" w:sz="0" w:space="0" w:color="auto"/>
      </w:divBdr>
      <w:divsChild>
        <w:div w:id="1593005605">
          <w:marLeft w:val="0"/>
          <w:marRight w:val="0"/>
          <w:marTop w:val="0"/>
          <w:marBottom w:val="0"/>
          <w:divBdr>
            <w:top w:val="none" w:sz="0" w:space="0" w:color="auto"/>
            <w:left w:val="none" w:sz="0" w:space="0" w:color="auto"/>
            <w:bottom w:val="none" w:sz="0" w:space="0" w:color="auto"/>
            <w:right w:val="none" w:sz="0" w:space="0" w:color="auto"/>
          </w:divBdr>
        </w:div>
        <w:div w:id="1573470861">
          <w:marLeft w:val="0"/>
          <w:marRight w:val="0"/>
          <w:marTop w:val="0"/>
          <w:marBottom w:val="0"/>
          <w:divBdr>
            <w:top w:val="none" w:sz="0" w:space="0" w:color="auto"/>
            <w:left w:val="none" w:sz="0" w:space="0" w:color="auto"/>
            <w:bottom w:val="none" w:sz="0" w:space="0" w:color="auto"/>
            <w:right w:val="none" w:sz="0" w:space="0" w:color="auto"/>
          </w:divBdr>
        </w:div>
        <w:div w:id="775906904">
          <w:marLeft w:val="0"/>
          <w:marRight w:val="0"/>
          <w:marTop w:val="0"/>
          <w:marBottom w:val="0"/>
          <w:divBdr>
            <w:top w:val="none" w:sz="0" w:space="0" w:color="auto"/>
            <w:left w:val="none" w:sz="0" w:space="0" w:color="auto"/>
            <w:bottom w:val="none" w:sz="0" w:space="0" w:color="auto"/>
            <w:right w:val="none" w:sz="0" w:space="0" w:color="auto"/>
          </w:divBdr>
        </w:div>
      </w:divsChild>
    </w:div>
    <w:div w:id="552426245">
      <w:bodyDiv w:val="1"/>
      <w:marLeft w:val="0"/>
      <w:marRight w:val="0"/>
      <w:marTop w:val="0"/>
      <w:marBottom w:val="0"/>
      <w:divBdr>
        <w:top w:val="none" w:sz="0" w:space="0" w:color="auto"/>
        <w:left w:val="none" w:sz="0" w:space="0" w:color="auto"/>
        <w:bottom w:val="none" w:sz="0" w:space="0" w:color="auto"/>
        <w:right w:val="none" w:sz="0" w:space="0" w:color="auto"/>
      </w:divBdr>
    </w:div>
    <w:div w:id="567232270">
      <w:bodyDiv w:val="1"/>
      <w:marLeft w:val="0"/>
      <w:marRight w:val="0"/>
      <w:marTop w:val="0"/>
      <w:marBottom w:val="0"/>
      <w:divBdr>
        <w:top w:val="none" w:sz="0" w:space="0" w:color="auto"/>
        <w:left w:val="none" w:sz="0" w:space="0" w:color="auto"/>
        <w:bottom w:val="none" w:sz="0" w:space="0" w:color="auto"/>
        <w:right w:val="none" w:sz="0" w:space="0" w:color="auto"/>
      </w:divBdr>
    </w:div>
    <w:div w:id="601111732">
      <w:bodyDiv w:val="1"/>
      <w:marLeft w:val="0"/>
      <w:marRight w:val="0"/>
      <w:marTop w:val="0"/>
      <w:marBottom w:val="0"/>
      <w:divBdr>
        <w:top w:val="none" w:sz="0" w:space="0" w:color="auto"/>
        <w:left w:val="none" w:sz="0" w:space="0" w:color="auto"/>
        <w:bottom w:val="none" w:sz="0" w:space="0" w:color="auto"/>
        <w:right w:val="none" w:sz="0" w:space="0" w:color="auto"/>
      </w:divBdr>
    </w:div>
    <w:div w:id="719211941">
      <w:bodyDiv w:val="1"/>
      <w:marLeft w:val="0"/>
      <w:marRight w:val="0"/>
      <w:marTop w:val="0"/>
      <w:marBottom w:val="0"/>
      <w:divBdr>
        <w:top w:val="none" w:sz="0" w:space="0" w:color="auto"/>
        <w:left w:val="none" w:sz="0" w:space="0" w:color="auto"/>
        <w:bottom w:val="none" w:sz="0" w:space="0" w:color="auto"/>
        <w:right w:val="none" w:sz="0" w:space="0" w:color="auto"/>
      </w:divBdr>
    </w:div>
    <w:div w:id="746461332">
      <w:bodyDiv w:val="1"/>
      <w:marLeft w:val="0"/>
      <w:marRight w:val="0"/>
      <w:marTop w:val="0"/>
      <w:marBottom w:val="0"/>
      <w:divBdr>
        <w:top w:val="none" w:sz="0" w:space="0" w:color="auto"/>
        <w:left w:val="none" w:sz="0" w:space="0" w:color="auto"/>
        <w:bottom w:val="none" w:sz="0" w:space="0" w:color="auto"/>
        <w:right w:val="none" w:sz="0" w:space="0" w:color="auto"/>
      </w:divBdr>
    </w:div>
    <w:div w:id="931161743">
      <w:bodyDiv w:val="1"/>
      <w:marLeft w:val="0"/>
      <w:marRight w:val="0"/>
      <w:marTop w:val="0"/>
      <w:marBottom w:val="0"/>
      <w:divBdr>
        <w:top w:val="none" w:sz="0" w:space="0" w:color="auto"/>
        <w:left w:val="none" w:sz="0" w:space="0" w:color="auto"/>
        <w:bottom w:val="none" w:sz="0" w:space="0" w:color="auto"/>
        <w:right w:val="none" w:sz="0" w:space="0" w:color="auto"/>
      </w:divBdr>
    </w:div>
    <w:div w:id="943347959">
      <w:bodyDiv w:val="1"/>
      <w:marLeft w:val="0"/>
      <w:marRight w:val="0"/>
      <w:marTop w:val="0"/>
      <w:marBottom w:val="0"/>
      <w:divBdr>
        <w:top w:val="none" w:sz="0" w:space="0" w:color="auto"/>
        <w:left w:val="none" w:sz="0" w:space="0" w:color="auto"/>
        <w:bottom w:val="none" w:sz="0" w:space="0" w:color="auto"/>
        <w:right w:val="none" w:sz="0" w:space="0" w:color="auto"/>
      </w:divBdr>
    </w:div>
    <w:div w:id="1065028251">
      <w:bodyDiv w:val="1"/>
      <w:marLeft w:val="0"/>
      <w:marRight w:val="0"/>
      <w:marTop w:val="0"/>
      <w:marBottom w:val="0"/>
      <w:divBdr>
        <w:top w:val="none" w:sz="0" w:space="0" w:color="auto"/>
        <w:left w:val="none" w:sz="0" w:space="0" w:color="auto"/>
        <w:bottom w:val="none" w:sz="0" w:space="0" w:color="auto"/>
        <w:right w:val="none" w:sz="0" w:space="0" w:color="auto"/>
      </w:divBdr>
    </w:div>
    <w:div w:id="1164199528">
      <w:bodyDiv w:val="1"/>
      <w:marLeft w:val="0"/>
      <w:marRight w:val="0"/>
      <w:marTop w:val="0"/>
      <w:marBottom w:val="0"/>
      <w:divBdr>
        <w:top w:val="none" w:sz="0" w:space="0" w:color="auto"/>
        <w:left w:val="none" w:sz="0" w:space="0" w:color="auto"/>
        <w:bottom w:val="none" w:sz="0" w:space="0" w:color="auto"/>
        <w:right w:val="none" w:sz="0" w:space="0" w:color="auto"/>
      </w:divBdr>
    </w:div>
    <w:div w:id="1170102784">
      <w:bodyDiv w:val="1"/>
      <w:marLeft w:val="0"/>
      <w:marRight w:val="0"/>
      <w:marTop w:val="0"/>
      <w:marBottom w:val="0"/>
      <w:divBdr>
        <w:top w:val="none" w:sz="0" w:space="0" w:color="auto"/>
        <w:left w:val="none" w:sz="0" w:space="0" w:color="auto"/>
        <w:bottom w:val="none" w:sz="0" w:space="0" w:color="auto"/>
        <w:right w:val="none" w:sz="0" w:space="0" w:color="auto"/>
      </w:divBdr>
    </w:div>
    <w:div w:id="1232697830">
      <w:bodyDiv w:val="1"/>
      <w:marLeft w:val="0"/>
      <w:marRight w:val="0"/>
      <w:marTop w:val="0"/>
      <w:marBottom w:val="0"/>
      <w:divBdr>
        <w:top w:val="none" w:sz="0" w:space="0" w:color="auto"/>
        <w:left w:val="none" w:sz="0" w:space="0" w:color="auto"/>
        <w:bottom w:val="none" w:sz="0" w:space="0" w:color="auto"/>
        <w:right w:val="none" w:sz="0" w:space="0" w:color="auto"/>
      </w:divBdr>
    </w:div>
    <w:div w:id="1265108598">
      <w:bodyDiv w:val="1"/>
      <w:marLeft w:val="0"/>
      <w:marRight w:val="0"/>
      <w:marTop w:val="0"/>
      <w:marBottom w:val="0"/>
      <w:divBdr>
        <w:top w:val="none" w:sz="0" w:space="0" w:color="auto"/>
        <w:left w:val="none" w:sz="0" w:space="0" w:color="auto"/>
        <w:bottom w:val="none" w:sz="0" w:space="0" w:color="auto"/>
        <w:right w:val="none" w:sz="0" w:space="0" w:color="auto"/>
      </w:divBdr>
    </w:div>
    <w:div w:id="1334526479">
      <w:bodyDiv w:val="1"/>
      <w:marLeft w:val="0"/>
      <w:marRight w:val="0"/>
      <w:marTop w:val="0"/>
      <w:marBottom w:val="0"/>
      <w:divBdr>
        <w:top w:val="none" w:sz="0" w:space="0" w:color="auto"/>
        <w:left w:val="none" w:sz="0" w:space="0" w:color="auto"/>
        <w:bottom w:val="none" w:sz="0" w:space="0" w:color="auto"/>
        <w:right w:val="none" w:sz="0" w:space="0" w:color="auto"/>
      </w:divBdr>
    </w:div>
    <w:div w:id="1376000622">
      <w:bodyDiv w:val="1"/>
      <w:marLeft w:val="0"/>
      <w:marRight w:val="0"/>
      <w:marTop w:val="0"/>
      <w:marBottom w:val="0"/>
      <w:divBdr>
        <w:top w:val="none" w:sz="0" w:space="0" w:color="auto"/>
        <w:left w:val="none" w:sz="0" w:space="0" w:color="auto"/>
        <w:bottom w:val="none" w:sz="0" w:space="0" w:color="auto"/>
        <w:right w:val="none" w:sz="0" w:space="0" w:color="auto"/>
      </w:divBdr>
    </w:div>
    <w:div w:id="1381054995">
      <w:bodyDiv w:val="1"/>
      <w:marLeft w:val="0"/>
      <w:marRight w:val="0"/>
      <w:marTop w:val="0"/>
      <w:marBottom w:val="0"/>
      <w:divBdr>
        <w:top w:val="none" w:sz="0" w:space="0" w:color="auto"/>
        <w:left w:val="none" w:sz="0" w:space="0" w:color="auto"/>
        <w:bottom w:val="none" w:sz="0" w:space="0" w:color="auto"/>
        <w:right w:val="none" w:sz="0" w:space="0" w:color="auto"/>
      </w:divBdr>
    </w:div>
    <w:div w:id="1390837731">
      <w:bodyDiv w:val="1"/>
      <w:marLeft w:val="0"/>
      <w:marRight w:val="0"/>
      <w:marTop w:val="0"/>
      <w:marBottom w:val="0"/>
      <w:divBdr>
        <w:top w:val="none" w:sz="0" w:space="0" w:color="auto"/>
        <w:left w:val="none" w:sz="0" w:space="0" w:color="auto"/>
        <w:bottom w:val="none" w:sz="0" w:space="0" w:color="auto"/>
        <w:right w:val="none" w:sz="0" w:space="0" w:color="auto"/>
      </w:divBdr>
    </w:div>
    <w:div w:id="1461606172">
      <w:bodyDiv w:val="1"/>
      <w:marLeft w:val="0"/>
      <w:marRight w:val="0"/>
      <w:marTop w:val="0"/>
      <w:marBottom w:val="0"/>
      <w:divBdr>
        <w:top w:val="none" w:sz="0" w:space="0" w:color="auto"/>
        <w:left w:val="none" w:sz="0" w:space="0" w:color="auto"/>
        <w:bottom w:val="none" w:sz="0" w:space="0" w:color="auto"/>
        <w:right w:val="none" w:sz="0" w:space="0" w:color="auto"/>
      </w:divBdr>
    </w:div>
    <w:div w:id="1516649535">
      <w:bodyDiv w:val="1"/>
      <w:marLeft w:val="0"/>
      <w:marRight w:val="0"/>
      <w:marTop w:val="0"/>
      <w:marBottom w:val="0"/>
      <w:divBdr>
        <w:top w:val="none" w:sz="0" w:space="0" w:color="auto"/>
        <w:left w:val="none" w:sz="0" w:space="0" w:color="auto"/>
        <w:bottom w:val="none" w:sz="0" w:space="0" w:color="auto"/>
        <w:right w:val="none" w:sz="0" w:space="0" w:color="auto"/>
      </w:divBdr>
    </w:div>
    <w:div w:id="1551305362">
      <w:bodyDiv w:val="1"/>
      <w:marLeft w:val="0"/>
      <w:marRight w:val="0"/>
      <w:marTop w:val="0"/>
      <w:marBottom w:val="0"/>
      <w:divBdr>
        <w:top w:val="none" w:sz="0" w:space="0" w:color="auto"/>
        <w:left w:val="none" w:sz="0" w:space="0" w:color="auto"/>
        <w:bottom w:val="none" w:sz="0" w:space="0" w:color="auto"/>
        <w:right w:val="none" w:sz="0" w:space="0" w:color="auto"/>
      </w:divBdr>
    </w:div>
    <w:div w:id="1556550594">
      <w:bodyDiv w:val="1"/>
      <w:marLeft w:val="0"/>
      <w:marRight w:val="0"/>
      <w:marTop w:val="0"/>
      <w:marBottom w:val="0"/>
      <w:divBdr>
        <w:top w:val="none" w:sz="0" w:space="0" w:color="auto"/>
        <w:left w:val="none" w:sz="0" w:space="0" w:color="auto"/>
        <w:bottom w:val="none" w:sz="0" w:space="0" w:color="auto"/>
        <w:right w:val="none" w:sz="0" w:space="0" w:color="auto"/>
      </w:divBdr>
    </w:div>
    <w:div w:id="1572081355">
      <w:bodyDiv w:val="1"/>
      <w:marLeft w:val="0"/>
      <w:marRight w:val="0"/>
      <w:marTop w:val="0"/>
      <w:marBottom w:val="0"/>
      <w:divBdr>
        <w:top w:val="none" w:sz="0" w:space="0" w:color="auto"/>
        <w:left w:val="none" w:sz="0" w:space="0" w:color="auto"/>
        <w:bottom w:val="none" w:sz="0" w:space="0" w:color="auto"/>
        <w:right w:val="none" w:sz="0" w:space="0" w:color="auto"/>
      </w:divBdr>
    </w:div>
    <w:div w:id="1611357259">
      <w:bodyDiv w:val="1"/>
      <w:marLeft w:val="0"/>
      <w:marRight w:val="0"/>
      <w:marTop w:val="0"/>
      <w:marBottom w:val="0"/>
      <w:divBdr>
        <w:top w:val="none" w:sz="0" w:space="0" w:color="auto"/>
        <w:left w:val="none" w:sz="0" w:space="0" w:color="auto"/>
        <w:bottom w:val="none" w:sz="0" w:space="0" w:color="auto"/>
        <w:right w:val="none" w:sz="0" w:space="0" w:color="auto"/>
      </w:divBdr>
    </w:div>
    <w:div w:id="1634627984">
      <w:bodyDiv w:val="1"/>
      <w:marLeft w:val="0"/>
      <w:marRight w:val="0"/>
      <w:marTop w:val="0"/>
      <w:marBottom w:val="0"/>
      <w:divBdr>
        <w:top w:val="none" w:sz="0" w:space="0" w:color="auto"/>
        <w:left w:val="none" w:sz="0" w:space="0" w:color="auto"/>
        <w:bottom w:val="none" w:sz="0" w:space="0" w:color="auto"/>
        <w:right w:val="none" w:sz="0" w:space="0" w:color="auto"/>
      </w:divBdr>
    </w:div>
    <w:div w:id="1647931243">
      <w:bodyDiv w:val="1"/>
      <w:marLeft w:val="0"/>
      <w:marRight w:val="0"/>
      <w:marTop w:val="0"/>
      <w:marBottom w:val="0"/>
      <w:divBdr>
        <w:top w:val="none" w:sz="0" w:space="0" w:color="auto"/>
        <w:left w:val="none" w:sz="0" w:space="0" w:color="auto"/>
        <w:bottom w:val="none" w:sz="0" w:space="0" w:color="auto"/>
        <w:right w:val="none" w:sz="0" w:space="0" w:color="auto"/>
      </w:divBdr>
    </w:div>
    <w:div w:id="1718697888">
      <w:bodyDiv w:val="1"/>
      <w:marLeft w:val="0"/>
      <w:marRight w:val="0"/>
      <w:marTop w:val="0"/>
      <w:marBottom w:val="0"/>
      <w:divBdr>
        <w:top w:val="none" w:sz="0" w:space="0" w:color="auto"/>
        <w:left w:val="none" w:sz="0" w:space="0" w:color="auto"/>
        <w:bottom w:val="none" w:sz="0" w:space="0" w:color="auto"/>
        <w:right w:val="none" w:sz="0" w:space="0" w:color="auto"/>
      </w:divBdr>
    </w:div>
    <w:div w:id="1729451361">
      <w:bodyDiv w:val="1"/>
      <w:marLeft w:val="0"/>
      <w:marRight w:val="0"/>
      <w:marTop w:val="0"/>
      <w:marBottom w:val="0"/>
      <w:divBdr>
        <w:top w:val="none" w:sz="0" w:space="0" w:color="auto"/>
        <w:left w:val="none" w:sz="0" w:space="0" w:color="auto"/>
        <w:bottom w:val="none" w:sz="0" w:space="0" w:color="auto"/>
        <w:right w:val="none" w:sz="0" w:space="0" w:color="auto"/>
      </w:divBdr>
    </w:div>
    <w:div w:id="1736274165">
      <w:bodyDiv w:val="1"/>
      <w:marLeft w:val="0"/>
      <w:marRight w:val="0"/>
      <w:marTop w:val="0"/>
      <w:marBottom w:val="0"/>
      <w:divBdr>
        <w:top w:val="none" w:sz="0" w:space="0" w:color="auto"/>
        <w:left w:val="none" w:sz="0" w:space="0" w:color="auto"/>
        <w:bottom w:val="none" w:sz="0" w:space="0" w:color="auto"/>
        <w:right w:val="none" w:sz="0" w:space="0" w:color="auto"/>
      </w:divBdr>
    </w:div>
    <w:div w:id="1772434581">
      <w:bodyDiv w:val="1"/>
      <w:marLeft w:val="0"/>
      <w:marRight w:val="0"/>
      <w:marTop w:val="0"/>
      <w:marBottom w:val="0"/>
      <w:divBdr>
        <w:top w:val="none" w:sz="0" w:space="0" w:color="auto"/>
        <w:left w:val="none" w:sz="0" w:space="0" w:color="auto"/>
        <w:bottom w:val="none" w:sz="0" w:space="0" w:color="auto"/>
        <w:right w:val="none" w:sz="0" w:space="0" w:color="auto"/>
      </w:divBdr>
    </w:div>
    <w:div w:id="1836531631">
      <w:bodyDiv w:val="1"/>
      <w:marLeft w:val="0"/>
      <w:marRight w:val="0"/>
      <w:marTop w:val="0"/>
      <w:marBottom w:val="0"/>
      <w:divBdr>
        <w:top w:val="none" w:sz="0" w:space="0" w:color="auto"/>
        <w:left w:val="none" w:sz="0" w:space="0" w:color="auto"/>
        <w:bottom w:val="none" w:sz="0" w:space="0" w:color="auto"/>
        <w:right w:val="none" w:sz="0" w:space="0" w:color="auto"/>
      </w:divBdr>
    </w:div>
    <w:div w:id="1877354310">
      <w:bodyDiv w:val="1"/>
      <w:marLeft w:val="0"/>
      <w:marRight w:val="0"/>
      <w:marTop w:val="0"/>
      <w:marBottom w:val="0"/>
      <w:divBdr>
        <w:top w:val="none" w:sz="0" w:space="0" w:color="auto"/>
        <w:left w:val="none" w:sz="0" w:space="0" w:color="auto"/>
        <w:bottom w:val="none" w:sz="0" w:space="0" w:color="auto"/>
        <w:right w:val="none" w:sz="0" w:space="0" w:color="auto"/>
      </w:divBdr>
    </w:div>
    <w:div w:id="1890796861">
      <w:bodyDiv w:val="1"/>
      <w:marLeft w:val="0"/>
      <w:marRight w:val="0"/>
      <w:marTop w:val="0"/>
      <w:marBottom w:val="0"/>
      <w:divBdr>
        <w:top w:val="none" w:sz="0" w:space="0" w:color="auto"/>
        <w:left w:val="none" w:sz="0" w:space="0" w:color="auto"/>
        <w:bottom w:val="none" w:sz="0" w:space="0" w:color="auto"/>
        <w:right w:val="none" w:sz="0" w:space="0" w:color="auto"/>
      </w:divBdr>
    </w:div>
    <w:div w:id="1903952555">
      <w:bodyDiv w:val="1"/>
      <w:marLeft w:val="0"/>
      <w:marRight w:val="0"/>
      <w:marTop w:val="0"/>
      <w:marBottom w:val="0"/>
      <w:divBdr>
        <w:top w:val="none" w:sz="0" w:space="0" w:color="auto"/>
        <w:left w:val="none" w:sz="0" w:space="0" w:color="auto"/>
        <w:bottom w:val="none" w:sz="0" w:space="0" w:color="auto"/>
        <w:right w:val="none" w:sz="0" w:space="0" w:color="auto"/>
      </w:divBdr>
    </w:div>
    <w:div w:id="1947348373">
      <w:bodyDiv w:val="1"/>
      <w:marLeft w:val="0"/>
      <w:marRight w:val="0"/>
      <w:marTop w:val="0"/>
      <w:marBottom w:val="0"/>
      <w:divBdr>
        <w:top w:val="none" w:sz="0" w:space="0" w:color="auto"/>
        <w:left w:val="none" w:sz="0" w:space="0" w:color="auto"/>
        <w:bottom w:val="none" w:sz="0" w:space="0" w:color="auto"/>
        <w:right w:val="none" w:sz="0" w:space="0" w:color="auto"/>
      </w:divBdr>
    </w:div>
    <w:div w:id="1966231759">
      <w:bodyDiv w:val="1"/>
      <w:marLeft w:val="0"/>
      <w:marRight w:val="0"/>
      <w:marTop w:val="0"/>
      <w:marBottom w:val="0"/>
      <w:divBdr>
        <w:top w:val="none" w:sz="0" w:space="0" w:color="auto"/>
        <w:left w:val="none" w:sz="0" w:space="0" w:color="auto"/>
        <w:bottom w:val="none" w:sz="0" w:space="0" w:color="auto"/>
        <w:right w:val="none" w:sz="0" w:space="0" w:color="auto"/>
      </w:divBdr>
    </w:div>
    <w:div w:id="1976830331">
      <w:bodyDiv w:val="1"/>
      <w:marLeft w:val="0"/>
      <w:marRight w:val="0"/>
      <w:marTop w:val="0"/>
      <w:marBottom w:val="0"/>
      <w:divBdr>
        <w:top w:val="none" w:sz="0" w:space="0" w:color="auto"/>
        <w:left w:val="none" w:sz="0" w:space="0" w:color="auto"/>
        <w:bottom w:val="none" w:sz="0" w:space="0" w:color="auto"/>
        <w:right w:val="none" w:sz="0" w:space="0" w:color="auto"/>
      </w:divBdr>
    </w:div>
    <w:div w:id="2043626346">
      <w:bodyDiv w:val="1"/>
      <w:marLeft w:val="0"/>
      <w:marRight w:val="0"/>
      <w:marTop w:val="0"/>
      <w:marBottom w:val="0"/>
      <w:divBdr>
        <w:top w:val="none" w:sz="0" w:space="0" w:color="auto"/>
        <w:left w:val="none" w:sz="0" w:space="0" w:color="auto"/>
        <w:bottom w:val="none" w:sz="0" w:space="0" w:color="auto"/>
        <w:right w:val="none" w:sz="0" w:space="0" w:color="auto"/>
      </w:divBdr>
    </w:div>
    <w:div w:id="2085486625">
      <w:bodyDiv w:val="1"/>
      <w:marLeft w:val="0"/>
      <w:marRight w:val="0"/>
      <w:marTop w:val="0"/>
      <w:marBottom w:val="0"/>
      <w:divBdr>
        <w:top w:val="none" w:sz="0" w:space="0" w:color="auto"/>
        <w:left w:val="none" w:sz="0" w:space="0" w:color="auto"/>
        <w:bottom w:val="none" w:sz="0" w:space="0" w:color="auto"/>
        <w:right w:val="none" w:sz="0" w:space="0" w:color="auto"/>
      </w:divBdr>
    </w:div>
    <w:div w:id="2086758004">
      <w:bodyDiv w:val="1"/>
      <w:marLeft w:val="0"/>
      <w:marRight w:val="0"/>
      <w:marTop w:val="0"/>
      <w:marBottom w:val="0"/>
      <w:divBdr>
        <w:top w:val="none" w:sz="0" w:space="0" w:color="auto"/>
        <w:left w:val="none" w:sz="0" w:space="0" w:color="auto"/>
        <w:bottom w:val="none" w:sz="0" w:space="0" w:color="auto"/>
        <w:right w:val="none" w:sz="0" w:space="0" w:color="auto"/>
      </w:divBdr>
    </w:div>
    <w:div w:id="2113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ean-union.europa.eu/principles-countries-history/country-profiles_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ec.europa.eu/commission/commissioners/2019-2024_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18/1808/oj" TargetMode="External"/><Relationship Id="rId2" Type="http://schemas.openxmlformats.org/officeDocument/2006/relationships/hyperlink" Target="https://eur-lex.europa.eu/legal-content/FR/TXT/?uri=CELEX%3A32014R1300" TargetMode="External"/><Relationship Id="rId1" Type="http://schemas.openxmlformats.org/officeDocument/2006/relationships/hyperlink" Target="https://www.wipo.int/marrakesh_treaty/fr/index.html" TargetMode="External"/><Relationship Id="rId5" Type="http://schemas.openxmlformats.org/officeDocument/2006/relationships/hyperlink" Target="https://www.edf-feph.org/the-platform-of-the-conference-on-the-future-of-europe-must-fix-its-accessibility-problems/" TargetMode="External"/><Relationship Id="rId4" Type="http://schemas.openxmlformats.org/officeDocument/2006/relationships/hyperlink" Target="https://www.coe.int/fr/web/conventions/full-list?module=treaty-detail&amp;treatynum=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285C-704A-480D-9BD5-9E73CC31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2227</Words>
  <Characters>12253</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Sofie Leenknecht</dc:creator>
  <cp:keywords/>
  <dc:description/>
  <cp:lastModifiedBy>Vanessa James</cp:lastModifiedBy>
  <cp:revision>12</cp:revision>
  <dcterms:created xsi:type="dcterms:W3CDTF">2022-02-15T10:10:00Z</dcterms:created>
  <dcterms:modified xsi:type="dcterms:W3CDTF">2022-02-15T15:53:00Z</dcterms:modified>
</cp:coreProperties>
</file>