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lang w:val="nl-NL" w:eastAsia="nl-NL"/>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lang w:val="nl-NL" w:eastAsia="nl-NL"/>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lang w:val="nl-NL" w:eastAsia="nl-NL"/>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5489C11D" w:rsidR="00D11DAB" w:rsidRPr="00D11DAB" w:rsidRDefault="00D12927" w:rsidP="00D11DAB">
      <w:pPr>
        <w:pStyle w:val="Title"/>
        <w:spacing w:before="360"/>
      </w:pPr>
      <w:bookmarkStart w:id="0" w:name="_Hlk71276079"/>
      <w:r>
        <w:t>Ensuring disability rights in civil judicial cooperation</w:t>
      </w:r>
    </w:p>
    <w:bookmarkEnd w:id="0"/>
    <w:p w14:paraId="2BCF485D" w14:textId="595F1193" w:rsidR="008054A7" w:rsidRDefault="00E47FF5" w:rsidP="00355289">
      <w:pPr>
        <w:pStyle w:val="Subtitle"/>
        <w:spacing w:before="480"/>
      </w:pPr>
      <w:r w:rsidRPr="00606390">
        <w:t xml:space="preserve">European Disability </w:t>
      </w:r>
      <w:r w:rsidR="00606390">
        <w:t>Forum</w:t>
      </w:r>
      <w:r w:rsidR="002E5B3B">
        <w:t xml:space="preserve"> -</w:t>
      </w:r>
      <w:r w:rsidR="00606390">
        <w:t xml:space="preserve"> </w:t>
      </w:r>
      <w:r w:rsidRPr="00606390">
        <w:t>Position Paper</w:t>
      </w:r>
    </w:p>
    <w:p w14:paraId="1C5853C0" w14:textId="51454F7E" w:rsidR="00D11DAB" w:rsidRPr="00D11DAB" w:rsidRDefault="00D11DAB" w:rsidP="00D11DAB">
      <w:pPr>
        <w:pStyle w:val="Subtitle"/>
        <w:spacing w:after="360"/>
      </w:pPr>
      <w:r>
        <w:rPr>
          <w:noProof/>
          <w:lang w:val="nl-NL" w:eastAsia="nl-NL"/>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31211E">
        <w:t>March</w:t>
      </w:r>
      <w:r w:rsidR="009C5D57">
        <w:t xml:space="preserve"> </w:t>
      </w:r>
      <w:r w:rsidR="00606390">
        <w:t>202</w:t>
      </w:r>
      <w:r w:rsidR="00930509">
        <w:t>2</w:t>
      </w:r>
    </w:p>
    <w:p w14:paraId="75770BC9" w14:textId="34D8B01F" w:rsidR="00E62CBF" w:rsidRDefault="00D12927" w:rsidP="00D11DAB">
      <w:pPr>
        <w:spacing w:before="360" w:after="840"/>
        <w:rPr>
          <w:b/>
          <w:bCs/>
          <w:color w:val="FFFFFF" w:themeColor="background1"/>
          <w:sz w:val="28"/>
          <w:szCs w:val="28"/>
        </w:rPr>
      </w:pPr>
      <w:r>
        <w:rPr>
          <w:b/>
          <w:bCs/>
          <w:color w:val="FFFFFF" w:themeColor="background1"/>
          <w:sz w:val="28"/>
          <w:szCs w:val="28"/>
        </w:rPr>
        <w:t>R</w:t>
      </w:r>
      <w:r w:rsidRPr="00D12927">
        <w:rPr>
          <w:b/>
          <w:bCs/>
          <w:color w:val="FFFFFF" w:themeColor="background1"/>
          <w:sz w:val="28"/>
          <w:szCs w:val="28"/>
        </w:rPr>
        <w:t>ecommendations on civil aspects of the cross-border protection of vulnerable adults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lang w:val="nl-NL" w:eastAsia="nl-NL"/>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1" w:name="_Toc99486441"/>
      <w:r>
        <w:lastRenderedPageBreak/>
        <w:t>Table of Contents</w:t>
      </w:r>
      <w:bookmarkEnd w:id="1"/>
    </w:p>
    <w:p w14:paraId="75993706" w14:textId="7819B659" w:rsidR="006E7B8E" w:rsidRDefault="00A9576D">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99486441" w:history="1">
        <w:r w:rsidR="006E7B8E" w:rsidRPr="002D10EA">
          <w:rPr>
            <w:rStyle w:val="Hyperlink"/>
            <w:noProof/>
          </w:rPr>
          <w:t>Table of Contents</w:t>
        </w:r>
        <w:r w:rsidR="006E7B8E">
          <w:rPr>
            <w:noProof/>
            <w:webHidden/>
          </w:rPr>
          <w:tab/>
        </w:r>
        <w:r w:rsidR="006E7B8E">
          <w:rPr>
            <w:noProof/>
            <w:webHidden/>
          </w:rPr>
          <w:fldChar w:fldCharType="begin"/>
        </w:r>
        <w:r w:rsidR="006E7B8E">
          <w:rPr>
            <w:noProof/>
            <w:webHidden/>
          </w:rPr>
          <w:instrText xml:space="preserve"> PAGEREF _Toc99486441 \h </w:instrText>
        </w:r>
        <w:r w:rsidR="006E7B8E">
          <w:rPr>
            <w:noProof/>
            <w:webHidden/>
          </w:rPr>
        </w:r>
        <w:r w:rsidR="006E7B8E">
          <w:rPr>
            <w:noProof/>
            <w:webHidden/>
          </w:rPr>
          <w:fldChar w:fldCharType="separate"/>
        </w:r>
        <w:r w:rsidR="00C72E5E">
          <w:rPr>
            <w:noProof/>
            <w:webHidden/>
          </w:rPr>
          <w:t>2</w:t>
        </w:r>
        <w:r w:rsidR="006E7B8E">
          <w:rPr>
            <w:noProof/>
            <w:webHidden/>
          </w:rPr>
          <w:fldChar w:fldCharType="end"/>
        </w:r>
      </w:hyperlink>
    </w:p>
    <w:p w14:paraId="11E0E355" w14:textId="511AAD03" w:rsidR="006E7B8E" w:rsidRDefault="0085796A">
      <w:pPr>
        <w:pStyle w:val="TOC1"/>
        <w:tabs>
          <w:tab w:val="right" w:leader="dot" w:pos="9016"/>
        </w:tabs>
        <w:rPr>
          <w:rFonts w:asciiTheme="minorHAnsi" w:eastAsiaTheme="minorEastAsia" w:hAnsiTheme="minorHAnsi"/>
          <w:noProof/>
          <w:sz w:val="22"/>
          <w:lang w:val="fr-BE" w:eastAsia="fr-BE"/>
        </w:rPr>
      </w:pPr>
      <w:hyperlink w:anchor="_Toc99486442" w:history="1">
        <w:r w:rsidR="006E7B8E" w:rsidRPr="002D10EA">
          <w:rPr>
            <w:rStyle w:val="Hyperlink"/>
            <w:noProof/>
          </w:rPr>
          <w:t>Introduction</w:t>
        </w:r>
        <w:r w:rsidR="006E7B8E">
          <w:rPr>
            <w:noProof/>
            <w:webHidden/>
          </w:rPr>
          <w:tab/>
        </w:r>
        <w:r w:rsidR="006E7B8E">
          <w:rPr>
            <w:noProof/>
            <w:webHidden/>
          </w:rPr>
          <w:fldChar w:fldCharType="begin"/>
        </w:r>
        <w:r w:rsidR="006E7B8E">
          <w:rPr>
            <w:noProof/>
            <w:webHidden/>
          </w:rPr>
          <w:instrText xml:space="preserve"> PAGEREF _Toc99486442 \h </w:instrText>
        </w:r>
        <w:r w:rsidR="006E7B8E">
          <w:rPr>
            <w:noProof/>
            <w:webHidden/>
          </w:rPr>
        </w:r>
        <w:r w:rsidR="006E7B8E">
          <w:rPr>
            <w:noProof/>
            <w:webHidden/>
          </w:rPr>
          <w:fldChar w:fldCharType="separate"/>
        </w:r>
        <w:r w:rsidR="00C72E5E">
          <w:rPr>
            <w:noProof/>
            <w:webHidden/>
          </w:rPr>
          <w:t>2</w:t>
        </w:r>
        <w:r w:rsidR="006E7B8E">
          <w:rPr>
            <w:noProof/>
            <w:webHidden/>
          </w:rPr>
          <w:fldChar w:fldCharType="end"/>
        </w:r>
      </w:hyperlink>
    </w:p>
    <w:p w14:paraId="7B7DFAFC" w14:textId="59BBBB5B" w:rsidR="006E7B8E" w:rsidRDefault="0085796A">
      <w:pPr>
        <w:pStyle w:val="TOC1"/>
        <w:tabs>
          <w:tab w:val="right" w:leader="dot" w:pos="9016"/>
        </w:tabs>
        <w:rPr>
          <w:rFonts w:asciiTheme="minorHAnsi" w:eastAsiaTheme="minorEastAsia" w:hAnsiTheme="minorHAnsi"/>
          <w:noProof/>
          <w:sz w:val="22"/>
          <w:lang w:val="fr-BE" w:eastAsia="fr-BE"/>
        </w:rPr>
      </w:pPr>
      <w:hyperlink w:anchor="_Toc99486443" w:history="1">
        <w:r w:rsidR="006E7B8E" w:rsidRPr="002D10EA">
          <w:rPr>
            <w:rStyle w:val="Hyperlink"/>
            <w:noProof/>
          </w:rPr>
          <w:t>Civil judicial cooperation and persons with disabilities</w:t>
        </w:r>
        <w:r w:rsidR="006E7B8E">
          <w:rPr>
            <w:noProof/>
            <w:webHidden/>
          </w:rPr>
          <w:tab/>
        </w:r>
        <w:r w:rsidR="006E7B8E">
          <w:rPr>
            <w:noProof/>
            <w:webHidden/>
          </w:rPr>
          <w:fldChar w:fldCharType="begin"/>
        </w:r>
        <w:r w:rsidR="006E7B8E">
          <w:rPr>
            <w:noProof/>
            <w:webHidden/>
          </w:rPr>
          <w:instrText xml:space="preserve"> PAGEREF _Toc99486443 \h </w:instrText>
        </w:r>
        <w:r w:rsidR="006E7B8E">
          <w:rPr>
            <w:noProof/>
            <w:webHidden/>
          </w:rPr>
        </w:r>
        <w:r w:rsidR="006E7B8E">
          <w:rPr>
            <w:noProof/>
            <w:webHidden/>
          </w:rPr>
          <w:fldChar w:fldCharType="separate"/>
        </w:r>
        <w:r w:rsidR="00C72E5E">
          <w:rPr>
            <w:noProof/>
            <w:webHidden/>
          </w:rPr>
          <w:t>3</w:t>
        </w:r>
        <w:r w:rsidR="006E7B8E">
          <w:rPr>
            <w:noProof/>
            <w:webHidden/>
          </w:rPr>
          <w:fldChar w:fldCharType="end"/>
        </w:r>
      </w:hyperlink>
    </w:p>
    <w:p w14:paraId="2B127DD9" w14:textId="794B72F1" w:rsidR="006E7B8E" w:rsidRDefault="0085796A">
      <w:pPr>
        <w:pStyle w:val="TOC1"/>
        <w:tabs>
          <w:tab w:val="right" w:leader="dot" w:pos="9016"/>
        </w:tabs>
        <w:rPr>
          <w:rFonts w:asciiTheme="minorHAnsi" w:eastAsiaTheme="minorEastAsia" w:hAnsiTheme="minorHAnsi"/>
          <w:noProof/>
          <w:sz w:val="22"/>
          <w:lang w:val="fr-BE" w:eastAsia="fr-BE"/>
        </w:rPr>
      </w:pPr>
      <w:hyperlink w:anchor="_Toc99486444" w:history="1">
        <w:r w:rsidR="006E7B8E" w:rsidRPr="002D10EA">
          <w:rPr>
            <w:rStyle w:val="Hyperlink"/>
            <w:noProof/>
          </w:rPr>
          <w:t>Legal and policy background</w:t>
        </w:r>
        <w:r w:rsidR="006E7B8E">
          <w:rPr>
            <w:noProof/>
            <w:webHidden/>
          </w:rPr>
          <w:tab/>
        </w:r>
        <w:r w:rsidR="006E7B8E">
          <w:rPr>
            <w:noProof/>
            <w:webHidden/>
          </w:rPr>
          <w:fldChar w:fldCharType="begin"/>
        </w:r>
        <w:r w:rsidR="006E7B8E">
          <w:rPr>
            <w:noProof/>
            <w:webHidden/>
          </w:rPr>
          <w:instrText xml:space="preserve"> PAGEREF _Toc99486444 \h </w:instrText>
        </w:r>
        <w:r w:rsidR="006E7B8E">
          <w:rPr>
            <w:noProof/>
            <w:webHidden/>
          </w:rPr>
        </w:r>
        <w:r w:rsidR="006E7B8E">
          <w:rPr>
            <w:noProof/>
            <w:webHidden/>
          </w:rPr>
          <w:fldChar w:fldCharType="separate"/>
        </w:r>
        <w:r w:rsidR="00C72E5E">
          <w:rPr>
            <w:noProof/>
            <w:webHidden/>
          </w:rPr>
          <w:t>4</w:t>
        </w:r>
        <w:r w:rsidR="006E7B8E">
          <w:rPr>
            <w:noProof/>
            <w:webHidden/>
          </w:rPr>
          <w:fldChar w:fldCharType="end"/>
        </w:r>
      </w:hyperlink>
    </w:p>
    <w:p w14:paraId="7F72C1AC" w14:textId="42291AB5" w:rsidR="006E7B8E" w:rsidRDefault="0085796A">
      <w:pPr>
        <w:pStyle w:val="TOC2"/>
        <w:tabs>
          <w:tab w:val="right" w:leader="dot" w:pos="9016"/>
        </w:tabs>
        <w:rPr>
          <w:rFonts w:asciiTheme="minorHAnsi" w:eastAsiaTheme="minorEastAsia" w:hAnsiTheme="minorHAnsi"/>
          <w:noProof/>
          <w:sz w:val="22"/>
          <w:lang w:val="fr-BE" w:eastAsia="fr-BE"/>
        </w:rPr>
      </w:pPr>
      <w:hyperlink w:anchor="_Toc99486445" w:history="1">
        <w:r w:rsidR="006E7B8E" w:rsidRPr="002D10EA">
          <w:rPr>
            <w:rStyle w:val="Hyperlink"/>
            <w:noProof/>
          </w:rPr>
          <w:t>Obligations under the UN Convention on the Rights of Persons with Disabilities</w:t>
        </w:r>
        <w:r w:rsidR="006E7B8E">
          <w:rPr>
            <w:noProof/>
            <w:webHidden/>
          </w:rPr>
          <w:tab/>
        </w:r>
        <w:r w:rsidR="006E7B8E">
          <w:rPr>
            <w:noProof/>
            <w:webHidden/>
          </w:rPr>
          <w:fldChar w:fldCharType="begin"/>
        </w:r>
        <w:r w:rsidR="006E7B8E">
          <w:rPr>
            <w:noProof/>
            <w:webHidden/>
          </w:rPr>
          <w:instrText xml:space="preserve"> PAGEREF _Toc99486445 \h </w:instrText>
        </w:r>
        <w:r w:rsidR="006E7B8E">
          <w:rPr>
            <w:noProof/>
            <w:webHidden/>
          </w:rPr>
        </w:r>
        <w:r w:rsidR="006E7B8E">
          <w:rPr>
            <w:noProof/>
            <w:webHidden/>
          </w:rPr>
          <w:fldChar w:fldCharType="separate"/>
        </w:r>
        <w:r w:rsidR="00C72E5E">
          <w:rPr>
            <w:noProof/>
            <w:webHidden/>
          </w:rPr>
          <w:t>4</w:t>
        </w:r>
        <w:r w:rsidR="006E7B8E">
          <w:rPr>
            <w:noProof/>
            <w:webHidden/>
          </w:rPr>
          <w:fldChar w:fldCharType="end"/>
        </w:r>
      </w:hyperlink>
    </w:p>
    <w:p w14:paraId="707CED80" w14:textId="180DD848" w:rsidR="006E7B8E" w:rsidRDefault="0085796A">
      <w:pPr>
        <w:pStyle w:val="TOC2"/>
        <w:tabs>
          <w:tab w:val="right" w:leader="dot" w:pos="9016"/>
        </w:tabs>
        <w:rPr>
          <w:rFonts w:asciiTheme="minorHAnsi" w:eastAsiaTheme="minorEastAsia" w:hAnsiTheme="minorHAnsi"/>
          <w:noProof/>
          <w:sz w:val="22"/>
          <w:lang w:val="fr-BE" w:eastAsia="fr-BE"/>
        </w:rPr>
      </w:pPr>
      <w:hyperlink w:anchor="_Toc99486446" w:history="1">
        <w:r w:rsidR="006E7B8E" w:rsidRPr="002D10EA">
          <w:rPr>
            <w:rStyle w:val="Hyperlink"/>
            <w:noProof/>
          </w:rPr>
          <w:t>Obligations under the EU Strategy on the rights of persons with disabilities 2021-2030</w:t>
        </w:r>
        <w:r w:rsidR="006E7B8E">
          <w:rPr>
            <w:noProof/>
            <w:webHidden/>
          </w:rPr>
          <w:tab/>
        </w:r>
        <w:r w:rsidR="006E7B8E">
          <w:rPr>
            <w:noProof/>
            <w:webHidden/>
          </w:rPr>
          <w:fldChar w:fldCharType="begin"/>
        </w:r>
        <w:r w:rsidR="006E7B8E">
          <w:rPr>
            <w:noProof/>
            <w:webHidden/>
          </w:rPr>
          <w:instrText xml:space="preserve"> PAGEREF _Toc99486446 \h </w:instrText>
        </w:r>
        <w:r w:rsidR="006E7B8E">
          <w:rPr>
            <w:noProof/>
            <w:webHidden/>
          </w:rPr>
        </w:r>
        <w:r w:rsidR="006E7B8E">
          <w:rPr>
            <w:noProof/>
            <w:webHidden/>
          </w:rPr>
          <w:fldChar w:fldCharType="separate"/>
        </w:r>
        <w:r w:rsidR="00C72E5E">
          <w:rPr>
            <w:noProof/>
            <w:webHidden/>
          </w:rPr>
          <w:t>5</w:t>
        </w:r>
        <w:r w:rsidR="006E7B8E">
          <w:rPr>
            <w:noProof/>
            <w:webHidden/>
          </w:rPr>
          <w:fldChar w:fldCharType="end"/>
        </w:r>
      </w:hyperlink>
    </w:p>
    <w:p w14:paraId="03B037D2" w14:textId="345B24F6" w:rsidR="006E7B8E" w:rsidRDefault="0085796A">
      <w:pPr>
        <w:pStyle w:val="TOC2"/>
        <w:tabs>
          <w:tab w:val="right" w:leader="dot" w:pos="9016"/>
        </w:tabs>
        <w:rPr>
          <w:rFonts w:asciiTheme="minorHAnsi" w:eastAsiaTheme="minorEastAsia" w:hAnsiTheme="minorHAnsi"/>
          <w:noProof/>
          <w:sz w:val="22"/>
          <w:lang w:val="fr-BE" w:eastAsia="fr-BE"/>
        </w:rPr>
      </w:pPr>
      <w:hyperlink w:anchor="_Toc99486447" w:history="1">
        <w:r w:rsidR="006E7B8E" w:rsidRPr="002D10EA">
          <w:rPr>
            <w:rStyle w:val="Hyperlink"/>
            <w:noProof/>
          </w:rPr>
          <w:t>The 2000 Hague Convention on the International Protection of Adults</w:t>
        </w:r>
        <w:r w:rsidR="006E7B8E">
          <w:rPr>
            <w:noProof/>
            <w:webHidden/>
          </w:rPr>
          <w:tab/>
        </w:r>
        <w:r w:rsidR="006E7B8E">
          <w:rPr>
            <w:noProof/>
            <w:webHidden/>
          </w:rPr>
          <w:fldChar w:fldCharType="begin"/>
        </w:r>
        <w:r w:rsidR="006E7B8E">
          <w:rPr>
            <w:noProof/>
            <w:webHidden/>
          </w:rPr>
          <w:instrText xml:space="preserve"> PAGEREF _Toc99486447 \h </w:instrText>
        </w:r>
        <w:r w:rsidR="006E7B8E">
          <w:rPr>
            <w:noProof/>
            <w:webHidden/>
          </w:rPr>
        </w:r>
        <w:r w:rsidR="006E7B8E">
          <w:rPr>
            <w:noProof/>
            <w:webHidden/>
          </w:rPr>
          <w:fldChar w:fldCharType="separate"/>
        </w:r>
        <w:r w:rsidR="00C72E5E">
          <w:rPr>
            <w:noProof/>
            <w:webHidden/>
          </w:rPr>
          <w:t>5</w:t>
        </w:r>
        <w:r w:rsidR="006E7B8E">
          <w:rPr>
            <w:noProof/>
            <w:webHidden/>
          </w:rPr>
          <w:fldChar w:fldCharType="end"/>
        </w:r>
      </w:hyperlink>
    </w:p>
    <w:p w14:paraId="1A5A318F" w14:textId="1DEA6802" w:rsidR="006E7B8E" w:rsidRDefault="0085796A">
      <w:pPr>
        <w:pStyle w:val="TOC2"/>
        <w:tabs>
          <w:tab w:val="right" w:leader="dot" w:pos="9016"/>
        </w:tabs>
        <w:rPr>
          <w:rFonts w:asciiTheme="minorHAnsi" w:eastAsiaTheme="minorEastAsia" w:hAnsiTheme="minorHAnsi"/>
          <w:noProof/>
          <w:sz w:val="22"/>
          <w:lang w:val="fr-BE" w:eastAsia="fr-BE"/>
        </w:rPr>
      </w:pPr>
      <w:hyperlink w:anchor="_Toc99486448" w:history="1">
        <w:r w:rsidR="006E7B8E" w:rsidRPr="002D10EA">
          <w:rPr>
            <w:rStyle w:val="Hyperlink"/>
            <w:noProof/>
            <w:lang w:val="en-GB"/>
          </w:rPr>
          <w:t>Council conclusions on the protection of vulnerable adults across the EU</w:t>
        </w:r>
        <w:r w:rsidR="006E7B8E">
          <w:rPr>
            <w:noProof/>
            <w:webHidden/>
          </w:rPr>
          <w:tab/>
        </w:r>
        <w:r w:rsidR="006E7B8E">
          <w:rPr>
            <w:noProof/>
            <w:webHidden/>
          </w:rPr>
          <w:fldChar w:fldCharType="begin"/>
        </w:r>
        <w:r w:rsidR="006E7B8E">
          <w:rPr>
            <w:noProof/>
            <w:webHidden/>
          </w:rPr>
          <w:instrText xml:space="preserve"> PAGEREF _Toc99486448 \h </w:instrText>
        </w:r>
        <w:r w:rsidR="006E7B8E">
          <w:rPr>
            <w:noProof/>
            <w:webHidden/>
          </w:rPr>
        </w:r>
        <w:r w:rsidR="006E7B8E">
          <w:rPr>
            <w:noProof/>
            <w:webHidden/>
          </w:rPr>
          <w:fldChar w:fldCharType="separate"/>
        </w:r>
        <w:r w:rsidR="00C72E5E">
          <w:rPr>
            <w:noProof/>
            <w:webHidden/>
          </w:rPr>
          <w:t>8</w:t>
        </w:r>
        <w:r w:rsidR="006E7B8E">
          <w:rPr>
            <w:noProof/>
            <w:webHidden/>
          </w:rPr>
          <w:fldChar w:fldCharType="end"/>
        </w:r>
      </w:hyperlink>
    </w:p>
    <w:p w14:paraId="112BEC41" w14:textId="00D7E21C" w:rsidR="006E7B8E" w:rsidRDefault="0085796A">
      <w:pPr>
        <w:pStyle w:val="TOC1"/>
        <w:tabs>
          <w:tab w:val="right" w:leader="dot" w:pos="9016"/>
        </w:tabs>
        <w:rPr>
          <w:rFonts w:asciiTheme="minorHAnsi" w:eastAsiaTheme="minorEastAsia" w:hAnsiTheme="minorHAnsi"/>
          <w:noProof/>
          <w:sz w:val="22"/>
          <w:lang w:val="fr-BE" w:eastAsia="fr-BE"/>
        </w:rPr>
      </w:pPr>
      <w:hyperlink w:anchor="_Toc99486449" w:history="1">
        <w:r w:rsidR="006E7B8E" w:rsidRPr="002D10EA">
          <w:rPr>
            <w:rStyle w:val="Hyperlink"/>
            <w:noProof/>
            <w:lang w:val="en-GB"/>
          </w:rPr>
          <w:t>Issues related to cross-border situations involving vulnerable adults in the EU</w:t>
        </w:r>
        <w:r w:rsidR="006E7B8E">
          <w:rPr>
            <w:noProof/>
            <w:webHidden/>
          </w:rPr>
          <w:tab/>
        </w:r>
        <w:r w:rsidR="006E7B8E">
          <w:rPr>
            <w:noProof/>
            <w:webHidden/>
          </w:rPr>
          <w:fldChar w:fldCharType="begin"/>
        </w:r>
        <w:r w:rsidR="006E7B8E">
          <w:rPr>
            <w:noProof/>
            <w:webHidden/>
          </w:rPr>
          <w:instrText xml:space="preserve"> PAGEREF _Toc99486449 \h </w:instrText>
        </w:r>
        <w:r w:rsidR="006E7B8E">
          <w:rPr>
            <w:noProof/>
            <w:webHidden/>
          </w:rPr>
        </w:r>
        <w:r w:rsidR="006E7B8E">
          <w:rPr>
            <w:noProof/>
            <w:webHidden/>
          </w:rPr>
          <w:fldChar w:fldCharType="separate"/>
        </w:r>
        <w:r w:rsidR="00C72E5E">
          <w:rPr>
            <w:noProof/>
            <w:webHidden/>
          </w:rPr>
          <w:t>8</w:t>
        </w:r>
        <w:r w:rsidR="006E7B8E">
          <w:rPr>
            <w:noProof/>
            <w:webHidden/>
          </w:rPr>
          <w:fldChar w:fldCharType="end"/>
        </w:r>
      </w:hyperlink>
    </w:p>
    <w:p w14:paraId="5D134105" w14:textId="1B53B879" w:rsidR="006E7B8E" w:rsidRDefault="0085796A">
      <w:pPr>
        <w:pStyle w:val="TOC2"/>
        <w:tabs>
          <w:tab w:val="right" w:leader="dot" w:pos="9016"/>
        </w:tabs>
        <w:rPr>
          <w:rFonts w:asciiTheme="minorHAnsi" w:eastAsiaTheme="minorEastAsia" w:hAnsiTheme="minorHAnsi"/>
          <w:noProof/>
          <w:sz w:val="22"/>
          <w:lang w:val="fr-BE" w:eastAsia="fr-BE"/>
        </w:rPr>
      </w:pPr>
      <w:hyperlink w:anchor="_Toc99486450" w:history="1">
        <w:r w:rsidR="006E7B8E" w:rsidRPr="002D10EA">
          <w:rPr>
            <w:rStyle w:val="Hyperlink"/>
            <w:noProof/>
          </w:rPr>
          <w:t>Overview of legal capacity regimes in EU Member States</w:t>
        </w:r>
        <w:r w:rsidR="006E7B8E">
          <w:rPr>
            <w:noProof/>
            <w:webHidden/>
          </w:rPr>
          <w:tab/>
        </w:r>
        <w:r w:rsidR="006E7B8E">
          <w:rPr>
            <w:noProof/>
            <w:webHidden/>
          </w:rPr>
          <w:fldChar w:fldCharType="begin"/>
        </w:r>
        <w:r w:rsidR="006E7B8E">
          <w:rPr>
            <w:noProof/>
            <w:webHidden/>
          </w:rPr>
          <w:instrText xml:space="preserve"> PAGEREF _Toc99486450 \h </w:instrText>
        </w:r>
        <w:r w:rsidR="006E7B8E">
          <w:rPr>
            <w:noProof/>
            <w:webHidden/>
          </w:rPr>
        </w:r>
        <w:r w:rsidR="006E7B8E">
          <w:rPr>
            <w:noProof/>
            <w:webHidden/>
          </w:rPr>
          <w:fldChar w:fldCharType="separate"/>
        </w:r>
        <w:r w:rsidR="00C72E5E">
          <w:rPr>
            <w:noProof/>
            <w:webHidden/>
          </w:rPr>
          <w:t>8</w:t>
        </w:r>
        <w:r w:rsidR="006E7B8E">
          <w:rPr>
            <w:noProof/>
            <w:webHidden/>
          </w:rPr>
          <w:fldChar w:fldCharType="end"/>
        </w:r>
      </w:hyperlink>
    </w:p>
    <w:p w14:paraId="46B23AA0" w14:textId="159C0053" w:rsidR="006E7B8E" w:rsidRDefault="0085796A">
      <w:pPr>
        <w:pStyle w:val="TOC2"/>
        <w:tabs>
          <w:tab w:val="right" w:leader="dot" w:pos="9016"/>
        </w:tabs>
        <w:rPr>
          <w:rFonts w:asciiTheme="minorHAnsi" w:eastAsiaTheme="minorEastAsia" w:hAnsiTheme="minorHAnsi"/>
          <w:noProof/>
          <w:sz w:val="22"/>
          <w:lang w:val="fr-BE" w:eastAsia="fr-BE"/>
        </w:rPr>
      </w:pPr>
      <w:hyperlink w:anchor="_Toc99486451" w:history="1">
        <w:r w:rsidR="006E7B8E" w:rsidRPr="002D10EA">
          <w:rPr>
            <w:rStyle w:val="Hyperlink"/>
            <w:noProof/>
          </w:rPr>
          <w:t>Examples of rights’ violations in cross-border cases</w:t>
        </w:r>
        <w:r w:rsidR="006E7B8E">
          <w:rPr>
            <w:noProof/>
            <w:webHidden/>
          </w:rPr>
          <w:tab/>
        </w:r>
        <w:r w:rsidR="006E7B8E">
          <w:rPr>
            <w:noProof/>
            <w:webHidden/>
          </w:rPr>
          <w:fldChar w:fldCharType="begin"/>
        </w:r>
        <w:r w:rsidR="006E7B8E">
          <w:rPr>
            <w:noProof/>
            <w:webHidden/>
          </w:rPr>
          <w:instrText xml:space="preserve"> PAGEREF _Toc99486451 \h </w:instrText>
        </w:r>
        <w:r w:rsidR="006E7B8E">
          <w:rPr>
            <w:noProof/>
            <w:webHidden/>
          </w:rPr>
        </w:r>
        <w:r w:rsidR="006E7B8E">
          <w:rPr>
            <w:noProof/>
            <w:webHidden/>
          </w:rPr>
          <w:fldChar w:fldCharType="separate"/>
        </w:r>
        <w:r w:rsidR="00C72E5E">
          <w:rPr>
            <w:noProof/>
            <w:webHidden/>
          </w:rPr>
          <w:t>11</w:t>
        </w:r>
        <w:r w:rsidR="006E7B8E">
          <w:rPr>
            <w:noProof/>
            <w:webHidden/>
          </w:rPr>
          <w:fldChar w:fldCharType="end"/>
        </w:r>
      </w:hyperlink>
    </w:p>
    <w:p w14:paraId="3E7FF5D9" w14:textId="549B0AA3" w:rsidR="006E7B8E" w:rsidRDefault="0085796A">
      <w:pPr>
        <w:pStyle w:val="TOC1"/>
        <w:tabs>
          <w:tab w:val="right" w:leader="dot" w:pos="9016"/>
        </w:tabs>
        <w:rPr>
          <w:rFonts w:asciiTheme="minorHAnsi" w:eastAsiaTheme="minorEastAsia" w:hAnsiTheme="minorHAnsi"/>
          <w:noProof/>
          <w:sz w:val="22"/>
          <w:lang w:val="fr-BE" w:eastAsia="fr-BE"/>
        </w:rPr>
      </w:pPr>
      <w:hyperlink w:anchor="_Toc99486452" w:history="1">
        <w:r w:rsidR="006E7B8E" w:rsidRPr="002D10EA">
          <w:rPr>
            <w:rStyle w:val="Hyperlink"/>
            <w:noProof/>
          </w:rPr>
          <w:t>Conclusions and recommendations on ensuring disability rights in civil judicial cooperation</w:t>
        </w:r>
        <w:r w:rsidR="006E7B8E">
          <w:rPr>
            <w:noProof/>
            <w:webHidden/>
          </w:rPr>
          <w:tab/>
        </w:r>
        <w:r w:rsidR="006E7B8E">
          <w:rPr>
            <w:noProof/>
            <w:webHidden/>
          </w:rPr>
          <w:fldChar w:fldCharType="begin"/>
        </w:r>
        <w:r w:rsidR="006E7B8E">
          <w:rPr>
            <w:noProof/>
            <w:webHidden/>
          </w:rPr>
          <w:instrText xml:space="preserve"> PAGEREF _Toc99486452 \h </w:instrText>
        </w:r>
        <w:r w:rsidR="006E7B8E">
          <w:rPr>
            <w:noProof/>
            <w:webHidden/>
          </w:rPr>
        </w:r>
        <w:r w:rsidR="006E7B8E">
          <w:rPr>
            <w:noProof/>
            <w:webHidden/>
          </w:rPr>
          <w:fldChar w:fldCharType="separate"/>
        </w:r>
        <w:r w:rsidR="00C72E5E">
          <w:rPr>
            <w:noProof/>
            <w:webHidden/>
          </w:rPr>
          <w:t>12</w:t>
        </w:r>
        <w:r w:rsidR="006E7B8E">
          <w:rPr>
            <w:noProof/>
            <w:webHidden/>
          </w:rPr>
          <w:fldChar w:fldCharType="end"/>
        </w:r>
      </w:hyperlink>
    </w:p>
    <w:p w14:paraId="4E076AFC" w14:textId="5DE9A599" w:rsidR="006E7B8E" w:rsidRDefault="0085796A">
      <w:pPr>
        <w:pStyle w:val="TOC1"/>
        <w:tabs>
          <w:tab w:val="right" w:leader="dot" w:pos="9016"/>
        </w:tabs>
        <w:rPr>
          <w:rFonts w:asciiTheme="minorHAnsi" w:eastAsiaTheme="minorEastAsia" w:hAnsiTheme="minorHAnsi"/>
          <w:noProof/>
          <w:sz w:val="22"/>
          <w:lang w:val="fr-BE" w:eastAsia="fr-BE"/>
        </w:rPr>
      </w:pPr>
      <w:hyperlink w:anchor="_Toc99486453" w:history="1">
        <w:r w:rsidR="006E7B8E" w:rsidRPr="002D10EA">
          <w:rPr>
            <w:rStyle w:val="Hyperlink"/>
            <w:noProof/>
            <w:lang w:val="en-GB"/>
          </w:rPr>
          <w:t>Annex</w:t>
        </w:r>
        <w:r w:rsidR="006E7B8E">
          <w:rPr>
            <w:noProof/>
            <w:webHidden/>
          </w:rPr>
          <w:tab/>
        </w:r>
        <w:r w:rsidR="006E7B8E">
          <w:rPr>
            <w:noProof/>
            <w:webHidden/>
          </w:rPr>
          <w:fldChar w:fldCharType="begin"/>
        </w:r>
        <w:r w:rsidR="006E7B8E">
          <w:rPr>
            <w:noProof/>
            <w:webHidden/>
          </w:rPr>
          <w:instrText xml:space="preserve"> PAGEREF _Toc99486453 \h </w:instrText>
        </w:r>
        <w:r w:rsidR="006E7B8E">
          <w:rPr>
            <w:noProof/>
            <w:webHidden/>
          </w:rPr>
        </w:r>
        <w:r w:rsidR="006E7B8E">
          <w:rPr>
            <w:noProof/>
            <w:webHidden/>
          </w:rPr>
          <w:fldChar w:fldCharType="separate"/>
        </w:r>
        <w:r w:rsidR="00C72E5E">
          <w:rPr>
            <w:noProof/>
            <w:webHidden/>
          </w:rPr>
          <w:t>14</w:t>
        </w:r>
        <w:r w:rsidR="006E7B8E">
          <w:rPr>
            <w:noProof/>
            <w:webHidden/>
          </w:rPr>
          <w:fldChar w:fldCharType="end"/>
        </w:r>
      </w:hyperlink>
    </w:p>
    <w:p w14:paraId="0DA027A2" w14:textId="1CBBDAFA" w:rsidR="006E7B8E" w:rsidRDefault="0085796A">
      <w:pPr>
        <w:pStyle w:val="TOC2"/>
        <w:tabs>
          <w:tab w:val="right" w:leader="dot" w:pos="9016"/>
        </w:tabs>
        <w:rPr>
          <w:rFonts w:asciiTheme="minorHAnsi" w:eastAsiaTheme="minorEastAsia" w:hAnsiTheme="minorHAnsi"/>
          <w:noProof/>
          <w:sz w:val="22"/>
          <w:lang w:val="fr-BE" w:eastAsia="fr-BE"/>
        </w:rPr>
      </w:pPr>
      <w:hyperlink w:anchor="_Toc99486454" w:history="1">
        <w:r w:rsidR="006E7B8E" w:rsidRPr="002D10EA">
          <w:rPr>
            <w:rStyle w:val="Hyperlink"/>
            <w:noProof/>
            <w:lang w:val="en-GB"/>
          </w:rPr>
          <w:t>Glossary</w:t>
        </w:r>
        <w:r w:rsidR="006E7B8E">
          <w:rPr>
            <w:noProof/>
            <w:webHidden/>
          </w:rPr>
          <w:tab/>
        </w:r>
        <w:r w:rsidR="006E7B8E">
          <w:rPr>
            <w:noProof/>
            <w:webHidden/>
          </w:rPr>
          <w:fldChar w:fldCharType="begin"/>
        </w:r>
        <w:r w:rsidR="006E7B8E">
          <w:rPr>
            <w:noProof/>
            <w:webHidden/>
          </w:rPr>
          <w:instrText xml:space="preserve"> PAGEREF _Toc99486454 \h </w:instrText>
        </w:r>
        <w:r w:rsidR="006E7B8E">
          <w:rPr>
            <w:noProof/>
            <w:webHidden/>
          </w:rPr>
        </w:r>
        <w:r w:rsidR="006E7B8E">
          <w:rPr>
            <w:noProof/>
            <w:webHidden/>
          </w:rPr>
          <w:fldChar w:fldCharType="separate"/>
        </w:r>
        <w:r w:rsidR="00C72E5E">
          <w:rPr>
            <w:noProof/>
            <w:webHidden/>
          </w:rPr>
          <w:t>14</w:t>
        </w:r>
        <w:r w:rsidR="006E7B8E">
          <w:rPr>
            <w:noProof/>
            <w:webHidden/>
          </w:rPr>
          <w:fldChar w:fldCharType="end"/>
        </w:r>
      </w:hyperlink>
    </w:p>
    <w:p w14:paraId="541D1C69" w14:textId="580E3277" w:rsidR="006E7B8E" w:rsidRDefault="0085796A">
      <w:pPr>
        <w:pStyle w:val="TOC2"/>
        <w:tabs>
          <w:tab w:val="right" w:leader="dot" w:pos="9016"/>
        </w:tabs>
        <w:rPr>
          <w:rFonts w:asciiTheme="minorHAnsi" w:eastAsiaTheme="minorEastAsia" w:hAnsiTheme="minorHAnsi"/>
          <w:noProof/>
          <w:sz w:val="22"/>
          <w:lang w:val="fr-BE" w:eastAsia="fr-BE"/>
        </w:rPr>
      </w:pPr>
      <w:hyperlink w:anchor="_Toc99486455" w:history="1">
        <w:r w:rsidR="006E7B8E" w:rsidRPr="002D10EA">
          <w:rPr>
            <w:rStyle w:val="Hyperlink"/>
            <w:noProof/>
            <w:lang w:val="en-GB"/>
          </w:rPr>
          <w:t>Resources</w:t>
        </w:r>
        <w:r w:rsidR="006E7B8E">
          <w:rPr>
            <w:noProof/>
            <w:webHidden/>
          </w:rPr>
          <w:tab/>
        </w:r>
        <w:r w:rsidR="006E7B8E">
          <w:rPr>
            <w:noProof/>
            <w:webHidden/>
          </w:rPr>
          <w:fldChar w:fldCharType="begin"/>
        </w:r>
        <w:r w:rsidR="006E7B8E">
          <w:rPr>
            <w:noProof/>
            <w:webHidden/>
          </w:rPr>
          <w:instrText xml:space="preserve"> PAGEREF _Toc99486455 \h </w:instrText>
        </w:r>
        <w:r w:rsidR="006E7B8E">
          <w:rPr>
            <w:noProof/>
            <w:webHidden/>
          </w:rPr>
        </w:r>
        <w:r w:rsidR="006E7B8E">
          <w:rPr>
            <w:noProof/>
            <w:webHidden/>
          </w:rPr>
          <w:fldChar w:fldCharType="separate"/>
        </w:r>
        <w:r w:rsidR="00C72E5E">
          <w:rPr>
            <w:noProof/>
            <w:webHidden/>
          </w:rPr>
          <w:t>15</w:t>
        </w:r>
        <w:r w:rsidR="006E7B8E">
          <w:rPr>
            <w:noProof/>
            <w:webHidden/>
          </w:rPr>
          <w:fldChar w:fldCharType="end"/>
        </w:r>
      </w:hyperlink>
    </w:p>
    <w:p w14:paraId="7BD7C893" w14:textId="6FD3D27C" w:rsidR="006E7B8E" w:rsidRDefault="0085796A">
      <w:pPr>
        <w:pStyle w:val="TOC1"/>
        <w:tabs>
          <w:tab w:val="right" w:leader="dot" w:pos="9016"/>
        </w:tabs>
        <w:rPr>
          <w:rFonts w:asciiTheme="minorHAnsi" w:eastAsiaTheme="minorEastAsia" w:hAnsiTheme="minorHAnsi"/>
          <w:noProof/>
          <w:sz w:val="22"/>
          <w:lang w:val="fr-BE" w:eastAsia="fr-BE"/>
        </w:rPr>
      </w:pPr>
      <w:hyperlink w:anchor="_Toc99486456" w:history="1">
        <w:r w:rsidR="006E7B8E" w:rsidRPr="002D10EA">
          <w:rPr>
            <w:rStyle w:val="Hyperlink"/>
            <w:noProof/>
            <w:lang w:val="en-GB"/>
          </w:rPr>
          <w:t>Document credits</w:t>
        </w:r>
        <w:r w:rsidR="006E7B8E">
          <w:rPr>
            <w:noProof/>
            <w:webHidden/>
          </w:rPr>
          <w:tab/>
        </w:r>
        <w:r w:rsidR="006E7B8E">
          <w:rPr>
            <w:noProof/>
            <w:webHidden/>
          </w:rPr>
          <w:fldChar w:fldCharType="begin"/>
        </w:r>
        <w:r w:rsidR="006E7B8E">
          <w:rPr>
            <w:noProof/>
            <w:webHidden/>
          </w:rPr>
          <w:instrText xml:space="preserve"> PAGEREF _Toc99486456 \h </w:instrText>
        </w:r>
        <w:r w:rsidR="006E7B8E">
          <w:rPr>
            <w:noProof/>
            <w:webHidden/>
          </w:rPr>
        </w:r>
        <w:r w:rsidR="006E7B8E">
          <w:rPr>
            <w:noProof/>
            <w:webHidden/>
          </w:rPr>
          <w:fldChar w:fldCharType="separate"/>
        </w:r>
        <w:r w:rsidR="00C72E5E">
          <w:rPr>
            <w:noProof/>
            <w:webHidden/>
          </w:rPr>
          <w:t>16</w:t>
        </w:r>
        <w:r w:rsidR="006E7B8E">
          <w:rPr>
            <w:noProof/>
            <w:webHidden/>
          </w:rPr>
          <w:fldChar w:fldCharType="end"/>
        </w:r>
      </w:hyperlink>
    </w:p>
    <w:p w14:paraId="588D3280" w14:textId="2036A6D7" w:rsidR="001E0F08" w:rsidRDefault="00A9576D" w:rsidP="00282B80">
      <w:pPr>
        <w:pStyle w:val="Heading1"/>
      </w:pPr>
      <w:r>
        <w:fldChar w:fldCharType="end"/>
      </w:r>
      <w:bookmarkStart w:id="2" w:name="_Toc99486442"/>
      <w:r w:rsidR="001E0F08">
        <w:t>Introduction</w:t>
      </w:r>
      <w:bookmarkEnd w:id="2"/>
    </w:p>
    <w:p w14:paraId="70F30724" w14:textId="3C116A6C" w:rsidR="00282B80" w:rsidRDefault="00282B80" w:rsidP="00282B80">
      <w:pPr>
        <w:pStyle w:val="Heading3"/>
      </w:pPr>
      <w:r>
        <w:t>The European Disability Forum</w:t>
      </w:r>
    </w:p>
    <w:p w14:paraId="643E1BFF" w14:textId="6FE513A6" w:rsidR="003B7E0E" w:rsidRDefault="003B7E0E" w:rsidP="00282B80">
      <w:r w:rsidRPr="003B7E0E">
        <w:t xml:space="preserve">The European Disability Forum (EDF) is an umbrella organisation of persons with disabilities that </w:t>
      </w:r>
      <w:r w:rsidR="00C23B18">
        <w:t>promotes the rights</w:t>
      </w:r>
      <w:r w:rsidRPr="003B7E0E">
        <w:t xml:space="preserve"> of over 100 million persons with disabilities in the European Union. We are a unique platform which brings together representative organisation</w:t>
      </w:r>
      <w:r w:rsidR="006027CE">
        <w:t>s</w:t>
      </w:r>
      <w:r w:rsidRPr="003B7E0E">
        <w:t xml:space="preserve"> of persons with disabilities from across Europe. We are run by persons with disabilities and their families, and as such represent a strong, united voice of persons with disabilities in Europe. </w:t>
      </w:r>
    </w:p>
    <w:p w14:paraId="3A4C4DE7" w14:textId="51CFA7CA" w:rsidR="007C43EF" w:rsidRDefault="007C43EF" w:rsidP="00141EAA">
      <w:pPr>
        <w:pStyle w:val="Heading3"/>
      </w:pPr>
      <w:r>
        <w:t xml:space="preserve">Purpose of the position paper  </w:t>
      </w:r>
    </w:p>
    <w:p w14:paraId="4B0A9572" w14:textId="272D62AB" w:rsidR="007C43EF" w:rsidRDefault="007C43EF" w:rsidP="00282B80">
      <w:r>
        <w:t xml:space="preserve">This document was prepared </w:t>
      </w:r>
      <w:r w:rsidR="004930B0">
        <w:t>to contribute to</w:t>
      </w:r>
      <w:r>
        <w:t xml:space="preserve"> the </w:t>
      </w:r>
      <w:hyperlink r:id="rId10" w:history="1">
        <w:r w:rsidRPr="00E159AB">
          <w:rPr>
            <w:rStyle w:val="Hyperlink"/>
          </w:rPr>
          <w:t xml:space="preserve">consultation </w:t>
        </w:r>
        <w:r w:rsidR="00F504EE" w:rsidRPr="00E159AB">
          <w:rPr>
            <w:rStyle w:val="Hyperlink"/>
          </w:rPr>
          <w:t xml:space="preserve">of the European Commission on </w:t>
        </w:r>
        <w:r w:rsidR="00E159AB" w:rsidRPr="00E159AB">
          <w:rPr>
            <w:rStyle w:val="Hyperlink"/>
          </w:rPr>
          <w:t xml:space="preserve">Civil judicial cooperation – EU-wide protection </w:t>
        </w:r>
        <w:r w:rsidR="00E159AB" w:rsidRPr="00E159AB">
          <w:rPr>
            <w:rStyle w:val="Hyperlink"/>
          </w:rPr>
          <w:lastRenderedPageBreak/>
          <w:t>for vulnerable adults</w:t>
        </w:r>
      </w:hyperlink>
      <w:r>
        <w:t xml:space="preserve">. It </w:t>
      </w:r>
      <w:r w:rsidR="004930B0">
        <w:t>provides</w:t>
      </w:r>
      <w:r>
        <w:t xml:space="preserve"> recommendations</w:t>
      </w:r>
      <w:r w:rsidR="004930B0">
        <w:t xml:space="preserve"> to the European Union</w:t>
      </w:r>
      <w:r>
        <w:t xml:space="preserve"> </w:t>
      </w:r>
      <w:r w:rsidR="00375AAB">
        <w:t xml:space="preserve">(EU) </w:t>
      </w:r>
      <w:r w:rsidR="004930B0">
        <w:t xml:space="preserve">on </w:t>
      </w:r>
      <w:r w:rsidR="00E159AB">
        <w:t xml:space="preserve">the issue of </w:t>
      </w:r>
      <w:r w:rsidR="00375AAB" w:rsidRPr="00375AAB">
        <w:rPr>
          <w:lang w:val="en-GB"/>
        </w:rPr>
        <w:t>cross-border legal protection of vulnerable adults</w:t>
      </w:r>
      <w:r w:rsidR="00375AAB" w:rsidRPr="00375AAB">
        <w:t xml:space="preserve"> </w:t>
      </w:r>
      <w:r w:rsidR="00E159AB">
        <w:t xml:space="preserve">and the use of the 2000 </w:t>
      </w:r>
      <w:r w:rsidR="00E159AB" w:rsidRPr="00E159AB">
        <w:t>Hague Convention on the International Protection of Adults</w:t>
      </w:r>
      <w:r w:rsidR="00E159AB">
        <w:t xml:space="preserve">. </w:t>
      </w:r>
    </w:p>
    <w:p w14:paraId="6061FC13" w14:textId="5CC3BA74" w:rsidR="00282B80" w:rsidRDefault="00282B80" w:rsidP="00282B80">
      <w:pPr>
        <w:pStyle w:val="Heading3"/>
      </w:pPr>
      <w:r>
        <w:t>Acknowledgements</w:t>
      </w:r>
    </w:p>
    <w:p w14:paraId="6DB15531" w14:textId="505BAF0C" w:rsidR="00EF1B05" w:rsidRPr="009A1E50" w:rsidRDefault="003B7E0E" w:rsidP="009A1E50">
      <w:r>
        <w:t>This position paper was prepared thanks to the contribution of EDF Board.</w:t>
      </w:r>
      <w:r w:rsidR="00D750A4">
        <w:t xml:space="preserve"> It is based on research conducted by </w:t>
      </w:r>
      <w:r w:rsidR="005153B1">
        <w:t>Haëndila</w:t>
      </w:r>
      <w:r w:rsidR="00D750A4">
        <w:t xml:space="preserve"> Varela and Jolijn Santegoeds, consultants. </w:t>
      </w:r>
    </w:p>
    <w:p w14:paraId="60899FD3" w14:textId="6BA8DF7D" w:rsidR="00556FDD" w:rsidRDefault="008561FC" w:rsidP="009A1E50">
      <w:pPr>
        <w:pStyle w:val="Heading1"/>
      </w:pPr>
      <w:bookmarkStart w:id="3" w:name="_Toc99486443"/>
      <w:r>
        <w:t>Civil judicial cooperation and persons with disabilities</w:t>
      </w:r>
      <w:bookmarkEnd w:id="3"/>
      <w:r>
        <w:t xml:space="preserve"> </w:t>
      </w:r>
    </w:p>
    <w:p w14:paraId="29E0B919" w14:textId="21D75B32" w:rsidR="005A6ED0" w:rsidRDefault="008B16A2" w:rsidP="00CB14B9">
      <w:r>
        <w:t>T</w:t>
      </w:r>
      <w:r w:rsidR="00B61A85">
        <w:t xml:space="preserve">he </w:t>
      </w:r>
      <w:r w:rsidR="008773E8">
        <w:t>EU</w:t>
      </w:r>
      <w:r w:rsidR="00B61A85">
        <w:t xml:space="preserve"> decided to address </w:t>
      </w:r>
      <w:r w:rsidR="005A6ED0">
        <w:t>the “</w:t>
      </w:r>
      <w:bookmarkStart w:id="4" w:name="_Hlk99016230"/>
      <w:r w:rsidR="005A6ED0" w:rsidRPr="005A6ED0">
        <w:rPr>
          <w:lang w:val="en-GB"/>
        </w:rPr>
        <w:t>cross-border legal protection of vulnerable adults</w:t>
      </w:r>
      <w:bookmarkEnd w:id="4"/>
      <w:r w:rsidR="00B61A85">
        <w:t>”</w:t>
      </w:r>
      <w:r w:rsidR="00CB14B9">
        <w:t xml:space="preserve"> in response to the needs of an ageing population and increased cross-border mobility in the Europe and all over the world.</w:t>
      </w:r>
    </w:p>
    <w:p w14:paraId="5C9C2AF0" w14:textId="0242D3EA" w:rsidR="00CB14B9" w:rsidRDefault="00B61A85" w:rsidP="005F3428">
      <w:pPr>
        <w:rPr>
          <w:bCs/>
          <w:lang w:val="en-GB"/>
        </w:rPr>
      </w:pPr>
      <w:r>
        <w:t xml:space="preserve">According to the </w:t>
      </w:r>
      <w:hyperlink r:id="rId11" w:history="1">
        <w:r w:rsidRPr="005A6ED0">
          <w:rPr>
            <w:rStyle w:val="Hyperlink"/>
          </w:rPr>
          <w:t>European Commission</w:t>
        </w:r>
      </w:hyperlink>
      <w:r>
        <w:t xml:space="preserve"> “</w:t>
      </w:r>
      <w:r w:rsidRPr="005F3428">
        <w:rPr>
          <w:lang w:val="en-GB"/>
        </w:rPr>
        <w:t xml:space="preserve">more and more adults </w:t>
      </w:r>
      <w:r w:rsidRPr="00B61A85">
        <w:rPr>
          <w:bCs/>
          <w:lang w:val="en-GB"/>
        </w:rPr>
        <w:t>are unable to protect their own interests owing to an impairment or insufficiency of their personal faculties. They are thus vulnerable and need legal protection.”</w:t>
      </w:r>
      <w:r>
        <w:rPr>
          <w:bCs/>
          <w:lang w:val="en-GB"/>
        </w:rPr>
        <w:t xml:space="preserve"> </w:t>
      </w:r>
    </w:p>
    <w:p w14:paraId="06534FD9" w14:textId="090B807C" w:rsidR="00CA0D63" w:rsidRPr="00584111" w:rsidRDefault="00584111" w:rsidP="005F3428">
      <w:pPr>
        <w:rPr>
          <w:bCs/>
          <w:lang w:val="en-GB"/>
        </w:rPr>
      </w:pPr>
      <w:r>
        <w:rPr>
          <w:bCs/>
          <w:lang w:val="en-GB"/>
        </w:rPr>
        <w:t xml:space="preserve">The </w:t>
      </w:r>
      <w:r w:rsidR="00CB14B9">
        <w:rPr>
          <w:bCs/>
          <w:lang w:val="en-GB"/>
        </w:rPr>
        <w:t xml:space="preserve">European Commission’s perspective on the </w:t>
      </w:r>
      <w:r>
        <w:rPr>
          <w:bCs/>
          <w:lang w:val="en-GB"/>
        </w:rPr>
        <w:t>p</w:t>
      </w:r>
      <w:r w:rsidR="00B61A85">
        <w:rPr>
          <w:bCs/>
          <w:lang w:val="en-GB"/>
        </w:rPr>
        <w:t xml:space="preserve">rotection of the “interests of vulnerable adults” is </w:t>
      </w:r>
      <w:r w:rsidR="00CB14B9">
        <w:rPr>
          <w:bCs/>
          <w:lang w:val="en-GB"/>
        </w:rPr>
        <w:t xml:space="preserve">combining </w:t>
      </w:r>
      <w:r w:rsidR="00B61A85" w:rsidRPr="005A6ED0">
        <w:rPr>
          <w:b/>
          <w:lang w:val="en-GB"/>
        </w:rPr>
        <w:t>age and disability</w:t>
      </w:r>
      <w:r w:rsidR="00B61A85">
        <w:rPr>
          <w:bCs/>
          <w:lang w:val="en-GB"/>
        </w:rPr>
        <w:t>.</w:t>
      </w:r>
      <w:r w:rsidR="005A6ED0">
        <w:rPr>
          <w:bCs/>
          <w:lang w:val="en-GB"/>
        </w:rPr>
        <w:t xml:space="preserve"> </w:t>
      </w:r>
      <w:r w:rsidR="00CB14B9">
        <w:rPr>
          <w:bCs/>
          <w:lang w:val="en-GB"/>
        </w:rPr>
        <w:t>The population most likely to be defined as “vulnerable adults’ entails p</w:t>
      </w:r>
      <w:r w:rsidR="008773E8">
        <w:rPr>
          <w:bCs/>
          <w:lang w:val="en-GB"/>
        </w:rPr>
        <w:t>eople with intellectual and psychosocial disabilities, people with high support needs, people with Alzheimer or dementia, and older people with or without disabilities</w:t>
      </w:r>
      <w:r w:rsidR="0024775A">
        <w:rPr>
          <w:bCs/>
          <w:lang w:val="en-GB"/>
        </w:rPr>
        <w:t>.</w:t>
      </w:r>
      <w:r w:rsidR="00BE68AF">
        <w:rPr>
          <w:bCs/>
          <w:lang w:val="en-GB"/>
        </w:rPr>
        <w:t xml:space="preserve"> Other popul</w:t>
      </w:r>
      <w:r w:rsidR="00BE68AF" w:rsidRPr="00BE68AF">
        <w:rPr>
          <w:bCs/>
          <w:lang w:val="en-GB"/>
        </w:rPr>
        <w:t>ation may</w:t>
      </w:r>
      <w:r w:rsidR="00BE68AF">
        <w:rPr>
          <w:bCs/>
          <w:lang w:val="en-GB"/>
        </w:rPr>
        <w:t xml:space="preserve"> also fall under this definition, in particular migrants and refugees, including those with disabilities, who are also more likely to find themselves in a cross-border situation. </w:t>
      </w:r>
    </w:p>
    <w:p w14:paraId="711D45A4" w14:textId="77777777" w:rsidR="00C62B31" w:rsidRDefault="00C62B31" w:rsidP="005F3428">
      <w:pPr>
        <w:rPr>
          <w:lang w:val="en-GB"/>
        </w:rPr>
      </w:pPr>
      <w:r>
        <w:rPr>
          <w:lang w:val="en-GB"/>
        </w:rPr>
        <w:t>“Vulnerable adults” i</w:t>
      </w:r>
      <w:r w:rsidRPr="005F3428">
        <w:rPr>
          <w:lang w:val="en-GB"/>
        </w:rPr>
        <w:t xml:space="preserve">n cross-border </w:t>
      </w:r>
      <w:r>
        <w:rPr>
          <w:lang w:val="en-GB"/>
        </w:rPr>
        <w:t xml:space="preserve">situations may face a number of problems in accessing the support they need. </w:t>
      </w:r>
    </w:p>
    <w:p w14:paraId="60F4C820" w14:textId="100A8EE5" w:rsidR="005F3428" w:rsidRPr="005F3428" w:rsidRDefault="00CA0D63" w:rsidP="005F3428">
      <w:pPr>
        <w:rPr>
          <w:lang w:val="en-GB"/>
        </w:rPr>
      </w:pPr>
      <w:r>
        <w:rPr>
          <w:lang w:val="en-GB"/>
        </w:rPr>
        <w:t>T</w:t>
      </w:r>
      <w:r w:rsidR="005F3428" w:rsidRPr="005F3428">
        <w:rPr>
          <w:lang w:val="en-GB"/>
        </w:rPr>
        <w:t>he</w:t>
      </w:r>
      <w:r w:rsidR="005F3428" w:rsidRPr="005F3428" w:rsidDel="00A42961">
        <w:rPr>
          <w:lang w:val="en-GB"/>
        </w:rPr>
        <w:t xml:space="preserve"> </w:t>
      </w:r>
      <w:r w:rsidR="005F3428" w:rsidRPr="00BE68AF">
        <w:rPr>
          <w:lang w:val="en-GB"/>
        </w:rPr>
        <w:t xml:space="preserve">rules </w:t>
      </w:r>
      <w:r w:rsidR="0024775A" w:rsidRPr="00BE68AF">
        <w:rPr>
          <w:lang w:val="en-GB"/>
        </w:rPr>
        <w:t>on protection</w:t>
      </w:r>
      <w:r w:rsidR="00C62B31" w:rsidRPr="00BE68AF">
        <w:rPr>
          <w:lang w:val="en-GB"/>
        </w:rPr>
        <w:t xml:space="preserve"> of legal capacity</w:t>
      </w:r>
      <w:r w:rsidR="0024775A" w:rsidRPr="00BE68AF">
        <w:rPr>
          <w:lang w:val="en-GB"/>
        </w:rPr>
        <w:t xml:space="preserve"> </w:t>
      </w:r>
      <w:r w:rsidR="005F3428" w:rsidRPr="00BE68AF">
        <w:rPr>
          <w:lang w:val="en-GB"/>
        </w:rPr>
        <w:t>vary</w:t>
      </w:r>
      <w:r w:rsidR="005F3428" w:rsidRPr="005F3428">
        <w:rPr>
          <w:lang w:val="en-GB"/>
        </w:rPr>
        <w:t xml:space="preserve"> across </w:t>
      </w:r>
      <w:r w:rsidR="00584111">
        <w:rPr>
          <w:lang w:val="en-GB"/>
        </w:rPr>
        <w:t>Member States</w:t>
      </w:r>
      <w:r w:rsidR="00C62B31">
        <w:rPr>
          <w:lang w:val="en-GB"/>
        </w:rPr>
        <w:t>,</w:t>
      </w:r>
      <w:r w:rsidR="0024775A">
        <w:rPr>
          <w:lang w:val="en-GB"/>
        </w:rPr>
        <w:t xml:space="preserve"> and mutual recognition </w:t>
      </w:r>
      <w:r w:rsidR="00C62B31">
        <w:rPr>
          <w:lang w:val="en-GB"/>
        </w:rPr>
        <w:t xml:space="preserve">in cross border situations </w:t>
      </w:r>
      <w:r w:rsidR="0024775A">
        <w:rPr>
          <w:lang w:val="en-GB"/>
        </w:rPr>
        <w:t>can be problematic</w:t>
      </w:r>
      <w:r w:rsidR="005F3428" w:rsidRPr="005F3428">
        <w:rPr>
          <w:lang w:val="en-GB"/>
        </w:rPr>
        <w:t>.</w:t>
      </w:r>
      <w:r w:rsidR="00ED48E0">
        <w:rPr>
          <w:rStyle w:val="FootnoteReference"/>
          <w:lang w:val="en-GB"/>
        </w:rPr>
        <w:footnoteReference w:id="1"/>
      </w:r>
      <w:r w:rsidR="005F3428" w:rsidRPr="005F3428">
        <w:rPr>
          <w:lang w:val="en-GB"/>
        </w:rPr>
        <w:t xml:space="preserve"> </w:t>
      </w:r>
      <w:r w:rsidR="00C62B31" w:rsidRPr="005F3428">
        <w:rPr>
          <w:lang w:val="en-GB"/>
        </w:rPr>
        <w:t>Currently, there is no EU legislation governing the cross-border legal protection of vulnerable adults.</w:t>
      </w:r>
      <w:r w:rsidR="00BE68AF">
        <w:rPr>
          <w:lang w:val="en-GB"/>
        </w:rPr>
        <w:t xml:space="preserve"> </w:t>
      </w:r>
      <w:r w:rsidR="006625E6">
        <w:rPr>
          <w:lang w:val="en-GB"/>
        </w:rPr>
        <w:t xml:space="preserve">Addressing civil judicial cooperation in the area of cross-border legal protection of “vulnerable adults” </w:t>
      </w:r>
      <w:r w:rsidR="00A7512F">
        <w:rPr>
          <w:lang w:val="en-GB"/>
        </w:rPr>
        <w:t>is</w:t>
      </w:r>
      <w:r w:rsidR="00BA61EA">
        <w:rPr>
          <w:lang w:val="en-GB"/>
        </w:rPr>
        <w:t xml:space="preserve"> important </w:t>
      </w:r>
      <w:r w:rsidR="00A7512F">
        <w:rPr>
          <w:lang w:val="en-GB"/>
        </w:rPr>
        <w:t>for</w:t>
      </w:r>
      <w:r w:rsidR="00BA61EA">
        <w:rPr>
          <w:lang w:val="en-GB"/>
        </w:rPr>
        <w:t xml:space="preserve"> the human rights of persons with disabilities in the EU. </w:t>
      </w:r>
    </w:p>
    <w:p w14:paraId="79CDE0EB" w14:textId="3CB78BCF" w:rsidR="008561FC" w:rsidRDefault="008561FC" w:rsidP="00181465">
      <w:pPr>
        <w:pStyle w:val="Heading1"/>
      </w:pPr>
      <w:bookmarkStart w:id="5" w:name="_Toc99486444"/>
      <w:r>
        <w:lastRenderedPageBreak/>
        <w:t>Legal and policy background</w:t>
      </w:r>
      <w:bookmarkEnd w:id="5"/>
      <w:r>
        <w:t xml:space="preserve"> </w:t>
      </w:r>
    </w:p>
    <w:p w14:paraId="21363A35" w14:textId="2FE831DE" w:rsidR="008561FC" w:rsidRDefault="008561FC" w:rsidP="00181465">
      <w:pPr>
        <w:pStyle w:val="Heading2"/>
      </w:pPr>
      <w:bookmarkStart w:id="6" w:name="_Toc99486445"/>
      <w:r>
        <w:t>Obligations under the UN Convention on the Rights of Persons with Disabilities</w:t>
      </w:r>
      <w:bookmarkEnd w:id="6"/>
      <w:r>
        <w:t xml:space="preserve"> </w:t>
      </w:r>
    </w:p>
    <w:p w14:paraId="6BC506D8" w14:textId="1683D64C" w:rsidR="008561FC" w:rsidRDefault="007A6FBF" w:rsidP="008561FC">
      <w:pPr>
        <w:rPr>
          <w:lang w:val="en-GB"/>
        </w:rPr>
      </w:pPr>
      <w:r w:rsidRPr="002D1155">
        <w:rPr>
          <w:b/>
          <w:bCs/>
        </w:rPr>
        <w:t xml:space="preserve">The EU and </w:t>
      </w:r>
      <w:r w:rsidRPr="002D1155">
        <w:rPr>
          <w:b/>
          <w:bCs/>
          <w:lang w:val="en-GB"/>
        </w:rPr>
        <w:t>all its Member States ratified the UN Convention on the Rights of Persons with Disabilities</w:t>
      </w:r>
      <w:r w:rsidR="00993A27" w:rsidRPr="002D1155">
        <w:rPr>
          <w:b/>
          <w:bCs/>
          <w:lang w:val="en-GB"/>
        </w:rPr>
        <w:t xml:space="preserve"> (CRPD)</w:t>
      </w:r>
      <w:r w:rsidRPr="002D1155">
        <w:rPr>
          <w:b/>
          <w:bCs/>
          <w:lang w:val="en-GB"/>
        </w:rPr>
        <w:t>.</w:t>
      </w:r>
      <w:r>
        <w:rPr>
          <w:lang w:val="en-GB"/>
        </w:rPr>
        <w:t xml:space="preserve"> Under the Convention they have the obligation to ensure equality and non-discrimination of all persons with disabilities (art. 5), equal recognition under the law (art. 12), liberty and security (art. 14), integrity of the person (art. 17) and independent living (art. 19). </w:t>
      </w:r>
    </w:p>
    <w:p w14:paraId="7D823274" w14:textId="191DF43E" w:rsidR="00C070E7" w:rsidRPr="00C070E7" w:rsidRDefault="00815E59" w:rsidP="000472A8">
      <w:pPr>
        <w:rPr>
          <w:lang w:val="en-GB"/>
        </w:rPr>
      </w:pPr>
      <w:r>
        <w:rPr>
          <w:lang w:val="en-GB"/>
        </w:rPr>
        <w:t>The UN Committee on the Rights of Persons with Disabilities (</w:t>
      </w:r>
      <w:r w:rsidR="00993A27">
        <w:rPr>
          <w:lang w:val="en-GB"/>
        </w:rPr>
        <w:t xml:space="preserve">CRPD Committee) </w:t>
      </w:r>
      <w:r w:rsidR="008B16A2">
        <w:rPr>
          <w:lang w:val="en-GB"/>
        </w:rPr>
        <w:t>explained</w:t>
      </w:r>
      <w:r w:rsidR="007C6AEB">
        <w:rPr>
          <w:lang w:val="en-GB"/>
        </w:rPr>
        <w:t xml:space="preserve"> the obligation to ensure equal recognition </w:t>
      </w:r>
      <w:r w:rsidR="008B16A2">
        <w:rPr>
          <w:lang w:val="en-GB"/>
        </w:rPr>
        <w:t xml:space="preserve">before </w:t>
      </w:r>
      <w:r w:rsidR="007C6AEB">
        <w:rPr>
          <w:lang w:val="en-GB"/>
        </w:rPr>
        <w:t xml:space="preserve">the law in its </w:t>
      </w:r>
      <w:hyperlink r:id="rId12" w:history="1">
        <w:r w:rsidR="007C6AEB" w:rsidRPr="007C6AEB">
          <w:rPr>
            <w:rStyle w:val="Hyperlink"/>
            <w:lang w:val="en-GB"/>
          </w:rPr>
          <w:t>General Comment No. 1</w:t>
        </w:r>
      </w:hyperlink>
      <w:r w:rsidR="007C6AEB">
        <w:rPr>
          <w:lang w:val="en-GB"/>
        </w:rPr>
        <w:t xml:space="preserve">. </w:t>
      </w:r>
      <w:r w:rsidR="000472A8">
        <w:rPr>
          <w:lang w:val="en-GB"/>
        </w:rPr>
        <w:t>States Parties to the Convention must ensure that</w:t>
      </w:r>
      <w:r w:rsidR="008B16A2">
        <w:rPr>
          <w:lang w:val="en-GB"/>
        </w:rPr>
        <w:t xml:space="preserve"> all persons with disabilities are recogni</w:t>
      </w:r>
      <w:r w:rsidR="00BE68AF">
        <w:rPr>
          <w:lang w:val="en-GB"/>
        </w:rPr>
        <w:t>s</w:t>
      </w:r>
      <w:r w:rsidR="008B16A2">
        <w:rPr>
          <w:lang w:val="en-GB"/>
        </w:rPr>
        <w:t>ed as persons before the law, which means that</w:t>
      </w:r>
      <w:r w:rsidR="000472A8">
        <w:rPr>
          <w:lang w:val="en-GB"/>
        </w:rPr>
        <w:t xml:space="preserve"> </w:t>
      </w:r>
      <w:r w:rsidR="008B16A2">
        <w:rPr>
          <w:lang w:val="en-GB"/>
        </w:rPr>
        <w:t xml:space="preserve">the legal capacity of </w:t>
      </w:r>
      <w:r w:rsidR="000472A8">
        <w:rPr>
          <w:lang w:val="en-GB"/>
        </w:rPr>
        <w:t xml:space="preserve">all persons with disabilities </w:t>
      </w:r>
      <w:r w:rsidR="008B16A2">
        <w:rPr>
          <w:lang w:val="en-GB"/>
        </w:rPr>
        <w:t xml:space="preserve">must be </w:t>
      </w:r>
      <w:r w:rsidR="000472A8">
        <w:rPr>
          <w:lang w:val="en-GB"/>
        </w:rPr>
        <w:t>respected,</w:t>
      </w:r>
      <w:r w:rsidR="00BA58B3">
        <w:rPr>
          <w:rStyle w:val="FootnoteReference"/>
          <w:lang w:val="en-GB"/>
        </w:rPr>
        <w:footnoteReference w:id="2"/>
      </w:r>
      <w:r w:rsidR="000472A8">
        <w:rPr>
          <w:lang w:val="en-GB"/>
        </w:rPr>
        <w:t xml:space="preserve"> and</w:t>
      </w:r>
      <w:r w:rsidR="008B16A2">
        <w:rPr>
          <w:lang w:val="en-GB"/>
        </w:rPr>
        <w:t xml:space="preserve"> that </w:t>
      </w:r>
      <w:r w:rsidR="00F223C3">
        <w:rPr>
          <w:lang w:val="en-GB"/>
        </w:rPr>
        <w:t xml:space="preserve">access to </w:t>
      </w:r>
      <w:r w:rsidR="008B16A2" w:rsidRPr="00C95E40">
        <w:rPr>
          <w:bCs/>
          <w:lang w:val="en-GB"/>
        </w:rPr>
        <w:t xml:space="preserve">support </w:t>
      </w:r>
      <w:r w:rsidR="00F223C3" w:rsidRPr="00C95E40">
        <w:rPr>
          <w:bCs/>
          <w:lang w:val="en-GB"/>
        </w:rPr>
        <w:t>they may require to</w:t>
      </w:r>
      <w:r w:rsidR="008B16A2" w:rsidRPr="00C95E40">
        <w:rPr>
          <w:bCs/>
          <w:lang w:val="en-GB"/>
        </w:rPr>
        <w:t xml:space="preserve"> exercise legal capacity</w:t>
      </w:r>
      <w:r w:rsidR="008B16A2">
        <w:rPr>
          <w:lang w:val="en-GB"/>
        </w:rPr>
        <w:t xml:space="preserve"> must be provided</w:t>
      </w:r>
      <w:r w:rsidR="00F223C3">
        <w:rPr>
          <w:lang w:val="en-GB"/>
        </w:rPr>
        <w:t xml:space="preserve">, </w:t>
      </w:r>
      <w:r w:rsidR="000472A8" w:rsidRPr="000472A8">
        <w:rPr>
          <w:lang w:val="en-GB"/>
        </w:rPr>
        <w:t xml:space="preserve">to enable </w:t>
      </w:r>
      <w:r w:rsidR="00F223C3">
        <w:rPr>
          <w:lang w:val="en-GB"/>
        </w:rPr>
        <w:t>people</w:t>
      </w:r>
      <w:r w:rsidR="000472A8" w:rsidRPr="000472A8">
        <w:rPr>
          <w:lang w:val="en-GB"/>
        </w:rPr>
        <w:t xml:space="preserve"> to</w:t>
      </w:r>
      <w:r w:rsidR="000472A8">
        <w:rPr>
          <w:lang w:val="en-GB"/>
        </w:rPr>
        <w:t xml:space="preserve"> </w:t>
      </w:r>
      <w:r w:rsidR="000472A8" w:rsidRPr="000472A8">
        <w:rPr>
          <w:lang w:val="en-GB"/>
        </w:rPr>
        <w:t>make decisions that have legal effect</w:t>
      </w:r>
      <w:r w:rsidR="00F223C3">
        <w:rPr>
          <w:lang w:val="en-GB"/>
        </w:rPr>
        <w:t>. S</w:t>
      </w:r>
      <w:r w:rsidR="000472A8">
        <w:rPr>
          <w:lang w:val="en-GB"/>
        </w:rPr>
        <w:t>upported</w:t>
      </w:r>
      <w:r w:rsidR="00BE68AF">
        <w:rPr>
          <w:lang w:val="en-GB"/>
        </w:rPr>
        <w:t xml:space="preserve"> d</w:t>
      </w:r>
      <w:r w:rsidR="000472A8">
        <w:rPr>
          <w:lang w:val="en-GB"/>
        </w:rPr>
        <w:t>ecision</w:t>
      </w:r>
      <w:r w:rsidR="00BE68AF">
        <w:rPr>
          <w:lang w:val="en-GB"/>
        </w:rPr>
        <w:t>-</w:t>
      </w:r>
      <w:r w:rsidR="000472A8">
        <w:rPr>
          <w:lang w:val="en-GB"/>
        </w:rPr>
        <w:t xml:space="preserve">making mechanisms </w:t>
      </w:r>
      <w:r w:rsidR="00F223C3">
        <w:rPr>
          <w:lang w:val="en-GB"/>
        </w:rPr>
        <w:t>must replace</w:t>
      </w:r>
      <w:r w:rsidR="000472A8">
        <w:rPr>
          <w:lang w:val="en-GB"/>
        </w:rPr>
        <w:t xml:space="preserve"> deprivation of legal capacity such as guardianship. </w:t>
      </w:r>
      <w:r w:rsidR="0051273D" w:rsidRPr="0051273D">
        <w:t>Support in the exercise of legal capacity must respect the rights, will and preferences of persons with disabilities and should never amount to substitute decision-making.</w:t>
      </w:r>
      <w:r w:rsidR="0051273D">
        <w:t xml:space="preserve"> </w:t>
      </w:r>
    </w:p>
    <w:p w14:paraId="1728CAEE" w14:textId="2FA2C525" w:rsidR="00C070E7" w:rsidRDefault="0051273D" w:rsidP="000472A8">
      <w:r w:rsidRPr="0051273D">
        <w:t>“</w:t>
      </w:r>
      <w:r w:rsidR="00F223C3">
        <w:t>S</w:t>
      </w:r>
      <w:r w:rsidRPr="0051273D">
        <w:t xml:space="preserve">upport” is a broad term that encompasses both informal and formal support arrangements, of varying types and intensity. For example, persons with disabilities may choose one or more trusted support persons to assist them in exercising their legal capacity for certain types of decisions, </w:t>
      </w:r>
      <w:r w:rsidR="00F223C3">
        <w:t xml:space="preserve">such as by advance directives or support circles, </w:t>
      </w:r>
      <w:r w:rsidRPr="0051273D">
        <w:t>or may call on other forms of support, such as peer support, advocacy (including self-advocacy support), or assistance with communication</w:t>
      </w:r>
      <w:r w:rsidR="00F223C3">
        <w:t xml:space="preserve"> and understanding</w:t>
      </w:r>
      <w:r w:rsidRPr="0051273D">
        <w:t>.</w:t>
      </w:r>
      <w:r w:rsidR="00C070E7">
        <w:t xml:space="preserve"> </w:t>
      </w:r>
    </w:p>
    <w:p w14:paraId="2C5267F7" w14:textId="3516C6F7" w:rsidR="0051273D" w:rsidRDefault="00F223C3" w:rsidP="000472A8">
      <w:r>
        <w:t xml:space="preserve">The </w:t>
      </w:r>
      <w:r w:rsidR="00E06A9A">
        <w:t>reali</w:t>
      </w:r>
      <w:r w:rsidR="00BE68AF">
        <w:t>s</w:t>
      </w:r>
      <w:r w:rsidR="00E06A9A">
        <w:t>ation of</w:t>
      </w:r>
      <w:r>
        <w:t xml:space="preserve"> s</w:t>
      </w:r>
      <w:r w:rsidR="00C070E7" w:rsidRPr="00C070E7">
        <w:t>upport to persons with disabilities in the exercise of their legal capacity might include measures relating to universal design and accessibility — for example, requiring private and public actors, such as banks and financial institutions, to provide information in an understandable format or to provide professional sign language interpretation — in order to enable persons with disabilities to perform the legal acts required to open a bank account, conclude contracts or conduct other social transactions.</w:t>
      </w:r>
    </w:p>
    <w:p w14:paraId="79C09667" w14:textId="6AE96106" w:rsidR="007E1F29" w:rsidRDefault="007E1F29" w:rsidP="000472A8">
      <w:r>
        <w:t xml:space="preserve">In 2015, the CRPD Committee recommended to the EU to: </w:t>
      </w:r>
    </w:p>
    <w:p w14:paraId="163C0783" w14:textId="19B6766B" w:rsidR="007E1F29" w:rsidRPr="007E1F29" w:rsidRDefault="005B0A2D" w:rsidP="005B0A2D">
      <w:pPr>
        <w:pStyle w:val="ListParagraph"/>
        <w:numPr>
          <w:ilvl w:val="0"/>
          <w:numId w:val="21"/>
        </w:numPr>
        <w:ind w:left="714" w:hanging="357"/>
        <w:contextualSpacing w:val="0"/>
        <w:rPr>
          <w:lang w:val="en-GB"/>
        </w:rPr>
      </w:pPr>
      <w:r>
        <w:lastRenderedPageBreak/>
        <w:t>T</w:t>
      </w:r>
      <w:r w:rsidR="007E1F29" w:rsidRPr="007E1F29">
        <w:t>ake appropriate measures to ensure that all persons with disabilities who have been deprived of their legal capacity can exercise all the rights enshrined in European Union treaties and legislation, such as access to justice, goods and services, including banking, employment and health care, as well as voting and consumer rights, in line with the Convention, as developed in the Committee’s general comment No. 1 (2014) on equal recognition before the law</w:t>
      </w:r>
    </w:p>
    <w:p w14:paraId="4F657385" w14:textId="7E30C188" w:rsidR="007E1F29" w:rsidRPr="007E1F29" w:rsidRDefault="005B0A2D" w:rsidP="007E1F29">
      <w:pPr>
        <w:pStyle w:val="ListParagraph"/>
        <w:numPr>
          <w:ilvl w:val="0"/>
          <w:numId w:val="21"/>
        </w:numPr>
        <w:rPr>
          <w:lang w:val="en-GB"/>
        </w:rPr>
      </w:pPr>
      <w:r>
        <w:t>S</w:t>
      </w:r>
      <w:r w:rsidR="007E1F29" w:rsidRPr="007E1F29">
        <w:t>tep up efforts to foster research, data collection and exchange of good practices on supported decision-making, in consultation with representative organi</w:t>
      </w:r>
      <w:r w:rsidR="007E1F29">
        <w:t>s</w:t>
      </w:r>
      <w:r w:rsidR="007E1F29" w:rsidRPr="007E1F29">
        <w:t>ations of persons with disabilities</w:t>
      </w:r>
    </w:p>
    <w:p w14:paraId="12537787" w14:textId="328D8FDE" w:rsidR="008561FC" w:rsidRDefault="008561FC" w:rsidP="00181465">
      <w:pPr>
        <w:pStyle w:val="Heading2"/>
      </w:pPr>
      <w:bookmarkStart w:id="7" w:name="_Toc99486446"/>
      <w:r>
        <w:t>Obligations under the EU Strategy on the rights of persons with disabilities 2021-2030</w:t>
      </w:r>
      <w:bookmarkEnd w:id="7"/>
    </w:p>
    <w:p w14:paraId="7BD505A5" w14:textId="2F7D8128" w:rsidR="008561FC" w:rsidRDefault="004C488F" w:rsidP="008561FC">
      <w:r>
        <w:t xml:space="preserve">The </w:t>
      </w:r>
      <w:hyperlink r:id="rId13" w:history="1">
        <w:r w:rsidRPr="00913444">
          <w:rPr>
            <w:rStyle w:val="Hyperlink"/>
          </w:rPr>
          <w:t>EU Strategy on the rights of persons with disabilities 2021-2030</w:t>
        </w:r>
      </w:hyperlink>
      <w:r>
        <w:t xml:space="preserve"> recognises that </w:t>
      </w:r>
      <w:r w:rsidRPr="004C488F">
        <w:t>persons with disabilities often face difficulties in exercising their rights due to restrictions in their legal capacity</w:t>
      </w:r>
      <w:r>
        <w:t xml:space="preserve"> may it be to participate in elections, or to conclude contracts or start a business. In addition, m</w:t>
      </w:r>
      <w:r w:rsidRPr="004C488F">
        <w:t>any persons with disabilities, adults and children, are segregated from community life and do not have control over their daily lives, in particular those living in institutions</w:t>
      </w:r>
      <w:r>
        <w:t xml:space="preserve">. </w:t>
      </w:r>
    </w:p>
    <w:p w14:paraId="2AC06612" w14:textId="5FF2F9F9" w:rsidR="00DF1B8E" w:rsidRDefault="00DF1B8E" w:rsidP="008561FC">
      <w:r>
        <w:t xml:space="preserve">Under the Strategy, the Commission commits to: </w:t>
      </w:r>
    </w:p>
    <w:p w14:paraId="076CB627" w14:textId="4D5651BC" w:rsidR="00DF1B8E" w:rsidRDefault="005B0A2D" w:rsidP="005B0A2D">
      <w:pPr>
        <w:pStyle w:val="ListParagraph"/>
        <w:numPr>
          <w:ilvl w:val="0"/>
          <w:numId w:val="22"/>
        </w:numPr>
        <w:ind w:left="714" w:hanging="357"/>
        <w:contextualSpacing w:val="0"/>
      </w:pPr>
      <w:r>
        <w:t>W</w:t>
      </w:r>
      <w:r w:rsidR="00DF1B8E" w:rsidRPr="00DF1B8E">
        <w:t>ork with Member States to implement the 2000 Hague Convention on the international protection of vulnerable adults in line with the UNCRPD, including</w:t>
      </w:r>
      <w:r w:rsidR="00DF1B8E">
        <w:t xml:space="preserve"> </w:t>
      </w:r>
      <w:r w:rsidR="00DF1B8E" w:rsidRPr="00DF1B8E">
        <w:t xml:space="preserve">by way of a </w:t>
      </w:r>
      <w:r w:rsidR="00DF1B8E" w:rsidRPr="00DF1B8E">
        <w:rPr>
          <w:b/>
          <w:bCs/>
        </w:rPr>
        <w:t>study on the protection of vulnerable adults in cross-border situations</w:t>
      </w:r>
      <w:r w:rsidR="00DF1B8E" w:rsidRPr="00DF1B8E">
        <w:t>, notably those with intellectual disabilities, to pave the way for its ratification by all Member States</w:t>
      </w:r>
    </w:p>
    <w:p w14:paraId="5C8AB808" w14:textId="70D49E5E" w:rsidR="00DF1B8E" w:rsidRPr="00553BE5" w:rsidRDefault="005B0A2D" w:rsidP="00DF1B8E">
      <w:pPr>
        <w:pStyle w:val="ListParagraph"/>
        <w:numPr>
          <w:ilvl w:val="0"/>
          <w:numId w:val="22"/>
        </w:numPr>
      </w:pPr>
      <w:r>
        <w:t>C</w:t>
      </w:r>
      <w:r w:rsidR="00DF1B8E" w:rsidRPr="00DF1B8E">
        <w:t xml:space="preserve">ollect </w:t>
      </w:r>
      <w:r w:rsidR="00DF1B8E" w:rsidRPr="00DF1B8E">
        <w:rPr>
          <w:b/>
          <w:bCs/>
        </w:rPr>
        <w:t>good practices on supported decision-making</w:t>
      </w:r>
    </w:p>
    <w:p w14:paraId="0E91EE4D" w14:textId="4A8B7FAC" w:rsidR="00553BE5" w:rsidRPr="008561FC" w:rsidRDefault="00553BE5" w:rsidP="00553BE5">
      <w:r>
        <w:t xml:space="preserve">At the time of the publication of this position paper, EDF had not been involved </w:t>
      </w:r>
      <w:r w:rsidR="004B7E67">
        <w:t xml:space="preserve">in </w:t>
      </w:r>
      <w:r>
        <w:t xml:space="preserve">or informed </w:t>
      </w:r>
      <w:r w:rsidR="004B7E67">
        <w:t>about</w:t>
      </w:r>
      <w:r>
        <w:t xml:space="preserve"> any of those two activities</w:t>
      </w:r>
      <w:r w:rsidR="004B7E67">
        <w:t xml:space="preserve"> or under activities undertaken by the Commission to ensure equal recognition before the law of persons with disabilities</w:t>
      </w:r>
      <w:r>
        <w:t xml:space="preserve">. </w:t>
      </w:r>
    </w:p>
    <w:p w14:paraId="40725C35" w14:textId="77777777" w:rsidR="008561FC" w:rsidRPr="008561FC" w:rsidRDefault="008561FC" w:rsidP="00181465">
      <w:pPr>
        <w:pStyle w:val="Heading2"/>
      </w:pPr>
      <w:bookmarkStart w:id="8" w:name="_Toc99486447"/>
      <w:r w:rsidRPr="008561FC">
        <w:t xml:space="preserve">The </w:t>
      </w:r>
      <w:bookmarkStart w:id="9" w:name="_Hlk98945606"/>
      <w:r w:rsidRPr="008561FC">
        <w:t>2000 Hague Convention on the International Protection of Adults</w:t>
      </w:r>
      <w:bookmarkEnd w:id="8"/>
    </w:p>
    <w:bookmarkEnd w:id="9"/>
    <w:p w14:paraId="07ED0E89" w14:textId="1430075A" w:rsidR="00A7512F" w:rsidRDefault="005F3428" w:rsidP="005F3428">
      <w:pPr>
        <w:rPr>
          <w:lang w:val="en-GB"/>
        </w:rPr>
      </w:pPr>
      <w:r w:rsidRPr="005F3428">
        <w:rPr>
          <w:lang w:val="en-GB"/>
        </w:rPr>
        <w:t xml:space="preserve">The </w:t>
      </w:r>
      <w:hyperlink r:id="rId14" w:history="1">
        <w:r w:rsidR="008200A6" w:rsidRPr="008200A6">
          <w:rPr>
            <w:rStyle w:val="Hyperlink"/>
            <w:lang w:val="en-GB"/>
          </w:rPr>
          <w:t>2000 Hague Convention on the International Protection of Adults</w:t>
        </w:r>
      </w:hyperlink>
      <w:r w:rsidR="008200A6">
        <w:rPr>
          <w:lang w:val="en-GB"/>
        </w:rPr>
        <w:t xml:space="preserve"> </w:t>
      </w:r>
      <w:r w:rsidRPr="005F3428">
        <w:rPr>
          <w:lang w:val="en-GB"/>
        </w:rPr>
        <w:t xml:space="preserve">was adopted on 13 January 2000 at the Hague Conference on Private </w:t>
      </w:r>
      <w:r w:rsidRPr="005F3428">
        <w:rPr>
          <w:lang w:val="en-GB"/>
        </w:rPr>
        <w:lastRenderedPageBreak/>
        <w:t>International Law.</w:t>
      </w:r>
      <w:r w:rsidR="00DE75FF">
        <w:rPr>
          <w:rStyle w:val="FootnoteReference"/>
          <w:lang w:val="en-GB"/>
        </w:rPr>
        <w:footnoteReference w:id="3"/>
      </w:r>
      <w:r w:rsidRPr="005F3428">
        <w:rPr>
          <w:lang w:val="en-GB"/>
        </w:rPr>
        <w:t xml:space="preserve"> </w:t>
      </w:r>
      <w:r w:rsidR="00185998">
        <w:rPr>
          <w:lang w:val="en-GB"/>
        </w:rPr>
        <w:t>To date, 10 EU Member States have ratified the 2000 Hague Convention.</w:t>
      </w:r>
      <w:r w:rsidR="00185998">
        <w:rPr>
          <w:rStyle w:val="FootnoteReference"/>
          <w:lang w:val="en-GB"/>
        </w:rPr>
        <w:footnoteReference w:id="4"/>
      </w:r>
    </w:p>
    <w:p w14:paraId="29298E15" w14:textId="52E633DB" w:rsidR="009A2F9E" w:rsidRDefault="004869C2" w:rsidP="005F3428">
      <w:pPr>
        <w:rPr>
          <w:lang w:val="en-GB"/>
        </w:rPr>
      </w:pPr>
      <w:r>
        <w:rPr>
          <w:noProof/>
          <w:lang w:val="nl-NL" w:eastAsia="nl-NL"/>
        </w:rPr>
        <w:drawing>
          <wp:inline distT="0" distB="0" distL="0" distR="0" wp14:anchorId="3DB96703" wp14:editId="07C546A3">
            <wp:extent cx="4456738" cy="4080934"/>
            <wp:effectExtent l="0" t="0" r="1270" b="0"/>
            <wp:docPr id="4" name="Picture 4" descr="Map of ratification of the 2000 Hague Convention by EU Member States, detail available in foot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of ratification of the 2000 Hague Convention by EU Member States, detail available in footno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759" cy="4091941"/>
                    </a:xfrm>
                    <a:prstGeom prst="rect">
                      <a:avLst/>
                    </a:prstGeom>
                    <a:noFill/>
                    <a:ln>
                      <a:noFill/>
                    </a:ln>
                  </pic:spPr>
                </pic:pic>
              </a:graphicData>
            </a:graphic>
          </wp:inline>
        </w:drawing>
      </w:r>
    </w:p>
    <w:p w14:paraId="016B80C7" w14:textId="273A17B8" w:rsidR="00D85D3C" w:rsidRDefault="005F3428" w:rsidP="005F3428">
      <w:pPr>
        <w:rPr>
          <w:lang w:val="en-GB"/>
        </w:rPr>
      </w:pPr>
      <w:r w:rsidRPr="005F3428">
        <w:rPr>
          <w:lang w:val="en-GB"/>
        </w:rPr>
        <w:t xml:space="preserve">The </w:t>
      </w:r>
      <w:r w:rsidR="00B73656">
        <w:rPr>
          <w:lang w:val="en-GB"/>
        </w:rPr>
        <w:t xml:space="preserve">“Hague </w:t>
      </w:r>
      <w:r w:rsidRPr="005F3428">
        <w:rPr>
          <w:lang w:val="en-GB"/>
        </w:rPr>
        <w:t>Convention</w:t>
      </w:r>
      <w:r w:rsidR="00B73656">
        <w:rPr>
          <w:lang w:val="en-GB"/>
        </w:rPr>
        <w:t xml:space="preserve"> on the protection of vulnerable adults”</w:t>
      </w:r>
      <w:r w:rsidRPr="005F3428">
        <w:rPr>
          <w:lang w:val="en-GB"/>
        </w:rPr>
        <w:t xml:space="preserve"> </w:t>
      </w:r>
      <w:r w:rsidR="00E06A9A">
        <w:rPr>
          <w:lang w:val="en-GB"/>
        </w:rPr>
        <w:t>seeks to</w:t>
      </w:r>
      <w:r w:rsidRPr="005F3428">
        <w:rPr>
          <w:lang w:val="en-GB"/>
        </w:rPr>
        <w:t xml:space="preserve"> determine which jurisdiction</w:t>
      </w:r>
      <w:r w:rsidR="00E06A9A">
        <w:rPr>
          <w:lang w:val="en-GB"/>
        </w:rPr>
        <w:t xml:space="preserve"> applies in cross border situations</w:t>
      </w:r>
      <w:r w:rsidRPr="005F3428">
        <w:rPr>
          <w:lang w:val="en-GB"/>
        </w:rPr>
        <w:t xml:space="preserve"> to take </w:t>
      </w:r>
      <w:r w:rsidR="00E06A9A">
        <w:rPr>
          <w:lang w:val="en-GB"/>
        </w:rPr>
        <w:t>“</w:t>
      </w:r>
      <w:r w:rsidRPr="005F3428">
        <w:rPr>
          <w:lang w:val="en-GB"/>
        </w:rPr>
        <w:t>protection measures</w:t>
      </w:r>
      <w:r w:rsidR="00E06A9A">
        <w:rPr>
          <w:lang w:val="en-GB"/>
        </w:rPr>
        <w:t>”</w:t>
      </w:r>
      <w:r w:rsidR="00D85D3C">
        <w:rPr>
          <w:lang w:val="en-GB"/>
        </w:rPr>
        <w:t xml:space="preserve">. The Hague Convention indicates </w:t>
      </w:r>
      <w:r w:rsidRPr="005F3428">
        <w:rPr>
          <w:lang w:val="en-GB"/>
        </w:rPr>
        <w:t>which law will</w:t>
      </w:r>
      <w:r w:rsidR="00D85D3C">
        <w:rPr>
          <w:lang w:val="en-GB"/>
        </w:rPr>
        <w:t xml:space="preserve"> apply, based on e.g. nationality, residence and property location, resulting in a complex mix </w:t>
      </w:r>
      <w:r w:rsidR="00B10EEA">
        <w:rPr>
          <w:lang w:val="en-GB"/>
        </w:rPr>
        <w:t xml:space="preserve">of </w:t>
      </w:r>
      <w:r w:rsidR="00D85D3C">
        <w:rPr>
          <w:lang w:val="en-GB"/>
        </w:rPr>
        <w:t>fragmented and overlapping jurisdictions</w:t>
      </w:r>
      <w:r w:rsidR="00B10EEA">
        <w:rPr>
          <w:lang w:val="en-GB"/>
        </w:rPr>
        <w:t xml:space="preserve"> and different legal backgrounds</w:t>
      </w:r>
      <w:r w:rsidR="0048793B">
        <w:rPr>
          <w:lang w:val="en-GB"/>
        </w:rPr>
        <w:t xml:space="preserve"> to be applied simultaneously</w:t>
      </w:r>
      <w:r w:rsidR="00D85D3C">
        <w:rPr>
          <w:lang w:val="en-GB"/>
        </w:rPr>
        <w:t>.</w:t>
      </w:r>
      <w:r w:rsidRPr="005F3428">
        <w:rPr>
          <w:lang w:val="en-GB"/>
        </w:rPr>
        <w:t xml:space="preserve"> </w:t>
      </w:r>
    </w:p>
    <w:p w14:paraId="5B9A0809" w14:textId="52201991" w:rsidR="005F3428" w:rsidRPr="005F3428" w:rsidRDefault="00D85D3C" w:rsidP="005F3428">
      <w:pPr>
        <w:rPr>
          <w:lang w:val="en-GB"/>
        </w:rPr>
      </w:pPr>
      <w:r>
        <w:rPr>
          <w:lang w:val="en-GB"/>
        </w:rPr>
        <w:t>The Hague C</w:t>
      </w:r>
      <w:r w:rsidR="0048793B">
        <w:rPr>
          <w:lang w:val="en-GB"/>
        </w:rPr>
        <w:t>onvention</w:t>
      </w:r>
      <w:r w:rsidR="005F3428" w:rsidRPr="005F3428">
        <w:rPr>
          <w:lang w:val="en-GB"/>
        </w:rPr>
        <w:t xml:space="preserve"> also </w:t>
      </w:r>
      <w:r w:rsidR="0048793B">
        <w:rPr>
          <w:lang w:val="en-GB"/>
        </w:rPr>
        <w:t>seeks to promote</w:t>
      </w:r>
      <w:r w:rsidR="0048793B" w:rsidRPr="005F3428">
        <w:rPr>
          <w:lang w:val="en-GB"/>
        </w:rPr>
        <w:t xml:space="preserve"> </w:t>
      </w:r>
      <w:r w:rsidR="005F3428" w:rsidRPr="005F3428">
        <w:rPr>
          <w:lang w:val="en-GB"/>
        </w:rPr>
        <w:t xml:space="preserve">the </w:t>
      </w:r>
      <w:r w:rsidR="0048793B">
        <w:rPr>
          <w:lang w:val="en-GB"/>
        </w:rPr>
        <w:t xml:space="preserve">mutual </w:t>
      </w:r>
      <w:r w:rsidR="005F3428" w:rsidRPr="005F3428">
        <w:rPr>
          <w:lang w:val="en-GB"/>
        </w:rPr>
        <w:t xml:space="preserve">recognition and enforcement of </w:t>
      </w:r>
      <w:r w:rsidR="00BF4D4E">
        <w:rPr>
          <w:lang w:val="en-GB"/>
        </w:rPr>
        <w:t>“</w:t>
      </w:r>
      <w:r w:rsidR="005F3428" w:rsidRPr="005F3428">
        <w:rPr>
          <w:lang w:val="en-GB"/>
        </w:rPr>
        <w:t>protection measures</w:t>
      </w:r>
      <w:r w:rsidR="00BF4D4E">
        <w:rPr>
          <w:lang w:val="en-GB"/>
        </w:rPr>
        <w:t>”</w:t>
      </w:r>
      <w:r w:rsidR="005F3428" w:rsidRPr="005F3428">
        <w:rPr>
          <w:lang w:val="en-GB"/>
        </w:rPr>
        <w:t xml:space="preserve"> between the </w:t>
      </w:r>
      <w:r w:rsidR="0048793B">
        <w:rPr>
          <w:lang w:val="en-GB"/>
        </w:rPr>
        <w:t>ratifying members,</w:t>
      </w:r>
      <w:r w:rsidR="005F3428" w:rsidRPr="005F3428">
        <w:rPr>
          <w:lang w:val="en-GB"/>
        </w:rPr>
        <w:t xml:space="preserve"> and </w:t>
      </w:r>
      <w:r w:rsidR="00700E1D">
        <w:rPr>
          <w:lang w:val="en-GB"/>
        </w:rPr>
        <w:t>promotes</w:t>
      </w:r>
      <w:r w:rsidR="005F3428" w:rsidRPr="005F3428">
        <w:rPr>
          <w:lang w:val="en-GB"/>
        </w:rPr>
        <w:t xml:space="preserve"> cooperation between the authorities of those countries</w:t>
      </w:r>
      <w:r w:rsidR="00700E1D">
        <w:rPr>
          <w:lang w:val="en-GB"/>
        </w:rPr>
        <w:t>, through their Permanent Bureau, Special Commission and depository</w:t>
      </w:r>
      <w:r w:rsidR="005F3428" w:rsidRPr="005F3428">
        <w:rPr>
          <w:lang w:val="en-GB"/>
        </w:rPr>
        <w:t xml:space="preserve">. </w:t>
      </w:r>
    </w:p>
    <w:p w14:paraId="1F08027C" w14:textId="391AD316" w:rsidR="00612ADF" w:rsidRDefault="00612ADF" w:rsidP="00612ADF">
      <w:pPr>
        <w:rPr>
          <w:lang w:val="en-GB"/>
        </w:rPr>
      </w:pPr>
      <w:r w:rsidRPr="00612ADF">
        <w:rPr>
          <w:lang w:val="en-GB"/>
        </w:rPr>
        <w:t xml:space="preserve">According to Article 1(1) of the 2000 </w:t>
      </w:r>
      <w:r w:rsidR="008200A6">
        <w:rPr>
          <w:lang w:val="en-GB"/>
        </w:rPr>
        <w:t>Hague</w:t>
      </w:r>
      <w:r w:rsidRPr="00612ADF">
        <w:rPr>
          <w:lang w:val="en-GB"/>
        </w:rPr>
        <w:t xml:space="preserve"> Convention, vulnerable adults are </w:t>
      </w:r>
      <w:r w:rsidR="00BF4D4E">
        <w:rPr>
          <w:lang w:val="en-GB"/>
        </w:rPr>
        <w:t xml:space="preserve">defined as </w:t>
      </w:r>
      <w:r w:rsidR="00FD7F4C">
        <w:rPr>
          <w:lang w:val="en-GB"/>
        </w:rPr>
        <w:t>“</w:t>
      </w:r>
      <w:r w:rsidRPr="00612ADF">
        <w:rPr>
          <w:b/>
          <w:lang w:val="en-GB"/>
        </w:rPr>
        <w:t>persons older than 18 years who, by reason of an impairment or insufficiency of their personal faculties, are not in a position to protect their interests</w:t>
      </w:r>
      <w:r w:rsidR="00FD7F4C">
        <w:rPr>
          <w:b/>
          <w:lang w:val="en-GB"/>
        </w:rPr>
        <w:t>”</w:t>
      </w:r>
      <w:r w:rsidRPr="00185998">
        <w:rPr>
          <w:bCs/>
          <w:lang w:val="en-GB"/>
        </w:rPr>
        <w:t xml:space="preserve">. </w:t>
      </w:r>
      <w:r w:rsidR="008200A6">
        <w:rPr>
          <w:lang w:val="en-GB"/>
        </w:rPr>
        <w:t xml:space="preserve">Under the </w:t>
      </w:r>
      <w:r w:rsidR="0048793B">
        <w:rPr>
          <w:lang w:val="en-GB"/>
        </w:rPr>
        <w:t xml:space="preserve">Hague </w:t>
      </w:r>
      <w:r w:rsidR="008200A6">
        <w:rPr>
          <w:lang w:val="en-GB"/>
        </w:rPr>
        <w:t>Convention t</w:t>
      </w:r>
      <w:r w:rsidRPr="00612ADF">
        <w:rPr>
          <w:lang w:val="en-GB"/>
        </w:rPr>
        <w:t xml:space="preserve">he vulnerability of the people concerned may result from </w:t>
      </w:r>
      <w:r w:rsidRPr="00490016">
        <w:rPr>
          <w:b/>
          <w:lang w:val="en-GB"/>
        </w:rPr>
        <w:t>various factors,</w:t>
      </w:r>
      <w:r w:rsidRPr="00612ADF">
        <w:rPr>
          <w:lang w:val="en-GB"/>
        </w:rPr>
        <w:t xml:space="preserve"> </w:t>
      </w:r>
      <w:r w:rsidRPr="00612ADF">
        <w:rPr>
          <w:lang w:val="en-GB"/>
        </w:rPr>
        <w:lastRenderedPageBreak/>
        <w:t xml:space="preserve">including mental or physical impairments affecting the ability to make decisions or to assess the implications (e.g. the financial implications) of those decisions. </w:t>
      </w:r>
    </w:p>
    <w:p w14:paraId="7A38D92D" w14:textId="330FD8A4" w:rsidR="0089554F" w:rsidRDefault="0089554F" w:rsidP="00612ADF">
      <w:pPr>
        <w:rPr>
          <w:lang w:val="en-GB"/>
        </w:rPr>
      </w:pPr>
      <w:r>
        <w:rPr>
          <w:lang w:val="en-GB"/>
        </w:rPr>
        <w:t xml:space="preserve">According to Article 1(2), the objects of the Convention are: </w:t>
      </w:r>
    </w:p>
    <w:p w14:paraId="3D76896A" w14:textId="77777777" w:rsidR="0089554F" w:rsidRDefault="0089554F" w:rsidP="0089554F">
      <w:pPr>
        <w:pStyle w:val="ListParagraph"/>
        <w:numPr>
          <w:ilvl w:val="0"/>
          <w:numId w:val="25"/>
        </w:numPr>
      </w:pPr>
      <w:r w:rsidRPr="0089554F">
        <w:t>to determine the State whose authorities have jurisdiction to take measures directed to the protection of the person or property of the adult;</w:t>
      </w:r>
    </w:p>
    <w:p w14:paraId="10743348" w14:textId="77777777" w:rsidR="0089554F" w:rsidRDefault="0089554F" w:rsidP="0089554F">
      <w:pPr>
        <w:pStyle w:val="ListParagraph"/>
        <w:numPr>
          <w:ilvl w:val="0"/>
          <w:numId w:val="25"/>
        </w:numPr>
      </w:pPr>
      <w:r w:rsidRPr="0089554F">
        <w:t>to determine which law is to be applied by such authorities in exercising their jurisdiction;</w:t>
      </w:r>
    </w:p>
    <w:p w14:paraId="5D206005" w14:textId="77777777" w:rsidR="0089554F" w:rsidRDefault="0089554F" w:rsidP="0089554F">
      <w:pPr>
        <w:pStyle w:val="ListParagraph"/>
        <w:numPr>
          <w:ilvl w:val="0"/>
          <w:numId w:val="25"/>
        </w:numPr>
      </w:pPr>
      <w:r w:rsidRPr="0089554F">
        <w:t>to determine the law applicable to representation of the adult;</w:t>
      </w:r>
    </w:p>
    <w:p w14:paraId="5A6C6953" w14:textId="77777777" w:rsidR="0089554F" w:rsidRDefault="0089554F" w:rsidP="0089554F">
      <w:pPr>
        <w:pStyle w:val="ListParagraph"/>
        <w:numPr>
          <w:ilvl w:val="0"/>
          <w:numId w:val="25"/>
        </w:numPr>
      </w:pPr>
      <w:r w:rsidRPr="0089554F">
        <w:t>to provide for the recognition and enforcement of such measures of protection in all Contracting States;</w:t>
      </w:r>
    </w:p>
    <w:p w14:paraId="01F6E5F2" w14:textId="4D6FF08E" w:rsidR="0089554F" w:rsidRPr="0089554F" w:rsidRDefault="0089554F" w:rsidP="0089554F">
      <w:pPr>
        <w:pStyle w:val="ListParagraph"/>
        <w:numPr>
          <w:ilvl w:val="0"/>
          <w:numId w:val="25"/>
        </w:numPr>
        <w:rPr>
          <w:lang w:val="en-GB"/>
        </w:rPr>
      </w:pPr>
      <w:r w:rsidRPr="0089554F">
        <w:t>to establish such co-operation between the authorities of the Contracting States as may be necessary in order to achieve the purposes of this Convention.</w:t>
      </w:r>
    </w:p>
    <w:p w14:paraId="4448D496" w14:textId="4B186BDD" w:rsidR="00F56FA8" w:rsidRDefault="0089554F" w:rsidP="00612ADF">
      <w:r>
        <w:rPr>
          <w:lang w:val="en-GB"/>
        </w:rPr>
        <w:t xml:space="preserve">The </w:t>
      </w:r>
      <w:r w:rsidR="003E58D2">
        <w:rPr>
          <w:lang w:val="en-GB"/>
        </w:rPr>
        <w:t>“</w:t>
      </w:r>
      <w:r>
        <w:rPr>
          <w:lang w:val="en-GB"/>
        </w:rPr>
        <w:t>measures</w:t>
      </w:r>
      <w:r w:rsidR="003E58D2">
        <w:rPr>
          <w:lang w:val="en-GB"/>
        </w:rPr>
        <w:t xml:space="preserve"> directed to protection” are specified in</w:t>
      </w:r>
      <w:r>
        <w:rPr>
          <w:lang w:val="en-GB"/>
        </w:rPr>
        <w:t xml:space="preserve"> article 1 a</w:t>
      </w:r>
      <w:r w:rsidR="003E58D2">
        <w:rPr>
          <w:lang w:val="en-GB"/>
        </w:rPr>
        <w:t>nd</w:t>
      </w:r>
      <w:r>
        <w:rPr>
          <w:lang w:val="en-GB"/>
        </w:rPr>
        <w:t xml:space="preserve"> article 3 </w:t>
      </w:r>
      <w:r w:rsidR="00247570">
        <w:rPr>
          <w:lang w:val="en-GB"/>
        </w:rPr>
        <w:t xml:space="preserve">of the 2000 Hague Convention </w:t>
      </w:r>
      <w:r>
        <w:rPr>
          <w:lang w:val="en-GB"/>
        </w:rPr>
        <w:t>and</w:t>
      </w:r>
      <w:r w:rsidR="005F05A5">
        <w:rPr>
          <w:lang w:val="en-GB"/>
        </w:rPr>
        <w:t xml:space="preserve"> in</w:t>
      </w:r>
      <w:r>
        <w:rPr>
          <w:lang w:val="en-GB"/>
        </w:rPr>
        <w:t xml:space="preserve"> </w:t>
      </w:r>
      <w:r w:rsidR="003E58D2">
        <w:rPr>
          <w:lang w:val="en-GB"/>
        </w:rPr>
        <w:t>the</w:t>
      </w:r>
      <w:r>
        <w:rPr>
          <w:lang w:val="en-GB"/>
        </w:rPr>
        <w:t xml:space="preserve"> </w:t>
      </w:r>
      <w:hyperlink r:id="rId16" w:history="1">
        <w:r w:rsidRPr="0089554F">
          <w:rPr>
            <w:rStyle w:val="Hyperlink"/>
            <w:lang w:val="en-GB"/>
          </w:rPr>
          <w:t>explanatory report</w:t>
        </w:r>
      </w:hyperlink>
      <w:r>
        <w:rPr>
          <w:lang w:val="en-GB"/>
        </w:rPr>
        <w:t xml:space="preserve"> o</w:t>
      </w:r>
      <w:r w:rsidR="00247570">
        <w:rPr>
          <w:lang w:val="en-GB"/>
        </w:rPr>
        <w:t>n</w:t>
      </w:r>
      <w:r>
        <w:rPr>
          <w:lang w:val="en-GB"/>
        </w:rPr>
        <w:t xml:space="preserve"> the Convention published in 2017. The</w:t>
      </w:r>
      <w:r w:rsidR="0048793B">
        <w:rPr>
          <w:lang w:val="en-GB"/>
        </w:rPr>
        <w:t xml:space="preserve"> measures</w:t>
      </w:r>
      <w:r>
        <w:rPr>
          <w:lang w:val="en-GB"/>
        </w:rPr>
        <w:t xml:space="preserve"> may </w:t>
      </w:r>
      <w:r w:rsidR="005F05A5">
        <w:rPr>
          <w:lang w:val="en-GB"/>
        </w:rPr>
        <w:t>concern</w:t>
      </w:r>
      <w:r>
        <w:rPr>
          <w:lang w:val="en-GB"/>
        </w:rPr>
        <w:t xml:space="preserve"> a variety of issues including </w:t>
      </w:r>
      <w:r w:rsidRPr="00247570">
        <w:rPr>
          <w:b/>
          <w:bCs/>
          <w:lang w:val="en-GB"/>
        </w:rPr>
        <w:t>determination of capacity, placement under or recognition of guardianship or curatorship</w:t>
      </w:r>
      <w:r>
        <w:rPr>
          <w:lang w:val="en-GB"/>
        </w:rPr>
        <w:t>, and “</w:t>
      </w:r>
      <w:r w:rsidRPr="00247570">
        <w:rPr>
          <w:b/>
          <w:bCs/>
          <w:lang w:val="en-GB"/>
        </w:rPr>
        <w:t>the placement of the adult in an establishment</w:t>
      </w:r>
      <w:r>
        <w:rPr>
          <w:lang w:val="en-GB"/>
        </w:rPr>
        <w:t>”.</w:t>
      </w:r>
      <w:r w:rsidR="003E58D2">
        <w:rPr>
          <w:lang w:val="en-GB"/>
        </w:rPr>
        <w:t xml:space="preserve"> T</w:t>
      </w:r>
      <w:r w:rsidR="00247570">
        <w:rPr>
          <w:lang w:val="en-GB"/>
        </w:rPr>
        <w:t>he explanatory report</w:t>
      </w:r>
      <w:r w:rsidR="003E58D2">
        <w:rPr>
          <w:lang w:val="en-GB"/>
        </w:rPr>
        <w:t xml:space="preserve"> further adds:</w:t>
      </w:r>
      <w:r w:rsidR="00247570">
        <w:rPr>
          <w:lang w:val="en-GB"/>
        </w:rPr>
        <w:t xml:space="preserve"> </w:t>
      </w:r>
      <w:r w:rsidR="00247570" w:rsidRPr="00247570">
        <w:rPr>
          <w:b/>
          <w:bCs/>
        </w:rPr>
        <w:t>decision to have a person undergo a surgical operation</w:t>
      </w:r>
      <w:r w:rsidR="00247570">
        <w:rPr>
          <w:rStyle w:val="FootnoteReference"/>
        </w:rPr>
        <w:footnoteReference w:id="5"/>
      </w:r>
      <w:r w:rsidR="00247570" w:rsidRPr="00247570">
        <w:t xml:space="preserve"> </w:t>
      </w:r>
      <w:r w:rsidR="00247570">
        <w:t xml:space="preserve">and </w:t>
      </w:r>
      <w:r w:rsidR="00247570" w:rsidRPr="00247570">
        <w:rPr>
          <w:b/>
          <w:bCs/>
        </w:rPr>
        <w:t>enforcement of placement and treatment measures</w:t>
      </w:r>
      <w:r w:rsidR="00247570" w:rsidRPr="00247570">
        <w:t xml:space="preserve"> (for example in psychiatry)</w:t>
      </w:r>
      <w:r w:rsidR="00247570">
        <w:t>.</w:t>
      </w:r>
      <w:r w:rsidR="00247570">
        <w:rPr>
          <w:rStyle w:val="FootnoteReference"/>
        </w:rPr>
        <w:footnoteReference w:id="6"/>
      </w:r>
      <w:r w:rsidR="00CB7BFF">
        <w:t xml:space="preserve"> </w:t>
      </w:r>
    </w:p>
    <w:p w14:paraId="64EF65A3" w14:textId="55B1D52F" w:rsidR="005A6ED0" w:rsidRDefault="00B02E3D" w:rsidP="00612ADF">
      <w:r>
        <w:t xml:space="preserve">The </w:t>
      </w:r>
      <w:r w:rsidR="00490016">
        <w:t xml:space="preserve">approach of the </w:t>
      </w:r>
      <w:r>
        <w:t xml:space="preserve">Hague Convention is not in line with the </w:t>
      </w:r>
      <w:r w:rsidR="00CB7BFF">
        <w:t>CRPD</w:t>
      </w:r>
      <w:r>
        <w:t>.</w:t>
      </w:r>
      <w:r w:rsidR="00CB7BFF">
        <w:t xml:space="preserve"> </w:t>
      </w:r>
    </w:p>
    <w:p w14:paraId="03123DF3" w14:textId="3C7467AC" w:rsidR="00B02E3D" w:rsidRPr="00490016" w:rsidRDefault="00B02E3D" w:rsidP="00612ADF">
      <w:pPr>
        <w:rPr>
          <w:b/>
        </w:rPr>
      </w:pPr>
      <w:r>
        <w:t>In the Hague Convention, t</w:t>
      </w:r>
      <w:r w:rsidRPr="008A1034">
        <w:t xml:space="preserve">he word ‘measures’ is used as a general term, or as ‘measures of protection’, </w:t>
      </w:r>
      <w:r>
        <w:t>and these measures are</w:t>
      </w:r>
      <w:r w:rsidRPr="008A1034">
        <w:t xml:space="preserve"> not specified in detail</w:t>
      </w:r>
      <w:r>
        <w:t xml:space="preserve">, and neither is mentioned </w:t>
      </w:r>
      <w:r w:rsidRPr="008A1034">
        <w:t>which forms of ‘measures of protection’ are acceptable and which not</w:t>
      </w:r>
      <w:r>
        <w:t>, so this</w:t>
      </w:r>
      <w:r w:rsidRPr="00490016">
        <w:t xml:space="preserve"> offers no concrete protection or rights.</w:t>
      </w:r>
      <w:r>
        <w:rPr>
          <w:b/>
        </w:rPr>
        <w:t xml:space="preserve"> </w:t>
      </w:r>
      <w:r w:rsidRPr="00490016">
        <w:t>Also, the Hague Convention</w:t>
      </w:r>
      <w:r w:rsidRPr="008A1034">
        <w:rPr>
          <w:b/>
        </w:rPr>
        <w:t xml:space="preserve"> </w:t>
      </w:r>
      <w:r w:rsidRPr="00490016">
        <w:rPr>
          <w:b/>
        </w:rPr>
        <w:t>does not differentiate between voluntary and involuntary</w:t>
      </w:r>
      <w:r w:rsidRPr="00B02E3D">
        <w:rPr>
          <w:b/>
        </w:rPr>
        <w:t xml:space="preserve"> </w:t>
      </w:r>
      <w:r w:rsidRPr="008A1034">
        <w:rPr>
          <w:b/>
        </w:rPr>
        <w:t xml:space="preserve">‘measures of protection’. </w:t>
      </w:r>
      <w:r w:rsidRPr="00490016">
        <w:t>For example,</w:t>
      </w:r>
      <w:r w:rsidRPr="008A1034">
        <w:t xml:space="preserve"> the term ‘guardianship’ is covering both voluntary and involuntary regimes, while involuntary regimes should be identified as </w:t>
      </w:r>
      <w:r w:rsidRPr="00490016">
        <w:rPr>
          <w:b/>
          <w:bCs/>
        </w:rPr>
        <w:t>human right violations</w:t>
      </w:r>
      <w:r w:rsidRPr="008A1034">
        <w:t xml:space="preserve">, and </w:t>
      </w:r>
      <w:r>
        <w:t xml:space="preserve">while support </w:t>
      </w:r>
      <w:r w:rsidRPr="008A1034">
        <w:t>agreements based on free and informed consent can be considered as</w:t>
      </w:r>
      <w:r w:rsidR="00323D63">
        <w:t xml:space="preserve"> a</w:t>
      </w:r>
      <w:r w:rsidRPr="008A1034">
        <w:t xml:space="preserve"> </w:t>
      </w:r>
      <w:r w:rsidRPr="00490016">
        <w:rPr>
          <w:b/>
          <w:bCs/>
        </w:rPr>
        <w:t>good practice</w:t>
      </w:r>
      <w:r w:rsidRPr="008A1034">
        <w:t>. A distinction between voluntary and involuntary measures is essential.</w:t>
      </w:r>
    </w:p>
    <w:p w14:paraId="4DAD7155" w14:textId="37A4E276" w:rsidR="00D23F6E" w:rsidRPr="00D23F6E" w:rsidRDefault="00D23F6E" w:rsidP="00D23F6E">
      <w:pPr>
        <w:pStyle w:val="Heading2"/>
        <w:rPr>
          <w:lang w:val="en-GB"/>
        </w:rPr>
      </w:pPr>
      <w:bookmarkStart w:id="10" w:name="_Toc99486448"/>
      <w:r w:rsidRPr="00D23F6E">
        <w:rPr>
          <w:lang w:val="en-GB"/>
        </w:rPr>
        <w:lastRenderedPageBreak/>
        <w:t>Council conclusions on the protection of vulnerable adults across the EU</w:t>
      </w:r>
      <w:bookmarkEnd w:id="10"/>
    </w:p>
    <w:p w14:paraId="566D6403" w14:textId="693DF4A6" w:rsidR="001357D7" w:rsidRDefault="00BF4D4E" w:rsidP="00D23F6E">
      <w:pPr>
        <w:rPr>
          <w:lang w:val="en-GB"/>
        </w:rPr>
      </w:pPr>
      <w:r>
        <w:rPr>
          <w:lang w:val="en-GB"/>
        </w:rPr>
        <w:t xml:space="preserve">In May 2021, the Council adopted </w:t>
      </w:r>
      <w:hyperlink r:id="rId17" w:history="1">
        <w:r w:rsidR="00D23F6E" w:rsidRPr="00D23F6E">
          <w:rPr>
            <w:rStyle w:val="Hyperlink"/>
            <w:lang w:val="en-GB"/>
          </w:rPr>
          <w:t>Council conclusions on the protection of vulnerable adults across the EU</w:t>
        </w:r>
      </w:hyperlink>
      <w:r>
        <w:rPr>
          <w:lang w:val="en-GB"/>
        </w:rPr>
        <w:t xml:space="preserve">. The </w:t>
      </w:r>
      <w:r w:rsidR="00323D63">
        <w:rPr>
          <w:lang w:val="en-GB"/>
        </w:rPr>
        <w:t xml:space="preserve">Council </w:t>
      </w:r>
      <w:r>
        <w:rPr>
          <w:lang w:val="en-GB"/>
        </w:rPr>
        <w:t xml:space="preserve">Conclusions invites Member States to ratify and implement the 2000 Hague Convention. </w:t>
      </w:r>
    </w:p>
    <w:p w14:paraId="38A1108B" w14:textId="224C587F" w:rsidR="008561FC" w:rsidRPr="005F3428" w:rsidRDefault="00BF4D4E" w:rsidP="00EC022B">
      <w:pPr>
        <w:rPr>
          <w:lang w:val="en-GB"/>
        </w:rPr>
      </w:pPr>
      <w:r>
        <w:rPr>
          <w:lang w:val="en-GB"/>
        </w:rPr>
        <w:t>The</w:t>
      </w:r>
      <w:r w:rsidR="00323D63">
        <w:rPr>
          <w:lang w:val="en-GB"/>
        </w:rPr>
        <w:t xml:space="preserve"> Council Conclusions</w:t>
      </w:r>
      <w:r>
        <w:rPr>
          <w:lang w:val="en-GB"/>
        </w:rPr>
        <w:t xml:space="preserve"> also make references to the CRPD and note that “</w:t>
      </w:r>
      <w:r>
        <w:t>t</w:t>
      </w:r>
      <w:r w:rsidRPr="00BF4D4E">
        <w:t>he CRPD brought about a paradigm shift in relation to the legal capacity of persons with disabilities by affirming that all persons with disabilities should enjoy legal capacity on an equal basis with others</w:t>
      </w:r>
      <w:r>
        <w:t>”. It states that “</w:t>
      </w:r>
      <w:r w:rsidRPr="00BF4D4E">
        <w:t>the 2000 Hague Convention should be implemented in full respect of the CRPD</w:t>
      </w:r>
      <w:r>
        <w:t>.”</w:t>
      </w:r>
    </w:p>
    <w:p w14:paraId="3A976DF2" w14:textId="688F06D9" w:rsidR="005F3428" w:rsidRDefault="00D47C6B" w:rsidP="00181465">
      <w:pPr>
        <w:pStyle w:val="Heading1"/>
        <w:rPr>
          <w:lang w:val="en-GB"/>
        </w:rPr>
      </w:pPr>
      <w:bookmarkStart w:id="11" w:name="_Toc99486449"/>
      <w:r>
        <w:rPr>
          <w:lang w:val="en-GB"/>
        </w:rPr>
        <w:t>Issues related to</w:t>
      </w:r>
      <w:r w:rsidR="005F3428" w:rsidRPr="005F3428">
        <w:rPr>
          <w:lang w:val="en-GB"/>
        </w:rPr>
        <w:t xml:space="preserve"> cross-border situations involving vulnerable adults in the EU</w:t>
      </w:r>
      <w:bookmarkEnd w:id="11"/>
    </w:p>
    <w:p w14:paraId="7F1E294D" w14:textId="2321C87D" w:rsidR="005F3428" w:rsidRDefault="00766C0A" w:rsidP="005F3428">
      <w:pPr>
        <w:rPr>
          <w:lang w:val="en-GB"/>
        </w:rPr>
      </w:pPr>
      <w:r>
        <w:rPr>
          <w:lang w:val="en-GB"/>
        </w:rPr>
        <w:t>The European Disability Forum is concerned by the numerous issues amounting to human rights violation</w:t>
      </w:r>
      <w:r w:rsidR="00240305">
        <w:rPr>
          <w:lang w:val="en-GB"/>
        </w:rPr>
        <w:t>s</w:t>
      </w:r>
      <w:r>
        <w:rPr>
          <w:lang w:val="en-GB"/>
        </w:rPr>
        <w:t xml:space="preserve"> that may arise in cross-border situations involving vulnerable adults in the EU. </w:t>
      </w:r>
    </w:p>
    <w:p w14:paraId="7E9F49CE" w14:textId="4A113FAC" w:rsidR="00766C0A" w:rsidRDefault="00766C0A" w:rsidP="005F3428">
      <w:pPr>
        <w:rPr>
          <w:lang w:val="en-GB"/>
        </w:rPr>
      </w:pPr>
      <w:r>
        <w:rPr>
          <w:lang w:val="en-GB"/>
        </w:rPr>
        <w:t>While the EU and all its Member States have ratified the CRPD and commit to protect disability rights under the EU strategy for the rights of persons with disabilities</w:t>
      </w:r>
      <w:r w:rsidR="00CB7BFF">
        <w:rPr>
          <w:lang w:val="en-GB"/>
        </w:rPr>
        <w:t xml:space="preserve"> and national strategies</w:t>
      </w:r>
      <w:r>
        <w:rPr>
          <w:lang w:val="en-GB"/>
        </w:rPr>
        <w:t xml:space="preserve">, </w:t>
      </w:r>
      <w:r w:rsidR="00323D63">
        <w:rPr>
          <w:lang w:val="en-GB"/>
        </w:rPr>
        <w:t xml:space="preserve">yet, </w:t>
      </w:r>
      <w:r>
        <w:rPr>
          <w:lang w:val="en-GB"/>
        </w:rPr>
        <w:t xml:space="preserve">rules and practices </w:t>
      </w:r>
      <w:r w:rsidR="00CB7BFF">
        <w:rPr>
          <w:lang w:val="en-GB"/>
        </w:rPr>
        <w:t xml:space="preserve">in place </w:t>
      </w:r>
      <w:r>
        <w:rPr>
          <w:lang w:val="en-GB"/>
        </w:rPr>
        <w:t xml:space="preserve">at national level do not </w:t>
      </w:r>
      <w:r w:rsidR="00CB7BFF">
        <w:rPr>
          <w:lang w:val="en-GB"/>
        </w:rPr>
        <w:t xml:space="preserve">yet </w:t>
      </w:r>
      <w:r>
        <w:rPr>
          <w:lang w:val="en-GB"/>
        </w:rPr>
        <w:t xml:space="preserve">ensure the right to equality, equal recognition before the law, physical and moral integrity and independent living of all persons with disabilities. </w:t>
      </w:r>
    </w:p>
    <w:p w14:paraId="32EDEAE5" w14:textId="5ECB2C3F" w:rsidR="00766C0A" w:rsidRPr="005F3428" w:rsidRDefault="00766C0A" w:rsidP="005F3428">
      <w:pPr>
        <w:rPr>
          <w:lang w:val="en-GB"/>
        </w:rPr>
      </w:pPr>
      <w:r>
        <w:rPr>
          <w:lang w:val="en-GB"/>
        </w:rPr>
        <w:t xml:space="preserve">By promoting the ratification of the 2000 Hague Convention by its Member States, </w:t>
      </w:r>
      <w:r w:rsidR="00240305">
        <w:rPr>
          <w:lang w:val="en-GB"/>
        </w:rPr>
        <w:t xml:space="preserve">without supporting the development of measures in compliance with the CRPD, </w:t>
      </w:r>
      <w:r>
        <w:rPr>
          <w:lang w:val="en-GB"/>
        </w:rPr>
        <w:t>the EU risks to promote</w:t>
      </w:r>
      <w:r w:rsidR="00240305">
        <w:rPr>
          <w:lang w:val="en-GB"/>
        </w:rPr>
        <w:t xml:space="preserve"> the</w:t>
      </w:r>
      <w:r>
        <w:rPr>
          <w:lang w:val="en-GB"/>
        </w:rPr>
        <w:t xml:space="preserve"> application of rules that </w:t>
      </w:r>
      <w:r w:rsidR="00240305">
        <w:rPr>
          <w:lang w:val="en-GB"/>
        </w:rPr>
        <w:t>violate</w:t>
      </w:r>
      <w:r>
        <w:rPr>
          <w:lang w:val="en-GB"/>
        </w:rPr>
        <w:t xml:space="preserve"> the CRPD and the rights of “vulnerable adults”. </w:t>
      </w:r>
    </w:p>
    <w:p w14:paraId="4AAD105A" w14:textId="318E491B" w:rsidR="00EC022B" w:rsidRDefault="00EC022B" w:rsidP="00835CE2">
      <w:pPr>
        <w:pStyle w:val="Heading2"/>
      </w:pPr>
      <w:bookmarkStart w:id="12" w:name="_Toc99486450"/>
      <w:r>
        <w:t xml:space="preserve">Overview of </w:t>
      </w:r>
      <w:bookmarkStart w:id="13" w:name="_Hlk99031795"/>
      <w:r w:rsidR="00EC6F71">
        <w:t xml:space="preserve">legal capacity regimes </w:t>
      </w:r>
      <w:bookmarkEnd w:id="13"/>
      <w:r w:rsidR="00EC6F71">
        <w:t>in EU Member States</w:t>
      </w:r>
      <w:bookmarkEnd w:id="12"/>
      <w:r w:rsidR="00EC6F71">
        <w:t xml:space="preserve"> </w:t>
      </w:r>
    </w:p>
    <w:p w14:paraId="0CA4BBFC" w14:textId="336D5770" w:rsidR="00E538E6" w:rsidRDefault="00E538E6" w:rsidP="00E538E6">
      <w:r w:rsidRPr="00E538E6">
        <w:t>Even though all EU Member States ha</w:t>
      </w:r>
      <w:r w:rsidR="00323D63">
        <w:t>ve</w:t>
      </w:r>
      <w:r w:rsidRPr="00E538E6">
        <w:t xml:space="preserve"> ratified the</w:t>
      </w:r>
      <w:r>
        <w:t xml:space="preserve"> </w:t>
      </w:r>
      <w:r w:rsidRPr="00E538E6">
        <w:t xml:space="preserve">CRPD and are bound by its provisions, </w:t>
      </w:r>
      <w:r>
        <w:t>including</w:t>
      </w:r>
      <w:r w:rsidRPr="00E538E6">
        <w:t xml:space="preserve"> Article 12 which prohibits substituted decision-making and call on State parties to incorporate supported decision-making in their legal capacity regimes, practice shows that a majority of EU Member States do not comply with this obligation. There is no unity and rather a diversity of legal capacity regimes.</w:t>
      </w:r>
    </w:p>
    <w:p w14:paraId="1484171E" w14:textId="645B73E2" w:rsidR="00307635" w:rsidRPr="00E538E6" w:rsidRDefault="00307635" w:rsidP="00307635">
      <w:pPr>
        <w:pStyle w:val="Heading3"/>
      </w:pPr>
      <w:r>
        <w:lastRenderedPageBreak/>
        <w:t xml:space="preserve">Substituted decision making regimes </w:t>
      </w:r>
    </w:p>
    <w:p w14:paraId="606F432E" w14:textId="77777777" w:rsidR="00E538E6" w:rsidRDefault="00E538E6" w:rsidP="00E538E6">
      <w:r w:rsidRPr="00E538E6">
        <w:t>Guardianship regimes are still widely governing the legal capacity of persons with disabilities. Full and/or partial guardianship are provided for in 12 Member States</w:t>
      </w:r>
      <w:r>
        <w:t>.</w:t>
      </w:r>
      <w:r w:rsidRPr="00E538E6">
        <w:rPr>
          <w:vertAlign w:val="superscript"/>
        </w:rPr>
        <w:footnoteReference w:id="7"/>
      </w:r>
      <w:r w:rsidRPr="00E538E6">
        <w:t xml:space="preserve"> </w:t>
      </w:r>
    </w:p>
    <w:p w14:paraId="4C1ADCB5" w14:textId="0935C8AC" w:rsidR="00E538E6" w:rsidRPr="00E538E6" w:rsidRDefault="00E538E6" w:rsidP="00E538E6">
      <w:r w:rsidRPr="00E538E6">
        <w:t>8 Member States</w:t>
      </w:r>
      <w:r w:rsidRPr="00E538E6">
        <w:rPr>
          <w:vertAlign w:val="superscript"/>
        </w:rPr>
        <w:footnoteReference w:id="8"/>
      </w:r>
      <w:r w:rsidRPr="00E538E6">
        <w:t xml:space="preserve"> still d</w:t>
      </w:r>
      <w:r w:rsidR="008D7100">
        <w:t xml:space="preserve">o </w:t>
      </w:r>
      <w:r w:rsidRPr="00E538E6">
        <w:t>not incorporate any provisions on assistance in decision-making for persons who need such support. These States thus contravene to their obligations under Article 12 of the CRPD since their legislation is based on substituted decision-making regimes and does not provide for any form of support in decision-making.</w:t>
      </w:r>
    </w:p>
    <w:p w14:paraId="3D91F0E8" w14:textId="428AFFFA" w:rsidR="00E538E6" w:rsidRPr="00E538E6" w:rsidRDefault="00E538E6" w:rsidP="00E538E6">
      <w:r w:rsidRPr="00E538E6">
        <w:t xml:space="preserve">While some EU Member States removed the possibility to deprive a person of </w:t>
      </w:r>
      <w:r>
        <w:t>their</w:t>
      </w:r>
      <w:r w:rsidRPr="00E538E6">
        <w:t xml:space="preserve"> legal capacity from their legal framework, others</w:t>
      </w:r>
      <w:r w:rsidRPr="00E538E6">
        <w:rPr>
          <w:vertAlign w:val="superscript"/>
        </w:rPr>
        <w:footnoteReference w:id="9"/>
      </w:r>
      <w:r w:rsidRPr="00E538E6">
        <w:t xml:space="preserve"> still provide for the loss of capacity for persons </w:t>
      </w:r>
      <w:r>
        <w:t>“</w:t>
      </w:r>
      <w:r w:rsidRPr="00E538E6">
        <w:t>with mental impairments or other health issues limiting their capacity to decide for themselves and manage their interests</w:t>
      </w:r>
      <w:r w:rsidR="00307635">
        <w:t>”</w:t>
      </w:r>
      <w:r w:rsidRPr="00E538E6">
        <w:t xml:space="preserve">. </w:t>
      </w:r>
    </w:p>
    <w:p w14:paraId="4BEFBE22" w14:textId="433CC0A2" w:rsidR="000558DD" w:rsidRDefault="000558DD" w:rsidP="000558DD">
      <w:pPr>
        <w:pStyle w:val="Heading3"/>
      </w:pPr>
      <w:r>
        <w:t xml:space="preserve">Supported decision making </w:t>
      </w:r>
      <w:r w:rsidR="00307635">
        <w:t xml:space="preserve">regimes </w:t>
      </w:r>
    </w:p>
    <w:p w14:paraId="22282041" w14:textId="0C49BDD0" w:rsidR="007B649E" w:rsidRDefault="007B649E" w:rsidP="008D7100">
      <w:r w:rsidRPr="007B649E">
        <w:t>13 Member States</w:t>
      </w:r>
      <w:r w:rsidRPr="007B649E">
        <w:rPr>
          <w:vertAlign w:val="superscript"/>
        </w:rPr>
        <w:footnoteReference w:id="10"/>
      </w:r>
      <w:r w:rsidRPr="007B649E">
        <w:t xml:space="preserve"> have amended their laws to introduce supported decision-making regimes. Among these States, Belgium, France and Portugal expressly stressed that their new legal capacity regimes were guided by the principles of necessity, subsidiarity and proportionality. Six Member States abolished full guardianship</w:t>
      </w:r>
      <w:r>
        <w:t>.</w:t>
      </w:r>
      <w:r w:rsidRPr="007B649E">
        <w:rPr>
          <w:vertAlign w:val="superscript"/>
        </w:rPr>
        <w:footnoteReference w:id="11"/>
      </w:r>
    </w:p>
    <w:p w14:paraId="04037A1B" w14:textId="388E05C9" w:rsidR="00087E42" w:rsidRDefault="00087E42" w:rsidP="008D7100">
      <w:r>
        <w:rPr>
          <w:noProof/>
          <w:lang w:val="nl-NL" w:eastAsia="nl-NL"/>
        </w:rPr>
        <w:lastRenderedPageBreak/>
        <w:drawing>
          <wp:inline distT="0" distB="0" distL="0" distR="0" wp14:anchorId="7855EA3A" wp14:editId="43984632">
            <wp:extent cx="5724525" cy="5238750"/>
            <wp:effectExtent l="0" t="0" r="9525" b="0"/>
            <wp:docPr id="5" name="Picture 5" descr="Map of EU Member States and supported decision making regimes. Information provid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 of EU Member States and supported decision making regimes. Information provided in the tex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5238750"/>
                    </a:xfrm>
                    <a:prstGeom prst="rect">
                      <a:avLst/>
                    </a:prstGeom>
                    <a:noFill/>
                    <a:ln>
                      <a:noFill/>
                    </a:ln>
                  </pic:spPr>
                </pic:pic>
              </a:graphicData>
            </a:graphic>
          </wp:inline>
        </w:drawing>
      </w:r>
    </w:p>
    <w:p w14:paraId="0CB6EE7B" w14:textId="378C2419" w:rsidR="008D7100" w:rsidRPr="008D7100" w:rsidRDefault="007B649E" w:rsidP="008D7100">
      <w:r>
        <w:t>However, an important</w:t>
      </w:r>
      <w:r w:rsidR="008D7100" w:rsidRPr="008D7100">
        <w:t xml:space="preserve"> issue that must be highlighted is the </w:t>
      </w:r>
      <w:r w:rsidR="008D7100" w:rsidRPr="008D7100">
        <w:rPr>
          <w:b/>
          <w:bCs/>
        </w:rPr>
        <w:t>lack of resources allocated to the authorities and social services in charge of deciding on or providing assistance in decision making</w:t>
      </w:r>
      <w:r w:rsidR="008D7100" w:rsidRPr="008D7100">
        <w:t>. The study of legal capacity regimes</w:t>
      </w:r>
      <w:r w:rsidR="008D7100">
        <w:t xml:space="preserve"> in the EU</w:t>
      </w:r>
      <w:r w:rsidR="008D7100" w:rsidRPr="008D7100">
        <w:t xml:space="preserve"> shows that in some Member States where supported decision-making has been introduced and substituted decision-making measures remain, </w:t>
      </w:r>
      <w:r w:rsidR="008D7100" w:rsidRPr="008D7100">
        <w:rPr>
          <w:b/>
          <w:bCs/>
        </w:rPr>
        <w:t>judges continue to use the latter and order more restrictive protection measures</w:t>
      </w:r>
      <w:r w:rsidR="008D7100" w:rsidRPr="008D7100">
        <w:t>. This is the case in Germany</w:t>
      </w:r>
      <w:r w:rsidR="008D7100" w:rsidRPr="008D7100">
        <w:rPr>
          <w:vertAlign w:val="superscript"/>
        </w:rPr>
        <w:footnoteReference w:id="12"/>
      </w:r>
      <w:r w:rsidR="008D7100" w:rsidRPr="008D7100">
        <w:t>, Belgium</w:t>
      </w:r>
      <w:r w:rsidR="008D7100" w:rsidRPr="008D7100">
        <w:rPr>
          <w:vertAlign w:val="superscript"/>
        </w:rPr>
        <w:footnoteReference w:id="13"/>
      </w:r>
      <w:r w:rsidR="008D7100" w:rsidRPr="008D7100">
        <w:t xml:space="preserve"> and Czech Republic</w:t>
      </w:r>
      <w:r w:rsidR="008D7100" w:rsidRPr="008D7100">
        <w:rPr>
          <w:vertAlign w:val="superscript"/>
        </w:rPr>
        <w:footnoteReference w:id="14"/>
      </w:r>
      <w:r w:rsidR="008D7100" w:rsidRPr="008D7100">
        <w:t xml:space="preserve">, where civil society raised the issue on the fact that competent authorities lack the </w:t>
      </w:r>
      <w:r w:rsidR="008D7100" w:rsidRPr="008D7100">
        <w:lastRenderedPageBreak/>
        <w:t xml:space="preserve">resources to analyse and assess the person's </w:t>
      </w:r>
      <w:r w:rsidR="006A5CE9">
        <w:t>situation</w:t>
      </w:r>
      <w:r w:rsidR="008D7100" w:rsidRPr="008D7100">
        <w:t xml:space="preserve"> to offer </w:t>
      </w:r>
      <w:r w:rsidR="006A5CE9">
        <w:t>them measures</w:t>
      </w:r>
      <w:r w:rsidR="008D7100" w:rsidRPr="008D7100">
        <w:t xml:space="preserve"> adapted to </w:t>
      </w:r>
      <w:r w:rsidR="00AE2B25">
        <w:t>their</w:t>
      </w:r>
      <w:r w:rsidR="008D7100" w:rsidRPr="008D7100">
        <w:t xml:space="preserve"> needs and preferences.</w:t>
      </w:r>
    </w:p>
    <w:p w14:paraId="568B91BB" w14:textId="6CBBF951" w:rsidR="00307635" w:rsidRDefault="00307635" w:rsidP="00307635">
      <w:pPr>
        <w:pStyle w:val="Heading3"/>
      </w:pPr>
      <w:r>
        <w:t xml:space="preserve">Powers of representation </w:t>
      </w:r>
    </w:p>
    <w:p w14:paraId="464387D3" w14:textId="5926EEA3" w:rsidR="00FE115F" w:rsidRDefault="00FE115F" w:rsidP="00307635">
      <w:r w:rsidRPr="00FE115F">
        <w:t>Power of representations are arrangements where adults organise in advance for a time when they might be unable to look after their own interests,</w:t>
      </w:r>
      <w:r>
        <w:t xml:space="preserve"> or have difficulty to express consent or their will and preferences</w:t>
      </w:r>
      <w:r w:rsidRPr="00FE115F">
        <w:t>.</w:t>
      </w:r>
      <w:r>
        <w:t xml:space="preserve"> Power of representations </w:t>
      </w:r>
      <w:r w:rsidR="00CB44FC">
        <w:t>include for example advance directives, or</w:t>
      </w:r>
      <w:r>
        <w:t xml:space="preserve"> the</w:t>
      </w:r>
      <w:r w:rsidR="00CB44FC">
        <w:t xml:space="preserve"> voluntary</w:t>
      </w:r>
      <w:r>
        <w:t xml:space="preserve"> designation of a representative. </w:t>
      </w:r>
    </w:p>
    <w:p w14:paraId="3D523E18" w14:textId="524792C7" w:rsidR="00EC6F71" w:rsidRDefault="00307635" w:rsidP="00307635">
      <w:r>
        <w:t>Five EU Member States</w:t>
      </w:r>
      <w:r>
        <w:rPr>
          <w:rStyle w:val="FootnoteReference"/>
        </w:rPr>
        <w:footnoteReference w:id="15"/>
      </w:r>
      <w:r>
        <w:t xml:space="preserve"> </w:t>
      </w:r>
      <w:r w:rsidRPr="00E538E6">
        <w:t>d</w:t>
      </w:r>
      <w:r>
        <w:t>o</w:t>
      </w:r>
      <w:r w:rsidRPr="00E538E6">
        <w:t xml:space="preserve"> not include provisions on powers of representation allowing a person to appoint a representative ahead of a future </w:t>
      </w:r>
      <w:r w:rsidR="00367315">
        <w:t xml:space="preserve">temporary or permanent </w:t>
      </w:r>
      <w:r w:rsidRPr="00E538E6">
        <w:t xml:space="preserve">loss of </w:t>
      </w:r>
      <w:r w:rsidR="00CB44FC">
        <w:t>decision making skills</w:t>
      </w:r>
      <w:r w:rsidRPr="00E538E6">
        <w:t>.</w:t>
      </w:r>
    </w:p>
    <w:p w14:paraId="43E6A8BA" w14:textId="529AE81B" w:rsidR="00B04D00" w:rsidRDefault="000F120B" w:rsidP="00307635">
      <w:r>
        <w:t>It is also important to note that while powers of representation may have advantages to understand and respect the will and preferences of the persons, in some cases the person may change their mind</w:t>
      </w:r>
      <w:r w:rsidR="00B04D00">
        <w:t xml:space="preserve">. </w:t>
      </w:r>
      <w:r>
        <w:t>It is crucial that the will and preferences of the person is interpreted in the present moment and no</w:t>
      </w:r>
      <w:r w:rsidR="0097570E">
        <w:t>t</w:t>
      </w:r>
      <w:r>
        <w:t xml:space="preserve"> </w:t>
      </w:r>
      <w:r w:rsidR="00B04D00">
        <w:t xml:space="preserve">by </w:t>
      </w:r>
      <w:r>
        <w:t xml:space="preserve">what they may have expressed time ago. </w:t>
      </w:r>
    </w:p>
    <w:p w14:paraId="6558E91C" w14:textId="58F50907" w:rsidR="000F120B" w:rsidRPr="00EC6F71" w:rsidRDefault="000F120B" w:rsidP="00307635">
      <w:r>
        <w:t>In addition, it is unclear to which extend persons with disabilities are aware of the measures of power</w:t>
      </w:r>
      <w:r w:rsidR="0097570E">
        <w:t>s</w:t>
      </w:r>
      <w:r>
        <w:t xml:space="preserve"> of representation in their countries</w:t>
      </w:r>
      <w:r w:rsidR="00B04D00">
        <w:t>, or in other countries</w:t>
      </w:r>
      <w:r>
        <w:t>. No specific information</w:t>
      </w:r>
      <w:r w:rsidR="0097570E">
        <w:t xml:space="preserve"> related to persons with disabilities and powers of representation</w:t>
      </w:r>
      <w:r>
        <w:t xml:space="preserve"> was found in research undertaken in preparation of this position paper. </w:t>
      </w:r>
    </w:p>
    <w:p w14:paraId="40F2540C" w14:textId="12F2E273" w:rsidR="008561FC" w:rsidRDefault="008561FC" w:rsidP="00835CE2">
      <w:pPr>
        <w:pStyle w:val="Heading2"/>
      </w:pPr>
      <w:bookmarkStart w:id="14" w:name="_Toc99486451"/>
      <w:r>
        <w:t>Examples of rights’ violation</w:t>
      </w:r>
      <w:r w:rsidR="002775B6">
        <w:t>s</w:t>
      </w:r>
      <w:r>
        <w:t xml:space="preserve"> in cross-border cases</w:t>
      </w:r>
      <w:bookmarkEnd w:id="14"/>
      <w:r>
        <w:t xml:space="preserve"> </w:t>
      </w:r>
    </w:p>
    <w:p w14:paraId="0A687B63" w14:textId="4F0C2E50" w:rsidR="005F3CDD" w:rsidRDefault="00872B48" w:rsidP="00181465">
      <w:r>
        <w:t xml:space="preserve">As shown in the section above, </w:t>
      </w:r>
      <w:r w:rsidRPr="00872B48">
        <w:t>legal capacity regimes</w:t>
      </w:r>
      <w:r>
        <w:t xml:space="preserve"> in the EU are fragmented with rules going from full substituted </w:t>
      </w:r>
      <w:r w:rsidR="001A2D3B">
        <w:t>decision-making</w:t>
      </w:r>
      <w:r w:rsidR="005F3CDD">
        <w:t xml:space="preserve"> regimes</w:t>
      </w:r>
      <w:r>
        <w:t xml:space="preserve"> like </w:t>
      </w:r>
      <w:r w:rsidR="00B04D00">
        <w:t xml:space="preserve">plenary </w:t>
      </w:r>
      <w:r w:rsidR="005F3CDD">
        <w:t>guardianship</w:t>
      </w:r>
      <w:r>
        <w:t xml:space="preserve"> where an appoint</w:t>
      </w:r>
      <w:r w:rsidR="00B04D00">
        <w:t>ed</w:t>
      </w:r>
      <w:r>
        <w:t xml:space="preserve"> guardian is taking </w:t>
      </w:r>
      <w:r w:rsidR="00B04D00">
        <w:t xml:space="preserve">any </w:t>
      </w:r>
      <w:r>
        <w:t xml:space="preserve">decision on behalf of the person, to </w:t>
      </w:r>
      <w:r w:rsidR="005F3CDD">
        <w:t>forms</w:t>
      </w:r>
      <w:r>
        <w:t xml:space="preserve"> of supported </w:t>
      </w:r>
      <w:r w:rsidR="00402728">
        <w:t>decision-making</w:t>
      </w:r>
      <w:r>
        <w:t xml:space="preserve"> regimes where the people are supported to make their decisions by a person of trust who respect their will and preferences. </w:t>
      </w:r>
    </w:p>
    <w:p w14:paraId="6605159D" w14:textId="57281C71" w:rsidR="00181465" w:rsidRDefault="00402728" w:rsidP="00181465">
      <w:r>
        <w:t xml:space="preserve">In cross-border cases, blunt rules on competences and recognition of legal capacity measures, such as those set in the 2000 Hague Convention, may lead to recognition of full guardianship measures or accept the institutionalisation or involuntary treatment in psychiatry, in violation with the CRPD. </w:t>
      </w:r>
      <w:r w:rsidR="00631EEF">
        <w:t xml:space="preserve">This can even lead to the consolidation of such human rights violations in EU Member States that may have started to move away from substituted </w:t>
      </w:r>
      <w:r w:rsidR="001A2D3B">
        <w:t>decision-making</w:t>
      </w:r>
      <w:r w:rsidR="00631EEF">
        <w:t xml:space="preserve"> regimes, institutions and coercion. </w:t>
      </w:r>
    </w:p>
    <w:p w14:paraId="5D6B03F7" w14:textId="3F7A1094" w:rsidR="00B04D00" w:rsidRDefault="00B04D00" w:rsidP="00181465"/>
    <w:p w14:paraId="48DAD5E2" w14:textId="4AC6B0F5" w:rsidR="00B04D00" w:rsidRDefault="00B04D00" w:rsidP="00106D75">
      <w:pPr>
        <w:pStyle w:val="Heading3"/>
      </w:pPr>
      <w:r>
        <w:lastRenderedPageBreak/>
        <w:t>Consideration</w:t>
      </w:r>
      <w:r w:rsidR="00556A80">
        <w:t xml:space="preserve"> on protection</w:t>
      </w:r>
      <w:r w:rsidR="006F7FDB">
        <w:t>: examples</w:t>
      </w:r>
      <w:r w:rsidR="001C7853">
        <w:t xml:space="preserve"> of persons</w:t>
      </w:r>
      <w:r w:rsidR="006F7FDB">
        <w:t xml:space="preserve"> experiencing mental health crisis abroad </w:t>
      </w:r>
    </w:p>
    <w:p w14:paraId="075F1EA1" w14:textId="5F246123" w:rsidR="00B04D00" w:rsidRDefault="00B04D00" w:rsidP="00181465">
      <w:r>
        <w:t>Several situations of “vulnerable adults in cross-border situations” were analy</w:t>
      </w:r>
      <w:r w:rsidR="00CC6077">
        <w:t>s</w:t>
      </w:r>
      <w:r>
        <w:t xml:space="preserve">ed in preparation this position paper. </w:t>
      </w:r>
      <w:r w:rsidR="00556A80">
        <w:t>It appeared that t</w:t>
      </w:r>
      <w:r>
        <w:t>he problems and human rights violations faced, would not be addressed and remedied by the Hague Convention.</w:t>
      </w:r>
    </w:p>
    <w:p w14:paraId="668D0650" w14:textId="7DBF160D" w:rsidR="00B04D00" w:rsidRDefault="00B04D00" w:rsidP="000C3A22">
      <w:r>
        <w:t xml:space="preserve">For example, the </w:t>
      </w:r>
      <w:r w:rsidR="008221E9">
        <w:t xml:space="preserve">person who </w:t>
      </w:r>
      <w:r>
        <w:t>migrat</w:t>
      </w:r>
      <w:r w:rsidR="008221E9">
        <w:t>ed from a non-EU country to an EU-country,</w:t>
      </w:r>
      <w:r>
        <w:t xml:space="preserve"> </w:t>
      </w:r>
      <w:r w:rsidR="008221E9">
        <w:t xml:space="preserve">and </w:t>
      </w:r>
      <w:r>
        <w:t xml:space="preserve">who suffered detention which </w:t>
      </w:r>
      <w:r w:rsidR="008221E9">
        <w:t>devastated his mental health and turned him into a “vulnerable adult”. He</w:t>
      </w:r>
      <w:r w:rsidR="00B84536">
        <w:t xml:space="preserve"> died after weeks of being neglected in</w:t>
      </w:r>
      <w:r w:rsidR="008221E9">
        <w:t xml:space="preserve"> restraints in a mental health institution in an EU country.</w:t>
      </w:r>
      <w:r w:rsidR="00D22628">
        <w:rPr>
          <w:rStyle w:val="FootnoteReference"/>
        </w:rPr>
        <w:footnoteReference w:id="16"/>
      </w:r>
      <w:r w:rsidR="008221E9">
        <w:t xml:space="preserve"> The protection </w:t>
      </w:r>
      <w:r w:rsidR="00B84536">
        <w:t xml:space="preserve">and support which </w:t>
      </w:r>
      <w:r w:rsidR="008221E9">
        <w:t>he needed was not there</w:t>
      </w:r>
      <w:r w:rsidR="00B84536">
        <w:t>.</w:t>
      </w:r>
      <w:r w:rsidR="008221E9">
        <w:t xml:space="preserve"> </w:t>
      </w:r>
      <w:r w:rsidR="00CC6077">
        <w:t>T</w:t>
      </w:r>
      <w:r w:rsidR="008221E9">
        <w:t xml:space="preserve">he Hague Convention would not </w:t>
      </w:r>
      <w:r w:rsidR="001C06CF">
        <w:t>have brought</w:t>
      </w:r>
      <w:r w:rsidR="008221E9">
        <w:t xml:space="preserve"> any change to </w:t>
      </w:r>
      <w:r w:rsidR="00106D75">
        <w:t>t</w:t>
      </w:r>
      <w:r w:rsidR="008221E9">
        <w:t>his horrendous</w:t>
      </w:r>
      <w:r w:rsidR="00556A80">
        <w:t xml:space="preserve"> situation</w:t>
      </w:r>
      <w:r w:rsidR="001C06CF">
        <w:t>. On contrary</w:t>
      </w:r>
      <w:r w:rsidR="000C3A22">
        <w:t>, the Hague Convention even allows for coercive interventions to be executed cross-border.</w:t>
      </w:r>
      <w:r w:rsidR="00556A80">
        <w:t xml:space="preserve"> </w:t>
      </w:r>
    </w:p>
    <w:p w14:paraId="10234090" w14:textId="673CD393" w:rsidR="008221E9" w:rsidRDefault="00E01BCC" w:rsidP="008221E9">
      <w:r>
        <w:t>A</w:t>
      </w:r>
      <w:r w:rsidR="008221E9">
        <w:t>nother example</w:t>
      </w:r>
      <w:r>
        <w:t xml:space="preserve"> concerns a</w:t>
      </w:r>
      <w:r w:rsidR="00722C66">
        <w:t xml:space="preserve"> </w:t>
      </w:r>
      <w:r w:rsidR="008221E9">
        <w:t xml:space="preserve">person who fled from a mental health institution </w:t>
      </w:r>
      <w:r w:rsidR="00556A80">
        <w:t xml:space="preserve">and went </w:t>
      </w:r>
      <w:r w:rsidR="008221E9">
        <w:t>to another country, and who was found by the police, hospitali</w:t>
      </w:r>
      <w:r w:rsidR="00CC6077">
        <w:t>s</w:t>
      </w:r>
      <w:r w:rsidR="008221E9">
        <w:t xml:space="preserve">ed at the nearest available </w:t>
      </w:r>
      <w:r w:rsidR="000C3A22">
        <w:t>institution</w:t>
      </w:r>
      <w:r w:rsidR="008221E9">
        <w:t>, and repatriated from a country that is not a member of the Hague Convention</w:t>
      </w:r>
      <w:r w:rsidR="00556A80">
        <w:t>. Their biggest problem came afterwards with the foreign hospital bill and the insurance clauses</w:t>
      </w:r>
      <w:r w:rsidR="001C06CF">
        <w:t xml:space="preserve"> (exclusion clauses)</w:t>
      </w:r>
      <w:r w:rsidR="00556A80">
        <w:t>. The Hague Convention would not change this situation</w:t>
      </w:r>
      <w:r w:rsidR="000C3A22">
        <w:t xml:space="preserve"> either</w:t>
      </w:r>
      <w:r>
        <w:t>.</w:t>
      </w:r>
    </w:p>
    <w:p w14:paraId="3376EED4" w14:textId="27CF4A1F" w:rsidR="00B04D00" w:rsidRPr="00181465" w:rsidRDefault="00556A80" w:rsidP="00181465">
      <w:r>
        <w:t xml:space="preserve">The </w:t>
      </w:r>
      <w:r w:rsidR="001C06CF">
        <w:t xml:space="preserve">actual </w:t>
      </w:r>
      <w:r>
        <w:t>lack of protection regarding “vulnerable adults in cross border situations” is not remedied by the Hague Convention.</w:t>
      </w:r>
    </w:p>
    <w:p w14:paraId="535BE446" w14:textId="10201BA8" w:rsidR="007E19D7" w:rsidRDefault="00EC6F71" w:rsidP="007E19D7">
      <w:pPr>
        <w:pStyle w:val="Heading1"/>
      </w:pPr>
      <w:bookmarkStart w:id="15" w:name="_Toc99486452"/>
      <w:r>
        <w:t xml:space="preserve">Conclusions and recommendations </w:t>
      </w:r>
      <w:r w:rsidR="00E77913">
        <w:t>on e</w:t>
      </w:r>
      <w:r w:rsidR="00E77913" w:rsidRPr="00E77913">
        <w:t>nsuring disability rights in civil judicial cooperation</w:t>
      </w:r>
      <w:bookmarkEnd w:id="15"/>
    </w:p>
    <w:p w14:paraId="38F0152D" w14:textId="7EB9BECB" w:rsidR="004112DE" w:rsidRDefault="004112DE" w:rsidP="003857BA">
      <w:bookmarkStart w:id="16" w:name="_Hlk70075754"/>
      <w:r w:rsidRPr="004112DE">
        <w:t>The E</w:t>
      </w:r>
      <w:r>
        <w:t xml:space="preserve">uropean Disability Forum (EDF) </w:t>
      </w:r>
      <w:r w:rsidRPr="004112DE">
        <w:t>recognise</w:t>
      </w:r>
      <w:r>
        <w:t>s</w:t>
      </w:r>
      <w:r w:rsidRPr="004112DE">
        <w:t xml:space="preserve"> the importance of adoption and application of conflict of laws treaties as a means to provide legal certainty, avoid gaps and promote the uniform application of substantive international law</w:t>
      </w:r>
      <w:r>
        <w:t xml:space="preserve"> including in the EU</w:t>
      </w:r>
      <w:r w:rsidRPr="004112DE">
        <w:t>.</w:t>
      </w:r>
    </w:p>
    <w:p w14:paraId="764594D1" w14:textId="1EC03ED8" w:rsidR="004112DE" w:rsidRDefault="004112DE" w:rsidP="003857BA">
      <w:r>
        <w:t xml:space="preserve">However, </w:t>
      </w:r>
      <w:r w:rsidRPr="008975B2">
        <w:rPr>
          <w:b/>
          <w:bCs/>
        </w:rPr>
        <w:t>conflict of laws legislation should not lead to human rights violations of the person impacted by the measures at stake</w:t>
      </w:r>
      <w:r>
        <w:t xml:space="preserve">. </w:t>
      </w:r>
    </w:p>
    <w:p w14:paraId="2FE45D01" w14:textId="0835895E" w:rsidR="004112DE" w:rsidRDefault="004112DE" w:rsidP="003857BA">
      <w:r>
        <w:t>EDF is particularly concern</w:t>
      </w:r>
      <w:r w:rsidR="00A26B4A">
        <w:t>ed</w:t>
      </w:r>
      <w:r>
        <w:t xml:space="preserve"> that the promotion of the </w:t>
      </w:r>
      <w:r w:rsidRPr="004112DE">
        <w:t xml:space="preserve">ratification of the </w:t>
      </w:r>
      <w:r>
        <w:t>2000 Hague Convention</w:t>
      </w:r>
      <w:r w:rsidRPr="004112DE">
        <w:t xml:space="preserve"> in its current form risks to contribute to the fragmentation of international law</w:t>
      </w:r>
      <w:r>
        <w:t xml:space="preserve">, especially in light of the wide ratification of the </w:t>
      </w:r>
      <w:r w:rsidR="00655F64">
        <w:t xml:space="preserve">UN </w:t>
      </w:r>
      <w:r w:rsidR="00655F64" w:rsidRPr="00655F64">
        <w:t>Convention on the Rights of Persons with Disabilities</w:t>
      </w:r>
      <w:r w:rsidR="00655F64">
        <w:t xml:space="preserve"> </w:t>
      </w:r>
      <w:r w:rsidR="00655F64">
        <w:lastRenderedPageBreak/>
        <w:t>(</w:t>
      </w:r>
      <w:r>
        <w:t>CRPD</w:t>
      </w:r>
      <w:r w:rsidR="00655F64">
        <w:t>)</w:t>
      </w:r>
      <w:r w:rsidRPr="004112DE">
        <w:t>.</w:t>
      </w:r>
      <w:r>
        <w:t xml:space="preserve"> Its implementation could lead to direct violation</w:t>
      </w:r>
      <w:r w:rsidR="008975B2">
        <w:t>s</w:t>
      </w:r>
      <w:r>
        <w:t xml:space="preserve"> of the CRPD by EU Member States. </w:t>
      </w:r>
    </w:p>
    <w:p w14:paraId="72F19F7E" w14:textId="39E792D4" w:rsidR="004112DE" w:rsidRDefault="004112DE" w:rsidP="003857BA">
      <w:r>
        <w:t xml:space="preserve">EDF recommends that: </w:t>
      </w:r>
    </w:p>
    <w:p w14:paraId="2DB7CF29" w14:textId="512F1DDE" w:rsidR="008975B2" w:rsidRDefault="008975B2" w:rsidP="008975B2">
      <w:pPr>
        <w:pStyle w:val="ListParagraph"/>
        <w:numPr>
          <w:ilvl w:val="0"/>
          <w:numId w:val="26"/>
        </w:numPr>
        <w:ind w:left="714" w:hanging="357"/>
        <w:contextualSpacing w:val="0"/>
      </w:pPr>
      <w:r>
        <w:t xml:space="preserve">The EU does </w:t>
      </w:r>
      <w:r w:rsidRPr="005A3C10">
        <w:rPr>
          <w:b/>
          <w:bCs/>
        </w:rPr>
        <w:t>not</w:t>
      </w:r>
      <w:r>
        <w:t xml:space="preserve"> promote the ratification of the 2000 Hague Convention which in its current form </w:t>
      </w:r>
      <w:r w:rsidR="00655F64" w:rsidRPr="00655F64">
        <w:t xml:space="preserve">reflects an out-dated and </w:t>
      </w:r>
      <w:r w:rsidR="00655F64" w:rsidRPr="00655F64">
        <w:rPr>
          <w:i/>
        </w:rPr>
        <w:t xml:space="preserve">currently </w:t>
      </w:r>
      <w:r w:rsidR="00655F64" w:rsidRPr="00655F64">
        <w:t xml:space="preserve">non-human rights compliant understanding of “protection” which has been clearly superseded by the </w:t>
      </w:r>
      <w:r w:rsidR="00655F64">
        <w:t xml:space="preserve">CRPD. </w:t>
      </w:r>
    </w:p>
    <w:p w14:paraId="03F8A124" w14:textId="1423C489" w:rsidR="004112DE" w:rsidRDefault="008975B2" w:rsidP="008975B2">
      <w:pPr>
        <w:pStyle w:val="ListParagraph"/>
        <w:numPr>
          <w:ilvl w:val="0"/>
          <w:numId w:val="26"/>
        </w:numPr>
        <w:ind w:left="714" w:hanging="357"/>
        <w:contextualSpacing w:val="0"/>
      </w:pPr>
      <w:r>
        <w:t>The EU develop</w:t>
      </w:r>
      <w:r w:rsidR="005D5DDC">
        <w:t>s</w:t>
      </w:r>
      <w:r>
        <w:t xml:space="preserve"> measures to facilitate the aboli</w:t>
      </w:r>
      <w:r w:rsidR="008636DD">
        <w:t>tion</w:t>
      </w:r>
      <w:r>
        <w:t xml:space="preserve"> of substituted decision-making in all EU Member States, as well as to accelerate desinstitutionalisation, end coercive treatment and placement, and develop supported decision-making </w:t>
      </w:r>
      <w:r w:rsidR="008636DD">
        <w:t xml:space="preserve">practices. </w:t>
      </w:r>
    </w:p>
    <w:p w14:paraId="3AFDA53A" w14:textId="7D5676BA" w:rsidR="005A3C10" w:rsidRDefault="005A3C10" w:rsidP="008975B2">
      <w:pPr>
        <w:pStyle w:val="ListParagraph"/>
        <w:numPr>
          <w:ilvl w:val="0"/>
          <w:numId w:val="26"/>
        </w:numPr>
        <w:ind w:left="714" w:hanging="357"/>
        <w:contextualSpacing w:val="0"/>
      </w:pPr>
      <w:r>
        <w:t>The EU issues guidelines</w:t>
      </w:r>
      <w:r w:rsidR="0017476A">
        <w:t xml:space="preserve"> for EU Member States</w:t>
      </w:r>
      <w:r>
        <w:t xml:space="preserve"> on cross-border protection on “vulnerable adults” based on the CRPD. </w:t>
      </w:r>
    </w:p>
    <w:p w14:paraId="498672A2" w14:textId="417055D9" w:rsidR="008975B2" w:rsidRDefault="008975B2" w:rsidP="008975B2">
      <w:pPr>
        <w:pStyle w:val="ListParagraph"/>
        <w:numPr>
          <w:ilvl w:val="0"/>
          <w:numId w:val="26"/>
        </w:numPr>
        <w:ind w:left="714" w:hanging="357"/>
        <w:contextualSpacing w:val="0"/>
      </w:pPr>
      <w:r>
        <w:t xml:space="preserve">Measures adopted to deal with conflicts of law and cross-border protection of “vulnerable adults” are based on the promotion of and compliance with the CRPD. </w:t>
      </w:r>
      <w:r w:rsidRPr="004112DE">
        <w:t>States should prevent the application of legislation by another State in the context of cross-border issues and private international law when it does not comply with international human rights law, including the CRPD</w:t>
      </w:r>
      <w:r>
        <w:t>.</w:t>
      </w:r>
    </w:p>
    <w:p w14:paraId="6599BA62" w14:textId="5ADBC9B8" w:rsidR="008975B2" w:rsidRDefault="008975B2" w:rsidP="008975B2">
      <w:pPr>
        <w:pStyle w:val="ListParagraph"/>
        <w:numPr>
          <w:ilvl w:val="0"/>
          <w:numId w:val="26"/>
        </w:numPr>
        <w:ind w:left="714" w:hanging="357"/>
        <w:contextualSpacing w:val="0"/>
      </w:pPr>
      <w:r>
        <w:t xml:space="preserve">The EU and its Member States systematically consult and involve representative organisations of persons with disabilities in all discussions related to the “protection of vulnerable adults” and measures that may impact the rights and lives of persons with disabilities in Europe and beyond. </w:t>
      </w:r>
    </w:p>
    <w:p w14:paraId="34F9EFE8" w14:textId="7171FE54" w:rsidR="00867C0D" w:rsidRDefault="00B922E9" w:rsidP="0017476A">
      <w:pPr>
        <w:pStyle w:val="Heading1"/>
        <w:rPr>
          <w:lang w:val="en-GB"/>
        </w:rPr>
      </w:pPr>
      <w:r>
        <w:rPr>
          <w:lang w:val="en-GB"/>
        </w:rPr>
        <w:br w:type="column"/>
      </w:r>
      <w:bookmarkStart w:id="17" w:name="_Toc99486453"/>
      <w:r w:rsidR="00867C0D">
        <w:rPr>
          <w:lang w:val="en-GB"/>
        </w:rPr>
        <w:lastRenderedPageBreak/>
        <w:t>Annex</w:t>
      </w:r>
      <w:bookmarkEnd w:id="17"/>
    </w:p>
    <w:p w14:paraId="7DDBA4CA" w14:textId="1AA5237E" w:rsidR="00867C0D" w:rsidRDefault="00867C0D" w:rsidP="00867C0D">
      <w:pPr>
        <w:pStyle w:val="Heading2"/>
        <w:rPr>
          <w:lang w:val="en-GB"/>
        </w:rPr>
      </w:pPr>
      <w:bookmarkStart w:id="18" w:name="_Toc99486454"/>
      <w:r>
        <w:rPr>
          <w:lang w:val="en-GB"/>
        </w:rPr>
        <w:t>Glossary</w:t>
      </w:r>
      <w:bookmarkEnd w:id="18"/>
    </w:p>
    <w:p w14:paraId="42340B18" w14:textId="77777777" w:rsidR="005A1273" w:rsidRPr="005A1273" w:rsidRDefault="005A1273" w:rsidP="005A1273">
      <w:pPr>
        <w:rPr>
          <w:lang w:val="en-GB"/>
        </w:rPr>
      </w:pPr>
      <w:r w:rsidRPr="005A1273">
        <w:rPr>
          <w:b/>
          <w:bCs/>
          <w:lang w:val="en-GB"/>
        </w:rPr>
        <w:t>Cases with cross-border implications</w:t>
      </w:r>
      <w:r w:rsidRPr="005A1273">
        <w:rPr>
          <w:lang w:val="en-GB"/>
        </w:rPr>
        <w:t xml:space="preserve"> are situations and/or judicial or administrative proceedings that concern two or more countries. A case with cross-border implications may arise when for instance:</w:t>
      </w:r>
    </w:p>
    <w:p w14:paraId="619A7694" w14:textId="52C06A20" w:rsidR="005A1273" w:rsidRPr="005A1273" w:rsidRDefault="005A1273" w:rsidP="005A1273">
      <w:pPr>
        <w:numPr>
          <w:ilvl w:val="0"/>
          <w:numId w:val="20"/>
        </w:numPr>
        <w:rPr>
          <w:lang w:val="en-GB"/>
        </w:rPr>
      </w:pPr>
      <w:r>
        <w:rPr>
          <w:lang w:val="en-GB"/>
        </w:rPr>
        <w:t>‘V</w:t>
      </w:r>
      <w:r w:rsidRPr="005A1273">
        <w:rPr>
          <w:lang w:val="en-GB"/>
        </w:rPr>
        <w:t>ulnerable adults</w:t>
      </w:r>
      <w:r>
        <w:rPr>
          <w:lang w:val="en-GB"/>
        </w:rPr>
        <w:t>’</w:t>
      </w:r>
      <w:r w:rsidRPr="005A1273">
        <w:rPr>
          <w:lang w:val="en-GB"/>
        </w:rPr>
        <w:t xml:space="preserve"> or their representatives are in another country, or are nationals of a country other than the one of the courts or competent authorities to which the case is referred;</w:t>
      </w:r>
    </w:p>
    <w:p w14:paraId="7DC3E3F4" w14:textId="1B99A0CE" w:rsidR="005A1273" w:rsidRPr="005A1273" w:rsidRDefault="005A1273" w:rsidP="005A1273">
      <w:pPr>
        <w:numPr>
          <w:ilvl w:val="0"/>
          <w:numId w:val="20"/>
        </w:numPr>
        <w:rPr>
          <w:lang w:val="en-GB"/>
        </w:rPr>
      </w:pPr>
      <w:r>
        <w:rPr>
          <w:lang w:val="en-GB"/>
        </w:rPr>
        <w:t>P</w:t>
      </w:r>
      <w:r w:rsidRPr="005A1273">
        <w:rPr>
          <w:lang w:val="en-GB"/>
        </w:rPr>
        <w:t xml:space="preserve">owers of representation granted in one country need to be recognised in another country; </w:t>
      </w:r>
    </w:p>
    <w:p w14:paraId="5F0CFFD3" w14:textId="1B0F3089" w:rsidR="005A1273" w:rsidRPr="005A1273" w:rsidRDefault="005A1273" w:rsidP="005A1273">
      <w:pPr>
        <w:numPr>
          <w:ilvl w:val="0"/>
          <w:numId w:val="20"/>
        </w:numPr>
        <w:rPr>
          <w:lang w:val="en-GB"/>
        </w:rPr>
      </w:pPr>
      <w:r>
        <w:rPr>
          <w:lang w:val="en-GB"/>
        </w:rPr>
        <w:t>‘V</w:t>
      </w:r>
      <w:r w:rsidRPr="005A1273">
        <w:rPr>
          <w:lang w:val="en-GB"/>
        </w:rPr>
        <w:t>ulnerable adults</w:t>
      </w:r>
      <w:r>
        <w:rPr>
          <w:lang w:val="en-GB"/>
        </w:rPr>
        <w:t>’</w:t>
      </w:r>
      <w:r w:rsidRPr="005A1273">
        <w:rPr>
          <w:lang w:val="en-GB"/>
        </w:rPr>
        <w:t xml:space="preserve"> own assets or are involved in contractual arrangements or legal proceedings in a country other than the country in which they habitually live;</w:t>
      </w:r>
    </w:p>
    <w:p w14:paraId="6D814102" w14:textId="3E955A6D" w:rsidR="005A1273" w:rsidRDefault="005A1273" w:rsidP="00867C0D">
      <w:pPr>
        <w:numPr>
          <w:ilvl w:val="0"/>
          <w:numId w:val="20"/>
        </w:numPr>
        <w:rPr>
          <w:lang w:val="en-GB"/>
        </w:rPr>
      </w:pPr>
      <w:r>
        <w:rPr>
          <w:lang w:val="en-GB"/>
        </w:rPr>
        <w:t>‘V</w:t>
      </w:r>
      <w:r w:rsidRPr="005A1273">
        <w:rPr>
          <w:lang w:val="en-GB"/>
        </w:rPr>
        <w:t>ulnerable adults</w:t>
      </w:r>
      <w:r>
        <w:rPr>
          <w:lang w:val="en-GB"/>
        </w:rPr>
        <w:t>’</w:t>
      </w:r>
      <w:r w:rsidRPr="005A1273">
        <w:rPr>
          <w:lang w:val="en-GB"/>
        </w:rPr>
        <w:t xml:space="preserve"> who benefit from protection measures taken in one country plan to move to another country, or their placement in an establishment or residential facility in another State is being considered.</w:t>
      </w:r>
    </w:p>
    <w:p w14:paraId="02BAD77A" w14:textId="02968DE4" w:rsidR="00B6547E" w:rsidRDefault="00B6547E" w:rsidP="00B6547E">
      <w:r w:rsidRPr="00351D88">
        <w:rPr>
          <w:b/>
          <w:bCs/>
        </w:rPr>
        <w:t>Disabled</w:t>
      </w:r>
      <w:r>
        <w:rPr>
          <w:b/>
          <w:bCs/>
        </w:rPr>
        <w:t xml:space="preserve"> </w:t>
      </w:r>
      <w:r w:rsidRPr="00351D88">
        <w:rPr>
          <w:b/>
          <w:bCs/>
        </w:rPr>
        <w:t>people’s</w:t>
      </w:r>
      <w:r>
        <w:rPr>
          <w:b/>
          <w:bCs/>
        </w:rPr>
        <w:t xml:space="preserve"> </w:t>
      </w:r>
      <w:r w:rsidRPr="00351D88">
        <w:rPr>
          <w:b/>
          <w:bCs/>
        </w:rPr>
        <w:t>organisations</w:t>
      </w:r>
      <w:r>
        <w:rPr>
          <w:b/>
          <w:bCs/>
        </w:rPr>
        <w:t xml:space="preserve"> </w:t>
      </w:r>
      <w:r w:rsidRPr="00351D88">
        <w:rPr>
          <w:b/>
          <w:bCs/>
        </w:rPr>
        <w:t>(DPOs)</w:t>
      </w:r>
      <w:r>
        <w:rPr>
          <w:b/>
          <w:bCs/>
        </w:rPr>
        <w:t xml:space="preserve"> </w:t>
      </w:r>
      <w:r w:rsidRPr="00351D88">
        <w:rPr>
          <w:b/>
          <w:bCs/>
        </w:rPr>
        <w:t>/</w:t>
      </w:r>
      <w:r>
        <w:rPr>
          <w:b/>
          <w:bCs/>
        </w:rPr>
        <w:t xml:space="preserve"> </w:t>
      </w:r>
      <w:r w:rsidRPr="00351D88">
        <w:rPr>
          <w:b/>
          <w:bCs/>
        </w:rPr>
        <w:t>organisations</w:t>
      </w:r>
      <w:r>
        <w:rPr>
          <w:b/>
          <w:bCs/>
        </w:rPr>
        <w:t xml:space="preserve"> </w:t>
      </w:r>
      <w:r w:rsidRPr="00351D88">
        <w:rPr>
          <w:b/>
          <w:bCs/>
        </w:rPr>
        <w:t>of</w:t>
      </w:r>
      <w:r>
        <w:rPr>
          <w:b/>
          <w:bCs/>
        </w:rPr>
        <w:t xml:space="preserve"> </w:t>
      </w:r>
      <w:r w:rsidRPr="00351D88">
        <w:rPr>
          <w:b/>
          <w:bCs/>
        </w:rPr>
        <w:t>persons</w:t>
      </w:r>
      <w:r>
        <w:rPr>
          <w:b/>
          <w:bCs/>
        </w:rPr>
        <w:t xml:space="preserve"> </w:t>
      </w:r>
      <w:r w:rsidRPr="00351D88">
        <w:rPr>
          <w:b/>
          <w:bCs/>
        </w:rPr>
        <w:t>with</w:t>
      </w:r>
      <w:r>
        <w:rPr>
          <w:b/>
          <w:bCs/>
        </w:rPr>
        <w:t xml:space="preserve"> </w:t>
      </w:r>
      <w:r w:rsidRPr="00351D88">
        <w:rPr>
          <w:b/>
          <w:bCs/>
        </w:rPr>
        <w:t>disabilities</w:t>
      </w:r>
      <w:r w:rsidRPr="00351D88">
        <w:t>:</w:t>
      </w:r>
      <w:r>
        <w:t xml:space="preserve"> </w:t>
      </w:r>
      <w:r w:rsidRPr="00351D88">
        <w:t>organisations</w:t>
      </w:r>
      <w:r>
        <w:t xml:space="preserve"> </w:t>
      </w:r>
      <w:r w:rsidRPr="00351D88">
        <w:t>comprising</w:t>
      </w:r>
      <w:r>
        <w:t xml:space="preserve"> </w:t>
      </w:r>
      <w:r w:rsidRPr="00351D88">
        <w:t>a</w:t>
      </w:r>
      <w:r>
        <w:t xml:space="preserve"> </w:t>
      </w:r>
      <w:r w:rsidRPr="00351D88">
        <w:t>majority</w:t>
      </w:r>
      <w:r>
        <w:t xml:space="preserve"> </w:t>
      </w:r>
      <w:r w:rsidRPr="00351D88">
        <w:t>of</w:t>
      </w:r>
      <w:r>
        <w:rPr>
          <w:b/>
          <w:bCs/>
        </w:rPr>
        <w:t xml:space="preserve"> </w:t>
      </w:r>
      <w:r w:rsidRPr="00351D88">
        <w:t>persons</w:t>
      </w:r>
      <w:r>
        <w:t xml:space="preserve"> </w:t>
      </w:r>
      <w:r w:rsidRPr="00351D88">
        <w:t>with</w:t>
      </w:r>
      <w:r>
        <w:t xml:space="preserve"> </w:t>
      </w:r>
      <w:r w:rsidRPr="00351D88">
        <w:t>disabilities</w:t>
      </w:r>
      <w:r>
        <w:t xml:space="preserve"> who </w:t>
      </w:r>
      <w:r w:rsidRPr="00351D88">
        <w:t>represent</w:t>
      </w:r>
      <w:r>
        <w:t xml:space="preserve"> </w:t>
      </w:r>
      <w:r w:rsidRPr="00351D88">
        <w:t>the</w:t>
      </w:r>
      <w:r>
        <w:t xml:space="preserve"> </w:t>
      </w:r>
      <w:r w:rsidRPr="00351D88">
        <w:t>interests</w:t>
      </w:r>
      <w:r>
        <w:t xml:space="preserve"> </w:t>
      </w:r>
      <w:r w:rsidRPr="00351D88">
        <w:t>and</w:t>
      </w:r>
      <w:r>
        <w:t xml:space="preserve"> </w:t>
      </w:r>
      <w:r w:rsidRPr="00351D88">
        <w:t>defend</w:t>
      </w:r>
      <w:r>
        <w:t xml:space="preserve"> </w:t>
      </w:r>
      <w:r w:rsidRPr="00351D88">
        <w:t>the</w:t>
      </w:r>
      <w:r>
        <w:rPr>
          <w:b/>
          <w:bCs/>
        </w:rPr>
        <w:t xml:space="preserve"> </w:t>
      </w:r>
      <w:r w:rsidRPr="00351D88">
        <w:t>human</w:t>
      </w:r>
      <w:r>
        <w:t xml:space="preserve"> </w:t>
      </w:r>
      <w:r w:rsidRPr="00351D88">
        <w:t>rights</w:t>
      </w:r>
      <w:r>
        <w:t xml:space="preserve"> </w:t>
      </w:r>
      <w:r w:rsidRPr="00351D88">
        <w:t>of</w:t>
      </w:r>
      <w:r>
        <w:t xml:space="preserve"> </w:t>
      </w:r>
      <w:r w:rsidRPr="00351D88">
        <w:t>persons</w:t>
      </w:r>
      <w:r>
        <w:t xml:space="preserve"> </w:t>
      </w:r>
      <w:r w:rsidRPr="00351D88">
        <w:t>with</w:t>
      </w:r>
      <w:r>
        <w:t xml:space="preserve"> </w:t>
      </w:r>
      <w:r w:rsidRPr="00351D88">
        <w:t>disabilities</w:t>
      </w:r>
      <w:r>
        <w:t xml:space="preserve"> </w:t>
      </w:r>
      <w:r w:rsidRPr="00351D88">
        <w:t>through</w:t>
      </w:r>
      <w:r>
        <w:t xml:space="preserve"> </w:t>
      </w:r>
      <w:r w:rsidRPr="00351D88">
        <w:t>self-representation</w:t>
      </w:r>
      <w:r>
        <w:rPr>
          <w:b/>
          <w:bCs/>
        </w:rPr>
        <w:t xml:space="preserve"> </w:t>
      </w:r>
      <w:r w:rsidRPr="00351D88">
        <w:t>and</w:t>
      </w:r>
      <w:r>
        <w:t xml:space="preserve"> </w:t>
      </w:r>
      <w:r w:rsidRPr="00351D88">
        <w:t>advocacy.</w:t>
      </w:r>
    </w:p>
    <w:p w14:paraId="64CE0279" w14:textId="04C24A36" w:rsidR="00283819" w:rsidRDefault="00283819" w:rsidP="00B6547E">
      <w:r w:rsidRPr="00351D88">
        <w:rPr>
          <w:b/>
          <w:bCs/>
        </w:rPr>
        <w:t>Guardianship</w:t>
      </w:r>
      <w:r w:rsidRPr="00351D88">
        <w:t>:</w:t>
      </w:r>
      <w:r>
        <w:t xml:space="preserve"> </w:t>
      </w:r>
      <w:r w:rsidRPr="00351D88">
        <w:t>guardianship</w:t>
      </w:r>
      <w:r>
        <w:t xml:space="preserve"> </w:t>
      </w:r>
      <w:r w:rsidRPr="00351D88">
        <w:t>allows</w:t>
      </w:r>
      <w:r>
        <w:t xml:space="preserve"> </w:t>
      </w:r>
      <w:r w:rsidRPr="00351D88">
        <w:t>some</w:t>
      </w:r>
      <w:r>
        <w:t xml:space="preserve"> </w:t>
      </w:r>
      <w:r w:rsidRPr="00351D88">
        <w:t>people</w:t>
      </w:r>
      <w:r>
        <w:t xml:space="preserve"> </w:t>
      </w:r>
      <w:r w:rsidRPr="00351D88">
        <w:t>to</w:t>
      </w:r>
      <w:r>
        <w:t xml:space="preserve"> </w:t>
      </w:r>
      <w:r w:rsidRPr="00351D88">
        <w:t>make</w:t>
      </w:r>
      <w:r>
        <w:t xml:space="preserve"> </w:t>
      </w:r>
      <w:r w:rsidRPr="00351D88">
        <w:t>life</w:t>
      </w:r>
      <w:r>
        <w:t xml:space="preserve"> </w:t>
      </w:r>
      <w:r w:rsidRPr="00351D88">
        <w:t>choices</w:t>
      </w:r>
      <w:r>
        <w:t xml:space="preserve"> </w:t>
      </w:r>
      <w:r w:rsidRPr="00351D88">
        <w:t>for</w:t>
      </w:r>
      <w:r>
        <w:t xml:space="preserve"> </w:t>
      </w:r>
      <w:r w:rsidRPr="00351D88">
        <w:t>others.</w:t>
      </w:r>
      <w:r>
        <w:t xml:space="preserve"> </w:t>
      </w:r>
      <w:r w:rsidRPr="00351D88">
        <w:t>Often</w:t>
      </w:r>
      <w:r>
        <w:t xml:space="preserve"> this follows </w:t>
      </w:r>
      <w:r w:rsidRPr="00351D88">
        <w:t>a</w:t>
      </w:r>
      <w:r>
        <w:t xml:space="preserve"> </w:t>
      </w:r>
      <w:r w:rsidRPr="00351D88">
        <w:t>court</w:t>
      </w:r>
      <w:r>
        <w:t xml:space="preserve"> </w:t>
      </w:r>
      <w:r w:rsidRPr="00351D88">
        <w:t>decision</w:t>
      </w:r>
      <w:r>
        <w:t xml:space="preserve"> </w:t>
      </w:r>
      <w:r w:rsidRPr="00351D88">
        <w:t>that</w:t>
      </w:r>
      <w:r>
        <w:t xml:space="preserve"> </w:t>
      </w:r>
      <w:r w:rsidRPr="00351D88">
        <w:t>considers</w:t>
      </w:r>
      <w:r>
        <w:t xml:space="preserve"> </w:t>
      </w:r>
      <w:r w:rsidRPr="00351D88">
        <w:t>that</w:t>
      </w:r>
      <w:r>
        <w:t xml:space="preserve"> </w:t>
      </w:r>
      <w:r w:rsidRPr="00351D88">
        <w:t>the</w:t>
      </w:r>
      <w:r>
        <w:t xml:space="preserve"> </w:t>
      </w:r>
      <w:r w:rsidRPr="00351D88">
        <w:t>person</w:t>
      </w:r>
      <w:r>
        <w:t xml:space="preserve"> </w:t>
      </w:r>
      <w:r w:rsidRPr="00351D88">
        <w:t>“is</w:t>
      </w:r>
      <w:r>
        <w:t xml:space="preserve"> </w:t>
      </w:r>
      <w:r w:rsidRPr="00351D88">
        <w:t>not</w:t>
      </w:r>
      <w:r>
        <w:t xml:space="preserve"> </w:t>
      </w:r>
      <w:r w:rsidRPr="00351D88">
        <w:t>able”</w:t>
      </w:r>
      <w:r>
        <w:t xml:space="preserve"> </w:t>
      </w:r>
      <w:r w:rsidRPr="00351D88">
        <w:t>to</w:t>
      </w:r>
      <w:r>
        <w:t xml:space="preserve"> </w:t>
      </w:r>
      <w:r w:rsidRPr="00351D88">
        <w:t>make</w:t>
      </w:r>
      <w:r>
        <w:t xml:space="preserve"> </w:t>
      </w:r>
      <w:r w:rsidRPr="00351D88">
        <w:t>day-to-day</w:t>
      </w:r>
      <w:r>
        <w:t xml:space="preserve"> </w:t>
      </w:r>
      <w:r w:rsidRPr="00351D88">
        <w:t>and/or</w:t>
      </w:r>
      <w:r>
        <w:t xml:space="preserve"> </w:t>
      </w:r>
      <w:r w:rsidRPr="00351D88">
        <w:t>life-changing</w:t>
      </w:r>
      <w:r>
        <w:t xml:space="preserve"> </w:t>
      </w:r>
      <w:r w:rsidRPr="00351D88">
        <w:t>decisions.</w:t>
      </w:r>
      <w:r>
        <w:t xml:space="preserve"> </w:t>
      </w:r>
      <w:r w:rsidRPr="00351D88">
        <w:t>Sometimes,</w:t>
      </w:r>
      <w:r>
        <w:t xml:space="preserve"> </w:t>
      </w:r>
      <w:r w:rsidRPr="00351D88">
        <w:t>people</w:t>
      </w:r>
      <w:r>
        <w:t xml:space="preserve"> </w:t>
      </w:r>
      <w:r w:rsidRPr="00351D88">
        <w:t>under</w:t>
      </w:r>
      <w:r>
        <w:t xml:space="preserve"> </w:t>
      </w:r>
      <w:r w:rsidRPr="00351D88">
        <w:t>guardianship</w:t>
      </w:r>
      <w:r>
        <w:t xml:space="preserve"> </w:t>
      </w:r>
      <w:r w:rsidRPr="00351D88">
        <w:t>are</w:t>
      </w:r>
      <w:r>
        <w:t xml:space="preserve"> </w:t>
      </w:r>
      <w:r w:rsidRPr="00351D88">
        <w:t>not</w:t>
      </w:r>
      <w:r>
        <w:t xml:space="preserve"> </w:t>
      </w:r>
      <w:r w:rsidRPr="00351D88">
        <w:t>allowed</w:t>
      </w:r>
      <w:r>
        <w:t xml:space="preserve"> </w:t>
      </w:r>
      <w:r w:rsidRPr="00351D88">
        <w:t>to</w:t>
      </w:r>
      <w:r>
        <w:t xml:space="preserve"> </w:t>
      </w:r>
      <w:r w:rsidRPr="00351D88">
        <w:t>vote,</w:t>
      </w:r>
      <w:r>
        <w:t xml:space="preserve"> </w:t>
      </w:r>
      <w:r w:rsidRPr="00351D88">
        <w:t>marr</w:t>
      </w:r>
      <w:r>
        <w:t xml:space="preserve">y </w:t>
      </w:r>
      <w:r w:rsidRPr="00351D88">
        <w:t>or</w:t>
      </w:r>
      <w:r>
        <w:t xml:space="preserve"> </w:t>
      </w:r>
      <w:r w:rsidRPr="00351D88">
        <w:t>take</w:t>
      </w:r>
      <w:r>
        <w:t xml:space="preserve"> </w:t>
      </w:r>
      <w:r w:rsidRPr="00351D88">
        <w:t>care</w:t>
      </w:r>
      <w:r>
        <w:t xml:space="preserve"> </w:t>
      </w:r>
      <w:r w:rsidRPr="00351D88">
        <w:t>of</w:t>
      </w:r>
      <w:r>
        <w:t xml:space="preserve"> </w:t>
      </w:r>
      <w:r w:rsidRPr="00351D88">
        <w:t>their</w:t>
      </w:r>
      <w:r>
        <w:t xml:space="preserve"> </w:t>
      </w:r>
      <w:r w:rsidRPr="00947924">
        <w:t>children (see</w:t>
      </w:r>
      <w:r>
        <w:t xml:space="preserve"> </w:t>
      </w:r>
      <w:r w:rsidRPr="00351D88">
        <w:t>also</w:t>
      </w:r>
      <w:r>
        <w:t xml:space="preserve"> ‘</w:t>
      </w:r>
      <w:r w:rsidRPr="00351D88">
        <w:t>legal</w:t>
      </w:r>
      <w:r>
        <w:t xml:space="preserve"> </w:t>
      </w:r>
      <w:r w:rsidRPr="00351D88">
        <w:t>capacity</w:t>
      </w:r>
      <w:r>
        <w:t>’)</w:t>
      </w:r>
      <w:r w:rsidRPr="00351D88">
        <w:t>.</w:t>
      </w:r>
    </w:p>
    <w:p w14:paraId="2CA59C76" w14:textId="6BC0835F" w:rsidR="00283819" w:rsidRPr="00283819" w:rsidRDefault="00283819" w:rsidP="00B6547E">
      <w:r w:rsidRPr="00351D88">
        <w:rPr>
          <w:b/>
          <w:bCs/>
        </w:rPr>
        <w:t>Institutionalisation:</w:t>
      </w:r>
      <w:r>
        <w:t xml:space="preserve"> </w:t>
      </w:r>
      <w:r w:rsidRPr="00351D88">
        <w:t>the</w:t>
      </w:r>
      <w:r>
        <w:t xml:space="preserve"> </w:t>
      </w:r>
      <w:r w:rsidRPr="00351D88">
        <w:t>fact</w:t>
      </w:r>
      <w:r>
        <w:t xml:space="preserve"> </w:t>
      </w:r>
      <w:r w:rsidRPr="00351D88">
        <w:t>of</w:t>
      </w:r>
      <w:r>
        <w:t xml:space="preserve"> </w:t>
      </w:r>
      <w:r w:rsidRPr="00351D88">
        <w:t>being</w:t>
      </w:r>
      <w:r>
        <w:t xml:space="preserve"> </w:t>
      </w:r>
      <w:r w:rsidRPr="00351D88">
        <w:t>placed</w:t>
      </w:r>
      <w:r>
        <w:t xml:space="preserve">, </w:t>
      </w:r>
      <w:r w:rsidRPr="00351D88">
        <w:t>or</w:t>
      </w:r>
      <w:r>
        <w:t xml:space="preserve"> </w:t>
      </w:r>
      <w:r w:rsidRPr="00351D88">
        <w:t>placing</w:t>
      </w:r>
      <w:r>
        <w:t xml:space="preserve"> </w:t>
      </w:r>
      <w:r w:rsidRPr="00351D88">
        <w:t>someone</w:t>
      </w:r>
      <w:r>
        <w:t xml:space="preserve">, </w:t>
      </w:r>
      <w:r w:rsidRPr="00351D88">
        <w:t>in</w:t>
      </w:r>
      <w:r>
        <w:t xml:space="preserve"> </w:t>
      </w:r>
      <w:r w:rsidRPr="00351D88">
        <w:t>an</w:t>
      </w:r>
      <w:r>
        <w:t xml:space="preserve"> </w:t>
      </w:r>
      <w:r w:rsidRPr="00351D88">
        <w:t>institution.</w:t>
      </w:r>
      <w:r>
        <w:t xml:space="preserve"> </w:t>
      </w:r>
      <w:r w:rsidRPr="00351D88">
        <w:t>An</w:t>
      </w:r>
      <w:r>
        <w:t xml:space="preserve"> </w:t>
      </w:r>
      <w:r w:rsidRPr="00351D88">
        <w:t>institution</w:t>
      </w:r>
      <w:r>
        <w:t xml:space="preserve"> </w:t>
      </w:r>
      <w:r w:rsidRPr="00351D88">
        <w:t>is</w:t>
      </w:r>
      <w:r>
        <w:t xml:space="preserve"> </w:t>
      </w:r>
      <w:r w:rsidRPr="00351D88">
        <w:t>any</w:t>
      </w:r>
      <w:r>
        <w:t xml:space="preserve"> </w:t>
      </w:r>
      <w:r w:rsidRPr="00351D88">
        <w:t>residential</w:t>
      </w:r>
      <w:r>
        <w:t xml:space="preserve"> </w:t>
      </w:r>
      <w:r w:rsidRPr="00351D88">
        <w:t>care</w:t>
      </w:r>
      <w:r>
        <w:t xml:space="preserve"> </w:t>
      </w:r>
      <w:r w:rsidRPr="00351D88">
        <w:t>where</w:t>
      </w:r>
      <w:r>
        <w:t xml:space="preserve"> </w:t>
      </w:r>
      <w:r w:rsidRPr="00351D88">
        <w:t>residents</w:t>
      </w:r>
      <w:r>
        <w:t xml:space="preserve"> </w:t>
      </w:r>
      <w:r w:rsidRPr="00351D88">
        <w:t>are</w:t>
      </w:r>
      <w:r>
        <w:t xml:space="preserve"> </w:t>
      </w:r>
      <w:r w:rsidRPr="00351D88">
        <w:t>isolated</w:t>
      </w:r>
      <w:r>
        <w:t xml:space="preserve"> </w:t>
      </w:r>
      <w:r w:rsidRPr="00351D88">
        <w:t>from</w:t>
      </w:r>
      <w:r>
        <w:t xml:space="preserve"> </w:t>
      </w:r>
      <w:r w:rsidRPr="00351D88">
        <w:t>the</w:t>
      </w:r>
      <w:r>
        <w:t xml:space="preserve"> </w:t>
      </w:r>
      <w:r w:rsidRPr="00351D88">
        <w:t>broader</w:t>
      </w:r>
      <w:r>
        <w:t xml:space="preserve"> </w:t>
      </w:r>
      <w:r w:rsidRPr="00351D88">
        <w:t>community</w:t>
      </w:r>
      <w:r>
        <w:t xml:space="preserve"> </w:t>
      </w:r>
      <w:r w:rsidRPr="00351D88">
        <w:t>and/or</w:t>
      </w:r>
      <w:r>
        <w:t xml:space="preserve"> </w:t>
      </w:r>
      <w:r w:rsidRPr="00351D88">
        <w:t>compelled</w:t>
      </w:r>
      <w:r>
        <w:t xml:space="preserve"> </w:t>
      </w:r>
      <w:r w:rsidRPr="00351D88">
        <w:t>to</w:t>
      </w:r>
      <w:r>
        <w:t xml:space="preserve"> </w:t>
      </w:r>
      <w:r w:rsidRPr="00351D88">
        <w:t>live</w:t>
      </w:r>
      <w:r>
        <w:t xml:space="preserve"> </w:t>
      </w:r>
      <w:r w:rsidRPr="00351D88">
        <w:t>together;</w:t>
      </w:r>
      <w:r>
        <w:t xml:space="preserve"> </w:t>
      </w:r>
      <w:r w:rsidRPr="00351D88">
        <w:t>residents</w:t>
      </w:r>
      <w:r>
        <w:t xml:space="preserve"> </w:t>
      </w:r>
      <w:r w:rsidRPr="00351D88">
        <w:t>do</w:t>
      </w:r>
      <w:r>
        <w:t xml:space="preserve"> </w:t>
      </w:r>
      <w:r w:rsidRPr="00351D88">
        <w:t>not</w:t>
      </w:r>
      <w:r>
        <w:t xml:space="preserve"> </w:t>
      </w:r>
      <w:r w:rsidRPr="00351D88">
        <w:t>have</w:t>
      </w:r>
      <w:r>
        <w:t xml:space="preserve"> full </w:t>
      </w:r>
      <w:r w:rsidRPr="00351D88">
        <w:t>control</w:t>
      </w:r>
      <w:r>
        <w:t xml:space="preserve"> </w:t>
      </w:r>
      <w:r w:rsidRPr="00351D88">
        <w:t>over</w:t>
      </w:r>
      <w:r>
        <w:t xml:space="preserve"> </w:t>
      </w:r>
      <w:r w:rsidRPr="00351D88">
        <w:t>their</w:t>
      </w:r>
      <w:r>
        <w:t xml:space="preserve"> </w:t>
      </w:r>
      <w:r w:rsidRPr="00351D88">
        <w:t>lives</w:t>
      </w:r>
      <w:r>
        <w:t xml:space="preserve"> or </w:t>
      </w:r>
      <w:r w:rsidRPr="00351D88">
        <w:t>over</w:t>
      </w:r>
      <w:r>
        <w:t xml:space="preserve"> the </w:t>
      </w:r>
      <w:r w:rsidRPr="00351D88">
        <w:t>decisions</w:t>
      </w:r>
      <w:r>
        <w:t xml:space="preserve"> that </w:t>
      </w:r>
      <w:r w:rsidRPr="00351D88">
        <w:t>affect</w:t>
      </w:r>
      <w:r>
        <w:t xml:space="preserve"> </w:t>
      </w:r>
      <w:r w:rsidRPr="00351D88">
        <w:t>them;</w:t>
      </w:r>
      <w:r>
        <w:t xml:space="preserve"> </w:t>
      </w:r>
      <w:r w:rsidRPr="00351D88">
        <w:t>and</w:t>
      </w:r>
      <w:r>
        <w:t xml:space="preserve"> </w:t>
      </w:r>
      <w:r w:rsidRPr="00351D88">
        <w:t>requirements</w:t>
      </w:r>
      <w:r>
        <w:t xml:space="preserve"> </w:t>
      </w:r>
      <w:r w:rsidRPr="00351D88">
        <w:t>of</w:t>
      </w:r>
      <w:r>
        <w:t xml:space="preserve"> </w:t>
      </w:r>
      <w:r w:rsidRPr="00351D88">
        <w:t>the</w:t>
      </w:r>
      <w:r>
        <w:t xml:space="preserve"> </w:t>
      </w:r>
      <w:r w:rsidRPr="00351D88">
        <w:t>organisation</w:t>
      </w:r>
      <w:r>
        <w:t xml:space="preserve"> </w:t>
      </w:r>
      <w:r w:rsidRPr="00351D88">
        <w:t>itself</w:t>
      </w:r>
      <w:r>
        <w:t xml:space="preserve"> </w:t>
      </w:r>
      <w:r w:rsidRPr="00351D88">
        <w:t>tend</w:t>
      </w:r>
      <w:r>
        <w:t xml:space="preserve"> </w:t>
      </w:r>
      <w:r w:rsidRPr="00351D88">
        <w:t>to</w:t>
      </w:r>
      <w:r>
        <w:t xml:space="preserve"> </w:t>
      </w:r>
      <w:r w:rsidRPr="00351D88">
        <w:t>take</w:t>
      </w:r>
      <w:r>
        <w:t xml:space="preserve"> </w:t>
      </w:r>
      <w:r w:rsidRPr="00351D88">
        <w:t>precedence</w:t>
      </w:r>
      <w:r>
        <w:t xml:space="preserve"> </w:t>
      </w:r>
      <w:r w:rsidRPr="00351D88">
        <w:t>over</w:t>
      </w:r>
      <w:r>
        <w:t xml:space="preserve"> </w:t>
      </w:r>
      <w:r w:rsidRPr="00351D88">
        <w:t>the</w:t>
      </w:r>
      <w:r>
        <w:t xml:space="preserve"> </w:t>
      </w:r>
      <w:r w:rsidRPr="00351D88">
        <w:t>residents’</w:t>
      </w:r>
      <w:r>
        <w:t xml:space="preserve"> </w:t>
      </w:r>
      <w:r w:rsidRPr="00351D88">
        <w:t>individual</w:t>
      </w:r>
      <w:r>
        <w:t xml:space="preserve"> </w:t>
      </w:r>
      <w:r w:rsidRPr="00351D88">
        <w:t>needs.</w:t>
      </w:r>
    </w:p>
    <w:p w14:paraId="1242A8FF" w14:textId="75CA508E" w:rsidR="00B42450" w:rsidRDefault="00B42450" w:rsidP="00867C0D">
      <w:pPr>
        <w:rPr>
          <w:lang w:val="en-GB"/>
        </w:rPr>
      </w:pPr>
      <w:r w:rsidRPr="00B42450">
        <w:rPr>
          <w:b/>
          <w:bCs/>
          <w:lang w:val="en-GB"/>
        </w:rPr>
        <w:t>Legal capacity</w:t>
      </w:r>
      <w:r>
        <w:rPr>
          <w:lang w:val="en-GB"/>
        </w:rPr>
        <w:t xml:space="preserve">: </w:t>
      </w:r>
      <w:r w:rsidRPr="00B42450">
        <w:t>Legal capacity is the ability to hold rights and duties (legal standing) and to exercise those rights and duties (legal agency). It is the key to accessing meaningful participation in society.</w:t>
      </w:r>
    </w:p>
    <w:p w14:paraId="1386F9A5" w14:textId="283C872B" w:rsidR="00B42450" w:rsidRDefault="00B42450" w:rsidP="00867C0D">
      <w:r w:rsidRPr="00B42450">
        <w:rPr>
          <w:b/>
          <w:bCs/>
          <w:lang w:val="en-GB"/>
        </w:rPr>
        <w:t>Mental capacity</w:t>
      </w:r>
      <w:r>
        <w:rPr>
          <w:lang w:val="en-GB"/>
        </w:rPr>
        <w:t xml:space="preserve">: </w:t>
      </w:r>
      <w:r w:rsidRPr="00B42450">
        <w:t xml:space="preserve">Mental capacity refers to the decision-making skills of a person, which naturally vary from one person to another and may be </w:t>
      </w:r>
      <w:r w:rsidRPr="00B42450">
        <w:lastRenderedPageBreak/>
        <w:t>different for a given person depending on many factors, including environmental and social factors.</w:t>
      </w:r>
    </w:p>
    <w:p w14:paraId="351A527D" w14:textId="17D02ED7" w:rsidR="002A0B43" w:rsidRDefault="002A0B43" w:rsidP="00867C0D">
      <w:r w:rsidRPr="002A0B43">
        <w:rPr>
          <w:b/>
          <w:bCs/>
        </w:rPr>
        <w:t>Powers of representation</w:t>
      </w:r>
      <w:r w:rsidRPr="002A0B43">
        <w:t>: Power of representations are arrangements where adults organise protection in advance for a time when they might be unable to look after their own interests, such as appointing a representative. Powers of representation are also known as private mandates, and different names are used in the EU, such as ‘lasting (or enduring) powers of attorney’, ‘</w:t>
      </w:r>
      <w:r w:rsidRPr="002A0B43">
        <w:rPr>
          <w:i/>
          <w:iCs/>
        </w:rPr>
        <w:t>mandats de protection future’, ‘Vorsorgevollmachten’.</w:t>
      </w:r>
    </w:p>
    <w:p w14:paraId="16326022" w14:textId="6940CAB1" w:rsidR="00974C3E" w:rsidRDefault="00974C3E" w:rsidP="00867C0D">
      <w:r w:rsidRPr="00974C3E">
        <w:rPr>
          <w:b/>
          <w:bCs/>
        </w:rPr>
        <w:t>Substitute decision-making</w:t>
      </w:r>
      <w:r w:rsidR="007E3267">
        <w:rPr>
          <w:b/>
          <w:bCs/>
        </w:rPr>
        <w:t xml:space="preserve">: </w:t>
      </w:r>
      <w:r w:rsidR="007E3267" w:rsidRPr="00085566">
        <w:t>Substitute decision-making</w:t>
      </w:r>
      <w:r w:rsidRPr="00974C3E">
        <w:t xml:space="preserve"> regimes can take many different forms, including plenary guardianship, judicial interdiction and partial guardianship. However, these regimes have certain common characteristics: they can be defined as systems where (i) legal capacity is removed from a person, even if this is in respect of a single decision; (ii) a substitute decision-maker can be appointed by someone other than the person concerned, and this can be done against his or her will; and (iii) any decision made by a substitute decision-maker is based on what is believed to be in the objective “best interests” of the person concerned, as opposed to being based on the person’s own will and preferences</w:t>
      </w:r>
      <w:r>
        <w:t xml:space="preserve">. </w:t>
      </w:r>
    </w:p>
    <w:p w14:paraId="48AC0AC5" w14:textId="578B9CA9" w:rsidR="000B0C0E" w:rsidRPr="000B0C0E" w:rsidRDefault="006B0D44" w:rsidP="000B0C0E">
      <w:pPr>
        <w:pStyle w:val="Heading2"/>
        <w:rPr>
          <w:lang w:val="en-GB"/>
        </w:rPr>
      </w:pPr>
      <w:bookmarkStart w:id="19" w:name="_Toc99486455"/>
      <w:r>
        <w:rPr>
          <w:lang w:val="en-GB"/>
        </w:rPr>
        <w:t>Resources</w:t>
      </w:r>
      <w:bookmarkEnd w:id="19"/>
      <w:r w:rsidR="00260787">
        <w:rPr>
          <w:lang w:val="en-GB"/>
        </w:rPr>
        <w:t xml:space="preserve"> </w:t>
      </w:r>
    </w:p>
    <w:p w14:paraId="70A5D51D" w14:textId="3F858386" w:rsidR="000B0C0E" w:rsidRDefault="0085796A" w:rsidP="00260787">
      <w:pPr>
        <w:pStyle w:val="ListParagraph"/>
        <w:numPr>
          <w:ilvl w:val="0"/>
          <w:numId w:val="23"/>
        </w:numPr>
        <w:ind w:left="714" w:hanging="357"/>
        <w:contextualSpacing w:val="0"/>
        <w:rPr>
          <w:lang w:val="en-GB"/>
        </w:rPr>
      </w:pPr>
      <w:hyperlink r:id="rId19" w:history="1">
        <w:r w:rsidR="000B0C0E" w:rsidRPr="000B0C0E">
          <w:rPr>
            <w:rStyle w:val="Hyperlink"/>
            <w:lang w:val="en-GB"/>
          </w:rPr>
          <w:t>Convention on the Rights of Persons with Disabilities</w:t>
        </w:r>
      </w:hyperlink>
      <w:r w:rsidR="000B0C0E">
        <w:rPr>
          <w:lang w:val="en-GB"/>
        </w:rPr>
        <w:t xml:space="preserve"> </w:t>
      </w:r>
    </w:p>
    <w:bookmarkStart w:id="20" w:name="_Hlk98944606"/>
    <w:p w14:paraId="609C8BB4" w14:textId="5E86ED04" w:rsidR="00260787" w:rsidRDefault="00260787" w:rsidP="00260787">
      <w:pPr>
        <w:pStyle w:val="ListParagraph"/>
        <w:numPr>
          <w:ilvl w:val="0"/>
          <w:numId w:val="23"/>
        </w:numPr>
        <w:ind w:left="714" w:hanging="357"/>
        <w:contextualSpacing w:val="0"/>
        <w:rPr>
          <w:lang w:val="en-GB"/>
        </w:rPr>
      </w:pPr>
      <w:r>
        <w:rPr>
          <w:lang w:val="en-GB"/>
        </w:rPr>
        <w:fldChar w:fldCharType="begin"/>
      </w:r>
      <w:r>
        <w:rPr>
          <w:lang w:val="en-GB"/>
        </w:rPr>
        <w:instrText xml:space="preserve"> HYPERLINK "https://data.consilium.europa.eu/doc/document/ST-8636-2021-INIT/en/pdf" </w:instrText>
      </w:r>
      <w:r>
        <w:rPr>
          <w:lang w:val="en-GB"/>
        </w:rPr>
        <w:fldChar w:fldCharType="separate"/>
      </w:r>
      <w:r w:rsidRPr="00260787">
        <w:rPr>
          <w:rStyle w:val="Hyperlink"/>
          <w:lang w:val="en-GB"/>
        </w:rPr>
        <w:t>Council conclusions on the protection of vulnerable adults across the EU</w:t>
      </w:r>
      <w:r>
        <w:rPr>
          <w:lang w:val="en-GB"/>
        </w:rPr>
        <w:fldChar w:fldCharType="end"/>
      </w:r>
    </w:p>
    <w:bookmarkEnd w:id="20"/>
    <w:p w14:paraId="793FAD42" w14:textId="0CC7DC9F" w:rsidR="00C450E0" w:rsidRPr="00260787" w:rsidRDefault="00C450E0" w:rsidP="00260787">
      <w:pPr>
        <w:pStyle w:val="ListParagraph"/>
        <w:numPr>
          <w:ilvl w:val="0"/>
          <w:numId w:val="23"/>
        </w:numPr>
        <w:ind w:left="714" w:hanging="357"/>
        <w:contextualSpacing w:val="0"/>
        <w:rPr>
          <w:lang w:val="en-GB"/>
        </w:rPr>
      </w:pPr>
      <w:r>
        <w:fldChar w:fldCharType="begin"/>
      </w:r>
      <w:r>
        <w:instrText xml:space="preserve"> HYPERLINK "https://documents-dds-ny.un.org/doc/UNDOC/GEN/G14/031/20/PDF/G1403120.pdf?OpenElement" </w:instrText>
      </w:r>
      <w:r>
        <w:fldChar w:fldCharType="separate"/>
      </w:r>
      <w:r w:rsidRPr="00C450E0">
        <w:rPr>
          <w:rStyle w:val="Hyperlink"/>
        </w:rPr>
        <w:t>General comment No. 1 (2014) on Article 12: Equal recognition before the law</w:t>
      </w:r>
      <w:r>
        <w:fldChar w:fldCharType="end"/>
      </w:r>
    </w:p>
    <w:p w14:paraId="5D2D3255" w14:textId="5BBC528F" w:rsidR="00260787" w:rsidRDefault="00260787" w:rsidP="00260787">
      <w:pPr>
        <w:pStyle w:val="ListParagraph"/>
        <w:numPr>
          <w:ilvl w:val="0"/>
          <w:numId w:val="23"/>
        </w:numPr>
        <w:contextualSpacing w:val="0"/>
        <w:rPr>
          <w:lang w:val="en-GB"/>
        </w:rPr>
      </w:pPr>
      <w:r w:rsidRPr="00260787">
        <w:rPr>
          <w:lang w:val="en-GB"/>
        </w:rPr>
        <w:t xml:space="preserve">Joint statement by the Special Rapporteur on the rights of persons with disabilities, Gerard Quinn, and the Independent Expert on the enjoyment of all human rights by older persons, Claudia Mahler: </w:t>
      </w:r>
      <w:hyperlink r:id="rId20" w:history="1">
        <w:r w:rsidRPr="00260787">
          <w:rPr>
            <w:rStyle w:val="Hyperlink"/>
            <w:lang w:val="en-GB"/>
          </w:rPr>
          <w:t>Reflections on the Hague Convention (2000) on the International Protection of Adults</w:t>
        </w:r>
      </w:hyperlink>
    </w:p>
    <w:p w14:paraId="05A08F12" w14:textId="361D801C" w:rsidR="00260787" w:rsidRPr="00260787" w:rsidRDefault="00260787" w:rsidP="00260787">
      <w:pPr>
        <w:pStyle w:val="ListParagraph"/>
        <w:numPr>
          <w:ilvl w:val="0"/>
          <w:numId w:val="23"/>
        </w:numPr>
        <w:contextualSpacing w:val="0"/>
        <w:rPr>
          <w:lang w:val="en-GB"/>
        </w:rPr>
      </w:pPr>
      <w:r>
        <w:rPr>
          <w:lang w:val="en-GB"/>
        </w:rPr>
        <w:t xml:space="preserve">Study </w:t>
      </w:r>
      <w:hyperlink r:id="rId21" w:history="1">
        <w:r w:rsidRPr="00260787">
          <w:rPr>
            <w:rStyle w:val="Hyperlink"/>
            <w:lang w:val="en-IE"/>
          </w:rPr>
          <w:t>‘Interpreting the 2000 Hague Convention on the International Protection of Adults Consistently with the UN Convention on the Rights of Persons with Disabilities’</w:t>
        </w:r>
      </w:hyperlink>
    </w:p>
    <w:p w14:paraId="17FF719A" w14:textId="77777777" w:rsidR="00260787" w:rsidRPr="00260787" w:rsidRDefault="00260787" w:rsidP="00260787">
      <w:pPr>
        <w:rPr>
          <w:lang w:val="en-GB"/>
        </w:rPr>
      </w:pPr>
    </w:p>
    <w:p w14:paraId="63B7F075" w14:textId="61C3BB80" w:rsidR="00A9576D" w:rsidRPr="00BF13A4" w:rsidRDefault="00A9576D" w:rsidP="00A9576D">
      <w:pPr>
        <w:pStyle w:val="Heading1"/>
        <w:pageBreakBefore/>
        <w:rPr>
          <w:lang w:val="en-GB"/>
        </w:rPr>
      </w:pPr>
      <w:bookmarkStart w:id="21" w:name="_Toc99486456"/>
      <w:bookmarkEnd w:id="16"/>
      <w:r w:rsidRPr="00BF13A4">
        <w:rPr>
          <w:lang w:val="en-GB"/>
        </w:rPr>
        <w:lastRenderedPageBreak/>
        <w:t>Document credits</w:t>
      </w:r>
      <w:bookmarkEnd w:id="21"/>
    </w:p>
    <w:p w14:paraId="0A47D6F1" w14:textId="77777777" w:rsidR="006B41F6" w:rsidRDefault="00A9576D" w:rsidP="006D0B23">
      <w:pPr>
        <w:widowControl w:val="0"/>
        <w:spacing w:before="480"/>
      </w:pPr>
      <w:r>
        <w:t>This document was prepared by</w:t>
      </w:r>
      <w:r w:rsidR="00BA2513">
        <w:t xml:space="preserve"> Marine Uldry, EDF Human Rights Officer.</w:t>
      </w:r>
    </w:p>
    <w:p w14:paraId="2B95C88F" w14:textId="18D861AB" w:rsidR="00A9576D" w:rsidRDefault="006B41F6" w:rsidP="006D0B23">
      <w:pPr>
        <w:widowControl w:val="0"/>
        <w:spacing w:before="480"/>
      </w:pPr>
      <w:r>
        <w:t xml:space="preserve">Contact: </w:t>
      </w:r>
      <w:hyperlink r:id="rId22" w:history="1">
        <w:r w:rsidRPr="001900F4">
          <w:rPr>
            <w:rStyle w:val="Hyperlink"/>
          </w:rPr>
          <w:t>marine.uldry@edf-feph.org</w:t>
        </w:r>
      </w:hyperlink>
      <w:r>
        <w:t xml:space="preserve"> </w:t>
      </w:r>
      <w:r w:rsidR="00BA2513">
        <w:t xml:space="preserve"> </w:t>
      </w:r>
    </w:p>
    <w:p w14:paraId="177D1331" w14:textId="30D02CFC" w:rsidR="009277BC" w:rsidRDefault="009277BC" w:rsidP="009277BC">
      <w:pPr>
        <w:widowControl w:val="0"/>
        <w:spacing w:before="480"/>
      </w:pPr>
      <w:r>
        <w:rPr>
          <w:noProof/>
          <w:lang w:val="nl-NL" w:eastAsia="nl-NL"/>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85796A" w:rsidP="006D0B23">
      <w:pPr>
        <w:widowControl w:val="0"/>
        <w:spacing w:before="480"/>
      </w:pPr>
      <w:hyperlink r:id="rId23" w:history="1">
        <w:r w:rsidR="00A9576D" w:rsidRPr="009277BC">
          <w:rPr>
            <w:rStyle w:val="Hyperlink"/>
          </w:rPr>
          <w:t>www.edf-feph.org</w:t>
        </w:r>
      </w:hyperlink>
    </w:p>
    <w:p w14:paraId="7B572B14" w14:textId="5A1C910E" w:rsidR="009277BC" w:rsidRPr="009277BC" w:rsidRDefault="0085796A" w:rsidP="006D0B23">
      <w:pPr>
        <w:widowControl w:val="0"/>
        <w:spacing w:before="480"/>
      </w:pPr>
      <w:hyperlink r:id="rId24" w:history="1">
        <w:r w:rsidR="009277BC" w:rsidRPr="008C480E">
          <w:rPr>
            <w:rStyle w:val="Hyperlink"/>
          </w:rPr>
          <w:t>info@edf-feph.org</w:t>
        </w:r>
      </w:hyperlink>
    </w:p>
    <w:p w14:paraId="23807C83" w14:textId="357BF028"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6EB90D50" w14:textId="77777777" w:rsidR="00E51C70" w:rsidRDefault="00E51C70" w:rsidP="009277BC">
      <w:pPr>
        <w:widowControl w:val="0"/>
        <w:spacing w:before="1680" w:after="120"/>
      </w:pPr>
    </w:p>
    <w:p w14:paraId="45BA7225" w14:textId="1CB9D07B" w:rsidR="009277BC" w:rsidRDefault="009277BC" w:rsidP="009277BC">
      <w:pPr>
        <w:widowControl w:val="0"/>
        <w:spacing w:before="120"/>
        <w:jc w:val="center"/>
      </w:pPr>
      <w:r>
        <w:rPr>
          <w:noProof/>
          <w:lang w:val="nl-NL" w:eastAsia="nl-NL"/>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150A" w14:textId="77777777" w:rsidR="0085796A" w:rsidRDefault="0085796A" w:rsidP="00E47FF5">
      <w:pPr>
        <w:spacing w:after="0" w:line="240" w:lineRule="auto"/>
      </w:pPr>
      <w:r>
        <w:separator/>
      </w:r>
    </w:p>
  </w:endnote>
  <w:endnote w:type="continuationSeparator" w:id="0">
    <w:p w14:paraId="484178F4" w14:textId="77777777" w:rsidR="0085796A" w:rsidRDefault="0085796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BC86" w14:textId="77777777" w:rsidR="00B04D00" w:rsidRDefault="00B0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19F7DCAE" w:rsidR="00B04D00" w:rsidRDefault="00B04D00">
        <w:pPr>
          <w:pStyle w:val="Footer"/>
          <w:jc w:val="right"/>
        </w:pPr>
        <w:r>
          <w:t xml:space="preserve">Page | </w:t>
        </w:r>
        <w:r>
          <w:fldChar w:fldCharType="begin"/>
        </w:r>
        <w:r>
          <w:instrText xml:space="preserve"> PAGE   \* MERGEFORMAT </w:instrText>
        </w:r>
        <w:r>
          <w:fldChar w:fldCharType="separate"/>
        </w:r>
        <w:r w:rsidR="001C06CF">
          <w:rPr>
            <w:noProof/>
          </w:rPr>
          <w:t>12</w:t>
        </w:r>
        <w:r>
          <w:rPr>
            <w:noProof/>
          </w:rPr>
          <w:fldChar w:fldCharType="end"/>
        </w:r>
        <w:r>
          <w:t xml:space="preserve"> </w:t>
        </w:r>
      </w:p>
    </w:sdtContent>
  </w:sdt>
  <w:p w14:paraId="6CAF3317" w14:textId="77777777" w:rsidR="00B04D00" w:rsidRDefault="00B04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76D" w14:textId="77777777" w:rsidR="00B04D00" w:rsidRDefault="00B0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D308" w14:textId="77777777" w:rsidR="0085796A" w:rsidRDefault="0085796A" w:rsidP="00E47FF5">
      <w:pPr>
        <w:spacing w:after="0" w:line="240" w:lineRule="auto"/>
      </w:pPr>
      <w:r>
        <w:separator/>
      </w:r>
    </w:p>
  </w:footnote>
  <w:footnote w:type="continuationSeparator" w:id="0">
    <w:p w14:paraId="5DDBE1B3" w14:textId="77777777" w:rsidR="0085796A" w:rsidRDefault="0085796A" w:rsidP="00E47FF5">
      <w:pPr>
        <w:spacing w:after="0" w:line="240" w:lineRule="auto"/>
      </w:pPr>
      <w:r>
        <w:continuationSeparator/>
      </w:r>
    </w:p>
  </w:footnote>
  <w:footnote w:id="1">
    <w:p w14:paraId="47923CE2" w14:textId="589CC29D" w:rsidR="00B04D00" w:rsidRPr="00ED48E0" w:rsidRDefault="00B04D00">
      <w:pPr>
        <w:pStyle w:val="FootnoteText"/>
        <w:rPr>
          <w:lang w:val="en-GB"/>
        </w:rPr>
      </w:pPr>
      <w:r>
        <w:rPr>
          <w:rStyle w:val="FootnoteReference"/>
        </w:rPr>
        <w:footnoteRef/>
      </w:r>
      <w:r w:rsidRPr="00ED48E0">
        <w:rPr>
          <w:lang w:val="en-GB"/>
        </w:rPr>
        <w:t xml:space="preserve"> </w:t>
      </w:r>
      <w:r>
        <w:rPr>
          <w:lang w:val="en-GB"/>
        </w:rPr>
        <w:t>According to the European Commission, “</w:t>
      </w:r>
      <w:r w:rsidRPr="00ED48E0">
        <w:rPr>
          <w:lang w:val="en-GB"/>
        </w:rPr>
        <w:t>Because of the disparity in rules, vulnerable adults may experience serious delays and legal or practical barriers to having a protection measure recognised when they cross borders within the EU. In addition, due to the lack of common rules for cooperation and language barriers, competent authorities and courts may experience problems in cooperating with the authorities of another State when a vulnerable adult has moved or when information from another State is sought.</w:t>
      </w:r>
      <w:r>
        <w:rPr>
          <w:lang w:val="en-GB"/>
        </w:rPr>
        <w:t>”</w:t>
      </w:r>
    </w:p>
  </w:footnote>
  <w:footnote w:id="2">
    <w:p w14:paraId="3DEAC611" w14:textId="127369DA" w:rsidR="00B04D00" w:rsidRPr="00BA58B3" w:rsidRDefault="00B04D00">
      <w:pPr>
        <w:pStyle w:val="FootnoteText"/>
        <w:rPr>
          <w:lang w:val="en-GB"/>
        </w:rPr>
      </w:pPr>
      <w:r>
        <w:rPr>
          <w:rStyle w:val="FootnoteReference"/>
        </w:rPr>
        <w:footnoteRef/>
      </w:r>
      <w:r w:rsidRPr="00BA58B3">
        <w:rPr>
          <w:lang w:val="en-GB"/>
        </w:rPr>
        <w:t xml:space="preserve"> The CRPD makes a difference b</w:t>
      </w:r>
      <w:r>
        <w:rPr>
          <w:lang w:val="en-GB"/>
        </w:rPr>
        <w:t xml:space="preserve">etween mental capacities and legal capacities. See glossary in annex. </w:t>
      </w:r>
    </w:p>
  </w:footnote>
  <w:footnote w:id="3">
    <w:p w14:paraId="1196C97C" w14:textId="48777B6B" w:rsidR="00DE75FF" w:rsidRPr="00034C68" w:rsidRDefault="00DE75FF">
      <w:pPr>
        <w:pStyle w:val="FootnoteText"/>
        <w:rPr>
          <w:lang w:val="en-GB"/>
        </w:rPr>
      </w:pPr>
      <w:r>
        <w:rPr>
          <w:rStyle w:val="FootnoteReference"/>
        </w:rPr>
        <w:footnoteRef/>
      </w:r>
      <w:r w:rsidRPr="00034C68">
        <w:rPr>
          <w:lang w:val="en-GB"/>
        </w:rPr>
        <w:t xml:space="preserve"> </w:t>
      </w:r>
      <w:r w:rsidRPr="00DE75FF">
        <w:rPr>
          <w:lang w:val="en-GB"/>
        </w:rPr>
        <w:t>The Hague Convention is not an UN-based Convention. The Hague Convention is made by a group of States (</w:t>
      </w:r>
      <w:hyperlink r:id="rId1" w:history="1">
        <w:r w:rsidRPr="00DE75FF">
          <w:rPr>
            <w:rStyle w:val="Hyperlink"/>
            <w:lang w:val="en-GB"/>
          </w:rPr>
          <w:t>the Hague Conference on Private International Law - HCCH</w:t>
        </w:r>
      </w:hyperlink>
      <w:r w:rsidRPr="00DE75FF">
        <w:rPr>
          <w:lang w:val="en-GB"/>
        </w:rPr>
        <w:t>), who positioned themselves on the domain of justice, health and international cooperation, all of which are state obligations.</w:t>
      </w:r>
    </w:p>
  </w:footnote>
  <w:footnote w:id="4">
    <w:p w14:paraId="796E7B1C" w14:textId="2D489172" w:rsidR="00B04D00" w:rsidRPr="00185998" w:rsidRDefault="00B04D00">
      <w:pPr>
        <w:pStyle w:val="FootnoteText"/>
        <w:rPr>
          <w:lang w:val="en-GB"/>
        </w:rPr>
      </w:pPr>
      <w:r>
        <w:rPr>
          <w:rStyle w:val="FootnoteReference"/>
        </w:rPr>
        <w:footnoteRef/>
      </w:r>
      <w:r w:rsidRPr="00185998">
        <w:rPr>
          <w:lang w:val="en-GB"/>
        </w:rPr>
        <w:t xml:space="preserve"> Austria, Belgium, Cyprus, Czech Republic,</w:t>
      </w:r>
      <w:r>
        <w:rPr>
          <w:lang w:val="en-GB"/>
        </w:rPr>
        <w:t xml:space="preserve"> Estonia, Finland, France, Germany, Latvia and Portugal </w:t>
      </w:r>
    </w:p>
  </w:footnote>
  <w:footnote w:id="5">
    <w:p w14:paraId="7625B10F" w14:textId="4F18BCA5" w:rsidR="00B04D00" w:rsidRPr="00240305" w:rsidRDefault="00B04D00">
      <w:pPr>
        <w:pStyle w:val="FootnoteText"/>
        <w:rPr>
          <w:lang w:val="en-GB"/>
        </w:rPr>
      </w:pPr>
      <w:r>
        <w:rPr>
          <w:rStyle w:val="FootnoteReference"/>
        </w:rPr>
        <w:footnoteRef/>
      </w:r>
      <w:r w:rsidRPr="00247570">
        <w:rPr>
          <w:lang w:val="en-GB"/>
        </w:rPr>
        <w:t xml:space="preserve"> </w:t>
      </w:r>
      <w:r>
        <w:rPr>
          <w:lang w:val="en-US"/>
        </w:rPr>
        <w:t>A</w:t>
      </w:r>
      <w:r w:rsidRPr="00247570">
        <w:rPr>
          <w:lang w:val="en-US"/>
        </w:rPr>
        <w:t>rticle 4(1)(f) of the Convention, detailed in para. 40 of the explanatory report</w:t>
      </w:r>
    </w:p>
  </w:footnote>
  <w:footnote w:id="6">
    <w:p w14:paraId="2DA5A654" w14:textId="41337497" w:rsidR="00B04D00" w:rsidRPr="00490016" w:rsidRDefault="00B04D00">
      <w:pPr>
        <w:pStyle w:val="FootnoteText"/>
        <w:rPr>
          <w:lang w:val="en-GB"/>
        </w:rPr>
      </w:pPr>
      <w:r>
        <w:rPr>
          <w:rStyle w:val="FootnoteReference"/>
        </w:rPr>
        <w:footnoteRef/>
      </w:r>
      <w:r w:rsidRPr="00247570">
        <w:rPr>
          <w:lang w:val="en-GB"/>
        </w:rPr>
        <w:t xml:space="preserve"> </w:t>
      </w:r>
      <w:r>
        <w:rPr>
          <w:lang w:val="en-GB"/>
        </w:rPr>
        <w:t>A</w:t>
      </w:r>
      <w:r w:rsidRPr="00247570">
        <w:rPr>
          <w:lang w:val="en-GB"/>
        </w:rPr>
        <w:t xml:space="preserve">rticle 4(1)(i) of the Convention, detailed in para. </w:t>
      </w:r>
      <w:r w:rsidRPr="00240305">
        <w:rPr>
          <w:lang w:val="en-GB"/>
        </w:rPr>
        <w:t xml:space="preserve">45 of the explanatory report; and Article 11(1) of the Convention, detailed in para. </w:t>
      </w:r>
      <w:r w:rsidRPr="00490016">
        <w:rPr>
          <w:lang w:val="en-GB"/>
        </w:rPr>
        <w:t xml:space="preserve">84 of the explanatory report. </w:t>
      </w:r>
    </w:p>
  </w:footnote>
  <w:footnote w:id="7">
    <w:p w14:paraId="33D37EB5" w14:textId="77777777" w:rsidR="00B04D00" w:rsidRPr="00BF7A0E" w:rsidRDefault="00B04D00" w:rsidP="00E538E6">
      <w:pPr>
        <w:pStyle w:val="FootnoteText"/>
        <w:rPr>
          <w:rFonts w:cstheme="minorHAnsi"/>
          <w:lang w:val="en-GB"/>
        </w:rPr>
      </w:pPr>
      <w:r w:rsidRPr="00BF7A0E">
        <w:rPr>
          <w:rStyle w:val="FootnoteReference"/>
          <w:rFonts w:cstheme="minorHAnsi"/>
        </w:rPr>
        <w:footnoteRef/>
      </w:r>
      <w:r w:rsidRPr="00BF7A0E">
        <w:rPr>
          <w:rFonts w:cstheme="minorHAnsi"/>
          <w:lang w:val="en-GB"/>
        </w:rPr>
        <w:t xml:space="preserve"> Bulgaria, Cyprus, Denmark, Finland, France, Hungary, Luxembourg, Malta, Netherlands, Poland, Romania and Slovenia. </w:t>
      </w:r>
    </w:p>
  </w:footnote>
  <w:footnote w:id="8">
    <w:p w14:paraId="53B0C630" w14:textId="77777777" w:rsidR="00B04D00" w:rsidRPr="00BF7A0E" w:rsidRDefault="00B04D00" w:rsidP="00E538E6">
      <w:pPr>
        <w:pStyle w:val="FootnoteText"/>
        <w:rPr>
          <w:rFonts w:cstheme="minorHAnsi"/>
          <w:lang w:val="en-GB"/>
        </w:rPr>
      </w:pPr>
      <w:r w:rsidRPr="00BF7A0E">
        <w:rPr>
          <w:rStyle w:val="FootnoteReference"/>
          <w:rFonts w:cstheme="minorHAnsi"/>
        </w:rPr>
        <w:footnoteRef/>
      </w:r>
      <w:r w:rsidRPr="00BF7A0E">
        <w:rPr>
          <w:rFonts w:cstheme="minorHAnsi"/>
          <w:lang w:val="en-GB"/>
        </w:rPr>
        <w:t xml:space="preserve"> Bulgaria, Cyprus, Estonia, Greece, Luxembourg, Netherlands, Slovakia, Slovenia.</w:t>
      </w:r>
    </w:p>
  </w:footnote>
  <w:footnote w:id="9">
    <w:p w14:paraId="3FAFF083" w14:textId="77777777" w:rsidR="00B04D00" w:rsidRPr="00BF7A0E" w:rsidRDefault="00B04D00" w:rsidP="00E538E6">
      <w:pPr>
        <w:pStyle w:val="FootnoteText"/>
        <w:rPr>
          <w:rFonts w:cstheme="minorHAnsi"/>
          <w:lang w:val="en-US"/>
        </w:rPr>
      </w:pPr>
      <w:r w:rsidRPr="001C7853">
        <w:rPr>
          <w:rStyle w:val="FootnoteReference"/>
          <w:rFonts w:cstheme="minorHAnsi"/>
        </w:rPr>
        <w:footnoteRef/>
      </w:r>
      <w:r w:rsidRPr="001C7853">
        <w:rPr>
          <w:rFonts w:cstheme="minorHAnsi"/>
          <w:lang w:val="en-US"/>
        </w:rPr>
        <w:t xml:space="preserve"> 10 Member States: Bulgaria, Croatia, Denmark, Finland, Hungary, Italy, Lithuania, Luxembourg, Poland and Slovenia</w:t>
      </w:r>
    </w:p>
  </w:footnote>
  <w:footnote w:id="10">
    <w:p w14:paraId="1FDD11D8" w14:textId="77777777" w:rsidR="00B04D00" w:rsidRPr="00BF7A0E" w:rsidRDefault="00B04D00" w:rsidP="007B649E">
      <w:pPr>
        <w:pStyle w:val="FootnoteText"/>
        <w:rPr>
          <w:rFonts w:cstheme="minorHAnsi"/>
          <w:lang w:val="en-US"/>
        </w:rPr>
      </w:pPr>
      <w:r w:rsidRPr="001C7853">
        <w:rPr>
          <w:rStyle w:val="FootnoteReference"/>
          <w:rFonts w:cstheme="minorHAnsi"/>
        </w:rPr>
        <w:footnoteRef/>
      </w:r>
      <w:r w:rsidRPr="001C7853">
        <w:rPr>
          <w:rFonts w:cstheme="minorHAnsi"/>
          <w:lang w:val="en-US"/>
        </w:rPr>
        <w:t xml:space="preserve"> </w:t>
      </w:r>
      <w:r w:rsidRPr="00BF7A0E">
        <w:rPr>
          <w:rFonts w:cstheme="minorHAnsi"/>
          <w:lang w:val="en-US"/>
        </w:rPr>
        <w:t>Austria, Belgium, Czech Republic, France, Germany, Hungary, Ireland, Italy, Latvia, Lithuania, Portugal, Spain and Sweden.</w:t>
      </w:r>
    </w:p>
  </w:footnote>
  <w:footnote w:id="11">
    <w:p w14:paraId="7F024E14" w14:textId="77777777" w:rsidR="00B04D00" w:rsidRPr="00380E67" w:rsidRDefault="00B04D00" w:rsidP="007B649E">
      <w:pPr>
        <w:pStyle w:val="FootnoteText"/>
        <w:rPr>
          <w:lang w:val="en-US"/>
        </w:rPr>
      </w:pPr>
      <w:r w:rsidRPr="001C7853">
        <w:rPr>
          <w:rStyle w:val="FootnoteReference"/>
          <w:rFonts w:cstheme="minorHAnsi"/>
        </w:rPr>
        <w:footnoteRef/>
      </w:r>
      <w:r w:rsidRPr="001C7853">
        <w:rPr>
          <w:rFonts w:cstheme="minorHAnsi"/>
          <w:lang w:val="en-US"/>
        </w:rPr>
        <w:t xml:space="preserve"> </w:t>
      </w:r>
      <w:r w:rsidRPr="00BF7A0E">
        <w:rPr>
          <w:rFonts w:cstheme="minorHAnsi"/>
          <w:lang w:val="en-US"/>
        </w:rPr>
        <w:t>Czech Republic, Croatia</w:t>
      </w:r>
      <w:r>
        <w:rPr>
          <w:lang w:val="en-US"/>
        </w:rPr>
        <w:t xml:space="preserve"> (but maintained partial guardianship), Germany, Latvia, Spain and Sweden.</w:t>
      </w:r>
    </w:p>
  </w:footnote>
  <w:footnote w:id="12">
    <w:p w14:paraId="7EA221D9" w14:textId="77777777" w:rsidR="00B04D00" w:rsidRPr="004325C2" w:rsidRDefault="00B04D00" w:rsidP="008D7100">
      <w:pPr>
        <w:pStyle w:val="FootnoteText"/>
        <w:rPr>
          <w:rFonts w:ascii="Arial" w:hAnsi="Arial" w:cs="Arial"/>
          <w:color w:val="0563C1" w:themeColor="hyperlink"/>
          <w:u w:val="single"/>
          <w:lang w:val="en-GB"/>
        </w:rPr>
      </w:pPr>
      <w:r w:rsidRPr="004325C2">
        <w:rPr>
          <w:rStyle w:val="FootnoteReference"/>
          <w:rFonts w:ascii="Arial" w:hAnsi="Arial" w:cs="Arial"/>
        </w:rPr>
        <w:footnoteRef/>
      </w:r>
      <w:r w:rsidRPr="004325C2">
        <w:rPr>
          <w:rFonts w:ascii="Arial" w:hAnsi="Arial" w:cs="Arial"/>
          <w:lang w:val="en-US"/>
        </w:rPr>
        <w:t xml:space="preserve"> </w:t>
      </w:r>
      <w:r w:rsidRPr="004325C2">
        <w:rPr>
          <w:rFonts w:ascii="Arial" w:hAnsi="Arial" w:cs="Arial"/>
          <w:lang w:val="en-GB"/>
        </w:rPr>
        <w:t xml:space="preserve">ENNHRI and MHE, Implementing supported decision-making – Developments across Europe and the role of NHRIs, 8 June 2020, p.14, available at: </w:t>
      </w:r>
      <w:r w:rsidRPr="004325C2">
        <w:rPr>
          <w:rFonts w:ascii="Arial" w:hAnsi="Arial" w:cs="Arial"/>
          <w:lang w:val="en-US"/>
        </w:rPr>
        <w:t xml:space="preserve"> </w:t>
      </w:r>
      <w:hyperlink r:id="rId2" w:history="1">
        <w:r w:rsidRPr="004325C2">
          <w:rPr>
            <w:rStyle w:val="Hyperlink"/>
            <w:rFonts w:cs="Arial"/>
            <w:lang w:val="en-GB"/>
          </w:rPr>
          <w:t>https://www.mhe-sme.org/wp-content/uploads/2020/06/Report-ENNHRI-and-MHE-Implementing-supported-decision-making.pdf</w:t>
        </w:r>
      </w:hyperlink>
    </w:p>
  </w:footnote>
  <w:footnote w:id="13">
    <w:p w14:paraId="2CF971DA" w14:textId="77777777" w:rsidR="00B04D00" w:rsidRPr="004325C2" w:rsidRDefault="00B04D00" w:rsidP="008D7100">
      <w:pPr>
        <w:pStyle w:val="FootnoteText"/>
        <w:rPr>
          <w:rFonts w:ascii="Arial" w:hAnsi="Arial" w:cs="Arial"/>
          <w:lang w:val="en-US"/>
        </w:rPr>
      </w:pPr>
      <w:r w:rsidRPr="004325C2">
        <w:rPr>
          <w:rStyle w:val="FootnoteReference"/>
          <w:rFonts w:ascii="Arial" w:hAnsi="Arial" w:cs="Arial"/>
        </w:rPr>
        <w:footnoteRef/>
      </w:r>
      <w:r w:rsidRPr="004325C2">
        <w:rPr>
          <w:rFonts w:ascii="Arial" w:hAnsi="Arial" w:cs="Arial"/>
          <w:lang w:val="en-US"/>
        </w:rPr>
        <w:t xml:space="preserve"> Ibid. p.12</w:t>
      </w:r>
    </w:p>
  </w:footnote>
  <w:footnote w:id="14">
    <w:p w14:paraId="789180F3" w14:textId="77777777" w:rsidR="00B04D00" w:rsidRPr="004325C2" w:rsidRDefault="00B04D00" w:rsidP="008D7100">
      <w:pPr>
        <w:pStyle w:val="FootnoteText"/>
        <w:rPr>
          <w:rFonts w:ascii="Arial" w:hAnsi="Arial" w:cs="Arial"/>
          <w:lang w:val="en-US"/>
        </w:rPr>
      </w:pPr>
      <w:r w:rsidRPr="004325C2">
        <w:rPr>
          <w:rStyle w:val="FootnoteReference"/>
          <w:rFonts w:ascii="Arial" w:hAnsi="Arial" w:cs="Arial"/>
        </w:rPr>
        <w:footnoteRef/>
      </w:r>
      <w:r w:rsidRPr="004325C2">
        <w:rPr>
          <w:rFonts w:ascii="Arial" w:hAnsi="Arial" w:cs="Arial"/>
          <w:lang w:val="en-US"/>
        </w:rPr>
        <w:t xml:space="preserve"> Mental Health Europe (MHE), Mapping &amp; Understanding Exclusion in Europe, December 2017, p.78, available at: </w:t>
      </w:r>
      <w:hyperlink r:id="rId3" w:history="1">
        <w:r w:rsidRPr="004325C2">
          <w:rPr>
            <w:rStyle w:val="Hyperlink"/>
            <w:rFonts w:cs="Arial"/>
            <w:lang w:val="en-US"/>
          </w:rPr>
          <w:t>https://mhe-sme.org/wp-content/uploads/2018/01/Mapping-and-Understanding-Exclusion-in-Europe.pdf</w:t>
        </w:r>
      </w:hyperlink>
    </w:p>
  </w:footnote>
  <w:footnote w:id="15">
    <w:p w14:paraId="572B6773" w14:textId="2E2D8637" w:rsidR="00B04D00" w:rsidRPr="00307635" w:rsidRDefault="00B04D00">
      <w:pPr>
        <w:pStyle w:val="FootnoteText"/>
        <w:rPr>
          <w:lang w:val="en-GB"/>
        </w:rPr>
      </w:pPr>
      <w:r>
        <w:rPr>
          <w:rStyle w:val="FootnoteReference"/>
        </w:rPr>
        <w:footnoteRef/>
      </w:r>
      <w:r w:rsidRPr="00307635">
        <w:rPr>
          <w:lang w:val="en-GB"/>
        </w:rPr>
        <w:t xml:space="preserve"> </w:t>
      </w:r>
      <w:r w:rsidRPr="00E538E6">
        <w:rPr>
          <w:lang w:val="en-US"/>
        </w:rPr>
        <w:t>Bulgaria, Cyprus, Estonia, Poland and Slovakia</w:t>
      </w:r>
    </w:p>
  </w:footnote>
  <w:footnote w:id="16">
    <w:p w14:paraId="26BDEAB5" w14:textId="2BAEF55E" w:rsidR="00D22628" w:rsidRPr="00034C68" w:rsidRDefault="00D22628">
      <w:pPr>
        <w:pStyle w:val="FootnoteText"/>
        <w:rPr>
          <w:lang w:val="en-GB"/>
        </w:rPr>
      </w:pPr>
      <w:r>
        <w:rPr>
          <w:rStyle w:val="FootnoteReference"/>
        </w:rPr>
        <w:footnoteRef/>
      </w:r>
      <w:r w:rsidRPr="001C7853">
        <w:rPr>
          <w:lang w:val="en-GB"/>
        </w:rPr>
        <w:t xml:space="preserve"> </w:t>
      </w:r>
      <w:hyperlink r:id="rId4" w:history="1">
        <w:r w:rsidRPr="00D22628">
          <w:rPr>
            <w:rStyle w:val="Hyperlink"/>
            <w:lang w:val="en-US"/>
          </w:rPr>
          <w:t>https://www.repubblica.it/rubriche/liberta-illiberta/2021/12/07/news/abdel_latif_il_migrante_morto_perche_e_morto-329282968/</w:t>
        </w:r>
      </w:hyperlink>
      <w:r w:rsidRPr="001C7853">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726E" w14:textId="1C1C2B04" w:rsidR="00B04D00" w:rsidRDefault="00B0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B107" w14:textId="7FAB0507" w:rsidR="00B04D00" w:rsidRDefault="00B04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6D0" w14:textId="55258996" w:rsidR="00B04D00" w:rsidRDefault="00B04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421"/>
    <w:multiLevelType w:val="hybridMultilevel"/>
    <w:tmpl w:val="D164A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EE3D6C"/>
    <w:multiLevelType w:val="hybridMultilevel"/>
    <w:tmpl w:val="1F6AB1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852057"/>
    <w:multiLevelType w:val="hybridMultilevel"/>
    <w:tmpl w:val="B04CDB0C"/>
    <w:lvl w:ilvl="0" w:tplc="528C27F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11180E"/>
    <w:multiLevelType w:val="hybridMultilevel"/>
    <w:tmpl w:val="1DACCC2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C9E49E4"/>
    <w:multiLevelType w:val="hybridMultilevel"/>
    <w:tmpl w:val="00E22A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0F36D7"/>
    <w:multiLevelType w:val="hybridMultilevel"/>
    <w:tmpl w:val="085CFE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4104CC"/>
    <w:multiLevelType w:val="hybridMultilevel"/>
    <w:tmpl w:val="319A3B1E"/>
    <w:lvl w:ilvl="0" w:tplc="6470BBB8">
      <w:start w:val="1"/>
      <w:numFmt w:val="bullet"/>
      <w:lvlText w:val=""/>
      <w:lvlJc w:val="left"/>
      <w:pPr>
        <w:ind w:left="720" w:hanging="360"/>
      </w:pPr>
      <w:rPr>
        <w:rFonts w:ascii="Wingdings" w:hAnsi="Wingdings" w:hint="default"/>
        <w:b w:val="0"/>
        <w:i w:val="0"/>
        <w:color w:val="auto"/>
        <w:sz w:val="16"/>
        <w:u w:color="000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8262B6"/>
    <w:multiLevelType w:val="hybridMultilevel"/>
    <w:tmpl w:val="2E282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4861B3"/>
    <w:multiLevelType w:val="hybridMultilevel"/>
    <w:tmpl w:val="9200A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422B0E"/>
    <w:multiLevelType w:val="hybridMultilevel"/>
    <w:tmpl w:val="E7565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A6C5FFF"/>
    <w:multiLevelType w:val="hybridMultilevel"/>
    <w:tmpl w:val="07A20D3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DEB001F"/>
    <w:multiLevelType w:val="multilevel"/>
    <w:tmpl w:val="785A938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97814"/>
    <w:multiLevelType w:val="hybridMultilevel"/>
    <w:tmpl w:val="BB30B7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327BD6"/>
    <w:multiLevelType w:val="hybridMultilevel"/>
    <w:tmpl w:val="1332BA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6CB42AE"/>
    <w:multiLevelType w:val="hybridMultilevel"/>
    <w:tmpl w:val="BF688F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F381727"/>
    <w:multiLevelType w:val="hybridMultilevel"/>
    <w:tmpl w:val="DED883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5F513D4"/>
    <w:multiLevelType w:val="hybridMultilevel"/>
    <w:tmpl w:val="D9C04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71359A8"/>
    <w:multiLevelType w:val="hybridMultilevel"/>
    <w:tmpl w:val="48E4D774"/>
    <w:lvl w:ilvl="0" w:tplc="B4DA9B6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C2B543D"/>
    <w:multiLevelType w:val="hybridMultilevel"/>
    <w:tmpl w:val="F530F618"/>
    <w:lvl w:ilvl="0" w:tplc="080C0001">
      <w:start w:val="1"/>
      <w:numFmt w:val="bullet"/>
      <w:lvlText w:val=""/>
      <w:lvlJc w:val="left"/>
      <w:pPr>
        <w:ind w:left="810" w:hanging="360"/>
      </w:pPr>
      <w:rPr>
        <w:rFonts w:ascii="Symbol" w:hAnsi="Symbol" w:hint="default"/>
      </w:rPr>
    </w:lvl>
    <w:lvl w:ilvl="1" w:tplc="080C0003" w:tentative="1">
      <w:start w:val="1"/>
      <w:numFmt w:val="bullet"/>
      <w:lvlText w:val="o"/>
      <w:lvlJc w:val="left"/>
      <w:pPr>
        <w:ind w:left="1530" w:hanging="360"/>
      </w:pPr>
      <w:rPr>
        <w:rFonts w:ascii="Courier New" w:hAnsi="Courier New" w:cs="Courier New" w:hint="default"/>
      </w:rPr>
    </w:lvl>
    <w:lvl w:ilvl="2" w:tplc="080C0005" w:tentative="1">
      <w:start w:val="1"/>
      <w:numFmt w:val="bullet"/>
      <w:lvlText w:val=""/>
      <w:lvlJc w:val="left"/>
      <w:pPr>
        <w:ind w:left="2250" w:hanging="360"/>
      </w:pPr>
      <w:rPr>
        <w:rFonts w:ascii="Wingdings" w:hAnsi="Wingdings" w:hint="default"/>
      </w:rPr>
    </w:lvl>
    <w:lvl w:ilvl="3" w:tplc="080C0001" w:tentative="1">
      <w:start w:val="1"/>
      <w:numFmt w:val="bullet"/>
      <w:lvlText w:val=""/>
      <w:lvlJc w:val="left"/>
      <w:pPr>
        <w:ind w:left="2970" w:hanging="360"/>
      </w:pPr>
      <w:rPr>
        <w:rFonts w:ascii="Symbol" w:hAnsi="Symbol" w:hint="default"/>
      </w:rPr>
    </w:lvl>
    <w:lvl w:ilvl="4" w:tplc="080C0003" w:tentative="1">
      <w:start w:val="1"/>
      <w:numFmt w:val="bullet"/>
      <w:lvlText w:val="o"/>
      <w:lvlJc w:val="left"/>
      <w:pPr>
        <w:ind w:left="3690" w:hanging="360"/>
      </w:pPr>
      <w:rPr>
        <w:rFonts w:ascii="Courier New" w:hAnsi="Courier New" w:cs="Courier New" w:hint="default"/>
      </w:rPr>
    </w:lvl>
    <w:lvl w:ilvl="5" w:tplc="080C0005" w:tentative="1">
      <w:start w:val="1"/>
      <w:numFmt w:val="bullet"/>
      <w:lvlText w:val=""/>
      <w:lvlJc w:val="left"/>
      <w:pPr>
        <w:ind w:left="4410" w:hanging="360"/>
      </w:pPr>
      <w:rPr>
        <w:rFonts w:ascii="Wingdings" w:hAnsi="Wingdings" w:hint="default"/>
      </w:rPr>
    </w:lvl>
    <w:lvl w:ilvl="6" w:tplc="080C0001" w:tentative="1">
      <w:start w:val="1"/>
      <w:numFmt w:val="bullet"/>
      <w:lvlText w:val=""/>
      <w:lvlJc w:val="left"/>
      <w:pPr>
        <w:ind w:left="5130" w:hanging="360"/>
      </w:pPr>
      <w:rPr>
        <w:rFonts w:ascii="Symbol" w:hAnsi="Symbol" w:hint="default"/>
      </w:rPr>
    </w:lvl>
    <w:lvl w:ilvl="7" w:tplc="080C0003" w:tentative="1">
      <w:start w:val="1"/>
      <w:numFmt w:val="bullet"/>
      <w:lvlText w:val="o"/>
      <w:lvlJc w:val="left"/>
      <w:pPr>
        <w:ind w:left="5850" w:hanging="360"/>
      </w:pPr>
      <w:rPr>
        <w:rFonts w:ascii="Courier New" w:hAnsi="Courier New" w:cs="Courier New" w:hint="default"/>
      </w:rPr>
    </w:lvl>
    <w:lvl w:ilvl="8" w:tplc="080C0005" w:tentative="1">
      <w:start w:val="1"/>
      <w:numFmt w:val="bullet"/>
      <w:lvlText w:val=""/>
      <w:lvlJc w:val="left"/>
      <w:pPr>
        <w:ind w:left="6570" w:hanging="360"/>
      </w:pPr>
      <w:rPr>
        <w:rFonts w:ascii="Wingdings" w:hAnsi="Wingdings" w:hint="default"/>
      </w:rPr>
    </w:lvl>
  </w:abstractNum>
  <w:abstractNum w:abstractNumId="20" w15:restartNumberingAfterBreak="0">
    <w:nsid w:val="4EF97C23"/>
    <w:multiLevelType w:val="hybridMultilevel"/>
    <w:tmpl w:val="5C76A8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2EC5D38"/>
    <w:multiLevelType w:val="hybridMultilevel"/>
    <w:tmpl w:val="F28EF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286603"/>
    <w:multiLevelType w:val="hybridMultilevel"/>
    <w:tmpl w:val="8E8285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A091E89"/>
    <w:multiLevelType w:val="hybridMultilevel"/>
    <w:tmpl w:val="658E8C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0931350"/>
    <w:multiLevelType w:val="hybridMultilevel"/>
    <w:tmpl w:val="429EF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1E539AD"/>
    <w:multiLevelType w:val="hybridMultilevel"/>
    <w:tmpl w:val="109A5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9"/>
  </w:num>
  <w:num w:numId="4">
    <w:abstractNumId w:val="16"/>
  </w:num>
  <w:num w:numId="5">
    <w:abstractNumId w:val="21"/>
  </w:num>
  <w:num w:numId="6">
    <w:abstractNumId w:val="18"/>
  </w:num>
  <w:num w:numId="7">
    <w:abstractNumId w:val="14"/>
  </w:num>
  <w:num w:numId="8">
    <w:abstractNumId w:val="7"/>
  </w:num>
  <w:num w:numId="9">
    <w:abstractNumId w:val="20"/>
  </w:num>
  <w:num w:numId="10">
    <w:abstractNumId w:val="22"/>
  </w:num>
  <w:num w:numId="11">
    <w:abstractNumId w:val="25"/>
  </w:num>
  <w:num w:numId="12">
    <w:abstractNumId w:val="2"/>
  </w:num>
  <w:num w:numId="13">
    <w:abstractNumId w:val="0"/>
  </w:num>
  <w:num w:numId="14">
    <w:abstractNumId w:val="8"/>
  </w:num>
  <w:num w:numId="15">
    <w:abstractNumId w:val="1"/>
  </w:num>
  <w:num w:numId="16">
    <w:abstractNumId w:val="4"/>
  </w:num>
  <w:num w:numId="17">
    <w:abstractNumId w:val="11"/>
  </w:num>
  <w:num w:numId="18">
    <w:abstractNumId w:val="5"/>
  </w:num>
  <w:num w:numId="19">
    <w:abstractNumId w:val="23"/>
  </w:num>
  <w:num w:numId="20">
    <w:abstractNumId w:val="6"/>
  </w:num>
  <w:num w:numId="21">
    <w:abstractNumId w:val="17"/>
  </w:num>
  <w:num w:numId="22">
    <w:abstractNumId w:val="24"/>
  </w:num>
  <w:num w:numId="23">
    <w:abstractNumId w:val="15"/>
  </w:num>
  <w:num w:numId="24">
    <w:abstractNumId w:val="10"/>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F5"/>
    <w:rsid w:val="00020CFE"/>
    <w:rsid w:val="0002245A"/>
    <w:rsid w:val="000231A7"/>
    <w:rsid w:val="00034C68"/>
    <w:rsid w:val="00042CA2"/>
    <w:rsid w:val="00043884"/>
    <w:rsid w:val="00044BF6"/>
    <w:rsid w:val="00046C71"/>
    <w:rsid w:val="000472A8"/>
    <w:rsid w:val="00054D5A"/>
    <w:rsid w:val="000558DD"/>
    <w:rsid w:val="000568CF"/>
    <w:rsid w:val="0006181D"/>
    <w:rsid w:val="0006631A"/>
    <w:rsid w:val="00071EFB"/>
    <w:rsid w:val="00074559"/>
    <w:rsid w:val="00074BC0"/>
    <w:rsid w:val="00077A4B"/>
    <w:rsid w:val="0008516E"/>
    <w:rsid w:val="00085566"/>
    <w:rsid w:val="00087E42"/>
    <w:rsid w:val="000949F6"/>
    <w:rsid w:val="000B0C0E"/>
    <w:rsid w:val="000C3A22"/>
    <w:rsid w:val="000C3C19"/>
    <w:rsid w:val="000C6893"/>
    <w:rsid w:val="000C6B67"/>
    <w:rsid w:val="000D01BC"/>
    <w:rsid w:val="000D37E5"/>
    <w:rsid w:val="000D3B68"/>
    <w:rsid w:val="000D5E58"/>
    <w:rsid w:val="000D7632"/>
    <w:rsid w:val="000E6D7B"/>
    <w:rsid w:val="000E7963"/>
    <w:rsid w:val="000F120B"/>
    <w:rsid w:val="000F3BB8"/>
    <w:rsid w:val="000F55EA"/>
    <w:rsid w:val="000F5954"/>
    <w:rsid w:val="00106D75"/>
    <w:rsid w:val="001224C8"/>
    <w:rsid w:val="0012426B"/>
    <w:rsid w:val="001326AF"/>
    <w:rsid w:val="001357D7"/>
    <w:rsid w:val="00136B83"/>
    <w:rsid w:val="00141EAA"/>
    <w:rsid w:val="00151429"/>
    <w:rsid w:val="0015273C"/>
    <w:rsid w:val="00152A89"/>
    <w:rsid w:val="00153729"/>
    <w:rsid w:val="00157AF3"/>
    <w:rsid w:val="00160261"/>
    <w:rsid w:val="00161D94"/>
    <w:rsid w:val="00162F77"/>
    <w:rsid w:val="00167341"/>
    <w:rsid w:val="00171D54"/>
    <w:rsid w:val="0017210F"/>
    <w:rsid w:val="0017476A"/>
    <w:rsid w:val="00176FFB"/>
    <w:rsid w:val="00181465"/>
    <w:rsid w:val="00185998"/>
    <w:rsid w:val="00185A3C"/>
    <w:rsid w:val="00187E62"/>
    <w:rsid w:val="00190896"/>
    <w:rsid w:val="00195436"/>
    <w:rsid w:val="00196646"/>
    <w:rsid w:val="001971C2"/>
    <w:rsid w:val="001A0D2E"/>
    <w:rsid w:val="001A16AB"/>
    <w:rsid w:val="001A2D3B"/>
    <w:rsid w:val="001A33A7"/>
    <w:rsid w:val="001B4796"/>
    <w:rsid w:val="001C06CF"/>
    <w:rsid w:val="001C483A"/>
    <w:rsid w:val="001C60C4"/>
    <w:rsid w:val="001C7853"/>
    <w:rsid w:val="001D082F"/>
    <w:rsid w:val="001E0F08"/>
    <w:rsid w:val="001E45BC"/>
    <w:rsid w:val="001E4DEF"/>
    <w:rsid w:val="00200D62"/>
    <w:rsid w:val="00201019"/>
    <w:rsid w:val="0021520C"/>
    <w:rsid w:val="00234DE1"/>
    <w:rsid w:val="00240305"/>
    <w:rsid w:val="00247570"/>
    <w:rsid w:val="002476F8"/>
    <w:rsid w:val="0024775A"/>
    <w:rsid w:val="00251FDF"/>
    <w:rsid w:val="00260787"/>
    <w:rsid w:val="002618DF"/>
    <w:rsid w:val="00261C76"/>
    <w:rsid w:val="0027113B"/>
    <w:rsid w:val="002775B6"/>
    <w:rsid w:val="00281475"/>
    <w:rsid w:val="00282B80"/>
    <w:rsid w:val="00283819"/>
    <w:rsid w:val="00286C00"/>
    <w:rsid w:val="002873DA"/>
    <w:rsid w:val="002A0B43"/>
    <w:rsid w:val="002A0DFD"/>
    <w:rsid w:val="002B3494"/>
    <w:rsid w:val="002B4034"/>
    <w:rsid w:val="002B547A"/>
    <w:rsid w:val="002C10D0"/>
    <w:rsid w:val="002C161F"/>
    <w:rsid w:val="002D1155"/>
    <w:rsid w:val="002D1702"/>
    <w:rsid w:val="002D5063"/>
    <w:rsid w:val="002E1C31"/>
    <w:rsid w:val="002E22B6"/>
    <w:rsid w:val="002E2937"/>
    <w:rsid w:val="002E4890"/>
    <w:rsid w:val="002E5B3B"/>
    <w:rsid w:val="002E7CDF"/>
    <w:rsid w:val="002F0771"/>
    <w:rsid w:val="00307635"/>
    <w:rsid w:val="0031211E"/>
    <w:rsid w:val="00323D63"/>
    <w:rsid w:val="00355289"/>
    <w:rsid w:val="00360A10"/>
    <w:rsid w:val="003618A1"/>
    <w:rsid w:val="003637F6"/>
    <w:rsid w:val="003649F0"/>
    <w:rsid w:val="00367315"/>
    <w:rsid w:val="00375AAB"/>
    <w:rsid w:val="0037728B"/>
    <w:rsid w:val="003857BA"/>
    <w:rsid w:val="0039275E"/>
    <w:rsid w:val="00395CD8"/>
    <w:rsid w:val="003A4244"/>
    <w:rsid w:val="003A681F"/>
    <w:rsid w:val="003B061B"/>
    <w:rsid w:val="003B0B49"/>
    <w:rsid w:val="003B0E70"/>
    <w:rsid w:val="003B3C97"/>
    <w:rsid w:val="003B7E0E"/>
    <w:rsid w:val="003C08A5"/>
    <w:rsid w:val="003C58ED"/>
    <w:rsid w:val="003C78D1"/>
    <w:rsid w:val="003D1BF3"/>
    <w:rsid w:val="003D6508"/>
    <w:rsid w:val="003E58D2"/>
    <w:rsid w:val="003F1FBF"/>
    <w:rsid w:val="003F7C85"/>
    <w:rsid w:val="0040111C"/>
    <w:rsid w:val="00402728"/>
    <w:rsid w:val="004112DE"/>
    <w:rsid w:val="004136FE"/>
    <w:rsid w:val="00432058"/>
    <w:rsid w:val="00435C5B"/>
    <w:rsid w:val="004362A5"/>
    <w:rsid w:val="004440F5"/>
    <w:rsid w:val="004515C5"/>
    <w:rsid w:val="00455FA1"/>
    <w:rsid w:val="00473205"/>
    <w:rsid w:val="00473885"/>
    <w:rsid w:val="00480454"/>
    <w:rsid w:val="004869C2"/>
    <w:rsid w:val="0048793B"/>
    <w:rsid w:val="00490016"/>
    <w:rsid w:val="004911A3"/>
    <w:rsid w:val="004930B0"/>
    <w:rsid w:val="004972CD"/>
    <w:rsid w:val="004A6774"/>
    <w:rsid w:val="004B5CE8"/>
    <w:rsid w:val="004B7E67"/>
    <w:rsid w:val="004C488F"/>
    <w:rsid w:val="004C7C32"/>
    <w:rsid w:val="004D4FFB"/>
    <w:rsid w:val="004D7A88"/>
    <w:rsid w:val="004E5BF4"/>
    <w:rsid w:val="004E68FA"/>
    <w:rsid w:val="004E6DE6"/>
    <w:rsid w:val="004F260F"/>
    <w:rsid w:val="004F3C63"/>
    <w:rsid w:val="004F50ED"/>
    <w:rsid w:val="004F6E69"/>
    <w:rsid w:val="0051273D"/>
    <w:rsid w:val="005143E0"/>
    <w:rsid w:val="005153B1"/>
    <w:rsid w:val="00521C5D"/>
    <w:rsid w:val="005220FE"/>
    <w:rsid w:val="005228CC"/>
    <w:rsid w:val="00532007"/>
    <w:rsid w:val="00532DCD"/>
    <w:rsid w:val="00541EBA"/>
    <w:rsid w:val="00543886"/>
    <w:rsid w:val="005440F8"/>
    <w:rsid w:val="00553BE5"/>
    <w:rsid w:val="00554E86"/>
    <w:rsid w:val="00556A80"/>
    <w:rsid w:val="00556FDD"/>
    <w:rsid w:val="0056104A"/>
    <w:rsid w:val="005612B8"/>
    <w:rsid w:val="0056442F"/>
    <w:rsid w:val="00565062"/>
    <w:rsid w:val="005701FA"/>
    <w:rsid w:val="00570B2D"/>
    <w:rsid w:val="00571BE3"/>
    <w:rsid w:val="005736B0"/>
    <w:rsid w:val="00573E19"/>
    <w:rsid w:val="00575777"/>
    <w:rsid w:val="00584111"/>
    <w:rsid w:val="00587613"/>
    <w:rsid w:val="00594B0B"/>
    <w:rsid w:val="005A0573"/>
    <w:rsid w:val="005A1273"/>
    <w:rsid w:val="005A20D1"/>
    <w:rsid w:val="005A3C10"/>
    <w:rsid w:val="005A6ED0"/>
    <w:rsid w:val="005B01F0"/>
    <w:rsid w:val="005B0A2D"/>
    <w:rsid w:val="005C3736"/>
    <w:rsid w:val="005C478E"/>
    <w:rsid w:val="005C4E21"/>
    <w:rsid w:val="005C4FB5"/>
    <w:rsid w:val="005C6400"/>
    <w:rsid w:val="005D0BA8"/>
    <w:rsid w:val="005D414D"/>
    <w:rsid w:val="005D5DDC"/>
    <w:rsid w:val="005D6392"/>
    <w:rsid w:val="005E4C29"/>
    <w:rsid w:val="005F05A5"/>
    <w:rsid w:val="005F3428"/>
    <w:rsid w:val="005F3CDD"/>
    <w:rsid w:val="005F4689"/>
    <w:rsid w:val="005F4FD4"/>
    <w:rsid w:val="005F6EE6"/>
    <w:rsid w:val="006027CE"/>
    <w:rsid w:val="00606390"/>
    <w:rsid w:val="00612ADF"/>
    <w:rsid w:val="00615D31"/>
    <w:rsid w:val="00626425"/>
    <w:rsid w:val="00631EEF"/>
    <w:rsid w:val="0064237F"/>
    <w:rsid w:val="00643E4C"/>
    <w:rsid w:val="00645623"/>
    <w:rsid w:val="00646135"/>
    <w:rsid w:val="0065364F"/>
    <w:rsid w:val="00655F64"/>
    <w:rsid w:val="006625E6"/>
    <w:rsid w:val="006731F9"/>
    <w:rsid w:val="00680EAF"/>
    <w:rsid w:val="00684973"/>
    <w:rsid w:val="006907C6"/>
    <w:rsid w:val="00690EE5"/>
    <w:rsid w:val="006A00CE"/>
    <w:rsid w:val="006A0BA7"/>
    <w:rsid w:val="006A5CE9"/>
    <w:rsid w:val="006A670A"/>
    <w:rsid w:val="006A6BD9"/>
    <w:rsid w:val="006B0D44"/>
    <w:rsid w:val="006B1BB4"/>
    <w:rsid w:val="006B2132"/>
    <w:rsid w:val="006B41F6"/>
    <w:rsid w:val="006B47C8"/>
    <w:rsid w:val="006C0E2C"/>
    <w:rsid w:val="006C1A26"/>
    <w:rsid w:val="006C43FC"/>
    <w:rsid w:val="006D0B23"/>
    <w:rsid w:val="006D5429"/>
    <w:rsid w:val="006E1786"/>
    <w:rsid w:val="006E7279"/>
    <w:rsid w:val="006E7B8E"/>
    <w:rsid w:val="006F7FDB"/>
    <w:rsid w:val="00700E1D"/>
    <w:rsid w:val="0070771D"/>
    <w:rsid w:val="00710AEC"/>
    <w:rsid w:val="00711E1B"/>
    <w:rsid w:val="007175FB"/>
    <w:rsid w:val="00722C66"/>
    <w:rsid w:val="0072498A"/>
    <w:rsid w:val="007401AC"/>
    <w:rsid w:val="0074326A"/>
    <w:rsid w:val="0074666F"/>
    <w:rsid w:val="00750B58"/>
    <w:rsid w:val="00754646"/>
    <w:rsid w:val="00763C1E"/>
    <w:rsid w:val="00766C0A"/>
    <w:rsid w:val="00772182"/>
    <w:rsid w:val="00772F0B"/>
    <w:rsid w:val="00776AC8"/>
    <w:rsid w:val="007937F7"/>
    <w:rsid w:val="00794E2A"/>
    <w:rsid w:val="00794E3A"/>
    <w:rsid w:val="007A6FBF"/>
    <w:rsid w:val="007B649E"/>
    <w:rsid w:val="007C3433"/>
    <w:rsid w:val="007C43EF"/>
    <w:rsid w:val="007C5B2C"/>
    <w:rsid w:val="007C64AD"/>
    <w:rsid w:val="007C6AEB"/>
    <w:rsid w:val="007C7CD3"/>
    <w:rsid w:val="007D20C6"/>
    <w:rsid w:val="007D4E28"/>
    <w:rsid w:val="007E19D7"/>
    <w:rsid w:val="007E1F29"/>
    <w:rsid w:val="007E3267"/>
    <w:rsid w:val="007E5316"/>
    <w:rsid w:val="0080330C"/>
    <w:rsid w:val="008054A7"/>
    <w:rsid w:val="00805D9D"/>
    <w:rsid w:val="008065A5"/>
    <w:rsid w:val="00815E59"/>
    <w:rsid w:val="008200A6"/>
    <w:rsid w:val="008221E9"/>
    <w:rsid w:val="008222D8"/>
    <w:rsid w:val="008302DB"/>
    <w:rsid w:val="00835CE2"/>
    <w:rsid w:val="0084384D"/>
    <w:rsid w:val="00851560"/>
    <w:rsid w:val="00853D9F"/>
    <w:rsid w:val="008561FC"/>
    <w:rsid w:val="0085796A"/>
    <w:rsid w:val="00863555"/>
    <w:rsid w:val="008636DD"/>
    <w:rsid w:val="00867C0D"/>
    <w:rsid w:val="008728DB"/>
    <w:rsid w:val="00872B48"/>
    <w:rsid w:val="008773E8"/>
    <w:rsid w:val="008838E8"/>
    <w:rsid w:val="00884677"/>
    <w:rsid w:val="00886682"/>
    <w:rsid w:val="00887F24"/>
    <w:rsid w:val="00891A31"/>
    <w:rsid w:val="0089554F"/>
    <w:rsid w:val="008975B2"/>
    <w:rsid w:val="008A213F"/>
    <w:rsid w:val="008B0443"/>
    <w:rsid w:val="008B16A2"/>
    <w:rsid w:val="008B429D"/>
    <w:rsid w:val="008B6E99"/>
    <w:rsid w:val="008C3EF5"/>
    <w:rsid w:val="008D7100"/>
    <w:rsid w:val="008E2DE8"/>
    <w:rsid w:val="008F30FF"/>
    <w:rsid w:val="008F410C"/>
    <w:rsid w:val="008F5129"/>
    <w:rsid w:val="008F6DBB"/>
    <w:rsid w:val="008F72E3"/>
    <w:rsid w:val="00913444"/>
    <w:rsid w:val="00913EBB"/>
    <w:rsid w:val="009277BC"/>
    <w:rsid w:val="00930509"/>
    <w:rsid w:val="00933D86"/>
    <w:rsid w:val="00943444"/>
    <w:rsid w:val="00944620"/>
    <w:rsid w:val="00952780"/>
    <w:rsid w:val="0097039E"/>
    <w:rsid w:val="0097303A"/>
    <w:rsid w:val="0097468B"/>
    <w:rsid w:val="00974C3E"/>
    <w:rsid w:val="0097570E"/>
    <w:rsid w:val="0098591A"/>
    <w:rsid w:val="00991884"/>
    <w:rsid w:val="00993A27"/>
    <w:rsid w:val="009A1E50"/>
    <w:rsid w:val="009A2F9E"/>
    <w:rsid w:val="009A536C"/>
    <w:rsid w:val="009C5A8E"/>
    <w:rsid w:val="009C5D57"/>
    <w:rsid w:val="009C60EE"/>
    <w:rsid w:val="009D5EFF"/>
    <w:rsid w:val="009E2FD0"/>
    <w:rsid w:val="009E5FAA"/>
    <w:rsid w:val="009F0644"/>
    <w:rsid w:val="009F63CC"/>
    <w:rsid w:val="00A11B5C"/>
    <w:rsid w:val="00A13583"/>
    <w:rsid w:val="00A17CC9"/>
    <w:rsid w:val="00A20E9D"/>
    <w:rsid w:val="00A21C9A"/>
    <w:rsid w:val="00A22C37"/>
    <w:rsid w:val="00A2474F"/>
    <w:rsid w:val="00A26B4A"/>
    <w:rsid w:val="00A35297"/>
    <w:rsid w:val="00A41C13"/>
    <w:rsid w:val="00A45A7A"/>
    <w:rsid w:val="00A54DBC"/>
    <w:rsid w:val="00A55FD5"/>
    <w:rsid w:val="00A650DA"/>
    <w:rsid w:val="00A67FE1"/>
    <w:rsid w:val="00A71423"/>
    <w:rsid w:val="00A7512F"/>
    <w:rsid w:val="00A828FB"/>
    <w:rsid w:val="00A91943"/>
    <w:rsid w:val="00A9576D"/>
    <w:rsid w:val="00A96839"/>
    <w:rsid w:val="00AA308F"/>
    <w:rsid w:val="00AA4CA9"/>
    <w:rsid w:val="00AA5D8C"/>
    <w:rsid w:val="00AB2160"/>
    <w:rsid w:val="00AC1FC2"/>
    <w:rsid w:val="00AC4601"/>
    <w:rsid w:val="00AD55B8"/>
    <w:rsid w:val="00AE2B25"/>
    <w:rsid w:val="00AE3A8E"/>
    <w:rsid w:val="00AE3B26"/>
    <w:rsid w:val="00AF11B7"/>
    <w:rsid w:val="00AF4A86"/>
    <w:rsid w:val="00AF7753"/>
    <w:rsid w:val="00B02726"/>
    <w:rsid w:val="00B02E3D"/>
    <w:rsid w:val="00B04D00"/>
    <w:rsid w:val="00B10EEA"/>
    <w:rsid w:val="00B202AD"/>
    <w:rsid w:val="00B30927"/>
    <w:rsid w:val="00B312ED"/>
    <w:rsid w:val="00B33B09"/>
    <w:rsid w:val="00B35CFC"/>
    <w:rsid w:val="00B42450"/>
    <w:rsid w:val="00B515CD"/>
    <w:rsid w:val="00B61103"/>
    <w:rsid w:val="00B61A85"/>
    <w:rsid w:val="00B63EC6"/>
    <w:rsid w:val="00B643E0"/>
    <w:rsid w:val="00B6547E"/>
    <w:rsid w:val="00B66425"/>
    <w:rsid w:val="00B70780"/>
    <w:rsid w:val="00B73656"/>
    <w:rsid w:val="00B84536"/>
    <w:rsid w:val="00B922E9"/>
    <w:rsid w:val="00B9398C"/>
    <w:rsid w:val="00B95719"/>
    <w:rsid w:val="00BA137D"/>
    <w:rsid w:val="00BA2513"/>
    <w:rsid w:val="00BA58B3"/>
    <w:rsid w:val="00BA61EA"/>
    <w:rsid w:val="00BB2C4C"/>
    <w:rsid w:val="00BC1891"/>
    <w:rsid w:val="00BC19B0"/>
    <w:rsid w:val="00BC6032"/>
    <w:rsid w:val="00BD1B66"/>
    <w:rsid w:val="00BD751F"/>
    <w:rsid w:val="00BE68AF"/>
    <w:rsid w:val="00BF13A4"/>
    <w:rsid w:val="00BF4D4E"/>
    <w:rsid w:val="00BF56E1"/>
    <w:rsid w:val="00BF7A0E"/>
    <w:rsid w:val="00C05AE5"/>
    <w:rsid w:val="00C06636"/>
    <w:rsid w:val="00C070E7"/>
    <w:rsid w:val="00C1199E"/>
    <w:rsid w:val="00C12AEA"/>
    <w:rsid w:val="00C12CAD"/>
    <w:rsid w:val="00C12EA1"/>
    <w:rsid w:val="00C13DC8"/>
    <w:rsid w:val="00C23B18"/>
    <w:rsid w:val="00C354C9"/>
    <w:rsid w:val="00C3618A"/>
    <w:rsid w:val="00C419A7"/>
    <w:rsid w:val="00C450E0"/>
    <w:rsid w:val="00C56989"/>
    <w:rsid w:val="00C62B31"/>
    <w:rsid w:val="00C67D31"/>
    <w:rsid w:val="00C70209"/>
    <w:rsid w:val="00C7037A"/>
    <w:rsid w:val="00C714B1"/>
    <w:rsid w:val="00C72011"/>
    <w:rsid w:val="00C72E5E"/>
    <w:rsid w:val="00C741DD"/>
    <w:rsid w:val="00C75C8F"/>
    <w:rsid w:val="00C82B63"/>
    <w:rsid w:val="00C91C1D"/>
    <w:rsid w:val="00C925C4"/>
    <w:rsid w:val="00C95E40"/>
    <w:rsid w:val="00CA0D63"/>
    <w:rsid w:val="00CA4193"/>
    <w:rsid w:val="00CA6CC0"/>
    <w:rsid w:val="00CB14B9"/>
    <w:rsid w:val="00CB297D"/>
    <w:rsid w:val="00CB44FC"/>
    <w:rsid w:val="00CB7B26"/>
    <w:rsid w:val="00CB7BFF"/>
    <w:rsid w:val="00CC0832"/>
    <w:rsid w:val="00CC6077"/>
    <w:rsid w:val="00CD25E5"/>
    <w:rsid w:val="00CD5C83"/>
    <w:rsid w:val="00CD6585"/>
    <w:rsid w:val="00CE336B"/>
    <w:rsid w:val="00CF3977"/>
    <w:rsid w:val="00CF57FC"/>
    <w:rsid w:val="00D01039"/>
    <w:rsid w:val="00D04785"/>
    <w:rsid w:val="00D04F8D"/>
    <w:rsid w:val="00D11DAB"/>
    <w:rsid w:val="00D12927"/>
    <w:rsid w:val="00D148B9"/>
    <w:rsid w:val="00D15E14"/>
    <w:rsid w:val="00D22628"/>
    <w:rsid w:val="00D23F6E"/>
    <w:rsid w:val="00D259E3"/>
    <w:rsid w:val="00D278EF"/>
    <w:rsid w:val="00D329CE"/>
    <w:rsid w:val="00D472D2"/>
    <w:rsid w:val="00D47323"/>
    <w:rsid w:val="00D47C6B"/>
    <w:rsid w:val="00D50972"/>
    <w:rsid w:val="00D5284D"/>
    <w:rsid w:val="00D55FF4"/>
    <w:rsid w:val="00D61910"/>
    <w:rsid w:val="00D661BE"/>
    <w:rsid w:val="00D661C4"/>
    <w:rsid w:val="00D7073A"/>
    <w:rsid w:val="00D71C17"/>
    <w:rsid w:val="00D735B0"/>
    <w:rsid w:val="00D750A4"/>
    <w:rsid w:val="00D85D3C"/>
    <w:rsid w:val="00D9090C"/>
    <w:rsid w:val="00D9328A"/>
    <w:rsid w:val="00D93C69"/>
    <w:rsid w:val="00D93E7F"/>
    <w:rsid w:val="00D94B0C"/>
    <w:rsid w:val="00DA7B99"/>
    <w:rsid w:val="00DB5205"/>
    <w:rsid w:val="00DB7360"/>
    <w:rsid w:val="00DD4128"/>
    <w:rsid w:val="00DD46B7"/>
    <w:rsid w:val="00DD6D5A"/>
    <w:rsid w:val="00DE1D63"/>
    <w:rsid w:val="00DE75FF"/>
    <w:rsid w:val="00DF1B8E"/>
    <w:rsid w:val="00DF2D5D"/>
    <w:rsid w:val="00DF7F4A"/>
    <w:rsid w:val="00E01BCC"/>
    <w:rsid w:val="00E06A9A"/>
    <w:rsid w:val="00E11657"/>
    <w:rsid w:val="00E134CE"/>
    <w:rsid w:val="00E14C94"/>
    <w:rsid w:val="00E159AB"/>
    <w:rsid w:val="00E16A04"/>
    <w:rsid w:val="00E24778"/>
    <w:rsid w:val="00E27795"/>
    <w:rsid w:val="00E32BC0"/>
    <w:rsid w:val="00E341CA"/>
    <w:rsid w:val="00E348B7"/>
    <w:rsid w:val="00E37ED4"/>
    <w:rsid w:val="00E40095"/>
    <w:rsid w:val="00E41423"/>
    <w:rsid w:val="00E47FF5"/>
    <w:rsid w:val="00E50B10"/>
    <w:rsid w:val="00E51C70"/>
    <w:rsid w:val="00E527A3"/>
    <w:rsid w:val="00E538E6"/>
    <w:rsid w:val="00E558AF"/>
    <w:rsid w:val="00E61E3C"/>
    <w:rsid w:val="00E62CBF"/>
    <w:rsid w:val="00E65393"/>
    <w:rsid w:val="00E7343A"/>
    <w:rsid w:val="00E77913"/>
    <w:rsid w:val="00E8522D"/>
    <w:rsid w:val="00E9430D"/>
    <w:rsid w:val="00EA0706"/>
    <w:rsid w:val="00EB1E0D"/>
    <w:rsid w:val="00EB24A7"/>
    <w:rsid w:val="00EB5A9F"/>
    <w:rsid w:val="00EB6B7D"/>
    <w:rsid w:val="00EC022B"/>
    <w:rsid w:val="00EC61DB"/>
    <w:rsid w:val="00EC688E"/>
    <w:rsid w:val="00EC6F71"/>
    <w:rsid w:val="00ED127E"/>
    <w:rsid w:val="00ED3849"/>
    <w:rsid w:val="00ED48E0"/>
    <w:rsid w:val="00ED5802"/>
    <w:rsid w:val="00ED631A"/>
    <w:rsid w:val="00ED6C8B"/>
    <w:rsid w:val="00ED7723"/>
    <w:rsid w:val="00EE48F6"/>
    <w:rsid w:val="00EF1B05"/>
    <w:rsid w:val="00EF25D2"/>
    <w:rsid w:val="00F015F1"/>
    <w:rsid w:val="00F06FA4"/>
    <w:rsid w:val="00F223C3"/>
    <w:rsid w:val="00F2657A"/>
    <w:rsid w:val="00F321D0"/>
    <w:rsid w:val="00F33365"/>
    <w:rsid w:val="00F34A74"/>
    <w:rsid w:val="00F37CE7"/>
    <w:rsid w:val="00F42298"/>
    <w:rsid w:val="00F44D70"/>
    <w:rsid w:val="00F47011"/>
    <w:rsid w:val="00F504EE"/>
    <w:rsid w:val="00F5051D"/>
    <w:rsid w:val="00F56FA8"/>
    <w:rsid w:val="00F57CB0"/>
    <w:rsid w:val="00F62D0C"/>
    <w:rsid w:val="00F768A3"/>
    <w:rsid w:val="00F81B52"/>
    <w:rsid w:val="00F821D8"/>
    <w:rsid w:val="00F83176"/>
    <w:rsid w:val="00F9394B"/>
    <w:rsid w:val="00F96AE1"/>
    <w:rsid w:val="00FA00AA"/>
    <w:rsid w:val="00FA2BC4"/>
    <w:rsid w:val="00FA3363"/>
    <w:rsid w:val="00FA4918"/>
    <w:rsid w:val="00FB4785"/>
    <w:rsid w:val="00FC5965"/>
    <w:rsid w:val="00FD06C3"/>
    <w:rsid w:val="00FD1BC9"/>
    <w:rsid w:val="00FD7F4C"/>
    <w:rsid w:val="00FE0CF1"/>
    <w:rsid w:val="00FE115F"/>
    <w:rsid w:val="00FE355A"/>
    <w:rsid w:val="00FE4170"/>
    <w:rsid w:val="00FE43DE"/>
    <w:rsid w:val="00FE5F1E"/>
    <w:rsid w:val="00FF23E4"/>
    <w:rsid w:val="00FF4647"/>
    <w:rsid w:val="00FF5C0C"/>
    <w:rsid w:val="00FF6589"/>
    <w:rsid w:val="00FF6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7E"/>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customStyle="1" w:styleId="UnresolvedMention1">
    <w:name w:val="Unresolved Mention1"/>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044BF6"/>
    <w:pPr>
      <w:spacing w:after="0" w:line="240" w:lineRule="auto"/>
    </w:pPr>
    <w:rPr>
      <w:rFonts w:asciiTheme="minorHAnsi" w:hAnsiTheme="minorHAnsi"/>
      <w:sz w:val="20"/>
      <w:szCs w:val="20"/>
      <w:lang w:val="fr-BE"/>
    </w:rPr>
  </w:style>
  <w:style w:type="character" w:customStyle="1" w:styleId="FootnoteTextChar">
    <w:name w:val="Footnote Text Char"/>
    <w:basedOn w:val="DefaultParagraphFont"/>
    <w:link w:val="FootnoteText"/>
    <w:uiPriority w:val="99"/>
    <w:semiHidden/>
    <w:rsid w:val="00044BF6"/>
    <w:rPr>
      <w:sz w:val="20"/>
      <w:szCs w:val="20"/>
      <w:lang w:val="fr-BE"/>
    </w:rPr>
  </w:style>
  <w:style w:type="character" w:styleId="FootnoteReference">
    <w:name w:val="footnote reference"/>
    <w:basedOn w:val="DefaultParagraphFont"/>
    <w:uiPriority w:val="99"/>
    <w:semiHidden/>
    <w:unhideWhenUsed/>
    <w:rsid w:val="00044BF6"/>
    <w:rPr>
      <w:vertAlign w:val="superscript"/>
    </w:rPr>
  </w:style>
  <w:style w:type="character" w:styleId="CommentReference">
    <w:name w:val="annotation reference"/>
    <w:basedOn w:val="DefaultParagraphFont"/>
    <w:uiPriority w:val="99"/>
    <w:semiHidden/>
    <w:unhideWhenUsed/>
    <w:rsid w:val="00AC1FC2"/>
    <w:rPr>
      <w:sz w:val="16"/>
      <w:szCs w:val="16"/>
    </w:rPr>
  </w:style>
  <w:style w:type="paragraph" w:styleId="CommentText">
    <w:name w:val="annotation text"/>
    <w:basedOn w:val="Normal"/>
    <w:link w:val="CommentTextChar"/>
    <w:uiPriority w:val="99"/>
    <w:semiHidden/>
    <w:unhideWhenUsed/>
    <w:rsid w:val="00AC1FC2"/>
    <w:pPr>
      <w:spacing w:line="240" w:lineRule="auto"/>
    </w:pPr>
    <w:rPr>
      <w:sz w:val="20"/>
      <w:szCs w:val="20"/>
    </w:rPr>
  </w:style>
  <w:style w:type="character" w:customStyle="1" w:styleId="CommentTextChar">
    <w:name w:val="Comment Text Char"/>
    <w:basedOn w:val="DefaultParagraphFont"/>
    <w:link w:val="CommentText"/>
    <w:uiPriority w:val="99"/>
    <w:semiHidden/>
    <w:rsid w:val="00AC1FC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C1FC2"/>
    <w:rPr>
      <w:b/>
      <w:bCs/>
    </w:rPr>
  </w:style>
  <w:style w:type="character" w:customStyle="1" w:styleId="CommentSubjectChar">
    <w:name w:val="Comment Subject Char"/>
    <w:basedOn w:val="CommentTextChar"/>
    <w:link w:val="CommentSubject"/>
    <w:uiPriority w:val="99"/>
    <w:semiHidden/>
    <w:rsid w:val="00AC1FC2"/>
    <w:rPr>
      <w:rFonts w:ascii="Verdana" w:hAnsi="Verdana"/>
      <w:b/>
      <w:bCs/>
      <w:sz w:val="20"/>
      <w:szCs w:val="20"/>
    </w:rPr>
  </w:style>
  <w:style w:type="paragraph" w:styleId="Revision">
    <w:name w:val="Revision"/>
    <w:hidden/>
    <w:uiPriority w:val="99"/>
    <w:semiHidden/>
    <w:rsid w:val="00C23B18"/>
    <w:pPr>
      <w:spacing w:after="0" w:line="240" w:lineRule="auto"/>
    </w:pPr>
    <w:rPr>
      <w:rFonts w:ascii="Verdana" w:hAnsi="Verdana"/>
      <w:sz w:val="24"/>
    </w:rPr>
  </w:style>
  <w:style w:type="character" w:styleId="UnresolvedMention">
    <w:name w:val="Unresolved Mention"/>
    <w:basedOn w:val="DefaultParagraphFont"/>
    <w:uiPriority w:val="99"/>
    <w:semiHidden/>
    <w:unhideWhenUsed/>
    <w:rsid w:val="00C95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312">
      <w:bodyDiv w:val="1"/>
      <w:marLeft w:val="0"/>
      <w:marRight w:val="0"/>
      <w:marTop w:val="0"/>
      <w:marBottom w:val="0"/>
      <w:divBdr>
        <w:top w:val="none" w:sz="0" w:space="0" w:color="auto"/>
        <w:left w:val="none" w:sz="0" w:space="0" w:color="auto"/>
        <w:bottom w:val="none" w:sz="0" w:space="0" w:color="auto"/>
        <w:right w:val="none" w:sz="0" w:space="0" w:color="auto"/>
      </w:divBdr>
    </w:div>
    <w:div w:id="555750137">
      <w:bodyDiv w:val="1"/>
      <w:marLeft w:val="0"/>
      <w:marRight w:val="0"/>
      <w:marTop w:val="0"/>
      <w:marBottom w:val="0"/>
      <w:divBdr>
        <w:top w:val="none" w:sz="0" w:space="0" w:color="auto"/>
        <w:left w:val="none" w:sz="0" w:space="0" w:color="auto"/>
        <w:bottom w:val="none" w:sz="0" w:space="0" w:color="auto"/>
        <w:right w:val="none" w:sz="0" w:space="0" w:color="auto"/>
      </w:divBdr>
    </w:div>
    <w:div w:id="8139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social/main.jsp?catId=738&amp;langId=en&amp;pubId=8376&amp;furtherPubs=yes"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ohchr.org/Documents/Issues/Disability/Hague-CRPD_Study.docx" TargetMode="External"/><Relationship Id="rId7" Type="http://schemas.openxmlformats.org/officeDocument/2006/relationships/endnotes" Target="endnotes.xml"/><Relationship Id="rId12" Type="http://schemas.openxmlformats.org/officeDocument/2006/relationships/hyperlink" Target="https://tbinternet.ohchr.org/_layouts/15/treatybodyexternal/Download.aspx?symbolno=CRPD%2fC%2fGC%2f1&amp;Lang=en" TargetMode="External"/><Relationship Id="rId17" Type="http://schemas.openxmlformats.org/officeDocument/2006/relationships/hyperlink" Target="https://data.consilium.europa.eu/doc/document/ST-8636-2021-INIT/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hcch.net/docs/1509ab33-c2fe-4532-981c-7aa4dad9ba45.pdf" TargetMode="External"/><Relationship Id="rId20" Type="http://schemas.openxmlformats.org/officeDocument/2006/relationships/hyperlink" Target="https://www.ohchr.org/Documents/Issues/Disability/Joint_Statement_on_Hague.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have-your-say/initiatives/12965-Civil-judicial-cooperation-EU-wide-protection-for-vulnerable-adults_en" TargetMode="External"/><Relationship Id="rId24" Type="http://schemas.openxmlformats.org/officeDocument/2006/relationships/hyperlink" Target="mailto:info@edf-feph.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edf-feph.org" TargetMode="External"/><Relationship Id="rId28" Type="http://schemas.openxmlformats.org/officeDocument/2006/relationships/footer" Target="footer2.xml"/><Relationship Id="rId10" Type="http://schemas.openxmlformats.org/officeDocument/2006/relationships/hyperlink" Target="https://ec.europa.eu/info/law/better-regulation/have-your-say/initiatives/12965-Civil-judicial-cooperation-EU-wide-protection-for-vulnerable-adults_en" TargetMode="External"/><Relationship Id="rId19" Type="http://schemas.openxmlformats.org/officeDocument/2006/relationships/hyperlink" Target="https://www.un.org/development/desa/disabilities/convention-on-the-rights-of-persons-with-disabilities/convention-on-the-rights-of-persons-with-disabilities-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cch.net/en/instruments/conventions/full-text/?cid=71" TargetMode="External"/><Relationship Id="rId22" Type="http://schemas.openxmlformats.org/officeDocument/2006/relationships/hyperlink" Target="mailto:marine.uldry@edf-feph.org"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mhe-sme.org/wp-content/uploads/2018/01/Mapping-and-Understanding-Exclusion-in-Europe.pdf" TargetMode="External"/><Relationship Id="rId2" Type="http://schemas.openxmlformats.org/officeDocument/2006/relationships/hyperlink" Target="https://www.mhe-sme.org/wp-content/uploads/2020/06/Report-ENNHRI-and-MHE-Implementing-supported-decision-making.pdf" TargetMode="External"/><Relationship Id="rId1" Type="http://schemas.openxmlformats.org/officeDocument/2006/relationships/hyperlink" Target="https://www.hcch.net/en/instruments/conventions/full-text" TargetMode="External"/><Relationship Id="rId4" Type="http://schemas.openxmlformats.org/officeDocument/2006/relationships/hyperlink" Target="https://www.repubblica.it/rubriche/liberta-illiberta/2021/12/07/news/abdel_latif_il_migrante_morto_perche_e_morto-329282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C807-912A-43FD-A4E5-214CA793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4395</Words>
  <Characters>24175</Characters>
  <Application>Microsoft Office Word</Application>
  <DocSecurity>0</DocSecurity>
  <Lines>201</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29</cp:revision>
  <cp:lastPrinted>2022-03-29T21:13:00Z</cp:lastPrinted>
  <dcterms:created xsi:type="dcterms:W3CDTF">2022-03-27T23:47:00Z</dcterms:created>
  <dcterms:modified xsi:type="dcterms:W3CDTF">2022-03-29T21:13:00Z</dcterms:modified>
</cp:coreProperties>
</file>