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AABC" w14:textId="73B65797" w:rsidR="003F50D8" w:rsidRDefault="00866264" w:rsidP="006A5EC9">
      <w:pPr>
        <w:pStyle w:val="Heading1"/>
        <w:spacing w:line="276" w:lineRule="auto"/>
        <w:rPr>
          <w:rFonts w:cs="Arial"/>
          <w:b w:val="0"/>
          <w:lang w:val="en-GB"/>
        </w:rPr>
      </w:pPr>
      <w:r w:rsidRPr="00866264">
        <w:rPr>
          <w:rFonts w:cs="Arial"/>
          <w:b w:val="0"/>
          <w:lang w:val="en-GB"/>
        </w:rPr>
        <w:t>EDF Women’s Committee</w:t>
      </w:r>
      <w:r w:rsidR="003F50D8">
        <w:rPr>
          <w:rFonts w:cs="Arial"/>
          <w:b w:val="0"/>
          <w:lang w:val="en-GB"/>
        </w:rPr>
        <w:t xml:space="preserve"> meeting </w:t>
      </w:r>
      <w:r w:rsidR="00205038">
        <w:rPr>
          <w:rFonts w:cs="Arial"/>
          <w:b w:val="0"/>
          <w:lang w:val="en-GB"/>
        </w:rPr>
        <w:t xml:space="preserve">– </w:t>
      </w:r>
      <w:r w:rsidR="008E2956">
        <w:rPr>
          <w:rFonts w:cs="Arial"/>
          <w:b w:val="0"/>
          <w:lang w:val="en-GB"/>
        </w:rPr>
        <w:t>24 May 2022</w:t>
      </w:r>
      <w:r w:rsidR="00205038">
        <w:rPr>
          <w:rFonts w:cs="Arial"/>
          <w:b w:val="0"/>
          <w:lang w:val="en-GB"/>
        </w:rPr>
        <w:t xml:space="preserve"> </w:t>
      </w:r>
    </w:p>
    <w:p w14:paraId="7012AAC9" w14:textId="204564C7" w:rsidR="00866264" w:rsidRDefault="00866264" w:rsidP="006A5EC9">
      <w:pPr>
        <w:pStyle w:val="Heading1"/>
        <w:spacing w:line="276" w:lineRule="auto"/>
        <w:rPr>
          <w:rFonts w:cs="Arial"/>
          <w:b w:val="0"/>
          <w:lang w:val="en-GB"/>
        </w:rPr>
      </w:pPr>
      <w:r>
        <w:rPr>
          <w:rFonts w:cs="Arial"/>
          <w:b w:val="0"/>
          <w:lang w:val="en-GB"/>
        </w:rPr>
        <w:t>Annex 1</w:t>
      </w:r>
      <w:r w:rsidR="00A56E72">
        <w:rPr>
          <w:rFonts w:cs="Arial"/>
          <w:b w:val="0"/>
          <w:lang w:val="en-GB"/>
        </w:rPr>
        <w:t>: Updates from EDF’s Secretariat</w:t>
      </w:r>
    </w:p>
    <w:p w14:paraId="4C9433D5" w14:textId="77777777" w:rsidR="00A56E72" w:rsidRPr="00A56E72" w:rsidRDefault="00A56E72" w:rsidP="00A56E72">
      <w:pPr>
        <w:rPr>
          <w:lang w:val="en-GB"/>
        </w:rPr>
      </w:pPr>
    </w:p>
    <w:p w14:paraId="72FC4A5B" w14:textId="0CC91883" w:rsidR="004E6E54" w:rsidRDefault="00A56E72" w:rsidP="00A56E72">
      <w:pPr>
        <w:pStyle w:val="Heading2"/>
        <w:rPr>
          <w:lang w:val="en-GB"/>
        </w:rPr>
      </w:pPr>
      <w:r>
        <w:rPr>
          <w:lang w:val="en-GB"/>
        </w:rPr>
        <w:t xml:space="preserve">UN Treaty Bodies </w:t>
      </w:r>
    </w:p>
    <w:p w14:paraId="0A812A74" w14:textId="04271ACD" w:rsidR="00F47AA2" w:rsidRDefault="00F47AA2" w:rsidP="00E46EC5">
      <w:pPr>
        <w:pStyle w:val="Heading3"/>
        <w:rPr>
          <w:rFonts w:eastAsia="Times New Roman"/>
          <w:lang w:val="en-US" w:bidi="en-US"/>
        </w:rPr>
      </w:pPr>
      <w:r>
        <w:rPr>
          <w:rFonts w:eastAsia="Times New Roman"/>
          <w:lang w:val="en-US" w:bidi="en-US"/>
        </w:rPr>
        <w:t xml:space="preserve">CRPD Committee </w:t>
      </w:r>
    </w:p>
    <w:p w14:paraId="38CF8F7F" w14:textId="7577FD59" w:rsidR="00520B79" w:rsidRDefault="00F47AA2" w:rsidP="00520B79">
      <w:pPr>
        <w:spacing w:after="200" w:line="276" w:lineRule="auto"/>
        <w:rPr>
          <w:rFonts w:ascii="Arial" w:eastAsia="Times New Roman" w:hAnsi="Arial" w:cs="Times New Roman"/>
          <w:sz w:val="24"/>
          <w:szCs w:val="24"/>
          <w:lang w:val="en-US" w:bidi="en-US"/>
        </w:rPr>
      </w:pPr>
      <w:r w:rsidRPr="00F47AA2">
        <w:rPr>
          <w:rFonts w:ascii="Arial" w:eastAsia="Times New Roman" w:hAnsi="Arial" w:cs="Times New Roman"/>
          <w:b/>
          <w:bCs/>
          <w:sz w:val="24"/>
          <w:szCs w:val="24"/>
          <w:lang w:val="en-US" w:bidi="en-US"/>
        </w:rPr>
        <w:t>EU Review</w:t>
      </w:r>
      <w:r>
        <w:rPr>
          <w:rFonts w:ascii="Arial" w:eastAsia="Times New Roman" w:hAnsi="Arial" w:cs="Times New Roman"/>
          <w:sz w:val="24"/>
          <w:szCs w:val="24"/>
          <w:lang w:val="en-US" w:bidi="en-US"/>
        </w:rPr>
        <w:t xml:space="preserve">: </w:t>
      </w:r>
      <w:r w:rsidR="005E78AB">
        <w:rPr>
          <w:rFonts w:ascii="Arial" w:eastAsia="Times New Roman" w:hAnsi="Arial" w:cs="Times New Roman"/>
          <w:sz w:val="24"/>
          <w:szCs w:val="24"/>
          <w:lang w:val="en-US" w:bidi="en-US"/>
        </w:rPr>
        <w:t xml:space="preserve">In April 2022, the UN Committee on the Rights of Persons with Disabilities (CRPD Committee) adopted the </w:t>
      </w:r>
      <w:hyperlink r:id="rId8" w:history="1">
        <w:r w:rsidR="005E78AB" w:rsidRPr="00F04EBE">
          <w:rPr>
            <w:rStyle w:val="Hyperlink"/>
            <w:rFonts w:ascii="Arial" w:eastAsia="Times New Roman" w:hAnsi="Arial" w:cs="Times New Roman"/>
            <w:sz w:val="24"/>
            <w:szCs w:val="24"/>
            <w:lang w:val="en-US" w:bidi="en-US"/>
          </w:rPr>
          <w:t>List of Issues Prior to Reporting on the EU</w:t>
        </w:r>
      </w:hyperlink>
      <w:r w:rsidR="005E78AB">
        <w:rPr>
          <w:rFonts w:ascii="Arial" w:eastAsia="Times New Roman" w:hAnsi="Arial" w:cs="Times New Roman"/>
          <w:sz w:val="24"/>
          <w:szCs w:val="24"/>
          <w:lang w:val="en-US" w:bidi="en-US"/>
        </w:rPr>
        <w:t xml:space="preserve">. EDF sent information, including on women and girls with disabilities, as well as mothers, in its alternative report and in a joint briefing on discrimination and intersectionality. Issues were also raised during private meetings with Committee members. The List of Issues contains many questions we suggested in our alternative report. </w:t>
      </w:r>
      <w:r w:rsidR="00AE54E5">
        <w:rPr>
          <w:rFonts w:ascii="Arial" w:eastAsia="Times New Roman" w:hAnsi="Arial" w:cs="Times New Roman"/>
          <w:sz w:val="24"/>
          <w:szCs w:val="24"/>
          <w:lang w:val="en-US" w:bidi="en-US"/>
        </w:rPr>
        <w:t xml:space="preserve">The EU has 12 months to send its replies. EDF will prepare an updated alternative report for the second part of the review process that will lead to the adoption of recommendations for the EU. </w:t>
      </w:r>
    </w:p>
    <w:p w14:paraId="4A267CCF" w14:textId="20546963" w:rsidR="00F47AA2" w:rsidRPr="00F47AA2" w:rsidRDefault="00F47AA2" w:rsidP="00F47AA2">
      <w:pPr>
        <w:spacing w:after="200" w:line="276" w:lineRule="auto"/>
        <w:rPr>
          <w:rFonts w:ascii="Arial" w:eastAsia="Times New Roman" w:hAnsi="Arial" w:cs="Times New Roman"/>
          <w:b/>
          <w:bCs/>
          <w:sz w:val="24"/>
          <w:szCs w:val="24"/>
          <w:lang w:val="en-US" w:bidi="en-US"/>
        </w:rPr>
      </w:pPr>
      <w:bookmarkStart w:id="0" w:name="_Toc86852213"/>
      <w:r w:rsidRPr="00F47AA2">
        <w:rPr>
          <w:rFonts w:ascii="Arial" w:eastAsia="Times New Roman" w:hAnsi="Arial" w:cs="Times New Roman"/>
          <w:b/>
          <w:bCs/>
          <w:sz w:val="24"/>
          <w:szCs w:val="24"/>
          <w:lang w:val="en-US" w:bidi="en-US"/>
        </w:rPr>
        <w:t>General Comment on Employment</w:t>
      </w:r>
      <w:bookmarkEnd w:id="0"/>
      <w:r>
        <w:rPr>
          <w:rFonts w:ascii="Arial" w:eastAsia="Times New Roman" w:hAnsi="Arial" w:cs="Times New Roman"/>
          <w:b/>
          <w:bCs/>
          <w:sz w:val="24"/>
          <w:szCs w:val="24"/>
          <w:lang w:val="en-US" w:bidi="en-US"/>
        </w:rPr>
        <w:t xml:space="preserve">: </w:t>
      </w:r>
      <w:r w:rsidR="00452B4A">
        <w:rPr>
          <w:rFonts w:ascii="Arial" w:eastAsia="Times New Roman" w:hAnsi="Arial" w:cs="Times New Roman"/>
          <w:sz w:val="24"/>
          <w:szCs w:val="24"/>
          <w:lang w:val="en-GB" w:bidi="en-US"/>
        </w:rPr>
        <w:t>The CRPD Committee continues its work on the General Comment. Input</w:t>
      </w:r>
      <w:r w:rsidR="00BF4685">
        <w:rPr>
          <w:rFonts w:ascii="Arial" w:eastAsia="Times New Roman" w:hAnsi="Arial" w:cs="Times New Roman"/>
          <w:sz w:val="24"/>
          <w:szCs w:val="24"/>
          <w:lang w:val="en-GB" w:bidi="en-US"/>
        </w:rPr>
        <w:t>s</w:t>
      </w:r>
      <w:r w:rsidR="00452B4A">
        <w:rPr>
          <w:rFonts w:ascii="Arial" w:eastAsia="Times New Roman" w:hAnsi="Arial" w:cs="Times New Roman"/>
          <w:sz w:val="24"/>
          <w:szCs w:val="24"/>
          <w:lang w:val="en-GB" w:bidi="en-US"/>
        </w:rPr>
        <w:t xml:space="preserve"> were sent by EDF.</w:t>
      </w:r>
      <w:r w:rsidRPr="00F47AA2">
        <w:rPr>
          <w:rFonts w:ascii="Arial" w:eastAsia="Times New Roman" w:hAnsi="Arial" w:cs="Times New Roman"/>
          <w:sz w:val="24"/>
          <w:szCs w:val="24"/>
          <w:lang w:val="en-GB" w:bidi="en-US"/>
        </w:rPr>
        <w:t xml:space="preserve"> This work is monitored by EDF</w:t>
      </w:r>
      <w:r w:rsidRPr="00F47AA2">
        <w:rPr>
          <w:rFonts w:ascii="Arial" w:eastAsia="Times New Roman" w:hAnsi="Arial" w:cs="Times New Roman"/>
          <w:b/>
          <w:bCs/>
          <w:sz w:val="24"/>
          <w:szCs w:val="24"/>
          <w:lang w:val="en-GB" w:bidi="en-US"/>
        </w:rPr>
        <w:t xml:space="preserve"> </w:t>
      </w:r>
      <w:r w:rsidRPr="00F47AA2">
        <w:rPr>
          <w:rFonts w:ascii="Arial" w:eastAsia="Times New Roman" w:hAnsi="Arial" w:cs="Times New Roman"/>
          <w:sz w:val="24"/>
          <w:szCs w:val="24"/>
          <w:lang w:val="en-GB" w:bidi="en-US"/>
        </w:rPr>
        <w:t>Social Policy Committee</w:t>
      </w:r>
      <w:r w:rsidR="00452B4A">
        <w:rPr>
          <w:rFonts w:ascii="Arial" w:eastAsia="Times New Roman" w:hAnsi="Arial" w:cs="Times New Roman"/>
          <w:sz w:val="24"/>
          <w:szCs w:val="24"/>
          <w:lang w:val="en-GB" w:bidi="en-US"/>
        </w:rPr>
        <w:t xml:space="preserve">. </w:t>
      </w:r>
    </w:p>
    <w:p w14:paraId="33B481DE" w14:textId="31B4619E" w:rsidR="00F47AA2" w:rsidRPr="00F47AA2" w:rsidRDefault="00F47AA2" w:rsidP="00F47AA2">
      <w:pPr>
        <w:spacing w:after="200" w:line="276" w:lineRule="auto"/>
        <w:rPr>
          <w:rFonts w:ascii="Arial" w:eastAsia="Times New Roman" w:hAnsi="Arial" w:cs="Times New Roman"/>
          <w:b/>
          <w:bCs/>
          <w:sz w:val="24"/>
          <w:szCs w:val="24"/>
          <w:lang w:val="en-GB" w:bidi="en-US"/>
        </w:rPr>
      </w:pPr>
      <w:r w:rsidRPr="00F47AA2">
        <w:rPr>
          <w:rFonts w:ascii="Arial" w:eastAsia="Times New Roman" w:hAnsi="Arial" w:cs="Times New Roman"/>
          <w:b/>
          <w:bCs/>
          <w:sz w:val="24"/>
          <w:szCs w:val="24"/>
          <w:lang w:val="en-GB" w:bidi="en-US"/>
        </w:rPr>
        <w:t>Guidelines on Deinstitutionalisation of Persons with Disabilities</w:t>
      </w:r>
      <w:r>
        <w:rPr>
          <w:rFonts w:ascii="Arial" w:eastAsia="Times New Roman" w:hAnsi="Arial" w:cs="Times New Roman"/>
          <w:b/>
          <w:bCs/>
          <w:sz w:val="24"/>
          <w:szCs w:val="24"/>
          <w:lang w:val="en-GB" w:bidi="en-US"/>
        </w:rPr>
        <w:t xml:space="preserve">: </w:t>
      </w:r>
      <w:r w:rsidRPr="00F47AA2">
        <w:rPr>
          <w:rFonts w:ascii="Arial" w:eastAsia="Times New Roman" w:hAnsi="Arial" w:cs="Times New Roman"/>
          <w:sz w:val="24"/>
          <w:szCs w:val="24"/>
          <w:lang w:val="en-GB" w:bidi="en-US"/>
        </w:rPr>
        <w:t>The Committee adopted an annotated outline of its Guidelines on Deinstitutionalisation of Persons with Disabilities, including in emergency situations (</w:t>
      </w:r>
      <w:hyperlink r:id="rId9" w:history="1">
        <w:r w:rsidRPr="00F47AA2">
          <w:rPr>
            <w:rStyle w:val="Hyperlink"/>
            <w:rFonts w:ascii="Arial" w:eastAsia="Times New Roman" w:hAnsi="Arial" w:cs="Times New Roman"/>
            <w:sz w:val="24"/>
            <w:szCs w:val="24"/>
            <w:lang w:val="en-GB" w:bidi="en-US"/>
          </w:rPr>
          <w:t>Annotated outline</w:t>
        </w:r>
      </w:hyperlink>
      <w:r w:rsidRPr="00F47AA2">
        <w:rPr>
          <w:rFonts w:ascii="Arial" w:eastAsia="Times New Roman" w:hAnsi="Arial" w:cs="Times New Roman"/>
          <w:sz w:val="24"/>
          <w:szCs w:val="24"/>
          <w:lang w:val="en-GB" w:bidi="en-US"/>
        </w:rPr>
        <w:t>)</w:t>
      </w:r>
      <w:r w:rsidR="00452B4A">
        <w:rPr>
          <w:rFonts w:ascii="Arial" w:eastAsia="Times New Roman" w:hAnsi="Arial" w:cs="Times New Roman"/>
          <w:sz w:val="24"/>
          <w:szCs w:val="24"/>
          <w:lang w:val="en-GB" w:bidi="en-US"/>
        </w:rPr>
        <w:t>.</w:t>
      </w:r>
      <w:r w:rsidRPr="00F47AA2">
        <w:rPr>
          <w:rFonts w:ascii="Arial" w:eastAsia="Times New Roman" w:hAnsi="Arial" w:cs="Times New Roman"/>
          <w:sz w:val="24"/>
          <w:szCs w:val="24"/>
          <w:lang w:val="en-GB" w:bidi="en-US"/>
        </w:rPr>
        <w:t xml:space="preserve"> The process of preparing the Guidelines </w:t>
      </w:r>
      <w:r w:rsidR="00452B4A">
        <w:rPr>
          <w:rFonts w:ascii="Arial" w:eastAsia="Times New Roman" w:hAnsi="Arial" w:cs="Times New Roman"/>
          <w:sz w:val="24"/>
          <w:szCs w:val="24"/>
          <w:lang w:val="en-GB" w:bidi="en-US"/>
        </w:rPr>
        <w:t>is continuing</w:t>
      </w:r>
      <w:r w:rsidRPr="00F47AA2">
        <w:rPr>
          <w:rFonts w:ascii="Arial" w:eastAsia="Times New Roman" w:hAnsi="Arial" w:cs="Times New Roman"/>
          <w:sz w:val="24"/>
          <w:szCs w:val="24"/>
          <w:lang w:val="en-GB" w:bidi="en-US"/>
        </w:rPr>
        <w:t>. This work is monitored by EDF</w:t>
      </w:r>
      <w:r w:rsidRPr="00F47AA2">
        <w:rPr>
          <w:rFonts w:ascii="Arial" w:eastAsia="Times New Roman" w:hAnsi="Arial" w:cs="Times New Roman"/>
          <w:b/>
          <w:bCs/>
          <w:sz w:val="24"/>
          <w:szCs w:val="24"/>
          <w:lang w:val="en-GB" w:bidi="en-US"/>
        </w:rPr>
        <w:t xml:space="preserve"> </w:t>
      </w:r>
      <w:r w:rsidRPr="00F47AA2">
        <w:rPr>
          <w:rFonts w:ascii="Arial" w:eastAsia="Times New Roman" w:hAnsi="Arial" w:cs="Times New Roman"/>
          <w:sz w:val="24"/>
          <w:szCs w:val="24"/>
          <w:lang w:val="en-GB" w:bidi="en-US"/>
        </w:rPr>
        <w:t>Social Policy Committee.</w:t>
      </w:r>
    </w:p>
    <w:p w14:paraId="2B33FC79" w14:textId="5A9E6E6B" w:rsidR="00A56E72" w:rsidRDefault="00A56E72" w:rsidP="00A56E72">
      <w:pPr>
        <w:pStyle w:val="Heading3"/>
        <w:rPr>
          <w:lang w:val="en-US"/>
        </w:rPr>
      </w:pPr>
      <w:r>
        <w:rPr>
          <w:lang w:val="en-US"/>
        </w:rPr>
        <w:t xml:space="preserve">Calendar of review </w:t>
      </w:r>
    </w:p>
    <w:p w14:paraId="0AFEE766" w14:textId="3785C068" w:rsidR="00F47AA2" w:rsidRDefault="00F47AA2" w:rsidP="00F47AA2">
      <w:pPr>
        <w:spacing w:after="200" w:line="276" w:lineRule="auto"/>
        <w:rPr>
          <w:rFonts w:ascii="Arial" w:eastAsia="Times New Roman" w:hAnsi="Arial" w:cs="Times New Roman"/>
          <w:sz w:val="24"/>
          <w:szCs w:val="24"/>
          <w:lang w:val="en-US" w:bidi="en-US"/>
        </w:rPr>
      </w:pPr>
      <w:r w:rsidRPr="00A56E72">
        <w:rPr>
          <w:rFonts w:ascii="Arial" w:eastAsia="Times New Roman" w:hAnsi="Arial" w:cs="Times New Roman"/>
          <w:sz w:val="24"/>
          <w:szCs w:val="24"/>
          <w:lang w:val="en-US" w:bidi="en-US"/>
        </w:rPr>
        <w:t>Together with the International Disability Alliance (IDA), EDF continue to support members in preparation of the review</w:t>
      </w:r>
      <w:r>
        <w:rPr>
          <w:rFonts w:ascii="Arial" w:eastAsia="Times New Roman" w:hAnsi="Arial" w:cs="Times New Roman"/>
          <w:sz w:val="24"/>
          <w:szCs w:val="24"/>
          <w:lang w:val="en-US" w:bidi="en-US"/>
        </w:rPr>
        <w:t xml:space="preserve"> by UN Treaty bodies, with particular focus on review by the CRPD and CEDAW Committees.</w:t>
      </w:r>
    </w:p>
    <w:p w14:paraId="213332C5" w14:textId="3383CC26" w:rsidR="00E46EC5" w:rsidRPr="00A50AD4" w:rsidRDefault="00A50AD4" w:rsidP="00A50AD4">
      <w:pPr>
        <w:spacing w:before="120" w:after="200" w:line="276" w:lineRule="auto"/>
        <w:rPr>
          <w:rFonts w:ascii="Arial" w:eastAsia="Times New Roman" w:hAnsi="Arial" w:cs="Times New Roman"/>
          <w:b/>
          <w:bCs/>
          <w:sz w:val="24"/>
          <w:szCs w:val="24"/>
          <w:lang w:val="en-US" w:bidi="en-US"/>
        </w:rPr>
      </w:pPr>
      <w:hyperlink r:id="rId10" w:history="1">
        <w:r w:rsidR="00E46EC5" w:rsidRPr="00A50AD4">
          <w:rPr>
            <w:rStyle w:val="Hyperlink"/>
            <w:rFonts w:ascii="Arial" w:eastAsia="Times New Roman" w:hAnsi="Arial" w:cs="Times New Roman"/>
            <w:b/>
            <w:bCs/>
            <w:sz w:val="24"/>
            <w:szCs w:val="24"/>
            <w:lang w:val="en-US" w:bidi="en-US"/>
          </w:rPr>
          <w:t>CRPD Committee</w:t>
        </w:r>
      </w:hyperlink>
      <w:r w:rsidR="00E46EC5" w:rsidRPr="00A50AD4">
        <w:rPr>
          <w:rFonts w:ascii="Arial" w:eastAsia="Times New Roman" w:hAnsi="Arial" w:cs="Times New Roman"/>
          <w:b/>
          <w:bCs/>
          <w:sz w:val="24"/>
          <w:szCs w:val="24"/>
          <w:lang w:val="en-US" w:bidi="en-US"/>
        </w:rPr>
        <w:t xml:space="preserve"> </w:t>
      </w:r>
    </w:p>
    <w:p w14:paraId="31B9755B" w14:textId="4E686AD6" w:rsidR="00205038" w:rsidRPr="00A50AD4" w:rsidRDefault="00F24761" w:rsidP="00A50AD4">
      <w:pPr>
        <w:numPr>
          <w:ilvl w:val="0"/>
          <w:numId w:val="18"/>
        </w:numPr>
        <w:spacing w:before="120" w:after="200" w:line="276" w:lineRule="auto"/>
        <w:rPr>
          <w:rFonts w:ascii="Arial" w:eastAsia="Times New Roman" w:hAnsi="Arial" w:cs="Times New Roman"/>
          <w:sz w:val="24"/>
          <w:szCs w:val="24"/>
          <w:lang w:val="en-US" w:bidi="en-US"/>
        </w:rPr>
      </w:pPr>
      <w:r w:rsidRPr="00A50AD4">
        <w:rPr>
          <w:rFonts w:ascii="Arial" w:eastAsia="Times New Roman" w:hAnsi="Arial" w:cs="Times New Roman"/>
          <w:sz w:val="24"/>
          <w:szCs w:val="24"/>
          <w:lang w:val="en-US" w:bidi="en-US"/>
        </w:rPr>
        <w:t xml:space="preserve">No review of European countries expected for the rest of 2022 </w:t>
      </w:r>
    </w:p>
    <w:p w14:paraId="41A719D7" w14:textId="77777777" w:rsidR="00E46EC5" w:rsidRPr="00A50AD4" w:rsidRDefault="00A50AD4" w:rsidP="00A50AD4">
      <w:pPr>
        <w:spacing w:before="120" w:after="0" w:line="360" w:lineRule="auto"/>
        <w:rPr>
          <w:rFonts w:ascii="Arial" w:eastAsia="Times New Roman" w:hAnsi="Arial" w:cs="Times New Roman"/>
          <w:b/>
          <w:bCs/>
          <w:sz w:val="24"/>
          <w:szCs w:val="24"/>
          <w:lang w:val="en-US" w:bidi="en-US"/>
        </w:rPr>
      </w:pPr>
      <w:hyperlink r:id="rId11" w:history="1">
        <w:r w:rsidR="00E46EC5" w:rsidRPr="00A50AD4">
          <w:rPr>
            <w:rFonts w:ascii="Arial" w:eastAsia="Times New Roman" w:hAnsi="Arial" w:cs="Times New Roman"/>
            <w:b/>
            <w:bCs/>
            <w:color w:val="0000FF"/>
            <w:sz w:val="24"/>
            <w:szCs w:val="24"/>
            <w:u w:val="single"/>
            <w:lang w:val="en-US" w:bidi="en-US"/>
          </w:rPr>
          <w:t>Committee on Elimination of Discrimination Against Women</w:t>
        </w:r>
      </w:hyperlink>
      <w:r w:rsidR="00E46EC5" w:rsidRPr="00A50AD4">
        <w:rPr>
          <w:rFonts w:ascii="Arial" w:eastAsia="Times New Roman" w:hAnsi="Arial" w:cs="Times New Roman"/>
          <w:b/>
          <w:bCs/>
          <w:sz w:val="24"/>
          <w:szCs w:val="24"/>
          <w:lang w:val="en-US" w:bidi="en-US"/>
        </w:rPr>
        <w:t xml:space="preserve"> (CEDAW)</w:t>
      </w:r>
    </w:p>
    <w:p w14:paraId="6B12B241" w14:textId="77777777" w:rsidR="0079123B" w:rsidRPr="0079123B" w:rsidRDefault="0079123B" w:rsidP="00A50AD4">
      <w:pPr>
        <w:numPr>
          <w:ilvl w:val="0"/>
          <w:numId w:val="23"/>
        </w:numPr>
        <w:spacing w:before="120" w:after="0" w:line="360" w:lineRule="auto"/>
        <w:rPr>
          <w:rFonts w:ascii="Arial" w:eastAsia="Times New Roman" w:hAnsi="Arial" w:cs="Times New Roman"/>
          <w:sz w:val="24"/>
          <w:szCs w:val="24"/>
          <w:lang w:val="en-GB" w:bidi="en-US"/>
        </w:rPr>
      </w:pPr>
      <w:hyperlink r:id="rId12" w:history="1">
        <w:r w:rsidRPr="0079123B">
          <w:rPr>
            <w:rStyle w:val="Hyperlink"/>
            <w:rFonts w:ascii="Arial" w:eastAsia="Times New Roman" w:hAnsi="Arial" w:cs="Times New Roman"/>
            <w:sz w:val="24"/>
            <w:szCs w:val="24"/>
            <w:lang w:val="en-GB" w:bidi="en-US"/>
          </w:rPr>
          <w:t>82nd session</w:t>
        </w:r>
      </w:hyperlink>
      <w:r w:rsidRPr="0079123B">
        <w:rPr>
          <w:rFonts w:ascii="Arial" w:eastAsia="Times New Roman" w:hAnsi="Arial" w:cs="Times New Roman"/>
          <w:sz w:val="24"/>
          <w:szCs w:val="24"/>
          <w:lang w:val="en-GB" w:bidi="en-US"/>
        </w:rPr>
        <w:t> – from 13 June to 1st July 2022: Review of </w:t>
      </w:r>
      <w:r w:rsidRPr="0079123B">
        <w:rPr>
          <w:rFonts w:ascii="Arial" w:eastAsia="Times New Roman" w:hAnsi="Arial" w:cs="Times New Roman"/>
          <w:b/>
          <w:bCs/>
          <w:sz w:val="24"/>
          <w:szCs w:val="24"/>
          <w:lang w:val="en-GB" w:bidi="en-US"/>
        </w:rPr>
        <w:t>Hungary</w:t>
      </w:r>
      <w:r w:rsidRPr="0079123B">
        <w:rPr>
          <w:rFonts w:ascii="Arial" w:eastAsia="Times New Roman" w:hAnsi="Arial" w:cs="Times New Roman"/>
          <w:sz w:val="24"/>
          <w:szCs w:val="24"/>
          <w:lang w:val="en-GB" w:bidi="en-US"/>
        </w:rPr>
        <w:t> and </w:t>
      </w:r>
      <w:r w:rsidRPr="0079123B">
        <w:rPr>
          <w:rFonts w:ascii="Arial" w:eastAsia="Times New Roman" w:hAnsi="Arial" w:cs="Times New Roman"/>
          <w:b/>
          <w:bCs/>
          <w:sz w:val="24"/>
          <w:szCs w:val="24"/>
          <w:lang w:val="en-GB" w:bidi="en-US"/>
        </w:rPr>
        <w:t>Portugal </w:t>
      </w:r>
    </w:p>
    <w:p w14:paraId="474D4D24" w14:textId="77777777" w:rsidR="0079123B" w:rsidRPr="0079123B" w:rsidRDefault="0079123B" w:rsidP="00A50AD4">
      <w:pPr>
        <w:numPr>
          <w:ilvl w:val="0"/>
          <w:numId w:val="23"/>
        </w:numPr>
        <w:spacing w:before="120" w:after="0" w:line="360" w:lineRule="auto"/>
        <w:rPr>
          <w:rFonts w:ascii="Arial" w:eastAsia="Times New Roman" w:hAnsi="Arial" w:cs="Times New Roman"/>
          <w:sz w:val="24"/>
          <w:szCs w:val="24"/>
          <w:lang w:val="en-GB" w:bidi="en-US"/>
        </w:rPr>
      </w:pPr>
      <w:hyperlink r:id="rId13" w:history="1">
        <w:r w:rsidRPr="0079123B">
          <w:rPr>
            <w:rStyle w:val="Hyperlink"/>
            <w:rFonts w:ascii="Arial" w:eastAsia="Times New Roman" w:hAnsi="Arial" w:cs="Times New Roman"/>
            <w:sz w:val="24"/>
            <w:szCs w:val="24"/>
            <w:lang w:val="en-GB" w:bidi="en-US"/>
          </w:rPr>
          <w:t>84th pre-sessional working group</w:t>
        </w:r>
      </w:hyperlink>
      <w:r w:rsidRPr="0079123B">
        <w:rPr>
          <w:rFonts w:ascii="Arial" w:eastAsia="Times New Roman" w:hAnsi="Arial" w:cs="Times New Roman"/>
          <w:sz w:val="24"/>
          <w:szCs w:val="24"/>
          <w:lang w:val="en-GB" w:bidi="en-US"/>
        </w:rPr>
        <w:t> – from 1 to 8 July 2022: List of issues on </w:t>
      </w:r>
      <w:r w:rsidRPr="0079123B">
        <w:rPr>
          <w:rFonts w:ascii="Arial" w:eastAsia="Times New Roman" w:hAnsi="Arial" w:cs="Times New Roman"/>
          <w:b/>
          <w:bCs/>
          <w:sz w:val="24"/>
          <w:szCs w:val="24"/>
          <w:lang w:val="en-GB" w:bidi="en-US"/>
        </w:rPr>
        <w:t>Iceland</w:t>
      </w:r>
      <w:r w:rsidRPr="0079123B">
        <w:rPr>
          <w:rFonts w:ascii="Arial" w:eastAsia="Times New Roman" w:hAnsi="Arial" w:cs="Times New Roman"/>
          <w:sz w:val="24"/>
          <w:szCs w:val="24"/>
          <w:lang w:val="en-GB" w:bidi="en-US"/>
        </w:rPr>
        <w:t>; List of issues prior to reporting on </w:t>
      </w:r>
      <w:r w:rsidRPr="0079123B">
        <w:rPr>
          <w:rFonts w:ascii="Arial" w:eastAsia="Times New Roman" w:hAnsi="Arial" w:cs="Times New Roman"/>
          <w:b/>
          <w:bCs/>
          <w:sz w:val="24"/>
          <w:szCs w:val="24"/>
          <w:lang w:val="en-GB" w:bidi="en-US"/>
        </w:rPr>
        <w:t>Monaco </w:t>
      </w:r>
    </w:p>
    <w:p w14:paraId="7B953CB6" w14:textId="77777777" w:rsidR="0079123B" w:rsidRPr="0079123B" w:rsidRDefault="0079123B" w:rsidP="00A50AD4">
      <w:pPr>
        <w:numPr>
          <w:ilvl w:val="0"/>
          <w:numId w:val="23"/>
        </w:numPr>
        <w:spacing w:before="120" w:after="0" w:line="360" w:lineRule="auto"/>
        <w:rPr>
          <w:rFonts w:ascii="Arial" w:eastAsia="Times New Roman" w:hAnsi="Arial" w:cs="Times New Roman"/>
          <w:sz w:val="24"/>
          <w:szCs w:val="24"/>
          <w:lang w:val="en-GB" w:bidi="en-US"/>
        </w:rPr>
      </w:pPr>
      <w:hyperlink r:id="rId14" w:history="1">
        <w:r w:rsidRPr="0079123B">
          <w:rPr>
            <w:rStyle w:val="Hyperlink"/>
            <w:rFonts w:ascii="Arial" w:eastAsia="Times New Roman" w:hAnsi="Arial" w:cs="Times New Roman"/>
            <w:sz w:val="24"/>
            <w:szCs w:val="24"/>
            <w:lang w:val="en-GB" w:bidi="en-US"/>
          </w:rPr>
          <w:t>83rd session</w:t>
        </w:r>
      </w:hyperlink>
      <w:r w:rsidRPr="0079123B">
        <w:rPr>
          <w:rFonts w:ascii="Arial" w:eastAsia="Times New Roman" w:hAnsi="Arial" w:cs="Times New Roman"/>
          <w:sz w:val="24"/>
          <w:szCs w:val="24"/>
          <w:lang w:val="en-GB" w:bidi="en-US"/>
        </w:rPr>
        <w:t> – from 10 to 28 October 2022: Review of </w:t>
      </w:r>
      <w:r w:rsidRPr="0079123B">
        <w:rPr>
          <w:rFonts w:ascii="Arial" w:eastAsia="Times New Roman" w:hAnsi="Arial" w:cs="Times New Roman"/>
          <w:b/>
          <w:bCs/>
          <w:sz w:val="24"/>
          <w:szCs w:val="24"/>
          <w:lang w:val="en-GB" w:bidi="en-US"/>
        </w:rPr>
        <w:t>Armenia</w:t>
      </w:r>
      <w:r w:rsidRPr="0079123B">
        <w:rPr>
          <w:rFonts w:ascii="Arial" w:eastAsia="Times New Roman" w:hAnsi="Arial" w:cs="Times New Roman"/>
          <w:sz w:val="24"/>
          <w:szCs w:val="24"/>
          <w:lang w:val="en-GB" w:bidi="en-US"/>
        </w:rPr>
        <w:t>, </w:t>
      </w:r>
      <w:r w:rsidRPr="0079123B">
        <w:rPr>
          <w:rFonts w:ascii="Arial" w:eastAsia="Times New Roman" w:hAnsi="Arial" w:cs="Times New Roman"/>
          <w:b/>
          <w:bCs/>
          <w:sz w:val="24"/>
          <w:szCs w:val="24"/>
          <w:lang w:val="en-GB" w:bidi="en-US"/>
        </w:rPr>
        <w:t>Belgium</w:t>
      </w:r>
      <w:r w:rsidRPr="0079123B">
        <w:rPr>
          <w:rFonts w:ascii="Arial" w:eastAsia="Times New Roman" w:hAnsi="Arial" w:cs="Times New Roman"/>
          <w:sz w:val="24"/>
          <w:szCs w:val="24"/>
          <w:lang w:val="en-GB" w:bidi="en-US"/>
        </w:rPr>
        <w:t>, </w:t>
      </w:r>
      <w:r w:rsidRPr="0079123B">
        <w:rPr>
          <w:rFonts w:ascii="Arial" w:eastAsia="Times New Roman" w:hAnsi="Arial" w:cs="Times New Roman"/>
          <w:b/>
          <w:bCs/>
          <w:sz w:val="24"/>
          <w:szCs w:val="24"/>
          <w:lang w:val="en-GB" w:bidi="en-US"/>
        </w:rPr>
        <w:t>Finland</w:t>
      </w:r>
      <w:r w:rsidRPr="0079123B">
        <w:rPr>
          <w:rFonts w:ascii="Arial" w:eastAsia="Times New Roman" w:hAnsi="Arial" w:cs="Times New Roman"/>
          <w:sz w:val="24"/>
          <w:szCs w:val="24"/>
          <w:lang w:val="en-GB" w:bidi="en-US"/>
        </w:rPr>
        <w:t>, </w:t>
      </w:r>
      <w:r w:rsidRPr="0079123B">
        <w:rPr>
          <w:rFonts w:ascii="Arial" w:eastAsia="Times New Roman" w:hAnsi="Arial" w:cs="Times New Roman"/>
          <w:b/>
          <w:bCs/>
          <w:sz w:val="24"/>
          <w:szCs w:val="24"/>
          <w:lang w:val="en-GB" w:bidi="en-US"/>
        </w:rPr>
        <w:t>Switzerland</w:t>
      </w:r>
      <w:r w:rsidRPr="0079123B">
        <w:rPr>
          <w:rFonts w:ascii="Arial" w:eastAsia="Times New Roman" w:hAnsi="Arial" w:cs="Times New Roman"/>
          <w:sz w:val="24"/>
          <w:szCs w:val="24"/>
          <w:lang w:val="en-GB" w:bidi="en-US"/>
        </w:rPr>
        <w:t> and </w:t>
      </w:r>
      <w:r w:rsidRPr="0079123B">
        <w:rPr>
          <w:rFonts w:ascii="Arial" w:eastAsia="Times New Roman" w:hAnsi="Arial" w:cs="Times New Roman"/>
          <w:b/>
          <w:bCs/>
          <w:sz w:val="24"/>
          <w:szCs w:val="24"/>
          <w:lang w:val="en-GB" w:bidi="en-US"/>
        </w:rPr>
        <w:t>Ukraine</w:t>
      </w:r>
      <w:r w:rsidRPr="0079123B">
        <w:rPr>
          <w:rFonts w:ascii="Arial" w:eastAsia="Times New Roman" w:hAnsi="Arial" w:cs="Times New Roman"/>
          <w:sz w:val="24"/>
          <w:szCs w:val="24"/>
          <w:lang w:val="en-GB" w:bidi="en-US"/>
        </w:rPr>
        <w:t> </w:t>
      </w:r>
    </w:p>
    <w:p w14:paraId="2746FBC5" w14:textId="77777777" w:rsidR="0079123B" w:rsidRPr="0079123B" w:rsidRDefault="0079123B" w:rsidP="00A50AD4">
      <w:pPr>
        <w:numPr>
          <w:ilvl w:val="0"/>
          <w:numId w:val="23"/>
        </w:numPr>
        <w:spacing w:before="120" w:after="0" w:line="360" w:lineRule="auto"/>
        <w:rPr>
          <w:rFonts w:ascii="Arial" w:eastAsia="Times New Roman" w:hAnsi="Arial" w:cs="Times New Roman"/>
          <w:sz w:val="24"/>
          <w:szCs w:val="24"/>
          <w:lang w:val="en-GB" w:bidi="en-US"/>
        </w:rPr>
      </w:pPr>
      <w:hyperlink r:id="rId15" w:history="1">
        <w:r w:rsidRPr="0079123B">
          <w:rPr>
            <w:rStyle w:val="Hyperlink"/>
            <w:rFonts w:ascii="Arial" w:eastAsia="Times New Roman" w:hAnsi="Arial" w:cs="Times New Roman"/>
            <w:sz w:val="24"/>
            <w:szCs w:val="24"/>
            <w:lang w:val="en-GB" w:bidi="en-US"/>
          </w:rPr>
          <w:t>85th pre-sessional working group</w:t>
        </w:r>
      </w:hyperlink>
      <w:r w:rsidRPr="0079123B">
        <w:rPr>
          <w:rFonts w:ascii="Arial" w:eastAsia="Times New Roman" w:hAnsi="Arial" w:cs="Times New Roman"/>
          <w:sz w:val="24"/>
          <w:szCs w:val="24"/>
          <w:lang w:val="en-GB" w:bidi="en-US"/>
        </w:rPr>
        <w:t> – from 28 October to 4 November: List of issues prior to reporting on </w:t>
      </w:r>
      <w:r w:rsidRPr="0079123B">
        <w:rPr>
          <w:rFonts w:ascii="Arial" w:eastAsia="Times New Roman" w:hAnsi="Arial" w:cs="Times New Roman"/>
          <w:b/>
          <w:bCs/>
          <w:sz w:val="24"/>
          <w:szCs w:val="24"/>
          <w:lang w:val="en-GB" w:bidi="en-US"/>
        </w:rPr>
        <w:t>Estonia</w:t>
      </w:r>
      <w:r w:rsidRPr="0079123B">
        <w:rPr>
          <w:rFonts w:ascii="Arial" w:eastAsia="Times New Roman" w:hAnsi="Arial" w:cs="Times New Roman"/>
          <w:sz w:val="24"/>
          <w:szCs w:val="24"/>
          <w:lang w:val="en-GB" w:bidi="en-US"/>
        </w:rPr>
        <w:t> and </w:t>
      </w:r>
      <w:r w:rsidRPr="0079123B">
        <w:rPr>
          <w:rFonts w:ascii="Arial" w:eastAsia="Times New Roman" w:hAnsi="Arial" w:cs="Times New Roman"/>
          <w:b/>
          <w:bCs/>
          <w:sz w:val="24"/>
          <w:szCs w:val="24"/>
          <w:lang w:val="en-GB" w:bidi="en-US"/>
        </w:rPr>
        <w:t>Liechtenstein </w:t>
      </w:r>
    </w:p>
    <w:p w14:paraId="5BD8C840" w14:textId="77777777" w:rsidR="00205038" w:rsidRPr="00A50AD4" w:rsidRDefault="00A50AD4" w:rsidP="00A50AD4">
      <w:pPr>
        <w:spacing w:before="120" w:after="0" w:line="360" w:lineRule="auto"/>
        <w:rPr>
          <w:rFonts w:ascii="Arial" w:eastAsia="Times New Roman" w:hAnsi="Arial" w:cs="Times New Roman"/>
          <w:b/>
          <w:bCs/>
          <w:sz w:val="24"/>
          <w:szCs w:val="24"/>
          <w:lang w:val="en-US" w:bidi="en-US"/>
        </w:rPr>
      </w:pPr>
      <w:hyperlink r:id="rId16" w:history="1">
        <w:r w:rsidR="00205038" w:rsidRPr="00A50AD4">
          <w:rPr>
            <w:rFonts w:ascii="Arial" w:eastAsia="Times New Roman" w:hAnsi="Arial" w:cs="Times New Roman"/>
            <w:b/>
            <w:bCs/>
            <w:color w:val="0000FF"/>
            <w:sz w:val="24"/>
            <w:szCs w:val="24"/>
            <w:u w:val="single"/>
            <w:lang w:val="en-US" w:bidi="en-US"/>
          </w:rPr>
          <w:t>Committee on Economic, Social and Cultural Rights</w:t>
        </w:r>
      </w:hyperlink>
      <w:r w:rsidR="00205038" w:rsidRPr="00A50AD4">
        <w:rPr>
          <w:rFonts w:ascii="Arial" w:eastAsia="Times New Roman" w:hAnsi="Arial" w:cs="Times New Roman"/>
          <w:b/>
          <w:bCs/>
          <w:sz w:val="24"/>
          <w:szCs w:val="24"/>
          <w:lang w:val="en-US" w:bidi="en-US"/>
        </w:rPr>
        <w:t xml:space="preserve"> (CESCR)</w:t>
      </w:r>
    </w:p>
    <w:p w14:paraId="2B7DAF21" w14:textId="79CA722E" w:rsidR="00205038" w:rsidRPr="00A50AD4" w:rsidRDefault="0079123B" w:rsidP="00A50AD4">
      <w:pPr>
        <w:numPr>
          <w:ilvl w:val="0"/>
          <w:numId w:val="13"/>
        </w:numPr>
        <w:spacing w:before="120" w:after="0" w:line="360" w:lineRule="auto"/>
        <w:rPr>
          <w:rFonts w:ascii="Arial" w:eastAsia="Times New Roman" w:hAnsi="Arial" w:cs="Times New Roman"/>
          <w:sz w:val="24"/>
          <w:szCs w:val="24"/>
          <w:lang w:val="en-US" w:bidi="en-US"/>
        </w:rPr>
      </w:pPr>
      <w:r w:rsidRPr="00A50AD4">
        <w:rPr>
          <w:rFonts w:ascii="Arial" w:eastAsia="Times New Roman" w:hAnsi="Arial" w:cs="Times New Roman"/>
          <w:sz w:val="24"/>
          <w:szCs w:val="24"/>
          <w:lang w:val="en-US" w:bidi="en-US"/>
        </w:rPr>
        <w:t>September/October</w:t>
      </w:r>
      <w:r w:rsidR="00205038" w:rsidRPr="00A50AD4">
        <w:rPr>
          <w:rFonts w:ascii="Arial" w:eastAsia="Times New Roman" w:hAnsi="Arial" w:cs="Times New Roman"/>
          <w:sz w:val="24"/>
          <w:szCs w:val="24"/>
          <w:lang w:val="en-US" w:bidi="en-US"/>
        </w:rPr>
        <w:t xml:space="preserve"> 2022: review of </w:t>
      </w:r>
      <w:r w:rsidRPr="00A50AD4">
        <w:rPr>
          <w:rFonts w:ascii="Arial" w:eastAsia="Times New Roman" w:hAnsi="Arial" w:cs="Times New Roman"/>
          <w:b/>
          <w:bCs/>
          <w:sz w:val="24"/>
          <w:szCs w:val="24"/>
          <w:lang w:val="en-US" w:bidi="en-US"/>
        </w:rPr>
        <w:t>Luxembourg</w:t>
      </w:r>
      <w:r w:rsidR="00205038" w:rsidRPr="00A50AD4">
        <w:rPr>
          <w:rFonts w:ascii="Arial" w:eastAsia="Times New Roman" w:hAnsi="Arial" w:cs="Times New Roman"/>
          <w:sz w:val="24"/>
          <w:szCs w:val="24"/>
          <w:lang w:val="en-US" w:bidi="en-US"/>
        </w:rPr>
        <w:t xml:space="preserve">; </w:t>
      </w:r>
      <w:r w:rsidR="00213C04" w:rsidRPr="00A50AD4">
        <w:rPr>
          <w:rFonts w:ascii="Arial" w:eastAsia="Times New Roman" w:hAnsi="Arial" w:cs="Times New Roman"/>
          <w:sz w:val="24"/>
          <w:szCs w:val="24"/>
          <w:lang w:val="en-US" w:bidi="en-US"/>
        </w:rPr>
        <w:t xml:space="preserve">List of Issues on </w:t>
      </w:r>
      <w:r w:rsidR="00213C04" w:rsidRPr="00A50AD4">
        <w:rPr>
          <w:rFonts w:ascii="Arial" w:eastAsia="Times New Roman" w:hAnsi="Arial" w:cs="Times New Roman"/>
          <w:b/>
          <w:bCs/>
          <w:sz w:val="24"/>
          <w:szCs w:val="24"/>
          <w:lang w:val="en-US" w:bidi="en-US"/>
        </w:rPr>
        <w:t>Cyprus</w:t>
      </w:r>
      <w:r w:rsidR="00213C04" w:rsidRPr="00A50AD4">
        <w:rPr>
          <w:rFonts w:ascii="Arial" w:eastAsia="Times New Roman" w:hAnsi="Arial" w:cs="Times New Roman"/>
          <w:sz w:val="24"/>
          <w:szCs w:val="24"/>
          <w:lang w:val="en-US" w:bidi="en-US"/>
        </w:rPr>
        <w:t xml:space="preserve">, </w:t>
      </w:r>
      <w:r w:rsidR="00213C04" w:rsidRPr="00A50AD4">
        <w:rPr>
          <w:rFonts w:ascii="Arial" w:eastAsia="Times New Roman" w:hAnsi="Arial" w:cs="Times New Roman"/>
          <w:b/>
          <w:bCs/>
          <w:sz w:val="24"/>
          <w:szCs w:val="24"/>
          <w:lang w:val="en-US" w:bidi="en-US"/>
        </w:rPr>
        <w:t>Iceland</w:t>
      </w:r>
      <w:r w:rsidR="00213C04" w:rsidRPr="00A50AD4">
        <w:rPr>
          <w:rFonts w:ascii="Arial" w:eastAsia="Times New Roman" w:hAnsi="Arial" w:cs="Times New Roman"/>
          <w:sz w:val="24"/>
          <w:szCs w:val="24"/>
          <w:lang w:val="en-US" w:bidi="en-US"/>
        </w:rPr>
        <w:t xml:space="preserve"> and </w:t>
      </w:r>
      <w:r w:rsidR="00213C04" w:rsidRPr="00A50AD4">
        <w:rPr>
          <w:rFonts w:ascii="Arial" w:eastAsia="Times New Roman" w:hAnsi="Arial" w:cs="Times New Roman"/>
          <w:b/>
          <w:bCs/>
          <w:sz w:val="24"/>
          <w:szCs w:val="24"/>
          <w:lang w:val="en-US" w:bidi="en-US"/>
        </w:rPr>
        <w:t>Poland</w:t>
      </w:r>
    </w:p>
    <w:p w14:paraId="668B459F" w14:textId="74A95B48" w:rsidR="005223FD" w:rsidRPr="00A50AD4" w:rsidRDefault="005223FD" w:rsidP="00A50AD4">
      <w:pPr>
        <w:numPr>
          <w:ilvl w:val="0"/>
          <w:numId w:val="13"/>
        </w:numPr>
        <w:spacing w:before="120" w:after="0" w:line="360" w:lineRule="auto"/>
        <w:rPr>
          <w:rFonts w:ascii="Arial" w:eastAsia="Times New Roman" w:hAnsi="Arial" w:cs="Times New Roman"/>
          <w:sz w:val="24"/>
          <w:szCs w:val="24"/>
          <w:lang w:val="en-US" w:bidi="en-US"/>
        </w:rPr>
      </w:pPr>
      <w:r w:rsidRPr="00A50AD4">
        <w:rPr>
          <w:rFonts w:ascii="Arial" w:eastAsia="Times New Roman" w:hAnsi="Arial" w:cs="Times New Roman"/>
          <w:sz w:val="24"/>
          <w:szCs w:val="24"/>
          <w:lang w:val="en-US" w:bidi="en-US"/>
        </w:rPr>
        <w:t>February/March 2023: review of</w:t>
      </w:r>
      <w:r w:rsidRPr="00A50AD4">
        <w:rPr>
          <w:rFonts w:ascii="Arial" w:eastAsia="Times New Roman" w:hAnsi="Arial" w:cs="Times New Roman"/>
          <w:b/>
          <w:bCs/>
          <w:sz w:val="24"/>
          <w:szCs w:val="24"/>
          <w:lang w:val="en-US" w:bidi="en-US"/>
        </w:rPr>
        <w:t xml:space="preserve"> Lithuania </w:t>
      </w:r>
      <w:r w:rsidRPr="00A50AD4">
        <w:rPr>
          <w:rFonts w:ascii="Arial" w:eastAsia="Times New Roman" w:hAnsi="Arial" w:cs="Times New Roman"/>
          <w:sz w:val="24"/>
          <w:szCs w:val="24"/>
          <w:lang w:val="en-US" w:bidi="en-US"/>
        </w:rPr>
        <w:t>and</w:t>
      </w:r>
      <w:r w:rsidRPr="00A50AD4">
        <w:rPr>
          <w:rFonts w:ascii="Arial" w:eastAsia="Times New Roman" w:hAnsi="Arial" w:cs="Times New Roman"/>
          <w:b/>
          <w:bCs/>
          <w:sz w:val="24"/>
          <w:szCs w:val="24"/>
          <w:lang w:val="en-US" w:bidi="en-US"/>
        </w:rPr>
        <w:t xml:space="preserve"> Portugal</w:t>
      </w:r>
    </w:p>
    <w:p w14:paraId="0FB43F83" w14:textId="77777777" w:rsidR="00205038" w:rsidRPr="00A50AD4" w:rsidRDefault="00A50AD4" w:rsidP="00A50AD4">
      <w:pPr>
        <w:spacing w:before="120" w:after="0" w:line="360" w:lineRule="auto"/>
        <w:rPr>
          <w:rFonts w:ascii="Arial" w:eastAsia="Times New Roman" w:hAnsi="Arial" w:cs="Times New Roman"/>
          <w:b/>
          <w:bCs/>
          <w:sz w:val="24"/>
          <w:szCs w:val="24"/>
          <w:lang w:val="en-US" w:bidi="en-US"/>
        </w:rPr>
      </w:pPr>
      <w:hyperlink r:id="rId17" w:history="1">
        <w:r w:rsidR="00205038" w:rsidRPr="00A50AD4">
          <w:rPr>
            <w:rFonts w:ascii="Arial" w:eastAsia="Times New Roman" w:hAnsi="Arial" w:cs="Times New Roman"/>
            <w:b/>
            <w:bCs/>
            <w:color w:val="0000FF"/>
            <w:sz w:val="24"/>
            <w:szCs w:val="24"/>
            <w:u w:val="single"/>
            <w:lang w:val="en-US" w:bidi="en-US"/>
          </w:rPr>
          <w:t>Committee on the Rights of the Child</w:t>
        </w:r>
      </w:hyperlink>
      <w:r w:rsidR="00205038" w:rsidRPr="00A50AD4">
        <w:rPr>
          <w:rFonts w:ascii="Arial" w:eastAsia="Times New Roman" w:hAnsi="Arial" w:cs="Times New Roman"/>
          <w:b/>
          <w:bCs/>
          <w:sz w:val="24"/>
          <w:szCs w:val="24"/>
          <w:lang w:val="en-US" w:bidi="en-US"/>
        </w:rPr>
        <w:t xml:space="preserve"> (CRC) </w:t>
      </w:r>
    </w:p>
    <w:p w14:paraId="2CB516EF" w14:textId="1AC01355" w:rsidR="00213C04" w:rsidRPr="00A50AD4" w:rsidRDefault="00213C04" w:rsidP="00A50AD4">
      <w:pPr>
        <w:numPr>
          <w:ilvl w:val="0"/>
          <w:numId w:val="14"/>
        </w:numPr>
        <w:spacing w:before="120" w:after="0" w:line="360" w:lineRule="auto"/>
        <w:rPr>
          <w:rFonts w:ascii="Arial" w:eastAsia="Times New Roman" w:hAnsi="Arial" w:cs="Times New Roman"/>
          <w:sz w:val="24"/>
          <w:szCs w:val="24"/>
          <w:lang w:val="en-US" w:bidi="en-US"/>
        </w:rPr>
      </w:pPr>
      <w:r w:rsidRPr="00A50AD4">
        <w:rPr>
          <w:rFonts w:ascii="Arial" w:eastAsia="Times New Roman" w:hAnsi="Arial" w:cs="Times New Roman"/>
          <w:sz w:val="24"/>
          <w:szCs w:val="24"/>
          <w:lang w:val="en-US" w:bidi="en-US"/>
        </w:rPr>
        <w:t>May</w:t>
      </w:r>
      <w:r w:rsidR="005223FD" w:rsidRPr="00A50AD4">
        <w:rPr>
          <w:rFonts w:ascii="Arial" w:eastAsia="Times New Roman" w:hAnsi="Arial" w:cs="Times New Roman"/>
          <w:sz w:val="24"/>
          <w:szCs w:val="24"/>
          <w:lang w:val="en-US" w:bidi="en-US"/>
        </w:rPr>
        <w:t>/June</w:t>
      </w:r>
      <w:r w:rsidRPr="00A50AD4">
        <w:rPr>
          <w:rFonts w:ascii="Arial" w:eastAsia="Times New Roman" w:hAnsi="Arial" w:cs="Times New Roman"/>
          <w:sz w:val="24"/>
          <w:szCs w:val="24"/>
          <w:lang w:val="en-US" w:bidi="en-US"/>
        </w:rPr>
        <w:t xml:space="preserve"> 2022: review of</w:t>
      </w:r>
      <w:r w:rsidRPr="00A50AD4">
        <w:rPr>
          <w:rFonts w:ascii="Arial" w:eastAsia="Times New Roman" w:hAnsi="Arial" w:cs="Times New Roman"/>
          <w:b/>
          <w:bCs/>
          <w:sz w:val="24"/>
          <w:szCs w:val="24"/>
          <w:lang w:val="en-US" w:bidi="en-US"/>
        </w:rPr>
        <w:t xml:space="preserve"> Croatia</w:t>
      </w:r>
      <w:r w:rsidRPr="00A50AD4">
        <w:rPr>
          <w:rFonts w:ascii="Arial" w:eastAsia="Times New Roman" w:hAnsi="Arial" w:cs="Times New Roman"/>
          <w:sz w:val="24"/>
          <w:szCs w:val="24"/>
          <w:lang w:val="en-US" w:bidi="en-US"/>
        </w:rPr>
        <w:t>,</w:t>
      </w:r>
      <w:r w:rsidRPr="00A50AD4">
        <w:rPr>
          <w:rFonts w:ascii="Arial" w:eastAsia="Times New Roman" w:hAnsi="Arial" w:cs="Times New Roman"/>
          <w:b/>
          <w:bCs/>
          <w:sz w:val="24"/>
          <w:szCs w:val="24"/>
          <w:lang w:val="en-US" w:bidi="en-US"/>
        </w:rPr>
        <w:t xml:space="preserve"> Cyprus</w:t>
      </w:r>
      <w:r w:rsidRPr="00A50AD4">
        <w:rPr>
          <w:rFonts w:ascii="Arial" w:eastAsia="Times New Roman" w:hAnsi="Arial" w:cs="Times New Roman"/>
          <w:sz w:val="24"/>
          <w:szCs w:val="24"/>
          <w:lang w:val="en-US" w:bidi="en-US"/>
        </w:rPr>
        <w:t>,</w:t>
      </w:r>
      <w:r w:rsidRPr="00A50AD4">
        <w:rPr>
          <w:rFonts w:ascii="Arial" w:eastAsia="Times New Roman" w:hAnsi="Arial" w:cs="Times New Roman"/>
          <w:b/>
          <w:bCs/>
          <w:sz w:val="24"/>
          <w:szCs w:val="24"/>
          <w:lang w:val="en-US" w:bidi="en-US"/>
        </w:rPr>
        <w:t xml:space="preserve"> Greece </w:t>
      </w:r>
      <w:r w:rsidRPr="00A50AD4">
        <w:rPr>
          <w:rFonts w:ascii="Arial" w:eastAsia="Times New Roman" w:hAnsi="Arial" w:cs="Times New Roman"/>
          <w:sz w:val="24"/>
          <w:szCs w:val="24"/>
          <w:lang w:val="en-US" w:bidi="en-US"/>
        </w:rPr>
        <w:t xml:space="preserve">and </w:t>
      </w:r>
      <w:r w:rsidRPr="00A50AD4">
        <w:rPr>
          <w:rFonts w:ascii="Arial" w:eastAsia="Times New Roman" w:hAnsi="Arial" w:cs="Times New Roman"/>
          <w:b/>
          <w:bCs/>
          <w:sz w:val="24"/>
          <w:szCs w:val="24"/>
          <w:lang w:val="en-US" w:bidi="en-US"/>
        </w:rPr>
        <w:t>Iceland</w:t>
      </w:r>
      <w:r w:rsidRPr="00A50AD4">
        <w:rPr>
          <w:rFonts w:ascii="Arial" w:eastAsia="Times New Roman" w:hAnsi="Arial" w:cs="Times New Roman"/>
          <w:sz w:val="24"/>
          <w:szCs w:val="24"/>
          <w:lang w:val="en-US" w:bidi="en-US"/>
        </w:rPr>
        <w:t xml:space="preserve"> </w:t>
      </w:r>
    </w:p>
    <w:p w14:paraId="3A3D9E19" w14:textId="578B2F16" w:rsidR="00213C04" w:rsidRPr="00A50AD4" w:rsidRDefault="005223FD" w:rsidP="00A50AD4">
      <w:pPr>
        <w:numPr>
          <w:ilvl w:val="0"/>
          <w:numId w:val="14"/>
        </w:numPr>
        <w:spacing w:before="120" w:after="0" w:line="360" w:lineRule="auto"/>
        <w:rPr>
          <w:rFonts w:ascii="Arial" w:eastAsia="Times New Roman" w:hAnsi="Arial" w:cs="Times New Roman"/>
          <w:sz w:val="24"/>
          <w:szCs w:val="24"/>
          <w:lang w:val="en-US" w:bidi="en-US"/>
        </w:rPr>
      </w:pPr>
      <w:r w:rsidRPr="00A50AD4">
        <w:rPr>
          <w:rFonts w:ascii="Arial" w:eastAsia="Times New Roman" w:hAnsi="Arial" w:cs="Times New Roman"/>
          <w:sz w:val="24"/>
          <w:szCs w:val="24"/>
          <w:lang w:val="en-US" w:bidi="en-US"/>
        </w:rPr>
        <w:t>August/</w:t>
      </w:r>
      <w:r w:rsidR="00213C04" w:rsidRPr="00A50AD4">
        <w:rPr>
          <w:rFonts w:ascii="Arial" w:eastAsia="Times New Roman" w:hAnsi="Arial" w:cs="Times New Roman"/>
          <w:sz w:val="24"/>
          <w:szCs w:val="24"/>
          <w:lang w:val="en-US" w:bidi="en-US"/>
        </w:rPr>
        <w:t xml:space="preserve">September 2022: review of </w:t>
      </w:r>
      <w:r w:rsidR="00213C04" w:rsidRPr="00A50AD4">
        <w:rPr>
          <w:rFonts w:ascii="Arial" w:eastAsia="Times New Roman" w:hAnsi="Arial" w:cs="Times New Roman"/>
          <w:b/>
          <w:bCs/>
          <w:sz w:val="24"/>
          <w:szCs w:val="24"/>
          <w:lang w:val="en-US" w:bidi="en-US"/>
        </w:rPr>
        <w:t>Germany</w:t>
      </w:r>
      <w:r w:rsidRPr="00A50AD4">
        <w:rPr>
          <w:rFonts w:ascii="Arial" w:eastAsia="Times New Roman" w:hAnsi="Arial" w:cs="Times New Roman"/>
          <w:sz w:val="24"/>
          <w:szCs w:val="24"/>
          <w:lang w:val="en-US" w:bidi="en-US"/>
        </w:rPr>
        <w:t xml:space="preserve">, </w:t>
      </w:r>
      <w:r w:rsidR="00213C04" w:rsidRPr="00A50AD4">
        <w:rPr>
          <w:rFonts w:ascii="Arial" w:eastAsia="Times New Roman" w:hAnsi="Arial" w:cs="Times New Roman"/>
          <w:b/>
          <w:bCs/>
          <w:sz w:val="24"/>
          <w:szCs w:val="24"/>
          <w:lang w:val="en-US" w:bidi="en-US"/>
        </w:rPr>
        <w:t>North Macedonia</w:t>
      </w:r>
      <w:r w:rsidR="00213C04" w:rsidRPr="00A50AD4">
        <w:rPr>
          <w:rFonts w:ascii="Arial" w:eastAsia="Times New Roman" w:hAnsi="Arial" w:cs="Times New Roman"/>
          <w:sz w:val="24"/>
          <w:szCs w:val="24"/>
          <w:lang w:val="en-US" w:bidi="en-US"/>
        </w:rPr>
        <w:t xml:space="preserve"> </w:t>
      </w:r>
      <w:r w:rsidRPr="00A50AD4">
        <w:rPr>
          <w:rFonts w:ascii="Arial" w:eastAsia="Times New Roman" w:hAnsi="Arial" w:cs="Times New Roman"/>
          <w:sz w:val="24"/>
          <w:szCs w:val="24"/>
          <w:lang w:val="en-US" w:bidi="en-US"/>
        </w:rPr>
        <w:t xml:space="preserve">and </w:t>
      </w:r>
      <w:r w:rsidRPr="00A50AD4">
        <w:rPr>
          <w:rFonts w:ascii="Arial" w:eastAsia="Times New Roman" w:hAnsi="Arial" w:cs="Times New Roman"/>
          <w:b/>
          <w:bCs/>
          <w:sz w:val="24"/>
          <w:szCs w:val="24"/>
          <w:lang w:val="en-US" w:bidi="en-US"/>
        </w:rPr>
        <w:t>Ukraine</w:t>
      </w:r>
      <w:r w:rsidRPr="00A50AD4">
        <w:rPr>
          <w:rFonts w:ascii="Arial" w:eastAsia="Times New Roman" w:hAnsi="Arial" w:cs="Times New Roman"/>
          <w:sz w:val="24"/>
          <w:szCs w:val="24"/>
          <w:lang w:val="en-US" w:bidi="en-US"/>
        </w:rPr>
        <w:t xml:space="preserve"> </w:t>
      </w:r>
    </w:p>
    <w:p w14:paraId="6E1A3060" w14:textId="77777777" w:rsidR="00205038" w:rsidRPr="00A50AD4" w:rsidRDefault="00A50AD4" w:rsidP="00A50AD4">
      <w:pPr>
        <w:spacing w:before="120" w:after="0" w:line="360" w:lineRule="auto"/>
        <w:rPr>
          <w:rFonts w:ascii="Arial" w:eastAsia="Times New Roman" w:hAnsi="Arial" w:cs="Times New Roman"/>
          <w:b/>
          <w:bCs/>
          <w:sz w:val="24"/>
          <w:szCs w:val="24"/>
          <w:lang w:val="en-US" w:bidi="en-US"/>
        </w:rPr>
      </w:pPr>
      <w:hyperlink r:id="rId18" w:history="1">
        <w:r w:rsidR="00205038" w:rsidRPr="00A50AD4">
          <w:rPr>
            <w:rFonts w:ascii="Arial" w:eastAsia="Times New Roman" w:hAnsi="Arial" w:cs="Times New Roman"/>
            <w:b/>
            <w:bCs/>
            <w:color w:val="0000FF"/>
            <w:sz w:val="24"/>
            <w:szCs w:val="24"/>
            <w:u w:val="single"/>
            <w:lang w:val="en-US" w:bidi="en-US"/>
          </w:rPr>
          <w:t>Committee Against Torture</w:t>
        </w:r>
      </w:hyperlink>
      <w:r w:rsidR="00205038" w:rsidRPr="00A50AD4">
        <w:rPr>
          <w:rFonts w:ascii="Arial" w:eastAsia="Times New Roman" w:hAnsi="Arial" w:cs="Times New Roman"/>
          <w:b/>
          <w:bCs/>
          <w:sz w:val="24"/>
          <w:szCs w:val="24"/>
          <w:lang w:val="en-US" w:bidi="en-US"/>
        </w:rPr>
        <w:t xml:space="preserve"> (CAT) </w:t>
      </w:r>
    </w:p>
    <w:p w14:paraId="301A5803" w14:textId="77777777" w:rsidR="00213C04" w:rsidRPr="00A50AD4" w:rsidRDefault="00213C04" w:rsidP="00A50AD4">
      <w:pPr>
        <w:numPr>
          <w:ilvl w:val="0"/>
          <w:numId w:val="14"/>
        </w:numPr>
        <w:spacing w:before="120" w:line="360" w:lineRule="auto"/>
        <w:rPr>
          <w:rFonts w:ascii="Arial" w:eastAsia="Times New Roman" w:hAnsi="Arial" w:cs="Times New Roman"/>
          <w:sz w:val="24"/>
          <w:szCs w:val="24"/>
          <w:lang w:val="en-US" w:bidi="en-US"/>
        </w:rPr>
      </w:pPr>
      <w:r w:rsidRPr="00A50AD4">
        <w:rPr>
          <w:rFonts w:ascii="Arial" w:eastAsia="Times New Roman" w:hAnsi="Arial" w:cs="Times New Roman"/>
          <w:sz w:val="24"/>
          <w:szCs w:val="24"/>
          <w:lang w:val="en-US" w:bidi="en-US"/>
        </w:rPr>
        <w:t xml:space="preserve">April/May 2022: review of </w:t>
      </w:r>
      <w:r w:rsidRPr="00A50AD4">
        <w:rPr>
          <w:rFonts w:ascii="Arial" w:eastAsia="Times New Roman" w:hAnsi="Arial" w:cs="Times New Roman"/>
          <w:b/>
          <w:bCs/>
          <w:sz w:val="24"/>
          <w:szCs w:val="24"/>
          <w:lang w:val="en-US" w:bidi="en-US"/>
        </w:rPr>
        <w:t>Iceland</w:t>
      </w:r>
      <w:r w:rsidRPr="00A50AD4">
        <w:rPr>
          <w:rFonts w:ascii="Arial" w:eastAsia="Times New Roman" w:hAnsi="Arial" w:cs="Times New Roman"/>
          <w:sz w:val="24"/>
          <w:szCs w:val="24"/>
          <w:lang w:val="en-US" w:bidi="en-US"/>
        </w:rPr>
        <w:t xml:space="preserve"> and </w:t>
      </w:r>
      <w:r w:rsidRPr="00A50AD4">
        <w:rPr>
          <w:rFonts w:ascii="Arial" w:eastAsia="Times New Roman" w:hAnsi="Arial" w:cs="Times New Roman"/>
          <w:b/>
          <w:bCs/>
          <w:sz w:val="24"/>
          <w:szCs w:val="24"/>
          <w:lang w:val="en-US" w:bidi="en-US"/>
        </w:rPr>
        <w:t>Montenegro</w:t>
      </w:r>
      <w:r w:rsidRPr="00A50AD4">
        <w:rPr>
          <w:rFonts w:ascii="Arial" w:eastAsia="Times New Roman" w:hAnsi="Arial" w:cs="Times New Roman"/>
          <w:sz w:val="24"/>
          <w:szCs w:val="24"/>
          <w:lang w:val="en-US" w:bidi="en-US"/>
        </w:rPr>
        <w:t xml:space="preserve">; List of Issues Prior to Reporting on </w:t>
      </w:r>
      <w:r w:rsidRPr="00A50AD4">
        <w:rPr>
          <w:rFonts w:ascii="Arial" w:eastAsia="Times New Roman" w:hAnsi="Arial" w:cs="Times New Roman"/>
          <w:b/>
          <w:bCs/>
          <w:sz w:val="24"/>
          <w:szCs w:val="24"/>
          <w:lang w:val="en-US" w:bidi="en-US"/>
        </w:rPr>
        <w:t>Germany</w:t>
      </w:r>
      <w:r w:rsidRPr="00A50AD4">
        <w:rPr>
          <w:rFonts w:ascii="Arial" w:eastAsia="Times New Roman" w:hAnsi="Arial" w:cs="Times New Roman"/>
          <w:sz w:val="24"/>
          <w:szCs w:val="24"/>
          <w:lang w:val="en-US" w:bidi="en-US"/>
        </w:rPr>
        <w:t xml:space="preserve">, </w:t>
      </w:r>
      <w:r w:rsidRPr="00A50AD4">
        <w:rPr>
          <w:rFonts w:ascii="Arial" w:eastAsia="Times New Roman" w:hAnsi="Arial" w:cs="Times New Roman"/>
          <w:b/>
          <w:bCs/>
          <w:sz w:val="24"/>
          <w:szCs w:val="24"/>
          <w:lang w:val="en-US" w:bidi="en-US"/>
        </w:rPr>
        <w:t>Greece</w:t>
      </w:r>
      <w:r w:rsidRPr="00A50AD4">
        <w:rPr>
          <w:rFonts w:ascii="Arial" w:eastAsia="Times New Roman" w:hAnsi="Arial" w:cs="Times New Roman"/>
          <w:sz w:val="24"/>
          <w:szCs w:val="24"/>
          <w:lang w:val="en-US" w:bidi="en-US"/>
        </w:rPr>
        <w:t xml:space="preserve">, </w:t>
      </w:r>
      <w:r w:rsidRPr="00A50AD4">
        <w:rPr>
          <w:rFonts w:ascii="Arial" w:eastAsia="Times New Roman" w:hAnsi="Arial" w:cs="Times New Roman"/>
          <w:b/>
          <w:bCs/>
          <w:sz w:val="24"/>
          <w:szCs w:val="24"/>
          <w:lang w:val="en-US" w:bidi="en-US"/>
        </w:rPr>
        <w:t>Poland</w:t>
      </w:r>
      <w:r w:rsidRPr="00A50AD4">
        <w:rPr>
          <w:rFonts w:ascii="Arial" w:eastAsia="Times New Roman" w:hAnsi="Arial" w:cs="Times New Roman"/>
          <w:sz w:val="24"/>
          <w:szCs w:val="24"/>
          <w:lang w:val="en-US" w:bidi="en-US"/>
        </w:rPr>
        <w:t xml:space="preserve"> and the </w:t>
      </w:r>
      <w:r w:rsidRPr="00A50AD4">
        <w:rPr>
          <w:rFonts w:ascii="Arial" w:eastAsia="Times New Roman" w:hAnsi="Arial" w:cs="Times New Roman"/>
          <w:b/>
          <w:bCs/>
          <w:sz w:val="24"/>
          <w:szCs w:val="24"/>
          <w:lang w:val="en-US" w:bidi="en-US"/>
        </w:rPr>
        <w:t>United Kingdom</w:t>
      </w:r>
      <w:r w:rsidRPr="00A50AD4">
        <w:rPr>
          <w:rFonts w:ascii="Arial" w:eastAsia="Times New Roman" w:hAnsi="Arial" w:cs="Times New Roman"/>
          <w:sz w:val="24"/>
          <w:szCs w:val="24"/>
          <w:lang w:val="en-US" w:bidi="en-US"/>
        </w:rPr>
        <w:t xml:space="preserve"> </w:t>
      </w:r>
    </w:p>
    <w:p w14:paraId="7DAF4A78" w14:textId="0E73D958" w:rsidR="00213C04" w:rsidRPr="00A50AD4" w:rsidRDefault="007F4A1A" w:rsidP="00A50AD4">
      <w:pPr>
        <w:numPr>
          <w:ilvl w:val="0"/>
          <w:numId w:val="14"/>
        </w:numPr>
        <w:spacing w:before="120" w:line="360" w:lineRule="auto"/>
        <w:rPr>
          <w:rFonts w:ascii="Arial" w:eastAsia="Times New Roman" w:hAnsi="Arial" w:cs="Times New Roman"/>
          <w:sz w:val="24"/>
          <w:szCs w:val="24"/>
          <w:lang w:val="en-US" w:bidi="en-US"/>
        </w:rPr>
      </w:pPr>
      <w:r w:rsidRPr="00A50AD4">
        <w:rPr>
          <w:rFonts w:ascii="Arial" w:eastAsia="Times New Roman" w:hAnsi="Arial" w:cs="Times New Roman"/>
          <w:sz w:val="24"/>
          <w:szCs w:val="24"/>
          <w:lang w:val="en-US" w:bidi="en-US"/>
        </w:rPr>
        <w:t xml:space="preserve">October </w:t>
      </w:r>
      <w:r w:rsidR="00213C04" w:rsidRPr="00A50AD4">
        <w:rPr>
          <w:rFonts w:ascii="Arial" w:eastAsia="Times New Roman" w:hAnsi="Arial" w:cs="Times New Roman"/>
          <w:sz w:val="24"/>
          <w:szCs w:val="24"/>
          <w:lang w:val="en-US" w:bidi="en-US"/>
        </w:rPr>
        <w:t xml:space="preserve">2022: </w:t>
      </w:r>
      <w:r w:rsidRPr="00A50AD4">
        <w:rPr>
          <w:rFonts w:ascii="Arial" w:eastAsia="Times New Roman" w:hAnsi="Arial" w:cs="Times New Roman"/>
          <w:sz w:val="24"/>
          <w:szCs w:val="24"/>
          <w:lang w:val="en-US" w:bidi="en-US"/>
        </w:rPr>
        <w:t xml:space="preserve">List of issues prior to Reporting on </w:t>
      </w:r>
      <w:r w:rsidRPr="00A50AD4">
        <w:rPr>
          <w:rFonts w:ascii="Arial" w:eastAsia="Times New Roman" w:hAnsi="Arial" w:cs="Times New Roman"/>
          <w:b/>
          <w:bCs/>
          <w:sz w:val="24"/>
          <w:szCs w:val="24"/>
          <w:lang w:val="en-US" w:bidi="en-US"/>
        </w:rPr>
        <w:t>Cyprus</w:t>
      </w:r>
      <w:r w:rsidRPr="00A50AD4">
        <w:rPr>
          <w:rFonts w:ascii="Arial" w:eastAsia="Times New Roman" w:hAnsi="Arial" w:cs="Times New Roman"/>
          <w:sz w:val="24"/>
          <w:szCs w:val="24"/>
          <w:lang w:val="en-US" w:bidi="en-US"/>
        </w:rPr>
        <w:t xml:space="preserve"> and </w:t>
      </w:r>
      <w:r w:rsidRPr="00A50AD4">
        <w:rPr>
          <w:rFonts w:ascii="Arial" w:eastAsia="Times New Roman" w:hAnsi="Arial" w:cs="Times New Roman"/>
          <w:b/>
          <w:bCs/>
          <w:sz w:val="24"/>
          <w:szCs w:val="24"/>
          <w:lang w:val="en-US" w:bidi="en-US"/>
        </w:rPr>
        <w:t>Latvia</w:t>
      </w:r>
      <w:r w:rsidRPr="00A50AD4">
        <w:rPr>
          <w:rFonts w:ascii="Arial" w:eastAsia="Times New Roman" w:hAnsi="Arial" w:cs="Times New Roman"/>
          <w:sz w:val="24"/>
          <w:szCs w:val="24"/>
          <w:lang w:val="en-US" w:bidi="en-US"/>
        </w:rPr>
        <w:t xml:space="preserve"> </w:t>
      </w:r>
      <w:r w:rsidR="00213C04" w:rsidRPr="00A50AD4">
        <w:rPr>
          <w:rFonts w:ascii="Arial" w:eastAsia="Times New Roman" w:hAnsi="Arial" w:cs="Times New Roman"/>
          <w:sz w:val="24"/>
          <w:szCs w:val="24"/>
          <w:lang w:val="en-US" w:bidi="en-US"/>
        </w:rPr>
        <w:t xml:space="preserve"> </w:t>
      </w:r>
    </w:p>
    <w:p w14:paraId="004BB719" w14:textId="77777777" w:rsidR="008E2956" w:rsidRDefault="008E2956" w:rsidP="008E2956">
      <w:pPr>
        <w:pStyle w:val="Heading3"/>
        <w:rPr>
          <w:lang w:val="en-US"/>
        </w:rPr>
      </w:pPr>
      <w:r>
        <w:rPr>
          <w:lang w:val="en-US"/>
        </w:rPr>
        <w:t xml:space="preserve">Elections </w:t>
      </w:r>
    </w:p>
    <w:p w14:paraId="73BBDF2B" w14:textId="77777777" w:rsidR="008E2956" w:rsidRDefault="008E2956" w:rsidP="008E2956">
      <w:pPr>
        <w:rPr>
          <w:rFonts w:ascii="Arial" w:hAnsi="Arial" w:cs="Arial"/>
          <w:sz w:val="24"/>
          <w:szCs w:val="24"/>
          <w:lang w:val="en-US"/>
        </w:rPr>
      </w:pPr>
      <w:r w:rsidRPr="0069161E">
        <w:rPr>
          <w:rFonts w:ascii="Arial" w:hAnsi="Arial" w:cs="Arial"/>
          <w:sz w:val="24"/>
          <w:szCs w:val="24"/>
          <w:lang w:val="en-US"/>
        </w:rPr>
        <w:t>There will be new elections of members of the CRPD and CEDAW Committee</w:t>
      </w:r>
      <w:r>
        <w:rPr>
          <w:rFonts w:ascii="Arial" w:hAnsi="Arial" w:cs="Arial"/>
          <w:sz w:val="24"/>
          <w:szCs w:val="24"/>
          <w:lang w:val="en-US"/>
        </w:rPr>
        <w:t>s</w:t>
      </w:r>
      <w:r w:rsidRPr="0069161E">
        <w:rPr>
          <w:rFonts w:ascii="Arial" w:hAnsi="Arial" w:cs="Arial"/>
          <w:sz w:val="24"/>
          <w:szCs w:val="24"/>
          <w:lang w:val="en-US"/>
        </w:rPr>
        <w:t xml:space="preserve"> in 2022. </w:t>
      </w:r>
    </w:p>
    <w:p w14:paraId="35D63AB8" w14:textId="60A2644D" w:rsidR="00770A9A" w:rsidRPr="008E2956" w:rsidRDefault="00431128" w:rsidP="008E2956">
      <w:pPr>
        <w:rPr>
          <w:rFonts w:ascii="Arial" w:hAnsi="Arial" w:cs="Arial"/>
          <w:sz w:val="24"/>
          <w:szCs w:val="24"/>
          <w:lang w:val="en-US"/>
        </w:rPr>
      </w:pPr>
      <w:r>
        <w:rPr>
          <w:rFonts w:ascii="Arial" w:hAnsi="Arial" w:cs="Arial"/>
          <w:sz w:val="24"/>
          <w:szCs w:val="24"/>
          <w:lang w:val="en-US"/>
        </w:rPr>
        <w:t>EDF’s support the candidacy of</w:t>
      </w:r>
      <w:r w:rsidR="008E2956">
        <w:rPr>
          <w:rFonts w:ascii="Arial" w:hAnsi="Arial" w:cs="Arial"/>
          <w:sz w:val="24"/>
          <w:szCs w:val="24"/>
          <w:lang w:val="en-US"/>
        </w:rPr>
        <w:t xml:space="preserve"> </w:t>
      </w:r>
      <w:hyperlink r:id="rId19" w:history="1">
        <w:r>
          <w:rPr>
            <w:rStyle w:val="Hyperlink"/>
            <w:rFonts w:ascii="Arial" w:hAnsi="Arial" w:cs="Arial"/>
            <w:sz w:val="24"/>
            <w:szCs w:val="24"/>
            <w:lang w:val="en-US"/>
          </w:rPr>
          <w:t>Sif Holst</w:t>
        </w:r>
      </w:hyperlink>
      <w:r w:rsidR="008E2956">
        <w:rPr>
          <w:rFonts w:ascii="Arial" w:hAnsi="Arial" w:cs="Arial"/>
          <w:sz w:val="24"/>
          <w:szCs w:val="24"/>
          <w:lang w:val="en-US"/>
        </w:rPr>
        <w:t xml:space="preserve">, Vice-Chair of DPOD in Denmark, </w:t>
      </w:r>
      <w:r>
        <w:rPr>
          <w:rFonts w:ascii="Arial" w:hAnsi="Arial" w:cs="Arial"/>
          <w:sz w:val="24"/>
          <w:szCs w:val="24"/>
          <w:lang w:val="en-US"/>
        </w:rPr>
        <w:t>for the</w:t>
      </w:r>
      <w:r w:rsidR="008E2956">
        <w:rPr>
          <w:rFonts w:ascii="Arial" w:hAnsi="Arial" w:cs="Arial"/>
          <w:sz w:val="24"/>
          <w:szCs w:val="24"/>
          <w:lang w:val="en-US"/>
        </w:rPr>
        <w:t xml:space="preserve"> CRPD Committee</w:t>
      </w:r>
      <w:r>
        <w:rPr>
          <w:rFonts w:ascii="Arial" w:hAnsi="Arial" w:cs="Arial"/>
          <w:sz w:val="24"/>
          <w:szCs w:val="24"/>
          <w:lang w:val="en-US"/>
        </w:rPr>
        <w:t xml:space="preserve"> and the </w:t>
      </w:r>
      <w:hyperlink r:id="rId20" w:history="1">
        <w:r w:rsidR="00770A9A" w:rsidRPr="00770A9A">
          <w:rPr>
            <w:rStyle w:val="Hyperlink"/>
            <w:rFonts w:ascii="Arial" w:hAnsi="Arial" w:cs="Arial"/>
            <w:sz w:val="24"/>
            <w:szCs w:val="24"/>
            <w:lang w:val="en-US"/>
          </w:rPr>
          <w:t>candidacy of Ana Pelaez Narvaez</w:t>
        </w:r>
      </w:hyperlink>
      <w:r w:rsidR="00770A9A">
        <w:rPr>
          <w:rFonts w:ascii="Arial" w:hAnsi="Arial" w:cs="Arial"/>
          <w:sz w:val="24"/>
          <w:szCs w:val="24"/>
          <w:lang w:val="en-US"/>
        </w:rPr>
        <w:t xml:space="preserve"> </w:t>
      </w:r>
      <w:r>
        <w:rPr>
          <w:rFonts w:ascii="Arial" w:hAnsi="Arial" w:cs="Arial"/>
          <w:sz w:val="24"/>
          <w:szCs w:val="24"/>
          <w:lang w:val="en-US"/>
        </w:rPr>
        <w:t xml:space="preserve">for </w:t>
      </w:r>
      <w:r w:rsidR="00770A9A">
        <w:rPr>
          <w:rFonts w:ascii="Arial" w:hAnsi="Arial" w:cs="Arial"/>
          <w:sz w:val="24"/>
          <w:szCs w:val="24"/>
          <w:lang w:val="en-US"/>
        </w:rPr>
        <w:t xml:space="preserve">the CEDAW Committee. </w:t>
      </w:r>
    </w:p>
    <w:p w14:paraId="421370E4" w14:textId="6BD8B87F" w:rsidR="00A56E72" w:rsidRPr="00A56E72" w:rsidRDefault="00A56E72" w:rsidP="00D5089D">
      <w:pPr>
        <w:pStyle w:val="Heading2"/>
        <w:rPr>
          <w:lang w:val="en-GB"/>
        </w:rPr>
      </w:pPr>
      <w:r>
        <w:rPr>
          <w:lang w:val="en-GB"/>
        </w:rPr>
        <w:t xml:space="preserve">Development at EU level </w:t>
      </w:r>
    </w:p>
    <w:p w14:paraId="0B797AA0" w14:textId="77777777" w:rsidR="00863290" w:rsidRPr="00313802" w:rsidRDefault="00863290" w:rsidP="00863290">
      <w:pPr>
        <w:pStyle w:val="ListParagraph"/>
        <w:numPr>
          <w:ilvl w:val="0"/>
          <w:numId w:val="8"/>
        </w:numPr>
        <w:spacing w:before="240" w:line="276" w:lineRule="auto"/>
        <w:contextualSpacing w:val="0"/>
        <w:rPr>
          <w:rFonts w:ascii="Arial" w:hAnsi="Arial" w:cs="Arial"/>
          <w:b/>
          <w:bCs/>
          <w:color w:val="000000" w:themeColor="text1"/>
          <w:sz w:val="24"/>
          <w:szCs w:val="24"/>
          <w:lang w:val="en-US"/>
        </w:rPr>
      </w:pPr>
      <w:bookmarkStart w:id="1" w:name="_Hlk102742350"/>
      <w:r>
        <w:rPr>
          <w:rFonts w:ascii="Arial" w:hAnsi="Arial" w:cs="Arial"/>
          <w:b/>
          <w:bCs/>
          <w:color w:val="000000" w:themeColor="text1"/>
          <w:sz w:val="24"/>
          <w:szCs w:val="24"/>
          <w:lang w:val="en-US"/>
        </w:rPr>
        <w:t xml:space="preserve">Proposal of a Directive on combating violence against women and domestic violence </w:t>
      </w:r>
    </w:p>
    <w:bookmarkEnd w:id="1"/>
    <w:p w14:paraId="1F27992C" w14:textId="536F2E38" w:rsidR="00863290" w:rsidRPr="003F50D8" w:rsidRDefault="00863290" w:rsidP="00231773">
      <w:pPr>
        <w:spacing w:line="276" w:lineRule="auto"/>
        <w:rPr>
          <w:rFonts w:ascii="Arial" w:hAnsi="Arial" w:cs="Arial"/>
          <w:color w:val="111111"/>
          <w:sz w:val="24"/>
          <w:szCs w:val="24"/>
          <w:shd w:val="clear" w:color="auto" w:fill="FFFFFF"/>
          <w:lang w:val="en-US"/>
        </w:rPr>
      </w:pPr>
      <w:r>
        <w:rPr>
          <w:rFonts w:ascii="Arial" w:hAnsi="Arial" w:cs="Arial"/>
          <w:color w:val="111111"/>
          <w:sz w:val="24"/>
          <w:szCs w:val="24"/>
          <w:shd w:val="clear" w:color="auto" w:fill="FFFFFF"/>
          <w:lang w:val="en-US"/>
        </w:rPr>
        <w:t>T</w:t>
      </w:r>
      <w:r w:rsidRPr="00090285">
        <w:rPr>
          <w:rFonts w:ascii="Arial" w:hAnsi="Arial" w:cs="Arial"/>
          <w:color w:val="111111"/>
          <w:sz w:val="24"/>
          <w:szCs w:val="24"/>
          <w:shd w:val="clear" w:color="auto" w:fill="FFFFFF"/>
          <w:lang w:val="en-GB"/>
        </w:rPr>
        <w:t xml:space="preserve">he European Commission </w:t>
      </w:r>
      <w:r w:rsidR="00231773">
        <w:rPr>
          <w:rFonts w:ascii="Arial" w:hAnsi="Arial" w:cs="Arial"/>
          <w:color w:val="111111"/>
          <w:sz w:val="24"/>
          <w:szCs w:val="24"/>
          <w:shd w:val="clear" w:color="auto" w:fill="FFFFFF"/>
          <w:lang w:val="en-GB"/>
        </w:rPr>
        <w:t>published a</w:t>
      </w:r>
      <w:r w:rsidRPr="00090285">
        <w:rPr>
          <w:rFonts w:ascii="Arial" w:hAnsi="Arial" w:cs="Arial"/>
          <w:color w:val="111111"/>
          <w:sz w:val="24"/>
          <w:szCs w:val="24"/>
          <w:shd w:val="clear" w:color="auto" w:fill="FFFFFF"/>
          <w:lang w:val="en-GB"/>
        </w:rPr>
        <w:t xml:space="preserve"> legislative proposal to combat violence against women and gender-based violence. </w:t>
      </w:r>
      <w:r w:rsidR="00231773">
        <w:rPr>
          <w:rFonts w:ascii="Arial" w:hAnsi="Arial" w:cs="Arial"/>
          <w:color w:val="111111"/>
          <w:sz w:val="24"/>
          <w:szCs w:val="24"/>
          <w:shd w:val="clear" w:color="auto" w:fill="FFFFFF"/>
          <w:lang w:val="en-GB"/>
        </w:rPr>
        <w:t xml:space="preserve">Last year, with the support of the Women’s Committee, </w:t>
      </w:r>
      <w:r w:rsidRPr="00090285">
        <w:rPr>
          <w:rFonts w:ascii="Arial" w:hAnsi="Arial" w:cs="Arial"/>
          <w:color w:val="111111"/>
          <w:sz w:val="24"/>
          <w:szCs w:val="24"/>
          <w:shd w:val="clear" w:color="auto" w:fill="FFFFFF"/>
          <w:lang w:val="en-GB"/>
        </w:rPr>
        <w:t xml:space="preserve">EDF published a </w:t>
      </w:r>
      <w:hyperlink r:id="rId21" w:history="1">
        <w:r w:rsidRPr="00090285">
          <w:rPr>
            <w:rStyle w:val="Hyperlink"/>
            <w:rFonts w:ascii="Arial" w:hAnsi="Arial" w:cs="Arial"/>
            <w:sz w:val="24"/>
            <w:szCs w:val="24"/>
            <w:shd w:val="clear" w:color="auto" w:fill="FFFFFF"/>
            <w:lang w:val="en-GB"/>
          </w:rPr>
          <w:t>position paper on violence against women and girls with disabilities in the EU</w:t>
        </w:r>
      </w:hyperlink>
      <w:r w:rsidRPr="00090285">
        <w:rPr>
          <w:rFonts w:ascii="Arial" w:hAnsi="Arial" w:cs="Arial"/>
          <w:color w:val="111111"/>
          <w:sz w:val="24"/>
          <w:szCs w:val="24"/>
          <w:shd w:val="clear" w:color="auto" w:fill="FFFFFF"/>
          <w:lang w:val="en-GB"/>
        </w:rPr>
        <w:t xml:space="preserve">, attended several meetings and participated in a Commission study. </w:t>
      </w:r>
    </w:p>
    <w:p w14:paraId="3E5B8C64" w14:textId="4EBD350F" w:rsidR="002F1477" w:rsidRPr="002F1477" w:rsidRDefault="002F1477" w:rsidP="002F1477">
      <w:pPr>
        <w:spacing w:before="240" w:after="0" w:line="276" w:lineRule="auto"/>
        <w:rPr>
          <w:rFonts w:ascii="Arial" w:hAnsi="Arial" w:cs="Arial"/>
          <w:color w:val="000000" w:themeColor="text1"/>
          <w:sz w:val="24"/>
          <w:szCs w:val="24"/>
          <w:lang w:val="en-US"/>
        </w:rPr>
      </w:pPr>
      <w:r w:rsidRPr="002F1477">
        <w:rPr>
          <w:rFonts w:ascii="Arial" w:hAnsi="Arial" w:cs="Arial"/>
          <w:color w:val="000000" w:themeColor="text1"/>
          <w:sz w:val="24"/>
          <w:szCs w:val="24"/>
          <w:lang w:val="en-US"/>
        </w:rPr>
        <w:t xml:space="preserve">The proposal </w:t>
      </w:r>
      <w:proofErr w:type="spellStart"/>
      <w:r w:rsidRPr="002F1477">
        <w:rPr>
          <w:rFonts w:ascii="Arial" w:hAnsi="Arial" w:cs="Arial"/>
          <w:color w:val="000000" w:themeColor="text1"/>
          <w:sz w:val="24"/>
          <w:szCs w:val="24"/>
          <w:lang w:val="en-US"/>
        </w:rPr>
        <w:t>recognises</w:t>
      </w:r>
      <w:proofErr w:type="spellEnd"/>
      <w:r w:rsidRPr="002F1477">
        <w:rPr>
          <w:rFonts w:ascii="Arial" w:hAnsi="Arial" w:cs="Arial"/>
          <w:color w:val="000000" w:themeColor="text1"/>
          <w:sz w:val="24"/>
          <w:szCs w:val="24"/>
          <w:lang w:val="en-US"/>
        </w:rPr>
        <w:t xml:space="preserve"> the rights and needs of women and girls with disabilities with 14 references in several areas of the proposal, including in the assessment of </w:t>
      </w:r>
      <w:r w:rsidRPr="002F1477">
        <w:rPr>
          <w:rFonts w:ascii="Arial" w:hAnsi="Arial" w:cs="Arial"/>
          <w:color w:val="000000" w:themeColor="text1"/>
          <w:sz w:val="24"/>
          <w:szCs w:val="24"/>
          <w:lang w:val="en-US"/>
        </w:rPr>
        <w:lastRenderedPageBreak/>
        <w:t>victims' needs, accessibility requirement for helplines, and aggravating</w:t>
      </w:r>
      <w:r>
        <w:rPr>
          <w:rFonts w:ascii="Arial" w:hAnsi="Arial" w:cs="Arial"/>
          <w:color w:val="000000" w:themeColor="text1"/>
          <w:sz w:val="24"/>
          <w:szCs w:val="24"/>
          <w:lang w:val="en-US"/>
        </w:rPr>
        <w:t xml:space="preserve"> </w:t>
      </w:r>
      <w:r w:rsidRPr="002F1477">
        <w:rPr>
          <w:rFonts w:ascii="Arial" w:hAnsi="Arial" w:cs="Arial"/>
          <w:color w:val="000000" w:themeColor="text1"/>
          <w:sz w:val="24"/>
          <w:szCs w:val="24"/>
          <w:lang w:val="en-US"/>
        </w:rPr>
        <w:t xml:space="preserve">circumstances for violence against women with disabilities, including in institutions. </w:t>
      </w:r>
    </w:p>
    <w:p w14:paraId="27561FC6" w14:textId="0EEFD754" w:rsidR="00863290" w:rsidRDefault="002F1477" w:rsidP="002F1477">
      <w:pPr>
        <w:spacing w:before="240" w:after="0" w:line="276" w:lineRule="auto"/>
        <w:rPr>
          <w:rFonts w:ascii="Arial" w:hAnsi="Arial" w:cs="Arial"/>
          <w:color w:val="000000" w:themeColor="text1"/>
          <w:sz w:val="24"/>
          <w:szCs w:val="24"/>
          <w:lang w:val="en-US"/>
        </w:rPr>
      </w:pPr>
      <w:r w:rsidRPr="002F1477">
        <w:rPr>
          <w:rFonts w:ascii="Arial" w:hAnsi="Arial" w:cs="Arial"/>
          <w:color w:val="000000" w:themeColor="text1"/>
          <w:sz w:val="24"/>
          <w:szCs w:val="24"/>
          <w:lang w:val="en-US"/>
        </w:rPr>
        <w:t xml:space="preserve">However, many gaps still remain. In particular, the proposal does not </w:t>
      </w:r>
      <w:proofErr w:type="spellStart"/>
      <w:r w:rsidRPr="002F1477">
        <w:rPr>
          <w:rFonts w:ascii="Arial" w:hAnsi="Arial" w:cs="Arial"/>
          <w:color w:val="000000" w:themeColor="text1"/>
          <w:sz w:val="24"/>
          <w:szCs w:val="24"/>
          <w:lang w:val="en-US"/>
        </w:rPr>
        <w:t>criminalise</w:t>
      </w:r>
      <w:proofErr w:type="spellEnd"/>
      <w:r w:rsidRPr="002F1477">
        <w:rPr>
          <w:rFonts w:ascii="Arial" w:hAnsi="Arial" w:cs="Arial"/>
          <w:color w:val="000000" w:themeColor="text1"/>
          <w:sz w:val="24"/>
          <w:szCs w:val="24"/>
          <w:lang w:val="en-US"/>
        </w:rPr>
        <w:t xml:space="preserve"> forced </w:t>
      </w:r>
      <w:proofErr w:type="spellStart"/>
      <w:r w:rsidRPr="002F1477">
        <w:rPr>
          <w:rFonts w:ascii="Arial" w:hAnsi="Arial" w:cs="Arial"/>
          <w:color w:val="000000" w:themeColor="text1"/>
          <w:sz w:val="24"/>
          <w:szCs w:val="24"/>
          <w:lang w:val="en-US"/>
        </w:rPr>
        <w:t>sterilisation</w:t>
      </w:r>
      <w:proofErr w:type="spellEnd"/>
      <w:r w:rsidRPr="002F1477">
        <w:rPr>
          <w:rFonts w:ascii="Arial" w:hAnsi="Arial" w:cs="Arial"/>
          <w:color w:val="000000" w:themeColor="text1"/>
          <w:sz w:val="24"/>
          <w:szCs w:val="24"/>
          <w:lang w:val="en-US"/>
        </w:rPr>
        <w:t>, does not oblige to collect data disaggregated by disability and do not require States train professionals about the rights and needs of women and girls with disabilities.</w:t>
      </w:r>
    </w:p>
    <w:p w14:paraId="222474F4" w14:textId="7B252E2A" w:rsidR="005115CD" w:rsidRPr="002F1477" w:rsidRDefault="005115CD" w:rsidP="002F1477">
      <w:pPr>
        <w:spacing w:before="240" w:after="0" w:line="276"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EDF has started to work on advocacy to the European Parliament and the Council to make the directive more inclusive of women and girls with disabilities (see amendments proposed in the document attached). </w:t>
      </w:r>
    </w:p>
    <w:p w14:paraId="66E0EA56" w14:textId="14B3E2DE" w:rsidR="00863290" w:rsidRPr="00313802" w:rsidRDefault="00863290" w:rsidP="00863290">
      <w:pPr>
        <w:pStyle w:val="ListParagraph"/>
        <w:numPr>
          <w:ilvl w:val="0"/>
          <w:numId w:val="8"/>
        </w:numPr>
        <w:spacing w:before="240" w:line="276" w:lineRule="auto"/>
        <w:contextualSpacing w:val="0"/>
        <w:rPr>
          <w:rFonts w:ascii="Arial" w:hAnsi="Arial" w:cs="Arial"/>
          <w:b/>
          <w:bCs/>
          <w:color w:val="000000" w:themeColor="text1"/>
          <w:sz w:val="24"/>
          <w:szCs w:val="24"/>
          <w:lang w:val="en-US"/>
        </w:rPr>
      </w:pPr>
      <w:r>
        <w:rPr>
          <w:rFonts w:ascii="Arial" w:hAnsi="Arial" w:cs="Arial"/>
          <w:b/>
          <w:bCs/>
          <w:color w:val="000000" w:themeColor="text1"/>
          <w:sz w:val="24"/>
          <w:szCs w:val="24"/>
          <w:lang w:val="en-US"/>
        </w:rPr>
        <w:t xml:space="preserve">Recommendation on harmful practices </w:t>
      </w:r>
    </w:p>
    <w:p w14:paraId="7509F49F" w14:textId="39F4350F" w:rsidR="00863290" w:rsidRPr="005B41DB" w:rsidRDefault="003E1E8F" w:rsidP="00863290">
      <w:pPr>
        <w:spacing w:before="240" w:after="0" w:line="276" w:lineRule="auto"/>
        <w:rPr>
          <w:rFonts w:ascii="Arial" w:hAnsi="Arial" w:cs="Arial"/>
          <w:color w:val="000000" w:themeColor="text1"/>
          <w:sz w:val="24"/>
          <w:szCs w:val="24"/>
          <w:lang w:val="en-GB"/>
        </w:rPr>
      </w:pPr>
      <w:r w:rsidRPr="003E1E8F">
        <w:rPr>
          <w:rFonts w:ascii="Arial" w:hAnsi="Arial" w:cs="Arial"/>
          <w:color w:val="000000" w:themeColor="text1"/>
          <w:sz w:val="24"/>
          <w:szCs w:val="24"/>
          <w:lang w:val="en-US"/>
        </w:rPr>
        <w:t xml:space="preserve">The European Commission is preparing a </w:t>
      </w:r>
      <w:r w:rsidRPr="003E1E8F">
        <w:rPr>
          <w:rFonts w:ascii="Arial" w:hAnsi="Arial" w:cs="Arial"/>
          <w:color w:val="000000" w:themeColor="text1"/>
          <w:sz w:val="24"/>
          <w:szCs w:val="24"/>
          <w:lang w:val="en-GB"/>
        </w:rPr>
        <w:t>Recommendation on preventing and combating harmful practices against women and girls</w:t>
      </w:r>
      <w:r w:rsidRPr="003E1E8F">
        <w:rPr>
          <w:rFonts w:ascii="Arial" w:hAnsi="Arial" w:cs="Arial"/>
          <w:color w:val="000000" w:themeColor="text1"/>
          <w:sz w:val="24"/>
          <w:szCs w:val="24"/>
          <w:lang w:val="en-GB"/>
        </w:rPr>
        <w:t xml:space="preserve"> to be published by the end of the year. </w:t>
      </w:r>
      <w:r>
        <w:rPr>
          <w:rFonts w:ascii="Arial" w:hAnsi="Arial" w:cs="Arial"/>
          <w:color w:val="000000" w:themeColor="text1"/>
          <w:sz w:val="24"/>
          <w:szCs w:val="24"/>
          <w:lang w:val="en-GB"/>
        </w:rPr>
        <w:t xml:space="preserve">It is very important as it will contain information and recommendations regarding forced sterilisation and forced abortion. </w:t>
      </w:r>
      <w:r w:rsidR="005B41DB">
        <w:rPr>
          <w:rFonts w:ascii="Arial" w:hAnsi="Arial" w:cs="Arial"/>
          <w:color w:val="000000" w:themeColor="text1"/>
          <w:sz w:val="24"/>
          <w:szCs w:val="24"/>
          <w:lang w:val="en-GB"/>
        </w:rPr>
        <w:t xml:space="preserve">EDF was invited to take part in two technical workshops on the topic and will also issue a paper for the </w:t>
      </w:r>
      <w:hyperlink r:id="rId22" w:history="1">
        <w:r w:rsidR="005B41DB" w:rsidRPr="00142039">
          <w:rPr>
            <w:rStyle w:val="Hyperlink"/>
            <w:rFonts w:ascii="Arial" w:hAnsi="Arial" w:cs="Arial"/>
            <w:sz w:val="24"/>
            <w:szCs w:val="24"/>
            <w:lang w:val="en-GB"/>
          </w:rPr>
          <w:t>online consultation</w:t>
        </w:r>
      </w:hyperlink>
      <w:r w:rsidR="005B41DB">
        <w:rPr>
          <w:rFonts w:ascii="Arial" w:hAnsi="Arial" w:cs="Arial"/>
          <w:color w:val="000000" w:themeColor="text1"/>
          <w:sz w:val="24"/>
          <w:szCs w:val="24"/>
          <w:lang w:val="en-GB"/>
        </w:rPr>
        <w:t xml:space="preserve"> open until end of May. </w:t>
      </w:r>
    </w:p>
    <w:p w14:paraId="7CBA4C05" w14:textId="453542F2" w:rsidR="003F50D8" w:rsidRPr="00863290" w:rsidRDefault="00D5089D" w:rsidP="00863290">
      <w:pPr>
        <w:pStyle w:val="ListParagraph"/>
        <w:numPr>
          <w:ilvl w:val="0"/>
          <w:numId w:val="8"/>
        </w:numPr>
        <w:spacing w:before="240" w:after="0" w:line="276" w:lineRule="auto"/>
        <w:contextualSpacing w:val="0"/>
        <w:rPr>
          <w:rFonts w:ascii="Arial" w:hAnsi="Arial" w:cs="Arial"/>
          <w:b/>
          <w:bCs/>
          <w:color w:val="000000" w:themeColor="text1"/>
          <w:sz w:val="24"/>
          <w:szCs w:val="24"/>
          <w:lang w:val="en-US"/>
        </w:rPr>
      </w:pPr>
      <w:r>
        <w:rPr>
          <w:rFonts w:ascii="Arial" w:hAnsi="Arial" w:cs="Arial"/>
          <w:b/>
          <w:bCs/>
          <w:color w:val="000000" w:themeColor="text1"/>
          <w:sz w:val="24"/>
          <w:szCs w:val="24"/>
          <w:lang w:val="en-US"/>
        </w:rPr>
        <w:t>Pay Transparency Direct</w:t>
      </w:r>
      <w:r w:rsidRPr="00863290">
        <w:rPr>
          <w:rFonts w:ascii="Arial" w:hAnsi="Arial" w:cs="Arial"/>
          <w:b/>
          <w:bCs/>
          <w:color w:val="000000" w:themeColor="text1"/>
          <w:sz w:val="24"/>
          <w:szCs w:val="24"/>
          <w:lang w:val="en-US"/>
        </w:rPr>
        <w:t xml:space="preserve">ive </w:t>
      </w:r>
    </w:p>
    <w:p w14:paraId="046914BB" w14:textId="0AB260D0" w:rsidR="005B41DB" w:rsidRDefault="00313802" w:rsidP="00D5089D">
      <w:pPr>
        <w:spacing w:before="240" w:after="0" w:line="276" w:lineRule="auto"/>
        <w:rPr>
          <w:rFonts w:ascii="Arial" w:eastAsia="Times New Roman" w:hAnsi="Arial" w:cs="Times New Roman"/>
          <w:sz w:val="24"/>
          <w:lang w:val="en-US" w:bidi="en-US"/>
        </w:rPr>
      </w:pPr>
      <w:r w:rsidRPr="00313802">
        <w:rPr>
          <w:rFonts w:ascii="Arial" w:eastAsia="Times New Roman" w:hAnsi="Arial" w:cs="Times New Roman"/>
          <w:sz w:val="24"/>
          <w:lang w:val="en-US" w:bidi="en-US"/>
        </w:rPr>
        <w:t>The proposal for a Directive on Pay Transparency was published in March</w:t>
      </w:r>
      <w:r w:rsidR="005B41DB">
        <w:rPr>
          <w:rFonts w:ascii="Arial" w:eastAsia="Times New Roman" w:hAnsi="Arial" w:cs="Times New Roman"/>
          <w:sz w:val="24"/>
          <w:lang w:val="en-US" w:bidi="en-US"/>
        </w:rPr>
        <w:t xml:space="preserve"> 2021</w:t>
      </w:r>
      <w:r w:rsidRPr="00313802">
        <w:rPr>
          <w:rFonts w:ascii="Arial" w:eastAsia="Times New Roman" w:hAnsi="Arial" w:cs="Times New Roman"/>
          <w:sz w:val="24"/>
          <w:lang w:val="en-US" w:bidi="en-US"/>
        </w:rPr>
        <w:t xml:space="preserve"> </w:t>
      </w:r>
      <w:r w:rsidR="005B41DB">
        <w:rPr>
          <w:rFonts w:ascii="Arial" w:eastAsia="Times New Roman" w:hAnsi="Arial" w:cs="Times New Roman"/>
          <w:sz w:val="24"/>
          <w:lang w:val="en-US" w:bidi="en-US"/>
        </w:rPr>
        <w:t>and will go to trialogue soon (discussion between the Council, the Parliament and the Commission)</w:t>
      </w:r>
      <w:r w:rsidRPr="00313802">
        <w:rPr>
          <w:rFonts w:ascii="Arial" w:eastAsia="Times New Roman" w:hAnsi="Arial" w:cs="Times New Roman"/>
          <w:sz w:val="24"/>
          <w:lang w:val="en-US" w:bidi="en-US"/>
        </w:rPr>
        <w:t xml:space="preserve">. </w:t>
      </w:r>
      <w:r w:rsidR="005B41DB">
        <w:rPr>
          <w:rFonts w:ascii="Arial" w:eastAsia="Times New Roman" w:hAnsi="Arial" w:cs="Times New Roman"/>
          <w:sz w:val="24"/>
          <w:lang w:val="en-US" w:bidi="en-US"/>
        </w:rPr>
        <w:t xml:space="preserve">Many of the </w:t>
      </w:r>
      <w:r w:rsidRPr="00313802">
        <w:rPr>
          <w:rFonts w:ascii="Arial" w:eastAsia="Times New Roman" w:hAnsi="Arial" w:cs="Times New Roman"/>
          <w:sz w:val="24"/>
          <w:lang w:val="en-US" w:bidi="en-US"/>
        </w:rPr>
        <w:t xml:space="preserve">EDF </w:t>
      </w:r>
      <w:hyperlink r:id="rId23" w:history="1">
        <w:r w:rsidRPr="00313802">
          <w:rPr>
            <w:rFonts w:ascii="Arial" w:eastAsia="Times New Roman" w:hAnsi="Arial" w:cs="Times New Roman"/>
            <w:color w:val="0000FF"/>
            <w:sz w:val="24"/>
            <w:u w:val="single"/>
            <w:lang w:val="en-US" w:bidi="en-US"/>
          </w:rPr>
          <w:t>proposed amendments</w:t>
        </w:r>
      </w:hyperlink>
      <w:r w:rsidRPr="00313802">
        <w:rPr>
          <w:rFonts w:ascii="Arial" w:eastAsia="Times New Roman" w:hAnsi="Arial" w:cs="Times New Roman"/>
          <w:sz w:val="24"/>
          <w:lang w:val="en-US" w:bidi="en-US"/>
        </w:rPr>
        <w:t xml:space="preserve"> </w:t>
      </w:r>
      <w:r w:rsidR="005B41DB">
        <w:rPr>
          <w:rFonts w:ascii="Arial" w:eastAsia="Times New Roman" w:hAnsi="Arial" w:cs="Times New Roman"/>
          <w:sz w:val="24"/>
          <w:lang w:val="en-US" w:bidi="en-US"/>
        </w:rPr>
        <w:t xml:space="preserve">were included in the position of the Parliament, and we are now communicating our red lines on the proposal to the Council/Member States and the Rapporteurs in the Parliament. </w:t>
      </w:r>
      <w:r w:rsidR="00844589">
        <w:rPr>
          <w:rFonts w:ascii="Arial" w:eastAsia="Times New Roman" w:hAnsi="Arial" w:cs="Times New Roman"/>
          <w:sz w:val="24"/>
          <w:lang w:val="en-US" w:bidi="en-US"/>
        </w:rPr>
        <w:t xml:space="preserve">They concern accessibility provisions, disaggregation of data by gender and disability and intersectionality. </w:t>
      </w:r>
    </w:p>
    <w:p w14:paraId="7A0B8D9A" w14:textId="6CF79A29" w:rsidR="005B41DB" w:rsidRDefault="005B41DB" w:rsidP="00D5089D">
      <w:pPr>
        <w:spacing w:before="240" w:after="0" w:line="276" w:lineRule="auto"/>
        <w:rPr>
          <w:rFonts w:ascii="Arial" w:eastAsia="Times New Roman" w:hAnsi="Arial" w:cs="Times New Roman"/>
          <w:sz w:val="24"/>
          <w:lang w:val="en-US" w:bidi="en-US"/>
        </w:rPr>
      </w:pPr>
      <w:r>
        <w:rPr>
          <w:rFonts w:ascii="Arial" w:eastAsia="Times New Roman" w:hAnsi="Arial" w:cs="Times New Roman"/>
          <w:sz w:val="24"/>
          <w:lang w:val="en-US" w:bidi="en-US"/>
        </w:rPr>
        <w:t xml:space="preserve">Once we know more about the timeline for trialogue we will request support of EDF’s members to contact their governments. </w:t>
      </w:r>
    </w:p>
    <w:p w14:paraId="372E9F16" w14:textId="3F1B75AE" w:rsidR="00E31DFD" w:rsidRPr="00313802" w:rsidRDefault="00E31DFD" w:rsidP="00E31DFD">
      <w:pPr>
        <w:pStyle w:val="ListParagraph"/>
        <w:numPr>
          <w:ilvl w:val="0"/>
          <w:numId w:val="8"/>
        </w:numPr>
        <w:spacing w:before="240" w:line="276" w:lineRule="auto"/>
        <w:contextualSpacing w:val="0"/>
        <w:rPr>
          <w:rFonts w:ascii="Arial" w:hAnsi="Arial" w:cs="Arial"/>
          <w:b/>
          <w:bCs/>
          <w:color w:val="000000" w:themeColor="text1"/>
          <w:sz w:val="24"/>
          <w:szCs w:val="24"/>
          <w:lang w:val="en-US"/>
        </w:rPr>
      </w:pPr>
      <w:r>
        <w:rPr>
          <w:rFonts w:ascii="Arial" w:hAnsi="Arial" w:cs="Arial"/>
          <w:b/>
          <w:bCs/>
          <w:color w:val="000000" w:themeColor="text1"/>
          <w:sz w:val="24"/>
          <w:szCs w:val="24"/>
          <w:lang w:val="en-US"/>
        </w:rPr>
        <w:t xml:space="preserve">Revision of the Victims’ Rights Directive </w:t>
      </w:r>
    </w:p>
    <w:p w14:paraId="25B43F1A" w14:textId="1187F0E9" w:rsidR="0069161E" w:rsidRDefault="005B41DB" w:rsidP="00D5089D">
      <w:pPr>
        <w:spacing w:before="240" w:after="0" w:line="276" w:lineRule="auto"/>
        <w:rPr>
          <w:rFonts w:ascii="Arial" w:eastAsia="Times New Roman" w:hAnsi="Arial" w:cs="Times New Roman"/>
          <w:sz w:val="24"/>
          <w:lang w:val="en-US" w:bidi="en-US"/>
        </w:rPr>
      </w:pPr>
      <w:r>
        <w:rPr>
          <w:rFonts w:ascii="Arial" w:eastAsia="Times New Roman" w:hAnsi="Arial" w:cs="Times New Roman"/>
          <w:sz w:val="24"/>
          <w:lang w:val="en-US" w:bidi="en-US"/>
        </w:rPr>
        <w:t xml:space="preserve">The Commission will start to revise the Victims’ Rights Directive, that covers the rights of victims of crimes in the European Union, which include victims of violence against women and domestic violence. We will prepare amendments proposal to send to the European Commission and participate in the </w:t>
      </w:r>
      <w:hyperlink r:id="rId24" w:history="1">
        <w:r w:rsidRPr="00142039">
          <w:rPr>
            <w:rStyle w:val="Hyperlink"/>
            <w:rFonts w:ascii="Arial" w:eastAsia="Times New Roman" w:hAnsi="Arial" w:cs="Times New Roman"/>
            <w:sz w:val="24"/>
            <w:lang w:val="en-US" w:bidi="en-US"/>
          </w:rPr>
          <w:t>open public consultation</w:t>
        </w:r>
      </w:hyperlink>
      <w:r>
        <w:rPr>
          <w:rFonts w:ascii="Arial" w:eastAsia="Times New Roman" w:hAnsi="Arial" w:cs="Times New Roman"/>
          <w:sz w:val="24"/>
          <w:lang w:val="en-US" w:bidi="en-US"/>
        </w:rPr>
        <w:t xml:space="preserve"> on the topic. </w:t>
      </w:r>
    </w:p>
    <w:sectPr w:rsidR="0069161E">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38BC" w14:textId="77777777" w:rsidR="00690943" w:rsidRDefault="00690943" w:rsidP="00690943">
      <w:pPr>
        <w:spacing w:after="0" w:line="240" w:lineRule="auto"/>
      </w:pPr>
      <w:r>
        <w:separator/>
      </w:r>
    </w:p>
  </w:endnote>
  <w:endnote w:type="continuationSeparator" w:id="0">
    <w:p w14:paraId="53A848A0" w14:textId="77777777" w:rsidR="00690943" w:rsidRDefault="00690943" w:rsidP="0069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4DB3" w14:textId="22DBD018" w:rsidR="00F52524" w:rsidRDefault="00F5252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1</w:t>
    </w:r>
    <w:r>
      <w:rPr>
        <w:caps/>
        <w:noProof/>
        <w:color w:val="4472C4" w:themeColor="accent1"/>
      </w:rPr>
      <w:fldChar w:fldCharType="end"/>
    </w:r>
  </w:p>
  <w:p w14:paraId="75DFD836" w14:textId="77777777" w:rsidR="00F52524" w:rsidRDefault="00F52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82AE" w14:textId="77777777" w:rsidR="00690943" w:rsidRDefault="00690943" w:rsidP="00690943">
      <w:pPr>
        <w:spacing w:after="0" w:line="240" w:lineRule="auto"/>
      </w:pPr>
      <w:r>
        <w:separator/>
      </w:r>
    </w:p>
  </w:footnote>
  <w:footnote w:type="continuationSeparator" w:id="0">
    <w:p w14:paraId="6AD8027C" w14:textId="77777777" w:rsidR="00690943" w:rsidRDefault="00690943" w:rsidP="00690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384E" w14:textId="1EE8D3CA" w:rsidR="00690943" w:rsidRPr="00B10A93" w:rsidRDefault="006E4424" w:rsidP="00690943">
    <w:pPr>
      <w:tabs>
        <w:tab w:val="center" w:pos="4320"/>
        <w:tab w:val="right" w:pos="8640"/>
      </w:tabs>
      <w:spacing w:after="0" w:line="240" w:lineRule="auto"/>
      <w:ind w:right="902"/>
      <w:rPr>
        <w:rFonts w:ascii="Open Sans" w:hAnsi="Open Sans"/>
        <w:b/>
        <w:bCs/>
        <w:color w:val="003480"/>
        <w:sz w:val="12"/>
        <w:szCs w:val="12"/>
        <w:lang w:val="en"/>
      </w:rPr>
    </w:pPr>
    <w:r>
      <w:rPr>
        <w:noProof/>
        <w:lang w:eastAsia="fr-BE"/>
      </w:rPr>
      <w:drawing>
        <wp:anchor distT="0" distB="0" distL="114300" distR="114300" simplePos="0" relativeHeight="251659264" behindDoc="0" locked="0" layoutInCell="1" allowOverlap="1" wp14:anchorId="0E289C73" wp14:editId="72AF821C">
          <wp:simplePos x="0" y="0"/>
          <wp:positionH relativeFrom="margin">
            <wp:align>right</wp:align>
          </wp:positionH>
          <wp:positionV relativeFrom="paragraph">
            <wp:posOffset>-364785</wp:posOffset>
          </wp:positionV>
          <wp:extent cx="918210" cy="8083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1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BE"/>
      </w:rPr>
      <w:drawing>
        <wp:anchor distT="0" distB="0" distL="114300" distR="114300" simplePos="0" relativeHeight="251660288" behindDoc="0" locked="0" layoutInCell="1" allowOverlap="1" wp14:anchorId="61EF5042" wp14:editId="6511A208">
          <wp:simplePos x="0" y="0"/>
          <wp:positionH relativeFrom="margin">
            <wp:align>left</wp:align>
          </wp:positionH>
          <wp:positionV relativeFrom="paragraph">
            <wp:posOffset>-322565</wp:posOffset>
          </wp:positionV>
          <wp:extent cx="681355" cy="754380"/>
          <wp:effectExtent l="0" t="0" r="444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355"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B00B8" w14:textId="77777777" w:rsidR="00690943" w:rsidRDefault="00690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FE0"/>
    <w:multiLevelType w:val="hybridMultilevel"/>
    <w:tmpl w:val="A10E30EE"/>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 w15:restartNumberingAfterBreak="0">
    <w:nsid w:val="0FC6530E"/>
    <w:multiLevelType w:val="hybridMultilevel"/>
    <w:tmpl w:val="34B8C1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13F5882"/>
    <w:multiLevelType w:val="hybridMultilevel"/>
    <w:tmpl w:val="778E1E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A52314"/>
    <w:multiLevelType w:val="hybridMultilevel"/>
    <w:tmpl w:val="F2A2B4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D1156F"/>
    <w:multiLevelType w:val="hybridMultilevel"/>
    <w:tmpl w:val="9A6210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D174A7"/>
    <w:multiLevelType w:val="hybridMultilevel"/>
    <w:tmpl w:val="F6748742"/>
    <w:lvl w:ilvl="0" w:tplc="7B5288D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87D6B8C"/>
    <w:multiLevelType w:val="multilevel"/>
    <w:tmpl w:val="431E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05EFA"/>
    <w:multiLevelType w:val="multilevel"/>
    <w:tmpl w:val="E3E2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C7054"/>
    <w:multiLevelType w:val="hybridMultilevel"/>
    <w:tmpl w:val="9D647FA2"/>
    <w:lvl w:ilvl="0" w:tplc="47923B8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3DB248C"/>
    <w:multiLevelType w:val="hybridMultilevel"/>
    <w:tmpl w:val="AA18C56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A161251"/>
    <w:multiLevelType w:val="hybridMultilevel"/>
    <w:tmpl w:val="D7602D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E1C6FDF"/>
    <w:multiLevelType w:val="hybridMultilevel"/>
    <w:tmpl w:val="3AD460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AF55723"/>
    <w:multiLevelType w:val="hybridMultilevel"/>
    <w:tmpl w:val="4684C0FC"/>
    <w:lvl w:ilvl="0" w:tplc="7B5288D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15C7F02"/>
    <w:multiLevelType w:val="hybridMultilevel"/>
    <w:tmpl w:val="AFDE50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30FD6"/>
    <w:multiLevelType w:val="hybridMultilevel"/>
    <w:tmpl w:val="59466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9F41DCE"/>
    <w:multiLevelType w:val="hybridMultilevel"/>
    <w:tmpl w:val="3AD2D9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B3122C8"/>
    <w:multiLevelType w:val="multilevel"/>
    <w:tmpl w:val="24AE92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C5189"/>
    <w:multiLevelType w:val="hybridMultilevel"/>
    <w:tmpl w:val="99D04CE4"/>
    <w:lvl w:ilvl="0" w:tplc="5D28590C">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3F37693"/>
    <w:multiLevelType w:val="hybridMultilevel"/>
    <w:tmpl w:val="AFDE50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0769E5"/>
    <w:multiLevelType w:val="hybridMultilevel"/>
    <w:tmpl w:val="9A62107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325C05"/>
    <w:multiLevelType w:val="hybridMultilevel"/>
    <w:tmpl w:val="E8EA133E"/>
    <w:lvl w:ilvl="0" w:tplc="5D28590C">
      <w:start w:val="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CEF3E28"/>
    <w:multiLevelType w:val="multilevel"/>
    <w:tmpl w:val="664E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A71861"/>
    <w:multiLevelType w:val="hybridMultilevel"/>
    <w:tmpl w:val="CFF80E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41245566">
    <w:abstractNumId w:val="1"/>
  </w:num>
  <w:num w:numId="2" w16cid:durableId="1457286465">
    <w:abstractNumId w:val="17"/>
  </w:num>
  <w:num w:numId="3" w16cid:durableId="1896432022">
    <w:abstractNumId w:val="20"/>
  </w:num>
  <w:num w:numId="4" w16cid:durableId="545871542">
    <w:abstractNumId w:val="22"/>
  </w:num>
  <w:num w:numId="5" w16cid:durableId="354816070">
    <w:abstractNumId w:val="15"/>
  </w:num>
  <w:num w:numId="6" w16cid:durableId="454758956">
    <w:abstractNumId w:val="8"/>
  </w:num>
  <w:num w:numId="7" w16cid:durableId="1431774567">
    <w:abstractNumId w:val="2"/>
  </w:num>
  <w:num w:numId="8" w16cid:durableId="1188913543">
    <w:abstractNumId w:val="9"/>
  </w:num>
  <w:num w:numId="9" w16cid:durableId="635181875">
    <w:abstractNumId w:val="0"/>
  </w:num>
  <w:num w:numId="10" w16cid:durableId="1047756120">
    <w:abstractNumId w:val="11"/>
  </w:num>
  <w:num w:numId="11" w16cid:durableId="1009986467">
    <w:abstractNumId w:val="10"/>
  </w:num>
  <w:num w:numId="12" w16cid:durableId="1259216813">
    <w:abstractNumId w:val="6"/>
  </w:num>
  <w:num w:numId="13" w16cid:durableId="680158200">
    <w:abstractNumId w:val="14"/>
  </w:num>
  <w:num w:numId="14" w16cid:durableId="1138497896">
    <w:abstractNumId w:val="12"/>
  </w:num>
  <w:num w:numId="15" w16cid:durableId="436412251">
    <w:abstractNumId w:val="5"/>
  </w:num>
  <w:num w:numId="16" w16cid:durableId="1840195232">
    <w:abstractNumId w:val="21"/>
  </w:num>
  <w:num w:numId="17" w16cid:durableId="1920485248">
    <w:abstractNumId w:val="7"/>
  </w:num>
  <w:num w:numId="18" w16cid:durableId="1587691569">
    <w:abstractNumId w:val="3"/>
  </w:num>
  <w:num w:numId="19" w16cid:durableId="904031933">
    <w:abstractNumId w:val="13"/>
  </w:num>
  <w:num w:numId="20" w16cid:durableId="1035733974">
    <w:abstractNumId w:val="18"/>
  </w:num>
  <w:num w:numId="21" w16cid:durableId="1415471581">
    <w:abstractNumId w:val="19"/>
  </w:num>
  <w:num w:numId="22" w16cid:durableId="52823655">
    <w:abstractNumId w:val="4"/>
  </w:num>
  <w:num w:numId="23" w16cid:durableId="1005132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3B"/>
    <w:rsid w:val="000143E6"/>
    <w:rsid w:val="000521E3"/>
    <w:rsid w:val="000674C2"/>
    <w:rsid w:val="00090285"/>
    <w:rsid w:val="0009253A"/>
    <w:rsid w:val="000A0829"/>
    <w:rsid w:val="000A56D1"/>
    <w:rsid w:val="000D0EA5"/>
    <w:rsid w:val="000D606A"/>
    <w:rsid w:val="00142039"/>
    <w:rsid w:val="001424E1"/>
    <w:rsid w:val="00155F3B"/>
    <w:rsid w:val="00157CA7"/>
    <w:rsid w:val="001811BC"/>
    <w:rsid w:val="00181B0C"/>
    <w:rsid w:val="00193F9E"/>
    <w:rsid w:val="001B4E69"/>
    <w:rsid w:val="001B5125"/>
    <w:rsid w:val="001E4851"/>
    <w:rsid w:val="0020378E"/>
    <w:rsid w:val="00205038"/>
    <w:rsid w:val="00213C04"/>
    <w:rsid w:val="002229C5"/>
    <w:rsid w:val="00231773"/>
    <w:rsid w:val="00284468"/>
    <w:rsid w:val="0029209E"/>
    <w:rsid w:val="00293135"/>
    <w:rsid w:val="00294C3B"/>
    <w:rsid w:val="00295E67"/>
    <w:rsid w:val="002A6594"/>
    <w:rsid w:val="002B04EA"/>
    <w:rsid w:val="002B0672"/>
    <w:rsid w:val="002D1639"/>
    <w:rsid w:val="002F1477"/>
    <w:rsid w:val="0030350E"/>
    <w:rsid w:val="00313802"/>
    <w:rsid w:val="0032084D"/>
    <w:rsid w:val="00324896"/>
    <w:rsid w:val="0033541C"/>
    <w:rsid w:val="00336044"/>
    <w:rsid w:val="00370366"/>
    <w:rsid w:val="003B17D4"/>
    <w:rsid w:val="003E1E8F"/>
    <w:rsid w:val="003F50D8"/>
    <w:rsid w:val="00431128"/>
    <w:rsid w:val="0043348C"/>
    <w:rsid w:val="00440BFB"/>
    <w:rsid w:val="00445595"/>
    <w:rsid w:val="004528FE"/>
    <w:rsid w:val="00452B4A"/>
    <w:rsid w:val="00463C6E"/>
    <w:rsid w:val="00474DE6"/>
    <w:rsid w:val="004C1C9B"/>
    <w:rsid w:val="004C3D31"/>
    <w:rsid w:val="004E06B4"/>
    <w:rsid w:val="004E6E54"/>
    <w:rsid w:val="005115CD"/>
    <w:rsid w:val="00517DFA"/>
    <w:rsid w:val="00520B79"/>
    <w:rsid w:val="005223FD"/>
    <w:rsid w:val="00555544"/>
    <w:rsid w:val="00572CE7"/>
    <w:rsid w:val="00596EE3"/>
    <w:rsid w:val="005A4DF1"/>
    <w:rsid w:val="005B3AC2"/>
    <w:rsid w:val="005B41DB"/>
    <w:rsid w:val="005C50A0"/>
    <w:rsid w:val="005E78AB"/>
    <w:rsid w:val="00612602"/>
    <w:rsid w:val="00667FC9"/>
    <w:rsid w:val="006770CE"/>
    <w:rsid w:val="00690943"/>
    <w:rsid w:val="0069161E"/>
    <w:rsid w:val="006954D5"/>
    <w:rsid w:val="006A2D25"/>
    <w:rsid w:val="006A3735"/>
    <w:rsid w:val="006A5EC9"/>
    <w:rsid w:val="006C0717"/>
    <w:rsid w:val="006D1695"/>
    <w:rsid w:val="006E4424"/>
    <w:rsid w:val="006F7E55"/>
    <w:rsid w:val="00725C4B"/>
    <w:rsid w:val="0073091C"/>
    <w:rsid w:val="00767680"/>
    <w:rsid w:val="00770A9A"/>
    <w:rsid w:val="0079123B"/>
    <w:rsid w:val="007A4C22"/>
    <w:rsid w:val="007A4F6E"/>
    <w:rsid w:val="007D2AD7"/>
    <w:rsid w:val="007E6173"/>
    <w:rsid w:val="007F4A1A"/>
    <w:rsid w:val="007F5DEB"/>
    <w:rsid w:val="00801C76"/>
    <w:rsid w:val="00802677"/>
    <w:rsid w:val="00803487"/>
    <w:rsid w:val="008202A8"/>
    <w:rsid w:val="00821608"/>
    <w:rsid w:val="0082635C"/>
    <w:rsid w:val="00844589"/>
    <w:rsid w:val="00845CE8"/>
    <w:rsid w:val="008469A4"/>
    <w:rsid w:val="00863290"/>
    <w:rsid w:val="00863D52"/>
    <w:rsid w:val="00866264"/>
    <w:rsid w:val="008950F1"/>
    <w:rsid w:val="008D74A4"/>
    <w:rsid w:val="008E2956"/>
    <w:rsid w:val="0091007E"/>
    <w:rsid w:val="00915103"/>
    <w:rsid w:val="0093086A"/>
    <w:rsid w:val="009351F7"/>
    <w:rsid w:val="0094464B"/>
    <w:rsid w:val="00950F99"/>
    <w:rsid w:val="00957364"/>
    <w:rsid w:val="009A3E78"/>
    <w:rsid w:val="009F29FB"/>
    <w:rsid w:val="00A12FDA"/>
    <w:rsid w:val="00A133CB"/>
    <w:rsid w:val="00A50AD4"/>
    <w:rsid w:val="00A56E72"/>
    <w:rsid w:val="00A67334"/>
    <w:rsid w:val="00A81596"/>
    <w:rsid w:val="00A877B4"/>
    <w:rsid w:val="00A92A33"/>
    <w:rsid w:val="00AC006D"/>
    <w:rsid w:val="00AC1065"/>
    <w:rsid w:val="00AC7F5F"/>
    <w:rsid w:val="00AD712E"/>
    <w:rsid w:val="00AE54E5"/>
    <w:rsid w:val="00AF60C2"/>
    <w:rsid w:val="00AF627B"/>
    <w:rsid w:val="00AF7F99"/>
    <w:rsid w:val="00B214FA"/>
    <w:rsid w:val="00B44C45"/>
    <w:rsid w:val="00B464ED"/>
    <w:rsid w:val="00B77FD7"/>
    <w:rsid w:val="00B91F9E"/>
    <w:rsid w:val="00BB36F7"/>
    <w:rsid w:val="00BB768D"/>
    <w:rsid w:val="00BF4685"/>
    <w:rsid w:val="00CB79FC"/>
    <w:rsid w:val="00CD3D03"/>
    <w:rsid w:val="00CD49F5"/>
    <w:rsid w:val="00D5089D"/>
    <w:rsid w:val="00D61CC4"/>
    <w:rsid w:val="00D65AF3"/>
    <w:rsid w:val="00D73F67"/>
    <w:rsid w:val="00DB63A2"/>
    <w:rsid w:val="00E26B0D"/>
    <w:rsid w:val="00E31DFD"/>
    <w:rsid w:val="00E43F19"/>
    <w:rsid w:val="00E46EC5"/>
    <w:rsid w:val="00E7252E"/>
    <w:rsid w:val="00E727B9"/>
    <w:rsid w:val="00EA1F3B"/>
    <w:rsid w:val="00EC0A4D"/>
    <w:rsid w:val="00EC4D44"/>
    <w:rsid w:val="00EC60B9"/>
    <w:rsid w:val="00ED0428"/>
    <w:rsid w:val="00F04779"/>
    <w:rsid w:val="00F04EBE"/>
    <w:rsid w:val="00F1419F"/>
    <w:rsid w:val="00F24761"/>
    <w:rsid w:val="00F3410B"/>
    <w:rsid w:val="00F37226"/>
    <w:rsid w:val="00F47AA2"/>
    <w:rsid w:val="00F52524"/>
    <w:rsid w:val="00F92E7E"/>
    <w:rsid w:val="00F96453"/>
    <w:rsid w:val="00FA0E82"/>
    <w:rsid w:val="00FC0CC7"/>
    <w:rsid w:val="00FD4BD6"/>
    <w:rsid w:val="00FF72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2FCD"/>
  <w15:chartTrackingRefBased/>
  <w15:docId w15:val="{B1EFBB03-BFE3-4FC6-8431-8B406E65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07E"/>
    <w:pPr>
      <w:keepNext/>
      <w:keepLines/>
      <w:spacing w:before="240" w:after="0"/>
      <w:outlineLvl w:val="0"/>
    </w:pPr>
    <w:rPr>
      <w:rFonts w:ascii="Arial" w:eastAsiaTheme="majorEastAsia" w:hAnsi="Arial"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1007E"/>
    <w:pPr>
      <w:keepNext/>
      <w:keepLines/>
      <w:spacing w:before="40" w:after="0"/>
      <w:outlineLvl w:val="1"/>
    </w:pPr>
    <w:rPr>
      <w:rFonts w:ascii="Arial" w:eastAsiaTheme="majorEastAsia" w:hAnsi="Arial"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91007E"/>
    <w:pPr>
      <w:keepNext/>
      <w:keepLines/>
      <w:spacing w:before="40" w:after="0"/>
      <w:outlineLvl w:val="2"/>
    </w:pPr>
    <w:rPr>
      <w:rFonts w:ascii="Arial" w:eastAsiaTheme="majorEastAsia" w:hAnsi="Arial"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7E"/>
    <w:rPr>
      <w:rFonts w:ascii="Arial" w:eastAsiaTheme="majorEastAsia" w:hAnsi="Arial" w:cstheme="majorBidi"/>
      <w:b/>
      <w:color w:val="2F5496" w:themeColor="accent1" w:themeShade="BF"/>
      <w:sz w:val="32"/>
      <w:szCs w:val="32"/>
    </w:rPr>
  </w:style>
  <w:style w:type="character" w:customStyle="1" w:styleId="Heading2Char">
    <w:name w:val="Heading 2 Char"/>
    <w:basedOn w:val="DefaultParagraphFont"/>
    <w:link w:val="Heading2"/>
    <w:uiPriority w:val="9"/>
    <w:rsid w:val="0091007E"/>
    <w:rPr>
      <w:rFonts w:ascii="Arial" w:eastAsiaTheme="majorEastAsia" w:hAnsi="Arial" w:cstheme="majorBidi"/>
      <w:b/>
      <w:color w:val="2F5496" w:themeColor="accent1" w:themeShade="BF"/>
      <w:sz w:val="26"/>
      <w:szCs w:val="26"/>
    </w:rPr>
  </w:style>
  <w:style w:type="paragraph" w:styleId="ListParagraph">
    <w:name w:val="List Paragraph"/>
    <w:basedOn w:val="Normal"/>
    <w:uiPriority w:val="34"/>
    <w:qFormat/>
    <w:rsid w:val="00A877B4"/>
    <w:pPr>
      <w:ind w:left="720"/>
      <w:contextualSpacing/>
    </w:pPr>
  </w:style>
  <w:style w:type="character" w:styleId="CommentReference">
    <w:name w:val="annotation reference"/>
    <w:basedOn w:val="DefaultParagraphFont"/>
    <w:uiPriority w:val="99"/>
    <w:semiHidden/>
    <w:unhideWhenUsed/>
    <w:rsid w:val="00A877B4"/>
    <w:rPr>
      <w:sz w:val="16"/>
      <w:szCs w:val="16"/>
    </w:rPr>
  </w:style>
  <w:style w:type="paragraph" w:styleId="CommentText">
    <w:name w:val="annotation text"/>
    <w:basedOn w:val="Normal"/>
    <w:link w:val="CommentTextChar"/>
    <w:uiPriority w:val="99"/>
    <w:semiHidden/>
    <w:unhideWhenUsed/>
    <w:rsid w:val="00A877B4"/>
    <w:pPr>
      <w:spacing w:line="240" w:lineRule="auto"/>
    </w:pPr>
    <w:rPr>
      <w:sz w:val="20"/>
      <w:szCs w:val="20"/>
    </w:rPr>
  </w:style>
  <w:style w:type="character" w:customStyle="1" w:styleId="CommentTextChar">
    <w:name w:val="Comment Text Char"/>
    <w:basedOn w:val="DefaultParagraphFont"/>
    <w:link w:val="CommentText"/>
    <w:uiPriority w:val="99"/>
    <w:semiHidden/>
    <w:rsid w:val="00A877B4"/>
    <w:rPr>
      <w:sz w:val="20"/>
      <w:szCs w:val="20"/>
    </w:rPr>
  </w:style>
  <w:style w:type="paragraph" w:styleId="CommentSubject">
    <w:name w:val="annotation subject"/>
    <w:basedOn w:val="CommentText"/>
    <w:next w:val="CommentText"/>
    <w:link w:val="CommentSubjectChar"/>
    <w:uiPriority w:val="99"/>
    <w:semiHidden/>
    <w:unhideWhenUsed/>
    <w:rsid w:val="00A877B4"/>
    <w:rPr>
      <w:b/>
      <w:bCs/>
    </w:rPr>
  </w:style>
  <w:style w:type="character" w:customStyle="1" w:styleId="CommentSubjectChar">
    <w:name w:val="Comment Subject Char"/>
    <w:basedOn w:val="CommentTextChar"/>
    <w:link w:val="CommentSubject"/>
    <w:uiPriority w:val="99"/>
    <w:semiHidden/>
    <w:rsid w:val="00A877B4"/>
    <w:rPr>
      <w:b/>
      <w:bCs/>
      <w:sz w:val="20"/>
      <w:szCs w:val="20"/>
    </w:rPr>
  </w:style>
  <w:style w:type="paragraph" w:styleId="BalloonText">
    <w:name w:val="Balloon Text"/>
    <w:basedOn w:val="Normal"/>
    <w:link w:val="BalloonTextChar"/>
    <w:uiPriority w:val="99"/>
    <w:semiHidden/>
    <w:unhideWhenUsed/>
    <w:rsid w:val="00A8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7B4"/>
    <w:rPr>
      <w:rFonts w:ascii="Segoe UI" w:hAnsi="Segoe UI" w:cs="Segoe UI"/>
      <w:sz w:val="18"/>
      <w:szCs w:val="18"/>
    </w:rPr>
  </w:style>
  <w:style w:type="character" w:styleId="Hyperlink">
    <w:name w:val="Hyperlink"/>
    <w:basedOn w:val="DefaultParagraphFont"/>
    <w:uiPriority w:val="99"/>
    <w:unhideWhenUsed/>
    <w:rsid w:val="00295E67"/>
    <w:rPr>
      <w:color w:val="0563C1" w:themeColor="hyperlink"/>
      <w:u w:val="single"/>
    </w:rPr>
  </w:style>
  <w:style w:type="character" w:styleId="Mention">
    <w:name w:val="Mention"/>
    <w:basedOn w:val="DefaultParagraphFont"/>
    <w:uiPriority w:val="99"/>
    <w:semiHidden/>
    <w:unhideWhenUsed/>
    <w:rsid w:val="00295E67"/>
    <w:rPr>
      <w:color w:val="2B579A"/>
      <w:shd w:val="clear" w:color="auto" w:fill="E6E6E6"/>
    </w:rPr>
  </w:style>
  <w:style w:type="paragraph" w:customStyle="1" w:styleId="m-6089985959172159908gmail-m-8846629367181731682m-8792664869348136626gmail-m-94780493540567739msolistparagraph">
    <w:name w:val="m_-6089985959172159908gmail-m_-8846629367181731682m_-8792664869348136626gmail-m_-94780493540567739msolistparagraph"/>
    <w:basedOn w:val="Normal"/>
    <w:uiPriority w:val="99"/>
    <w:rsid w:val="00155F3B"/>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39"/>
    <w:rsid w:val="0082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09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0943"/>
  </w:style>
  <w:style w:type="paragraph" w:styleId="Footer">
    <w:name w:val="footer"/>
    <w:basedOn w:val="Normal"/>
    <w:link w:val="FooterChar"/>
    <w:uiPriority w:val="99"/>
    <w:unhideWhenUsed/>
    <w:rsid w:val="006909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0943"/>
  </w:style>
  <w:style w:type="character" w:customStyle="1" w:styleId="Heading3Char">
    <w:name w:val="Heading 3 Char"/>
    <w:basedOn w:val="DefaultParagraphFont"/>
    <w:link w:val="Heading3"/>
    <w:uiPriority w:val="9"/>
    <w:rsid w:val="0091007E"/>
    <w:rPr>
      <w:rFonts w:ascii="Arial" w:eastAsiaTheme="majorEastAsia" w:hAnsi="Arial" w:cstheme="majorBidi"/>
      <w:color w:val="1F3763" w:themeColor="accent1" w:themeShade="7F"/>
      <w:sz w:val="24"/>
      <w:szCs w:val="24"/>
    </w:rPr>
  </w:style>
  <w:style w:type="character" w:styleId="UnresolvedMention">
    <w:name w:val="Unresolved Mention"/>
    <w:basedOn w:val="DefaultParagraphFont"/>
    <w:uiPriority w:val="99"/>
    <w:semiHidden/>
    <w:unhideWhenUsed/>
    <w:rsid w:val="00A56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140084">
      <w:bodyDiv w:val="1"/>
      <w:marLeft w:val="0"/>
      <w:marRight w:val="0"/>
      <w:marTop w:val="0"/>
      <w:marBottom w:val="0"/>
      <w:divBdr>
        <w:top w:val="none" w:sz="0" w:space="0" w:color="auto"/>
        <w:left w:val="none" w:sz="0" w:space="0" w:color="auto"/>
        <w:bottom w:val="none" w:sz="0" w:space="0" w:color="auto"/>
        <w:right w:val="none" w:sz="0" w:space="0" w:color="auto"/>
      </w:divBdr>
    </w:div>
    <w:div w:id="1074159251">
      <w:bodyDiv w:val="1"/>
      <w:marLeft w:val="0"/>
      <w:marRight w:val="0"/>
      <w:marTop w:val="0"/>
      <w:marBottom w:val="0"/>
      <w:divBdr>
        <w:top w:val="none" w:sz="0" w:space="0" w:color="auto"/>
        <w:left w:val="none" w:sz="0" w:space="0" w:color="auto"/>
        <w:bottom w:val="none" w:sz="0" w:space="0" w:color="auto"/>
        <w:right w:val="none" w:sz="0" w:space="0" w:color="auto"/>
      </w:divBdr>
    </w:div>
    <w:div w:id="1409109611">
      <w:bodyDiv w:val="1"/>
      <w:marLeft w:val="0"/>
      <w:marRight w:val="0"/>
      <w:marTop w:val="0"/>
      <w:marBottom w:val="0"/>
      <w:divBdr>
        <w:top w:val="none" w:sz="0" w:space="0" w:color="auto"/>
        <w:left w:val="none" w:sz="0" w:space="0" w:color="auto"/>
        <w:bottom w:val="none" w:sz="0" w:space="0" w:color="auto"/>
        <w:right w:val="none" w:sz="0" w:space="0" w:color="auto"/>
      </w:divBdr>
    </w:div>
    <w:div w:id="1605529860">
      <w:bodyDiv w:val="1"/>
      <w:marLeft w:val="0"/>
      <w:marRight w:val="0"/>
      <w:marTop w:val="0"/>
      <w:marBottom w:val="0"/>
      <w:divBdr>
        <w:top w:val="none" w:sz="0" w:space="0" w:color="auto"/>
        <w:left w:val="none" w:sz="0" w:space="0" w:color="auto"/>
        <w:bottom w:val="none" w:sz="0" w:space="0" w:color="auto"/>
        <w:right w:val="none" w:sz="0" w:space="0" w:color="auto"/>
      </w:divBdr>
    </w:div>
    <w:div w:id="20719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15/treatybodyexternal/Download.aspx?symbolno=CRPD%2fC%2fEU%2fQPR%2f2-3&amp;Lang=en" TargetMode="External"/><Relationship Id="rId13" Type="http://schemas.openxmlformats.org/officeDocument/2006/relationships/hyperlink" Target="https://tbinternet.ohchr.org/_layouts/15/treatybodyexternal/SessionDetails1.aspx?SessionID=2579&amp;Lang=en" TargetMode="External"/><Relationship Id="rId18" Type="http://schemas.openxmlformats.org/officeDocument/2006/relationships/hyperlink" Target="https://tbinternet.ohchr.org/_layouts/15/TreatyBodyExternal/SessionsList.aspx?Treaty=CA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df-feph.org/publications/edf-position-paper-on-violence-against-women-and-girls-with-disabilities-in-the-european-union/" TargetMode="External"/><Relationship Id="rId7" Type="http://schemas.openxmlformats.org/officeDocument/2006/relationships/endnotes" Target="endnotes.xml"/><Relationship Id="rId12" Type="http://schemas.openxmlformats.org/officeDocument/2006/relationships/hyperlink" Target="https://tbinternet.ohchr.org/_layouts/15/treatybodyexternal/SessionDetails1.aspx?SessionID=2578&amp;Lang=en" TargetMode="External"/><Relationship Id="rId17" Type="http://schemas.openxmlformats.org/officeDocument/2006/relationships/hyperlink" Target="https://tbinternet.ohchr.org/_layouts/15/TreatyBodyExternal/SessionsList.aspx?Treaty=CR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binternet.ohchr.org/_layouts/15/TreatyBodyExternal/SessionsList.aspx?Treaty=CESCR" TargetMode="External"/><Relationship Id="rId20" Type="http://schemas.openxmlformats.org/officeDocument/2006/relationships/hyperlink" Target="file:///\\192.168.254.21\new%20folder%20structure\Governing%20Bodies,%20Committees%20and%20WG\Human%20rights%20and%20non%20discrimination%20Committee\2022\February%202022\Supporting%20documents\Dear%20sisters%20and%20colleag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binternet.ohchr.org/_layouts/15/TreatyBodyExternal/SessionsList.aspx?Treaty=CEDAW" TargetMode="External"/><Relationship Id="rId24" Type="http://schemas.openxmlformats.org/officeDocument/2006/relationships/hyperlink" Target="https://ec.europa.eu/info/law/better-regulation/have-your-say/initiatives/13096-Criminal-justice-EU-rules-on-victims%E2%80%99-rights-update-/public-consultation_en" TargetMode="External"/><Relationship Id="rId5" Type="http://schemas.openxmlformats.org/officeDocument/2006/relationships/webSettings" Target="webSettings.xml"/><Relationship Id="rId15" Type="http://schemas.openxmlformats.org/officeDocument/2006/relationships/hyperlink" Target="https://tbinternet.ohchr.org/_layouts/15/treatybodyexternal/SessionDetails1.aspx?SessionID=2583&amp;Lang=en" TargetMode="External"/><Relationship Id="rId23" Type="http://schemas.openxmlformats.org/officeDocument/2006/relationships/hyperlink" Target="https://www.edf-feph.org/publications/edf-proposals-for-amendments-to-the-pay-transparency-directive/" TargetMode="External"/><Relationship Id="rId28" Type="http://schemas.openxmlformats.org/officeDocument/2006/relationships/theme" Target="theme/theme1.xml"/><Relationship Id="rId10" Type="http://schemas.openxmlformats.org/officeDocument/2006/relationships/hyperlink" Target="https://tbinternet.ohchr.org/_layouts/15/TreatyBodyExternal/SessionsList.aspx?Treaty=CRPD" TargetMode="External"/><Relationship Id="rId19" Type="http://schemas.openxmlformats.org/officeDocument/2006/relationships/hyperlink" Target="https://www.edf-feph.org/blog/working-together-to-achieve-more-sif-holst-vice-chair-dpod-nominee-for-the-convention-on-the-rights-of-persons-with-disabilities-committee/" TargetMode="External"/><Relationship Id="rId4" Type="http://schemas.openxmlformats.org/officeDocument/2006/relationships/settings" Target="settings.xml"/><Relationship Id="rId9" Type="http://schemas.openxmlformats.org/officeDocument/2006/relationships/hyperlink" Target="https://www.ohchr.org/Documents/HRBodies/CRPD/Guidelines/CRPD_Annotated_outline.docx" TargetMode="External"/><Relationship Id="rId14" Type="http://schemas.openxmlformats.org/officeDocument/2006/relationships/hyperlink" Target="https://tbinternet.ohchr.org/_layouts/15/treatybodyexternal/SessionDetails1.aspx?SessionID=2582&amp;Lang=en" TargetMode="External"/><Relationship Id="rId22" Type="http://schemas.openxmlformats.org/officeDocument/2006/relationships/hyperlink" Target="https://ec.europa.eu/info/law/better-regulation/have-your-say/initiatives/13110-Prevention-of-harmful-practices-against-women-and-girls_en"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BDE33-F101-4291-95B6-8F99BD5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1234</Words>
  <Characters>6792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Uldry</dc:creator>
  <cp:keywords/>
  <dc:description/>
  <cp:lastModifiedBy>Marine Uldry</cp:lastModifiedBy>
  <cp:revision>182</cp:revision>
  <dcterms:created xsi:type="dcterms:W3CDTF">2019-09-10T23:12:00Z</dcterms:created>
  <dcterms:modified xsi:type="dcterms:W3CDTF">2022-05-06T16:37:00Z</dcterms:modified>
</cp:coreProperties>
</file>