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6787022"/>
    <w:bookmarkStart w:id="1" w:name="_Toc66895628"/>
    <w:bookmarkStart w:id="2" w:name="_Toc100140873"/>
    <w:p w14:paraId="190F546B" w14:textId="44109376" w:rsidR="008054A7" w:rsidRPr="00D13588" w:rsidRDefault="008054A7" w:rsidP="00D27087">
      <w:pPr>
        <w:pStyle w:val="Heading1"/>
        <w:rPr>
          <w:lang w:val="en-GB"/>
        </w:rPr>
      </w:pPr>
      <w:r w:rsidRPr="00D13588">
        <w:rPr>
          <w:noProof/>
          <w:lang w:val="en-GB"/>
        </w:rPr>
        <mc:AlternateContent>
          <mc:Choice Requires="wps">
            <w:drawing>
              <wp:anchor distT="0" distB="0" distL="114300" distR="114300" simplePos="0" relativeHeight="251659775" behindDoc="1" locked="0" layoutInCell="1" allowOverlap="1" wp14:anchorId="445129B1" wp14:editId="04C0B59C">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3A1D98" id="Rectangle 6" o:spid="_x0000_s1026"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" filled="f" strokecolor="white [3212]" strokeweight="6pt">
                <w10:wrap anchorx="margin"/>
              </v:rect>
            </w:pict>
          </mc:Fallback>
        </mc:AlternateContent>
      </w:r>
      <w:r w:rsidRPr="00D13588">
        <w:rPr>
          <w:noProof/>
          <w:lang w:val="en-GB"/>
        </w:rPr>
        <mc:AlternateContent>
          <mc:Choice Requires="wps">
            <w:drawing>
              <wp:anchor distT="0" distB="0" distL="114300" distR="114300" simplePos="0" relativeHeight="251659264" behindDoc="1" locked="0" layoutInCell="1" allowOverlap="1" wp14:anchorId="0C463329" wp14:editId="4C27592F">
                <wp:simplePos x="0" y="0"/>
                <wp:positionH relativeFrom="page">
                  <wp:align>left</wp:align>
                </wp:positionH>
                <wp:positionV relativeFrom="paragraph">
                  <wp:posOffset>-916305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35F0A8" id="Rectangle 1" o:spid="_x0000_s1026" style="position:absolute;margin-left:0;margin-top:-72.1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" fillcolor="#2e73ac" strokecolor="#1f3763 [1604]" strokeweight="1pt">
                <w10:wrap anchorx="page"/>
              </v:rect>
            </w:pict>
          </mc:Fallback>
        </mc:AlternateContent>
      </w:r>
      <w:r w:rsidRPr="00D13588">
        <w:rPr>
          <w:noProof/>
          <w:lang w:val="en-GB"/>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bookmarkEnd w:id="0"/>
      <w:bookmarkEnd w:id="1"/>
      <w:bookmarkEnd w:id="2"/>
    </w:p>
    <w:p w14:paraId="2FEBFBB6" w14:textId="65A83C1C" w:rsidR="00D11DAB" w:rsidRPr="00D13588" w:rsidRDefault="00D469E0" w:rsidP="00D11DAB">
      <w:pPr>
        <w:pStyle w:val="Title"/>
        <w:spacing w:before="360"/>
        <w:rPr>
          <w:lang w:val="en-GB"/>
        </w:rPr>
      </w:pPr>
      <w:r w:rsidRPr="00D13588">
        <w:rPr>
          <w:lang w:val="en-GB"/>
        </w:rPr>
        <w:t>A step t</w:t>
      </w:r>
      <w:r w:rsidR="00135B45" w:rsidRPr="00D13588">
        <w:rPr>
          <w:lang w:val="en-GB"/>
        </w:rPr>
        <w:t>owards</w:t>
      </w:r>
      <w:r w:rsidRPr="00D13588">
        <w:rPr>
          <w:lang w:val="en-GB"/>
        </w:rPr>
        <w:t xml:space="preserve"> </w:t>
      </w:r>
      <w:r w:rsidR="00135B45" w:rsidRPr="00D13588">
        <w:rPr>
          <w:lang w:val="en-GB"/>
        </w:rPr>
        <w:t>inclusive European Standardisation</w:t>
      </w:r>
    </w:p>
    <w:p w14:paraId="2BCF485D" w14:textId="3965E3DC" w:rsidR="008054A7" w:rsidRPr="00D13588" w:rsidRDefault="00E47FF5" w:rsidP="00355289">
      <w:pPr>
        <w:pStyle w:val="Subtitle"/>
        <w:spacing w:before="480"/>
        <w:rPr>
          <w:lang w:val="en-GB"/>
        </w:rPr>
      </w:pPr>
      <w:r w:rsidRPr="00D13588">
        <w:rPr>
          <w:lang w:val="en-GB"/>
        </w:rPr>
        <w:t xml:space="preserve">European Disability </w:t>
      </w:r>
      <w:r w:rsidR="00606390" w:rsidRPr="00D13588">
        <w:rPr>
          <w:lang w:val="en-GB"/>
        </w:rPr>
        <w:t xml:space="preserve">Forum </w:t>
      </w:r>
    </w:p>
    <w:p w14:paraId="1C5853C0" w14:textId="102BDE48" w:rsidR="00D11DAB" w:rsidRPr="00D13588" w:rsidRDefault="00D11DAB" w:rsidP="00D11DAB">
      <w:pPr>
        <w:pStyle w:val="Subtitle"/>
        <w:spacing w:after="360"/>
        <w:rPr>
          <w:lang w:val="en-GB"/>
        </w:rPr>
      </w:pPr>
      <w:r w:rsidRPr="00D13588">
        <w:rPr>
          <w:noProof/>
          <w:lang w:val="en-GB"/>
          <w14:textOutline w14:w="0" w14:cap="rnd" w14:cmpd="sng" w14:algn="ctr">
            <w14:noFill/>
            <w14:prstDash w14:val="solid"/>
            <w14:bevel/>
          </w14:textOutline>
        </w:rPr>
        <mc:AlternateContent>
          <mc:Choice Requires="wps">
            <w:drawing>
              <wp:anchor distT="0" distB="0" distL="114300" distR="114300" simplePos="0" relativeHeight="251660288" behindDoc="1" locked="0" layoutInCell="1" allowOverlap="1" wp14:anchorId="31CD50D3" wp14:editId="02D97A85">
                <wp:simplePos x="0" y="0"/>
                <wp:positionH relativeFrom="page">
                  <wp:align>right</wp:align>
                </wp:positionH>
                <wp:positionV relativeFrom="paragraph">
                  <wp:posOffset>462412</wp:posOffset>
                </wp:positionV>
                <wp:extent cx="7549116" cy="595423"/>
                <wp:effectExtent l="0" t="0" r="13970" b="146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116" cy="595423"/>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50E90" id="Rectangle 3" o:spid="_x0000_s1026" style="position:absolute;margin-left:543.2pt;margin-top:36.4pt;width:594.4pt;height:46.9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" fillcolor="#a20000" strokecolor="#1f3763 [1604]" strokeweight="1pt">
                <w10:wrap anchorx="page"/>
              </v:rect>
            </w:pict>
          </mc:Fallback>
        </mc:AlternateContent>
      </w:r>
      <w:r w:rsidRPr="00D13588">
        <w:rPr>
          <w:lang w:val="en-GB"/>
        </w:rPr>
        <w:t xml:space="preserve">| </w:t>
      </w:r>
      <w:r w:rsidR="00263CAB" w:rsidRPr="00D13588">
        <w:rPr>
          <w:lang w:val="en-GB"/>
        </w:rPr>
        <w:t>April</w:t>
      </w:r>
      <w:r w:rsidR="00135B45" w:rsidRPr="00D13588">
        <w:rPr>
          <w:lang w:val="en-GB"/>
        </w:rPr>
        <w:t xml:space="preserve"> 2022</w:t>
      </w:r>
    </w:p>
    <w:p w14:paraId="75770BC9" w14:textId="05CA4E80" w:rsidR="00E62CBF" w:rsidRPr="00D13588" w:rsidRDefault="00135B45" w:rsidP="00D11DAB">
      <w:pPr>
        <w:spacing w:before="360" w:after="840"/>
        <w:rPr>
          <w:b/>
          <w:bCs/>
          <w:color w:val="FFFFFF" w:themeColor="background1"/>
          <w:szCs w:val="24"/>
          <w:lang w:val="en-GB"/>
        </w:rPr>
      </w:pPr>
      <w:r w:rsidRPr="00D13588">
        <w:rPr>
          <w:b/>
          <w:bCs/>
          <w:color w:val="FFFFFF" w:themeColor="background1"/>
          <w:szCs w:val="24"/>
          <w:lang w:val="en-GB"/>
        </w:rPr>
        <w:t>EDF feedback on the European Commission’s proposal to amend Regulation (EU) 1025/2012 on European Standardisation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U Disclaimer"/>
        <w:tblDescription w:val="Flag of the EU. This publication has received financial support from the European Union. The information contained in this publication does not necessarily reflect the official position of the European Commission."/>
      </w:tblPr>
      <w:tblGrid>
        <w:gridCol w:w="2245"/>
        <w:gridCol w:w="6771"/>
      </w:tblGrid>
      <w:tr w:rsidR="001E0F08" w:rsidRPr="00D13588" w14:paraId="18E8BE2C" w14:textId="77777777" w:rsidTr="001E0F08">
        <w:tc>
          <w:tcPr>
            <w:tcW w:w="2245" w:type="dxa"/>
          </w:tcPr>
          <w:p w14:paraId="5DFDD4D9" w14:textId="0F47CB15" w:rsidR="001E0F08" w:rsidRPr="00D13588" w:rsidRDefault="001E0F08" w:rsidP="001E0F08">
            <w:pPr>
              <w:rPr>
                <w:color w:val="FFFFFF" w:themeColor="background1"/>
                <w:lang w:val="en-GB" w:eastAsia="zh-CN" w:bidi="hi-IN"/>
              </w:rPr>
            </w:pPr>
            <w:r w:rsidRPr="00D13588">
              <w:rPr>
                <w:noProof/>
                <w:lang w:val="en-GB"/>
              </w:rPr>
              <w:drawing>
                <wp:inline distT="0" distB="0" distL="0" distR="0" wp14:anchorId="5046A1D8" wp14:editId="40BBC4AB">
                  <wp:extent cx="1201890" cy="812800"/>
                  <wp:effectExtent l="0" t="0" r="0" b="6350"/>
                  <wp:docPr id="16" name="Picture 16"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tc>
        <w:tc>
          <w:tcPr>
            <w:tcW w:w="6771" w:type="dxa"/>
          </w:tcPr>
          <w:p w14:paraId="6DDB80CA" w14:textId="560BA2E7" w:rsidR="001E0F08" w:rsidRPr="00D13588" w:rsidRDefault="001E0F08" w:rsidP="001E0F08">
            <w:pPr>
              <w:rPr>
                <w:color w:val="FFFFFF" w:themeColor="background1"/>
                <w:lang w:val="en-GB" w:eastAsia="zh-CN" w:bidi="hi-IN"/>
              </w:rPr>
            </w:pPr>
            <w:r w:rsidRPr="00D13588">
              <w:rPr>
                <w:color w:val="FFFFFF" w:themeColor="background1"/>
                <w:lang w:val="en-GB" w:eastAsia="zh-CN" w:bidi="hi-IN"/>
              </w:rPr>
              <w:t>This publication has received financial support from the European Union. The information contained in this publication does not necessarily reflect the official position of the European Commission.</w:t>
            </w:r>
          </w:p>
        </w:tc>
      </w:tr>
    </w:tbl>
    <w:p w14:paraId="79A4A1C9" w14:textId="08FC674B" w:rsidR="00A9576D" w:rsidRPr="00D13588" w:rsidRDefault="00A9576D" w:rsidP="008054A7">
      <w:pPr>
        <w:pStyle w:val="Heading1"/>
        <w:pageBreakBefore/>
        <w:rPr>
          <w:lang w:val="en-GB"/>
        </w:rPr>
      </w:pPr>
      <w:bookmarkStart w:id="3" w:name="_Toc100140874"/>
      <w:r w:rsidRPr="00D13588">
        <w:rPr>
          <w:lang w:val="en-GB"/>
        </w:rPr>
        <w:lastRenderedPageBreak/>
        <w:t>Table of Contents</w:t>
      </w:r>
      <w:bookmarkEnd w:id="3"/>
    </w:p>
    <w:p w14:paraId="1F77813A" w14:textId="0A1D8969" w:rsidR="00B131A4" w:rsidRPr="00D13588" w:rsidRDefault="00A9576D">
      <w:pPr>
        <w:pStyle w:val="TOC1"/>
        <w:tabs>
          <w:tab w:val="right" w:leader="dot" w:pos="9016"/>
        </w:tabs>
        <w:rPr>
          <w:rFonts w:asciiTheme="minorHAnsi" w:eastAsiaTheme="minorEastAsia" w:hAnsiTheme="minorHAnsi"/>
          <w:noProof/>
          <w:sz w:val="22"/>
          <w:lang w:val="en-GB" w:eastAsia="en-GB"/>
        </w:rPr>
      </w:pPr>
      <w:r w:rsidRPr="00D13588">
        <w:rPr>
          <w:lang w:val="en-GB"/>
        </w:rPr>
        <w:fldChar w:fldCharType="begin"/>
      </w:r>
      <w:r w:rsidRPr="00D13588">
        <w:rPr>
          <w:lang w:val="en-GB"/>
        </w:rPr>
        <w:instrText xml:space="preserve"> TOC \o "1-2" \h \z \u </w:instrText>
      </w:r>
      <w:r w:rsidRPr="00D13588">
        <w:rPr>
          <w:lang w:val="en-GB"/>
        </w:rPr>
        <w:fldChar w:fldCharType="separate"/>
      </w:r>
      <w:hyperlink w:anchor="_Toc100140873" w:history="1">
        <w:r w:rsidR="00B131A4" w:rsidRPr="00D13588">
          <w:rPr>
            <w:noProof/>
            <w:webHidden/>
            <w:lang w:val="en-GB"/>
          </w:rPr>
          <w:tab/>
        </w:r>
        <w:r w:rsidR="00B131A4" w:rsidRPr="00D13588">
          <w:rPr>
            <w:noProof/>
            <w:webHidden/>
            <w:lang w:val="en-GB"/>
          </w:rPr>
          <w:fldChar w:fldCharType="begin"/>
        </w:r>
        <w:r w:rsidR="00B131A4" w:rsidRPr="00D13588">
          <w:rPr>
            <w:noProof/>
            <w:webHidden/>
            <w:lang w:val="en-GB"/>
          </w:rPr>
          <w:instrText xml:space="preserve"> PAGEREF _Toc100140873 \h </w:instrText>
        </w:r>
        <w:r w:rsidR="00B131A4" w:rsidRPr="00D13588">
          <w:rPr>
            <w:noProof/>
            <w:webHidden/>
            <w:lang w:val="en-GB"/>
          </w:rPr>
        </w:r>
        <w:r w:rsidR="00B131A4" w:rsidRPr="00D13588">
          <w:rPr>
            <w:noProof/>
            <w:webHidden/>
            <w:lang w:val="en-GB"/>
          </w:rPr>
          <w:fldChar w:fldCharType="separate"/>
        </w:r>
        <w:r w:rsidR="00A5087F">
          <w:rPr>
            <w:noProof/>
            <w:webHidden/>
            <w:lang w:val="en-GB"/>
          </w:rPr>
          <w:t>1</w:t>
        </w:r>
        <w:r w:rsidR="00B131A4" w:rsidRPr="00D13588">
          <w:rPr>
            <w:noProof/>
            <w:webHidden/>
            <w:lang w:val="en-GB"/>
          </w:rPr>
          <w:fldChar w:fldCharType="end"/>
        </w:r>
      </w:hyperlink>
    </w:p>
    <w:p w14:paraId="46A545EE" w14:textId="255BB645" w:rsidR="00B131A4" w:rsidRPr="00D13588" w:rsidRDefault="00A5087F">
      <w:pPr>
        <w:pStyle w:val="TOC1"/>
        <w:tabs>
          <w:tab w:val="right" w:leader="dot" w:pos="9016"/>
        </w:tabs>
        <w:rPr>
          <w:rFonts w:asciiTheme="minorHAnsi" w:eastAsiaTheme="minorEastAsia" w:hAnsiTheme="minorHAnsi"/>
          <w:noProof/>
          <w:sz w:val="22"/>
          <w:lang w:val="en-GB" w:eastAsia="en-GB"/>
        </w:rPr>
      </w:pPr>
      <w:hyperlink w:anchor="_Toc100140874" w:history="1">
        <w:r w:rsidR="00B131A4" w:rsidRPr="00D13588">
          <w:rPr>
            <w:rStyle w:val="Hyperlink"/>
            <w:noProof/>
            <w:lang w:val="en-GB"/>
          </w:rPr>
          <w:t>Table of Contents</w:t>
        </w:r>
        <w:r w:rsidR="00B131A4" w:rsidRPr="00D13588">
          <w:rPr>
            <w:noProof/>
            <w:webHidden/>
            <w:lang w:val="en-GB"/>
          </w:rPr>
          <w:tab/>
        </w:r>
        <w:r w:rsidR="00B131A4" w:rsidRPr="00D13588">
          <w:rPr>
            <w:noProof/>
            <w:webHidden/>
            <w:lang w:val="en-GB"/>
          </w:rPr>
          <w:fldChar w:fldCharType="begin"/>
        </w:r>
        <w:r w:rsidR="00B131A4" w:rsidRPr="00D13588">
          <w:rPr>
            <w:noProof/>
            <w:webHidden/>
            <w:lang w:val="en-GB"/>
          </w:rPr>
          <w:instrText xml:space="preserve"> PAGEREF _Toc100140874 \h </w:instrText>
        </w:r>
        <w:r w:rsidR="00B131A4" w:rsidRPr="00D13588">
          <w:rPr>
            <w:noProof/>
            <w:webHidden/>
            <w:lang w:val="en-GB"/>
          </w:rPr>
        </w:r>
        <w:r w:rsidR="00B131A4" w:rsidRPr="00D13588">
          <w:rPr>
            <w:noProof/>
            <w:webHidden/>
            <w:lang w:val="en-GB"/>
          </w:rPr>
          <w:fldChar w:fldCharType="separate"/>
        </w:r>
        <w:r>
          <w:rPr>
            <w:noProof/>
            <w:webHidden/>
            <w:lang w:val="en-GB"/>
          </w:rPr>
          <w:t>2</w:t>
        </w:r>
        <w:r w:rsidR="00B131A4" w:rsidRPr="00D13588">
          <w:rPr>
            <w:noProof/>
            <w:webHidden/>
            <w:lang w:val="en-GB"/>
          </w:rPr>
          <w:fldChar w:fldCharType="end"/>
        </w:r>
      </w:hyperlink>
    </w:p>
    <w:p w14:paraId="4D7891F7" w14:textId="33BDBE43" w:rsidR="00B131A4" w:rsidRPr="00D13588" w:rsidRDefault="00A5087F">
      <w:pPr>
        <w:pStyle w:val="TOC1"/>
        <w:tabs>
          <w:tab w:val="right" w:leader="dot" w:pos="9016"/>
        </w:tabs>
        <w:rPr>
          <w:rFonts w:asciiTheme="minorHAnsi" w:eastAsiaTheme="minorEastAsia" w:hAnsiTheme="minorHAnsi"/>
          <w:noProof/>
          <w:sz w:val="22"/>
          <w:lang w:val="en-GB" w:eastAsia="en-GB"/>
        </w:rPr>
      </w:pPr>
      <w:hyperlink w:anchor="_Toc100140875" w:history="1">
        <w:r w:rsidR="00B131A4" w:rsidRPr="00D13588">
          <w:rPr>
            <w:rStyle w:val="Hyperlink"/>
            <w:noProof/>
            <w:lang w:val="en-GB"/>
          </w:rPr>
          <w:t>Introduction</w:t>
        </w:r>
        <w:r w:rsidR="00B131A4" w:rsidRPr="00D13588">
          <w:rPr>
            <w:noProof/>
            <w:webHidden/>
            <w:lang w:val="en-GB"/>
          </w:rPr>
          <w:tab/>
        </w:r>
        <w:r w:rsidR="00B131A4" w:rsidRPr="00D13588">
          <w:rPr>
            <w:noProof/>
            <w:webHidden/>
            <w:lang w:val="en-GB"/>
          </w:rPr>
          <w:fldChar w:fldCharType="begin"/>
        </w:r>
        <w:r w:rsidR="00B131A4" w:rsidRPr="00D13588">
          <w:rPr>
            <w:noProof/>
            <w:webHidden/>
            <w:lang w:val="en-GB"/>
          </w:rPr>
          <w:instrText xml:space="preserve"> PAGEREF _Toc100140875 \h </w:instrText>
        </w:r>
        <w:r w:rsidR="00B131A4" w:rsidRPr="00D13588">
          <w:rPr>
            <w:noProof/>
            <w:webHidden/>
            <w:lang w:val="en-GB"/>
          </w:rPr>
        </w:r>
        <w:r w:rsidR="00B131A4" w:rsidRPr="00D13588">
          <w:rPr>
            <w:noProof/>
            <w:webHidden/>
            <w:lang w:val="en-GB"/>
          </w:rPr>
          <w:fldChar w:fldCharType="separate"/>
        </w:r>
        <w:r>
          <w:rPr>
            <w:noProof/>
            <w:webHidden/>
            <w:lang w:val="en-GB"/>
          </w:rPr>
          <w:t>2</w:t>
        </w:r>
        <w:r w:rsidR="00B131A4" w:rsidRPr="00D13588">
          <w:rPr>
            <w:noProof/>
            <w:webHidden/>
            <w:lang w:val="en-GB"/>
          </w:rPr>
          <w:fldChar w:fldCharType="end"/>
        </w:r>
      </w:hyperlink>
    </w:p>
    <w:p w14:paraId="25849270" w14:textId="4E322741" w:rsidR="00B131A4" w:rsidRPr="00D13588" w:rsidRDefault="00A5087F">
      <w:pPr>
        <w:pStyle w:val="TOC1"/>
        <w:tabs>
          <w:tab w:val="right" w:leader="dot" w:pos="9016"/>
        </w:tabs>
        <w:rPr>
          <w:rFonts w:asciiTheme="minorHAnsi" w:eastAsiaTheme="minorEastAsia" w:hAnsiTheme="minorHAnsi"/>
          <w:noProof/>
          <w:sz w:val="22"/>
          <w:lang w:val="en-GB" w:eastAsia="en-GB"/>
        </w:rPr>
      </w:pPr>
      <w:hyperlink w:anchor="_Toc100140876" w:history="1">
        <w:r w:rsidR="00B131A4" w:rsidRPr="00D13588">
          <w:rPr>
            <w:rStyle w:val="Hyperlink"/>
            <w:noProof/>
            <w:lang w:val="en-GB"/>
          </w:rPr>
          <w:t>EDF feedback on European Commission’s proposal to amend Regulation (EU) 1025/2012 on European Standardisation</w:t>
        </w:r>
        <w:r w:rsidR="00B131A4" w:rsidRPr="00D13588">
          <w:rPr>
            <w:noProof/>
            <w:webHidden/>
            <w:lang w:val="en-GB"/>
          </w:rPr>
          <w:tab/>
        </w:r>
        <w:r w:rsidR="00B131A4" w:rsidRPr="00D13588">
          <w:rPr>
            <w:noProof/>
            <w:webHidden/>
            <w:lang w:val="en-GB"/>
          </w:rPr>
          <w:fldChar w:fldCharType="begin"/>
        </w:r>
        <w:r w:rsidR="00B131A4" w:rsidRPr="00D13588">
          <w:rPr>
            <w:noProof/>
            <w:webHidden/>
            <w:lang w:val="en-GB"/>
          </w:rPr>
          <w:instrText xml:space="preserve"> PAGEREF _Toc100140876 \h </w:instrText>
        </w:r>
        <w:r w:rsidR="00B131A4" w:rsidRPr="00D13588">
          <w:rPr>
            <w:noProof/>
            <w:webHidden/>
            <w:lang w:val="en-GB"/>
          </w:rPr>
        </w:r>
        <w:r w:rsidR="00B131A4" w:rsidRPr="00D13588">
          <w:rPr>
            <w:noProof/>
            <w:webHidden/>
            <w:lang w:val="en-GB"/>
          </w:rPr>
          <w:fldChar w:fldCharType="separate"/>
        </w:r>
        <w:r>
          <w:rPr>
            <w:noProof/>
            <w:webHidden/>
            <w:lang w:val="en-GB"/>
          </w:rPr>
          <w:t>3</w:t>
        </w:r>
        <w:r w:rsidR="00B131A4" w:rsidRPr="00D13588">
          <w:rPr>
            <w:noProof/>
            <w:webHidden/>
            <w:lang w:val="en-GB"/>
          </w:rPr>
          <w:fldChar w:fldCharType="end"/>
        </w:r>
      </w:hyperlink>
    </w:p>
    <w:p w14:paraId="69F2A721" w14:textId="53DFB72E" w:rsidR="00B131A4" w:rsidRPr="00D13588" w:rsidRDefault="00A5087F">
      <w:pPr>
        <w:pStyle w:val="TOC1"/>
        <w:tabs>
          <w:tab w:val="right" w:leader="dot" w:pos="9016"/>
        </w:tabs>
        <w:rPr>
          <w:rFonts w:asciiTheme="minorHAnsi" w:eastAsiaTheme="minorEastAsia" w:hAnsiTheme="minorHAnsi"/>
          <w:noProof/>
          <w:sz w:val="22"/>
          <w:lang w:val="en-GB" w:eastAsia="en-GB"/>
        </w:rPr>
      </w:pPr>
      <w:hyperlink w:anchor="_Toc100140877" w:history="1">
        <w:r w:rsidR="00B131A4" w:rsidRPr="00D13588">
          <w:rPr>
            <w:rStyle w:val="Hyperlink"/>
            <w:noProof/>
            <w:lang w:val="en-GB"/>
          </w:rPr>
          <w:t xml:space="preserve">Further improvements needed for truly representative, fair, transparent, and inclusive European </w:t>
        </w:r>
        <w:r w:rsidR="00D13588">
          <w:rPr>
            <w:rStyle w:val="Hyperlink"/>
            <w:noProof/>
            <w:lang w:val="en-GB"/>
          </w:rPr>
          <w:t>Standardisation</w:t>
        </w:r>
        <w:r w:rsidR="00B131A4" w:rsidRPr="00D13588">
          <w:rPr>
            <w:noProof/>
            <w:webHidden/>
            <w:lang w:val="en-GB"/>
          </w:rPr>
          <w:tab/>
        </w:r>
        <w:r w:rsidR="00B131A4" w:rsidRPr="00D13588">
          <w:rPr>
            <w:noProof/>
            <w:webHidden/>
            <w:lang w:val="en-GB"/>
          </w:rPr>
          <w:fldChar w:fldCharType="begin"/>
        </w:r>
        <w:r w:rsidR="00B131A4" w:rsidRPr="00D13588">
          <w:rPr>
            <w:noProof/>
            <w:webHidden/>
            <w:lang w:val="en-GB"/>
          </w:rPr>
          <w:instrText xml:space="preserve"> PAGEREF _Toc100140877 \h </w:instrText>
        </w:r>
        <w:r w:rsidR="00B131A4" w:rsidRPr="00D13588">
          <w:rPr>
            <w:noProof/>
            <w:webHidden/>
            <w:lang w:val="en-GB"/>
          </w:rPr>
        </w:r>
        <w:r w:rsidR="00B131A4" w:rsidRPr="00D13588">
          <w:rPr>
            <w:noProof/>
            <w:webHidden/>
            <w:lang w:val="en-GB"/>
          </w:rPr>
          <w:fldChar w:fldCharType="separate"/>
        </w:r>
        <w:r>
          <w:rPr>
            <w:noProof/>
            <w:webHidden/>
            <w:lang w:val="en-GB"/>
          </w:rPr>
          <w:t>6</w:t>
        </w:r>
        <w:r w:rsidR="00B131A4" w:rsidRPr="00D13588">
          <w:rPr>
            <w:noProof/>
            <w:webHidden/>
            <w:lang w:val="en-GB"/>
          </w:rPr>
          <w:fldChar w:fldCharType="end"/>
        </w:r>
      </w:hyperlink>
    </w:p>
    <w:p w14:paraId="1D029207" w14:textId="6E5D5B38" w:rsidR="00B131A4" w:rsidRPr="00D13588" w:rsidRDefault="00A5087F">
      <w:pPr>
        <w:pStyle w:val="TOC1"/>
        <w:tabs>
          <w:tab w:val="right" w:leader="dot" w:pos="9016"/>
        </w:tabs>
        <w:rPr>
          <w:rFonts w:asciiTheme="minorHAnsi" w:eastAsiaTheme="minorEastAsia" w:hAnsiTheme="minorHAnsi"/>
          <w:noProof/>
          <w:sz w:val="22"/>
          <w:lang w:val="en-GB" w:eastAsia="en-GB"/>
        </w:rPr>
      </w:pPr>
      <w:hyperlink w:anchor="_Toc100140878" w:history="1">
        <w:r w:rsidR="00B131A4" w:rsidRPr="00D13588">
          <w:rPr>
            <w:rStyle w:val="Hyperlink"/>
            <w:noProof/>
            <w:lang w:val="en-GB"/>
          </w:rPr>
          <w:t xml:space="preserve">Annex I – examples demonstrating lack of inclusive and balanced European </w:t>
        </w:r>
        <w:r w:rsidR="00D13588">
          <w:rPr>
            <w:rStyle w:val="Hyperlink"/>
            <w:noProof/>
            <w:lang w:val="en-GB"/>
          </w:rPr>
          <w:t>Standardisation</w:t>
        </w:r>
        <w:r w:rsidR="00B131A4" w:rsidRPr="00D13588">
          <w:rPr>
            <w:noProof/>
            <w:webHidden/>
            <w:lang w:val="en-GB"/>
          </w:rPr>
          <w:tab/>
        </w:r>
        <w:r w:rsidR="00B131A4" w:rsidRPr="00D13588">
          <w:rPr>
            <w:noProof/>
            <w:webHidden/>
            <w:lang w:val="en-GB"/>
          </w:rPr>
          <w:fldChar w:fldCharType="begin"/>
        </w:r>
        <w:r w:rsidR="00B131A4" w:rsidRPr="00D13588">
          <w:rPr>
            <w:noProof/>
            <w:webHidden/>
            <w:lang w:val="en-GB"/>
          </w:rPr>
          <w:instrText xml:space="preserve"> PAGEREF _Toc100140878 \h </w:instrText>
        </w:r>
        <w:r w:rsidR="00B131A4" w:rsidRPr="00D13588">
          <w:rPr>
            <w:noProof/>
            <w:webHidden/>
            <w:lang w:val="en-GB"/>
          </w:rPr>
        </w:r>
        <w:r w:rsidR="00B131A4" w:rsidRPr="00D13588">
          <w:rPr>
            <w:noProof/>
            <w:webHidden/>
            <w:lang w:val="en-GB"/>
          </w:rPr>
          <w:fldChar w:fldCharType="separate"/>
        </w:r>
        <w:r>
          <w:rPr>
            <w:noProof/>
            <w:webHidden/>
            <w:lang w:val="en-GB"/>
          </w:rPr>
          <w:t>8</w:t>
        </w:r>
        <w:r w:rsidR="00B131A4" w:rsidRPr="00D13588">
          <w:rPr>
            <w:noProof/>
            <w:webHidden/>
            <w:lang w:val="en-GB"/>
          </w:rPr>
          <w:fldChar w:fldCharType="end"/>
        </w:r>
      </w:hyperlink>
    </w:p>
    <w:p w14:paraId="06A8E5BF" w14:textId="1421374E" w:rsidR="00B131A4" w:rsidRPr="00D13588" w:rsidRDefault="00A5087F">
      <w:pPr>
        <w:pStyle w:val="TOC1"/>
        <w:tabs>
          <w:tab w:val="right" w:leader="dot" w:pos="9016"/>
        </w:tabs>
        <w:rPr>
          <w:rFonts w:asciiTheme="minorHAnsi" w:eastAsiaTheme="minorEastAsia" w:hAnsiTheme="minorHAnsi"/>
          <w:noProof/>
          <w:sz w:val="22"/>
          <w:lang w:val="en-GB" w:eastAsia="en-GB"/>
        </w:rPr>
      </w:pPr>
      <w:hyperlink w:anchor="_Toc100140879" w:history="1">
        <w:r w:rsidR="00B131A4" w:rsidRPr="00D13588">
          <w:rPr>
            <w:rStyle w:val="Hyperlink"/>
            <w:noProof/>
            <w:lang w:val="en-GB"/>
          </w:rPr>
          <w:t>Document credits</w:t>
        </w:r>
        <w:r w:rsidR="00B131A4" w:rsidRPr="00D13588">
          <w:rPr>
            <w:noProof/>
            <w:webHidden/>
            <w:lang w:val="en-GB"/>
          </w:rPr>
          <w:tab/>
        </w:r>
        <w:r w:rsidR="00B131A4" w:rsidRPr="00D13588">
          <w:rPr>
            <w:noProof/>
            <w:webHidden/>
            <w:lang w:val="en-GB"/>
          </w:rPr>
          <w:fldChar w:fldCharType="begin"/>
        </w:r>
        <w:r w:rsidR="00B131A4" w:rsidRPr="00D13588">
          <w:rPr>
            <w:noProof/>
            <w:webHidden/>
            <w:lang w:val="en-GB"/>
          </w:rPr>
          <w:instrText xml:space="preserve"> PAGEREF _Toc100140879 \h </w:instrText>
        </w:r>
        <w:r w:rsidR="00B131A4" w:rsidRPr="00D13588">
          <w:rPr>
            <w:noProof/>
            <w:webHidden/>
            <w:lang w:val="en-GB"/>
          </w:rPr>
        </w:r>
        <w:r w:rsidR="00B131A4" w:rsidRPr="00D13588">
          <w:rPr>
            <w:noProof/>
            <w:webHidden/>
            <w:lang w:val="en-GB"/>
          </w:rPr>
          <w:fldChar w:fldCharType="separate"/>
        </w:r>
        <w:r>
          <w:rPr>
            <w:noProof/>
            <w:webHidden/>
            <w:lang w:val="en-GB"/>
          </w:rPr>
          <w:t>10</w:t>
        </w:r>
        <w:r w:rsidR="00B131A4" w:rsidRPr="00D13588">
          <w:rPr>
            <w:noProof/>
            <w:webHidden/>
            <w:lang w:val="en-GB"/>
          </w:rPr>
          <w:fldChar w:fldCharType="end"/>
        </w:r>
      </w:hyperlink>
    </w:p>
    <w:p w14:paraId="588D3280" w14:textId="188283A4" w:rsidR="001E0F08" w:rsidRPr="00D13588" w:rsidRDefault="00A9576D" w:rsidP="00282B80">
      <w:pPr>
        <w:pStyle w:val="Heading1"/>
        <w:rPr>
          <w:lang w:val="en-GB"/>
        </w:rPr>
      </w:pPr>
      <w:r w:rsidRPr="00D13588">
        <w:rPr>
          <w:lang w:val="en-GB"/>
        </w:rPr>
        <w:fldChar w:fldCharType="end"/>
      </w:r>
      <w:bookmarkStart w:id="4" w:name="_Toc100140875"/>
      <w:r w:rsidR="001E0F08" w:rsidRPr="00D13588">
        <w:rPr>
          <w:lang w:val="en-GB"/>
        </w:rPr>
        <w:t>Introduction</w:t>
      </w:r>
      <w:bookmarkEnd w:id="4"/>
    </w:p>
    <w:p w14:paraId="70F30724" w14:textId="3C116A6C" w:rsidR="00282B80" w:rsidRPr="00D13588" w:rsidRDefault="00282B80" w:rsidP="00282B80">
      <w:pPr>
        <w:pStyle w:val="Heading3"/>
        <w:rPr>
          <w:lang w:val="en-GB"/>
        </w:rPr>
      </w:pPr>
      <w:r w:rsidRPr="00D13588">
        <w:rPr>
          <w:lang w:val="en-GB"/>
        </w:rPr>
        <w:t>The European Disability Forum</w:t>
      </w:r>
    </w:p>
    <w:p w14:paraId="06C637A5" w14:textId="337D1381" w:rsidR="001E0F08" w:rsidRPr="00D13588" w:rsidRDefault="00282B80" w:rsidP="00282B80">
      <w:pPr>
        <w:rPr>
          <w:lang w:val="en-GB"/>
        </w:rPr>
      </w:pPr>
      <w:r w:rsidRPr="00D13588">
        <w:rPr>
          <w:lang w:val="en-GB"/>
        </w:rPr>
        <w:t>The European Disability Forum is an independent NGO that represents the interests of 100 million Europeans with disabilities. EDF is a unique platform which brings together representative organisation of persons with disabilities from across Europe. EDF is run by persons with disabilities and their families. We are a strong, united voice of persons with disabilities in Europe.</w:t>
      </w:r>
    </w:p>
    <w:p w14:paraId="2CFD1649" w14:textId="3F072B23" w:rsidR="00282B80" w:rsidRPr="00D13588" w:rsidRDefault="00135B45" w:rsidP="00A9576D">
      <w:pPr>
        <w:pStyle w:val="Heading1"/>
        <w:pageBreakBefore/>
        <w:rPr>
          <w:lang w:val="en-GB"/>
        </w:rPr>
      </w:pPr>
      <w:bookmarkStart w:id="5" w:name="_Toc100140876"/>
      <w:r w:rsidRPr="00D13588">
        <w:rPr>
          <w:lang w:val="en-GB"/>
        </w:rPr>
        <w:lastRenderedPageBreak/>
        <w:t>EDF feedback on European Commission’s proposal to amend Regulation (EU) 1025/2012 on European Standardisation</w:t>
      </w:r>
      <w:bookmarkEnd w:id="5"/>
      <w:r w:rsidRPr="00D13588">
        <w:rPr>
          <w:lang w:val="en-GB"/>
        </w:rPr>
        <w:t xml:space="preserve"> </w:t>
      </w:r>
    </w:p>
    <w:p w14:paraId="7BDD72E5" w14:textId="3B2246E6" w:rsidR="002E040F" w:rsidRPr="00D13588" w:rsidRDefault="001A1718" w:rsidP="003D6528">
      <w:pPr>
        <w:rPr>
          <w:bCs/>
          <w:lang w:val="en-GB"/>
        </w:rPr>
      </w:pPr>
      <w:r w:rsidRPr="00D13588">
        <w:rPr>
          <w:bCs/>
          <w:lang w:val="en-GB"/>
        </w:rPr>
        <w:t xml:space="preserve">The European Disability Forum (EDF) welcomes the </w:t>
      </w:r>
      <w:hyperlink r:id="rId10" w:history="1">
        <w:r w:rsidRPr="00D13588">
          <w:rPr>
            <w:rStyle w:val="Hyperlink"/>
            <w:bCs/>
            <w:lang w:val="en-GB"/>
          </w:rPr>
          <w:t>European Commission’s proposal to amend Regulation (EU) 1025/2012 on European Standardisation</w:t>
        </w:r>
      </w:hyperlink>
      <w:r w:rsidR="008D57A6" w:rsidRPr="00D13588">
        <w:rPr>
          <w:bCs/>
          <w:lang w:val="en-GB"/>
        </w:rPr>
        <w:t xml:space="preserve"> as a first step towards ensuring a transparent European </w:t>
      </w:r>
      <w:r w:rsidR="00722A2B">
        <w:rPr>
          <w:bCs/>
          <w:lang w:val="en-GB"/>
        </w:rPr>
        <w:t>s</w:t>
      </w:r>
      <w:r w:rsidR="00D13588">
        <w:rPr>
          <w:bCs/>
          <w:lang w:val="en-GB"/>
        </w:rPr>
        <w:t>tandardisation</w:t>
      </w:r>
      <w:r w:rsidR="008D57A6" w:rsidRPr="00D13588">
        <w:rPr>
          <w:bCs/>
          <w:lang w:val="en-GB"/>
        </w:rPr>
        <w:t xml:space="preserve"> system with improved governance and empowered European rights</w:t>
      </w:r>
      <w:r w:rsidR="002E040F" w:rsidRPr="00D13588">
        <w:rPr>
          <w:bCs/>
          <w:lang w:val="en-GB"/>
        </w:rPr>
        <w:t>-</w:t>
      </w:r>
      <w:r w:rsidR="008D57A6" w:rsidRPr="00D13588">
        <w:rPr>
          <w:bCs/>
          <w:lang w:val="en-GB"/>
        </w:rPr>
        <w:t xml:space="preserve">holders. </w:t>
      </w:r>
    </w:p>
    <w:p w14:paraId="04E2F221" w14:textId="25F3942F" w:rsidR="00D13588" w:rsidRPr="00D13588" w:rsidRDefault="00CA0A09" w:rsidP="003D6528">
      <w:pPr>
        <w:rPr>
          <w:bCs/>
          <w:lang w:val="en-GB"/>
        </w:rPr>
      </w:pPr>
      <w:r w:rsidRPr="00D13588">
        <w:rPr>
          <w:bCs/>
          <w:lang w:val="en-GB"/>
        </w:rPr>
        <w:t xml:space="preserve">However, as we </w:t>
      </w:r>
      <w:r w:rsidR="002302F7" w:rsidRPr="00D13588">
        <w:rPr>
          <w:bCs/>
          <w:lang w:val="en-GB"/>
        </w:rPr>
        <w:t>demonstrate</w:t>
      </w:r>
      <w:r w:rsidRPr="00D13588">
        <w:rPr>
          <w:bCs/>
          <w:lang w:val="en-GB"/>
        </w:rPr>
        <w:t xml:space="preserve"> below, we do not believe this amendment </w:t>
      </w:r>
      <w:r w:rsidR="002302F7" w:rsidRPr="00D13588">
        <w:rPr>
          <w:bCs/>
          <w:lang w:val="en-GB"/>
        </w:rPr>
        <w:t>is</w:t>
      </w:r>
      <w:r w:rsidRPr="00D13588">
        <w:rPr>
          <w:bCs/>
          <w:lang w:val="en-GB"/>
        </w:rPr>
        <w:t xml:space="preserve"> enough to ensure that the European standardisation system is fit for supporting EU policies, nor </w:t>
      </w:r>
      <w:r w:rsidR="002302F7" w:rsidRPr="00D13588">
        <w:rPr>
          <w:bCs/>
          <w:lang w:val="en-GB"/>
        </w:rPr>
        <w:t>that it is</w:t>
      </w:r>
      <w:r w:rsidRPr="00D13588">
        <w:rPr>
          <w:bCs/>
          <w:lang w:val="en-GB"/>
        </w:rPr>
        <w:t xml:space="preserve"> inclusive for persons with disabilities and their representative organisations. </w:t>
      </w:r>
      <w:r w:rsidR="00D13588" w:rsidRPr="00D13588">
        <w:rPr>
          <w:bCs/>
          <w:lang w:val="en-GB"/>
        </w:rPr>
        <w:t xml:space="preserve">We support our arguments and recommendations with two examples illustrating some of the issues present in European standardisation (see Annex I). </w:t>
      </w:r>
    </w:p>
    <w:p w14:paraId="4BEC76EF" w14:textId="2507218C" w:rsidR="001A1718" w:rsidRPr="00D13588" w:rsidRDefault="00CA0A09" w:rsidP="003D6528">
      <w:pPr>
        <w:rPr>
          <w:bCs/>
          <w:lang w:val="en-GB"/>
        </w:rPr>
      </w:pPr>
      <w:r w:rsidRPr="00D13588">
        <w:rPr>
          <w:bCs/>
          <w:lang w:val="en-GB"/>
        </w:rPr>
        <w:t xml:space="preserve">Therefore, </w:t>
      </w:r>
      <w:r w:rsidRPr="00D13588">
        <w:rPr>
          <w:b/>
          <w:lang w:val="en-GB"/>
        </w:rPr>
        <w:t xml:space="preserve">we </w:t>
      </w:r>
      <w:r w:rsidR="00D32E93" w:rsidRPr="00D13588">
        <w:rPr>
          <w:b/>
          <w:lang w:val="en-GB"/>
        </w:rPr>
        <w:t xml:space="preserve">call on the </w:t>
      </w:r>
      <w:r w:rsidR="003C3B04" w:rsidRPr="00D13588">
        <w:rPr>
          <w:b/>
          <w:lang w:val="en-GB"/>
        </w:rPr>
        <w:t>Commission</w:t>
      </w:r>
      <w:r w:rsidR="00D32E93" w:rsidRPr="00D13588">
        <w:rPr>
          <w:b/>
          <w:lang w:val="en-GB"/>
        </w:rPr>
        <w:t xml:space="preserve"> to build on this positive development and launch a comprehensive revision of the Regulation</w:t>
      </w:r>
      <w:r w:rsidR="00D32E93" w:rsidRPr="00D13588">
        <w:rPr>
          <w:bCs/>
          <w:lang w:val="en-GB"/>
        </w:rPr>
        <w:t xml:space="preserve"> to address the many challenges in relation to a truly representative</w:t>
      </w:r>
      <w:r w:rsidRPr="00D13588">
        <w:rPr>
          <w:bCs/>
          <w:lang w:val="en-GB"/>
        </w:rPr>
        <w:t>, fair,</w:t>
      </w:r>
      <w:r w:rsidR="00D32E93" w:rsidRPr="00D13588">
        <w:rPr>
          <w:bCs/>
          <w:lang w:val="en-GB"/>
        </w:rPr>
        <w:t xml:space="preserve"> and inclusive European </w:t>
      </w:r>
      <w:r w:rsidR="00D13588">
        <w:rPr>
          <w:bCs/>
          <w:lang w:val="en-GB"/>
        </w:rPr>
        <w:t>standardisation</w:t>
      </w:r>
      <w:r w:rsidR="00D44FE9" w:rsidRPr="00D13588">
        <w:rPr>
          <w:bCs/>
          <w:lang w:val="en-GB"/>
        </w:rPr>
        <w:t xml:space="preserve"> system</w:t>
      </w:r>
      <w:r w:rsidR="00D32E93" w:rsidRPr="00D13588">
        <w:rPr>
          <w:bCs/>
          <w:lang w:val="en-GB"/>
        </w:rPr>
        <w:t xml:space="preserve">. </w:t>
      </w:r>
    </w:p>
    <w:p w14:paraId="650341FE" w14:textId="3FA33F1E" w:rsidR="008D57A6" w:rsidRPr="00D13588" w:rsidRDefault="008D57A6" w:rsidP="003D6528">
      <w:pPr>
        <w:rPr>
          <w:bCs/>
          <w:lang w:val="en-GB"/>
        </w:rPr>
      </w:pPr>
      <w:r w:rsidRPr="00D13588">
        <w:rPr>
          <w:bCs/>
          <w:lang w:val="en-GB"/>
        </w:rPr>
        <w:t>We agree with the Commission’s view that “particularly when the European standardisation organisations support the application of EU legislation and develop standards that are crucial to the EU general public and to companies, the internal governance of the European standardisation organisations must duly take into account the views of all European stakeholders (including small and medium enterprises and civil society organisations).”</w:t>
      </w:r>
      <w:r w:rsidR="00C03301" w:rsidRPr="00D13588">
        <w:rPr>
          <w:rStyle w:val="FootnoteReference"/>
          <w:bCs/>
          <w:lang w:val="en-GB"/>
        </w:rPr>
        <w:footnoteReference w:id="1"/>
      </w:r>
    </w:p>
    <w:p w14:paraId="3E5DE075" w14:textId="729B7793" w:rsidR="008D57A6" w:rsidRPr="00D13588" w:rsidRDefault="008D57A6" w:rsidP="008D57A6">
      <w:pPr>
        <w:rPr>
          <w:sz w:val="23"/>
          <w:szCs w:val="23"/>
          <w:lang w:val="en-GB"/>
        </w:rPr>
      </w:pPr>
      <w:r w:rsidRPr="00D13588">
        <w:rPr>
          <w:bCs/>
          <w:lang w:val="en-GB"/>
        </w:rPr>
        <w:t xml:space="preserve">We are </w:t>
      </w:r>
      <w:r w:rsidR="0056609F" w:rsidRPr="00D13588">
        <w:rPr>
          <w:bCs/>
          <w:lang w:val="en-GB"/>
        </w:rPr>
        <w:t xml:space="preserve">also </w:t>
      </w:r>
      <w:r w:rsidRPr="00D13588">
        <w:rPr>
          <w:bCs/>
          <w:lang w:val="en-GB"/>
        </w:rPr>
        <w:t>pleased to see that the Commission recognises th</w:t>
      </w:r>
      <w:r w:rsidR="0056609F" w:rsidRPr="00D13588">
        <w:rPr>
          <w:bCs/>
          <w:lang w:val="en-GB"/>
        </w:rPr>
        <w:t xml:space="preserve">e barriers faced by European civil society actors in European </w:t>
      </w:r>
      <w:r w:rsidR="005A7FA3" w:rsidRPr="00D13588">
        <w:rPr>
          <w:bCs/>
          <w:lang w:val="en-GB"/>
        </w:rPr>
        <w:t>standardisation</w:t>
      </w:r>
      <w:r w:rsidR="0056609F" w:rsidRPr="00D13588">
        <w:rPr>
          <w:bCs/>
          <w:lang w:val="en-GB"/>
        </w:rPr>
        <w:t>. As noted in the explanatory memorandum “</w:t>
      </w:r>
      <w:r w:rsidRPr="00D13588">
        <w:rPr>
          <w:sz w:val="23"/>
          <w:szCs w:val="23"/>
          <w:lang w:val="en-GB"/>
        </w:rPr>
        <w:t>some European standardisation organisations are mainly composed by economic operators who have voting rights and the participation of civil society organisations and public authorities is limited in some cases.</w:t>
      </w:r>
      <w:r w:rsidR="0056609F" w:rsidRPr="00D13588">
        <w:rPr>
          <w:sz w:val="23"/>
          <w:szCs w:val="23"/>
          <w:lang w:val="en-GB"/>
        </w:rPr>
        <w:t>”</w:t>
      </w:r>
      <w:r w:rsidR="0056609F" w:rsidRPr="00D13588">
        <w:rPr>
          <w:rStyle w:val="FootnoteReference"/>
          <w:sz w:val="23"/>
          <w:szCs w:val="23"/>
          <w:lang w:val="en-GB"/>
        </w:rPr>
        <w:footnoteReference w:id="2"/>
      </w:r>
      <w:r w:rsidR="0056609F" w:rsidRPr="00D13588">
        <w:rPr>
          <w:sz w:val="23"/>
          <w:szCs w:val="23"/>
          <w:lang w:val="en-GB"/>
        </w:rPr>
        <w:t xml:space="preserve"> This limitation is of great hindrance </w:t>
      </w:r>
      <w:r w:rsidR="00D44FE9" w:rsidRPr="00D13588">
        <w:rPr>
          <w:sz w:val="23"/>
          <w:szCs w:val="23"/>
          <w:lang w:val="en-GB"/>
        </w:rPr>
        <w:t xml:space="preserve">to </w:t>
      </w:r>
      <w:r w:rsidR="0056609F" w:rsidRPr="00D13588">
        <w:rPr>
          <w:sz w:val="23"/>
          <w:szCs w:val="23"/>
          <w:lang w:val="en-GB"/>
        </w:rPr>
        <w:t xml:space="preserve">organizations representing consumers, </w:t>
      </w:r>
      <w:r w:rsidR="00D32E93" w:rsidRPr="00D13588">
        <w:rPr>
          <w:sz w:val="23"/>
          <w:szCs w:val="23"/>
          <w:lang w:val="en-GB"/>
        </w:rPr>
        <w:t>especially for organisations of persons with disabilities stemming from lack of accessibility of standardisation procedures,</w:t>
      </w:r>
      <w:r w:rsidR="009723EF" w:rsidRPr="00D13588">
        <w:rPr>
          <w:sz w:val="23"/>
          <w:szCs w:val="23"/>
          <w:lang w:val="en-GB"/>
        </w:rPr>
        <w:t xml:space="preserve"> obligatory fees to participate,</w:t>
      </w:r>
      <w:r w:rsidR="00D32E93" w:rsidRPr="00D13588">
        <w:rPr>
          <w:sz w:val="23"/>
          <w:szCs w:val="23"/>
          <w:lang w:val="en-GB"/>
        </w:rPr>
        <w:t xml:space="preserve"> resource limitations, imbalance of power in European and national standardisation activities, and limited decision-making powers (e.g. no voting rights</w:t>
      </w:r>
      <w:r w:rsidR="009723EF" w:rsidRPr="00D13588">
        <w:rPr>
          <w:sz w:val="23"/>
          <w:szCs w:val="23"/>
          <w:lang w:val="en-GB"/>
        </w:rPr>
        <w:t xml:space="preserve"> or </w:t>
      </w:r>
      <w:r w:rsidR="002302F7" w:rsidRPr="00D13588">
        <w:rPr>
          <w:sz w:val="23"/>
          <w:szCs w:val="23"/>
          <w:lang w:val="en-GB"/>
        </w:rPr>
        <w:t>insufficient</w:t>
      </w:r>
      <w:r w:rsidR="009723EF" w:rsidRPr="00D13588">
        <w:rPr>
          <w:sz w:val="23"/>
          <w:szCs w:val="23"/>
          <w:lang w:val="en-GB"/>
        </w:rPr>
        <w:t xml:space="preserve"> voting weight</w:t>
      </w:r>
      <w:r w:rsidR="00D32E93" w:rsidRPr="00D13588">
        <w:rPr>
          <w:sz w:val="23"/>
          <w:szCs w:val="23"/>
          <w:lang w:val="en-GB"/>
        </w:rPr>
        <w:t xml:space="preserve">). </w:t>
      </w:r>
    </w:p>
    <w:p w14:paraId="514727C8" w14:textId="32DF2071" w:rsidR="005B74D7" w:rsidRPr="00D13588" w:rsidRDefault="005B74D7" w:rsidP="004937F2">
      <w:pPr>
        <w:pStyle w:val="Heading3"/>
        <w:rPr>
          <w:lang w:val="en-GB"/>
        </w:rPr>
      </w:pPr>
      <w:r w:rsidRPr="00D13588">
        <w:rPr>
          <w:lang w:val="en-GB"/>
        </w:rPr>
        <w:lastRenderedPageBreak/>
        <w:t xml:space="preserve">The solution proposed by the European Commission </w:t>
      </w:r>
    </w:p>
    <w:p w14:paraId="455B494A" w14:textId="4AF3B155" w:rsidR="003F2BC1" w:rsidRPr="00D13588" w:rsidRDefault="008E409A" w:rsidP="00CA455E">
      <w:pPr>
        <w:rPr>
          <w:sz w:val="23"/>
          <w:szCs w:val="23"/>
          <w:lang w:val="en-GB"/>
        </w:rPr>
      </w:pPr>
      <w:r w:rsidRPr="00D13588">
        <w:rPr>
          <w:sz w:val="23"/>
          <w:szCs w:val="23"/>
          <w:lang w:val="en-GB"/>
        </w:rPr>
        <w:t xml:space="preserve">To </w:t>
      </w:r>
      <w:r w:rsidR="009139A5" w:rsidRPr="00D13588">
        <w:rPr>
          <w:sz w:val="23"/>
          <w:szCs w:val="23"/>
          <w:lang w:val="en-GB"/>
        </w:rPr>
        <w:t xml:space="preserve">address </w:t>
      </w:r>
      <w:r w:rsidR="00CA455E" w:rsidRPr="00D13588">
        <w:rPr>
          <w:sz w:val="23"/>
          <w:szCs w:val="23"/>
          <w:lang w:val="en-GB"/>
        </w:rPr>
        <w:t xml:space="preserve">some of </w:t>
      </w:r>
      <w:r w:rsidR="002D44E4" w:rsidRPr="00D13588">
        <w:rPr>
          <w:sz w:val="23"/>
          <w:szCs w:val="23"/>
          <w:lang w:val="en-GB"/>
        </w:rPr>
        <w:t xml:space="preserve">the </w:t>
      </w:r>
      <w:r w:rsidR="009139A5" w:rsidRPr="00D13588">
        <w:rPr>
          <w:sz w:val="23"/>
          <w:szCs w:val="23"/>
          <w:lang w:val="en-GB"/>
        </w:rPr>
        <w:t xml:space="preserve">above-raised challenges and to ensure that especially </w:t>
      </w:r>
      <w:r w:rsidR="003F2BC1" w:rsidRPr="00D13588">
        <w:rPr>
          <w:sz w:val="23"/>
          <w:szCs w:val="23"/>
          <w:lang w:val="en-GB"/>
        </w:rPr>
        <w:t xml:space="preserve">standards requested by the European Commission in support of </w:t>
      </w:r>
      <w:r w:rsidR="009139A5" w:rsidRPr="00D13588">
        <w:rPr>
          <w:sz w:val="23"/>
          <w:szCs w:val="23"/>
          <w:lang w:val="en-GB"/>
        </w:rPr>
        <w:t xml:space="preserve">EU legislation reflect Union policy objectives, values and public interest, the Commission proposes to put in place checks and balances through </w:t>
      </w:r>
      <w:r w:rsidR="002D44E4" w:rsidRPr="00D13588">
        <w:rPr>
          <w:sz w:val="23"/>
          <w:szCs w:val="23"/>
          <w:lang w:val="en-GB"/>
        </w:rPr>
        <w:t>giving exclusive decision-making power</w:t>
      </w:r>
      <w:r w:rsidR="003C3B04" w:rsidRPr="00D13588">
        <w:rPr>
          <w:sz w:val="23"/>
          <w:szCs w:val="23"/>
          <w:lang w:val="en-GB"/>
        </w:rPr>
        <w:t>s</w:t>
      </w:r>
      <w:r w:rsidR="002D44E4" w:rsidRPr="00D13588">
        <w:rPr>
          <w:sz w:val="23"/>
          <w:szCs w:val="23"/>
          <w:lang w:val="en-GB"/>
        </w:rPr>
        <w:t xml:space="preserve"> to representatives of the national standardisation </w:t>
      </w:r>
      <w:r w:rsidR="003F2BC1" w:rsidRPr="00D13588">
        <w:rPr>
          <w:sz w:val="23"/>
          <w:szCs w:val="23"/>
          <w:lang w:val="en-GB"/>
        </w:rPr>
        <w:t xml:space="preserve">organisations </w:t>
      </w:r>
      <w:r w:rsidR="002D44E4" w:rsidRPr="00D13588">
        <w:rPr>
          <w:sz w:val="23"/>
          <w:szCs w:val="23"/>
          <w:lang w:val="en-GB"/>
        </w:rPr>
        <w:t xml:space="preserve">within the competent decision-making </w:t>
      </w:r>
      <w:r w:rsidR="003F2BC1" w:rsidRPr="00D13588">
        <w:rPr>
          <w:sz w:val="23"/>
          <w:szCs w:val="23"/>
          <w:lang w:val="en-GB"/>
        </w:rPr>
        <w:t xml:space="preserve">bodies </w:t>
      </w:r>
      <w:r w:rsidR="002D44E4" w:rsidRPr="00D13588">
        <w:rPr>
          <w:sz w:val="23"/>
          <w:szCs w:val="23"/>
          <w:lang w:val="en-GB"/>
        </w:rPr>
        <w:t xml:space="preserve">of </w:t>
      </w:r>
      <w:r w:rsidR="003F2BC1" w:rsidRPr="00D13588">
        <w:rPr>
          <w:sz w:val="23"/>
          <w:szCs w:val="23"/>
          <w:lang w:val="en-GB"/>
        </w:rPr>
        <w:t xml:space="preserve">the </w:t>
      </w:r>
      <w:r w:rsidR="003C3B04" w:rsidRPr="00D13588">
        <w:rPr>
          <w:sz w:val="23"/>
          <w:szCs w:val="23"/>
          <w:lang w:val="en-GB"/>
        </w:rPr>
        <w:t>European Standardisation Organisations (</w:t>
      </w:r>
      <w:r w:rsidR="002D44E4" w:rsidRPr="00D13588">
        <w:rPr>
          <w:sz w:val="23"/>
          <w:szCs w:val="23"/>
          <w:lang w:val="en-GB"/>
        </w:rPr>
        <w:t>ESOs</w:t>
      </w:r>
      <w:r w:rsidR="003C3B04" w:rsidRPr="00D13588">
        <w:rPr>
          <w:sz w:val="23"/>
          <w:szCs w:val="23"/>
          <w:lang w:val="en-GB"/>
        </w:rPr>
        <w:t>)</w:t>
      </w:r>
      <w:r w:rsidR="002D44E4" w:rsidRPr="00D13588">
        <w:rPr>
          <w:sz w:val="23"/>
          <w:szCs w:val="23"/>
          <w:lang w:val="en-GB"/>
        </w:rPr>
        <w:t>.</w:t>
      </w:r>
      <w:r w:rsidR="002D44E4" w:rsidRPr="00D13588">
        <w:rPr>
          <w:rStyle w:val="FootnoteReference"/>
          <w:sz w:val="23"/>
          <w:szCs w:val="23"/>
          <w:lang w:val="en-GB"/>
        </w:rPr>
        <w:footnoteReference w:id="3"/>
      </w:r>
      <w:r w:rsidR="002D44E4" w:rsidRPr="00D13588">
        <w:rPr>
          <w:sz w:val="23"/>
          <w:szCs w:val="23"/>
          <w:lang w:val="en-GB"/>
        </w:rPr>
        <w:t xml:space="preserve"> </w:t>
      </w:r>
    </w:p>
    <w:p w14:paraId="6B083570" w14:textId="1512B872" w:rsidR="005B74D7" w:rsidRPr="00D13588" w:rsidRDefault="005B74D7" w:rsidP="005B74D7">
      <w:pPr>
        <w:pStyle w:val="Heading3"/>
        <w:rPr>
          <w:lang w:val="en-GB"/>
        </w:rPr>
      </w:pPr>
      <w:r w:rsidRPr="00D13588">
        <w:rPr>
          <w:lang w:val="en-GB"/>
        </w:rPr>
        <w:t xml:space="preserve">Why the proposed solution is not enough </w:t>
      </w:r>
    </w:p>
    <w:p w14:paraId="14096219" w14:textId="6F2196E4" w:rsidR="008E409A" w:rsidRPr="00D13588" w:rsidRDefault="00CA455E" w:rsidP="00CA455E">
      <w:pPr>
        <w:rPr>
          <w:sz w:val="23"/>
          <w:szCs w:val="23"/>
          <w:lang w:val="en-GB"/>
        </w:rPr>
      </w:pPr>
      <w:r w:rsidRPr="00D13588">
        <w:rPr>
          <w:sz w:val="23"/>
          <w:szCs w:val="23"/>
          <w:lang w:val="en-GB"/>
        </w:rPr>
        <w:t xml:space="preserve">Although this is </w:t>
      </w:r>
      <w:r w:rsidR="003C3B04" w:rsidRPr="00D13588">
        <w:rPr>
          <w:sz w:val="23"/>
          <w:szCs w:val="23"/>
          <w:lang w:val="en-GB"/>
        </w:rPr>
        <w:t xml:space="preserve">a </w:t>
      </w:r>
      <w:r w:rsidRPr="00D13588">
        <w:rPr>
          <w:sz w:val="23"/>
          <w:szCs w:val="23"/>
          <w:lang w:val="en-GB"/>
        </w:rPr>
        <w:t xml:space="preserve">positive step towards empowering European actors, </w:t>
      </w:r>
      <w:r w:rsidR="003F2BC1" w:rsidRPr="00D13588">
        <w:rPr>
          <w:sz w:val="23"/>
          <w:szCs w:val="23"/>
          <w:lang w:val="en-GB"/>
        </w:rPr>
        <w:t xml:space="preserve">EDF agrees with </w:t>
      </w:r>
      <w:r w:rsidRPr="00D13588">
        <w:rPr>
          <w:sz w:val="23"/>
          <w:szCs w:val="23"/>
          <w:lang w:val="en-GB"/>
        </w:rPr>
        <w:t>ANEC</w:t>
      </w:r>
      <w:r w:rsidR="003F2BC1" w:rsidRPr="00D13588">
        <w:rPr>
          <w:sz w:val="23"/>
          <w:szCs w:val="23"/>
          <w:lang w:val="en-GB"/>
        </w:rPr>
        <w:t>, which</w:t>
      </w:r>
      <w:r w:rsidRPr="00D13588">
        <w:rPr>
          <w:sz w:val="23"/>
          <w:szCs w:val="23"/>
          <w:lang w:val="en-GB"/>
        </w:rPr>
        <w:t xml:space="preserve"> has warned that “the positions taken by the national standardisation bodies are also at risk of being influenced by a more international perspective,” as many multinational companies that do not have their headquarters in Europe have national offices in EEA member states, and these are sometimes active in standardisation at national level and in the national mirror committees.</w:t>
      </w:r>
      <w:r w:rsidRPr="00D13588">
        <w:rPr>
          <w:rStyle w:val="FootnoteReference"/>
          <w:sz w:val="23"/>
          <w:szCs w:val="23"/>
          <w:lang w:val="en-GB"/>
        </w:rPr>
        <w:footnoteReference w:id="4"/>
      </w:r>
      <w:r w:rsidR="00D944D5" w:rsidRPr="00D13588">
        <w:rPr>
          <w:sz w:val="23"/>
          <w:szCs w:val="23"/>
          <w:lang w:val="en-GB"/>
        </w:rPr>
        <w:t xml:space="preserve"> </w:t>
      </w:r>
    </w:p>
    <w:p w14:paraId="56CCE063" w14:textId="6F196621" w:rsidR="00872580" w:rsidRPr="00D13588" w:rsidRDefault="00A73B77" w:rsidP="00CA455E">
      <w:pPr>
        <w:rPr>
          <w:sz w:val="23"/>
          <w:szCs w:val="23"/>
          <w:lang w:val="en-GB"/>
        </w:rPr>
      </w:pPr>
      <w:r w:rsidRPr="00D13588">
        <w:rPr>
          <w:sz w:val="23"/>
          <w:szCs w:val="23"/>
          <w:lang w:val="en-GB"/>
        </w:rPr>
        <w:t xml:space="preserve">To this, EDF would like to </w:t>
      </w:r>
      <w:r w:rsidR="003C3B04" w:rsidRPr="00D13588">
        <w:rPr>
          <w:sz w:val="23"/>
          <w:szCs w:val="23"/>
          <w:lang w:val="en-GB"/>
        </w:rPr>
        <w:t>add</w:t>
      </w:r>
      <w:r w:rsidRPr="00D13588">
        <w:rPr>
          <w:sz w:val="23"/>
          <w:szCs w:val="23"/>
          <w:lang w:val="en-GB"/>
        </w:rPr>
        <w:t xml:space="preserve"> that there are still significant shortcoming</w:t>
      </w:r>
      <w:r w:rsidR="00872580" w:rsidRPr="00D13588">
        <w:rPr>
          <w:sz w:val="23"/>
          <w:szCs w:val="23"/>
          <w:lang w:val="en-GB"/>
        </w:rPr>
        <w:t>s</w:t>
      </w:r>
      <w:r w:rsidRPr="00D13588">
        <w:rPr>
          <w:sz w:val="23"/>
          <w:szCs w:val="23"/>
          <w:lang w:val="en-GB"/>
        </w:rPr>
        <w:t xml:space="preserve"> </w:t>
      </w:r>
      <w:r w:rsidR="00872580" w:rsidRPr="00D13588">
        <w:rPr>
          <w:sz w:val="23"/>
          <w:szCs w:val="23"/>
          <w:lang w:val="en-GB"/>
        </w:rPr>
        <w:t xml:space="preserve">related to </w:t>
      </w:r>
      <w:r w:rsidRPr="00D13588">
        <w:rPr>
          <w:sz w:val="23"/>
          <w:szCs w:val="23"/>
          <w:lang w:val="en-GB"/>
        </w:rPr>
        <w:t xml:space="preserve">inclusive standardisation and participatory decision-making </w:t>
      </w:r>
      <w:r w:rsidR="003C3B04" w:rsidRPr="00D13588">
        <w:rPr>
          <w:sz w:val="23"/>
          <w:szCs w:val="23"/>
          <w:lang w:val="en-GB"/>
        </w:rPr>
        <w:t>in national standardisation bodies, including in national mirror committees</w:t>
      </w:r>
      <w:r w:rsidRPr="00D13588">
        <w:rPr>
          <w:sz w:val="23"/>
          <w:szCs w:val="23"/>
          <w:lang w:val="en-GB"/>
        </w:rPr>
        <w:t xml:space="preserve">. Representatives of organisations of persons with disabilities and accessibility experts are largely shut </w:t>
      </w:r>
      <w:r w:rsidR="00872580" w:rsidRPr="00D13588">
        <w:rPr>
          <w:sz w:val="23"/>
          <w:szCs w:val="23"/>
          <w:lang w:val="en-GB"/>
        </w:rPr>
        <w:t>out of</w:t>
      </w:r>
      <w:r w:rsidRPr="00D13588">
        <w:rPr>
          <w:sz w:val="23"/>
          <w:szCs w:val="23"/>
          <w:lang w:val="en-GB"/>
        </w:rPr>
        <w:t xml:space="preserve"> participation in national standardisation activities due to inaccessibility of </w:t>
      </w:r>
      <w:r w:rsidR="00D13588">
        <w:rPr>
          <w:sz w:val="23"/>
          <w:szCs w:val="23"/>
          <w:lang w:val="en-GB"/>
        </w:rPr>
        <w:t>standardisation</w:t>
      </w:r>
      <w:r w:rsidRPr="00D13588">
        <w:rPr>
          <w:sz w:val="23"/>
          <w:szCs w:val="23"/>
          <w:lang w:val="en-GB"/>
        </w:rPr>
        <w:t xml:space="preserve"> </w:t>
      </w:r>
      <w:r w:rsidR="00872580" w:rsidRPr="00D13588">
        <w:rPr>
          <w:sz w:val="23"/>
          <w:szCs w:val="23"/>
          <w:lang w:val="en-GB"/>
        </w:rPr>
        <w:t>procedures, documents, and meetings, lack of reasonable accommodation, human and financial resource limitations</w:t>
      </w:r>
      <w:r w:rsidR="004501FC" w:rsidRPr="00D13588">
        <w:rPr>
          <w:sz w:val="23"/>
          <w:szCs w:val="23"/>
          <w:lang w:val="en-GB"/>
        </w:rPr>
        <w:t xml:space="preserve"> in view of required fees to participate</w:t>
      </w:r>
      <w:r w:rsidR="00872580" w:rsidRPr="00D13588">
        <w:rPr>
          <w:sz w:val="23"/>
          <w:szCs w:val="23"/>
          <w:lang w:val="en-GB"/>
        </w:rPr>
        <w:t xml:space="preserve">, and unequal decision-making powers. Therefore, </w:t>
      </w:r>
      <w:r w:rsidR="003C3B04" w:rsidRPr="00D13588">
        <w:rPr>
          <w:sz w:val="23"/>
          <w:szCs w:val="23"/>
          <w:lang w:val="en-GB"/>
        </w:rPr>
        <w:t xml:space="preserve">the amendment proposed by the European Commission, </w:t>
      </w:r>
      <w:r w:rsidR="00872580" w:rsidRPr="00D13588">
        <w:rPr>
          <w:sz w:val="23"/>
          <w:szCs w:val="23"/>
          <w:lang w:val="en-GB"/>
        </w:rPr>
        <w:t>limiting important decisions to national standards bodies</w:t>
      </w:r>
      <w:r w:rsidR="003C3B04" w:rsidRPr="00D13588">
        <w:rPr>
          <w:sz w:val="23"/>
          <w:szCs w:val="23"/>
          <w:lang w:val="en-GB"/>
        </w:rPr>
        <w:t>,</w:t>
      </w:r>
      <w:r w:rsidR="00872580" w:rsidRPr="00D13588">
        <w:rPr>
          <w:sz w:val="23"/>
          <w:szCs w:val="23"/>
          <w:lang w:val="en-GB"/>
        </w:rPr>
        <w:t xml:space="preserve"> will not ensure that European </w:t>
      </w:r>
      <w:r w:rsidR="005B74D7" w:rsidRPr="00D13588">
        <w:rPr>
          <w:sz w:val="23"/>
          <w:szCs w:val="23"/>
          <w:lang w:val="en-GB"/>
        </w:rPr>
        <w:t>s</w:t>
      </w:r>
      <w:r w:rsidR="00872580" w:rsidRPr="00D13588">
        <w:rPr>
          <w:sz w:val="23"/>
          <w:szCs w:val="23"/>
          <w:lang w:val="en-GB"/>
        </w:rPr>
        <w:t>tandardisation truly reflects Union values and interest of all consumers.</w:t>
      </w:r>
      <w:r w:rsidR="00A30734" w:rsidRPr="00D13588">
        <w:rPr>
          <w:sz w:val="23"/>
          <w:szCs w:val="23"/>
          <w:lang w:val="en-GB"/>
        </w:rPr>
        <w:t xml:space="preserve"> </w:t>
      </w:r>
      <w:r w:rsidR="005B74D7" w:rsidRPr="00D13588">
        <w:rPr>
          <w:sz w:val="23"/>
          <w:szCs w:val="23"/>
          <w:lang w:val="en-GB"/>
        </w:rPr>
        <w:t>Additionally, involvement of the public sector also remains limited</w:t>
      </w:r>
      <w:r w:rsidR="004937F2" w:rsidRPr="00D13588">
        <w:rPr>
          <w:sz w:val="23"/>
          <w:szCs w:val="23"/>
          <w:lang w:val="en-GB"/>
        </w:rPr>
        <w:t xml:space="preserve">, as its </w:t>
      </w:r>
      <w:r w:rsidR="004501FC" w:rsidRPr="00D13588">
        <w:rPr>
          <w:sz w:val="23"/>
          <w:szCs w:val="23"/>
          <w:lang w:val="en-GB"/>
        </w:rPr>
        <w:t xml:space="preserve">influence and participation greatly </w:t>
      </w:r>
      <w:r w:rsidR="004937F2" w:rsidRPr="00D13588">
        <w:rPr>
          <w:sz w:val="23"/>
          <w:szCs w:val="23"/>
          <w:lang w:val="en-GB"/>
        </w:rPr>
        <w:t>vary</w:t>
      </w:r>
      <w:r w:rsidR="004501FC" w:rsidRPr="00D13588">
        <w:rPr>
          <w:sz w:val="23"/>
          <w:szCs w:val="23"/>
          <w:lang w:val="en-GB"/>
        </w:rPr>
        <w:t xml:space="preserve"> depending on the national standard body.</w:t>
      </w:r>
    </w:p>
    <w:p w14:paraId="0A79AB9E" w14:textId="115038D0" w:rsidR="004937F2" w:rsidRPr="00D13588" w:rsidRDefault="004937F2" w:rsidP="004937F2">
      <w:pPr>
        <w:pStyle w:val="Heading3"/>
        <w:rPr>
          <w:lang w:val="en-GB"/>
        </w:rPr>
      </w:pPr>
      <w:r w:rsidRPr="00D13588">
        <w:rPr>
          <w:lang w:val="en-GB"/>
        </w:rPr>
        <w:t>EDF recommendations to ensure representative, fair,</w:t>
      </w:r>
      <w:r w:rsidR="00D819E3" w:rsidRPr="00D13588">
        <w:rPr>
          <w:lang w:val="en-GB"/>
        </w:rPr>
        <w:t xml:space="preserve"> transparent,</w:t>
      </w:r>
      <w:r w:rsidRPr="00D13588">
        <w:rPr>
          <w:lang w:val="en-GB"/>
        </w:rPr>
        <w:t xml:space="preserve"> and inclusive national standardisation </w:t>
      </w:r>
    </w:p>
    <w:p w14:paraId="02E8CCD1" w14:textId="0E9A6C6C" w:rsidR="00552044" w:rsidRPr="00D13588" w:rsidRDefault="00552044" w:rsidP="00CA455E">
      <w:pPr>
        <w:rPr>
          <w:sz w:val="23"/>
          <w:szCs w:val="23"/>
          <w:lang w:val="en-GB"/>
        </w:rPr>
      </w:pPr>
      <w:r w:rsidRPr="00D13588">
        <w:rPr>
          <w:sz w:val="23"/>
          <w:szCs w:val="23"/>
          <w:lang w:val="en-GB"/>
        </w:rPr>
        <w:t xml:space="preserve">In order to reach the goal </w:t>
      </w:r>
      <w:r w:rsidR="0046102F" w:rsidRPr="00D13588">
        <w:rPr>
          <w:sz w:val="23"/>
          <w:szCs w:val="23"/>
          <w:lang w:val="en-GB"/>
        </w:rPr>
        <w:t>which</w:t>
      </w:r>
      <w:r w:rsidRPr="00D13588">
        <w:rPr>
          <w:sz w:val="23"/>
          <w:szCs w:val="23"/>
          <w:lang w:val="en-GB"/>
        </w:rPr>
        <w:t xml:space="preserve"> the European Commission is trying to achieve by the proposed amendment, the proposal </w:t>
      </w:r>
      <w:r w:rsidRPr="00D13588">
        <w:rPr>
          <w:b/>
          <w:bCs/>
          <w:sz w:val="23"/>
          <w:szCs w:val="23"/>
          <w:lang w:val="en-GB"/>
        </w:rPr>
        <w:t>should be complemented by common requirements for national standardisation bodies</w:t>
      </w:r>
      <w:r w:rsidRPr="00D13588">
        <w:rPr>
          <w:sz w:val="23"/>
          <w:szCs w:val="23"/>
          <w:lang w:val="en-GB"/>
        </w:rPr>
        <w:t xml:space="preserve">, which ensure equal participation of consumer and civil society </w:t>
      </w:r>
      <w:r w:rsidRPr="00D13588">
        <w:rPr>
          <w:sz w:val="23"/>
          <w:szCs w:val="23"/>
          <w:lang w:val="en-GB"/>
        </w:rPr>
        <w:lastRenderedPageBreak/>
        <w:t xml:space="preserve">organisations, including </w:t>
      </w:r>
      <w:r w:rsidR="00D819E3" w:rsidRPr="00D13588">
        <w:rPr>
          <w:sz w:val="23"/>
          <w:szCs w:val="23"/>
          <w:lang w:val="en-GB"/>
        </w:rPr>
        <w:t>organisations of persons with disabilities (</w:t>
      </w:r>
      <w:r w:rsidRPr="00D13588">
        <w:rPr>
          <w:sz w:val="23"/>
          <w:szCs w:val="23"/>
          <w:lang w:val="en-GB"/>
        </w:rPr>
        <w:t>DPOs</w:t>
      </w:r>
      <w:r w:rsidR="00D819E3" w:rsidRPr="00D13588">
        <w:rPr>
          <w:sz w:val="23"/>
          <w:szCs w:val="23"/>
          <w:lang w:val="en-GB"/>
        </w:rPr>
        <w:t>)</w:t>
      </w:r>
      <w:r w:rsidRPr="00D13588">
        <w:rPr>
          <w:sz w:val="23"/>
          <w:szCs w:val="23"/>
          <w:lang w:val="en-GB"/>
        </w:rPr>
        <w:t>, and public authorities. The requirements should address mentioned challenges related to:</w:t>
      </w:r>
    </w:p>
    <w:p w14:paraId="34D9CABF" w14:textId="53BF70F8" w:rsidR="00552044" w:rsidRPr="00D13588" w:rsidRDefault="00552044" w:rsidP="00552044">
      <w:pPr>
        <w:pStyle w:val="ListParagraph"/>
        <w:numPr>
          <w:ilvl w:val="0"/>
          <w:numId w:val="11"/>
        </w:numPr>
        <w:rPr>
          <w:sz w:val="23"/>
          <w:szCs w:val="23"/>
          <w:lang w:val="en-GB"/>
        </w:rPr>
      </w:pPr>
      <w:r w:rsidRPr="00D13588">
        <w:rPr>
          <w:sz w:val="23"/>
          <w:szCs w:val="23"/>
          <w:lang w:val="en-GB"/>
        </w:rPr>
        <w:t>Accessibility of standardisation procedures, documents, and meetings</w:t>
      </w:r>
    </w:p>
    <w:p w14:paraId="725DA9D1" w14:textId="5FA0BA8D" w:rsidR="00552044" w:rsidRPr="00D13588" w:rsidRDefault="00552044" w:rsidP="00552044">
      <w:pPr>
        <w:pStyle w:val="ListParagraph"/>
        <w:numPr>
          <w:ilvl w:val="0"/>
          <w:numId w:val="11"/>
        </w:numPr>
        <w:rPr>
          <w:sz w:val="23"/>
          <w:szCs w:val="23"/>
          <w:lang w:val="en-GB"/>
        </w:rPr>
      </w:pPr>
      <w:r w:rsidRPr="00D13588">
        <w:rPr>
          <w:sz w:val="23"/>
          <w:szCs w:val="23"/>
          <w:lang w:val="en-GB"/>
        </w:rPr>
        <w:t>Reasonable accommodation for experts with disabilities</w:t>
      </w:r>
    </w:p>
    <w:p w14:paraId="3421924F" w14:textId="3A161C53" w:rsidR="00552044" w:rsidRPr="00D13588" w:rsidRDefault="00552044" w:rsidP="00552044">
      <w:pPr>
        <w:pStyle w:val="ListParagraph"/>
        <w:numPr>
          <w:ilvl w:val="0"/>
          <w:numId w:val="11"/>
        </w:numPr>
        <w:rPr>
          <w:sz w:val="23"/>
          <w:szCs w:val="23"/>
          <w:lang w:val="en-GB"/>
        </w:rPr>
      </w:pPr>
      <w:r w:rsidRPr="00D13588">
        <w:rPr>
          <w:sz w:val="23"/>
          <w:szCs w:val="23"/>
          <w:lang w:val="en-GB"/>
        </w:rPr>
        <w:t>Allocation of financial resources to support participation of user representatives and accessibility experts</w:t>
      </w:r>
    </w:p>
    <w:p w14:paraId="7D496128" w14:textId="47FC86DF" w:rsidR="00552044" w:rsidRPr="00D13588" w:rsidRDefault="00552044" w:rsidP="00552044">
      <w:pPr>
        <w:pStyle w:val="ListParagraph"/>
        <w:numPr>
          <w:ilvl w:val="0"/>
          <w:numId w:val="11"/>
        </w:numPr>
        <w:rPr>
          <w:sz w:val="23"/>
          <w:szCs w:val="23"/>
          <w:lang w:val="en-GB"/>
        </w:rPr>
      </w:pPr>
      <w:r w:rsidRPr="00D13588">
        <w:rPr>
          <w:sz w:val="23"/>
          <w:szCs w:val="23"/>
          <w:lang w:val="en-GB"/>
        </w:rPr>
        <w:t>Balanced representation between industry, civil society organisations, and public authorities</w:t>
      </w:r>
    </w:p>
    <w:p w14:paraId="3DCEE6DD" w14:textId="2BF7E67F" w:rsidR="00552044" w:rsidRPr="00D13588" w:rsidRDefault="00552044" w:rsidP="00552044">
      <w:pPr>
        <w:pStyle w:val="ListParagraph"/>
        <w:numPr>
          <w:ilvl w:val="0"/>
          <w:numId w:val="11"/>
        </w:numPr>
        <w:rPr>
          <w:sz w:val="23"/>
          <w:szCs w:val="23"/>
          <w:lang w:val="en-GB"/>
        </w:rPr>
      </w:pPr>
      <w:r w:rsidRPr="00D13588">
        <w:rPr>
          <w:sz w:val="23"/>
          <w:szCs w:val="23"/>
          <w:lang w:val="en-GB"/>
        </w:rPr>
        <w:t xml:space="preserve">Equal </w:t>
      </w:r>
      <w:r w:rsidR="0046102F" w:rsidRPr="00D13588">
        <w:rPr>
          <w:sz w:val="23"/>
          <w:szCs w:val="23"/>
          <w:lang w:val="en-GB"/>
        </w:rPr>
        <w:t>voting rights</w:t>
      </w:r>
    </w:p>
    <w:p w14:paraId="6052608A" w14:textId="51F7C9EA" w:rsidR="004937F2" w:rsidRPr="00D13588" w:rsidRDefault="004937F2" w:rsidP="00552044">
      <w:pPr>
        <w:pStyle w:val="ListParagraph"/>
        <w:numPr>
          <w:ilvl w:val="0"/>
          <w:numId w:val="11"/>
        </w:numPr>
        <w:rPr>
          <w:sz w:val="23"/>
          <w:szCs w:val="23"/>
          <w:lang w:val="en-GB"/>
        </w:rPr>
      </w:pPr>
      <w:r w:rsidRPr="00D13588">
        <w:rPr>
          <w:sz w:val="23"/>
          <w:szCs w:val="23"/>
          <w:lang w:val="en-GB"/>
        </w:rPr>
        <w:t xml:space="preserve">Cost-free access to harmonised standards </w:t>
      </w:r>
    </w:p>
    <w:p w14:paraId="687AF8C5" w14:textId="50A6899D" w:rsidR="000677EC" w:rsidRPr="00D13588" w:rsidRDefault="000677EC" w:rsidP="00CA455E">
      <w:pPr>
        <w:rPr>
          <w:sz w:val="23"/>
          <w:szCs w:val="23"/>
          <w:lang w:val="en-GB"/>
        </w:rPr>
      </w:pPr>
    </w:p>
    <w:p w14:paraId="2D019861" w14:textId="2F8AAC23" w:rsidR="008E0C39" w:rsidRPr="00D13588" w:rsidRDefault="008E0C39" w:rsidP="008E0C39">
      <w:pPr>
        <w:pStyle w:val="Heading1"/>
        <w:pageBreakBefore/>
        <w:rPr>
          <w:lang w:val="en-GB"/>
        </w:rPr>
      </w:pPr>
      <w:bookmarkStart w:id="6" w:name="_Toc100140877"/>
      <w:r w:rsidRPr="00D13588">
        <w:rPr>
          <w:lang w:val="en-GB"/>
        </w:rPr>
        <w:lastRenderedPageBreak/>
        <w:t xml:space="preserve">Further improvements needed for truly </w:t>
      </w:r>
      <w:r w:rsidR="00D819E3" w:rsidRPr="00D13588">
        <w:rPr>
          <w:lang w:val="en-GB"/>
        </w:rPr>
        <w:t>representative, fair, transparent, and inclusive</w:t>
      </w:r>
      <w:r w:rsidRPr="00D13588">
        <w:rPr>
          <w:lang w:val="en-GB"/>
        </w:rPr>
        <w:t xml:space="preserve"> European </w:t>
      </w:r>
      <w:r w:rsidR="00D13588">
        <w:rPr>
          <w:lang w:val="en-GB"/>
        </w:rPr>
        <w:t>Standardisation</w:t>
      </w:r>
      <w:bookmarkEnd w:id="6"/>
    </w:p>
    <w:p w14:paraId="592493BC" w14:textId="6894C3C5" w:rsidR="00D819E3" w:rsidRPr="00D13588" w:rsidRDefault="008E0C39" w:rsidP="00CA455E">
      <w:pPr>
        <w:rPr>
          <w:sz w:val="23"/>
          <w:szCs w:val="23"/>
          <w:lang w:val="en-GB"/>
        </w:rPr>
      </w:pPr>
      <w:r w:rsidRPr="00D13588">
        <w:rPr>
          <w:sz w:val="23"/>
          <w:szCs w:val="23"/>
          <w:lang w:val="en-GB"/>
        </w:rPr>
        <w:t xml:space="preserve">Building on the proposal for amending article 10 of Regulation (EU) 1025/2012, the European Commission should launch a comprehensive revision of the Regulation to achieve a more inclusive, </w:t>
      </w:r>
      <w:r w:rsidR="00C10270" w:rsidRPr="00D13588">
        <w:rPr>
          <w:sz w:val="23"/>
          <w:szCs w:val="23"/>
          <w:lang w:val="en-GB"/>
        </w:rPr>
        <w:t>accessible,</w:t>
      </w:r>
      <w:r w:rsidR="004501FC" w:rsidRPr="00D13588">
        <w:rPr>
          <w:sz w:val="23"/>
          <w:szCs w:val="23"/>
          <w:lang w:val="en-GB"/>
        </w:rPr>
        <w:t xml:space="preserve"> fair,</w:t>
      </w:r>
      <w:r w:rsidR="00D819E3" w:rsidRPr="00D13588">
        <w:rPr>
          <w:sz w:val="23"/>
          <w:szCs w:val="23"/>
          <w:lang w:val="en-GB"/>
        </w:rPr>
        <w:t xml:space="preserve"> transparent, </w:t>
      </w:r>
      <w:r w:rsidRPr="00D13588">
        <w:rPr>
          <w:sz w:val="23"/>
          <w:szCs w:val="23"/>
          <w:lang w:val="en-GB"/>
        </w:rPr>
        <w:t xml:space="preserve">and effective </w:t>
      </w:r>
      <w:r w:rsidR="00C10270" w:rsidRPr="00D13588">
        <w:rPr>
          <w:sz w:val="23"/>
          <w:szCs w:val="23"/>
          <w:lang w:val="en-GB"/>
        </w:rPr>
        <w:t xml:space="preserve">European </w:t>
      </w:r>
      <w:r w:rsidR="00722A2B">
        <w:rPr>
          <w:sz w:val="23"/>
          <w:szCs w:val="23"/>
          <w:lang w:val="en-GB"/>
        </w:rPr>
        <w:t>s</w:t>
      </w:r>
      <w:r w:rsidRPr="00D13588">
        <w:rPr>
          <w:sz w:val="23"/>
          <w:szCs w:val="23"/>
          <w:lang w:val="en-GB"/>
        </w:rPr>
        <w:t>tandardisation</w:t>
      </w:r>
      <w:r w:rsidR="00C10270" w:rsidRPr="00D13588">
        <w:rPr>
          <w:sz w:val="23"/>
          <w:szCs w:val="23"/>
          <w:lang w:val="en-GB"/>
        </w:rPr>
        <w:t xml:space="preserve"> </w:t>
      </w:r>
      <w:r w:rsidR="00722A2B">
        <w:rPr>
          <w:sz w:val="23"/>
          <w:szCs w:val="23"/>
          <w:lang w:val="en-GB"/>
        </w:rPr>
        <w:t>s</w:t>
      </w:r>
      <w:r w:rsidR="00C10270" w:rsidRPr="00D13588">
        <w:rPr>
          <w:sz w:val="23"/>
          <w:szCs w:val="23"/>
          <w:lang w:val="en-GB"/>
        </w:rPr>
        <w:t>ystem</w:t>
      </w:r>
      <w:r w:rsidRPr="00D13588">
        <w:rPr>
          <w:sz w:val="23"/>
          <w:szCs w:val="23"/>
          <w:lang w:val="en-GB"/>
        </w:rPr>
        <w:t xml:space="preserve"> in support of EU legislation and policy objectives.</w:t>
      </w:r>
      <w:r w:rsidR="004501FC" w:rsidRPr="00D13588">
        <w:rPr>
          <w:sz w:val="23"/>
          <w:szCs w:val="23"/>
          <w:lang w:val="en-GB"/>
        </w:rPr>
        <w:t xml:space="preserve"> </w:t>
      </w:r>
    </w:p>
    <w:p w14:paraId="1C023A62" w14:textId="6B448629" w:rsidR="00872580" w:rsidRPr="00D13588" w:rsidRDefault="004501FC" w:rsidP="00CA455E">
      <w:pPr>
        <w:rPr>
          <w:sz w:val="23"/>
          <w:szCs w:val="23"/>
          <w:lang w:val="en-GB"/>
        </w:rPr>
      </w:pPr>
      <w:r w:rsidRPr="00D13588">
        <w:rPr>
          <w:sz w:val="23"/>
          <w:szCs w:val="23"/>
          <w:lang w:val="en-GB"/>
        </w:rPr>
        <w:t>Alternatively, the European Commission could consider</w:t>
      </w:r>
      <w:r w:rsidR="00773865" w:rsidRPr="00D13588">
        <w:rPr>
          <w:sz w:val="23"/>
          <w:szCs w:val="23"/>
          <w:lang w:val="en-GB"/>
        </w:rPr>
        <w:t xml:space="preserve"> new ways to prepare and adopt standards when these relate to EU policies and legislation.</w:t>
      </w:r>
      <w:r w:rsidR="008E0C39" w:rsidRPr="00D13588">
        <w:rPr>
          <w:sz w:val="23"/>
          <w:szCs w:val="23"/>
          <w:lang w:val="en-GB"/>
        </w:rPr>
        <w:t xml:space="preserve"> </w:t>
      </w:r>
    </w:p>
    <w:p w14:paraId="30B8889C" w14:textId="183FC2C9" w:rsidR="0046102F" w:rsidRPr="00D13588" w:rsidRDefault="0046102F" w:rsidP="00CA455E">
      <w:pPr>
        <w:rPr>
          <w:sz w:val="23"/>
          <w:szCs w:val="23"/>
          <w:lang w:val="en-GB"/>
        </w:rPr>
      </w:pPr>
      <w:r w:rsidRPr="00D13588">
        <w:rPr>
          <w:sz w:val="23"/>
          <w:szCs w:val="23"/>
          <w:lang w:val="en-GB"/>
        </w:rPr>
        <w:t xml:space="preserve">The remaining challenges in the European </w:t>
      </w:r>
      <w:r w:rsidR="00722A2B">
        <w:rPr>
          <w:sz w:val="23"/>
          <w:szCs w:val="23"/>
          <w:lang w:val="en-GB"/>
        </w:rPr>
        <w:t>s</w:t>
      </w:r>
      <w:r w:rsidR="00D13588">
        <w:rPr>
          <w:sz w:val="23"/>
          <w:szCs w:val="23"/>
          <w:lang w:val="en-GB"/>
        </w:rPr>
        <w:t>tandardisation</w:t>
      </w:r>
      <w:r w:rsidRPr="00D13588">
        <w:rPr>
          <w:sz w:val="23"/>
          <w:szCs w:val="23"/>
          <w:lang w:val="en-GB"/>
        </w:rPr>
        <w:t xml:space="preserve"> </w:t>
      </w:r>
      <w:r w:rsidR="00722A2B">
        <w:rPr>
          <w:sz w:val="23"/>
          <w:szCs w:val="23"/>
          <w:lang w:val="en-GB"/>
        </w:rPr>
        <w:t>s</w:t>
      </w:r>
      <w:r w:rsidRPr="00D13588">
        <w:rPr>
          <w:sz w:val="23"/>
          <w:szCs w:val="23"/>
          <w:lang w:val="en-GB"/>
        </w:rPr>
        <w:t xml:space="preserve">ystem which need to be addressed are: </w:t>
      </w:r>
    </w:p>
    <w:p w14:paraId="66568F6D" w14:textId="720FFD28" w:rsidR="008E0C39" w:rsidRPr="00D13588" w:rsidRDefault="0046102F" w:rsidP="008E0C39">
      <w:pPr>
        <w:numPr>
          <w:ilvl w:val="0"/>
          <w:numId w:val="8"/>
        </w:numPr>
        <w:rPr>
          <w:sz w:val="23"/>
          <w:szCs w:val="23"/>
          <w:lang w:val="en-GB"/>
        </w:rPr>
      </w:pPr>
      <w:r w:rsidRPr="00D13588">
        <w:rPr>
          <w:sz w:val="23"/>
          <w:szCs w:val="23"/>
          <w:lang w:val="en-GB"/>
        </w:rPr>
        <w:t>Lack of a</w:t>
      </w:r>
      <w:r w:rsidR="008E0C39" w:rsidRPr="00D13588">
        <w:rPr>
          <w:sz w:val="23"/>
          <w:szCs w:val="23"/>
          <w:lang w:val="en-GB"/>
        </w:rPr>
        <w:t xml:space="preserve"> </w:t>
      </w:r>
      <w:r w:rsidR="00773865" w:rsidRPr="00D13588">
        <w:rPr>
          <w:sz w:val="23"/>
          <w:szCs w:val="23"/>
          <w:lang w:val="en-GB"/>
        </w:rPr>
        <w:t xml:space="preserve">Design for All </w:t>
      </w:r>
      <w:r w:rsidR="008E0C39" w:rsidRPr="00D13588">
        <w:rPr>
          <w:sz w:val="23"/>
          <w:szCs w:val="23"/>
          <w:lang w:val="en-GB"/>
        </w:rPr>
        <w:t xml:space="preserve">approach to systematic user participation in the relevant </w:t>
      </w:r>
      <w:r w:rsidR="00994361" w:rsidRPr="00D13588">
        <w:rPr>
          <w:sz w:val="23"/>
          <w:szCs w:val="23"/>
          <w:lang w:val="en-GB"/>
        </w:rPr>
        <w:t xml:space="preserve">standardisation </w:t>
      </w:r>
      <w:r w:rsidR="008E0C39" w:rsidRPr="00D13588">
        <w:rPr>
          <w:sz w:val="23"/>
          <w:szCs w:val="23"/>
          <w:lang w:val="en-GB"/>
        </w:rPr>
        <w:t xml:space="preserve">processes </w:t>
      </w:r>
      <w:r w:rsidR="00994361" w:rsidRPr="00D13588">
        <w:rPr>
          <w:sz w:val="23"/>
          <w:szCs w:val="23"/>
          <w:lang w:val="en-GB"/>
        </w:rPr>
        <w:t>–</w:t>
      </w:r>
      <w:r w:rsidR="008E0C39" w:rsidRPr="00D13588">
        <w:rPr>
          <w:sz w:val="23"/>
          <w:szCs w:val="23"/>
          <w:lang w:val="en-GB"/>
        </w:rPr>
        <w:t xml:space="preserve"> </w:t>
      </w:r>
      <w:r w:rsidR="00994361" w:rsidRPr="00D13588">
        <w:rPr>
          <w:sz w:val="23"/>
          <w:szCs w:val="23"/>
          <w:lang w:val="en-GB"/>
        </w:rPr>
        <w:t xml:space="preserve">at </w:t>
      </w:r>
      <w:r w:rsidR="008E0C39" w:rsidRPr="00D13588">
        <w:rPr>
          <w:sz w:val="23"/>
          <w:szCs w:val="23"/>
          <w:lang w:val="en-GB"/>
        </w:rPr>
        <w:t>EU and national-level</w:t>
      </w:r>
      <w:r w:rsidR="00773865" w:rsidRPr="00D13588">
        <w:rPr>
          <w:rStyle w:val="FootnoteReference"/>
          <w:sz w:val="23"/>
          <w:szCs w:val="23"/>
          <w:lang w:val="en-GB"/>
        </w:rPr>
        <w:footnoteReference w:id="5"/>
      </w:r>
      <w:r w:rsidR="008E0C39" w:rsidRPr="00D13588">
        <w:rPr>
          <w:sz w:val="23"/>
          <w:szCs w:val="23"/>
          <w:lang w:val="en-GB"/>
        </w:rPr>
        <w:t>.</w:t>
      </w:r>
    </w:p>
    <w:p w14:paraId="1123C225" w14:textId="78CA7CE6" w:rsidR="0046102F" w:rsidRPr="00D13588" w:rsidRDefault="0046102F" w:rsidP="008E0C39">
      <w:pPr>
        <w:numPr>
          <w:ilvl w:val="0"/>
          <w:numId w:val="8"/>
        </w:numPr>
        <w:rPr>
          <w:sz w:val="23"/>
          <w:szCs w:val="23"/>
          <w:lang w:val="en-GB"/>
        </w:rPr>
      </w:pPr>
      <w:r w:rsidRPr="00D13588">
        <w:rPr>
          <w:sz w:val="23"/>
          <w:szCs w:val="23"/>
          <w:lang w:val="en-GB"/>
        </w:rPr>
        <w:t>Lack of equal level of engagement and weight in decision-making by user organisations, including organisations of persons with disabilities (DPOs), due to cost, accessibility, and other barriers</w:t>
      </w:r>
      <w:r w:rsidR="005B267F" w:rsidRPr="00D13588">
        <w:rPr>
          <w:sz w:val="23"/>
          <w:szCs w:val="23"/>
          <w:lang w:val="en-GB"/>
        </w:rPr>
        <w:t>,</w:t>
      </w:r>
      <w:r w:rsidRPr="00D13588">
        <w:rPr>
          <w:sz w:val="23"/>
          <w:szCs w:val="23"/>
          <w:lang w:val="en-GB"/>
        </w:rPr>
        <w:t xml:space="preserve"> and unequal voting rights in </w:t>
      </w:r>
      <w:r w:rsidR="005B267F" w:rsidRPr="00D13588">
        <w:rPr>
          <w:sz w:val="23"/>
          <w:szCs w:val="23"/>
          <w:lang w:val="en-GB"/>
        </w:rPr>
        <w:t xml:space="preserve">ESOs and </w:t>
      </w:r>
      <w:r w:rsidRPr="00D13588">
        <w:rPr>
          <w:sz w:val="23"/>
          <w:szCs w:val="23"/>
          <w:lang w:val="en-GB"/>
        </w:rPr>
        <w:t>national standardisation bodies.</w:t>
      </w:r>
    </w:p>
    <w:p w14:paraId="7B2CF43E" w14:textId="6D012AC5" w:rsidR="00994361" w:rsidRPr="00D13588" w:rsidRDefault="0046102F" w:rsidP="00304022">
      <w:pPr>
        <w:numPr>
          <w:ilvl w:val="0"/>
          <w:numId w:val="8"/>
        </w:numPr>
        <w:rPr>
          <w:sz w:val="23"/>
          <w:szCs w:val="23"/>
          <w:lang w:val="en-GB"/>
        </w:rPr>
      </w:pPr>
      <w:r w:rsidRPr="00D13588">
        <w:rPr>
          <w:sz w:val="23"/>
          <w:szCs w:val="23"/>
          <w:lang w:val="en-GB"/>
        </w:rPr>
        <w:t xml:space="preserve">Lack of </w:t>
      </w:r>
      <w:r w:rsidR="00304022" w:rsidRPr="00D13588">
        <w:rPr>
          <w:sz w:val="23"/>
          <w:szCs w:val="23"/>
          <w:lang w:val="en-GB"/>
        </w:rPr>
        <w:t xml:space="preserve">EU and Member State support for </w:t>
      </w:r>
      <w:r w:rsidR="00C10270" w:rsidRPr="00D13588">
        <w:rPr>
          <w:sz w:val="23"/>
          <w:szCs w:val="23"/>
          <w:lang w:val="en-GB"/>
        </w:rPr>
        <w:t>p</w:t>
      </w:r>
      <w:r w:rsidR="00994361" w:rsidRPr="00D13588">
        <w:rPr>
          <w:sz w:val="23"/>
          <w:szCs w:val="23"/>
          <w:lang w:val="en-GB"/>
        </w:rPr>
        <w:t xml:space="preserve">articipation of representative of DPOs and accessibility experts by allocated public funding </w:t>
      </w:r>
      <w:r w:rsidR="00C10270" w:rsidRPr="00D13588">
        <w:rPr>
          <w:sz w:val="23"/>
          <w:szCs w:val="23"/>
          <w:lang w:val="en-GB"/>
        </w:rPr>
        <w:t>for</w:t>
      </w:r>
      <w:r w:rsidR="00304022" w:rsidRPr="00D13588">
        <w:rPr>
          <w:sz w:val="23"/>
          <w:szCs w:val="23"/>
          <w:lang w:val="en-GB"/>
        </w:rPr>
        <w:t xml:space="preserve"> engaging in standardisation activities at regional and national level.</w:t>
      </w:r>
      <w:r w:rsidR="00994361" w:rsidRPr="00D13588">
        <w:rPr>
          <w:sz w:val="23"/>
          <w:szCs w:val="23"/>
          <w:lang w:val="en-GB"/>
        </w:rPr>
        <w:t xml:space="preserve"> </w:t>
      </w:r>
    </w:p>
    <w:p w14:paraId="6732DE80" w14:textId="48202396" w:rsidR="005B0AB3" w:rsidRPr="00D13588" w:rsidRDefault="008E0C39" w:rsidP="00CA5973">
      <w:pPr>
        <w:numPr>
          <w:ilvl w:val="0"/>
          <w:numId w:val="8"/>
        </w:numPr>
        <w:rPr>
          <w:bCs/>
          <w:sz w:val="23"/>
          <w:szCs w:val="23"/>
          <w:lang w:val="en-GB"/>
        </w:rPr>
      </w:pPr>
      <w:r w:rsidRPr="00D13588">
        <w:rPr>
          <w:sz w:val="23"/>
          <w:szCs w:val="23"/>
          <w:lang w:val="en-GB"/>
        </w:rPr>
        <w:t>Cost barriers for consumer organisations, including DPOs</w:t>
      </w:r>
      <w:r w:rsidR="00C10270" w:rsidRPr="00D13588">
        <w:rPr>
          <w:sz w:val="23"/>
          <w:szCs w:val="23"/>
          <w:lang w:val="en-GB"/>
        </w:rPr>
        <w:t xml:space="preserve"> to standards</w:t>
      </w:r>
      <w:r w:rsidR="00304022" w:rsidRPr="00D13588">
        <w:rPr>
          <w:sz w:val="23"/>
          <w:szCs w:val="23"/>
          <w:lang w:val="en-GB"/>
        </w:rPr>
        <w:t xml:space="preserve">. </w:t>
      </w:r>
      <w:r w:rsidRPr="00D13588">
        <w:rPr>
          <w:sz w:val="23"/>
          <w:szCs w:val="23"/>
          <w:lang w:val="en-GB"/>
        </w:rPr>
        <w:t>Many standards which consumers contribute</w:t>
      </w:r>
      <w:r w:rsidR="00C10270" w:rsidRPr="00D13588">
        <w:rPr>
          <w:sz w:val="23"/>
          <w:szCs w:val="23"/>
          <w:lang w:val="en-GB"/>
        </w:rPr>
        <w:t xml:space="preserve"> to, and the development of which are funded by public money,</w:t>
      </w:r>
      <w:r w:rsidRPr="00D13588">
        <w:rPr>
          <w:sz w:val="23"/>
          <w:szCs w:val="23"/>
          <w:lang w:val="en-GB"/>
        </w:rPr>
        <w:t xml:space="preserve"> need to be purchased once they are published</w:t>
      </w:r>
      <w:r w:rsidR="00C10270" w:rsidRPr="00D13588">
        <w:rPr>
          <w:sz w:val="23"/>
          <w:szCs w:val="23"/>
          <w:lang w:val="en-GB"/>
        </w:rPr>
        <w:t xml:space="preserve">. These often </w:t>
      </w:r>
      <w:r w:rsidRPr="00D13588">
        <w:rPr>
          <w:sz w:val="23"/>
          <w:szCs w:val="23"/>
          <w:lang w:val="en-GB"/>
        </w:rPr>
        <w:t>cost a few hundred Euros. For example, recently published EN17210 costs €187.00 (</w:t>
      </w:r>
      <w:proofErr w:type="spellStart"/>
      <w:r w:rsidRPr="00D13588">
        <w:rPr>
          <w:sz w:val="23"/>
          <w:szCs w:val="23"/>
          <w:lang w:val="en-GB"/>
        </w:rPr>
        <w:t>exl</w:t>
      </w:r>
      <w:proofErr w:type="spellEnd"/>
      <w:r w:rsidRPr="00D13588">
        <w:rPr>
          <w:sz w:val="23"/>
          <w:szCs w:val="23"/>
          <w:lang w:val="en-GB"/>
        </w:rPr>
        <w:t xml:space="preserve">. VAT) in Belgium (NBN EN 17210). Non-profit organisations cannot assess the quality of a standard without having access to the full, final text. The EC should address this barrier and ensure that consumer organisations, including DPOs, have free access to </w:t>
      </w:r>
      <w:r w:rsidR="00E61554" w:rsidRPr="00D13588">
        <w:rPr>
          <w:sz w:val="23"/>
          <w:szCs w:val="23"/>
          <w:lang w:val="en-GB"/>
        </w:rPr>
        <w:t xml:space="preserve">EU-funded </w:t>
      </w:r>
      <w:r w:rsidRPr="00D13588">
        <w:rPr>
          <w:sz w:val="23"/>
          <w:szCs w:val="23"/>
          <w:lang w:val="en-GB"/>
        </w:rPr>
        <w:t>standards</w:t>
      </w:r>
      <w:r w:rsidR="00CA5973" w:rsidRPr="00D13588">
        <w:rPr>
          <w:sz w:val="23"/>
          <w:szCs w:val="23"/>
          <w:lang w:val="en-GB"/>
        </w:rPr>
        <w:t xml:space="preserve"> regarding which those organisations have legitimate interest</w:t>
      </w:r>
      <w:r w:rsidRPr="00D13588">
        <w:rPr>
          <w:sz w:val="23"/>
          <w:szCs w:val="23"/>
          <w:lang w:val="en-GB"/>
        </w:rPr>
        <w:t>.</w:t>
      </w:r>
      <w:r w:rsidR="00CA5973" w:rsidRPr="00D13588">
        <w:rPr>
          <w:sz w:val="23"/>
          <w:szCs w:val="23"/>
          <w:lang w:val="en-GB"/>
        </w:rPr>
        <w:t xml:space="preserve"> </w:t>
      </w:r>
    </w:p>
    <w:p w14:paraId="7752CBB5" w14:textId="32F4C9D7" w:rsidR="008D57A6" w:rsidRPr="00D13588" w:rsidRDefault="00CA5973" w:rsidP="003D6528">
      <w:pPr>
        <w:numPr>
          <w:ilvl w:val="0"/>
          <w:numId w:val="8"/>
        </w:numPr>
        <w:rPr>
          <w:bCs/>
          <w:sz w:val="23"/>
          <w:szCs w:val="23"/>
          <w:lang w:val="en-GB"/>
        </w:rPr>
      </w:pPr>
      <w:r w:rsidRPr="00D13588">
        <w:rPr>
          <w:bCs/>
          <w:sz w:val="23"/>
          <w:szCs w:val="23"/>
          <w:lang w:val="en-GB"/>
        </w:rPr>
        <w:t xml:space="preserve">Intellectual property rights </w:t>
      </w:r>
      <w:r w:rsidR="00304022" w:rsidRPr="00D13588">
        <w:rPr>
          <w:bCs/>
          <w:sz w:val="23"/>
          <w:szCs w:val="23"/>
          <w:lang w:val="en-GB"/>
        </w:rPr>
        <w:t>hindering improvement of</w:t>
      </w:r>
      <w:r w:rsidRPr="00D13588">
        <w:rPr>
          <w:bCs/>
          <w:sz w:val="23"/>
          <w:szCs w:val="23"/>
          <w:lang w:val="en-GB"/>
        </w:rPr>
        <w:t xml:space="preserve"> equality, accessibility, essentially human rights in the EU. The </w:t>
      </w:r>
      <w:r w:rsidR="005B0AB3" w:rsidRPr="00D13588">
        <w:rPr>
          <w:bCs/>
          <w:sz w:val="23"/>
          <w:szCs w:val="23"/>
          <w:lang w:val="en-GB"/>
        </w:rPr>
        <w:t>precedent</w:t>
      </w:r>
      <w:r w:rsidRPr="00D13588">
        <w:rPr>
          <w:bCs/>
          <w:sz w:val="23"/>
          <w:szCs w:val="23"/>
          <w:lang w:val="en-GB"/>
        </w:rPr>
        <w:t xml:space="preserve"> of </w:t>
      </w:r>
      <w:r w:rsidR="005B0AB3" w:rsidRPr="00D13588">
        <w:rPr>
          <w:bCs/>
          <w:sz w:val="23"/>
          <w:szCs w:val="23"/>
          <w:lang w:val="en-GB"/>
        </w:rPr>
        <w:t xml:space="preserve">a </w:t>
      </w:r>
      <w:r w:rsidRPr="00D13588">
        <w:rPr>
          <w:bCs/>
          <w:sz w:val="23"/>
          <w:szCs w:val="23"/>
          <w:lang w:val="en-GB"/>
        </w:rPr>
        <w:t xml:space="preserve">copyright waiver with the aim of improving accessibility for persons with disabilities </w:t>
      </w:r>
      <w:r w:rsidR="005B0AB3" w:rsidRPr="00D13588">
        <w:rPr>
          <w:bCs/>
          <w:sz w:val="23"/>
          <w:szCs w:val="23"/>
          <w:lang w:val="en-GB"/>
        </w:rPr>
        <w:t xml:space="preserve">has already been set with Directive (EU) 2017/1564 </w:t>
      </w:r>
      <w:r w:rsidR="005B0AB3" w:rsidRPr="00D13588">
        <w:rPr>
          <w:bCs/>
          <w:sz w:val="23"/>
          <w:szCs w:val="23"/>
          <w:lang w:val="en-GB"/>
        </w:rPr>
        <w:lastRenderedPageBreak/>
        <w:t>implementing the Marrakesh Treaty.</w:t>
      </w:r>
      <w:r w:rsidR="005B0AB3" w:rsidRPr="00D13588">
        <w:rPr>
          <w:rStyle w:val="FootnoteReference"/>
          <w:bCs/>
          <w:sz w:val="23"/>
          <w:szCs w:val="23"/>
          <w:lang w:val="en-GB"/>
        </w:rPr>
        <w:footnoteReference w:id="6"/>
      </w:r>
      <w:r w:rsidR="005B0AB3" w:rsidRPr="00D13588">
        <w:rPr>
          <w:bCs/>
          <w:sz w:val="23"/>
          <w:szCs w:val="23"/>
          <w:lang w:val="en-GB"/>
        </w:rPr>
        <w:t xml:space="preserve"> The UN Special Rapporteur on</w:t>
      </w:r>
      <w:r w:rsidR="00863BFF" w:rsidRPr="00D13588">
        <w:rPr>
          <w:bCs/>
          <w:sz w:val="23"/>
          <w:szCs w:val="23"/>
          <w:lang w:val="en-GB"/>
        </w:rPr>
        <w:t xml:space="preserve"> the Rights of</w:t>
      </w:r>
      <w:r w:rsidR="005B0AB3" w:rsidRPr="00D13588">
        <w:rPr>
          <w:bCs/>
          <w:sz w:val="23"/>
          <w:szCs w:val="23"/>
          <w:lang w:val="en-GB"/>
        </w:rPr>
        <w:t xml:space="preserve"> Persons with Disabilities has also highlighted that</w:t>
      </w:r>
      <w:r w:rsidR="00863BFF" w:rsidRPr="00D13588">
        <w:rPr>
          <w:bCs/>
          <w:sz w:val="23"/>
          <w:szCs w:val="23"/>
          <w:lang w:val="en-GB"/>
        </w:rPr>
        <w:t xml:space="preserve"> similar</w:t>
      </w:r>
      <w:r w:rsidR="005B0AB3" w:rsidRPr="00D13588">
        <w:rPr>
          <w:bCs/>
          <w:sz w:val="23"/>
          <w:szCs w:val="23"/>
          <w:lang w:val="en-GB"/>
        </w:rPr>
        <w:t xml:space="preserve"> </w:t>
      </w:r>
      <w:r w:rsidR="00863BFF" w:rsidRPr="00D13588">
        <w:rPr>
          <w:bCs/>
          <w:sz w:val="23"/>
          <w:szCs w:val="23"/>
          <w:lang w:val="en-GB"/>
        </w:rPr>
        <w:t>rebalancing of intellectual property rights with the guarantee of equal treatment and non-discrimination for persons with disabilities should be explored in other contexts.</w:t>
      </w:r>
      <w:r w:rsidR="00FB3163" w:rsidRPr="00D13588">
        <w:rPr>
          <w:rStyle w:val="FootnoteReference"/>
          <w:bCs/>
          <w:sz w:val="23"/>
          <w:szCs w:val="23"/>
          <w:lang w:val="en-GB"/>
        </w:rPr>
        <w:footnoteReference w:id="7"/>
      </w:r>
      <w:r w:rsidR="00FB3163" w:rsidRPr="00D13588">
        <w:rPr>
          <w:bCs/>
          <w:sz w:val="23"/>
          <w:szCs w:val="23"/>
          <w:lang w:val="en-GB"/>
        </w:rPr>
        <w:t xml:space="preserve"> </w:t>
      </w:r>
      <w:r w:rsidR="00863BFF" w:rsidRPr="00D13588">
        <w:rPr>
          <w:bCs/>
          <w:sz w:val="23"/>
          <w:szCs w:val="23"/>
          <w:lang w:val="en-GB"/>
        </w:rPr>
        <w:t xml:space="preserve">EU as signatory to the UN CRPD should seriously consider the recommendations of the Special Rapporteur </w:t>
      </w:r>
      <w:r w:rsidR="00FB3163" w:rsidRPr="00D13588">
        <w:rPr>
          <w:bCs/>
          <w:sz w:val="23"/>
          <w:szCs w:val="23"/>
          <w:lang w:val="en-GB"/>
        </w:rPr>
        <w:t>as regards</w:t>
      </w:r>
      <w:r w:rsidR="00863BFF" w:rsidRPr="00D13588">
        <w:rPr>
          <w:bCs/>
          <w:sz w:val="23"/>
          <w:szCs w:val="23"/>
          <w:lang w:val="en-GB"/>
        </w:rPr>
        <w:t xml:space="preserve"> European </w:t>
      </w:r>
      <w:r w:rsidR="00722A2B">
        <w:rPr>
          <w:bCs/>
          <w:sz w:val="23"/>
          <w:szCs w:val="23"/>
          <w:lang w:val="en-GB"/>
        </w:rPr>
        <w:t>s</w:t>
      </w:r>
      <w:r w:rsidR="00863BFF" w:rsidRPr="00D13588">
        <w:rPr>
          <w:bCs/>
          <w:sz w:val="23"/>
          <w:szCs w:val="23"/>
          <w:lang w:val="en-GB"/>
        </w:rPr>
        <w:t xml:space="preserve">tandardisation in support of </w:t>
      </w:r>
      <w:r w:rsidR="00FB3163" w:rsidRPr="00D13588">
        <w:rPr>
          <w:bCs/>
          <w:sz w:val="23"/>
          <w:szCs w:val="23"/>
          <w:lang w:val="en-GB"/>
        </w:rPr>
        <w:t>EU legislation and policy objectives that are of special interest to civil society organisations and social stakeholders, including DPOs.</w:t>
      </w:r>
      <w:r w:rsidRPr="00D13588">
        <w:rPr>
          <w:bCs/>
          <w:sz w:val="23"/>
          <w:szCs w:val="23"/>
          <w:lang w:val="en-GB"/>
        </w:rPr>
        <w:t xml:space="preserve"> </w:t>
      </w:r>
    </w:p>
    <w:p w14:paraId="1587376F" w14:textId="5ECCFD5C" w:rsidR="00DB38DF" w:rsidRPr="00D13588" w:rsidRDefault="00DB38DF" w:rsidP="003D6528">
      <w:pPr>
        <w:rPr>
          <w:bCs/>
          <w:lang w:val="en-GB"/>
        </w:rPr>
      </w:pPr>
    </w:p>
    <w:p w14:paraId="7677BF94" w14:textId="259FE628" w:rsidR="00383DFC" w:rsidRPr="00D13588" w:rsidRDefault="00383DFC" w:rsidP="00A9576D">
      <w:pPr>
        <w:pStyle w:val="Heading1"/>
        <w:pageBreakBefore/>
        <w:rPr>
          <w:lang w:val="en-GB"/>
        </w:rPr>
      </w:pPr>
      <w:bookmarkStart w:id="7" w:name="_Toc100140878"/>
      <w:r w:rsidRPr="00D13588">
        <w:rPr>
          <w:lang w:val="en-GB"/>
        </w:rPr>
        <w:lastRenderedPageBreak/>
        <w:t xml:space="preserve">Annex I – examples demonstrating lack of inclusive and balanced European </w:t>
      </w:r>
      <w:r w:rsidR="00D13588">
        <w:rPr>
          <w:lang w:val="en-GB"/>
        </w:rPr>
        <w:t>Standardisation</w:t>
      </w:r>
      <w:bookmarkEnd w:id="7"/>
      <w:r w:rsidRPr="00D13588">
        <w:rPr>
          <w:lang w:val="en-GB"/>
        </w:rPr>
        <w:t xml:space="preserve"> </w:t>
      </w:r>
    </w:p>
    <w:p w14:paraId="58FB09EE" w14:textId="575B5F9E" w:rsidR="00383DFC" w:rsidRPr="00D13588" w:rsidRDefault="00383DFC" w:rsidP="00383DFC">
      <w:pPr>
        <w:rPr>
          <w:lang w:val="en-GB"/>
        </w:rPr>
      </w:pPr>
      <w:r w:rsidRPr="00D13588">
        <w:rPr>
          <w:lang w:val="en-GB"/>
        </w:rPr>
        <w:t xml:space="preserve">Below are two examples, which illustrate the existing issues of inclusive and participatory European standardisation process, </w:t>
      </w:r>
      <w:r w:rsidR="009D31C0" w:rsidRPr="00D13588">
        <w:rPr>
          <w:lang w:val="en-GB"/>
        </w:rPr>
        <w:t>where all stakeholders and rights-holder have equal say.</w:t>
      </w:r>
    </w:p>
    <w:p w14:paraId="33B679EC" w14:textId="0F433DDD" w:rsidR="009D31C0" w:rsidRPr="00D13588" w:rsidRDefault="00031C74" w:rsidP="00031C74">
      <w:pPr>
        <w:pStyle w:val="Heading3"/>
        <w:rPr>
          <w:lang w:val="en-GB"/>
        </w:rPr>
      </w:pPr>
      <w:r w:rsidRPr="00D13588">
        <w:rPr>
          <w:lang w:val="en-GB"/>
        </w:rPr>
        <w:t xml:space="preserve">Example </w:t>
      </w:r>
      <w:r w:rsidR="00722A2B">
        <w:rPr>
          <w:lang w:val="en-GB"/>
        </w:rPr>
        <w:t>1</w:t>
      </w:r>
      <w:r w:rsidRPr="00D13588">
        <w:rPr>
          <w:lang w:val="en-GB"/>
        </w:rPr>
        <w:t xml:space="preserve">: lack of voting rights by EDF given observer status in ETSI/CEN/CENELEC JWG </w:t>
      </w:r>
      <w:proofErr w:type="spellStart"/>
      <w:r w:rsidRPr="00D13588">
        <w:rPr>
          <w:lang w:val="en-GB"/>
        </w:rPr>
        <w:t>eAccessibility</w:t>
      </w:r>
      <w:proofErr w:type="spellEnd"/>
      <w:r w:rsidRPr="00D13588">
        <w:rPr>
          <w:lang w:val="en-GB"/>
        </w:rPr>
        <w:t xml:space="preserve"> under mandate M/376 </w:t>
      </w:r>
    </w:p>
    <w:p w14:paraId="1058DE07" w14:textId="1B6AE465" w:rsidR="009D31C0" w:rsidRPr="00D13588" w:rsidRDefault="00031C74" w:rsidP="00031C74">
      <w:pPr>
        <w:rPr>
          <w:lang w:val="en-GB"/>
        </w:rPr>
      </w:pPr>
      <w:r w:rsidRPr="00D13588">
        <w:rPr>
          <w:lang w:val="en-GB"/>
        </w:rPr>
        <w:t xml:space="preserve">At the 5th JWG </w:t>
      </w:r>
      <w:proofErr w:type="spellStart"/>
      <w:r w:rsidRPr="00D13588">
        <w:rPr>
          <w:lang w:val="en-GB"/>
        </w:rPr>
        <w:t>eAcc</w:t>
      </w:r>
      <w:proofErr w:type="spellEnd"/>
      <w:r w:rsidRPr="00D13588">
        <w:rPr>
          <w:lang w:val="en-GB"/>
        </w:rPr>
        <w:t xml:space="preserve"> meeting </w:t>
      </w:r>
      <w:r w:rsidR="00722A2B">
        <w:rPr>
          <w:lang w:val="en-GB"/>
        </w:rPr>
        <w:t>(</w:t>
      </w:r>
      <w:r w:rsidRPr="00D13588">
        <w:rPr>
          <w:lang w:val="en-GB"/>
        </w:rPr>
        <w:t>2013</w:t>
      </w:r>
      <w:r w:rsidR="00722A2B">
        <w:rPr>
          <w:lang w:val="en-GB"/>
        </w:rPr>
        <w:t>)</w:t>
      </w:r>
      <w:r w:rsidRPr="00D13588">
        <w:rPr>
          <w:lang w:val="en-GB"/>
        </w:rPr>
        <w:t xml:space="preserve"> a decision was made regarding amendment to the text </w:t>
      </w:r>
      <w:r w:rsidR="00F01DBF" w:rsidRPr="00D13588">
        <w:rPr>
          <w:lang w:val="en-GB"/>
        </w:rPr>
        <w:t xml:space="preserve">of 6.2.1.1 </w:t>
      </w:r>
      <w:r w:rsidRPr="00D13588">
        <w:rPr>
          <w:lang w:val="en-GB"/>
        </w:rPr>
        <w:t>RTT communication</w:t>
      </w:r>
      <w:r w:rsidR="00F01DBF" w:rsidRPr="00D13588">
        <w:rPr>
          <w:lang w:val="en-GB"/>
        </w:rPr>
        <w:t xml:space="preserve"> in draft EN 301 549</w:t>
      </w:r>
      <w:r w:rsidR="00DA7AED" w:rsidRPr="00D13588">
        <w:rPr>
          <w:lang w:val="en-GB"/>
        </w:rPr>
        <w:t xml:space="preserve"> (accessibility of ICT services and products)</w:t>
      </w:r>
      <w:r w:rsidR="00F01DBF" w:rsidRPr="00D13588">
        <w:rPr>
          <w:lang w:val="en-GB"/>
        </w:rPr>
        <w:t xml:space="preserve">. </w:t>
      </w:r>
    </w:p>
    <w:p w14:paraId="49C33D11" w14:textId="4733A35E" w:rsidR="009D31C0" w:rsidRPr="009D31C0" w:rsidRDefault="00F01DBF" w:rsidP="009D31C0">
      <w:pPr>
        <w:rPr>
          <w:lang w:val="en-GB"/>
        </w:rPr>
      </w:pPr>
      <w:r w:rsidRPr="00D13588">
        <w:rPr>
          <w:lang w:val="en-GB"/>
        </w:rPr>
        <w:t>EDF and the European Commission expressed objection to the agreed text. However, the acting chair for the meeting (ETSI) noted that “</w:t>
      </w:r>
      <w:r w:rsidR="009D31C0" w:rsidRPr="009D31C0">
        <w:rPr>
          <w:lang w:val="en-GB"/>
        </w:rPr>
        <w:t>Views of observers will be considered as much as possible but final decision by consensus will consider only positions of the JWG participant members. EC and EDF are observers in the JWG. Their disagreements/objections will not be taken into account to determine consensus.</w:t>
      </w:r>
      <w:r w:rsidR="00DA7AED" w:rsidRPr="00D13588">
        <w:rPr>
          <w:lang w:val="en-GB"/>
        </w:rPr>
        <w:t>”</w:t>
      </w:r>
      <w:r w:rsidR="009D31C0" w:rsidRPr="009D31C0">
        <w:rPr>
          <w:lang w:val="en-GB"/>
        </w:rPr>
        <w:t xml:space="preserve"> </w:t>
      </w:r>
    </w:p>
    <w:p w14:paraId="620A9C80" w14:textId="7C8FF018" w:rsidR="009D31C0" w:rsidRPr="009D31C0" w:rsidRDefault="009D31C0" w:rsidP="009D31C0">
      <w:pPr>
        <w:rPr>
          <w:lang w:val="en-GB"/>
        </w:rPr>
      </w:pPr>
      <w:r w:rsidRPr="009D31C0">
        <w:rPr>
          <w:lang w:val="en-GB"/>
        </w:rPr>
        <w:t xml:space="preserve">The </w:t>
      </w:r>
      <w:r w:rsidR="00DA7AED" w:rsidRPr="00D13588">
        <w:rPr>
          <w:lang w:val="en-GB"/>
        </w:rPr>
        <w:t xml:space="preserve">European </w:t>
      </w:r>
      <w:r w:rsidRPr="009D31C0">
        <w:rPr>
          <w:lang w:val="en-GB"/>
        </w:rPr>
        <w:t>C</w:t>
      </w:r>
      <w:r w:rsidR="00DA7AED" w:rsidRPr="00D13588">
        <w:rPr>
          <w:lang w:val="en-GB"/>
        </w:rPr>
        <w:t>ommission</w:t>
      </w:r>
      <w:r w:rsidRPr="009D31C0">
        <w:rPr>
          <w:lang w:val="en-GB"/>
        </w:rPr>
        <w:t xml:space="preserve"> expressed concerns on how to determine consensus. </w:t>
      </w:r>
    </w:p>
    <w:p w14:paraId="4C22C6D9" w14:textId="578C9531" w:rsidR="009D31C0" w:rsidRPr="009D31C0" w:rsidRDefault="009D31C0" w:rsidP="009D31C0">
      <w:pPr>
        <w:rPr>
          <w:lang w:val="en-GB"/>
        </w:rPr>
      </w:pPr>
      <w:r w:rsidRPr="009D31C0">
        <w:rPr>
          <w:lang w:val="en-GB"/>
        </w:rPr>
        <w:t xml:space="preserve">W3C Web Accessibility Initiative (WAI) </w:t>
      </w:r>
      <w:r w:rsidR="00DA7AED" w:rsidRPr="00D13588">
        <w:rPr>
          <w:lang w:val="en-GB"/>
        </w:rPr>
        <w:t xml:space="preserve">also </w:t>
      </w:r>
      <w:r w:rsidRPr="009D31C0">
        <w:rPr>
          <w:lang w:val="en-GB"/>
        </w:rPr>
        <w:t xml:space="preserve">noted concerns about achieving consensus by excluding the stakeholders with the status of observers. </w:t>
      </w:r>
    </w:p>
    <w:p w14:paraId="56151B62" w14:textId="6FF88C0A" w:rsidR="009D31C0" w:rsidRPr="009D31C0" w:rsidRDefault="00D05B5E" w:rsidP="009D31C0">
      <w:pPr>
        <w:rPr>
          <w:lang w:val="en-GB"/>
        </w:rPr>
      </w:pPr>
      <w:r w:rsidRPr="00D13588">
        <w:rPr>
          <w:lang w:val="en-GB"/>
        </w:rPr>
        <w:t xml:space="preserve">In essence, </w:t>
      </w:r>
      <w:r w:rsidRPr="00D13588">
        <w:rPr>
          <w:b/>
          <w:bCs/>
          <w:lang w:val="en-GB"/>
        </w:rPr>
        <w:t xml:space="preserve">EDF </w:t>
      </w:r>
      <w:r w:rsidRPr="00D13588">
        <w:rPr>
          <w:lang w:val="en-GB"/>
        </w:rPr>
        <w:t xml:space="preserve">(among other observer status members), </w:t>
      </w:r>
      <w:r w:rsidRPr="00D13588">
        <w:rPr>
          <w:b/>
          <w:bCs/>
          <w:lang w:val="en-GB"/>
        </w:rPr>
        <w:t>as an organisation of persons with disabilities was excluded from a decision that directly impacts persons with disabilities.</w:t>
      </w:r>
      <w:r w:rsidRPr="00D13588">
        <w:rPr>
          <w:lang w:val="en-GB"/>
        </w:rPr>
        <w:t xml:space="preserve"> </w:t>
      </w:r>
    </w:p>
    <w:p w14:paraId="7DE0D123" w14:textId="157529FD" w:rsidR="00D05B5E" w:rsidRPr="00D13588" w:rsidRDefault="00D05B5E" w:rsidP="009D31C0">
      <w:pPr>
        <w:rPr>
          <w:lang w:val="en-GB"/>
        </w:rPr>
      </w:pPr>
      <w:r w:rsidRPr="00D13588">
        <w:rPr>
          <w:lang w:val="en-GB"/>
        </w:rPr>
        <w:t xml:space="preserve">It is also relevant to highlight that the </w:t>
      </w:r>
      <w:r w:rsidRPr="00D13588">
        <w:rPr>
          <w:b/>
          <w:bCs/>
          <w:lang w:val="en-GB"/>
        </w:rPr>
        <w:t>US Access Board declined to incorporate EN 301 549 in the final rule</w:t>
      </w:r>
      <w:r w:rsidR="00D56999" w:rsidRPr="00D13588">
        <w:rPr>
          <w:b/>
          <w:bCs/>
          <w:lang w:val="en-GB"/>
        </w:rPr>
        <w:t xml:space="preserve"> for </w:t>
      </w:r>
      <w:r w:rsidRPr="00D13588">
        <w:rPr>
          <w:b/>
          <w:bCs/>
          <w:lang w:val="en-GB"/>
        </w:rPr>
        <w:t xml:space="preserve">updating its existing Electronic and Information Technology Accessibility Standards under section 508 of the Rehabilitation Act of 1973, ("508 Standards"), as well as </w:t>
      </w:r>
      <w:r w:rsidR="00D56999" w:rsidRPr="00D13588">
        <w:rPr>
          <w:b/>
          <w:bCs/>
          <w:lang w:val="en-GB"/>
        </w:rPr>
        <w:t xml:space="preserve">the </w:t>
      </w:r>
      <w:r w:rsidRPr="00D13588">
        <w:rPr>
          <w:b/>
          <w:bCs/>
          <w:lang w:val="en-GB"/>
        </w:rPr>
        <w:t>Telecommunications Act Accessibility Guidelines under Section 255 of the Communications Act of 1934 ("255 Guidelines")</w:t>
      </w:r>
      <w:r w:rsidR="00C72F3D" w:rsidRPr="00D13588">
        <w:rPr>
          <w:b/>
          <w:bCs/>
          <w:lang w:val="en-GB"/>
        </w:rPr>
        <w:t xml:space="preserve"> due to the lack of “voluntary consensus standard development process</w:t>
      </w:r>
      <w:r w:rsidR="00C72F3D" w:rsidRPr="00D13588">
        <w:rPr>
          <w:lang w:val="en-GB"/>
        </w:rPr>
        <w:t>.</w:t>
      </w:r>
      <w:r w:rsidR="00C72F3D" w:rsidRPr="00D13588">
        <w:rPr>
          <w:rStyle w:val="FootnoteReference"/>
          <w:lang w:val="en-GB"/>
        </w:rPr>
        <w:footnoteReference w:id="8"/>
      </w:r>
      <w:r w:rsidR="00C72F3D" w:rsidRPr="00D13588">
        <w:rPr>
          <w:lang w:val="en-GB"/>
        </w:rPr>
        <w:t>”</w:t>
      </w:r>
    </w:p>
    <w:p w14:paraId="03028041" w14:textId="7E0253C5" w:rsidR="00D56999" w:rsidRPr="00D13588" w:rsidRDefault="00D56999" w:rsidP="009D31C0">
      <w:pPr>
        <w:rPr>
          <w:lang w:val="en-GB"/>
        </w:rPr>
      </w:pPr>
      <w:r w:rsidRPr="00D13588">
        <w:rPr>
          <w:lang w:val="en-GB"/>
        </w:rPr>
        <w:t>The Access Board noted that “</w:t>
      </w:r>
      <w:r w:rsidR="009D31C0" w:rsidRPr="009D31C0">
        <w:rPr>
          <w:lang w:val="en-GB"/>
        </w:rPr>
        <w:t xml:space="preserve">Mandate 376, which was issued by the European Commission and tasked the European </w:t>
      </w:r>
      <w:r w:rsidR="00D13588">
        <w:rPr>
          <w:lang w:val="en-GB"/>
        </w:rPr>
        <w:t>standardisation</w:t>
      </w:r>
      <w:r w:rsidR="009D31C0" w:rsidRPr="009D31C0">
        <w:rPr>
          <w:lang w:val="en-GB"/>
        </w:rPr>
        <w:t xml:space="preserve"> bodies (i.e., CEN, CENELEC, and ETSI) with development of a harmonized set of functional accessibility requirements for publicly-procured ICT, did not </w:t>
      </w:r>
      <w:r w:rsidR="009D31C0" w:rsidRPr="009D31C0">
        <w:rPr>
          <w:lang w:val="en-GB"/>
        </w:rPr>
        <w:lastRenderedPageBreak/>
        <w:t>require use of a voluntary consensus process; instead, this mandate merely provided that CEN/CENELEC/ETSI "shall work in close cooperation with relevant stakeholders" when developing the European procurement specification that became EN 301 549. See European Commission, Mandate 376 § 4 (Dec. 7, 2005), available at </w:t>
      </w:r>
      <w:hyperlink r:id="rId11" w:tooltip="external link" w:history="1">
        <w:r w:rsidR="009D31C0" w:rsidRPr="009D31C0">
          <w:rPr>
            <w:rStyle w:val="Hyperlink"/>
            <w:lang w:val="en-GB"/>
          </w:rPr>
          <w:t>http://www.etsi.org/WebSite/document/aboutETSI/EC_Mandates/m376en.pdf</w:t>
        </w:r>
      </w:hyperlink>
      <w:r w:rsidR="009D31C0" w:rsidRPr="009D31C0">
        <w:rPr>
          <w:lang w:val="en-GB"/>
        </w:rPr>
        <w:t xml:space="preserve">. </w:t>
      </w:r>
    </w:p>
    <w:p w14:paraId="250B01B0" w14:textId="7BA02773" w:rsidR="009D31C0" w:rsidRDefault="009D31C0" w:rsidP="00383DFC">
      <w:pPr>
        <w:rPr>
          <w:lang w:val="en-GB"/>
        </w:rPr>
      </w:pPr>
      <w:r w:rsidRPr="009D31C0">
        <w:rPr>
          <w:lang w:val="en-GB"/>
        </w:rPr>
        <w:t xml:space="preserve">Additionally, while there was public input during the development of EN 301 549 by various stakeholders (including ICT industry representatives and some consumer groups), </w:t>
      </w:r>
      <w:r w:rsidRPr="009D31C0">
        <w:rPr>
          <w:b/>
          <w:bCs/>
          <w:lang w:val="en-GB"/>
        </w:rPr>
        <w:t xml:space="preserve">it does not appear that the process was sufficiently open or balanced </w:t>
      </w:r>
      <w:r w:rsidRPr="009D31C0">
        <w:rPr>
          <w:lang w:val="en-GB"/>
        </w:rPr>
        <w:t>to satisfy the requirements of Circular A-119. See, e.g., ACT NOW! EDF Position on the European Standard on Accessibility Requirements for Public Procurement of ICT, EASPD, </w:t>
      </w:r>
      <w:hyperlink r:id="rId12" w:tooltip="external link" w:history="1">
        <w:r w:rsidRPr="009D31C0">
          <w:rPr>
            <w:rStyle w:val="Hyperlink"/>
            <w:lang w:val="en-GB"/>
          </w:rPr>
          <w:t>http://www.easpd.eu/en/content/act-now-edf-position-european-standard-accessibility-requirements-suitable-public</w:t>
        </w:r>
      </w:hyperlink>
      <w:r w:rsidRPr="009D31C0">
        <w:rPr>
          <w:lang w:val="en-GB"/>
        </w:rPr>
        <w:t xml:space="preserve"> (last accessed Aug. 23, 2016) (noting concern that </w:t>
      </w:r>
      <w:r w:rsidRPr="009D31C0">
        <w:rPr>
          <w:b/>
          <w:bCs/>
          <w:lang w:val="en-GB"/>
        </w:rPr>
        <w:t>interests of persons with disabilities were not sufficiently represented during the development of EN 301 549 due to non-voting status of disability rights organizations</w:t>
      </w:r>
      <w:r w:rsidRPr="009D31C0">
        <w:rPr>
          <w:lang w:val="en-GB"/>
        </w:rPr>
        <w:t>); VVA Europe Ltd., European Association for the Coordination of Consumers Representation in Standardisation (ANEC), Preliminary Study on Benefits of Consumer Participation in Standardisation to All Stakeholders 45-52 (Nov. 13, 2014), available at </w:t>
      </w:r>
      <w:hyperlink r:id="rId13" w:tooltip="external link" w:history="1">
        <w:r w:rsidRPr="009D31C0">
          <w:rPr>
            <w:rStyle w:val="Hyperlink"/>
            <w:lang w:val="en-GB"/>
          </w:rPr>
          <w:t>http://www.anec.eu/attachments/ANEC-R&amp;T-2014-SC-006.pdf</w:t>
        </w:r>
      </w:hyperlink>
      <w:r w:rsidRPr="009D31C0">
        <w:rPr>
          <w:lang w:val="en-GB"/>
        </w:rPr>
        <w:t xml:space="preserve"> (noting </w:t>
      </w:r>
      <w:r w:rsidRPr="009D31C0">
        <w:rPr>
          <w:b/>
          <w:bCs/>
          <w:lang w:val="en-GB"/>
        </w:rPr>
        <w:t>similar concerns with respect to consumer groups</w:t>
      </w:r>
      <w:r w:rsidRPr="009D31C0">
        <w:rPr>
          <w:lang w:val="en-GB"/>
        </w:rPr>
        <w:t>).</w:t>
      </w:r>
      <w:r w:rsidR="005F4F72">
        <w:rPr>
          <w:rStyle w:val="FootnoteReference"/>
          <w:lang w:val="en-GB"/>
        </w:rPr>
        <w:footnoteReference w:id="9"/>
      </w:r>
      <w:r w:rsidRPr="009D31C0">
        <w:rPr>
          <w:lang w:val="en-GB"/>
        </w:rPr>
        <w:t>”</w:t>
      </w:r>
    </w:p>
    <w:p w14:paraId="72DAC2FD" w14:textId="2E8301A7" w:rsidR="00722A2B" w:rsidRPr="00D13588" w:rsidRDefault="00722A2B" w:rsidP="00722A2B">
      <w:pPr>
        <w:pStyle w:val="Heading3"/>
        <w:rPr>
          <w:lang w:val="en-GB"/>
        </w:rPr>
      </w:pPr>
      <w:r w:rsidRPr="00D13588">
        <w:rPr>
          <w:lang w:val="en-GB"/>
        </w:rPr>
        <w:t xml:space="preserve">Example </w:t>
      </w:r>
      <w:r>
        <w:rPr>
          <w:lang w:val="en-GB"/>
        </w:rPr>
        <w:t>2</w:t>
      </w:r>
      <w:r w:rsidRPr="00D13588">
        <w:rPr>
          <w:lang w:val="en-GB"/>
        </w:rPr>
        <w:t>: lack of balanced representation and decision-making power by user representatives</w:t>
      </w:r>
      <w:r>
        <w:rPr>
          <w:lang w:val="en-GB"/>
        </w:rPr>
        <w:t>,</w:t>
      </w:r>
      <w:r w:rsidRPr="00D13588">
        <w:rPr>
          <w:lang w:val="en-GB"/>
        </w:rPr>
        <w:t xml:space="preserve"> including DPOs, in ETSI. </w:t>
      </w:r>
    </w:p>
    <w:p w14:paraId="4D776B3B" w14:textId="77777777" w:rsidR="00722A2B" w:rsidRPr="00D13588" w:rsidRDefault="00722A2B" w:rsidP="00722A2B">
      <w:pPr>
        <w:rPr>
          <w:lang w:val="en-GB"/>
        </w:rPr>
      </w:pPr>
      <w:r w:rsidRPr="00D13588">
        <w:rPr>
          <w:lang w:val="en-GB"/>
        </w:rPr>
        <w:t xml:space="preserve">In May 2020, decision was taken by ETSI to internationalise EN 301 549 (accessibility of ICT services and products) ahead of the standardisation mandate for the European Accessibility Act issued by the European Commission. </w:t>
      </w:r>
    </w:p>
    <w:p w14:paraId="5BF8CCEF" w14:textId="7C459BFF" w:rsidR="00722A2B" w:rsidRPr="00D13588" w:rsidRDefault="00722A2B" w:rsidP="00383DFC">
      <w:pPr>
        <w:rPr>
          <w:lang w:val="en-GB"/>
        </w:rPr>
      </w:pPr>
      <w:r w:rsidRPr="00D13588">
        <w:rPr>
          <w:lang w:val="en-GB"/>
        </w:rPr>
        <w:t xml:space="preserve">ANEC, EDF and as well as a third organisation opposed this decision. However, given the greatly unbalanced representation of industry and user organisations, objections to ETSI application to the ISO/IEC JTC 1 PAS Submitter process weight only 0.18% of the votes as opposed to a 99.82% positive vote by industry representatives. </w:t>
      </w:r>
    </w:p>
    <w:p w14:paraId="63B7F075" w14:textId="36BFC866" w:rsidR="00A9576D" w:rsidRPr="00D13588" w:rsidRDefault="00A9576D" w:rsidP="00A9576D">
      <w:pPr>
        <w:pStyle w:val="Heading1"/>
        <w:pageBreakBefore/>
        <w:rPr>
          <w:lang w:val="en-GB"/>
        </w:rPr>
      </w:pPr>
      <w:bookmarkStart w:id="8" w:name="_Toc100140879"/>
      <w:r w:rsidRPr="00D13588">
        <w:rPr>
          <w:lang w:val="en-GB"/>
        </w:rPr>
        <w:lastRenderedPageBreak/>
        <w:t>Document credits</w:t>
      </w:r>
      <w:bookmarkEnd w:id="8"/>
    </w:p>
    <w:p w14:paraId="2B95C88F" w14:textId="215F0E78" w:rsidR="00A9576D" w:rsidRPr="00D13588" w:rsidRDefault="00A9576D" w:rsidP="006D0B23">
      <w:pPr>
        <w:widowControl w:val="0"/>
        <w:spacing w:before="480"/>
        <w:rPr>
          <w:lang w:val="en-GB"/>
        </w:rPr>
      </w:pPr>
      <w:r w:rsidRPr="00D13588">
        <w:rPr>
          <w:lang w:val="en-GB"/>
        </w:rPr>
        <w:t>This document was prepared by</w:t>
      </w:r>
      <w:r w:rsidR="00001E3B" w:rsidRPr="00D13588">
        <w:rPr>
          <w:lang w:val="en-GB"/>
        </w:rPr>
        <w:t xml:space="preserve"> Mher Hakobyan, EDF Accessibility Officer</w:t>
      </w:r>
      <w:r w:rsidR="000E3BE9">
        <w:rPr>
          <w:lang w:val="en-GB"/>
        </w:rPr>
        <w:t xml:space="preserve"> (</w:t>
      </w:r>
      <w:hyperlink r:id="rId14" w:history="1">
        <w:r w:rsidR="000E3BE9" w:rsidRPr="00ED6AA0">
          <w:rPr>
            <w:rStyle w:val="Hyperlink"/>
            <w:lang w:val="en-GB"/>
          </w:rPr>
          <w:t>mher.hakobyan@edf-feph.org</w:t>
        </w:r>
      </w:hyperlink>
      <w:r w:rsidR="000E3BE9">
        <w:rPr>
          <w:lang w:val="en-GB"/>
        </w:rPr>
        <w:t xml:space="preserve">). </w:t>
      </w:r>
      <w:r w:rsidR="00001E3B" w:rsidRPr="00D13588">
        <w:rPr>
          <w:lang w:val="en-GB"/>
        </w:rPr>
        <w:t xml:space="preserve"> </w:t>
      </w:r>
    </w:p>
    <w:p w14:paraId="49ACA04B" w14:textId="052E00DA" w:rsidR="00D914EF" w:rsidRPr="00D13588" w:rsidRDefault="00D914EF" w:rsidP="006D0B23">
      <w:pPr>
        <w:widowControl w:val="0"/>
        <w:spacing w:before="480"/>
        <w:rPr>
          <w:lang w:val="en-GB"/>
        </w:rPr>
      </w:pPr>
      <w:r w:rsidRPr="00D13588">
        <w:rPr>
          <w:lang w:val="en-GB"/>
        </w:rPr>
        <w:t>Supported by Alejandro Moledo, EDF Head of Policy</w:t>
      </w:r>
      <w:r w:rsidR="000E3BE9">
        <w:rPr>
          <w:lang w:val="en-GB"/>
        </w:rPr>
        <w:t xml:space="preserve"> (</w:t>
      </w:r>
      <w:hyperlink r:id="rId15" w:history="1">
        <w:r w:rsidR="000E3BE9" w:rsidRPr="00ED6AA0">
          <w:rPr>
            <w:rStyle w:val="Hyperlink"/>
            <w:lang w:val="en-GB"/>
          </w:rPr>
          <w:t>alejandro.moledo@edf-feph.org</w:t>
        </w:r>
      </w:hyperlink>
      <w:r w:rsidR="000E3BE9">
        <w:rPr>
          <w:lang w:val="en-GB"/>
        </w:rPr>
        <w:t xml:space="preserve">). </w:t>
      </w:r>
    </w:p>
    <w:p w14:paraId="177D1331" w14:textId="30D02CFC" w:rsidR="009277BC" w:rsidRPr="00D13588" w:rsidRDefault="009277BC" w:rsidP="009277BC">
      <w:pPr>
        <w:widowControl w:val="0"/>
        <w:spacing w:before="480"/>
        <w:rPr>
          <w:lang w:val="en-GB"/>
        </w:rPr>
      </w:pPr>
      <w:r w:rsidRPr="00D13588">
        <w:rPr>
          <w:noProof/>
          <w:lang w:val="en-GB"/>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2A5E2149" w:rsidR="00A9576D" w:rsidRPr="00D13588" w:rsidRDefault="00A9576D" w:rsidP="006D0B23">
      <w:pPr>
        <w:widowControl w:val="0"/>
        <w:spacing w:before="480"/>
        <w:rPr>
          <w:lang w:val="en-GB"/>
        </w:rPr>
      </w:pPr>
      <w:r w:rsidRPr="00D13588">
        <w:rPr>
          <w:lang w:val="en-GB"/>
        </w:rPr>
        <w:t>The European Disability Forum</w:t>
      </w:r>
      <w:r w:rsidR="009277BC" w:rsidRPr="00D13588">
        <w:rPr>
          <w:lang w:val="en-GB"/>
        </w:rPr>
        <w:br/>
        <w:t xml:space="preserve">Mundo </w:t>
      </w:r>
      <w:proofErr w:type="spellStart"/>
      <w:r w:rsidR="009277BC" w:rsidRPr="00D13588">
        <w:rPr>
          <w:lang w:val="en-GB"/>
        </w:rPr>
        <w:t>Madou</w:t>
      </w:r>
      <w:proofErr w:type="spellEnd"/>
      <w:r w:rsidR="009277BC" w:rsidRPr="00D13588">
        <w:rPr>
          <w:lang w:val="en-GB"/>
        </w:rPr>
        <w:br/>
      </w:r>
      <w:r w:rsidRPr="00D13588">
        <w:rPr>
          <w:lang w:val="en-GB"/>
        </w:rPr>
        <w:t>Avenue des Arts 7-8</w:t>
      </w:r>
      <w:r w:rsidR="009277BC" w:rsidRPr="00D13588">
        <w:rPr>
          <w:lang w:val="en-GB"/>
        </w:rPr>
        <w:br/>
        <w:t>1210 Brussels, Belgium.</w:t>
      </w:r>
    </w:p>
    <w:p w14:paraId="63FAD6C0" w14:textId="334864FE" w:rsidR="00A9576D" w:rsidRPr="00D13588" w:rsidRDefault="00A5087F" w:rsidP="006D0B23">
      <w:pPr>
        <w:widowControl w:val="0"/>
        <w:spacing w:before="480"/>
        <w:rPr>
          <w:lang w:val="en-GB"/>
        </w:rPr>
      </w:pPr>
      <w:hyperlink r:id="rId16" w:history="1">
        <w:r w:rsidR="00A9576D" w:rsidRPr="00D13588">
          <w:rPr>
            <w:rStyle w:val="Hyperlink"/>
            <w:lang w:val="en-GB"/>
          </w:rPr>
          <w:t>www.edf-feph.org</w:t>
        </w:r>
      </w:hyperlink>
    </w:p>
    <w:p w14:paraId="7B572B14" w14:textId="5A1C910E" w:rsidR="009277BC" w:rsidRPr="00D13588" w:rsidRDefault="00A5087F" w:rsidP="006D0B23">
      <w:pPr>
        <w:widowControl w:val="0"/>
        <w:spacing w:before="480"/>
        <w:rPr>
          <w:lang w:val="en-GB"/>
        </w:rPr>
      </w:pPr>
      <w:hyperlink r:id="rId17" w:history="1">
        <w:r w:rsidR="009277BC" w:rsidRPr="00D13588">
          <w:rPr>
            <w:rStyle w:val="Hyperlink"/>
            <w:lang w:val="en-GB"/>
          </w:rPr>
          <w:t>info@edf-feph.org</w:t>
        </w:r>
      </w:hyperlink>
    </w:p>
    <w:p w14:paraId="23807C83" w14:textId="06A6BD57" w:rsidR="009277BC" w:rsidRPr="00D13588" w:rsidRDefault="009277BC" w:rsidP="009277BC">
      <w:pPr>
        <w:widowControl w:val="0"/>
        <w:spacing w:before="1680" w:after="120"/>
        <w:rPr>
          <w:lang w:val="en-GB"/>
        </w:rPr>
      </w:pPr>
      <w:r w:rsidRPr="00D13588">
        <w:rPr>
          <w:lang w:val="en-GB"/>
        </w:rPr>
        <w:t>This publication has received financial support from the European Union. The information contained in this publication does not necessarily reflect the official position of the European Commission.</w:t>
      </w:r>
    </w:p>
    <w:p w14:paraId="45BA7225" w14:textId="1CB9D07B" w:rsidR="009277BC" w:rsidRPr="00D13588" w:rsidRDefault="009277BC" w:rsidP="009277BC">
      <w:pPr>
        <w:widowControl w:val="0"/>
        <w:spacing w:before="120"/>
        <w:jc w:val="center"/>
        <w:rPr>
          <w:lang w:val="en-GB"/>
        </w:rPr>
      </w:pPr>
      <w:r w:rsidRPr="00D13588">
        <w:rPr>
          <w:noProof/>
          <w:lang w:val="en-GB"/>
        </w:rPr>
        <w:drawing>
          <wp:inline distT="0" distB="0" distL="0" distR="0" wp14:anchorId="1F7FCCC3" wp14:editId="04DF12A9">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sectPr w:rsidR="009277BC" w:rsidRPr="00D13588" w:rsidSect="006D0B23">
      <w:footerReference w:type="default" r:id="rId18"/>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F6EF3" w14:textId="77777777" w:rsidR="00D4528A" w:rsidRDefault="00D4528A" w:rsidP="00E47FF5">
      <w:pPr>
        <w:spacing w:after="0" w:line="240" w:lineRule="auto"/>
      </w:pPr>
      <w:r>
        <w:separator/>
      </w:r>
    </w:p>
  </w:endnote>
  <w:endnote w:type="continuationSeparator" w:id="0">
    <w:p w14:paraId="7AAA6AD8" w14:textId="77777777" w:rsidR="00D4528A" w:rsidRDefault="00D4528A"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63306FAB" w14:textId="270C9223" w:rsidR="00BA4DFD" w:rsidRDefault="00BA4DFD">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BA4DFD" w:rsidRDefault="00BA4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1B19F" w14:textId="77777777" w:rsidR="00D4528A" w:rsidRDefault="00D4528A" w:rsidP="00E47FF5">
      <w:pPr>
        <w:spacing w:after="0" w:line="240" w:lineRule="auto"/>
      </w:pPr>
      <w:r>
        <w:separator/>
      </w:r>
    </w:p>
  </w:footnote>
  <w:footnote w:type="continuationSeparator" w:id="0">
    <w:p w14:paraId="10C88D17" w14:textId="77777777" w:rsidR="00D4528A" w:rsidRDefault="00D4528A" w:rsidP="00E47FF5">
      <w:pPr>
        <w:spacing w:after="0" w:line="240" w:lineRule="auto"/>
      </w:pPr>
      <w:r>
        <w:continuationSeparator/>
      </w:r>
    </w:p>
  </w:footnote>
  <w:footnote w:id="1">
    <w:p w14:paraId="570ACE88" w14:textId="601820CB" w:rsidR="00C03301" w:rsidRPr="00C03301" w:rsidRDefault="00C03301">
      <w:pPr>
        <w:pStyle w:val="FootnoteText"/>
      </w:pPr>
      <w:r>
        <w:rPr>
          <w:rStyle w:val="FootnoteReference"/>
        </w:rPr>
        <w:footnoteRef/>
      </w:r>
      <w:r>
        <w:t xml:space="preserve"> </w:t>
      </w:r>
      <w:hyperlink r:id="rId1" w:history="1">
        <w:r w:rsidRPr="008F4675">
          <w:rPr>
            <w:rStyle w:val="Hyperlink"/>
          </w:rPr>
          <w:t>https://eur-lex.europa.eu/legal-content/EN/TXT/?uri=CELEX%3A52022PC0032</w:t>
        </w:r>
      </w:hyperlink>
      <w:r>
        <w:t xml:space="preserve"> </w:t>
      </w:r>
    </w:p>
  </w:footnote>
  <w:footnote w:id="2">
    <w:p w14:paraId="751CF455" w14:textId="21DCB759" w:rsidR="0056609F" w:rsidRPr="0056609F" w:rsidRDefault="0056609F">
      <w:pPr>
        <w:pStyle w:val="FootnoteText"/>
      </w:pPr>
      <w:r>
        <w:rPr>
          <w:rStyle w:val="FootnoteReference"/>
        </w:rPr>
        <w:footnoteRef/>
      </w:r>
      <w:r>
        <w:t xml:space="preserve"> Ibid.</w:t>
      </w:r>
    </w:p>
  </w:footnote>
  <w:footnote w:id="3">
    <w:p w14:paraId="5D7A086C" w14:textId="20AE0E36" w:rsidR="002D44E4" w:rsidRPr="002D44E4" w:rsidRDefault="002D44E4" w:rsidP="002D44E4">
      <w:pPr>
        <w:pStyle w:val="FootnoteText"/>
      </w:pPr>
      <w:r>
        <w:rPr>
          <w:rStyle w:val="FootnoteReference"/>
        </w:rPr>
        <w:footnoteRef/>
      </w:r>
      <w:r>
        <w:t xml:space="preserve"> Particularly decisions related to: (a) the acceptance, refusal and execution of </w:t>
      </w:r>
      <w:r w:rsidRPr="00D819E3">
        <w:rPr>
          <w:lang w:val="en-GB"/>
        </w:rPr>
        <w:t>standardisation</w:t>
      </w:r>
      <w:r>
        <w:t xml:space="preserve"> requests; (b) the acceptance of new work items; (c) the adoption, revision and withdrawal of European standards or European </w:t>
      </w:r>
      <w:r w:rsidR="00ED61AC">
        <w:t>standardization</w:t>
      </w:r>
      <w:r>
        <w:t xml:space="preserve"> deliverables.’</w:t>
      </w:r>
      <w:r w:rsidR="00ED61AC">
        <w:t xml:space="preserve"> (</w:t>
      </w:r>
      <w:hyperlink r:id="rId2" w:history="1">
        <w:r w:rsidR="00ED61AC" w:rsidRPr="00ED61AC">
          <w:rPr>
            <w:rStyle w:val="Hyperlink"/>
          </w:rPr>
          <w:t>article 10, paragraph 2a (new) Regulation (EU) 1025/2012 European Standardization</w:t>
        </w:r>
      </w:hyperlink>
      <w:r w:rsidR="00ED61AC">
        <w:t xml:space="preserve">). </w:t>
      </w:r>
    </w:p>
  </w:footnote>
  <w:footnote w:id="4">
    <w:p w14:paraId="30B7F245" w14:textId="0A756799" w:rsidR="00CA455E" w:rsidRPr="00CA455E" w:rsidRDefault="00CA455E">
      <w:pPr>
        <w:pStyle w:val="FootnoteText"/>
      </w:pPr>
      <w:r>
        <w:rPr>
          <w:rStyle w:val="FootnoteReference"/>
        </w:rPr>
        <w:footnoteRef/>
      </w:r>
      <w:r>
        <w:t xml:space="preserve"> </w:t>
      </w:r>
      <w:hyperlink r:id="rId3" w:history="1">
        <w:r w:rsidRPr="00A73B77">
          <w:rPr>
            <w:rStyle w:val="Hyperlink"/>
          </w:rPr>
          <w:t>Feedback from ANEC to public consultation on EC proposal to amend Regulation (EU) 1025/2012 European Standardization</w:t>
        </w:r>
      </w:hyperlink>
      <w:r>
        <w:t xml:space="preserve">. </w:t>
      </w:r>
    </w:p>
  </w:footnote>
  <w:footnote w:id="5">
    <w:p w14:paraId="31F7C2E4" w14:textId="01E53D1A" w:rsidR="00773865" w:rsidRPr="00D819E3" w:rsidRDefault="00773865">
      <w:pPr>
        <w:pStyle w:val="FootnoteText"/>
        <w:rPr>
          <w:lang w:val="en-GB"/>
        </w:rPr>
      </w:pPr>
      <w:r>
        <w:rPr>
          <w:rStyle w:val="FootnoteReference"/>
        </w:rPr>
        <w:footnoteRef/>
      </w:r>
      <w:r>
        <w:t xml:space="preserve"> Mandate 476 aimed at supporting European Standards </w:t>
      </w:r>
      <w:proofErr w:type="spellStart"/>
      <w:r>
        <w:t>Organisations</w:t>
      </w:r>
      <w:proofErr w:type="spellEnd"/>
      <w:r>
        <w:t xml:space="preserve"> to incorporate a Design for All approach which could result in a more accessible standardization system and better mainstreaming of accessibility in European Standards. Nevertheless, ETSI declined the request, and the impact in CEN and CENELEC has been so far minimal.</w:t>
      </w:r>
    </w:p>
  </w:footnote>
  <w:footnote w:id="6">
    <w:p w14:paraId="059B7A93" w14:textId="73DA5490" w:rsidR="005B0AB3" w:rsidRPr="00383DFC" w:rsidRDefault="005B0AB3">
      <w:pPr>
        <w:pStyle w:val="FootnoteText"/>
        <w:rPr>
          <w:lang w:val="en-GB"/>
        </w:rPr>
      </w:pPr>
      <w:r>
        <w:rPr>
          <w:rStyle w:val="FootnoteReference"/>
        </w:rPr>
        <w:footnoteRef/>
      </w:r>
      <w:r>
        <w:t xml:space="preserve"> </w:t>
      </w:r>
      <w:hyperlink r:id="rId4" w:history="1">
        <w:r w:rsidRPr="005B0AB3">
          <w:rPr>
            <w:rStyle w:val="Hyperlink"/>
          </w:rPr>
          <w:t xml:space="preserve">Directive (EU) 2017/1564 of the European Parliament and of the Council of 13 September 2017 on certain permitted uses of certain works and other subject matter protected by copyright and related rights for the benefit of persons who are blind, visually impaired or otherwise print-disabled and amending Directive 2001/29/EC on the </w:t>
        </w:r>
        <w:r w:rsidRPr="00383DFC">
          <w:rPr>
            <w:rStyle w:val="Hyperlink"/>
            <w:lang w:val="en-GB"/>
          </w:rPr>
          <w:t>harmonisation</w:t>
        </w:r>
        <w:r w:rsidRPr="005B0AB3">
          <w:rPr>
            <w:rStyle w:val="Hyperlink"/>
          </w:rPr>
          <w:t xml:space="preserve"> of certain aspects of copyright and related rights in the information society</w:t>
        </w:r>
      </w:hyperlink>
    </w:p>
  </w:footnote>
  <w:footnote w:id="7">
    <w:p w14:paraId="2EDBCDEE" w14:textId="77777777" w:rsidR="00FB3163" w:rsidRPr="00863BFF" w:rsidRDefault="00FB3163" w:rsidP="00FB3163">
      <w:pPr>
        <w:pStyle w:val="FootnoteText"/>
        <w:rPr>
          <w:lang w:val="en-GB"/>
        </w:rPr>
      </w:pPr>
      <w:r>
        <w:rPr>
          <w:rStyle w:val="FootnoteReference"/>
        </w:rPr>
        <w:footnoteRef/>
      </w:r>
      <w:r>
        <w:t xml:space="preserve"> </w:t>
      </w:r>
      <w:hyperlink r:id="rId5" w:history="1">
        <w:r w:rsidRPr="00863BFF">
          <w:rPr>
            <w:rStyle w:val="Hyperlink"/>
          </w:rPr>
          <w:t>UN SR Thematic Report on Artificial intelligence and the rights of persons with disabilities</w:t>
        </w:r>
      </w:hyperlink>
    </w:p>
  </w:footnote>
  <w:footnote w:id="8">
    <w:p w14:paraId="7476F296" w14:textId="1CD794D3" w:rsidR="00C72F3D" w:rsidRPr="00C72F3D" w:rsidRDefault="00C72F3D">
      <w:pPr>
        <w:pStyle w:val="FootnoteText"/>
        <w:rPr>
          <w:lang w:val="en-GB"/>
        </w:rPr>
      </w:pPr>
      <w:r>
        <w:rPr>
          <w:rStyle w:val="FootnoteReference"/>
        </w:rPr>
        <w:footnoteRef/>
      </w:r>
      <w:r>
        <w:t xml:space="preserve"> </w:t>
      </w:r>
      <w:r>
        <w:rPr>
          <w:lang w:val="en-GB"/>
        </w:rPr>
        <w:t>Required under</w:t>
      </w:r>
      <w:r w:rsidRPr="009D31C0">
        <w:rPr>
          <w:lang w:val="en-GB"/>
        </w:rPr>
        <w:t xml:space="preserve"> the</w:t>
      </w:r>
      <w:r>
        <w:rPr>
          <w:lang w:val="en-GB"/>
        </w:rPr>
        <w:t xml:space="preserve"> US</w:t>
      </w:r>
      <w:r w:rsidRPr="009D31C0">
        <w:rPr>
          <w:lang w:val="en-GB"/>
        </w:rPr>
        <w:t xml:space="preserve"> National Technology Transfer and Advancement Act of 1995</w:t>
      </w:r>
      <w:r>
        <w:rPr>
          <w:lang w:val="en-GB"/>
        </w:rPr>
        <w:t>.</w:t>
      </w:r>
    </w:p>
  </w:footnote>
  <w:footnote w:id="9">
    <w:p w14:paraId="4A1670DF" w14:textId="51BB1363" w:rsidR="005F4F72" w:rsidRPr="005F4F72" w:rsidRDefault="005F4F72">
      <w:pPr>
        <w:pStyle w:val="FootnoteText"/>
        <w:rPr>
          <w:lang w:val="en-GB"/>
        </w:rPr>
      </w:pPr>
      <w:r>
        <w:rPr>
          <w:rStyle w:val="FootnoteReference"/>
        </w:rPr>
        <w:footnoteRef/>
      </w:r>
      <w:r>
        <w:t xml:space="preserve"> </w:t>
      </w:r>
      <w:hyperlink r:id="rId6" w:history="1">
        <w:r w:rsidRPr="005972A4">
          <w:rPr>
            <w:rStyle w:val="Hyperlink"/>
          </w:rPr>
          <w:t>https://www.access-board.gov/ict/</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4A5"/>
    <w:multiLevelType w:val="hybridMultilevel"/>
    <w:tmpl w:val="236E9882"/>
    <w:lvl w:ilvl="0" w:tplc="55CCD882">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B5B4A"/>
    <w:multiLevelType w:val="hybridMultilevel"/>
    <w:tmpl w:val="01BE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31FC7"/>
    <w:multiLevelType w:val="hybridMultilevel"/>
    <w:tmpl w:val="BDE6C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BB48E7"/>
    <w:multiLevelType w:val="hybridMultilevel"/>
    <w:tmpl w:val="1F1CB6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3D61A1"/>
    <w:multiLevelType w:val="hybridMultilevel"/>
    <w:tmpl w:val="53C2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6D4A77"/>
    <w:multiLevelType w:val="hybridMultilevel"/>
    <w:tmpl w:val="540254DE"/>
    <w:lvl w:ilvl="0" w:tplc="9382856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BCB7EB4"/>
    <w:multiLevelType w:val="hybridMultilevel"/>
    <w:tmpl w:val="87D21E00"/>
    <w:lvl w:ilvl="0" w:tplc="55CCD882">
      <w:start w:val="1"/>
      <w:numFmt w:val="decimal"/>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8768F2"/>
    <w:multiLevelType w:val="hybridMultilevel"/>
    <w:tmpl w:val="7A36E4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054241F"/>
    <w:multiLevelType w:val="hybridMultilevel"/>
    <w:tmpl w:val="EE302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A9500A"/>
    <w:multiLevelType w:val="hybridMultilevel"/>
    <w:tmpl w:val="A2CE4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5"/>
  </w:num>
  <w:num w:numId="6">
    <w:abstractNumId w:val="1"/>
  </w:num>
  <w:num w:numId="7">
    <w:abstractNumId w:val="10"/>
  </w:num>
  <w:num w:numId="8">
    <w:abstractNumId w:val="4"/>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01E3B"/>
    <w:rsid w:val="00031C74"/>
    <w:rsid w:val="00054D5A"/>
    <w:rsid w:val="00066579"/>
    <w:rsid w:val="000677EC"/>
    <w:rsid w:val="00084DB0"/>
    <w:rsid w:val="000966A4"/>
    <w:rsid w:val="000B1D46"/>
    <w:rsid w:val="000D1F77"/>
    <w:rsid w:val="000D2D0B"/>
    <w:rsid w:val="000D37E5"/>
    <w:rsid w:val="000E3BE9"/>
    <w:rsid w:val="00110CE7"/>
    <w:rsid w:val="00135B45"/>
    <w:rsid w:val="001763F2"/>
    <w:rsid w:val="00187E62"/>
    <w:rsid w:val="001A1718"/>
    <w:rsid w:val="001A6FAA"/>
    <w:rsid w:val="001B43B7"/>
    <w:rsid w:val="001D526C"/>
    <w:rsid w:val="001E0F08"/>
    <w:rsid w:val="002133A6"/>
    <w:rsid w:val="002302F7"/>
    <w:rsid w:val="00240F42"/>
    <w:rsid w:val="00252657"/>
    <w:rsid w:val="00263CAB"/>
    <w:rsid w:val="00282B80"/>
    <w:rsid w:val="002D44E4"/>
    <w:rsid w:val="002E040F"/>
    <w:rsid w:val="00304022"/>
    <w:rsid w:val="00312FCE"/>
    <w:rsid w:val="003235F3"/>
    <w:rsid w:val="00341499"/>
    <w:rsid w:val="00355289"/>
    <w:rsid w:val="0036712B"/>
    <w:rsid w:val="00383DFC"/>
    <w:rsid w:val="00396075"/>
    <w:rsid w:val="003B516A"/>
    <w:rsid w:val="003C3B04"/>
    <w:rsid w:val="003C78D1"/>
    <w:rsid w:val="003D1BF3"/>
    <w:rsid w:val="003D3BE2"/>
    <w:rsid w:val="003D6528"/>
    <w:rsid w:val="003E719D"/>
    <w:rsid w:val="003E7741"/>
    <w:rsid w:val="003F2BC1"/>
    <w:rsid w:val="004028CF"/>
    <w:rsid w:val="00405C67"/>
    <w:rsid w:val="004136FE"/>
    <w:rsid w:val="004305C7"/>
    <w:rsid w:val="00434200"/>
    <w:rsid w:val="004501FC"/>
    <w:rsid w:val="0046102F"/>
    <w:rsid w:val="00472D38"/>
    <w:rsid w:val="004937F2"/>
    <w:rsid w:val="004B02F2"/>
    <w:rsid w:val="00501D36"/>
    <w:rsid w:val="005275FE"/>
    <w:rsid w:val="00535F43"/>
    <w:rsid w:val="00541EBA"/>
    <w:rsid w:val="00552044"/>
    <w:rsid w:val="005541BA"/>
    <w:rsid w:val="00564B6C"/>
    <w:rsid w:val="0056609F"/>
    <w:rsid w:val="005674B2"/>
    <w:rsid w:val="00573E19"/>
    <w:rsid w:val="00591B75"/>
    <w:rsid w:val="005A7FA3"/>
    <w:rsid w:val="005B01F0"/>
    <w:rsid w:val="005B0AB3"/>
    <w:rsid w:val="005B267F"/>
    <w:rsid w:val="005B74D7"/>
    <w:rsid w:val="005D414D"/>
    <w:rsid w:val="005E0C12"/>
    <w:rsid w:val="005F0D17"/>
    <w:rsid w:val="005F4F72"/>
    <w:rsid w:val="00606390"/>
    <w:rsid w:val="00607DF3"/>
    <w:rsid w:val="006658F7"/>
    <w:rsid w:val="006A6BD9"/>
    <w:rsid w:val="006B321E"/>
    <w:rsid w:val="006C1A26"/>
    <w:rsid w:val="006C6E10"/>
    <w:rsid w:val="006D0B23"/>
    <w:rsid w:val="006E7D7B"/>
    <w:rsid w:val="007016E4"/>
    <w:rsid w:val="00722A2B"/>
    <w:rsid w:val="00735906"/>
    <w:rsid w:val="0074605F"/>
    <w:rsid w:val="00765FAD"/>
    <w:rsid w:val="00773865"/>
    <w:rsid w:val="0077661F"/>
    <w:rsid w:val="0078482E"/>
    <w:rsid w:val="007A5B98"/>
    <w:rsid w:val="007B0427"/>
    <w:rsid w:val="007B4974"/>
    <w:rsid w:val="007C7CD3"/>
    <w:rsid w:val="007F458D"/>
    <w:rsid w:val="007F7C9C"/>
    <w:rsid w:val="008054A7"/>
    <w:rsid w:val="008065A5"/>
    <w:rsid w:val="008166D8"/>
    <w:rsid w:val="00817B5D"/>
    <w:rsid w:val="00846998"/>
    <w:rsid w:val="008536AB"/>
    <w:rsid w:val="00863BFF"/>
    <w:rsid w:val="00872580"/>
    <w:rsid w:val="00875E7D"/>
    <w:rsid w:val="008958EB"/>
    <w:rsid w:val="008B6894"/>
    <w:rsid w:val="008D57A6"/>
    <w:rsid w:val="008E0C39"/>
    <w:rsid w:val="008E31C7"/>
    <w:rsid w:val="008E409A"/>
    <w:rsid w:val="008F6513"/>
    <w:rsid w:val="00900C8D"/>
    <w:rsid w:val="00904969"/>
    <w:rsid w:val="00911544"/>
    <w:rsid w:val="009139A5"/>
    <w:rsid w:val="009167C0"/>
    <w:rsid w:val="009170B1"/>
    <w:rsid w:val="009277BC"/>
    <w:rsid w:val="00940AA2"/>
    <w:rsid w:val="009478AE"/>
    <w:rsid w:val="00966490"/>
    <w:rsid w:val="00970248"/>
    <w:rsid w:val="009723EF"/>
    <w:rsid w:val="00972F1F"/>
    <w:rsid w:val="00972F71"/>
    <w:rsid w:val="00994361"/>
    <w:rsid w:val="00997569"/>
    <w:rsid w:val="00997D54"/>
    <w:rsid w:val="009A4862"/>
    <w:rsid w:val="009B6E4F"/>
    <w:rsid w:val="009C5A86"/>
    <w:rsid w:val="009C7E98"/>
    <w:rsid w:val="009D31C0"/>
    <w:rsid w:val="009D4A63"/>
    <w:rsid w:val="009D4D9C"/>
    <w:rsid w:val="00A30734"/>
    <w:rsid w:val="00A3758B"/>
    <w:rsid w:val="00A5087F"/>
    <w:rsid w:val="00A73B77"/>
    <w:rsid w:val="00A91021"/>
    <w:rsid w:val="00A9576D"/>
    <w:rsid w:val="00AB6398"/>
    <w:rsid w:val="00AB7F28"/>
    <w:rsid w:val="00AD55B8"/>
    <w:rsid w:val="00AE0D55"/>
    <w:rsid w:val="00AF276B"/>
    <w:rsid w:val="00AF74AC"/>
    <w:rsid w:val="00B131A4"/>
    <w:rsid w:val="00B17F35"/>
    <w:rsid w:val="00B25297"/>
    <w:rsid w:val="00B30927"/>
    <w:rsid w:val="00B336DE"/>
    <w:rsid w:val="00B515CD"/>
    <w:rsid w:val="00BA4DFD"/>
    <w:rsid w:val="00BB66D3"/>
    <w:rsid w:val="00BC1787"/>
    <w:rsid w:val="00BD463A"/>
    <w:rsid w:val="00BE53F0"/>
    <w:rsid w:val="00C03301"/>
    <w:rsid w:val="00C03673"/>
    <w:rsid w:val="00C10270"/>
    <w:rsid w:val="00C21B57"/>
    <w:rsid w:val="00C549A8"/>
    <w:rsid w:val="00C638AC"/>
    <w:rsid w:val="00C72F3D"/>
    <w:rsid w:val="00CA0A09"/>
    <w:rsid w:val="00CA455E"/>
    <w:rsid w:val="00CA4FC8"/>
    <w:rsid w:val="00CA5973"/>
    <w:rsid w:val="00CB7138"/>
    <w:rsid w:val="00CD232B"/>
    <w:rsid w:val="00CD5C83"/>
    <w:rsid w:val="00D0060C"/>
    <w:rsid w:val="00D028AD"/>
    <w:rsid w:val="00D05B5E"/>
    <w:rsid w:val="00D11DAB"/>
    <w:rsid w:val="00D13588"/>
    <w:rsid w:val="00D137BA"/>
    <w:rsid w:val="00D21195"/>
    <w:rsid w:val="00D27087"/>
    <w:rsid w:val="00D305EE"/>
    <w:rsid w:val="00D32E93"/>
    <w:rsid w:val="00D344E5"/>
    <w:rsid w:val="00D42284"/>
    <w:rsid w:val="00D43C81"/>
    <w:rsid w:val="00D44FE9"/>
    <w:rsid w:val="00D4528A"/>
    <w:rsid w:val="00D469E0"/>
    <w:rsid w:val="00D56999"/>
    <w:rsid w:val="00D62664"/>
    <w:rsid w:val="00D737E8"/>
    <w:rsid w:val="00D819E3"/>
    <w:rsid w:val="00D914EF"/>
    <w:rsid w:val="00D944D5"/>
    <w:rsid w:val="00DA251E"/>
    <w:rsid w:val="00DA7AED"/>
    <w:rsid w:val="00DB38DF"/>
    <w:rsid w:val="00DE2DD3"/>
    <w:rsid w:val="00E06419"/>
    <w:rsid w:val="00E23446"/>
    <w:rsid w:val="00E24EBD"/>
    <w:rsid w:val="00E30A18"/>
    <w:rsid w:val="00E37462"/>
    <w:rsid w:val="00E37CEF"/>
    <w:rsid w:val="00E41423"/>
    <w:rsid w:val="00E47FF5"/>
    <w:rsid w:val="00E5752E"/>
    <w:rsid w:val="00E61554"/>
    <w:rsid w:val="00E62CBF"/>
    <w:rsid w:val="00E70BC9"/>
    <w:rsid w:val="00E73B58"/>
    <w:rsid w:val="00E779D9"/>
    <w:rsid w:val="00E77B9C"/>
    <w:rsid w:val="00E843FC"/>
    <w:rsid w:val="00EA0706"/>
    <w:rsid w:val="00EB727B"/>
    <w:rsid w:val="00EC2085"/>
    <w:rsid w:val="00EC688E"/>
    <w:rsid w:val="00ED3393"/>
    <w:rsid w:val="00ED61AC"/>
    <w:rsid w:val="00EE7833"/>
    <w:rsid w:val="00F01DBF"/>
    <w:rsid w:val="00F213EA"/>
    <w:rsid w:val="00F22394"/>
    <w:rsid w:val="00F34A74"/>
    <w:rsid w:val="00F5051D"/>
    <w:rsid w:val="00F641AC"/>
    <w:rsid w:val="00F676E3"/>
    <w:rsid w:val="00F85AF5"/>
    <w:rsid w:val="00FB155E"/>
    <w:rsid w:val="00FB1C18"/>
    <w:rsid w:val="00FB3163"/>
    <w:rsid w:val="00FE10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5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paragraph" w:styleId="FootnoteText">
    <w:name w:val="footnote text"/>
    <w:basedOn w:val="Normal"/>
    <w:link w:val="FootnoteTextChar"/>
    <w:uiPriority w:val="99"/>
    <w:semiHidden/>
    <w:unhideWhenUsed/>
    <w:rsid w:val="00F641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41AC"/>
    <w:rPr>
      <w:rFonts w:ascii="Verdana" w:hAnsi="Verdana"/>
      <w:sz w:val="20"/>
      <w:szCs w:val="20"/>
    </w:rPr>
  </w:style>
  <w:style w:type="character" w:styleId="FootnoteReference">
    <w:name w:val="footnote reference"/>
    <w:basedOn w:val="DefaultParagraphFont"/>
    <w:uiPriority w:val="99"/>
    <w:semiHidden/>
    <w:unhideWhenUsed/>
    <w:rsid w:val="00F641AC"/>
    <w:rPr>
      <w:vertAlign w:val="superscript"/>
    </w:rPr>
  </w:style>
  <w:style w:type="character" w:styleId="CommentReference">
    <w:name w:val="annotation reference"/>
    <w:basedOn w:val="DefaultParagraphFont"/>
    <w:uiPriority w:val="99"/>
    <w:semiHidden/>
    <w:unhideWhenUsed/>
    <w:rsid w:val="00AE0D55"/>
    <w:rPr>
      <w:sz w:val="16"/>
      <w:szCs w:val="16"/>
    </w:rPr>
  </w:style>
  <w:style w:type="paragraph" w:styleId="CommentText">
    <w:name w:val="annotation text"/>
    <w:basedOn w:val="Normal"/>
    <w:link w:val="CommentTextChar"/>
    <w:uiPriority w:val="99"/>
    <w:unhideWhenUsed/>
    <w:rsid w:val="00AE0D55"/>
    <w:pPr>
      <w:spacing w:line="240" w:lineRule="auto"/>
    </w:pPr>
    <w:rPr>
      <w:sz w:val="20"/>
      <w:szCs w:val="20"/>
    </w:rPr>
  </w:style>
  <w:style w:type="character" w:customStyle="1" w:styleId="CommentTextChar">
    <w:name w:val="Comment Text Char"/>
    <w:basedOn w:val="DefaultParagraphFont"/>
    <w:link w:val="CommentText"/>
    <w:uiPriority w:val="99"/>
    <w:rsid w:val="00AE0D55"/>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AE0D55"/>
    <w:rPr>
      <w:b/>
      <w:bCs/>
    </w:rPr>
  </w:style>
  <w:style w:type="character" w:customStyle="1" w:styleId="CommentSubjectChar">
    <w:name w:val="Comment Subject Char"/>
    <w:basedOn w:val="CommentTextChar"/>
    <w:link w:val="CommentSubject"/>
    <w:uiPriority w:val="99"/>
    <w:semiHidden/>
    <w:rsid w:val="00AE0D55"/>
    <w:rPr>
      <w:rFonts w:ascii="Verdana" w:hAnsi="Verdana"/>
      <w:b/>
      <w:bCs/>
      <w:sz w:val="20"/>
      <w:szCs w:val="20"/>
    </w:rPr>
  </w:style>
  <w:style w:type="paragraph" w:customStyle="1" w:styleId="Default">
    <w:name w:val="Default"/>
    <w:rsid w:val="00AB6398"/>
    <w:pPr>
      <w:autoSpaceDE w:val="0"/>
      <w:autoSpaceDN w:val="0"/>
      <w:adjustRightInd w:val="0"/>
      <w:spacing w:after="0" w:line="240" w:lineRule="auto"/>
    </w:pPr>
    <w:rPr>
      <w:rFonts w:ascii="Verdana" w:hAnsi="Verdana" w:cs="Verdana"/>
      <w:color w:val="000000"/>
      <w:sz w:val="24"/>
      <w:szCs w:val="24"/>
      <w:lang w:val="en-GB"/>
    </w:rPr>
  </w:style>
  <w:style w:type="paragraph" w:customStyle="1" w:styleId="Normal1">
    <w:name w:val="Normal1"/>
    <w:basedOn w:val="Normal"/>
    <w:rsid w:val="003E7741"/>
    <w:pPr>
      <w:spacing w:before="100" w:beforeAutospacing="1" w:after="100" w:afterAutospacing="1" w:line="240" w:lineRule="auto"/>
    </w:pPr>
    <w:rPr>
      <w:rFonts w:ascii="Times New Roman" w:eastAsia="Times New Roman" w:hAnsi="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2488">
      <w:bodyDiv w:val="1"/>
      <w:marLeft w:val="0"/>
      <w:marRight w:val="0"/>
      <w:marTop w:val="0"/>
      <w:marBottom w:val="0"/>
      <w:divBdr>
        <w:top w:val="none" w:sz="0" w:space="0" w:color="auto"/>
        <w:left w:val="none" w:sz="0" w:space="0" w:color="auto"/>
        <w:bottom w:val="none" w:sz="0" w:space="0" w:color="auto"/>
        <w:right w:val="none" w:sz="0" w:space="0" w:color="auto"/>
      </w:divBdr>
    </w:div>
    <w:div w:id="201593945">
      <w:bodyDiv w:val="1"/>
      <w:marLeft w:val="0"/>
      <w:marRight w:val="0"/>
      <w:marTop w:val="0"/>
      <w:marBottom w:val="0"/>
      <w:divBdr>
        <w:top w:val="none" w:sz="0" w:space="0" w:color="auto"/>
        <w:left w:val="none" w:sz="0" w:space="0" w:color="auto"/>
        <w:bottom w:val="none" w:sz="0" w:space="0" w:color="auto"/>
        <w:right w:val="none" w:sz="0" w:space="0" w:color="auto"/>
      </w:divBdr>
    </w:div>
    <w:div w:id="342559343">
      <w:bodyDiv w:val="1"/>
      <w:marLeft w:val="0"/>
      <w:marRight w:val="0"/>
      <w:marTop w:val="0"/>
      <w:marBottom w:val="0"/>
      <w:divBdr>
        <w:top w:val="none" w:sz="0" w:space="0" w:color="auto"/>
        <w:left w:val="none" w:sz="0" w:space="0" w:color="auto"/>
        <w:bottom w:val="none" w:sz="0" w:space="0" w:color="auto"/>
        <w:right w:val="none" w:sz="0" w:space="0" w:color="auto"/>
      </w:divBdr>
    </w:div>
    <w:div w:id="461389310">
      <w:bodyDiv w:val="1"/>
      <w:marLeft w:val="0"/>
      <w:marRight w:val="0"/>
      <w:marTop w:val="0"/>
      <w:marBottom w:val="0"/>
      <w:divBdr>
        <w:top w:val="none" w:sz="0" w:space="0" w:color="auto"/>
        <w:left w:val="none" w:sz="0" w:space="0" w:color="auto"/>
        <w:bottom w:val="none" w:sz="0" w:space="0" w:color="auto"/>
        <w:right w:val="none" w:sz="0" w:space="0" w:color="auto"/>
      </w:divBdr>
    </w:div>
    <w:div w:id="473372934">
      <w:bodyDiv w:val="1"/>
      <w:marLeft w:val="0"/>
      <w:marRight w:val="0"/>
      <w:marTop w:val="0"/>
      <w:marBottom w:val="0"/>
      <w:divBdr>
        <w:top w:val="none" w:sz="0" w:space="0" w:color="auto"/>
        <w:left w:val="none" w:sz="0" w:space="0" w:color="auto"/>
        <w:bottom w:val="none" w:sz="0" w:space="0" w:color="auto"/>
        <w:right w:val="none" w:sz="0" w:space="0" w:color="auto"/>
      </w:divBdr>
    </w:div>
    <w:div w:id="493961295">
      <w:bodyDiv w:val="1"/>
      <w:marLeft w:val="0"/>
      <w:marRight w:val="0"/>
      <w:marTop w:val="0"/>
      <w:marBottom w:val="0"/>
      <w:divBdr>
        <w:top w:val="none" w:sz="0" w:space="0" w:color="auto"/>
        <w:left w:val="none" w:sz="0" w:space="0" w:color="auto"/>
        <w:bottom w:val="none" w:sz="0" w:space="0" w:color="auto"/>
        <w:right w:val="none" w:sz="0" w:space="0" w:color="auto"/>
      </w:divBdr>
    </w:div>
    <w:div w:id="578448218">
      <w:bodyDiv w:val="1"/>
      <w:marLeft w:val="0"/>
      <w:marRight w:val="0"/>
      <w:marTop w:val="0"/>
      <w:marBottom w:val="0"/>
      <w:divBdr>
        <w:top w:val="none" w:sz="0" w:space="0" w:color="auto"/>
        <w:left w:val="none" w:sz="0" w:space="0" w:color="auto"/>
        <w:bottom w:val="none" w:sz="0" w:space="0" w:color="auto"/>
        <w:right w:val="none" w:sz="0" w:space="0" w:color="auto"/>
      </w:divBdr>
    </w:div>
    <w:div w:id="632519390">
      <w:bodyDiv w:val="1"/>
      <w:marLeft w:val="0"/>
      <w:marRight w:val="0"/>
      <w:marTop w:val="0"/>
      <w:marBottom w:val="0"/>
      <w:divBdr>
        <w:top w:val="none" w:sz="0" w:space="0" w:color="auto"/>
        <w:left w:val="none" w:sz="0" w:space="0" w:color="auto"/>
        <w:bottom w:val="none" w:sz="0" w:space="0" w:color="auto"/>
        <w:right w:val="none" w:sz="0" w:space="0" w:color="auto"/>
      </w:divBdr>
    </w:div>
    <w:div w:id="662124394">
      <w:bodyDiv w:val="1"/>
      <w:marLeft w:val="0"/>
      <w:marRight w:val="0"/>
      <w:marTop w:val="0"/>
      <w:marBottom w:val="0"/>
      <w:divBdr>
        <w:top w:val="none" w:sz="0" w:space="0" w:color="auto"/>
        <w:left w:val="none" w:sz="0" w:space="0" w:color="auto"/>
        <w:bottom w:val="none" w:sz="0" w:space="0" w:color="auto"/>
        <w:right w:val="none" w:sz="0" w:space="0" w:color="auto"/>
      </w:divBdr>
    </w:div>
    <w:div w:id="672032018">
      <w:bodyDiv w:val="1"/>
      <w:marLeft w:val="0"/>
      <w:marRight w:val="0"/>
      <w:marTop w:val="0"/>
      <w:marBottom w:val="0"/>
      <w:divBdr>
        <w:top w:val="none" w:sz="0" w:space="0" w:color="auto"/>
        <w:left w:val="none" w:sz="0" w:space="0" w:color="auto"/>
        <w:bottom w:val="none" w:sz="0" w:space="0" w:color="auto"/>
        <w:right w:val="none" w:sz="0" w:space="0" w:color="auto"/>
      </w:divBdr>
    </w:div>
    <w:div w:id="727606979">
      <w:bodyDiv w:val="1"/>
      <w:marLeft w:val="0"/>
      <w:marRight w:val="0"/>
      <w:marTop w:val="0"/>
      <w:marBottom w:val="0"/>
      <w:divBdr>
        <w:top w:val="none" w:sz="0" w:space="0" w:color="auto"/>
        <w:left w:val="none" w:sz="0" w:space="0" w:color="auto"/>
        <w:bottom w:val="none" w:sz="0" w:space="0" w:color="auto"/>
        <w:right w:val="none" w:sz="0" w:space="0" w:color="auto"/>
      </w:divBdr>
    </w:div>
    <w:div w:id="820779796">
      <w:bodyDiv w:val="1"/>
      <w:marLeft w:val="0"/>
      <w:marRight w:val="0"/>
      <w:marTop w:val="0"/>
      <w:marBottom w:val="0"/>
      <w:divBdr>
        <w:top w:val="none" w:sz="0" w:space="0" w:color="auto"/>
        <w:left w:val="none" w:sz="0" w:space="0" w:color="auto"/>
        <w:bottom w:val="none" w:sz="0" w:space="0" w:color="auto"/>
        <w:right w:val="none" w:sz="0" w:space="0" w:color="auto"/>
      </w:divBdr>
    </w:div>
    <w:div w:id="842166499">
      <w:bodyDiv w:val="1"/>
      <w:marLeft w:val="0"/>
      <w:marRight w:val="0"/>
      <w:marTop w:val="0"/>
      <w:marBottom w:val="0"/>
      <w:divBdr>
        <w:top w:val="none" w:sz="0" w:space="0" w:color="auto"/>
        <w:left w:val="none" w:sz="0" w:space="0" w:color="auto"/>
        <w:bottom w:val="none" w:sz="0" w:space="0" w:color="auto"/>
        <w:right w:val="none" w:sz="0" w:space="0" w:color="auto"/>
      </w:divBdr>
    </w:div>
    <w:div w:id="879362698">
      <w:bodyDiv w:val="1"/>
      <w:marLeft w:val="0"/>
      <w:marRight w:val="0"/>
      <w:marTop w:val="0"/>
      <w:marBottom w:val="0"/>
      <w:divBdr>
        <w:top w:val="none" w:sz="0" w:space="0" w:color="auto"/>
        <w:left w:val="none" w:sz="0" w:space="0" w:color="auto"/>
        <w:bottom w:val="none" w:sz="0" w:space="0" w:color="auto"/>
        <w:right w:val="none" w:sz="0" w:space="0" w:color="auto"/>
      </w:divBdr>
    </w:div>
    <w:div w:id="1024865531">
      <w:bodyDiv w:val="1"/>
      <w:marLeft w:val="0"/>
      <w:marRight w:val="0"/>
      <w:marTop w:val="0"/>
      <w:marBottom w:val="0"/>
      <w:divBdr>
        <w:top w:val="none" w:sz="0" w:space="0" w:color="auto"/>
        <w:left w:val="none" w:sz="0" w:space="0" w:color="auto"/>
        <w:bottom w:val="none" w:sz="0" w:space="0" w:color="auto"/>
        <w:right w:val="none" w:sz="0" w:space="0" w:color="auto"/>
      </w:divBdr>
      <w:divsChild>
        <w:div w:id="262418830">
          <w:marLeft w:val="0"/>
          <w:marRight w:val="0"/>
          <w:marTop w:val="0"/>
          <w:marBottom w:val="0"/>
          <w:divBdr>
            <w:top w:val="none" w:sz="0" w:space="0" w:color="auto"/>
            <w:left w:val="none" w:sz="0" w:space="0" w:color="auto"/>
            <w:bottom w:val="none" w:sz="0" w:space="0" w:color="auto"/>
            <w:right w:val="none" w:sz="0" w:space="0" w:color="auto"/>
          </w:divBdr>
          <w:divsChild>
            <w:div w:id="329603058">
              <w:marLeft w:val="0"/>
              <w:marRight w:val="0"/>
              <w:marTop w:val="0"/>
              <w:marBottom w:val="0"/>
              <w:divBdr>
                <w:top w:val="none" w:sz="0" w:space="0" w:color="auto"/>
                <w:left w:val="none" w:sz="0" w:space="0" w:color="auto"/>
                <w:bottom w:val="none" w:sz="0" w:space="0" w:color="auto"/>
                <w:right w:val="none" w:sz="0" w:space="0" w:color="auto"/>
              </w:divBdr>
            </w:div>
          </w:divsChild>
        </w:div>
        <w:div w:id="357780774">
          <w:marLeft w:val="0"/>
          <w:marRight w:val="0"/>
          <w:marTop w:val="0"/>
          <w:marBottom w:val="0"/>
          <w:divBdr>
            <w:top w:val="none" w:sz="0" w:space="0" w:color="auto"/>
            <w:left w:val="none" w:sz="0" w:space="0" w:color="auto"/>
            <w:bottom w:val="none" w:sz="0" w:space="0" w:color="auto"/>
            <w:right w:val="none" w:sz="0" w:space="0" w:color="auto"/>
          </w:divBdr>
        </w:div>
      </w:divsChild>
    </w:div>
    <w:div w:id="1038824357">
      <w:bodyDiv w:val="1"/>
      <w:marLeft w:val="0"/>
      <w:marRight w:val="0"/>
      <w:marTop w:val="0"/>
      <w:marBottom w:val="0"/>
      <w:divBdr>
        <w:top w:val="none" w:sz="0" w:space="0" w:color="auto"/>
        <w:left w:val="none" w:sz="0" w:space="0" w:color="auto"/>
        <w:bottom w:val="none" w:sz="0" w:space="0" w:color="auto"/>
        <w:right w:val="none" w:sz="0" w:space="0" w:color="auto"/>
      </w:divBdr>
    </w:div>
    <w:div w:id="1039816604">
      <w:bodyDiv w:val="1"/>
      <w:marLeft w:val="0"/>
      <w:marRight w:val="0"/>
      <w:marTop w:val="0"/>
      <w:marBottom w:val="0"/>
      <w:divBdr>
        <w:top w:val="none" w:sz="0" w:space="0" w:color="auto"/>
        <w:left w:val="none" w:sz="0" w:space="0" w:color="auto"/>
        <w:bottom w:val="none" w:sz="0" w:space="0" w:color="auto"/>
        <w:right w:val="none" w:sz="0" w:space="0" w:color="auto"/>
      </w:divBdr>
    </w:div>
    <w:div w:id="1040739302">
      <w:bodyDiv w:val="1"/>
      <w:marLeft w:val="0"/>
      <w:marRight w:val="0"/>
      <w:marTop w:val="0"/>
      <w:marBottom w:val="0"/>
      <w:divBdr>
        <w:top w:val="none" w:sz="0" w:space="0" w:color="auto"/>
        <w:left w:val="none" w:sz="0" w:space="0" w:color="auto"/>
        <w:bottom w:val="none" w:sz="0" w:space="0" w:color="auto"/>
        <w:right w:val="none" w:sz="0" w:space="0" w:color="auto"/>
      </w:divBdr>
    </w:div>
    <w:div w:id="1229654253">
      <w:bodyDiv w:val="1"/>
      <w:marLeft w:val="0"/>
      <w:marRight w:val="0"/>
      <w:marTop w:val="0"/>
      <w:marBottom w:val="0"/>
      <w:divBdr>
        <w:top w:val="none" w:sz="0" w:space="0" w:color="auto"/>
        <w:left w:val="none" w:sz="0" w:space="0" w:color="auto"/>
        <w:bottom w:val="none" w:sz="0" w:space="0" w:color="auto"/>
        <w:right w:val="none" w:sz="0" w:space="0" w:color="auto"/>
      </w:divBdr>
    </w:div>
    <w:div w:id="1319306886">
      <w:bodyDiv w:val="1"/>
      <w:marLeft w:val="0"/>
      <w:marRight w:val="0"/>
      <w:marTop w:val="0"/>
      <w:marBottom w:val="0"/>
      <w:divBdr>
        <w:top w:val="none" w:sz="0" w:space="0" w:color="auto"/>
        <w:left w:val="none" w:sz="0" w:space="0" w:color="auto"/>
        <w:bottom w:val="none" w:sz="0" w:space="0" w:color="auto"/>
        <w:right w:val="none" w:sz="0" w:space="0" w:color="auto"/>
      </w:divBdr>
    </w:div>
    <w:div w:id="1353609909">
      <w:bodyDiv w:val="1"/>
      <w:marLeft w:val="0"/>
      <w:marRight w:val="0"/>
      <w:marTop w:val="0"/>
      <w:marBottom w:val="0"/>
      <w:divBdr>
        <w:top w:val="none" w:sz="0" w:space="0" w:color="auto"/>
        <w:left w:val="none" w:sz="0" w:space="0" w:color="auto"/>
        <w:bottom w:val="none" w:sz="0" w:space="0" w:color="auto"/>
        <w:right w:val="none" w:sz="0" w:space="0" w:color="auto"/>
      </w:divBdr>
    </w:div>
    <w:div w:id="1567910190">
      <w:bodyDiv w:val="1"/>
      <w:marLeft w:val="0"/>
      <w:marRight w:val="0"/>
      <w:marTop w:val="0"/>
      <w:marBottom w:val="0"/>
      <w:divBdr>
        <w:top w:val="none" w:sz="0" w:space="0" w:color="auto"/>
        <w:left w:val="none" w:sz="0" w:space="0" w:color="auto"/>
        <w:bottom w:val="none" w:sz="0" w:space="0" w:color="auto"/>
        <w:right w:val="none" w:sz="0" w:space="0" w:color="auto"/>
      </w:divBdr>
    </w:div>
    <w:div w:id="1725254227">
      <w:bodyDiv w:val="1"/>
      <w:marLeft w:val="0"/>
      <w:marRight w:val="0"/>
      <w:marTop w:val="0"/>
      <w:marBottom w:val="0"/>
      <w:divBdr>
        <w:top w:val="none" w:sz="0" w:space="0" w:color="auto"/>
        <w:left w:val="none" w:sz="0" w:space="0" w:color="auto"/>
        <w:bottom w:val="none" w:sz="0" w:space="0" w:color="auto"/>
        <w:right w:val="none" w:sz="0" w:space="0" w:color="auto"/>
      </w:divBdr>
    </w:div>
    <w:div w:id="1818454440">
      <w:bodyDiv w:val="1"/>
      <w:marLeft w:val="0"/>
      <w:marRight w:val="0"/>
      <w:marTop w:val="0"/>
      <w:marBottom w:val="0"/>
      <w:divBdr>
        <w:top w:val="none" w:sz="0" w:space="0" w:color="auto"/>
        <w:left w:val="none" w:sz="0" w:space="0" w:color="auto"/>
        <w:bottom w:val="none" w:sz="0" w:space="0" w:color="auto"/>
        <w:right w:val="none" w:sz="0" w:space="0" w:color="auto"/>
      </w:divBdr>
    </w:div>
    <w:div w:id="1916546548">
      <w:bodyDiv w:val="1"/>
      <w:marLeft w:val="0"/>
      <w:marRight w:val="0"/>
      <w:marTop w:val="0"/>
      <w:marBottom w:val="0"/>
      <w:divBdr>
        <w:top w:val="none" w:sz="0" w:space="0" w:color="auto"/>
        <w:left w:val="none" w:sz="0" w:space="0" w:color="auto"/>
        <w:bottom w:val="none" w:sz="0" w:space="0" w:color="auto"/>
        <w:right w:val="none" w:sz="0" w:space="0" w:color="auto"/>
      </w:divBdr>
    </w:div>
    <w:div w:id="213007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nec.eu/attachments/ANEC-R&amp;T-2014-SC-006.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spd.eu/en/content/act-now-edf-position-european-standard-accessibility-requirements-suitable-public" TargetMode="External"/><Relationship Id="rId17" Type="http://schemas.openxmlformats.org/officeDocument/2006/relationships/hyperlink" Target="mailto:info@edf-feph.org" TargetMode="External"/><Relationship Id="rId2" Type="http://schemas.openxmlformats.org/officeDocument/2006/relationships/numbering" Target="numbering.xml"/><Relationship Id="rId16" Type="http://schemas.openxmlformats.org/officeDocument/2006/relationships/hyperlink" Target="http://www.edf-feph.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WebSite/document/aboutETSI/EC_Mandates/m376en.pdf" TargetMode="External"/><Relationship Id="rId5" Type="http://schemas.openxmlformats.org/officeDocument/2006/relationships/webSettings" Target="webSettings.xml"/><Relationship Id="rId15" Type="http://schemas.openxmlformats.org/officeDocument/2006/relationships/hyperlink" Target="mailto:alejandro.moledo@edf-feph.org" TargetMode="External"/><Relationship Id="rId10" Type="http://schemas.openxmlformats.org/officeDocument/2006/relationships/hyperlink" Target="https://eur-lex.europa.eu/legal-content/EN/TXT/?uri=CELEX%3A52022PC003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her.hakobyan@edf-feph.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law/better-regulation/have-your-say/initiatives/13376-Amendment-to-the-Regulation-EU-No-1025-2012-European-standardisation/details/F2951719_en" TargetMode="External"/><Relationship Id="rId2" Type="http://schemas.openxmlformats.org/officeDocument/2006/relationships/hyperlink" Target="https://eur-lex.europa.eu/legal-content/EN/TXT/?uri=CELEX%3A52022PC0032" TargetMode="External"/><Relationship Id="rId1" Type="http://schemas.openxmlformats.org/officeDocument/2006/relationships/hyperlink" Target="https://eur-lex.europa.eu/legal-content/EN/TXT/?uri=CELEX%3A52022PC0032" TargetMode="External"/><Relationship Id="rId6" Type="http://schemas.openxmlformats.org/officeDocument/2006/relationships/hyperlink" Target="https://www.access-board.gov/ict/" TargetMode="External"/><Relationship Id="rId5" Type="http://schemas.openxmlformats.org/officeDocument/2006/relationships/hyperlink" Target="https://www.ohchr.org/en/documents/thematic-reports/ahrc4952-artificial-intelligence-and-rights-persons-disabilities-report" TargetMode="External"/><Relationship Id="rId4" Type="http://schemas.openxmlformats.org/officeDocument/2006/relationships/hyperlink" Target="https://eur-lex.europa.eu/legal-content/EN/TXT/?uri=celex%3A32017L15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E69DD-CE1D-4F12-AE73-53CF3778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10</Pages>
  <Words>2279</Words>
  <Characters>12992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mher hakobyan</cp:lastModifiedBy>
  <cp:revision>131</cp:revision>
  <cp:lastPrinted>2022-04-06T10:52:00Z</cp:lastPrinted>
  <dcterms:created xsi:type="dcterms:W3CDTF">2021-02-22T09:45:00Z</dcterms:created>
  <dcterms:modified xsi:type="dcterms:W3CDTF">2022-04-06T10:52:00Z</dcterms:modified>
</cp:coreProperties>
</file>