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13FF1781" w:rsidR="008054A7" w:rsidRDefault="00574D66" w:rsidP="00541EBA">
      <w:pPr>
        <w:spacing w:before="240"/>
        <w:jc w:val="center"/>
      </w:pPr>
      <w:r w:rsidRPr="00606390">
        <w:rPr>
          <w:noProof/>
        </w:rPr>
        <mc:AlternateContent>
          <mc:Choice Requires="wps">
            <w:drawing>
              <wp:anchor distT="0" distB="0" distL="114300" distR="114300" simplePos="0" relativeHeight="251659264" behindDoc="1" locked="0" layoutInCell="1" allowOverlap="1" wp14:anchorId="0C463329" wp14:editId="4BA25D4F">
                <wp:simplePos x="0" y="0"/>
                <wp:positionH relativeFrom="page">
                  <wp:align>left</wp:align>
                </wp:positionH>
                <wp:positionV relativeFrom="paragraph">
                  <wp:posOffset>-916305</wp:posOffset>
                </wp:positionV>
                <wp:extent cx="7581900" cy="11057255"/>
                <wp:effectExtent l="0" t="0" r="19050"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81900"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6525B" id="Rectangle 1" o:spid="_x0000_s1026" alt="&quot;&quot;" style="position:absolute;margin-left:0;margin-top:-72.15pt;width:597pt;height:870.6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" fillcolor="#2e73ac" strokecolor="#1f3763 [1604]" strokeweight="1pt">
                <w10:wrap anchorx="page"/>
              </v:rect>
            </w:pict>
          </mc:Fallback>
        </mc:AlternateContent>
      </w:r>
      <w:r w:rsidR="008054A7">
        <w:rPr>
          <w:noProof/>
        </w:rPr>
        <mc:AlternateContent>
          <mc:Choice Requires="wps">
            <w:drawing>
              <wp:anchor distT="0" distB="0" distL="114300" distR="114300" simplePos="0" relativeHeight="251659775" behindDoc="1" locked="0" layoutInCell="1" allowOverlap="1" wp14:anchorId="445129B1" wp14:editId="59BC0D1F">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04A93E" id="Rectangle 6" o:spid="_x0000_s1026" alt="&quot;&quot;"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" filled="f" strokecolor="white [3212]" strokeweight="6pt">
                <w10:wrap anchorx="margin"/>
              </v:rect>
            </w:pict>
          </mc:Fallback>
        </mc:AlternateContent>
      </w:r>
      <w:r w:rsidR="008054A7">
        <w:rPr>
          <w:noProof/>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12EC44D2" w14:textId="609402E8" w:rsidR="00BA19BB" w:rsidRPr="00BA19BB" w:rsidRDefault="00BA19BB" w:rsidP="00355289">
      <w:pPr>
        <w:pStyle w:val="Subtitle"/>
        <w:spacing w:before="480"/>
        <w:rPr>
          <w:rFonts w:eastAsiaTheme="majorEastAsia" w:cstheme="majorBidi"/>
          <w:spacing w:val="-10"/>
          <w:kern w:val="28"/>
          <w:sz w:val="72"/>
          <w:szCs w:val="52"/>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pPr>
      <w:r w:rsidRPr="00BA19BB">
        <w:rPr>
          <w:rFonts w:eastAsiaTheme="majorEastAsia" w:cstheme="majorBidi"/>
          <w:spacing w:val="-10"/>
          <w:kern w:val="28"/>
          <w:sz w:val="72"/>
          <w:szCs w:val="52"/>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Proposed amendments to the</w:t>
      </w:r>
      <w:r w:rsidR="00730531">
        <w:rPr>
          <w:rFonts w:eastAsiaTheme="majorEastAsia" w:cstheme="majorBidi"/>
          <w:spacing w:val="-10"/>
          <w:kern w:val="28"/>
          <w:sz w:val="72"/>
          <w:szCs w:val="52"/>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 xml:space="preserve"> EU</w:t>
      </w:r>
      <w:r w:rsidRPr="00BA19BB">
        <w:rPr>
          <w:rFonts w:eastAsiaTheme="majorEastAsia" w:cstheme="majorBidi"/>
          <w:spacing w:val="-10"/>
          <w:kern w:val="28"/>
          <w:sz w:val="72"/>
          <w:szCs w:val="52"/>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 xml:space="preserve"> Regulation on the </w:t>
      </w:r>
      <w:proofErr w:type="spellStart"/>
      <w:r w:rsidRPr="00BA19BB">
        <w:rPr>
          <w:rFonts w:eastAsiaTheme="majorEastAsia" w:cstheme="majorBidi"/>
          <w:spacing w:val="-10"/>
          <w:kern w:val="28"/>
          <w:sz w:val="72"/>
          <w:szCs w:val="52"/>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digitalisation</w:t>
      </w:r>
      <w:proofErr w:type="spellEnd"/>
      <w:r w:rsidRPr="00BA19BB">
        <w:rPr>
          <w:rFonts w:eastAsiaTheme="majorEastAsia" w:cstheme="majorBidi"/>
          <w:spacing w:val="-10"/>
          <w:kern w:val="28"/>
          <w:sz w:val="72"/>
          <w:szCs w:val="52"/>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 xml:space="preserve"> of j</w:t>
      </w:r>
      <w:r w:rsidRPr="00BA19BB">
        <w:rPr>
          <w:rFonts w:eastAsiaTheme="majorEastAsia" w:cstheme="majorBidi"/>
          <w:spacing w:val="-10"/>
          <w:kern w:val="28"/>
          <w:sz w:val="72"/>
          <w:szCs w:val="52"/>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ustice</w:t>
      </w:r>
    </w:p>
    <w:p w14:paraId="41FD4854" w14:textId="77777777" w:rsidR="00BA19BB" w:rsidRDefault="00E47FF5" w:rsidP="00BA19BB">
      <w:pPr>
        <w:pStyle w:val="Subtitle"/>
        <w:spacing w:before="480"/>
      </w:pPr>
      <w:r w:rsidRPr="00606390">
        <w:t xml:space="preserve">European Disability </w:t>
      </w:r>
      <w:r w:rsidR="00606390">
        <w:t xml:space="preserve">Forum </w:t>
      </w:r>
    </w:p>
    <w:p w14:paraId="1C5853C0" w14:textId="13DD4C78" w:rsidR="00D11DAB" w:rsidRPr="00D11DAB" w:rsidRDefault="00D11DAB" w:rsidP="00BA19BB">
      <w:pPr>
        <w:pStyle w:val="Subtitle"/>
        <w:spacing w:before="480"/>
      </w:pPr>
      <w:r>
        <w:rPr>
          <w:noProof/>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46DBEDE5">
                <wp:simplePos x="0" y="0"/>
                <wp:positionH relativeFrom="page">
                  <wp:align>left</wp:align>
                </wp:positionH>
                <wp:positionV relativeFrom="paragraph">
                  <wp:posOffset>683260</wp:posOffset>
                </wp:positionV>
                <wp:extent cx="7549116" cy="883920"/>
                <wp:effectExtent l="0" t="0" r="13970" b="1143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883920"/>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977F9" id="Rectangle 3" o:spid="_x0000_s1026" alt="&quot;&quot;" style="position:absolute;margin-left:0;margin-top:53.8pt;width:594.4pt;height:69.6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" fillcolor="#a20000" strokecolor="#1f3763 [1604]" strokeweight="1pt">
                <w10:wrap anchorx="page"/>
              </v:rect>
            </w:pict>
          </mc:Fallback>
        </mc:AlternateContent>
      </w:r>
      <w:r w:rsidR="00BA19BB">
        <w:t>July 2022</w:t>
      </w:r>
    </w:p>
    <w:p w14:paraId="75770BC9" w14:textId="6A06997D" w:rsidR="00E62CBF" w:rsidRDefault="00734CD5" w:rsidP="00D11DAB">
      <w:pPr>
        <w:spacing w:before="360" w:after="840"/>
        <w:rPr>
          <w:b/>
          <w:bCs/>
          <w:color w:val="FFFFFF" w:themeColor="background1"/>
          <w:sz w:val="28"/>
          <w:szCs w:val="28"/>
        </w:rPr>
      </w:pPr>
      <w:r>
        <w:rPr>
          <w:noProof/>
        </w:rPr>
        <mc:AlternateContent>
          <mc:Choice Requires="wps">
            <w:drawing>
              <wp:anchor distT="45720" distB="45720" distL="114300" distR="114300" simplePos="0" relativeHeight="251663360" behindDoc="0" locked="0" layoutInCell="1" allowOverlap="1" wp14:anchorId="4EB21E1F" wp14:editId="2CDFDDEB">
                <wp:simplePos x="0" y="0"/>
                <wp:positionH relativeFrom="margin">
                  <wp:align>center</wp:align>
                </wp:positionH>
                <wp:positionV relativeFrom="paragraph">
                  <wp:posOffset>1080770</wp:posOffset>
                </wp:positionV>
                <wp:extent cx="52863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404620"/>
                        </a:xfrm>
                        <a:prstGeom prst="rect">
                          <a:avLst/>
                        </a:prstGeom>
                        <a:noFill/>
                        <a:ln w="9525">
                          <a:noFill/>
                          <a:miter lim="800000"/>
                          <a:headEnd/>
                          <a:tailEnd/>
                        </a:ln>
                      </wps:spPr>
                      <wps:txbx>
                        <w:txbxContent>
                          <w:p w14:paraId="284CCEDC" w14:textId="464B059D" w:rsidR="00734CD5" w:rsidRDefault="00734CD5">
                            <w:r w:rsidRPr="00734CD5">
                              <w:rPr>
                                <w:color w:val="FFFFFF" w:themeColor="background1"/>
                                <w:lang w:val="en-GB" w:eastAsia="zh-CN" w:bidi="hi-IN"/>
                              </w:rPr>
                              <w:t>Funded by the European Union. Views and opinions expressed are however those of the author(s) only and do not necessarily reflect those of the European Union or the European Commission. Neither the European Union nor the granting authority can be held responsible for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B21E1F" id="_x0000_t202" coordsize="21600,21600" o:spt="202" path="m,l,21600r21600,l21600,xe">
                <v:stroke joinstyle="miter"/>
                <v:path gradientshapeok="t" o:connecttype="rect"/>
              </v:shapetype>
              <v:shape id="Text Box 2" o:spid="_x0000_s1026" type="#_x0000_t202" style="position:absolute;margin-left:0;margin-top:85.1pt;width:416.2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" filled="f" stroked="f">
                <v:textbox style="mso-fit-shape-to-text:t">
                  <w:txbxContent>
                    <w:p w14:paraId="284CCEDC" w14:textId="464B059D" w:rsidR="00734CD5" w:rsidRDefault="00734CD5">
                      <w:r w:rsidRPr="00734CD5">
                        <w:rPr>
                          <w:color w:val="FFFFFF" w:themeColor="background1"/>
                          <w:lang w:val="en-GB" w:eastAsia="zh-CN" w:bidi="hi-IN"/>
                        </w:rPr>
                        <w:t>Funded by the European Union. Views and opinions expressed are however those of the author(s) only and do not necessarily reflect those of the European Union or the European Commission. Neither the European Union nor the granting authority can be held responsible for them</w:t>
                      </w:r>
                    </w:p>
                  </w:txbxContent>
                </v:textbox>
                <w10:wrap type="square" anchorx="margin"/>
              </v:shape>
            </w:pict>
          </mc:Fallback>
        </mc:AlternateContent>
      </w:r>
      <w:r>
        <w:rPr>
          <w:noProof/>
        </w:rPr>
        <w:drawing>
          <wp:anchor distT="0" distB="0" distL="114300" distR="114300" simplePos="0" relativeHeight="251661312" behindDoc="0" locked="0" layoutInCell="1" allowOverlap="1" wp14:anchorId="34DBB516" wp14:editId="56278636">
            <wp:simplePos x="0" y="0"/>
            <wp:positionH relativeFrom="column">
              <wp:posOffset>2152650</wp:posOffset>
            </wp:positionH>
            <wp:positionV relativeFrom="paragraph">
              <wp:posOffset>2454910</wp:posOffset>
            </wp:positionV>
            <wp:extent cx="1162050" cy="1178023"/>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780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531">
        <w:rPr>
          <w:b/>
          <w:bCs/>
          <w:color w:val="FFFFFF" w:themeColor="background1"/>
          <w:sz w:val="28"/>
          <w:szCs w:val="28"/>
        </w:rPr>
        <w:t xml:space="preserve">EDF’s </w:t>
      </w:r>
      <w:r w:rsidR="00BA19BB" w:rsidRPr="00BA19BB">
        <w:rPr>
          <w:b/>
          <w:bCs/>
          <w:color w:val="FFFFFF" w:themeColor="background1"/>
          <w:sz w:val="28"/>
          <w:szCs w:val="28"/>
        </w:rPr>
        <w:t xml:space="preserve">Proposed amendments </w:t>
      </w:r>
      <w:bookmarkStart w:id="0" w:name="_Hlk109049370"/>
      <w:r w:rsidR="00BA19BB" w:rsidRPr="00BA19BB">
        <w:rPr>
          <w:b/>
          <w:bCs/>
          <w:color w:val="FFFFFF" w:themeColor="background1"/>
          <w:sz w:val="28"/>
          <w:szCs w:val="28"/>
        </w:rPr>
        <w:t xml:space="preserve">to the Regulation on the </w:t>
      </w:r>
      <w:proofErr w:type="spellStart"/>
      <w:r w:rsidR="00BA19BB" w:rsidRPr="00BA19BB">
        <w:rPr>
          <w:b/>
          <w:bCs/>
          <w:color w:val="FFFFFF" w:themeColor="background1"/>
          <w:sz w:val="28"/>
          <w:szCs w:val="28"/>
        </w:rPr>
        <w:t>digitalisation</w:t>
      </w:r>
      <w:proofErr w:type="spellEnd"/>
      <w:r w:rsidR="00BA19BB" w:rsidRPr="00BA19BB">
        <w:rPr>
          <w:b/>
          <w:bCs/>
          <w:color w:val="FFFFFF" w:themeColor="background1"/>
          <w:sz w:val="28"/>
          <w:szCs w:val="28"/>
        </w:rPr>
        <w:t xml:space="preserve"> of judicial cooperation and access to justice</w:t>
      </w:r>
    </w:p>
    <w:p w14:paraId="79A4A1C9" w14:textId="08FC674B" w:rsidR="00A9576D" w:rsidRDefault="00A9576D" w:rsidP="008054A7">
      <w:pPr>
        <w:pStyle w:val="Heading1"/>
        <w:pageBreakBefore/>
      </w:pPr>
      <w:bookmarkStart w:id="1" w:name="_Toc109049391"/>
      <w:bookmarkEnd w:id="0"/>
      <w:r>
        <w:lastRenderedPageBreak/>
        <w:t>Table of Contents</w:t>
      </w:r>
      <w:bookmarkEnd w:id="1"/>
    </w:p>
    <w:p w14:paraId="29C92AA4" w14:textId="57931460" w:rsidR="004D611D" w:rsidRDefault="00A9576D">
      <w:pPr>
        <w:pStyle w:val="TOC1"/>
        <w:tabs>
          <w:tab w:val="right" w:leader="dot" w:pos="9016"/>
        </w:tabs>
        <w:rPr>
          <w:rFonts w:asciiTheme="minorHAnsi" w:eastAsiaTheme="minorEastAsia" w:hAnsiTheme="minorHAnsi"/>
          <w:noProof/>
          <w:sz w:val="22"/>
          <w:lang w:val="fr-BE" w:eastAsia="fr-BE"/>
        </w:rPr>
      </w:pPr>
      <w:r>
        <w:fldChar w:fldCharType="begin"/>
      </w:r>
      <w:r>
        <w:instrText xml:space="preserve"> TOC \o "1-2" \h \z \u </w:instrText>
      </w:r>
      <w:r>
        <w:fldChar w:fldCharType="separate"/>
      </w:r>
      <w:hyperlink w:anchor="_Toc109049391" w:history="1">
        <w:r w:rsidR="004D611D" w:rsidRPr="009F0D41">
          <w:rPr>
            <w:rStyle w:val="Hyperlink"/>
            <w:noProof/>
          </w:rPr>
          <w:t>Table of Contents</w:t>
        </w:r>
        <w:r w:rsidR="004D611D">
          <w:rPr>
            <w:noProof/>
            <w:webHidden/>
          </w:rPr>
          <w:tab/>
        </w:r>
        <w:r w:rsidR="004D611D">
          <w:rPr>
            <w:noProof/>
            <w:webHidden/>
          </w:rPr>
          <w:fldChar w:fldCharType="begin"/>
        </w:r>
        <w:r w:rsidR="004D611D">
          <w:rPr>
            <w:noProof/>
            <w:webHidden/>
          </w:rPr>
          <w:instrText xml:space="preserve"> PAGEREF _Toc109049391 \h </w:instrText>
        </w:r>
        <w:r w:rsidR="004D611D">
          <w:rPr>
            <w:noProof/>
            <w:webHidden/>
          </w:rPr>
        </w:r>
        <w:r w:rsidR="004D611D">
          <w:rPr>
            <w:noProof/>
            <w:webHidden/>
          </w:rPr>
          <w:fldChar w:fldCharType="separate"/>
        </w:r>
        <w:r w:rsidR="004D611D">
          <w:rPr>
            <w:noProof/>
            <w:webHidden/>
          </w:rPr>
          <w:t>2</w:t>
        </w:r>
        <w:r w:rsidR="004D611D">
          <w:rPr>
            <w:noProof/>
            <w:webHidden/>
          </w:rPr>
          <w:fldChar w:fldCharType="end"/>
        </w:r>
      </w:hyperlink>
    </w:p>
    <w:p w14:paraId="2575AD65" w14:textId="5EF5670F" w:rsidR="004D611D" w:rsidRDefault="004D611D">
      <w:pPr>
        <w:pStyle w:val="TOC1"/>
        <w:tabs>
          <w:tab w:val="right" w:leader="dot" w:pos="9016"/>
        </w:tabs>
        <w:rPr>
          <w:rFonts w:asciiTheme="minorHAnsi" w:eastAsiaTheme="minorEastAsia" w:hAnsiTheme="minorHAnsi"/>
          <w:noProof/>
          <w:sz w:val="22"/>
          <w:lang w:val="fr-BE" w:eastAsia="fr-BE"/>
        </w:rPr>
      </w:pPr>
      <w:hyperlink w:anchor="_Toc109049392" w:history="1">
        <w:r w:rsidRPr="009F0D41">
          <w:rPr>
            <w:rStyle w:val="Hyperlink"/>
            <w:noProof/>
          </w:rPr>
          <w:t>Introduction</w:t>
        </w:r>
        <w:r>
          <w:rPr>
            <w:noProof/>
            <w:webHidden/>
          </w:rPr>
          <w:tab/>
        </w:r>
        <w:r>
          <w:rPr>
            <w:noProof/>
            <w:webHidden/>
          </w:rPr>
          <w:fldChar w:fldCharType="begin"/>
        </w:r>
        <w:r>
          <w:rPr>
            <w:noProof/>
            <w:webHidden/>
          </w:rPr>
          <w:instrText xml:space="preserve"> PAGEREF _Toc109049392 \h </w:instrText>
        </w:r>
        <w:r>
          <w:rPr>
            <w:noProof/>
            <w:webHidden/>
          </w:rPr>
        </w:r>
        <w:r>
          <w:rPr>
            <w:noProof/>
            <w:webHidden/>
          </w:rPr>
          <w:fldChar w:fldCharType="separate"/>
        </w:r>
        <w:r>
          <w:rPr>
            <w:noProof/>
            <w:webHidden/>
          </w:rPr>
          <w:t>2</w:t>
        </w:r>
        <w:r>
          <w:rPr>
            <w:noProof/>
            <w:webHidden/>
          </w:rPr>
          <w:fldChar w:fldCharType="end"/>
        </w:r>
      </w:hyperlink>
    </w:p>
    <w:p w14:paraId="2E89D109" w14:textId="6E317ECD" w:rsidR="004D611D" w:rsidRDefault="004D611D">
      <w:pPr>
        <w:pStyle w:val="TOC1"/>
        <w:tabs>
          <w:tab w:val="right" w:leader="dot" w:pos="9016"/>
        </w:tabs>
        <w:rPr>
          <w:rFonts w:asciiTheme="minorHAnsi" w:eastAsiaTheme="minorEastAsia" w:hAnsiTheme="minorHAnsi"/>
          <w:noProof/>
          <w:sz w:val="22"/>
          <w:lang w:val="fr-BE" w:eastAsia="fr-BE"/>
        </w:rPr>
      </w:pPr>
      <w:hyperlink w:anchor="_Toc109049393" w:history="1">
        <w:r w:rsidRPr="009F0D41">
          <w:rPr>
            <w:rStyle w:val="Hyperlink"/>
            <w:noProof/>
          </w:rPr>
          <w:t>Executive Summary</w:t>
        </w:r>
        <w:r>
          <w:rPr>
            <w:noProof/>
            <w:webHidden/>
          </w:rPr>
          <w:tab/>
        </w:r>
        <w:r>
          <w:rPr>
            <w:noProof/>
            <w:webHidden/>
          </w:rPr>
          <w:fldChar w:fldCharType="begin"/>
        </w:r>
        <w:r>
          <w:rPr>
            <w:noProof/>
            <w:webHidden/>
          </w:rPr>
          <w:instrText xml:space="preserve"> PAGEREF _Toc109049393 \h </w:instrText>
        </w:r>
        <w:r>
          <w:rPr>
            <w:noProof/>
            <w:webHidden/>
          </w:rPr>
        </w:r>
        <w:r>
          <w:rPr>
            <w:noProof/>
            <w:webHidden/>
          </w:rPr>
          <w:fldChar w:fldCharType="separate"/>
        </w:r>
        <w:r>
          <w:rPr>
            <w:noProof/>
            <w:webHidden/>
          </w:rPr>
          <w:t>2</w:t>
        </w:r>
        <w:r>
          <w:rPr>
            <w:noProof/>
            <w:webHidden/>
          </w:rPr>
          <w:fldChar w:fldCharType="end"/>
        </w:r>
      </w:hyperlink>
    </w:p>
    <w:p w14:paraId="78251BD6" w14:textId="43784374" w:rsidR="004D611D" w:rsidRDefault="004D611D">
      <w:pPr>
        <w:pStyle w:val="TOC1"/>
        <w:tabs>
          <w:tab w:val="right" w:leader="dot" w:pos="9016"/>
        </w:tabs>
        <w:rPr>
          <w:rFonts w:asciiTheme="minorHAnsi" w:eastAsiaTheme="minorEastAsia" w:hAnsiTheme="minorHAnsi"/>
          <w:noProof/>
          <w:sz w:val="22"/>
          <w:lang w:val="fr-BE" w:eastAsia="fr-BE"/>
        </w:rPr>
      </w:pPr>
      <w:hyperlink w:anchor="_Toc109049394" w:history="1">
        <w:r w:rsidRPr="009F0D41">
          <w:rPr>
            <w:rStyle w:val="Hyperlink"/>
            <w:noProof/>
          </w:rPr>
          <w:t>Proposed amendments to articles of the Regulation</w:t>
        </w:r>
        <w:r>
          <w:rPr>
            <w:noProof/>
            <w:webHidden/>
          </w:rPr>
          <w:tab/>
        </w:r>
        <w:r>
          <w:rPr>
            <w:noProof/>
            <w:webHidden/>
          </w:rPr>
          <w:fldChar w:fldCharType="begin"/>
        </w:r>
        <w:r>
          <w:rPr>
            <w:noProof/>
            <w:webHidden/>
          </w:rPr>
          <w:instrText xml:space="preserve"> PAGEREF _Toc109049394 \h </w:instrText>
        </w:r>
        <w:r>
          <w:rPr>
            <w:noProof/>
            <w:webHidden/>
          </w:rPr>
        </w:r>
        <w:r>
          <w:rPr>
            <w:noProof/>
            <w:webHidden/>
          </w:rPr>
          <w:fldChar w:fldCharType="separate"/>
        </w:r>
        <w:r>
          <w:rPr>
            <w:noProof/>
            <w:webHidden/>
          </w:rPr>
          <w:t>4</w:t>
        </w:r>
        <w:r>
          <w:rPr>
            <w:noProof/>
            <w:webHidden/>
          </w:rPr>
          <w:fldChar w:fldCharType="end"/>
        </w:r>
      </w:hyperlink>
    </w:p>
    <w:p w14:paraId="42A9CB37" w14:textId="0D9177B0" w:rsidR="004D611D" w:rsidRDefault="004D611D">
      <w:pPr>
        <w:pStyle w:val="TOC2"/>
        <w:tabs>
          <w:tab w:val="right" w:leader="dot" w:pos="9016"/>
        </w:tabs>
        <w:rPr>
          <w:rFonts w:asciiTheme="minorHAnsi" w:eastAsiaTheme="minorEastAsia" w:hAnsiTheme="minorHAnsi"/>
          <w:noProof/>
          <w:sz w:val="22"/>
          <w:lang w:val="fr-BE" w:eastAsia="fr-BE"/>
        </w:rPr>
      </w:pPr>
      <w:hyperlink w:anchor="_Toc109049395" w:history="1">
        <w:r w:rsidRPr="009F0D41">
          <w:rPr>
            <w:rStyle w:val="Hyperlink"/>
            <w:rFonts w:eastAsia="Times New Roman"/>
            <w:noProof/>
            <w:lang w:val="en-GB" w:eastAsia="sv-SE"/>
          </w:rPr>
          <w:t>Article 4: Establishment of a European electronic access points</w:t>
        </w:r>
        <w:r>
          <w:rPr>
            <w:noProof/>
            <w:webHidden/>
          </w:rPr>
          <w:tab/>
        </w:r>
        <w:r>
          <w:rPr>
            <w:noProof/>
            <w:webHidden/>
          </w:rPr>
          <w:fldChar w:fldCharType="begin"/>
        </w:r>
        <w:r>
          <w:rPr>
            <w:noProof/>
            <w:webHidden/>
          </w:rPr>
          <w:instrText xml:space="preserve"> PAGEREF _Toc109049395 \h </w:instrText>
        </w:r>
        <w:r>
          <w:rPr>
            <w:noProof/>
            <w:webHidden/>
          </w:rPr>
        </w:r>
        <w:r>
          <w:rPr>
            <w:noProof/>
            <w:webHidden/>
          </w:rPr>
          <w:fldChar w:fldCharType="separate"/>
        </w:r>
        <w:r>
          <w:rPr>
            <w:noProof/>
            <w:webHidden/>
          </w:rPr>
          <w:t>4</w:t>
        </w:r>
        <w:r>
          <w:rPr>
            <w:noProof/>
            <w:webHidden/>
          </w:rPr>
          <w:fldChar w:fldCharType="end"/>
        </w:r>
      </w:hyperlink>
    </w:p>
    <w:p w14:paraId="06E5DB2B" w14:textId="5F7A0137" w:rsidR="004D611D" w:rsidRDefault="004D611D">
      <w:pPr>
        <w:pStyle w:val="TOC2"/>
        <w:tabs>
          <w:tab w:val="right" w:leader="dot" w:pos="9016"/>
        </w:tabs>
        <w:rPr>
          <w:rFonts w:asciiTheme="minorHAnsi" w:eastAsiaTheme="minorEastAsia" w:hAnsiTheme="minorHAnsi"/>
          <w:noProof/>
          <w:sz w:val="22"/>
          <w:lang w:val="fr-BE" w:eastAsia="fr-BE"/>
        </w:rPr>
      </w:pPr>
      <w:hyperlink w:anchor="_Toc109049396" w:history="1">
        <w:r w:rsidRPr="009F0D41">
          <w:rPr>
            <w:rStyle w:val="Hyperlink"/>
            <w:rFonts w:eastAsia="Times New Roman"/>
            <w:noProof/>
            <w:lang w:val="en-GB" w:eastAsia="sv-SE"/>
          </w:rPr>
          <w:t>Article 5: Means of communication between natural or legal persons and competent authorities</w:t>
        </w:r>
        <w:r>
          <w:rPr>
            <w:noProof/>
            <w:webHidden/>
          </w:rPr>
          <w:tab/>
        </w:r>
        <w:r>
          <w:rPr>
            <w:noProof/>
            <w:webHidden/>
          </w:rPr>
          <w:fldChar w:fldCharType="begin"/>
        </w:r>
        <w:r>
          <w:rPr>
            <w:noProof/>
            <w:webHidden/>
          </w:rPr>
          <w:instrText xml:space="preserve"> PAGEREF _Toc109049396 \h </w:instrText>
        </w:r>
        <w:r>
          <w:rPr>
            <w:noProof/>
            <w:webHidden/>
          </w:rPr>
        </w:r>
        <w:r>
          <w:rPr>
            <w:noProof/>
            <w:webHidden/>
          </w:rPr>
          <w:fldChar w:fldCharType="separate"/>
        </w:r>
        <w:r>
          <w:rPr>
            <w:noProof/>
            <w:webHidden/>
          </w:rPr>
          <w:t>5</w:t>
        </w:r>
        <w:r>
          <w:rPr>
            <w:noProof/>
            <w:webHidden/>
          </w:rPr>
          <w:fldChar w:fldCharType="end"/>
        </w:r>
      </w:hyperlink>
    </w:p>
    <w:p w14:paraId="3B15C076" w14:textId="1CC6345F" w:rsidR="004D611D" w:rsidRDefault="004D611D">
      <w:pPr>
        <w:pStyle w:val="TOC2"/>
        <w:tabs>
          <w:tab w:val="right" w:leader="dot" w:pos="9016"/>
        </w:tabs>
        <w:rPr>
          <w:rFonts w:asciiTheme="minorHAnsi" w:eastAsiaTheme="minorEastAsia" w:hAnsiTheme="minorHAnsi"/>
          <w:noProof/>
          <w:sz w:val="22"/>
          <w:lang w:val="fr-BE" w:eastAsia="fr-BE"/>
        </w:rPr>
      </w:pPr>
      <w:hyperlink w:anchor="_Toc109049397" w:history="1">
        <w:r w:rsidRPr="009F0D41">
          <w:rPr>
            <w:rStyle w:val="Hyperlink"/>
            <w:rFonts w:eastAsia="Times New Roman"/>
            <w:noProof/>
            <w:lang w:val="en-GB" w:eastAsia="sv-SE"/>
          </w:rPr>
          <w:t>Article 7: Hearing through videoconferencing or other distance communication technology in civil and commercial matters</w:t>
        </w:r>
        <w:r>
          <w:rPr>
            <w:noProof/>
            <w:webHidden/>
          </w:rPr>
          <w:tab/>
        </w:r>
        <w:r>
          <w:rPr>
            <w:noProof/>
            <w:webHidden/>
          </w:rPr>
          <w:fldChar w:fldCharType="begin"/>
        </w:r>
        <w:r>
          <w:rPr>
            <w:noProof/>
            <w:webHidden/>
          </w:rPr>
          <w:instrText xml:space="preserve"> PAGEREF _Toc109049397 \h </w:instrText>
        </w:r>
        <w:r>
          <w:rPr>
            <w:noProof/>
            <w:webHidden/>
          </w:rPr>
        </w:r>
        <w:r>
          <w:rPr>
            <w:noProof/>
            <w:webHidden/>
          </w:rPr>
          <w:fldChar w:fldCharType="separate"/>
        </w:r>
        <w:r>
          <w:rPr>
            <w:noProof/>
            <w:webHidden/>
          </w:rPr>
          <w:t>6</w:t>
        </w:r>
        <w:r>
          <w:rPr>
            <w:noProof/>
            <w:webHidden/>
          </w:rPr>
          <w:fldChar w:fldCharType="end"/>
        </w:r>
      </w:hyperlink>
    </w:p>
    <w:p w14:paraId="4C853F6A" w14:textId="0016DAE3" w:rsidR="004D611D" w:rsidRDefault="004D611D">
      <w:pPr>
        <w:pStyle w:val="TOC2"/>
        <w:tabs>
          <w:tab w:val="right" w:leader="dot" w:pos="9016"/>
        </w:tabs>
        <w:rPr>
          <w:rFonts w:asciiTheme="minorHAnsi" w:eastAsiaTheme="minorEastAsia" w:hAnsiTheme="minorHAnsi"/>
          <w:noProof/>
          <w:sz w:val="22"/>
          <w:lang w:val="fr-BE" w:eastAsia="fr-BE"/>
        </w:rPr>
      </w:pPr>
      <w:hyperlink w:anchor="_Toc109049398" w:history="1">
        <w:r w:rsidRPr="009F0D41">
          <w:rPr>
            <w:rStyle w:val="Hyperlink"/>
            <w:rFonts w:eastAsia="Times New Roman"/>
            <w:noProof/>
            <w:lang w:val="en-GB" w:eastAsia="sv-SE"/>
          </w:rPr>
          <w:t>Article 8: Hearing through videoconferencing or other distance communication technology in criminal proceedings</w:t>
        </w:r>
        <w:r>
          <w:rPr>
            <w:noProof/>
            <w:webHidden/>
          </w:rPr>
          <w:tab/>
        </w:r>
        <w:r>
          <w:rPr>
            <w:noProof/>
            <w:webHidden/>
          </w:rPr>
          <w:fldChar w:fldCharType="begin"/>
        </w:r>
        <w:r>
          <w:rPr>
            <w:noProof/>
            <w:webHidden/>
          </w:rPr>
          <w:instrText xml:space="preserve"> PAGEREF _Toc109049398 \h </w:instrText>
        </w:r>
        <w:r>
          <w:rPr>
            <w:noProof/>
            <w:webHidden/>
          </w:rPr>
        </w:r>
        <w:r>
          <w:rPr>
            <w:noProof/>
            <w:webHidden/>
          </w:rPr>
          <w:fldChar w:fldCharType="separate"/>
        </w:r>
        <w:r>
          <w:rPr>
            <w:noProof/>
            <w:webHidden/>
          </w:rPr>
          <w:t>7</w:t>
        </w:r>
        <w:r>
          <w:rPr>
            <w:noProof/>
            <w:webHidden/>
          </w:rPr>
          <w:fldChar w:fldCharType="end"/>
        </w:r>
      </w:hyperlink>
    </w:p>
    <w:p w14:paraId="2EDEA977" w14:textId="1486B6E1" w:rsidR="004D611D" w:rsidRDefault="004D611D">
      <w:pPr>
        <w:pStyle w:val="TOC2"/>
        <w:tabs>
          <w:tab w:val="right" w:leader="dot" w:pos="9016"/>
        </w:tabs>
        <w:rPr>
          <w:rFonts w:asciiTheme="minorHAnsi" w:eastAsiaTheme="minorEastAsia" w:hAnsiTheme="minorHAnsi"/>
          <w:noProof/>
          <w:sz w:val="22"/>
          <w:lang w:val="fr-BE" w:eastAsia="fr-BE"/>
        </w:rPr>
      </w:pPr>
      <w:hyperlink w:anchor="_Toc109049399" w:history="1">
        <w:r w:rsidRPr="009F0D41">
          <w:rPr>
            <w:rStyle w:val="Hyperlink"/>
            <w:rFonts w:eastAsia="Times New Roman"/>
            <w:noProof/>
            <w:lang w:val="en-GB" w:eastAsia="sv-SE"/>
          </w:rPr>
          <w:t>Article 11: Electronic payment of fees</w:t>
        </w:r>
        <w:r>
          <w:rPr>
            <w:noProof/>
            <w:webHidden/>
          </w:rPr>
          <w:tab/>
        </w:r>
        <w:r>
          <w:rPr>
            <w:noProof/>
            <w:webHidden/>
          </w:rPr>
          <w:fldChar w:fldCharType="begin"/>
        </w:r>
        <w:r>
          <w:rPr>
            <w:noProof/>
            <w:webHidden/>
          </w:rPr>
          <w:instrText xml:space="preserve"> PAGEREF _Toc109049399 \h </w:instrText>
        </w:r>
        <w:r>
          <w:rPr>
            <w:noProof/>
            <w:webHidden/>
          </w:rPr>
        </w:r>
        <w:r>
          <w:rPr>
            <w:noProof/>
            <w:webHidden/>
          </w:rPr>
          <w:fldChar w:fldCharType="separate"/>
        </w:r>
        <w:r>
          <w:rPr>
            <w:noProof/>
            <w:webHidden/>
          </w:rPr>
          <w:t>9</w:t>
        </w:r>
        <w:r>
          <w:rPr>
            <w:noProof/>
            <w:webHidden/>
          </w:rPr>
          <w:fldChar w:fldCharType="end"/>
        </w:r>
      </w:hyperlink>
    </w:p>
    <w:p w14:paraId="2F17F98C" w14:textId="0757C859" w:rsidR="004D611D" w:rsidRDefault="004D611D">
      <w:pPr>
        <w:pStyle w:val="TOC2"/>
        <w:tabs>
          <w:tab w:val="right" w:leader="dot" w:pos="9016"/>
        </w:tabs>
        <w:rPr>
          <w:rFonts w:asciiTheme="minorHAnsi" w:eastAsiaTheme="minorEastAsia" w:hAnsiTheme="minorHAnsi"/>
          <w:noProof/>
          <w:sz w:val="22"/>
          <w:lang w:val="fr-BE" w:eastAsia="fr-BE"/>
        </w:rPr>
      </w:pPr>
      <w:hyperlink w:anchor="_Toc109049400" w:history="1">
        <w:r w:rsidRPr="009F0D41">
          <w:rPr>
            <w:rStyle w:val="Hyperlink"/>
            <w:rFonts w:eastAsia="Times New Roman"/>
            <w:noProof/>
            <w:lang w:val="en-GB" w:eastAsia="sv-SE"/>
          </w:rPr>
          <w:t>Article 12 (adoption of implementing acts by the Commission) and article 13 (reference implementation software)</w:t>
        </w:r>
        <w:r>
          <w:rPr>
            <w:noProof/>
            <w:webHidden/>
          </w:rPr>
          <w:tab/>
        </w:r>
        <w:r>
          <w:rPr>
            <w:noProof/>
            <w:webHidden/>
          </w:rPr>
          <w:fldChar w:fldCharType="begin"/>
        </w:r>
        <w:r>
          <w:rPr>
            <w:noProof/>
            <w:webHidden/>
          </w:rPr>
          <w:instrText xml:space="preserve"> PAGEREF _Toc109049400 \h </w:instrText>
        </w:r>
        <w:r>
          <w:rPr>
            <w:noProof/>
            <w:webHidden/>
          </w:rPr>
        </w:r>
        <w:r>
          <w:rPr>
            <w:noProof/>
            <w:webHidden/>
          </w:rPr>
          <w:fldChar w:fldCharType="separate"/>
        </w:r>
        <w:r>
          <w:rPr>
            <w:noProof/>
            <w:webHidden/>
          </w:rPr>
          <w:t>9</w:t>
        </w:r>
        <w:r>
          <w:rPr>
            <w:noProof/>
            <w:webHidden/>
          </w:rPr>
          <w:fldChar w:fldCharType="end"/>
        </w:r>
      </w:hyperlink>
    </w:p>
    <w:p w14:paraId="45CD35FE" w14:textId="4BE54F49" w:rsidR="004D611D" w:rsidRDefault="004D611D">
      <w:pPr>
        <w:pStyle w:val="TOC1"/>
        <w:tabs>
          <w:tab w:val="right" w:leader="dot" w:pos="9016"/>
        </w:tabs>
        <w:rPr>
          <w:rFonts w:asciiTheme="minorHAnsi" w:eastAsiaTheme="minorEastAsia" w:hAnsiTheme="minorHAnsi"/>
          <w:noProof/>
          <w:sz w:val="22"/>
          <w:lang w:val="fr-BE" w:eastAsia="fr-BE"/>
        </w:rPr>
      </w:pPr>
      <w:hyperlink w:anchor="_Toc109049401" w:history="1">
        <w:r w:rsidRPr="009F0D41">
          <w:rPr>
            <w:rStyle w:val="Hyperlink"/>
            <w:noProof/>
            <w:lang w:val="en-GB"/>
          </w:rPr>
          <w:t>Proposed new recitals</w:t>
        </w:r>
        <w:r>
          <w:rPr>
            <w:noProof/>
            <w:webHidden/>
          </w:rPr>
          <w:tab/>
        </w:r>
        <w:r>
          <w:rPr>
            <w:noProof/>
            <w:webHidden/>
          </w:rPr>
          <w:fldChar w:fldCharType="begin"/>
        </w:r>
        <w:r>
          <w:rPr>
            <w:noProof/>
            <w:webHidden/>
          </w:rPr>
          <w:instrText xml:space="preserve"> PAGEREF _Toc109049401 \h </w:instrText>
        </w:r>
        <w:r>
          <w:rPr>
            <w:noProof/>
            <w:webHidden/>
          </w:rPr>
        </w:r>
        <w:r>
          <w:rPr>
            <w:noProof/>
            <w:webHidden/>
          </w:rPr>
          <w:fldChar w:fldCharType="separate"/>
        </w:r>
        <w:r>
          <w:rPr>
            <w:noProof/>
            <w:webHidden/>
          </w:rPr>
          <w:t>11</w:t>
        </w:r>
        <w:r>
          <w:rPr>
            <w:noProof/>
            <w:webHidden/>
          </w:rPr>
          <w:fldChar w:fldCharType="end"/>
        </w:r>
      </w:hyperlink>
    </w:p>
    <w:p w14:paraId="6C9D2BB6" w14:textId="466A7635" w:rsidR="004D611D" w:rsidRDefault="004D611D">
      <w:pPr>
        <w:pStyle w:val="TOC1"/>
        <w:tabs>
          <w:tab w:val="right" w:leader="dot" w:pos="9016"/>
        </w:tabs>
        <w:rPr>
          <w:rFonts w:asciiTheme="minorHAnsi" w:eastAsiaTheme="minorEastAsia" w:hAnsiTheme="minorHAnsi"/>
          <w:noProof/>
          <w:sz w:val="22"/>
          <w:lang w:val="fr-BE" w:eastAsia="fr-BE"/>
        </w:rPr>
      </w:pPr>
      <w:hyperlink w:anchor="_Toc109049402" w:history="1">
        <w:r w:rsidRPr="009F0D41">
          <w:rPr>
            <w:rStyle w:val="Hyperlink"/>
            <w:noProof/>
          </w:rPr>
          <w:t>Document credits</w:t>
        </w:r>
        <w:r>
          <w:rPr>
            <w:noProof/>
            <w:webHidden/>
          </w:rPr>
          <w:tab/>
        </w:r>
        <w:r>
          <w:rPr>
            <w:noProof/>
            <w:webHidden/>
          </w:rPr>
          <w:fldChar w:fldCharType="begin"/>
        </w:r>
        <w:r>
          <w:rPr>
            <w:noProof/>
            <w:webHidden/>
          </w:rPr>
          <w:instrText xml:space="preserve"> PAGEREF _Toc109049402 \h </w:instrText>
        </w:r>
        <w:r>
          <w:rPr>
            <w:noProof/>
            <w:webHidden/>
          </w:rPr>
        </w:r>
        <w:r>
          <w:rPr>
            <w:noProof/>
            <w:webHidden/>
          </w:rPr>
          <w:fldChar w:fldCharType="separate"/>
        </w:r>
        <w:r>
          <w:rPr>
            <w:noProof/>
            <w:webHidden/>
          </w:rPr>
          <w:t>13</w:t>
        </w:r>
        <w:r>
          <w:rPr>
            <w:noProof/>
            <w:webHidden/>
          </w:rPr>
          <w:fldChar w:fldCharType="end"/>
        </w:r>
      </w:hyperlink>
    </w:p>
    <w:p w14:paraId="588D3280" w14:textId="64A2C82C" w:rsidR="001E0F08" w:rsidRDefault="00A9576D" w:rsidP="00282B80">
      <w:pPr>
        <w:pStyle w:val="Heading1"/>
      </w:pPr>
      <w:r>
        <w:fldChar w:fldCharType="end"/>
      </w:r>
      <w:bookmarkStart w:id="2" w:name="_Toc109049392"/>
      <w:r w:rsidR="001E0F08">
        <w:t>Introduction</w:t>
      </w:r>
      <w:bookmarkEnd w:id="2"/>
    </w:p>
    <w:p w14:paraId="66C11888" w14:textId="55622CFE" w:rsidR="00146E47" w:rsidRPr="00146E47" w:rsidRDefault="00146E47" w:rsidP="00146E47">
      <w:pPr>
        <w:rPr>
          <w:lang w:val="en-GB"/>
        </w:rPr>
      </w:pPr>
      <w:r w:rsidRPr="00146E47">
        <w:rPr>
          <w:lang w:val="en-GB"/>
        </w:rPr>
        <w:t xml:space="preserve">This document </w:t>
      </w:r>
      <w:r>
        <w:rPr>
          <w:lang w:val="en-GB"/>
        </w:rPr>
        <w:t>presents</w:t>
      </w:r>
      <w:r w:rsidRPr="00146E47">
        <w:rPr>
          <w:lang w:val="en-GB"/>
        </w:rPr>
        <w:t xml:space="preserve"> amendments to the proposed regulation on the digitalisation of judicial cooperation COM (2021) 759 final. It should be read along with </w:t>
      </w:r>
      <w:hyperlink r:id="rId9" w:history="1">
        <w:r w:rsidRPr="00146E47">
          <w:rPr>
            <w:rStyle w:val="Hyperlink"/>
            <w:lang w:val="en-GB"/>
          </w:rPr>
          <w:t>EDF recommendations</w:t>
        </w:r>
      </w:hyperlink>
      <w:r w:rsidRPr="00146E47">
        <w:rPr>
          <w:lang w:val="en-GB"/>
        </w:rPr>
        <w:t xml:space="preserve"> to the public consultation on the subject in 2020.</w:t>
      </w:r>
    </w:p>
    <w:p w14:paraId="70F30724" w14:textId="6B16DA49" w:rsidR="00282B80" w:rsidRDefault="00282B80" w:rsidP="00282B80">
      <w:pPr>
        <w:pStyle w:val="Heading3"/>
      </w:pPr>
      <w:r>
        <w:t>The European Disability Forum</w:t>
      </w:r>
    </w:p>
    <w:p w14:paraId="06C637A5" w14:textId="5C710FDD" w:rsidR="001E0F08" w:rsidRDefault="00282B80" w:rsidP="00282B80">
      <w:r w:rsidRPr="00282B80">
        <w:t>The European Disability Forum</w:t>
      </w:r>
      <w:r w:rsidR="00730531">
        <w:t xml:space="preserve"> (EDF)</w:t>
      </w:r>
      <w:r w:rsidRPr="00282B80">
        <w:t xml:space="preserve"> is an independent NGO that represents the interests of </w:t>
      </w:r>
      <w:r>
        <w:t>10</w:t>
      </w:r>
      <w:r w:rsidRPr="00282B80">
        <w:t>0 million Europeans with disabilities. EDF is a unique platform which brings together representative organisation of persons with disabilities from across Europe. EDF is run by persons with disabilities and their families. We are a strong, united voice of persons with disabilities in Europe.</w:t>
      </w:r>
    </w:p>
    <w:p w14:paraId="5F2DC615" w14:textId="55C8A389" w:rsidR="00282B80" w:rsidRDefault="00282B80" w:rsidP="00730531">
      <w:pPr>
        <w:pStyle w:val="Heading1"/>
      </w:pPr>
      <w:bookmarkStart w:id="3" w:name="_Toc109049393"/>
      <w:r>
        <w:t>Executive Summary</w:t>
      </w:r>
      <w:bookmarkEnd w:id="3"/>
    </w:p>
    <w:p w14:paraId="0A605060" w14:textId="77777777" w:rsidR="00146E47" w:rsidRPr="00146E47" w:rsidRDefault="00146E47" w:rsidP="00146E47">
      <w:pPr>
        <w:spacing w:before="120" w:after="240"/>
        <w:rPr>
          <w:lang w:val="en-GB"/>
        </w:rPr>
      </w:pPr>
      <w:r w:rsidRPr="00146E47">
        <w:rPr>
          <w:b/>
          <w:bCs/>
          <w:lang w:val="en-GB"/>
        </w:rPr>
        <w:t xml:space="preserve">We deeply regret the absence of accessibility requirements, procedural accommodations for persons with disabilities and reference to the United Nations Convention on the Rights of </w:t>
      </w:r>
      <w:r w:rsidRPr="00146E47">
        <w:rPr>
          <w:b/>
          <w:bCs/>
          <w:lang w:val="en-GB"/>
        </w:rPr>
        <w:lastRenderedPageBreak/>
        <w:t>Persons with Disabilities (CRPD)</w:t>
      </w:r>
      <w:r w:rsidRPr="00146E47">
        <w:rPr>
          <w:b/>
          <w:bCs/>
          <w:vertAlign w:val="superscript"/>
          <w:lang w:val="en-GB"/>
        </w:rPr>
        <w:footnoteReference w:id="1"/>
      </w:r>
      <w:r w:rsidRPr="00146E47">
        <w:rPr>
          <w:b/>
          <w:bCs/>
          <w:lang w:val="en-GB"/>
        </w:rPr>
        <w:t xml:space="preserve"> in the proposed Regulation on the digitalisation of judicial cooperation and access to justice.</w:t>
      </w:r>
      <w:r w:rsidRPr="00146E47">
        <w:rPr>
          <w:lang w:val="en-GB"/>
        </w:rPr>
        <w:t xml:space="preserve"> </w:t>
      </w:r>
    </w:p>
    <w:p w14:paraId="2BF824A1" w14:textId="77777777" w:rsidR="00146E47" w:rsidRPr="00146E47" w:rsidRDefault="00146E47" w:rsidP="00146E47">
      <w:pPr>
        <w:spacing w:before="120" w:after="240"/>
        <w:rPr>
          <w:lang w:val="en-GB"/>
        </w:rPr>
      </w:pPr>
      <w:r w:rsidRPr="00146E47">
        <w:rPr>
          <w:lang w:val="en-GB"/>
        </w:rPr>
        <w:t xml:space="preserve">Under the </w:t>
      </w:r>
      <w:r w:rsidRPr="00146E47">
        <w:rPr>
          <w:b/>
          <w:bCs/>
          <w:lang w:val="en-GB"/>
        </w:rPr>
        <w:t>CRPD</w:t>
      </w:r>
      <w:r w:rsidRPr="00146E47">
        <w:rPr>
          <w:lang w:val="en-GB"/>
        </w:rPr>
        <w:t xml:space="preserve"> the EU and its Member States have the obligation to ensure access to the justice system, both for legal professionals with disabilities and people with disabilities seeking justice. This includes ensuring the accessibility of the justice system and that procedural accommodations (e.g. sign language interpretation, remote participation, etc.) are available to people with disabilities throughout the justice process. This is very important in the digitalisation of justice at EU and national level. </w:t>
      </w:r>
    </w:p>
    <w:p w14:paraId="69A1FF57" w14:textId="77777777" w:rsidR="00146E47" w:rsidRPr="00146E47" w:rsidRDefault="00146E47" w:rsidP="00146E47">
      <w:pPr>
        <w:spacing w:before="120" w:after="240"/>
        <w:rPr>
          <w:lang w:val="en-GB"/>
        </w:rPr>
      </w:pPr>
      <w:r w:rsidRPr="00146E47">
        <w:rPr>
          <w:lang w:val="en-GB"/>
        </w:rPr>
        <w:t xml:space="preserve">Access to Justice is one of the priorities in the Union of Equality and the </w:t>
      </w:r>
      <w:r w:rsidRPr="00146E47">
        <w:rPr>
          <w:b/>
          <w:bCs/>
          <w:lang w:val="en-GB"/>
        </w:rPr>
        <w:t>European Disability Rights Strategy 2021-2030</w:t>
      </w:r>
      <w:r w:rsidRPr="00146E47">
        <w:rPr>
          <w:vertAlign w:val="superscript"/>
          <w:lang w:val="en-GB"/>
        </w:rPr>
        <w:footnoteReference w:id="2"/>
      </w:r>
      <w:r w:rsidRPr="00146E47">
        <w:rPr>
          <w:lang w:val="en-GB"/>
        </w:rPr>
        <w:t>, with reference to International Principles and Guidelines on Access to Justice for Persons with Disabilities</w:t>
      </w:r>
      <w:r w:rsidRPr="00146E47">
        <w:rPr>
          <w:vertAlign w:val="superscript"/>
          <w:lang w:val="en-GB"/>
        </w:rPr>
        <w:footnoteReference w:id="3"/>
      </w:r>
      <w:r w:rsidRPr="00146E47">
        <w:rPr>
          <w:lang w:val="en-GB"/>
        </w:rPr>
        <w:t>. Accessibility also is part of the EU Justice Scoreboard 2022</w:t>
      </w:r>
      <w:r w:rsidRPr="00146E47">
        <w:rPr>
          <w:vertAlign w:val="superscript"/>
          <w:lang w:val="en-GB"/>
        </w:rPr>
        <w:footnoteReference w:id="4"/>
      </w:r>
      <w:r w:rsidRPr="00146E47">
        <w:rPr>
          <w:lang w:val="en-GB"/>
        </w:rPr>
        <w:t>.</w:t>
      </w:r>
    </w:p>
    <w:p w14:paraId="06CD980E" w14:textId="77777777" w:rsidR="00146E47" w:rsidRPr="00146E47" w:rsidRDefault="00146E47" w:rsidP="00146E47">
      <w:pPr>
        <w:pStyle w:val="Heading3"/>
        <w:rPr>
          <w:lang w:val="en-GB"/>
        </w:rPr>
      </w:pPr>
      <w:bookmarkStart w:id="4" w:name="_Toc108434120"/>
      <w:r w:rsidRPr="00146E47">
        <w:rPr>
          <w:lang w:val="en-GB"/>
        </w:rPr>
        <w:t>EU legislation on accessibility</w:t>
      </w:r>
      <w:bookmarkEnd w:id="4"/>
      <w:r w:rsidRPr="00146E47">
        <w:rPr>
          <w:lang w:val="en-GB"/>
        </w:rPr>
        <w:t xml:space="preserve"> </w:t>
      </w:r>
    </w:p>
    <w:p w14:paraId="184F16B2" w14:textId="77777777" w:rsidR="00146E47" w:rsidRPr="00146E47" w:rsidRDefault="00146E47" w:rsidP="00146E47">
      <w:pPr>
        <w:spacing w:before="120" w:after="240"/>
        <w:rPr>
          <w:lang w:val="en-GB"/>
        </w:rPr>
      </w:pPr>
      <w:r w:rsidRPr="00146E47">
        <w:rPr>
          <w:lang w:val="en-GB"/>
        </w:rPr>
        <w:t xml:space="preserve">The lack of accessibility in the proposed regulation is concerning, as several EU acts relating to digitalisation and accessibility already exist, covering a wide range of technologies and digital content. These EU legislations provide a set of accessibility requirements which are supported by European standards on accessibility. </w:t>
      </w:r>
    </w:p>
    <w:p w14:paraId="2D267AB0" w14:textId="77777777" w:rsidR="00146E47" w:rsidRPr="00146E47" w:rsidRDefault="00146E47" w:rsidP="00146E47">
      <w:pPr>
        <w:spacing w:before="120" w:after="240"/>
      </w:pPr>
      <w:r w:rsidRPr="00146E47">
        <w:rPr>
          <w:lang w:val="en-GB"/>
        </w:rPr>
        <w:t>We propose amendments in line with:</w:t>
      </w:r>
    </w:p>
    <w:p w14:paraId="383D8B7A" w14:textId="77777777" w:rsidR="00146E47" w:rsidRPr="00146E47" w:rsidRDefault="00146E47" w:rsidP="00146E47">
      <w:pPr>
        <w:numPr>
          <w:ilvl w:val="0"/>
          <w:numId w:val="2"/>
        </w:numPr>
        <w:spacing w:before="120" w:after="240"/>
        <w:rPr>
          <w:lang w:val="en-GB"/>
        </w:rPr>
      </w:pPr>
      <w:r w:rsidRPr="00146E47">
        <w:rPr>
          <w:lang w:val="en-GB"/>
        </w:rPr>
        <w:t>The European Accessibility Act</w:t>
      </w:r>
      <w:r w:rsidRPr="00146E47">
        <w:rPr>
          <w:vertAlign w:val="superscript"/>
          <w:lang w:val="en-GB"/>
        </w:rPr>
        <w:footnoteReference w:id="5"/>
      </w:r>
      <w:r w:rsidRPr="00146E47">
        <w:rPr>
          <w:lang w:val="en-GB"/>
        </w:rPr>
        <w:t xml:space="preserve"> (EAA)</w:t>
      </w:r>
    </w:p>
    <w:p w14:paraId="2C1CA37C" w14:textId="77777777" w:rsidR="00146E47" w:rsidRPr="00146E47" w:rsidRDefault="00146E47" w:rsidP="00146E47">
      <w:pPr>
        <w:numPr>
          <w:ilvl w:val="0"/>
          <w:numId w:val="2"/>
        </w:numPr>
        <w:spacing w:before="120" w:after="240"/>
        <w:rPr>
          <w:lang w:val="en-GB"/>
        </w:rPr>
      </w:pPr>
      <w:r w:rsidRPr="00146E47">
        <w:rPr>
          <w:lang w:val="en-GB"/>
        </w:rPr>
        <w:t>The Web Accessibility Directive</w:t>
      </w:r>
      <w:r w:rsidRPr="00146E47">
        <w:rPr>
          <w:vertAlign w:val="superscript"/>
          <w:lang w:val="en-GB"/>
        </w:rPr>
        <w:footnoteReference w:id="6"/>
      </w:r>
      <w:r w:rsidRPr="00146E47">
        <w:rPr>
          <w:lang w:val="en-GB"/>
        </w:rPr>
        <w:t xml:space="preserve"> (WAD) – covering public body websites and mobile applications</w:t>
      </w:r>
    </w:p>
    <w:p w14:paraId="61B88F8E" w14:textId="77777777" w:rsidR="00146E47" w:rsidRPr="00146E47" w:rsidRDefault="00146E47" w:rsidP="00146E47">
      <w:pPr>
        <w:numPr>
          <w:ilvl w:val="0"/>
          <w:numId w:val="2"/>
        </w:numPr>
        <w:spacing w:before="120" w:after="240"/>
        <w:rPr>
          <w:lang w:val="en-GB"/>
        </w:rPr>
      </w:pPr>
      <w:r w:rsidRPr="00146E47">
        <w:rPr>
          <w:lang w:val="en-GB"/>
        </w:rPr>
        <w:t>The Electronic Communications Code</w:t>
      </w:r>
      <w:r w:rsidRPr="00146E47">
        <w:rPr>
          <w:vertAlign w:val="superscript"/>
          <w:lang w:val="en-GB"/>
        </w:rPr>
        <w:footnoteReference w:id="7"/>
      </w:r>
      <w:r w:rsidRPr="00146E47">
        <w:rPr>
          <w:lang w:val="en-GB"/>
        </w:rPr>
        <w:t xml:space="preserve"> </w:t>
      </w:r>
    </w:p>
    <w:p w14:paraId="00682DAE" w14:textId="77777777" w:rsidR="00146E47" w:rsidRPr="00146E47" w:rsidRDefault="00146E47" w:rsidP="00146E47">
      <w:pPr>
        <w:numPr>
          <w:ilvl w:val="0"/>
          <w:numId w:val="2"/>
        </w:numPr>
        <w:spacing w:before="120" w:after="240"/>
        <w:rPr>
          <w:lang w:val="en-GB"/>
        </w:rPr>
      </w:pPr>
      <w:r w:rsidRPr="00146E47">
        <w:rPr>
          <w:lang w:val="en-GB"/>
        </w:rPr>
        <w:t>The Public Procurement Directive</w:t>
      </w:r>
      <w:r w:rsidRPr="00146E47">
        <w:rPr>
          <w:vertAlign w:val="superscript"/>
          <w:lang w:val="en-GB"/>
        </w:rPr>
        <w:footnoteReference w:id="8"/>
      </w:r>
    </w:p>
    <w:p w14:paraId="37AD1FB0" w14:textId="77777777" w:rsidR="00146E47" w:rsidRPr="00146E47" w:rsidRDefault="00146E47" w:rsidP="00146E47">
      <w:pPr>
        <w:numPr>
          <w:ilvl w:val="0"/>
          <w:numId w:val="2"/>
        </w:numPr>
        <w:spacing w:before="120" w:after="240"/>
      </w:pPr>
      <w:r w:rsidRPr="00146E47">
        <w:rPr>
          <w:lang w:val="en-GB"/>
        </w:rPr>
        <w:lastRenderedPageBreak/>
        <w:t>Harmonised standard EN 301 549 Accessibility requirements for ICT products and services</w:t>
      </w:r>
    </w:p>
    <w:p w14:paraId="07A5749D" w14:textId="77777777" w:rsidR="00146E47" w:rsidRPr="00146E47" w:rsidRDefault="00146E47" w:rsidP="00146E47">
      <w:pPr>
        <w:numPr>
          <w:ilvl w:val="0"/>
          <w:numId w:val="2"/>
        </w:numPr>
        <w:spacing w:before="120" w:after="240"/>
      </w:pPr>
      <w:r w:rsidRPr="00146E47">
        <w:rPr>
          <w:lang w:val="en-GB"/>
        </w:rPr>
        <w:t>European standard EN 17161 Accessibility following a Design for all approach (up for harmonisation in relation to the European Accessibility Act)</w:t>
      </w:r>
    </w:p>
    <w:p w14:paraId="1A645A79" w14:textId="0B148859" w:rsidR="00355289" w:rsidRDefault="00146E47" w:rsidP="00146E47">
      <w:pPr>
        <w:spacing w:before="120" w:after="240"/>
        <w:rPr>
          <w:lang w:val="en-GB"/>
        </w:rPr>
      </w:pPr>
      <w:r w:rsidRPr="00146E47">
        <w:rPr>
          <w:b/>
          <w:bCs/>
          <w:lang w:val="en-GB"/>
        </w:rPr>
        <w:t>The text of the Regulation should make explicit references to the European Accessibility Act (EAA).</w:t>
      </w:r>
      <w:r w:rsidRPr="00146E47">
        <w:rPr>
          <w:lang w:val="en-GB"/>
        </w:rPr>
        <w:t xml:space="preserve"> The EAA includes the same accessibility requirements for websites, apps and digital documents as the Web Accessibility Directive, but it also covers other ICT products and services, such as computers and operating systems, electronic communications, or digital identification and payment methods, among others, which would apply for judicial cooperation and access to justice. We propose such reference to the Accessibility Act to ensure legal coherence and implementation as for the accessibility for persons with disabilities.</w:t>
      </w:r>
    </w:p>
    <w:p w14:paraId="2DBF67C5" w14:textId="77777777" w:rsidR="0006791C" w:rsidRDefault="0006791C" w:rsidP="00146E47">
      <w:pPr>
        <w:spacing w:before="120" w:after="240"/>
      </w:pPr>
    </w:p>
    <w:p w14:paraId="2CFD1649" w14:textId="08ABFAAC" w:rsidR="00282B80" w:rsidRDefault="00B54D05" w:rsidP="00AF0B7A">
      <w:pPr>
        <w:pStyle w:val="Heading1"/>
      </w:pPr>
      <w:bookmarkStart w:id="5" w:name="_Toc109049394"/>
      <w:r>
        <w:t xml:space="preserve">Proposed </w:t>
      </w:r>
      <w:r w:rsidR="0006780B">
        <w:t>amendments</w:t>
      </w:r>
      <w:r>
        <w:t xml:space="preserve"> to articles of the Regulation</w:t>
      </w:r>
      <w:bookmarkEnd w:id="5"/>
    </w:p>
    <w:p w14:paraId="6C713E97" w14:textId="77777777" w:rsidR="00FB5790" w:rsidRPr="00A54B1D" w:rsidRDefault="00FB5790" w:rsidP="00FB5790">
      <w:pPr>
        <w:pStyle w:val="Heading2"/>
        <w:rPr>
          <w:rFonts w:eastAsia="Times New Roman"/>
          <w:lang w:val="en-GB" w:eastAsia="sv-SE"/>
        </w:rPr>
      </w:pPr>
      <w:bookmarkStart w:id="6" w:name="_Toc108434122"/>
      <w:bookmarkStart w:id="7" w:name="_Toc109049395"/>
      <w:r w:rsidRPr="00A54B1D">
        <w:rPr>
          <w:rFonts w:eastAsia="Times New Roman"/>
          <w:lang w:val="en-GB" w:eastAsia="sv-SE"/>
        </w:rPr>
        <w:t>Article 4: Establishment of a European electronic access points</w:t>
      </w:r>
      <w:bookmarkEnd w:id="6"/>
      <w:bookmarkEnd w:id="7"/>
    </w:p>
    <w:tbl>
      <w:tblPr>
        <w:tblStyle w:val="TableGrid1"/>
        <w:tblW w:w="9288" w:type="dxa"/>
        <w:tblLook w:val="04A0" w:firstRow="1" w:lastRow="0" w:firstColumn="1" w:lastColumn="0" w:noHBand="0" w:noVBand="1"/>
      </w:tblPr>
      <w:tblGrid>
        <w:gridCol w:w="4608"/>
        <w:gridCol w:w="4680"/>
      </w:tblGrid>
      <w:tr w:rsidR="00FB5790" w:rsidRPr="00A54B1D" w14:paraId="1F3DBF92" w14:textId="77777777" w:rsidTr="00BB030C">
        <w:tc>
          <w:tcPr>
            <w:tcW w:w="4608" w:type="dxa"/>
          </w:tcPr>
          <w:p w14:paraId="4F7B0830" w14:textId="77777777" w:rsidR="00FB5790" w:rsidRPr="00A54B1D" w:rsidRDefault="00FB5790" w:rsidP="00BB030C">
            <w:pPr>
              <w:rPr>
                <w:rFonts w:ascii="Arial" w:hAnsi="Arial" w:cs="Arial"/>
                <w:b/>
                <w:bCs/>
                <w:szCs w:val="24"/>
              </w:rPr>
            </w:pPr>
            <w:r w:rsidRPr="00A54B1D">
              <w:rPr>
                <w:rFonts w:ascii="Arial" w:hAnsi="Arial" w:cs="Arial"/>
                <w:b/>
                <w:bCs/>
                <w:szCs w:val="24"/>
              </w:rPr>
              <w:t>Commission proposal</w:t>
            </w:r>
          </w:p>
        </w:tc>
        <w:tc>
          <w:tcPr>
            <w:tcW w:w="4680" w:type="dxa"/>
          </w:tcPr>
          <w:p w14:paraId="3DF5F17B" w14:textId="77777777" w:rsidR="00FB5790" w:rsidRPr="00A54B1D" w:rsidRDefault="00FB5790" w:rsidP="00BB030C">
            <w:pPr>
              <w:rPr>
                <w:rFonts w:ascii="Arial" w:hAnsi="Arial" w:cs="Arial"/>
                <w:b/>
                <w:bCs/>
                <w:szCs w:val="24"/>
              </w:rPr>
            </w:pPr>
            <w:r w:rsidRPr="00A54B1D">
              <w:rPr>
                <w:rFonts w:ascii="Arial" w:hAnsi="Arial" w:cs="Arial"/>
                <w:b/>
                <w:bCs/>
                <w:szCs w:val="24"/>
              </w:rPr>
              <w:t>Proposed amendments</w:t>
            </w:r>
          </w:p>
        </w:tc>
      </w:tr>
      <w:tr w:rsidR="00FB5790" w:rsidRPr="00A54B1D" w14:paraId="1D870A09" w14:textId="77777777" w:rsidTr="00BB030C">
        <w:tc>
          <w:tcPr>
            <w:tcW w:w="4608" w:type="dxa"/>
          </w:tcPr>
          <w:p w14:paraId="1EEB0D3F" w14:textId="77777777" w:rsidR="00FB5790" w:rsidRPr="00A54B1D" w:rsidRDefault="00FB5790" w:rsidP="00BB030C">
            <w:pPr>
              <w:shd w:val="clear" w:color="auto" w:fill="FFFFFF"/>
              <w:textAlignment w:val="baseline"/>
              <w:rPr>
                <w:rFonts w:ascii="Arial" w:hAnsi="Arial" w:cs="Arial"/>
                <w:szCs w:val="24"/>
                <w:lang w:eastAsia="sv-SE"/>
              </w:rPr>
            </w:pPr>
            <w:r w:rsidRPr="00A54B1D">
              <w:rPr>
                <w:rFonts w:ascii="Arial" w:hAnsi="Arial" w:cs="Arial"/>
                <w:szCs w:val="24"/>
                <w:lang w:eastAsia="sv-SE"/>
              </w:rPr>
              <w:t xml:space="preserve">1. A European electronic access point shall be established on the European e-Justice Portal, to be used for electronic communication between natural or legal persons and competent authorities in cases falling under the scope of the legal acts listed in Annex I. </w:t>
            </w:r>
          </w:p>
          <w:p w14:paraId="3A67EF1F" w14:textId="77777777" w:rsidR="00FB5790" w:rsidRPr="00A54B1D" w:rsidRDefault="00FB5790" w:rsidP="00BB030C">
            <w:pPr>
              <w:shd w:val="clear" w:color="auto" w:fill="FFFFFF"/>
              <w:textAlignment w:val="baseline"/>
              <w:rPr>
                <w:rFonts w:ascii="Arial" w:hAnsi="Arial" w:cs="Arial"/>
                <w:szCs w:val="24"/>
                <w:lang w:eastAsia="sv-SE"/>
              </w:rPr>
            </w:pPr>
          </w:p>
          <w:p w14:paraId="404D4BCF" w14:textId="77777777" w:rsidR="00FB5790" w:rsidRPr="00A54B1D" w:rsidRDefault="00FB5790" w:rsidP="00BB030C">
            <w:pPr>
              <w:shd w:val="clear" w:color="auto" w:fill="FFFFFF"/>
              <w:textAlignment w:val="baseline"/>
              <w:rPr>
                <w:rFonts w:ascii="Arial" w:hAnsi="Arial" w:cs="Arial"/>
                <w:szCs w:val="24"/>
                <w:lang w:eastAsia="sv-SE"/>
              </w:rPr>
            </w:pPr>
            <w:r w:rsidRPr="00A54B1D">
              <w:rPr>
                <w:rFonts w:ascii="Arial" w:hAnsi="Arial" w:cs="Arial"/>
                <w:szCs w:val="24"/>
                <w:lang w:eastAsia="sv-SE"/>
              </w:rPr>
              <w:t xml:space="preserve">2. The Commission shall be responsible for the technical management, development, maintenance, security and support of the European electronic access point. </w:t>
            </w:r>
          </w:p>
          <w:p w14:paraId="70620BFA" w14:textId="77777777" w:rsidR="00FB5790" w:rsidRPr="00A54B1D" w:rsidRDefault="00FB5790" w:rsidP="00BB030C">
            <w:pPr>
              <w:shd w:val="clear" w:color="auto" w:fill="FFFFFF"/>
              <w:textAlignment w:val="baseline"/>
              <w:rPr>
                <w:rFonts w:ascii="Arial" w:hAnsi="Arial" w:cs="Arial"/>
                <w:szCs w:val="24"/>
                <w:lang w:eastAsia="sv-SE"/>
              </w:rPr>
            </w:pPr>
          </w:p>
          <w:p w14:paraId="7C727678" w14:textId="77777777" w:rsidR="00FB5790" w:rsidRPr="00A54B1D" w:rsidRDefault="00FB5790" w:rsidP="00BB030C">
            <w:pPr>
              <w:shd w:val="clear" w:color="auto" w:fill="FFFFFF"/>
              <w:textAlignment w:val="baseline"/>
              <w:rPr>
                <w:rFonts w:ascii="Arial" w:hAnsi="Arial" w:cs="Arial"/>
                <w:szCs w:val="24"/>
                <w:lang w:eastAsia="sv-SE"/>
              </w:rPr>
            </w:pPr>
            <w:r w:rsidRPr="00A54B1D">
              <w:rPr>
                <w:rFonts w:ascii="Arial" w:hAnsi="Arial" w:cs="Arial"/>
                <w:szCs w:val="24"/>
                <w:lang w:eastAsia="sv-SE"/>
              </w:rPr>
              <w:t xml:space="preserve">3. The European electronic access point shall allow natural and legal persons to file claims, launch requests, send and receive procedurally relevant information </w:t>
            </w:r>
            <w:r w:rsidRPr="00A54B1D">
              <w:rPr>
                <w:rFonts w:ascii="Arial" w:hAnsi="Arial" w:cs="Arial"/>
                <w:szCs w:val="24"/>
                <w:lang w:eastAsia="sv-SE"/>
              </w:rPr>
              <w:lastRenderedPageBreak/>
              <w:t>and communicate with the competent authorities.</w:t>
            </w:r>
          </w:p>
        </w:tc>
        <w:tc>
          <w:tcPr>
            <w:tcW w:w="4680" w:type="dxa"/>
          </w:tcPr>
          <w:p w14:paraId="4E37D526" w14:textId="77777777" w:rsidR="00FB5790" w:rsidRPr="00A54B1D" w:rsidRDefault="00FB5790" w:rsidP="00BB030C">
            <w:pPr>
              <w:shd w:val="clear" w:color="auto" w:fill="FFFFFF"/>
              <w:textAlignment w:val="baseline"/>
              <w:rPr>
                <w:rFonts w:ascii="Arial" w:hAnsi="Arial" w:cs="Arial"/>
                <w:b/>
                <w:bCs/>
                <w:i/>
                <w:iCs/>
                <w:szCs w:val="24"/>
                <w:lang w:eastAsia="sv-SE"/>
              </w:rPr>
            </w:pPr>
            <w:r w:rsidRPr="00A54B1D">
              <w:rPr>
                <w:rFonts w:ascii="Arial" w:hAnsi="Arial" w:cs="Arial"/>
                <w:szCs w:val="24"/>
                <w:lang w:eastAsia="sv-SE"/>
              </w:rPr>
              <w:lastRenderedPageBreak/>
              <w:t xml:space="preserve">1. A European electronic access point shall be established on the European e-Justice Portal, to be used for electronic communication between natural or legal persons and competent authorities in cases falling under the scope of the legal acts listed in Annex I. </w:t>
            </w:r>
            <w:r w:rsidRPr="00A54B1D">
              <w:rPr>
                <w:rFonts w:ascii="Arial" w:hAnsi="Arial" w:cs="Arial"/>
                <w:b/>
                <w:bCs/>
                <w:i/>
                <w:iCs/>
                <w:szCs w:val="24"/>
                <w:lang w:eastAsia="sv-SE"/>
              </w:rPr>
              <w:t xml:space="preserve">The European electronic access point shall meet the accessibility requirements set out in annex I of Directive (EU) 2019/882 . </w:t>
            </w:r>
          </w:p>
          <w:p w14:paraId="4EF900E0" w14:textId="77777777" w:rsidR="00FB5790" w:rsidRPr="00A54B1D" w:rsidRDefault="00FB5790" w:rsidP="00BB030C">
            <w:pPr>
              <w:shd w:val="clear" w:color="auto" w:fill="FFFFFF"/>
              <w:textAlignment w:val="baseline"/>
              <w:rPr>
                <w:rFonts w:ascii="Arial" w:hAnsi="Arial" w:cs="Arial"/>
                <w:szCs w:val="24"/>
                <w:lang w:eastAsia="sv-SE"/>
              </w:rPr>
            </w:pPr>
          </w:p>
          <w:p w14:paraId="41A364B2" w14:textId="77777777" w:rsidR="00FB5790" w:rsidRPr="00A54B1D" w:rsidRDefault="00FB5790" w:rsidP="00BB030C">
            <w:pPr>
              <w:shd w:val="clear" w:color="auto" w:fill="FFFFFF"/>
              <w:textAlignment w:val="baseline"/>
              <w:rPr>
                <w:rFonts w:ascii="Arial" w:hAnsi="Arial" w:cs="Arial"/>
                <w:szCs w:val="24"/>
                <w:lang w:eastAsia="sv-SE"/>
              </w:rPr>
            </w:pPr>
            <w:r w:rsidRPr="00A54B1D">
              <w:rPr>
                <w:rFonts w:ascii="Arial" w:hAnsi="Arial" w:cs="Arial"/>
                <w:szCs w:val="24"/>
                <w:lang w:eastAsia="sv-SE"/>
              </w:rPr>
              <w:t xml:space="preserve">2. The Commission shall be responsible for the technical management, development, maintenance, security, </w:t>
            </w:r>
            <w:r w:rsidRPr="00A54B1D">
              <w:rPr>
                <w:rFonts w:ascii="Arial" w:hAnsi="Arial" w:cs="Arial"/>
                <w:b/>
                <w:bCs/>
                <w:i/>
                <w:iCs/>
                <w:szCs w:val="24"/>
                <w:lang w:eastAsia="sv-SE"/>
              </w:rPr>
              <w:t>accessibility,</w:t>
            </w:r>
            <w:r w:rsidRPr="00A54B1D">
              <w:rPr>
                <w:rFonts w:ascii="Arial" w:hAnsi="Arial" w:cs="Arial"/>
                <w:szCs w:val="24"/>
                <w:lang w:eastAsia="sv-SE"/>
              </w:rPr>
              <w:t xml:space="preserve"> and support of the European electronic access point. </w:t>
            </w:r>
          </w:p>
          <w:p w14:paraId="345AD9E8" w14:textId="77777777" w:rsidR="00FB5790" w:rsidRPr="00A54B1D" w:rsidRDefault="00FB5790" w:rsidP="00BB030C">
            <w:pPr>
              <w:shd w:val="clear" w:color="auto" w:fill="FFFFFF"/>
              <w:textAlignment w:val="baseline"/>
              <w:rPr>
                <w:rFonts w:ascii="Arial" w:hAnsi="Arial" w:cs="Arial"/>
                <w:szCs w:val="24"/>
                <w:lang w:eastAsia="sv-SE"/>
              </w:rPr>
            </w:pPr>
          </w:p>
          <w:p w14:paraId="1C665992" w14:textId="77777777" w:rsidR="00FB5790" w:rsidRPr="00A54B1D" w:rsidRDefault="00FB5790" w:rsidP="00BB030C">
            <w:pPr>
              <w:shd w:val="clear" w:color="auto" w:fill="FFFFFF"/>
              <w:textAlignment w:val="baseline"/>
              <w:rPr>
                <w:rFonts w:ascii="Arial" w:hAnsi="Arial" w:cs="Arial"/>
                <w:szCs w:val="24"/>
                <w:lang w:eastAsia="sv-SE"/>
              </w:rPr>
            </w:pPr>
            <w:r w:rsidRPr="00A54B1D">
              <w:rPr>
                <w:rFonts w:ascii="Arial" w:hAnsi="Arial" w:cs="Arial"/>
                <w:szCs w:val="24"/>
                <w:lang w:eastAsia="sv-SE"/>
              </w:rPr>
              <w:lastRenderedPageBreak/>
              <w:t>3. The European electronic access point shall allow natural and legal persons to file claims, launch requests, send and receive procedurally relevant information and communicate with the competent authorities.</w:t>
            </w:r>
          </w:p>
        </w:tc>
      </w:tr>
      <w:tr w:rsidR="00FB5790" w:rsidRPr="00A54B1D" w14:paraId="3FD4819A" w14:textId="77777777" w:rsidTr="00BB030C">
        <w:tc>
          <w:tcPr>
            <w:tcW w:w="9288" w:type="dxa"/>
            <w:gridSpan w:val="2"/>
          </w:tcPr>
          <w:p w14:paraId="6098C67F" w14:textId="77777777" w:rsidR="00FB5790" w:rsidRPr="00A54B1D" w:rsidRDefault="00FB5790" w:rsidP="00BB030C">
            <w:pPr>
              <w:jc w:val="center"/>
              <w:rPr>
                <w:rFonts w:ascii="Arial" w:hAnsi="Arial" w:cs="Arial"/>
                <w:szCs w:val="24"/>
              </w:rPr>
            </w:pPr>
            <w:r w:rsidRPr="00A54B1D">
              <w:rPr>
                <w:rFonts w:ascii="Arial" w:hAnsi="Arial" w:cs="Arial"/>
                <w:szCs w:val="24"/>
              </w:rPr>
              <w:lastRenderedPageBreak/>
              <w:t>Justification:</w:t>
            </w:r>
          </w:p>
          <w:p w14:paraId="6003DE10" w14:textId="77777777" w:rsidR="00FB5790" w:rsidRPr="00A54B1D" w:rsidRDefault="00FB5790" w:rsidP="00BB030C">
            <w:pPr>
              <w:rPr>
                <w:rFonts w:ascii="Arial" w:hAnsi="Arial" w:cs="Arial"/>
                <w:szCs w:val="24"/>
              </w:rPr>
            </w:pPr>
          </w:p>
          <w:p w14:paraId="0F6AE32F" w14:textId="77777777" w:rsidR="00FB5790" w:rsidRDefault="00FB5790" w:rsidP="00BB030C">
            <w:pPr>
              <w:rPr>
                <w:rFonts w:ascii="Arial" w:hAnsi="Arial" w:cs="Arial"/>
                <w:szCs w:val="24"/>
              </w:rPr>
            </w:pPr>
            <w:r w:rsidRPr="00A54B1D">
              <w:rPr>
                <w:rFonts w:ascii="Arial" w:hAnsi="Arial" w:cs="Arial"/>
                <w:szCs w:val="24"/>
              </w:rPr>
              <w:t xml:space="preserve">To ensure equal access to justice it is paramount for European electronic access points to be accessible to users with disabilities, including members of the legal professions, employees, and citizens. </w:t>
            </w:r>
          </w:p>
          <w:p w14:paraId="129A2D9C" w14:textId="77777777" w:rsidR="00FB5790" w:rsidRPr="00A54B1D" w:rsidRDefault="00FB5790" w:rsidP="00BB030C">
            <w:pPr>
              <w:rPr>
                <w:rFonts w:ascii="Arial" w:hAnsi="Arial" w:cs="Arial"/>
                <w:szCs w:val="24"/>
              </w:rPr>
            </w:pPr>
          </w:p>
        </w:tc>
      </w:tr>
    </w:tbl>
    <w:p w14:paraId="567CD92B" w14:textId="77777777" w:rsidR="00FB5790" w:rsidRPr="00A54B1D" w:rsidRDefault="00FB5790" w:rsidP="00FB5790">
      <w:pPr>
        <w:spacing w:after="200" w:line="276" w:lineRule="auto"/>
        <w:rPr>
          <w:rFonts w:ascii="Arial" w:eastAsia="Calibri" w:hAnsi="Arial" w:cs="Arial"/>
          <w:szCs w:val="24"/>
        </w:rPr>
      </w:pPr>
    </w:p>
    <w:p w14:paraId="0EA439DD" w14:textId="77777777" w:rsidR="00FB5790" w:rsidRPr="00A54B1D" w:rsidRDefault="00FB5790" w:rsidP="00FB5790">
      <w:pPr>
        <w:pStyle w:val="Heading2"/>
        <w:rPr>
          <w:rFonts w:eastAsia="Times New Roman"/>
          <w:bCs/>
          <w:lang w:val="en-GB" w:eastAsia="sv-SE"/>
        </w:rPr>
      </w:pPr>
      <w:bookmarkStart w:id="8" w:name="_Toc108434123"/>
      <w:bookmarkStart w:id="9" w:name="_Toc109049396"/>
      <w:r w:rsidRPr="00A54B1D">
        <w:rPr>
          <w:rFonts w:eastAsia="Times New Roman"/>
          <w:lang w:val="en-GB" w:eastAsia="sv-SE"/>
        </w:rPr>
        <w:t>Article 5: Means of communication between natural or legal persons and competent authorities</w:t>
      </w:r>
      <w:bookmarkEnd w:id="8"/>
      <w:bookmarkEnd w:id="9"/>
    </w:p>
    <w:tbl>
      <w:tblPr>
        <w:tblStyle w:val="TableGrid1"/>
        <w:tblW w:w="9288" w:type="dxa"/>
        <w:tblLook w:val="04A0" w:firstRow="1" w:lastRow="0" w:firstColumn="1" w:lastColumn="0" w:noHBand="0" w:noVBand="1"/>
      </w:tblPr>
      <w:tblGrid>
        <w:gridCol w:w="4608"/>
        <w:gridCol w:w="4680"/>
      </w:tblGrid>
      <w:tr w:rsidR="00FB5790" w:rsidRPr="00A54B1D" w14:paraId="000E42A6" w14:textId="77777777" w:rsidTr="00BB030C">
        <w:tc>
          <w:tcPr>
            <w:tcW w:w="4608" w:type="dxa"/>
          </w:tcPr>
          <w:p w14:paraId="4D4C94B2" w14:textId="77777777" w:rsidR="00FB5790" w:rsidRPr="00A54B1D" w:rsidRDefault="00FB5790" w:rsidP="00BB030C">
            <w:pPr>
              <w:rPr>
                <w:rFonts w:ascii="Arial" w:hAnsi="Arial" w:cs="Arial"/>
                <w:b/>
                <w:bCs/>
                <w:szCs w:val="24"/>
              </w:rPr>
            </w:pPr>
            <w:r w:rsidRPr="00A54B1D">
              <w:rPr>
                <w:rFonts w:ascii="Arial" w:hAnsi="Arial" w:cs="Arial"/>
                <w:b/>
                <w:bCs/>
                <w:szCs w:val="24"/>
              </w:rPr>
              <w:t>Commission proposal</w:t>
            </w:r>
          </w:p>
        </w:tc>
        <w:tc>
          <w:tcPr>
            <w:tcW w:w="4680" w:type="dxa"/>
          </w:tcPr>
          <w:p w14:paraId="0DF16076" w14:textId="77777777" w:rsidR="00FB5790" w:rsidRPr="00A54B1D" w:rsidRDefault="00FB5790" w:rsidP="00BB030C">
            <w:pPr>
              <w:rPr>
                <w:rFonts w:ascii="Arial" w:hAnsi="Arial" w:cs="Arial"/>
                <w:b/>
                <w:bCs/>
                <w:szCs w:val="24"/>
              </w:rPr>
            </w:pPr>
            <w:r w:rsidRPr="00A54B1D">
              <w:rPr>
                <w:rFonts w:ascii="Arial" w:hAnsi="Arial" w:cs="Arial"/>
                <w:b/>
                <w:bCs/>
                <w:szCs w:val="24"/>
              </w:rPr>
              <w:t>Proposed amendments</w:t>
            </w:r>
          </w:p>
        </w:tc>
      </w:tr>
      <w:tr w:rsidR="00FB5790" w:rsidRPr="00A54B1D" w14:paraId="2303169F" w14:textId="77777777" w:rsidTr="00BB030C">
        <w:tc>
          <w:tcPr>
            <w:tcW w:w="4608" w:type="dxa"/>
          </w:tcPr>
          <w:p w14:paraId="3E1F7B20" w14:textId="77777777" w:rsidR="00FB5790" w:rsidRPr="00A54B1D" w:rsidRDefault="00FB5790" w:rsidP="00BB030C">
            <w:pPr>
              <w:shd w:val="clear" w:color="auto" w:fill="FFFFFF"/>
              <w:textAlignment w:val="baseline"/>
              <w:rPr>
                <w:rFonts w:ascii="Arial" w:hAnsi="Arial" w:cs="Arial"/>
                <w:szCs w:val="24"/>
                <w:lang w:eastAsia="sv-SE"/>
              </w:rPr>
            </w:pPr>
            <w:r w:rsidRPr="00A54B1D">
              <w:rPr>
                <w:rFonts w:ascii="Arial" w:hAnsi="Arial" w:cs="Arial"/>
                <w:szCs w:val="24"/>
                <w:lang w:eastAsia="sv-SE"/>
              </w:rPr>
              <w:t xml:space="preserve">1. Written communication between natural or legal persons and competent authorities falling within the scope of the legal acts listed in Annex I, may be carried out by the following electronic means: (a) the European electronic access point; or (b) national IT portals, where available. </w:t>
            </w:r>
          </w:p>
          <w:p w14:paraId="58C34388" w14:textId="77777777" w:rsidR="00FB5790" w:rsidRPr="00A54B1D" w:rsidRDefault="00FB5790" w:rsidP="00BB030C">
            <w:pPr>
              <w:shd w:val="clear" w:color="auto" w:fill="FFFFFF"/>
              <w:textAlignment w:val="baseline"/>
              <w:rPr>
                <w:rFonts w:ascii="Arial" w:hAnsi="Arial" w:cs="Arial"/>
                <w:szCs w:val="24"/>
                <w:lang w:eastAsia="sv-SE"/>
              </w:rPr>
            </w:pPr>
          </w:p>
          <w:p w14:paraId="560295C4" w14:textId="77777777" w:rsidR="00FB5790" w:rsidRPr="00A54B1D" w:rsidRDefault="00FB5790" w:rsidP="00BB030C">
            <w:pPr>
              <w:shd w:val="clear" w:color="auto" w:fill="FFFFFF"/>
              <w:textAlignment w:val="baseline"/>
              <w:rPr>
                <w:rFonts w:ascii="Arial" w:hAnsi="Arial" w:cs="Arial"/>
                <w:szCs w:val="24"/>
                <w:lang w:eastAsia="sv-SE"/>
              </w:rPr>
            </w:pPr>
            <w:r w:rsidRPr="00A54B1D">
              <w:rPr>
                <w:rFonts w:ascii="Arial" w:hAnsi="Arial" w:cs="Arial"/>
                <w:szCs w:val="24"/>
                <w:lang w:eastAsia="sv-SE"/>
              </w:rPr>
              <w:t xml:space="preserve">2. Competent authorities shall communicate with natural and legal persons through the European electronic access point, where that natural or legal person gave prior express consent to the use of this means of communication. </w:t>
            </w:r>
          </w:p>
          <w:p w14:paraId="3C38667B" w14:textId="77777777" w:rsidR="00FB5790" w:rsidRPr="00A54B1D" w:rsidRDefault="00FB5790" w:rsidP="00BB030C">
            <w:pPr>
              <w:shd w:val="clear" w:color="auto" w:fill="FFFFFF"/>
              <w:textAlignment w:val="baseline"/>
              <w:rPr>
                <w:rFonts w:ascii="Arial" w:hAnsi="Arial" w:cs="Arial"/>
                <w:szCs w:val="24"/>
                <w:lang w:eastAsia="sv-SE"/>
              </w:rPr>
            </w:pPr>
          </w:p>
          <w:p w14:paraId="5AC05433" w14:textId="77777777" w:rsidR="00FB5790" w:rsidRPr="00A54B1D" w:rsidRDefault="00FB5790" w:rsidP="00BB030C">
            <w:pPr>
              <w:shd w:val="clear" w:color="auto" w:fill="FFFFFF"/>
              <w:textAlignment w:val="baseline"/>
              <w:rPr>
                <w:rFonts w:ascii="Arial" w:hAnsi="Arial" w:cs="Arial"/>
                <w:szCs w:val="24"/>
                <w:lang w:eastAsia="sv-SE"/>
              </w:rPr>
            </w:pPr>
            <w:r w:rsidRPr="00A54B1D">
              <w:rPr>
                <w:rFonts w:ascii="Arial" w:hAnsi="Arial" w:cs="Arial"/>
                <w:szCs w:val="24"/>
                <w:lang w:eastAsia="sv-SE"/>
              </w:rPr>
              <w:t>3. Communication under paragraph 1 shall be considered equivalent to written communication under the applicable procedural rules</w:t>
            </w:r>
          </w:p>
        </w:tc>
        <w:tc>
          <w:tcPr>
            <w:tcW w:w="4680" w:type="dxa"/>
          </w:tcPr>
          <w:p w14:paraId="1F6B085D" w14:textId="77777777" w:rsidR="00FB5790" w:rsidRPr="00A54B1D" w:rsidRDefault="00FB5790" w:rsidP="00BB030C">
            <w:pPr>
              <w:shd w:val="clear" w:color="auto" w:fill="FFFFFF"/>
              <w:textAlignment w:val="baseline"/>
              <w:rPr>
                <w:rFonts w:ascii="Arial" w:hAnsi="Arial" w:cs="Arial"/>
                <w:szCs w:val="24"/>
                <w:lang w:eastAsia="sv-SE"/>
              </w:rPr>
            </w:pPr>
            <w:r w:rsidRPr="00A54B1D">
              <w:rPr>
                <w:rFonts w:ascii="Arial" w:hAnsi="Arial" w:cs="Arial"/>
                <w:szCs w:val="24"/>
                <w:lang w:eastAsia="sv-SE"/>
              </w:rPr>
              <w:t xml:space="preserve">1. Written communication between natural or legal persons and competent authorities falling within the scope of the legal acts listed in Annex I, may be carried out by the following electronic means: (a) the European electronic access point; or (b) national IT portals, where available. </w:t>
            </w:r>
          </w:p>
          <w:p w14:paraId="682C9779" w14:textId="77777777" w:rsidR="00FB5790" w:rsidRPr="00A54B1D" w:rsidRDefault="00FB5790" w:rsidP="00BB030C">
            <w:pPr>
              <w:shd w:val="clear" w:color="auto" w:fill="FFFFFF"/>
              <w:textAlignment w:val="baseline"/>
              <w:rPr>
                <w:rFonts w:ascii="Arial" w:hAnsi="Arial" w:cs="Arial"/>
                <w:szCs w:val="24"/>
                <w:lang w:eastAsia="sv-SE"/>
              </w:rPr>
            </w:pPr>
          </w:p>
          <w:p w14:paraId="11BBE5EF" w14:textId="77777777" w:rsidR="00FB5790" w:rsidRPr="00A54B1D" w:rsidRDefault="00FB5790" w:rsidP="00BB030C">
            <w:pPr>
              <w:shd w:val="clear" w:color="auto" w:fill="FFFFFF"/>
              <w:textAlignment w:val="baseline"/>
              <w:rPr>
                <w:rFonts w:ascii="Arial" w:hAnsi="Arial" w:cs="Arial"/>
                <w:szCs w:val="24"/>
                <w:lang w:eastAsia="sv-SE"/>
              </w:rPr>
            </w:pPr>
            <w:r w:rsidRPr="00A54B1D">
              <w:rPr>
                <w:rFonts w:ascii="Arial" w:hAnsi="Arial" w:cs="Arial"/>
                <w:szCs w:val="24"/>
                <w:lang w:eastAsia="sv-SE"/>
              </w:rPr>
              <w:t xml:space="preserve">2. Competent authorities shall communicate with natural and legal persons through the European electronic access point, where that natural or legal person gave prior express consent to the use of this means of communication </w:t>
            </w:r>
            <w:r w:rsidRPr="00A54B1D">
              <w:rPr>
                <w:rFonts w:ascii="Arial" w:hAnsi="Arial" w:cs="Arial"/>
                <w:b/>
                <w:bCs/>
                <w:i/>
                <w:iCs/>
                <w:szCs w:val="24"/>
                <w:lang w:eastAsia="sv-SE"/>
              </w:rPr>
              <w:t>and that it is accessible to persons with disabilities</w:t>
            </w:r>
            <w:r w:rsidRPr="00A54B1D">
              <w:rPr>
                <w:rFonts w:ascii="Arial" w:hAnsi="Arial" w:cs="Arial"/>
                <w:szCs w:val="24"/>
                <w:lang w:eastAsia="sv-SE"/>
              </w:rPr>
              <w:t>.</w:t>
            </w:r>
          </w:p>
          <w:p w14:paraId="7070C7A8" w14:textId="77777777" w:rsidR="00FB5790" w:rsidRPr="00A54B1D" w:rsidRDefault="00FB5790" w:rsidP="00BB030C">
            <w:pPr>
              <w:shd w:val="clear" w:color="auto" w:fill="FFFFFF"/>
              <w:textAlignment w:val="baseline"/>
              <w:rPr>
                <w:rFonts w:ascii="Arial" w:hAnsi="Arial" w:cs="Arial"/>
                <w:szCs w:val="24"/>
                <w:lang w:eastAsia="sv-SE"/>
              </w:rPr>
            </w:pPr>
          </w:p>
          <w:p w14:paraId="31A85CF6" w14:textId="77777777" w:rsidR="00FB5790" w:rsidRPr="00A54B1D" w:rsidRDefault="00FB5790" w:rsidP="00BB030C">
            <w:pPr>
              <w:shd w:val="clear" w:color="auto" w:fill="FFFFFF"/>
              <w:textAlignment w:val="baseline"/>
              <w:rPr>
                <w:rFonts w:ascii="Arial" w:hAnsi="Arial" w:cs="Arial"/>
                <w:szCs w:val="24"/>
                <w:lang w:eastAsia="sv-SE"/>
              </w:rPr>
            </w:pPr>
            <w:r w:rsidRPr="00A54B1D">
              <w:rPr>
                <w:rFonts w:ascii="Arial" w:hAnsi="Arial" w:cs="Arial"/>
                <w:szCs w:val="24"/>
                <w:lang w:eastAsia="sv-SE"/>
              </w:rPr>
              <w:t>3. Communication under paragraph 1 shall be considered equivalent to written communication under the applicable procedural rules</w:t>
            </w:r>
          </w:p>
        </w:tc>
      </w:tr>
      <w:tr w:rsidR="00FB5790" w:rsidRPr="00A54B1D" w14:paraId="750890C9" w14:textId="77777777" w:rsidTr="00BB030C">
        <w:tc>
          <w:tcPr>
            <w:tcW w:w="9288" w:type="dxa"/>
            <w:gridSpan w:val="2"/>
          </w:tcPr>
          <w:p w14:paraId="48878FA7" w14:textId="77777777" w:rsidR="00FB5790" w:rsidRPr="00A54B1D" w:rsidRDefault="00FB5790" w:rsidP="00BB030C">
            <w:pPr>
              <w:jc w:val="center"/>
              <w:rPr>
                <w:rFonts w:ascii="Arial" w:hAnsi="Arial" w:cs="Arial"/>
                <w:szCs w:val="24"/>
              </w:rPr>
            </w:pPr>
            <w:r w:rsidRPr="00A54B1D">
              <w:rPr>
                <w:rFonts w:ascii="Arial" w:hAnsi="Arial" w:cs="Arial"/>
                <w:szCs w:val="24"/>
              </w:rPr>
              <w:t>Justification:</w:t>
            </w:r>
          </w:p>
          <w:p w14:paraId="139ED4DC" w14:textId="77777777" w:rsidR="00FB5790" w:rsidRPr="00A54B1D" w:rsidRDefault="00FB5790" w:rsidP="00BB030C">
            <w:pPr>
              <w:rPr>
                <w:rFonts w:ascii="Arial" w:hAnsi="Arial" w:cs="Arial"/>
                <w:szCs w:val="24"/>
              </w:rPr>
            </w:pPr>
          </w:p>
          <w:p w14:paraId="4F58B192" w14:textId="77777777" w:rsidR="00FB5790" w:rsidRPr="00A54B1D" w:rsidRDefault="00FB5790" w:rsidP="00BB030C">
            <w:pPr>
              <w:rPr>
                <w:rFonts w:ascii="Arial" w:hAnsi="Arial" w:cs="Arial"/>
                <w:szCs w:val="24"/>
              </w:rPr>
            </w:pPr>
            <w:r w:rsidRPr="00A54B1D">
              <w:rPr>
                <w:rFonts w:ascii="Arial" w:hAnsi="Arial" w:cs="Arial"/>
                <w:szCs w:val="24"/>
              </w:rPr>
              <w:t>To ensure equal access to justice</w:t>
            </w:r>
            <w:r>
              <w:rPr>
                <w:rFonts w:ascii="Arial" w:hAnsi="Arial" w:cs="Arial"/>
                <w:szCs w:val="24"/>
              </w:rPr>
              <w:t xml:space="preserve"> and the right to a fair trial</w:t>
            </w:r>
            <w:r w:rsidRPr="00A54B1D">
              <w:rPr>
                <w:rFonts w:ascii="Arial" w:hAnsi="Arial" w:cs="Arial"/>
                <w:szCs w:val="24"/>
              </w:rPr>
              <w:t xml:space="preserve"> it is paramount for European electronic access points to be accessible to users with disabilities, including natural persons such as members of the legal professions, employees, and citizens. </w:t>
            </w:r>
          </w:p>
          <w:p w14:paraId="18A109FB" w14:textId="77777777" w:rsidR="00FB5790" w:rsidRPr="00A54B1D" w:rsidRDefault="00FB5790" w:rsidP="00BB030C">
            <w:pPr>
              <w:shd w:val="clear" w:color="auto" w:fill="FFFFFF"/>
              <w:spacing w:before="120" w:line="312" w:lineRule="atLeast"/>
              <w:rPr>
                <w:rFonts w:ascii="Arial" w:hAnsi="Arial" w:cs="Arial"/>
                <w:szCs w:val="24"/>
                <w:lang w:eastAsia="sv-SE"/>
              </w:rPr>
            </w:pPr>
          </w:p>
        </w:tc>
      </w:tr>
    </w:tbl>
    <w:p w14:paraId="64A76E78" w14:textId="77777777" w:rsidR="00FB5790" w:rsidRPr="00A54B1D" w:rsidRDefault="00FB5790" w:rsidP="00FB5790">
      <w:pPr>
        <w:spacing w:after="200" w:line="276" w:lineRule="auto"/>
        <w:rPr>
          <w:rFonts w:ascii="Arial" w:eastAsia="Calibri" w:hAnsi="Arial" w:cs="Arial"/>
          <w:szCs w:val="24"/>
        </w:rPr>
      </w:pPr>
    </w:p>
    <w:p w14:paraId="0645F0C0" w14:textId="77777777" w:rsidR="00FB5790" w:rsidRPr="00A54B1D" w:rsidRDefault="00FB5790" w:rsidP="00FB5790">
      <w:pPr>
        <w:pStyle w:val="Heading2"/>
        <w:rPr>
          <w:rFonts w:eastAsia="Calibri" w:cs="Arial"/>
        </w:rPr>
      </w:pPr>
      <w:bookmarkStart w:id="10" w:name="_Toc108434124"/>
      <w:bookmarkStart w:id="11" w:name="_Toc109049397"/>
      <w:r w:rsidRPr="00A54B1D">
        <w:rPr>
          <w:rFonts w:eastAsia="Times New Roman"/>
          <w:lang w:val="en-GB" w:eastAsia="sv-SE"/>
        </w:rPr>
        <w:lastRenderedPageBreak/>
        <w:t>Article 7: Hearing through videoconferencing or other distance communication technology in civil and commercial matters</w:t>
      </w:r>
      <w:bookmarkEnd w:id="10"/>
      <w:bookmarkEnd w:id="11"/>
    </w:p>
    <w:tbl>
      <w:tblPr>
        <w:tblStyle w:val="TableGrid1"/>
        <w:tblW w:w="9288" w:type="dxa"/>
        <w:tblLook w:val="04A0" w:firstRow="1" w:lastRow="0" w:firstColumn="1" w:lastColumn="0" w:noHBand="0" w:noVBand="1"/>
      </w:tblPr>
      <w:tblGrid>
        <w:gridCol w:w="4608"/>
        <w:gridCol w:w="4680"/>
      </w:tblGrid>
      <w:tr w:rsidR="00FB5790" w:rsidRPr="00A54B1D" w14:paraId="4769F1BF" w14:textId="77777777" w:rsidTr="00BB030C">
        <w:tc>
          <w:tcPr>
            <w:tcW w:w="4608" w:type="dxa"/>
          </w:tcPr>
          <w:p w14:paraId="4431B298" w14:textId="77777777" w:rsidR="00FB5790" w:rsidRPr="00A54B1D" w:rsidRDefault="00FB5790" w:rsidP="00BB030C">
            <w:pPr>
              <w:rPr>
                <w:rFonts w:ascii="Arial" w:hAnsi="Arial" w:cs="Arial"/>
                <w:b/>
                <w:bCs/>
                <w:szCs w:val="24"/>
              </w:rPr>
            </w:pPr>
            <w:r w:rsidRPr="00A54B1D">
              <w:rPr>
                <w:rFonts w:ascii="Arial" w:hAnsi="Arial" w:cs="Arial"/>
                <w:b/>
                <w:bCs/>
                <w:szCs w:val="24"/>
              </w:rPr>
              <w:t>Commission proposal</w:t>
            </w:r>
          </w:p>
        </w:tc>
        <w:tc>
          <w:tcPr>
            <w:tcW w:w="4680" w:type="dxa"/>
          </w:tcPr>
          <w:p w14:paraId="419D3794" w14:textId="77777777" w:rsidR="00FB5790" w:rsidRPr="00A54B1D" w:rsidRDefault="00FB5790" w:rsidP="00BB030C">
            <w:pPr>
              <w:rPr>
                <w:rFonts w:ascii="Arial" w:hAnsi="Arial" w:cs="Arial"/>
                <w:b/>
                <w:bCs/>
                <w:szCs w:val="24"/>
              </w:rPr>
            </w:pPr>
            <w:r w:rsidRPr="00A54B1D">
              <w:rPr>
                <w:rFonts w:ascii="Arial" w:hAnsi="Arial" w:cs="Arial"/>
                <w:b/>
                <w:bCs/>
                <w:szCs w:val="24"/>
              </w:rPr>
              <w:t>Proposed amendments</w:t>
            </w:r>
          </w:p>
        </w:tc>
      </w:tr>
      <w:tr w:rsidR="00FB5790" w:rsidRPr="00A54B1D" w14:paraId="24E85EA7" w14:textId="77777777" w:rsidTr="00BB030C">
        <w:tc>
          <w:tcPr>
            <w:tcW w:w="4608" w:type="dxa"/>
          </w:tcPr>
          <w:p w14:paraId="466C0314" w14:textId="77777777" w:rsidR="00FB5790" w:rsidRPr="00A54B1D" w:rsidRDefault="00FB5790" w:rsidP="00BB030C">
            <w:pPr>
              <w:shd w:val="clear" w:color="auto" w:fill="FFFFFF"/>
              <w:textAlignment w:val="baseline"/>
              <w:rPr>
                <w:rFonts w:ascii="Arial" w:hAnsi="Arial" w:cs="Arial"/>
                <w:szCs w:val="24"/>
                <w:lang w:eastAsia="sv-SE"/>
              </w:rPr>
            </w:pPr>
            <w:r w:rsidRPr="00A54B1D">
              <w:rPr>
                <w:rFonts w:ascii="Arial" w:hAnsi="Arial" w:cs="Arial"/>
                <w:szCs w:val="24"/>
                <w:lang w:eastAsia="sv-SE"/>
              </w:rPr>
              <w:t xml:space="preserve">1. Without prejudice to specific provisions regulating the use of videoconferencing or other distance communication technology in proceedings under the legal acts listed in Annex I, and upon request of a party to proceedings falling under the scope of these legal acts or in other civil and commercial matters where one of the parties is present in another Member State, or upon request of their legal or </w:t>
            </w:r>
            <w:proofErr w:type="spellStart"/>
            <w:r w:rsidRPr="00A54B1D">
              <w:rPr>
                <w:rFonts w:ascii="Arial" w:hAnsi="Arial" w:cs="Arial"/>
                <w:szCs w:val="24"/>
                <w:lang w:eastAsia="sv-SE"/>
              </w:rPr>
              <w:t>authorised</w:t>
            </w:r>
            <w:proofErr w:type="spellEnd"/>
            <w:r w:rsidRPr="00A54B1D">
              <w:rPr>
                <w:rFonts w:ascii="Arial" w:hAnsi="Arial" w:cs="Arial"/>
                <w:szCs w:val="24"/>
                <w:lang w:eastAsia="sv-SE"/>
              </w:rPr>
              <w:t xml:space="preserve"> representative, competent authorities shall allow their participation to a hearing by videoconferencing or other distance communication technology, provided that: </w:t>
            </w:r>
          </w:p>
          <w:p w14:paraId="38BEF62D" w14:textId="77777777" w:rsidR="00FB5790" w:rsidRPr="00A54B1D" w:rsidRDefault="00FB5790" w:rsidP="00BB030C">
            <w:pPr>
              <w:shd w:val="clear" w:color="auto" w:fill="FFFFFF"/>
              <w:textAlignment w:val="baseline"/>
              <w:rPr>
                <w:rFonts w:ascii="Arial" w:hAnsi="Arial" w:cs="Arial"/>
                <w:szCs w:val="24"/>
                <w:lang w:eastAsia="sv-SE"/>
              </w:rPr>
            </w:pPr>
          </w:p>
          <w:p w14:paraId="10F6E302" w14:textId="77777777" w:rsidR="00FB5790" w:rsidRPr="00A54B1D" w:rsidRDefault="00FB5790" w:rsidP="00BB030C">
            <w:pPr>
              <w:shd w:val="clear" w:color="auto" w:fill="FFFFFF"/>
              <w:textAlignment w:val="baseline"/>
              <w:rPr>
                <w:rFonts w:ascii="Arial" w:hAnsi="Arial" w:cs="Arial"/>
                <w:szCs w:val="24"/>
                <w:lang w:eastAsia="sv-SE"/>
              </w:rPr>
            </w:pPr>
            <w:r w:rsidRPr="00A54B1D">
              <w:rPr>
                <w:rFonts w:ascii="Arial" w:hAnsi="Arial" w:cs="Arial"/>
                <w:szCs w:val="24"/>
                <w:lang w:eastAsia="sv-SE"/>
              </w:rPr>
              <w:t xml:space="preserve">(a) such technology is available, and </w:t>
            </w:r>
          </w:p>
          <w:p w14:paraId="6A6F8237" w14:textId="77777777" w:rsidR="00FB5790" w:rsidRPr="00A54B1D" w:rsidRDefault="00FB5790" w:rsidP="00BB030C">
            <w:pPr>
              <w:shd w:val="clear" w:color="auto" w:fill="FFFFFF"/>
              <w:textAlignment w:val="baseline"/>
              <w:rPr>
                <w:rFonts w:ascii="Arial" w:hAnsi="Arial" w:cs="Arial"/>
                <w:szCs w:val="24"/>
                <w:lang w:eastAsia="sv-SE"/>
              </w:rPr>
            </w:pPr>
          </w:p>
          <w:p w14:paraId="52E3648D" w14:textId="77777777" w:rsidR="00FB5790" w:rsidRPr="00A54B1D" w:rsidRDefault="00FB5790" w:rsidP="00BB030C">
            <w:pPr>
              <w:shd w:val="clear" w:color="auto" w:fill="FFFFFF"/>
              <w:textAlignment w:val="baseline"/>
              <w:rPr>
                <w:rFonts w:ascii="Arial" w:hAnsi="Arial" w:cs="Arial"/>
                <w:szCs w:val="24"/>
                <w:lang w:eastAsia="sv-SE"/>
              </w:rPr>
            </w:pPr>
            <w:r w:rsidRPr="00A54B1D">
              <w:rPr>
                <w:rFonts w:ascii="Arial" w:hAnsi="Arial" w:cs="Arial"/>
                <w:szCs w:val="24"/>
                <w:lang w:eastAsia="sv-SE"/>
              </w:rPr>
              <w:t xml:space="preserve">(b) the other party or parties to the proceedings were given the possibility to submit an opinion on the use of videoconferencing or other distance communication technology. </w:t>
            </w:r>
          </w:p>
          <w:p w14:paraId="789556A0" w14:textId="77777777" w:rsidR="00FB5790" w:rsidRPr="00A54B1D" w:rsidRDefault="00FB5790" w:rsidP="00BB030C">
            <w:pPr>
              <w:shd w:val="clear" w:color="auto" w:fill="FFFFFF"/>
              <w:textAlignment w:val="baseline"/>
              <w:rPr>
                <w:rFonts w:ascii="Arial" w:hAnsi="Arial" w:cs="Arial"/>
                <w:szCs w:val="24"/>
                <w:lang w:eastAsia="sv-SE"/>
              </w:rPr>
            </w:pPr>
          </w:p>
          <w:p w14:paraId="14293D6D" w14:textId="77777777" w:rsidR="00FB5790" w:rsidRPr="00A54B1D" w:rsidRDefault="00FB5790" w:rsidP="00BB030C">
            <w:pPr>
              <w:shd w:val="clear" w:color="auto" w:fill="FFFFFF"/>
              <w:textAlignment w:val="baseline"/>
              <w:rPr>
                <w:rFonts w:ascii="Arial" w:hAnsi="Arial" w:cs="Arial"/>
                <w:szCs w:val="24"/>
                <w:lang w:eastAsia="sv-SE"/>
              </w:rPr>
            </w:pPr>
            <w:r w:rsidRPr="00A54B1D">
              <w:rPr>
                <w:rFonts w:ascii="Arial" w:hAnsi="Arial" w:cs="Arial"/>
                <w:szCs w:val="24"/>
                <w:lang w:eastAsia="sv-SE"/>
              </w:rPr>
              <w:t xml:space="preserve">2. A request for conducting an oral hearing through videoconferencing or other distance communication technology may be refused by the competent authority where the particular circumstances of the case are not compatible with the use of such technology. </w:t>
            </w:r>
          </w:p>
          <w:p w14:paraId="0D263779" w14:textId="77777777" w:rsidR="00FB5790" w:rsidRPr="00A54B1D" w:rsidRDefault="00FB5790" w:rsidP="00BB030C">
            <w:pPr>
              <w:shd w:val="clear" w:color="auto" w:fill="FFFFFF"/>
              <w:textAlignment w:val="baseline"/>
              <w:rPr>
                <w:rFonts w:ascii="Arial" w:hAnsi="Arial" w:cs="Arial"/>
                <w:szCs w:val="24"/>
                <w:lang w:eastAsia="sv-SE"/>
              </w:rPr>
            </w:pPr>
          </w:p>
          <w:p w14:paraId="0E2ACB44" w14:textId="77777777" w:rsidR="00FB5790" w:rsidRPr="00A54B1D" w:rsidRDefault="00FB5790" w:rsidP="00BB030C">
            <w:pPr>
              <w:shd w:val="clear" w:color="auto" w:fill="FFFFFF"/>
              <w:textAlignment w:val="baseline"/>
              <w:rPr>
                <w:rFonts w:ascii="Arial" w:hAnsi="Arial" w:cs="Arial"/>
                <w:szCs w:val="24"/>
                <w:lang w:eastAsia="sv-SE"/>
              </w:rPr>
            </w:pPr>
            <w:r w:rsidRPr="00A54B1D">
              <w:rPr>
                <w:rFonts w:ascii="Arial" w:hAnsi="Arial" w:cs="Arial"/>
                <w:szCs w:val="24"/>
                <w:lang w:eastAsia="sv-SE"/>
              </w:rPr>
              <w:t>3. Competent authorities may on their own motion allow the participation of parties to hearings by videoconference, provided that all parties to the proceedings are given the possibility to submit an opinion on the use of videoconferencing or other distance communication technology</w:t>
            </w:r>
          </w:p>
        </w:tc>
        <w:tc>
          <w:tcPr>
            <w:tcW w:w="4680" w:type="dxa"/>
          </w:tcPr>
          <w:p w14:paraId="1AC4ACEC" w14:textId="77777777" w:rsidR="00FB5790" w:rsidRPr="00A54B1D" w:rsidRDefault="00FB5790" w:rsidP="00BB030C">
            <w:pPr>
              <w:shd w:val="clear" w:color="auto" w:fill="FFFFFF"/>
              <w:textAlignment w:val="baseline"/>
              <w:rPr>
                <w:rFonts w:ascii="Arial" w:hAnsi="Arial" w:cs="Arial"/>
                <w:szCs w:val="24"/>
                <w:lang w:eastAsia="sv-SE"/>
              </w:rPr>
            </w:pPr>
            <w:r w:rsidRPr="00A54B1D">
              <w:rPr>
                <w:rFonts w:ascii="Arial" w:hAnsi="Arial" w:cs="Arial"/>
                <w:szCs w:val="24"/>
                <w:lang w:eastAsia="sv-SE"/>
              </w:rPr>
              <w:t xml:space="preserve">1. Without prejudice to specific provisions regulating the use of videoconferencing or other distance communication technology in proceedings under the legal acts listed in Annex I, and upon request of a party to proceedings falling under the scope of these legal acts or in other civil and commercial matters where one of the parties is present in another Member State, or upon request of their legal or </w:t>
            </w:r>
            <w:proofErr w:type="spellStart"/>
            <w:r w:rsidRPr="00A54B1D">
              <w:rPr>
                <w:rFonts w:ascii="Arial" w:hAnsi="Arial" w:cs="Arial"/>
                <w:szCs w:val="24"/>
                <w:lang w:eastAsia="sv-SE"/>
              </w:rPr>
              <w:t>authorised</w:t>
            </w:r>
            <w:proofErr w:type="spellEnd"/>
            <w:r w:rsidRPr="00A54B1D">
              <w:rPr>
                <w:rFonts w:ascii="Arial" w:hAnsi="Arial" w:cs="Arial"/>
                <w:szCs w:val="24"/>
                <w:lang w:eastAsia="sv-SE"/>
              </w:rPr>
              <w:t xml:space="preserve"> representative, competent authorities shall allow their participation to a hearing by videoconferencing or other distance communication technology, provided that: </w:t>
            </w:r>
          </w:p>
          <w:p w14:paraId="062A9C93" w14:textId="77777777" w:rsidR="00FB5790" w:rsidRPr="00A54B1D" w:rsidRDefault="00FB5790" w:rsidP="00BB030C">
            <w:pPr>
              <w:shd w:val="clear" w:color="auto" w:fill="FFFFFF"/>
              <w:textAlignment w:val="baseline"/>
              <w:rPr>
                <w:rFonts w:ascii="Arial" w:hAnsi="Arial" w:cs="Arial"/>
                <w:szCs w:val="24"/>
                <w:lang w:eastAsia="sv-SE"/>
              </w:rPr>
            </w:pPr>
          </w:p>
          <w:p w14:paraId="2BC567C7" w14:textId="77777777" w:rsidR="00FB5790" w:rsidRPr="00A54B1D" w:rsidRDefault="00FB5790" w:rsidP="00BB030C">
            <w:pPr>
              <w:shd w:val="clear" w:color="auto" w:fill="FFFFFF"/>
              <w:textAlignment w:val="baseline"/>
              <w:rPr>
                <w:rFonts w:ascii="Arial" w:hAnsi="Arial" w:cs="Arial"/>
                <w:szCs w:val="24"/>
                <w:lang w:eastAsia="sv-SE"/>
              </w:rPr>
            </w:pPr>
            <w:r w:rsidRPr="00A54B1D">
              <w:rPr>
                <w:rFonts w:ascii="Arial" w:hAnsi="Arial" w:cs="Arial"/>
                <w:szCs w:val="24"/>
                <w:lang w:eastAsia="sv-SE"/>
              </w:rPr>
              <w:t xml:space="preserve">(a) such technology is available, and </w:t>
            </w:r>
            <w:r w:rsidRPr="00A54B1D">
              <w:rPr>
                <w:rFonts w:ascii="Arial" w:hAnsi="Arial" w:cs="Arial"/>
                <w:b/>
                <w:bCs/>
                <w:i/>
                <w:iCs/>
                <w:szCs w:val="24"/>
                <w:lang w:eastAsia="sv-SE"/>
              </w:rPr>
              <w:t>accessible, as per accessibility requirements set out in annex I of directive (EU) 2019/882</w:t>
            </w:r>
            <w:r w:rsidRPr="00A54B1D">
              <w:rPr>
                <w:rFonts w:ascii="Arial" w:hAnsi="Arial" w:cs="Arial"/>
                <w:i/>
                <w:iCs/>
                <w:szCs w:val="24"/>
                <w:lang w:eastAsia="sv-SE"/>
              </w:rPr>
              <w:t xml:space="preserve"> </w:t>
            </w:r>
            <w:r w:rsidRPr="00A54B1D">
              <w:rPr>
                <w:rFonts w:ascii="Arial" w:hAnsi="Arial" w:cs="Arial"/>
                <w:b/>
                <w:bCs/>
                <w:i/>
                <w:iCs/>
                <w:szCs w:val="24"/>
                <w:lang w:eastAsia="sv-SE"/>
              </w:rPr>
              <w:t>of the European Parliament and of the Council of 17 April 2019 on the accessibility requirements for products and services</w:t>
            </w:r>
            <w:r>
              <w:rPr>
                <w:rFonts w:ascii="Arial" w:hAnsi="Arial" w:cs="Arial"/>
                <w:b/>
                <w:bCs/>
                <w:i/>
                <w:iCs/>
                <w:szCs w:val="24"/>
                <w:lang w:eastAsia="sv-SE"/>
              </w:rPr>
              <w:t>,</w:t>
            </w:r>
            <w:r w:rsidRPr="00A54B1D">
              <w:rPr>
                <w:rFonts w:ascii="Arial" w:hAnsi="Arial" w:cs="Arial"/>
                <w:b/>
                <w:bCs/>
                <w:i/>
                <w:iCs/>
                <w:szCs w:val="24"/>
                <w:lang w:eastAsia="sv-SE"/>
              </w:rPr>
              <w:t xml:space="preserve"> and</w:t>
            </w:r>
          </w:p>
          <w:p w14:paraId="4F2B15DC" w14:textId="77777777" w:rsidR="00FB5790" w:rsidRPr="00A54B1D" w:rsidRDefault="00FB5790" w:rsidP="00BB030C">
            <w:pPr>
              <w:shd w:val="clear" w:color="auto" w:fill="FFFFFF"/>
              <w:textAlignment w:val="baseline"/>
              <w:rPr>
                <w:rFonts w:ascii="Arial" w:hAnsi="Arial" w:cs="Arial"/>
                <w:szCs w:val="24"/>
                <w:lang w:eastAsia="sv-SE"/>
              </w:rPr>
            </w:pPr>
          </w:p>
          <w:p w14:paraId="42F26739" w14:textId="77777777" w:rsidR="00FB5790" w:rsidRDefault="00FB5790" w:rsidP="00BB030C">
            <w:pPr>
              <w:shd w:val="clear" w:color="auto" w:fill="FFFFFF"/>
              <w:textAlignment w:val="baseline"/>
              <w:rPr>
                <w:rFonts w:ascii="Arial" w:hAnsi="Arial" w:cs="Arial"/>
                <w:szCs w:val="24"/>
                <w:lang w:eastAsia="sv-SE"/>
              </w:rPr>
            </w:pPr>
            <w:r w:rsidRPr="00A54B1D">
              <w:rPr>
                <w:rFonts w:ascii="Arial" w:hAnsi="Arial" w:cs="Arial"/>
                <w:szCs w:val="24"/>
                <w:lang w:eastAsia="sv-SE"/>
              </w:rPr>
              <w:t>(b) the other party or parties to the proceedings were given the possibility to submit an opinion on the use of videoconferencing or other distance communication technology</w:t>
            </w:r>
            <w:r w:rsidRPr="003F4BF9">
              <w:rPr>
                <w:rFonts w:ascii="Arial" w:hAnsi="Arial" w:cs="Arial"/>
                <w:b/>
                <w:bCs/>
                <w:szCs w:val="24"/>
                <w:lang w:eastAsia="sv-SE"/>
              </w:rPr>
              <w:t>;</w:t>
            </w:r>
            <w:r w:rsidRPr="00A54B1D">
              <w:rPr>
                <w:rFonts w:ascii="Arial" w:hAnsi="Arial" w:cs="Arial"/>
                <w:szCs w:val="24"/>
                <w:lang w:eastAsia="sv-SE"/>
              </w:rPr>
              <w:t xml:space="preserve"> </w:t>
            </w:r>
          </w:p>
          <w:p w14:paraId="686EC86D" w14:textId="77777777" w:rsidR="00FB5790" w:rsidRDefault="00FB5790" w:rsidP="00BB030C">
            <w:pPr>
              <w:shd w:val="clear" w:color="auto" w:fill="FFFFFF"/>
              <w:textAlignment w:val="baseline"/>
              <w:rPr>
                <w:rFonts w:ascii="Arial" w:hAnsi="Arial" w:cs="Arial"/>
                <w:szCs w:val="24"/>
                <w:lang w:eastAsia="sv-SE"/>
              </w:rPr>
            </w:pPr>
          </w:p>
          <w:p w14:paraId="7D0BEBD0" w14:textId="77777777" w:rsidR="00FB5790" w:rsidRPr="003F4BF9" w:rsidRDefault="00FB5790" w:rsidP="00BB030C">
            <w:pPr>
              <w:shd w:val="clear" w:color="auto" w:fill="FFFFFF"/>
              <w:textAlignment w:val="baseline"/>
              <w:rPr>
                <w:rFonts w:ascii="Arial" w:hAnsi="Arial" w:cs="Arial"/>
                <w:b/>
                <w:bCs/>
                <w:szCs w:val="24"/>
                <w:lang w:eastAsia="sv-SE"/>
              </w:rPr>
            </w:pPr>
            <w:r w:rsidRPr="003F4BF9">
              <w:rPr>
                <w:rFonts w:ascii="Arial" w:hAnsi="Arial" w:cs="Arial"/>
                <w:b/>
                <w:bCs/>
                <w:szCs w:val="24"/>
                <w:lang w:eastAsia="sv-SE"/>
              </w:rPr>
              <w:t xml:space="preserve">(c) procedural accommodations are granted at the request of </w:t>
            </w:r>
            <w:r>
              <w:rPr>
                <w:rFonts w:ascii="Arial" w:hAnsi="Arial" w:cs="Arial"/>
                <w:b/>
                <w:bCs/>
                <w:szCs w:val="24"/>
                <w:lang w:eastAsia="sv-SE"/>
              </w:rPr>
              <w:t>any party</w:t>
            </w:r>
            <w:r w:rsidRPr="003F4BF9">
              <w:rPr>
                <w:rFonts w:ascii="Arial" w:hAnsi="Arial" w:cs="Arial"/>
                <w:b/>
                <w:bCs/>
                <w:szCs w:val="24"/>
                <w:lang w:eastAsia="sv-SE"/>
              </w:rPr>
              <w:t xml:space="preserve"> with disabilities. </w:t>
            </w:r>
          </w:p>
          <w:p w14:paraId="4D62922F" w14:textId="77777777" w:rsidR="00FB5790" w:rsidRPr="00A54B1D" w:rsidRDefault="00FB5790" w:rsidP="00BB030C">
            <w:pPr>
              <w:shd w:val="clear" w:color="auto" w:fill="FFFFFF"/>
              <w:textAlignment w:val="baseline"/>
              <w:rPr>
                <w:rFonts w:ascii="Arial" w:hAnsi="Arial" w:cs="Arial"/>
                <w:szCs w:val="24"/>
                <w:lang w:eastAsia="sv-SE"/>
              </w:rPr>
            </w:pPr>
          </w:p>
          <w:p w14:paraId="598EE638" w14:textId="77777777" w:rsidR="00FB5790" w:rsidRPr="00A54B1D" w:rsidRDefault="00FB5790" w:rsidP="00BB030C">
            <w:pPr>
              <w:shd w:val="clear" w:color="auto" w:fill="FFFFFF"/>
              <w:textAlignment w:val="baseline"/>
              <w:rPr>
                <w:rFonts w:ascii="Arial" w:hAnsi="Arial" w:cs="Arial"/>
                <w:szCs w:val="24"/>
                <w:lang w:eastAsia="sv-SE"/>
              </w:rPr>
            </w:pPr>
            <w:r w:rsidRPr="00A54B1D">
              <w:rPr>
                <w:rFonts w:ascii="Arial" w:hAnsi="Arial" w:cs="Arial"/>
                <w:szCs w:val="24"/>
                <w:lang w:eastAsia="sv-SE"/>
              </w:rPr>
              <w:t xml:space="preserve">2. A request for conducting an oral hearing through videoconferencing or other distance communication technology may be refused by the competent authority where the particular circumstances of the case are not compatible with the use of such technology. </w:t>
            </w:r>
          </w:p>
          <w:p w14:paraId="5A22E7AE" w14:textId="77777777" w:rsidR="00FB5790" w:rsidRPr="00A54B1D" w:rsidRDefault="00FB5790" w:rsidP="00BB030C">
            <w:pPr>
              <w:shd w:val="clear" w:color="auto" w:fill="FFFFFF"/>
              <w:textAlignment w:val="baseline"/>
              <w:rPr>
                <w:rFonts w:ascii="Arial" w:hAnsi="Arial" w:cs="Arial"/>
                <w:szCs w:val="24"/>
                <w:lang w:eastAsia="sv-SE"/>
              </w:rPr>
            </w:pPr>
          </w:p>
          <w:p w14:paraId="081EE94A" w14:textId="77777777" w:rsidR="00FB5790" w:rsidRPr="00A54B1D" w:rsidRDefault="00FB5790" w:rsidP="00BB030C">
            <w:pPr>
              <w:shd w:val="clear" w:color="auto" w:fill="FFFFFF"/>
              <w:textAlignment w:val="baseline"/>
              <w:rPr>
                <w:rFonts w:ascii="Arial" w:hAnsi="Arial" w:cs="Arial"/>
                <w:szCs w:val="24"/>
                <w:lang w:eastAsia="sv-SE"/>
              </w:rPr>
            </w:pPr>
            <w:r w:rsidRPr="00A54B1D">
              <w:rPr>
                <w:rFonts w:ascii="Arial" w:hAnsi="Arial" w:cs="Arial"/>
                <w:szCs w:val="24"/>
                <w:lang w:eastAsia="sv-SE"/>
              </w:rPr>
              <w:t xml:space="preserve">3. Competent authorities may on their own motion allow the participation of </w:t>
            </w:r>
            <w:r w:rsidRPr="00A54B1D">
              <w:rPr>
                <w:rFonts w:ascii="Arial" w:hAnsi="Arial" w:cs="Arial"/>
                <w:szCs w:val="24"/>
                <w:lang w:eastAsia="sv-SE"/>
              </w:rPr>
              <w:lastRenderedPageBreak/>
              <w:t xml:space="preserve">parties to hearings by videoconference, provided that all parties to the proceedings are given the possibility to submit an opinion on the use of videoconferencing or other distance communication technology </w:t>
            </w:r>
            <w:r w:rsidRPr="00A54B1D">
              <w:rPr>
                <w:rFonts w:ascii="Arial" w:hAnsi="Arial" w:cs="Arial"/>
                <w:b/>
                <w:bCs/>
                <w:i/>
                <w:iCs/>
                <w:szCs w:val="24"/>
                <w:lang w:eastAsia="sv-SE"/>
              </w:rPr>
              <w:t>and that the videoconferencing or other distance communication technology is accessible as set out in accordance with paragraph 1 (a).</w:t>
            </w:r>
            <w:r w:rsidRPr="00A54B1D">
              <w:rPr>
                <w:rFonts w:ascii="Arial" w:hAnsi="Arial" w:cs="Arial"/>
                <w:szCs w:val="24"/>
                <w:lang w:eastAsia="sv-SE"/>
              </w:rPr>
              <w:t xml:space="preserve"> </w:t>
            </w:r>
          </w:p>
        </w:tc>
      </w:tr>
      <w:tr w:rsidR="00FB5790" w:rsidRPr="00A54B1D" w14:paraId="377E2141" w14:textId="77777777" w:rsidTr="00BB030C">
        <w:tc>
          <w:tcPr>
            <w:tcW w:w="9288" w:type="dxa"/>
            <w:gridSpan w:val="2"/>
          </w:tcPr>
          <w:p w14:paraId="0183EAF0" w14:textId="77777777" w:rsidR="00FB5790" w:rsidRPr="00A54B1D" w:rsidRDefault="00FB5790" w:rsidP="00BB030C">
            <w:pPr>
              <w:jc w:val="center"/>
              <w:rPr>
                <w:rFonts w:ascii="Arial" w:hAnsi="Arial" w:cs="Arial"/>
                <w:szCs w:val="24"/>
              </w:rPr>
            </w:pPr>
            <w:r w:rsidRPr="00A54B1D">
              <w:rPr>
                <w:rFonts w:ascii="Arial" w:hAnsi="Arial" w:cs="Arial"/>
                <w:szCs w:val="24"/>
              </w:rPr>
              <w:lastRenderedPageBreak/>
              <w:t>Justification:</w:t>
            </w:r>
          </w:p>
          <w:p w14:paraId="3CD8AA7E" w14:textId="77777777" w:rsidR="00FB5790" w:rsidRPr="00A54B1D" w:rsidRDefault="00FB5790" w:rsidP="00BB030C">
            <w:pPr>
              <w:rPr>
                <w:rFonts w:ascii="Arial" w:hAnsi="Arial" w:cs="Arial"/>
                <w:szCs w:val="24"/>
              </w:rPr>
            </w:pPr>
          </w:p>
          <w:p w14:paraId="5F116B2E" w14:textId="77777777" w:rsidR="00FB5790" w:rsidRPr="00A54B1D" w:rsidRDefault="00FB5790" w:rsidP="00BB030C">
            <w:pPr>
              <w:rPr>
                <w:rFonts w:ascii="Arial" w:hAnsi="Arial" w:cs="Arial"/>
                <w:szCs w:val="24"/>
              </w:rPr>
            </w:pPr>
            <w:r w:rsidRPr="00A54B1D">
              <w:rPr>
                <w:rFonts w:ascii="Arial" w:hAnsi="Arial" w:cs="Arial"/>
                <w:szCs w:val="24"/>
              </w:rPr>
              <w:t xml:space="preserve">In order to ensure equal access to justice, videoconferencing solutions must be accessible to users with disabilities, including natural persons such as members of the legal professions, employees, and citizens. </w:t>
            </w:r>
          </w:p>
          <w:p w14:paraId="3A49ACFC" w14:textId="77777777" w:rsidR="00FB5790" w:rsidRPr="00A54B1D" w:rsidRDefault="00FB5790" w:rsidP="00BB030C">
            <w:pPr>
              <w:shd w:val="clear" w:color="auto" w:fill="FFFFFF"/>
              <w:spacing w:before="120" w:line="312" w:lineRule="atLeast"/>
              <w:rPr>
                <w:rFonts w:ascii="Arial" w:hAnsi="Arial" w:cs="Arial"/>
                <w:szCs w:val="24"/>
                <w:lang w:eastAsia="sv-SE"/>
              </w:rPr>
            </w:pPr>
            <w:r w:rsidRPr="003753FA">
              <w:rPr>
                <w:rFonts w:ascii="Arial" w:hAnsi="Arial" w:cs="Arial"/>
                <w:szCs w:val="24"/>
                <w:lang w:eastAsia="sv-SE"/>
              </w:rPr>
              <w:t xml:space="preserve">Procedural accommodations </w:t>
            </w:r>
            <w:r>
              <w:rPr>
                <w:rFonts w:ascii="Arial" w:hAnsi="Arial" w:cs="Arial"/>
                <w:szCs w:val="24"/>
                <w:lang w:eastAsia="sv-SE"/>
              </w:rPr>
              <w:t>must</w:t>
            </w:r>
            <w:r w:rsidRPr="003753FA">
              <w:rPr>
                <w:rFonts w:ascii="Arial" w:hAnsi="Arial" w:cs="Arial"/>
                <w:szCs w:val="24"/>
                <w:lang w:eastAsia="sv-SE"/>
              </w:rPr>
              <w:t xml:space="preserve"> be granted to </w:t>
            </w:r>
            <w:r>
              <w:rPr>
                <w:rFonts w:ascii="Arial" w:hAnsi="Arial" w:cs="Arial"/>
                <w:szCs w:val="24"/>
                <w:lang w:eastAsia="sv-SE"/>
              </w:rPr>
              <w:t>parties with disabilities to ensure their right to access to justice</w:t>
            </w:r>
            <w:r w:rsidRPr="003753FA">
              <w:rPr>
                <w:rFonts w:ascii="Arial" w:hAnsi="Arial" w:cs="Arial"/>
                <w:szCs w:val="24"/>
                <w:lang w:eastAsia="sv-SE"/>
              </w:rPr>
              <w:t xml:space="preserve">, as required </w:t>
            </w:r>
            <w:r>
              <w:rPr>
                <w:rFonts w:ascii="Arial" w:hAnsi="Arial" w:cs="Arial"/>
                <w:szCs w:val="24"/>
                <w:lang w:eastAsia="sv-SE"/>
              </w:rPr>
              <w:t>under</w:t>
            </w:r>
            <w:r w:rsidRPr="003753FA">
              <w:rPr>
                <w:rFonts w:ascii="Arial" w:hAnsi="Arial" w:cs="Arial"/>
                <w:szCs w:val="24"/>
                <w:lang w:eastAsia="sv-SE"/>
              </w:rPr>
              <w:t xml:space="preserve"> Article 13 of the CRPD. They are measures aimed at removing barriers in accessing justice, for example measures needed to ensure communication with the court. Contrary to reasonable accommodations, procedural accommodations </w:t>
            </w:r>
            <w:r>
              <w:rPr>
                <w:rFonts w:ascii="Arial" w:hAnsi="Arial" w:cs="Arial"/>
                <w:szCs w:val="24"/>
                <w:lang w:eastAsia="sv-SE"/>
              </w:rPr>
              <w:t xml:space="preserve">cannot be exempted based on “undue burden” including costs </w:t>
            </w:r>
            <w:r w:rsidRPr="003753FA">
              <w:rPr>
                <w:rFonts w:ascii="Arial" w:hAnsi="Arial" w:cs="Arial"/>
                <w:szCs w:val="24"/>
                <w:lang w:eastAsia="sv-SE"/>
              </w:rPr>
              <w:t>, as they are necessary to ensure the fundamental right to a fair trial. The right to right to an effective remedy and to a fair trial is protected under Article 47 of the Charter of Fundamental Rights of the European Union.</w:t>
            </w:r>
          </w:p>
        </w:tc>
      </w:tr>
    </w:tbl>
    <w:p w14:paraId="1199C640" w14:textId="77777777" w:rsidR="0006791C" w:rsidRDefault="0006791C" w:rsidP="0006791C">
      <w:pPr>
        <w:rPr>
          <w:lang w:val="en-GB" w:eastAsia="sv-SE"/>
        </w:rPr>
      </w:pPr>
      <w:bookmarkStart w:id="12" w:name="_Toc108434125"/>
    </w:p>
    <w:p w14:paraId="1B530120" w14:textId="137F317A" w:rsidR="00FB5790" w:rsidRPr="00A54B1D" w:rsidRDefault="00FB5790" w:rsidP="00FB5790">
      <w:pPr>
        <w:pStyle w:val="Heading2"/>
        <w:rPr>
          <w:rFonts w:eastAsia="Calibri" w:cs="Arial"/>
        </w:rPr>
      </w:pPr>
      <w:bookmarkStart w:id="13" w:name="_Toc109049398"/>
      <w:r w:rsidRPr="00A54B1D">
        <w:rPr>
          <w:rFonts w:eastAsia="Times New Roman"/>
          <w:lang w:val="en-GB" w:eastAsia="sv-SE"/>
        </w:rPr>
        <w:t>Article 8: Hearing through videoconferencing or other distance communication technology in criminal proceedings</w:t>
      </w:r>
      <w:bookmarkEnd w:id="12"/>
      <w:bookmarkEnd w:id="13"/>
    </w:p>
    <w:tbl>
      <w:tblPr>
        <w:tblStyle w:val="TableGrid1"/>
        <w:tblW w:w="9288" w:type="dxa"/>
        <w:tblLook w:val="04A0" w:firstRow="1" w:lastRow="0" w:firstColumn="1" w:lastColumn="0" w:noHBand="0" w:noVBand="1"/>
      </w:tblPr>
      <w:tblGrid>
        <w:gridCol w:w="4608"/>
        <w:gridCol w:w="4680"/>
      </w:tblGrid>
      <w:tr w:rsidR="00FB5790" w:rsidRPr="00A54B1D" w14:paraId="4A866E9D" w14:textId="77777777" w:rsidTr="00BB030C">
        <w:tc>
          <w:tcPr>
            <w:tcW w:w="4608" w:type="dxa"/>
          </w:tcPr>
          <w:p w14:paraId="5A5EF7F9" w14:textId="77777777" w:rsidR="00FB5790" w:rsidRPr="00A54B1D" w:rsidRDefault="00FB5790" w:rsidP="00BB030C">
            <w:pPr>
              <w:rPr>
                <w:rFonts w:ascii="Arial" w:hAnsi="Arial" w:cs="Arial"/>
                <w:b/>
                <w:bCs/>
                <w:szCs w:val="24"/>
              </w:rPr>
            </w:pPr>
            <w:r w:rsidRPr="00A54B1D">
              <w:rPr>
                <w:rFonts w:ascii="Arial" w:hAnsi="Arial" w:cs="Arial"/>
                <w:b/>
                <w:bCs/>
                <w:szCs w:val="24"/>
              </w:rPr>
              <w:t>Commission proposal</w:t>
            </w:r>
          </w:p>
        </w:tc>
        <w:tc>
          <w:tcPr>
            <w:tcW w:w="4680" w:type="dxa"/>
          </w:tcPr>
          <w:p w14:paraId="085BF303" w14:textId="77777777" w:rsidR="00FB5790" w:rsidRPr="00A54B1D" w:rsidRDefault="00FB5790" w:rsidP="00BB030C">
            <w:pPr>
              <w:rPr>
                <w:rFonts w:ascii="Arial" w:hAnsi="Arial" w:cs="Arial"/>
                <w:b/>
                <w:bCs/>
                <w:szCs w:val="24"/>
              </w:rPr>
            </w:pPr>
            <w:r w:rsidRPr="00A54B1D">
              <w:rPr>
                <w:rFonts w:ascii="Arial" w:hAnsi="Arial" w:cs="Arial"/>
                <w:b/>
                <w:bCs/>
                <w:szCs w:val="24"/>
              </w:rPr>
              <w:t>Proposed amendments</w:t>
            </w:r>
          </w:p>
        </w:tc>
      </w:tr>
      <w:tr w:rsidR="00FB5790" w:rsidRPr="00A54B1D" w14:paraId="11986932" w14:textId="77777777" w:rsidTr="00BB030C">
        <w:tc>
          <w:tcPr>
            <w:tcW w:w="4608" w:type="dxa"/>
          </w:tcPr>
          <w:p w14:paraId="224E638A" w14:textId="77777777" w:rsidR="00FB5790" w:rsidRPr="00A54B1D" w:rsidRDefault="00FB5790" w:rsidP="00BB030C">
            <w:pPr>
              <w:shd w:val="clear" w:color="auto" w:fill="FFFFFF"/>
              <w:textAlignment w:val="baseline"/>
              <w:rPr>
                <w:rFonts w:ascii="Arial" w:hAnsi="Arial" w:cs="Arial"/>
                <w:szCs w:val="24"/>
                <w:lang w:eastAsia="sv-SE"/>
              </w:rPr>
            </w:pPr>
            <w:r w:rsidRPr="00A54B1D">
              <w:rPr>
                <w:rFonts w:ascii="Arial" w:hAnsi="Arial" w:cs="Arial"/>
                <w:szCs w:val="24"/>
                <w:lang w:eastAsia="sv-SE"/>
              </w:rPr>
              <w:t xml:space="preserve">1. Where the competent authority of a Member State requests the hearing of a suspect, accused or convicted person in proceedings under the legal acts listed in Annex II, the competent authority shall allow their participation to the hearing by videoconferencing or other distance communication technology, provided that: </w:t>
            </w:r>
          </w:p>
          <w:p w14:paraId="344D6B31" w14:textId="77777777" w:rsidR="00FB5790" w:rsidRPr="00A54B1D" w:rsidRDefault="00FB5790" w:rsidP="00BB030C">
            <w:pPr>
              <w:shd w:val="clear" w:color="auto" w:fill="FFFFFF"/>
              <w:textAlignment w:val="baseline"/>
              <w:rPr>
                <w:rFonts w:ascii="Arial" w:hAnsi="Arial" w:cs="Arial"/>
                <w:szCs w:val="24"/>
                <w:lang w:eastAsia="sv-SE"/>
              </w:rPr>
            </w:pPr>
          </w:p>
          <w:p w14:paraId="19160A46" w14:textId="77777777" w:rsidR="00FB5790" w:rsidRPr="00A54B1D" w:rsidRDefault="00FB5790" w:rsidP="00BB030C">
            <w:pPr>
              <w:shd w:val="clear" w:color="auto" w:fill="FFFFFF"/>
              <w:textAlignment w:val="baseline"/>
              <w:rPr>
                <w:rFonts w:ascii="Arial" w:hAnsi="Arial" w:cs="Arial"/>
                <w:szCs w:val="24"/>
                <w:lang w:eastAsia="sv-SE"/>
              </w:rPr>
            </w:pPr>
            <w:r w:rsidRPr="00A54B1D">
              <w:rPr>
                <w:rFonts w:ascii="Arial" w:hAnsi="Arial" w:cs="Arial"/>
                <w:szCs w:val="24"/>
                <w:lang w:eastAsia="sv-SE"/>
              </w:rPr>
              <w:t xml:space="preserve">(a) such technology is available; </w:t>
            </w:r>
          </w:p>
          <w:p w14:paraId="7D94E03D" w14:textId="77777777" w:rsidR="00FB5790" w:rsidRPr="00A54B1D" w:rsidRDefault="00FB5790" w:rsidP="00BB030C">
            <w:pPr>
              <w:shd w:val="clear" w:color="auto" w:fill="FFFFFF"/>
              <w:textAlignment w:val="baseline"/>
              <w:rPr>
                <w:rFonts w:ascii="Arial" w:hAnsi="Arial" w:cs="Arial"/>
                <w:szCs w:val="24"/>
                <w:lang w:eastAsia="sv-SE"/>
              </w:rPr>
            </w:pPr>
          </w:p>
          <w:p w14:paraId="536B88EF" w14:textId="77777777" w:rsidR="00FB5790" w:rsidRPr="00A54B1D" w:rsidRDefault="00FB5790" w:rsidP="00BB030C">
            <w:pPr>
              <w:shd w:val="clear" w:color="auto" w:fill="FFFFFF"/>
              <w:textAlignment w:val="baseline"/>
              <w:rPr>
                <w:rFonts w:ascii="Arial" w:hAnsi="Arial" w:cs="Arial"/>
                <w:szCs w:val="24"/>
                <w:lang w:eastAsia="sv-SE"/>
              </w:rPr>
            </w:pPr>
            <w:r w:rsidRPr="00A54B1D">
              <w:rPr>
                <w:rFonts w:ascii="Arial" w:hAnsi="Arial" w:cs="Arial"/>
                <w:szCs w:val="24"/>
                <w:lang w:eastAsia="sv-SE"/>
              </w:rPr>
              <w:t xml:space="preserve">(b) the particular circumstances of the case justify the use of such technology; </w:t>
            </w:r>
          </w:p>
          <w:p w14:paraId="5F710D91" w14:textId="77777777" w:rsidR="00FB5790" w:rsidRPr="00A54B1D" w:rsidRDefault="00FB5790" w:rsidP="00BB030C">
            <w:pPr>
              <w:shd w:val="clear" w:color="auto" w:fill="FFFFFF"/>
              <w:textAlignment w:val="baseline"/>
              <w:rPr>
                <w:rFonts w:ascii="Arial" w:hAnsi="Arial" w:cs="Arial"/>
                <w:szCs w:val="24"/>
                <w:lang w:eastAsia="sv-SE"/>
              </w:rPr>
            </w:pPr>
          </w:p>
          <w:p w14:paraId="0F225E3A" w14:textId="77777777" w:rsidR="00FB5790" w:rsidRPr="00A54B1D" w:rsidRDefault="00FB5790" w:rsidP="00BB030C">
            <w:pPr>
              <w:shd w:val="clear" w:color="auto" w:fill="FFFFFF"/>
              <w:textAlignment w:val="baseline"/>
              <w:rPr>
                <w:rFonts w:ascii="Arial" w:hAnsi="Arial" w:cs="Arial"/>
                <w:szCs w:val="24"/>
                <w:lang w:eastAsia="sv-SE"/>
              </w:rPr>
            </w:pPr>
            <w:r w:rsidRPr="00A54B1D">
              <w:rPr>
                <w:rFonts w:ascii="Arial" w:hAnsi="Arial" w:cs="Arial"/>
                <w:szCs w:val="24"/>
                <w:lang w:eastAsia="sv-SE"/>
              </w:rPr>
              <w:t xml:space="preserve">(c) the suspect, accused or convicted persons expressed consent on the use of videoconferencing or other distance </w:t>
            </w:r>
            <w:r w:rsidRPr="00A54B1D">
              <w:rPr>
                <w:rFonts w:ascii="Arial" w:hAnsi="Arial" w:cs="Arial"/>
                <w:szCs w:val="24"/>
                <w:lang w:eastAsia="sv-SE"/>
              </w:rPr>
              <w:lastRenderedPageBreak/>
              <w:t xml:space="preserve">communication technology. Before expressing consent on the use of videoconferencing or other distance communication technology the suspect or the accused person shall have the possibility to seek the advice of a lawyer in accordance with Directive 2013/48/EU. </w:t>
            </w:r>
          </w:p>
          <w:p w14:paraId="348595C9" w14:textId="77777777" w:rsidR="00FB5790" w:rsidRPr="00A54B1D" w:rsidRDefault="00FB5790" w:rsidP="00BB030C">
            <w:pPr>
              <w:shd w:val="clear" w:color="auto" w:fill="FFFFFF"/>
              <w:textAlignment w:val="baseline"/>
              <w:rPr>
                <w:rFonts w:ascii="Arial" w:hAnsi="Arial" w:cs="Arial"/>
                <w:szCs w:val="24"/>
                <w:lang w:eastAsia="sv-SE"/>
              </w:rPr>
            </w:pPr>
          </w:p>
          <w:p w14:paraId="03D01B23" w14:textId="77777777" w:rsidR="00FB5790" w:rsidRPr="00A54B1D" w:rsidRDefault="00FB5790" w:rsidP="00BB030C">
            <w:pPr>
              <w:shd w:val="clear" w:color="auto" w:fill="FFFFFF"/>
              <w:textAlignment w:val="baseline"/>
              <w:rPr>
                <w:rFonts w:ascii="Arial" w:hAnsi="Arial" w:cs="Arial"/>
                <w:szCs w:val="24"/>
                <w:lang w:eastAsia="sv-SE"/>
              </w:rPr>
            </w:pPr>
            <w:r w:rsidRPr="00A54B1D">
              <w:rPr>
                <w:rFonts w:ascii="Arial" w:hAnsi="Arial" w:cs="Arial"/>
                <w:szCs w:val="24"/>
                <w:lang w:eastAsia="sv-SE"/>
              </w:rPr>
              <w:t xml:space="preserve">2. Paragraph 1 is without prejudice to the provisions regulating the use of videoconferencing or other distance communication technology in the legal acts listed in Annex II. </w:t>
            </w:r>
          </w:p>
          <w:p w14:paraId="61ADBC65" w14:textId="77777777" w:rsidR="00FB5790" w:rsidRPr="00A54B1D" w:rsidRDefault="00FB5790" w:rsidP="00BB030C">
            <w:pPr>
              <w:shd w:val="clear" w:color="auto" w:fill="FFFFFF"/>
              <w:textAlignment w:val="baseline"/>
              <w:rPr>
                <w:rFonts w:ascii="Arial" w:hAnsi="Arial" w:cs="Arial"/>
                <w:szCs w:val="24"/>
                <w:lang w:eastAsia="sv-SE"/>
              </w:rPr>
            </w:pPr>
          </w:p>
          <w:p w14:paraId="61214EBF" w14:textId="77777777" w:rsidR="00FB5790" w:rsidRPr="00A54B1D" w:rsidRDefault="00FB5790" w:rsidP="00BB030C">
            <w:pPr>
              <w:shd w:val="clear" w:color="auto" w:fill="FFFFFF"/>
              <w:textAlignment w:val="baseline"/>
              <w:rPr>
                <w:rFonts w:ascii="Arial" w:hAnsi="Arial" w:cs="Arial"/>
                <w:szCs w:val="24"/>
                <w:lang w:eastAsia="sv-SE"/>
              </w:rPr>
            </w:pPr>
            <w:r w:rsidRPr="00A54B1D">
              <w:rPr>
                <w:rFonts w:ascii="Arial" w:hAnsi="Arial" w:cs="Arial"/>
                <w:szCs w:val="24"/>
                <w:lang w:eastAsia="sv-SE"/>
              </w:rPr>
              <w:t>3. Subject to this Regulation, the procedure for conducting a videoconference shall be regulated by the national law of the Member State conducting the videoconference.</w:t>
            </w:r>
          </w:p>
        </w:tc>
        <w:tc>
          <w:tcPr>
            <w:tcW w:w="4680" w:type="dxa"/>
          </w:tcPr>
          <w:p w14:paraId="55D6F058" w14:textId="77777777" w:rsidR="00FB5790" w:rsidRPr="00A54B1D" w:rsidRDefault="00FB5790" w:rsidP="00BB030C">
            <w:pPr>
              <w:shd w:val="clear" w:color="auto" w:fill="FFFFFF"/>
              <w:textAlignment w:val="baseline"/>
              <w:rPr>
                <w:rFonts w:ascii="Arial" w:hAnsi="Arial" w:cs="Arial"/>
                <w:szCs w:val="24"/>
                <w:lang w:eastAsia="sv-SE"/>
              </w:rPr>
            </w:pPr>
            <w:r w:rsidRPr="00A54B1D">
              <w:rPr>
                <w:rFonts w:ascii="Arial" w:hAnsi="Arial" w:cs="Arial"/>
                <w:szCs w:val="24"/>
                <w:lang w:eastAsia="sv-SE"/>
              </w:rPr>
              <w:lastRenderedPageBreak/>
              <w:t xml:space="preserve">1. Where the competent authority of a Member State requests the hearing of a suspect, accused or convicted person in proceedings under the legal acts listed in Annex II, the competent authority shall allow their participation to the hearing by videoconferencing or other distance communication technology, provided that: </w:t>
            </w:r>
          </w:p>
          <w:p w14:paraId="31CF3C95" w14:textId="77777777" w:rsidR="00FB5790" w:rsidRPr="00A54B1D" w:rsidRDefault="00FB5790" w:rsidP="00BB030C">
            <w:pPr>
              <w:shd w:val="clear" w:color="auto" w:fill="FFFFFF"/>
              <w:textAlignment w:val="baseline"/>
              <w:rPr>
                <w:rFonts w:ascii="Arial" w:hAnsi="Arial" w:cs="Arial"/>
                <w:szCs w:val="24"/>
                <w:lang w:eastAsia="sv-SE"/>
              </w:rPr>
            </w:pPr>
          </w:p>
          <w:p w14:paraId="7653E715" w14:textId="77777777" w:rsidR="00FB5790" w:rsidRPr="00A54B1D" w:rsidRDefault="00FB5790" w:rsidP="00BB030C">
            <w:pPr>
              <w:shd w:val="clear" w:color="auto" w:fill="FFFFFF"/>
              <w:textAlignment w:val="baseline"/>
              <w:rPr>
                <w:rFonts w:ascii="Arial" w:hAnsi="Arial" w:cs="Arial"/>
                <w:szCs w:val="24"/>
                <w:lang w:eastAsia="sv-SE"/>
              </w:rPr>
            </w:pPr>
            <w:r w:rsidRPr="00A54B1D">
              <w:rPr>
                <w:rFonts w:ascii="Arial" w:hAnsi="Arial" w:cs="Arial"/>
                <w:szCs w:val="24"/>
                <w:lang w:eastAsia="sv-SE"/>
              </w:rPr>
              <w:t xml:space="preserve">(a) such technology is available </w:t>
            </w:r>
            <w:r w:rsidRPr="00A54B1D">
              <w:rPr>
                <w:rFonts w:ascii="Arial" w:hAnsi="Arial" w:cs="Arial"/>
                <w:b/>
                <w:bCs/>
                <w:i/>
                <w:iCs/>
                <w:szCs w:val="24"/>
                <w:lang w:eastAsia="sv-SE"/>
              </w:rPr>
              <w:t>and accessible as per accessibility requirements set out in annex I of directive (EU) 2019/882</w:t>
            </w:r>
            <w:r w:rsidRPr="00A54B1D">
              <w:rPr>
                <w:rFonts w:ascii="Arial" w:hAnsi="Arial" w:cs="Arial"/>
                <w:i/>
                <w:iCs/>
                <w:szCs w:val="24"/>
                <w:lang w:eastAsia="sv-SE"/>
              </w:rPr>
              <w:t xml:space="preserve"> </w:t>
            </w:r>
            <w:r w:rsidRPr="00A54B1D">
              <w:rPr>
                <w:rFonts w:ascii="Arial" w:hAnsi="Arial" w:cs="Arial"/>
                <w:b/>
                <w:bCs/>
                <w:i/>
                <w:iCs/>
                <w:szCs w:val="24"/>
                <w:lang w:eastAsia="sv-SE"/>
              </w:rPr>
              <w:t>of the European Parliament and of the Council of 17 April 2019 on the accessibility requirements for products and services</w:t>
            </w:r>
            <w:r w:rsidRPr="00A54B1D">
              <w:rPr>
                <w:rFonts w:ascii="Arial" w:hAnsi="Arial" w:cs="Arial"/>
                <w:szCs w:val="24"/>
                <w:lang w:eastAsia="sv-SE"/>
              </w:rPr>
              <w:t xml:space="preserve">; </w:t>
            </w:r>
          </w:p>
          <w:p w14:paraId="0BD5115C" w14:textId="77777777" w:rsidR="00FB5790" w:rsidRPr="00A54B1D" w:rsidRDefault="00FB5790" w:rsidP="00BB030C">
            <w:pPr>
              <w:shd w:val="clear" w:color="auto" w:fill="FFFFFF"/>
              <w:textAlignment w:val="baseline"/>
              <w:rPr>
                <w:rFonts w:ascii="Arial" w:hAnsi="Arial" w:cs="Arial"/>
                <w:szCs w:val="24"/>
                <w:lang w:eastAsia="sv-SE"/>
              </w:rPr>
            </w:pPr>
          </w:p>
          <w:p w14:paraId="0807AC4D" w14:textId="77777777" w:rsidR="00FB5790" w:rsidRPr="00A54B1D" w:rsidRDefault="00FB5790" w:rsidP="00BB030C">
            <w:pPr>
              <w:shd w:val="clear" w:color="auto" w:fill="FFFFFF"/>
              <w:textAlignment w:val="baseline"/>
              <w:rPr>
                <w:rFonts w:ascii="Arial" w:hAnsi="Arial" w:cs="Arial"/>
                <w:szCs w:val="24"/>
                <w:lang w:eastAsia="sv-SE"/>
              </w:rPr>
            </w:pPr>
            <w:r w:rsidRPr="00A54B1D">
              <w:rPr>
                <w:rFonts w:ascii="Arial" w:hAnsi="Arial" w:cs="Arial"/>
                <w:szCs w:val="24"/>
                <w:lang w:eastAsia="sv-SE"/>
              </w:rPr>
              <w:lastRenderedPageBreak/>
              <w:t xml:space="preserve">(b) the particular circumstances of the case justify the use of such technology; </w:t>
            </w:r>
          </w:p>
          <w:p w14:paraId="2969AA17" w14:textId="77777777" w:rsidR="00FB5790" w:rsidRPr="00A54B1D" w:rsidRDefault="00FB5790" w:rsidP="00BB030C">
            <w:pPr>
              <w:shd w:val="clear" w:color="auto" w:fill="FFFFFF"/>
              <w:textAlignment w:val="baseline"/>
              <w:rPr>
                <w:rFonts w:ascii="Arial" w:hAnsi="Arial" w:cs="Arial"/>
                <w:szCs w:val="24"/>
                <w:lang w:eastAsia="sv-SE"/>
              </w:rPr>
            </w:pPr>
          </w:p>
          <w:p w14:paraId="55AEFCF6" w14:textId="77777777" w:rsidR="00FB5790" w:rsidRDefault="00FB5790" w:rsidP="00BB030C">
            <w:pPr>
              <w:shd w:val="clear" w:color="auto" w:fill="FFFFFF"/>
              <w:textAlignment w:val="baseline"/>
              <w:rPr>
                <w:rFonts w:ascii="Arial" w:hAnsi="Arial" w:cs="Arial"/>
                <w:szCs w:val="24"/>
                <w:lang w:eastAsia="sv-SE"/>
              </w:rPr>
            </w:pPr>
            <w:r w:rsidRPr="00A54B1D">
              <w:rPr>
                <w:rFonts w:ascii="Arial" w:hAnsi="Arial" w:cs="Arial"/>
                <w:szCs w:val="24"/>
                <w:lang w:eastAsia="sv-SE"/>
              </w:rPr>
              <w:t>(c) the suspect, accused or convicted persons expressed consent on the use of videoconferencing or other distance communication technology. Before expressing consent on the use of videoconferencing or other distance communication technology the suspect or the accused person shall have the possibility to seek the advice of a lawyer in accordance with Directive 2013/48/EU</w:t>
            </w:r>
            <w:r>
              <w:rPr>
                <w:rFonts w:ascii="Arial" w:hAnsi="Arial" w:cs="Arial"/>
                <w:szCs w:val="24"/>
                <w:lang w:eastAsia="sv-SE"/>
              </w:rPr>
              <w:t>;</w:t>
            </w:r>
          </w:p>
          <w:p w14:paraId="352B4395" w14:textId="77777777" w:rsidR="00FB5790" w:rsidRDefault="00FB5790" w:rsidP="00BB030C">
            <w:pPr>
              <w:shd w:val="clear" w:color="auto" w:fill="FFFFFF"/>
              <w:textAlignment w:val="baseline"/>
              <w:rPr>
                <w:rFonts w:ascii="Arial" w:hAnsi="Arial" w:cs="Arial"/>
                <w:szCs w:val="24"/>
                <w:lang w:eastAsia="sv-SE"/>
              </w:rPr>
            </w:pPr>
          </w:p>
          <w:p w14:paraId="57CC7947" w14:textId="77777777" w:rsidR="00FB5790" w:rsidRPr="0099065B" w:rsidRDefault="00FB5790" w:rsidP="00BB030C">
            <w:pPr>
              <w:shd w:val="clear" w:color="auto" w:fill="FFFFFF"/>
              <w:textAlignment w:val="baseline"/>
              <w:rPr>
                <w:rFonts w:ascii="Arial" w:hAnsi="Arial" w:cs="Arial"/>
                <w:b/>
                <w:bCs/>
                <w:szCs w:val="24"/>
                <w:lang w:eastAsia="sv-SE"/>
              </w:rPr>
            </w:pPr>
            <w:r>
              <w:rPr>
                <w:rFonts w:ascii="Arial" w:hAnsi="Arial" w:cs="Arial"/>
                <w:b/>
                <w:bCs/>
                <w:szCs w:val="24"/>
                <w:lang w:eastAsia="sv-SE"/>
              </w:rPr>
              <w:t xml:space="preserve">(d) procedural accommodation is provided to the suspect, accused or convicted person with disabilities. </w:t>
            </w:r>
          </w:p>
          <w:p w14:paraId="5A5583F0" w14:textId="77777777" w:rsidR="00FB5790" w:rsidRPr="00A54B1D" w:rsidRDefault="00FB5790" w:rsidP="00BB030C">
            <w:pPr>
              <w:shd w:val="clear" w:color="auto" w:fill="FFFFFF"/>
              <w:textAlignment w:val="baseline"/>
              <w:rPr>
                <w:rFonts w:ascii="Arial" w:hAnsi="Arial" w:cs="Arial"/>
                <w:szCs w:val="24"/>
                <w:lang w:eastAsia="sv-SE"/>
              </w:rPr>
            </w:pPr>
          </w:p>
          <w:p w14:paraId="1DB384A7" w14:textId="77777777" w:rsidR="00FB5790" w:rsidRPr="00A54B1D" w:rsidRDefault="00FB5790" w:rsidP="00BB030C">
            <w:pPr>
              <w:shd w:val="clear" w:color="auto" w:fill="FFFFFF"/>
              <w:textAlignment w:val="baseline"/>
              <w:rPr>
                <w:rFonts w:ascii="Arial" w:hAnsi="Arial" w:cs="Arial"/>
                <w:szCs w:val="24"/>
                <w:lang w:eastAsia="sv-SE"/>
              </w:rPr>
            </w:pPr>
            <w:r w:rsidRPr="00A54B1D">
              <w:rPr>
                <w:rFonts w:ascii="Arial" w:hAnsi="Arial" w:cs="Arial"/>
                <w:szCs w:val="24"/>
                <w:lang w:eastAsia="sv-SE"/>
              </w:rPr>
              <w:t xml:space="preserve">2. Paragraph 1 is without prejudice to the provisions regulating the use of videoconferencing or other distance communication technology in the legal acts listed in Annex II. </w:t>
            </w:r>
          </w:p>
          <w:p w14:paraId="0AF4B4D1" w14:textId="77777777" w:rsidR="00FB5790" w:rsidRPr="00A54B1D" w:rsidRDefault="00FB5790" w:rsidP="00BB030C">
            <w:pPr>
              <w:shd w:val="clear" w:color="auto" w:fill="FFFFFF"/>
              <w:textAlignment w:val="baseline"/>
              <w:rPr>
                <w:rFonts w:ascii="Arial" w:hAnsi="Arial" w:cs="Arial"/>
                <w:szCs w:val="24"/>
                <w:lang w:eastAsia="sv-SE"/>
              </w:rPr>
            </w:pPr>
          </w:p>
          <w:p w14:paraId="68C9679A" w14:textId="77777777" w:rsidR="00FB5790" w:rsidRPr="00A54B1D" w:rsidRDefault="00FB5790" w:rsidP="00BB030C">
            <w:pPr>
              <w:shd w:val="clear" w:color="auto" w:fill="FFFFFF"/>
              <w:textAlignment w:val="baseline"/>
              <w:rPr>
                <w:rFonts w:ascii="Arial" w:hAnsi="Arial" w:cs="Arial"/>
                <w:szCs w:val="24"/>
                <w:lang w:eastAsia="sv-SE"/>
              </w:rPr>
            </w:pPr>
            <w:r w:rsidRPr="00A54B1D">
              <w:rPr>
                <w:rFonts w:ascii="Arial" w:hAnsi="Arial" w:cs="Arial"/>
                <w:szCs w:val="24"/>
                <w:lang w:eastAsia="sv-SE"/>
              </w:rPr>
              <w:t>3. Subject to this Regulation, the procedure for conducting a videoconference shall be regulated by the national law of the Member State conducting the videoconference.</w:t>
            </w:r>
          </w:p>
        </w:tc>
      </w:tr>
      <w:tr w:rsidR="00FB5790" w:rsidRPr="00A54B1D" w14:paraId="59B2FF99" w14:textId="77777777" w:rsidTr="00BB030C">
        <w:tc>
          <w:tcPr>
            <w:tcW w:w="9288" w:type="dxa"/>
            <w:gridSpan w:val="2"/>
          </w:tcPr>
          <w:p w14:paraId="1F086C5F" w14:textId="77777777" w:rsidR="00FB5790" w:rsidRPr="00A54B1D" w:rsidRDefault="00FB5790" w:rsidP="00BB030C">
            <w:pPr>
              <w:jc w:val="center"/>
              <w:rPr>
                <w:rFonts w:ascii="Arial" w:hAnsi="Arial" w:cs="Arial"/>
                <w:szCs w:val="24"/>
              </w:rPr>
            </w:pPr>
            <w:r w:rsidRPr="00A54B1D">
              <w:rPr>
                <w:rFonts w:ascii="Arial" w:hAnsi="Arial" w:cs="Arial"/>
                <w:szCs w:val="24"/>
              </w:rPr>
              <w:lastRenderedPageBreak/>
              <w:t>Justification:</w:t>
            </w:r>
          </w:p>
          <w:p w14:paraId="21323DBF" w14:textId="77777777" w:rsidR="00FB5790" w:rsidRPr="00A54B1D" w:rsidRDefault="00FB5790" w:rsidP="00BB030C">
            <w:pPr>
              <w:rPr>
                <w:rFonts w:ascii="Arial" w:hAnsi="Arial" w:cs="Arial"/>
                <w:szCs w:val="24"/>
              </w:rPr>
            </w:pPr>
          </w:p>
          <w:p w14:paraId="1F779BEF" w14:textId="77777777" w:rsidR="00FB5790" w:rsidRPr="00A54B1D" w:rsidRDefault="00FB5790" w:rsidP="00BB030C">
            <w:pPr>
              <w:rPr>
                <w:rFonts w:ascii="Arial" w:hAnsi="Arial" w:cs="Arial"/>
                <w:szCs w:val="24"/>
              </w:rPr>
            </w:pPr>
            <w:r w:rsidRPr="00A54B1D">
              <w:rPr>
                <w:rFonts w:ascii="Arial" w:hAnsi="Arial" w:cs="Arial"/>
                <w:szCs w:val="24"/>
              </w:rPr>
              <w:t>In order to ensure equal access to justice</w:t>
            </w:r>
            <w:r>
              <w:rPr>
                <w:rFonts w:ascii="Arial" w:hAnsi="Arial" w:cs="Arial"/>
                <w:szCs w:val="24"/>
              </w:rPr>
              <w:t xml:space="preserve"> and the right to a fair trial</w:t>
            </w:r>
            <w:r w:rsidRPr="00A54B1D">
              <w:rPr>
                <w:rFonts w:ascii="Arial" w:hAnsi="Arial" w:cs="Arial"/>
                <w:szCs w:val="24"/>
              </w:rPr>
              <w:t xml:space="preserve">, videoconferencing solutions must be accessible to users with disabilities, including natural persons such as members of the legal professions, employees, and citizens. </w:t>
            </w:r>
          </w:p>
          <w:p w14:paraId="4AA5E79B" w14:textId="77777777" w:rsidR="00FB5790" w:rsidRPr="00A54B1D" w:rsidRDefault="00FB5790" w:rsidP="00BB030C">
            <w:pPr>
              <w:shd w:val="clear" w:color="auto" w:fill="FFFFFF"/>
              <w:spacing w:before="120" w:line="312" w:lineRule="atLeast"/>
              <w:rPr>
                <w:rFonts w:ascii="Arial" w:hAnsi="Arial" w:cs="Arial"/>
                <w:szCs w:val="24"/>
                <w:lang w:eastAsia="sv-SE"/>
              </w:rPr>
            </w:pPr>
            <w:r>
              <w:rPr>
                <w:rFonts w:ascii="Arial" w:hAnsi="Arial" w:cs="Arial"/>
                <w:szCs w:val="24"/>
                <w:lang w:eastAsia="sv-SE"/>
              </w:rPr>
              <w:t xml:space="preserve">Procedural accommodations must be granted to suspect, accused or convicted persons with disabilities to ensure their right to a fair trial, as required by Article 13 of the CRPD. They are measures aimed at removing barriers in accessing justice, for example measures needed to ensure communication with the court. Contrary to reasonable accommodations, procedural accommodations </w:t>
            </w:r>
            <w:r w:rsidRPr="00FB4226">
              <w:rPr>
                <w:rFonts w:ascii="Arial" w:hAnsi="Arial" w:cs="Arial"/>
                <w:szCs w:val="24"/>
                <w:lang w:eastAsia="sv-SE"/>
              </w:rPr>
              <w:t>cannot be exempted based on “undue burden” including costs</w:t>
            </w:r>
            <w:r>
              <w:rPr>
                <w:rFonts w:ascii="Arial" w:hAnsi="Arial" w:cs="Arial"/>
                <w:szCs w:val="24"/>
                <w:lang w:eastAsia="sv-SE"/>
              </w:rPr>
              <w:t>, as they are necessary to ensure the fundamental right to a fair trial. The right to r</w:t>
            </w:r>
            <w:r w:rsidRPr="004746DF">
              <w:rPr>
                <w:rFonts w:ascii="Arial" w:hAnsi="Arial" w:cs="Arial"/>
                <w:szCs w:val="24"/>
                <w:lang w:eastAsia="sv-SE"/>
              </w:rPr>
              <w:t>ight to an effective remedy and to a fair trial</w:t>
            </w:r>
            <w:r>
              <w:rPr>
                <w:rFonts w:ascii="Arial" w:hAnsi="Arial" w:cs="Arial"/>
                <w:szCs w:val="24"/>
                <w:lang w:eastAsia="sv-SE"/>
              </w:rPr>
              <w:t xml:space="preserve"> is protected under Article 47 of the Charter of Fundamental Rights of the European Union. </w:t>
            </w:r>
          </w:p>
        </w:tc>
      </w:tr>
    </w:tbl>
    <w:p w14:paraId="430465B3" w14:textId="4143C71F" w:rsidR="00FB5790" w:rsidRDefault="00FB5790" w:rsidP="00FB5790">
      <w:pPr>
        <w:spacing w:after="200" w:line="276" w:lineRule="auto"/>
        <w:rPr>
          <w:rFonts w:ascii="Arial" w:eastAsia="Calibri" w:hAnsi="Arial" w:cs="Arial"/>
          <w:szCs w:val="24"/>
        </w:rPr>
      </w:pPr>
    </w:p>
    <w:p w14:paraId="603ABEC9" w14:textId="77777777" w:rsidR="0006791C" w:rsidRPr="00A54B1D" w:rsidRDefault="0006791C" w:rsidP="00FB5790">
      <w:pPr>
        <w:spacing w:after="200" w:line="276" w:lineRule="auto"/>
        <w:rPr>
          <w:rFonts w:ascii="Arial" w:eastAsia="Calibri" w:hAnsi="Arial" w:cs="Arial"/>
          <w:szCs w:val="24"/>
        </w:rPr>
      </w:pPr>
    </w:p>
    <w:p w14:paraId="1ABE6B0E" w14:textId="77777777" w:rsidR="00FB5790" w:rsidRPr="00A54B1D" w:rsidRDefault="00FB5790" w:rsidP="00FB5790">
      <w:pPr>
        <w:pStyle w:val="Heading2"/>
        <w:rPr>
          <w:rFonts w:eastAsia="Times New Roman"/>
          <w:lang w:val="en-GB" w:eastAsia="sv-SE"/>
        </w:rPr>
      </w:pPr>
      <w:bookmarkStart w:id="14" w:name="_Toc108434126"/>
      <w:bookmarkStart w:id="15" w:name="_Toc109049399"/>
      <w:r w:rsidRPr="00A54B1D">
        <w:rPr>
          <w:rFonts w:eastAsia="Times New Roman"/>
          <w:lang w:val="en-GB" w:eastAsia="sv-SE"/>
        </w:rPr>
        <w:lastRenderedPageBreak/>
        <w:t>Article 11: Electronic payment of fees</w:t>
      </w:r>
      <w:bookmarkEnd w:id="14"/>
      <w:bookmarkEnd w:id="15"/>
    </w:p>
    <w:tbl>
      <w:tblPr>
        <w:tblStyle w:val="TableGrid1"/>
        <w:tblW w:w="9288" w:type="dxa"/>
        <w:tblLook w:val="04A0" w:firstRow="1" w:lastRow="0" w:firstColumn="1" w:lastColumn="0" w:noHBand="0" w:noVBand="1"/>
      </w:tblPr>
      <w:tblGrid>
        <w:gridCol w:w="4608"/>
        <w:gridCol w:w="4680"/>
      </w:tblGrid>
      <w:tr w:rsidR="00FB5790" w:rsidRPr="00A54B1D" w14:paraId="1FABA4A0" w14:textId="77777777" w:rsidTr="00BB030C">
        <w:tc>
          <w:tcPr>
            <w:tcW w:w="4608" w:type="dxa"/>
          </w:tcPr>
          <w:p w14:paraId="161DC890" w14:textId="77777777" w:rsidR="00FB5790" w:rsidRPr="00A54B1D" w:rsidRDefault="00FB5790" w:rsidP="00BB030C">
            <w:pPr>
              <w:rPr>
                <w:rFonts w:ascii="Arial" w:hAnsi="Arial" w:cs="Arial"/>
                <w:b/>
                <w:bCs/>
                <w:szCs w:val="24"/>
              </w:rPr>
            </w:pPr>
            <w:r w:rsidRPr="00A54B1D">
              <w:rPr>
                <w:rFonts w:ascii="Arial" w:hAnsi="Arial" w:cs="Arial"/>
                <w:b/>
                <w:bCs/>
                <w:szCs w:val="24"/>
              </w:rPr>
              <w:t>Commission proposal</w:t>
            </w:r>
          </w:p>
        </w:tc>
        <w:tc>
          <w:tcPr>
            <w:tcW w:w="4680" w:type="dxa"/>
          </w:tcPr>
          <w:p w14:paraId="0FA3F2F0" w14:textId="77777777" w:rsidR="00FB5790" w:rsidRPr="00A54B1D" w:rsidRDefault="00FB5790" w:rsidP="00BB030C">
            <w:pPr>
              <w:rPr>
                <w:rFonts w:ascii="Arial" w:hAnsi="Arial" w:cs="Arial"/>
                <w:b/>
                <w:bCs/>
                <w:szCs w:val="24"/>
              </w:rPr>
            </w:pPr>
            <w:r w:rsidRPr="00A54B1D">
              <w:rPr>
                <w:rFonts w:ascii="Arial" w:hAnsi="Arial" w:cs="Arial"/>
                <w:b/>
                <w:bCs/>
                <w:szCs w:val="24"/>
              </w:rPr>
              <w:t>Proposed amendments</w:t>
            </w:r>
          </w:p>
        </w:tc>
      </w:tr>
      <w:tr w:rsidR="00FB5790" w:rsidRPr="00A54B1D" w14:paraId="17D9FCF3" w14:textId="77777777" w:rsidTr="00BB030C">
        <w:tc>
          <w:tcPr>
            <w:tcW w:w="4608" w:type="dxa"/>
          </w:tcPr>
          <w:p w14:paraId="16D753E3" w14:textId="77777777" w:rsidR="00FB5790" w:rsidRPr="00A54B1D" w:rsidRDefault="00FB5790" w:rsidP="00BB030C">
            <w:pPr>
              <w:rPr>
                <w:rFonts w:ascii="Arial" w:hAnsi="Arial" w:cs="Arial"/>
              </w:rPr>
            </w:pPr>
            <w:r w:rsidRPr="00A54B1D">
              <w:rPr>
                <w:rFonts w:ascii="Arial" w:hAnsi="Arial" w:cs="Arial"/>
              </w:rPr>
              <w:t xml:space="preserve">1. Member States shall provide for the possibility of electronic payment of fees, including from Member States other than where the competent authority is situated. </w:t>
            </w:r>
          </w:p>
          <w:p w14:paraId="5DB9E30F" w14:textId="77777777" w:rsidR="00FB5790" w:rsidRPr="00A54B1D" w:rsidRDefault="00FB5790" w:rsidP="00BB030C">
            <w:pPr>
              <w:rPr>
                <w:rFonts w:ascii="Arial" w:hAnsi="Arial" w:cs="Arial"/>
              </w:rPr>
            </w:pPr>
          </w:p>
          <w:p w14:paraId="3F48AE1C" w14:textId="77777777" w:rsidR="00FB5790" w:rsidRPr="00A54B1D" w:rsidRDefault="00FB5790" w:rsidP="00BB030C">
            <w:pPr>
              <w:rPr>
                <w:rFonts w:ascii="Arial" w:hAnsi="Arial" w:cs="Arial"/>
                <w:szCs w:val="24"/>
              </w:rPr>
            </w:pPr>
            <w:r w:rsidRPr="00A54B1D">
              <w:rPr>
                <w:rFonts w:ascii="Arial" w:hAnsi="Arial" w:cs="Arial"/>
              </w:rPr>
              <w:t xml:space="preserve">2. Member States shall provide for technical means allowing the payment of the fees referred to in paragraph 1 through the European electronic access point. </w:t>
            </w:r>
          </w:p>
          <w:p w14:paraId="624C4515" w14:textId="77777777" w:rsidR="00FB5790" w:rsidRPr="00A54B1D" w:rsidRDefault="00FB5790" w:rsidP="00BB030C">
            <w:pPr>
              <w:shd w:val="clear" w:color="auto" w:fill="FFFFFF"/>
              <w:textAlignment w:val="baseline"/>
              <w:rPr>
                <w:rFonts w:ascii="Arial" w:hAnsi="Arial" w:cs="Arial"/>
                <w:szCs w:val="24"/>
                <w:lang w:eastAsia="sv-SE"/>
              </w:rPr>
            </w:pPr>
          </w:p>
        </w:tc>
        <w:tc>
          <w:tcPr>
            <w:tcW w:w="4680" w:type="dxa"/>
          </w:tcPr>
          <w:p w14:paraId="23031976" w14:textId="77777777" w:rsidR="00FB5790" w:rsidRPr="00A54B1D" w:rsidRDefault="00FB5790" w:rsidP="00BB030C">
            <w:pPr>
              <w:rPr>
                <w:rFonts w:ascii="Arial" w:hAnsi="Arial" w:cs="Arial"/>
              </w:rPr>
            </w:pPr>
            <w:r w:rsidRPr="00A54B1D">
              <w:rPr>
                <w:rFonts w:ascii="Arial" w:hAnsi="Arial" w:cs="Arial"/>
              </w:rPr>
              <w:t xml:space="preserve">1. Member States shall provide for the possibility of electronic payment of fees, including from Member States other than where the competent authority is situated. </w:t>
            </w:r>
          </w:p>
          <w:p w14:paraId="48F48DBF" w14:textId="77777777" w:rsidR="00FB5790" w:rsidRPr="00A54B1D" w:rsidRDefault="00FB5790" w:rsidP="00BB030C">
            <w:pPr>
              <w:rPr>
                <w:rFonts w:ascii="Arial" w:hAnsi="Arial" w:cs="Arial"/>
              </w:rPr>
            </w:pPr>
          </w:p>
          <w:p w14:paraId="68EEB5F8" w14:textId="77777777" w:rsidR="00FB5790" w:rsidRPr="00A54B1D" w:rsidRDefault="00FB5790" w:rsidP="00BB030C">
            <w:pPr>
              <w:rPr>
                <w:rFonts w:ascii="Arial" w:hAnsi="Arial" w:cs="Arial"/>
                <w:szCs w:val="24"/>
              </w:rPr>
            </w:pPr>
            <w:r w:rsidRPr="00A54B1D">
              <w:rPr>
                <w:rFonts w:ascii="Arial" w:hAnsi="Arial" w:cs="Arial"/>
              </w:rPr>
              <w:t xml:space="preserve">2. Member States shall provide for technical means allowing the payment of the fees referred to in paragraph 1 through the European electronic access point. </w:t>
            </w:r>
            <w:r w:rsidRPr="00A54B1D">
              <w:rPr>
                <w:rFonts w:ascii="Arial" w:hAnsi="Arial" w:cs="Arial"/>
                <w:b/>
                <w:bCs/>
                <w:i/>
                <w:iCs/>
              </w:rPr>
              <w:t>The payment systems shall be</w:t>
            </w:r>
            <w:r w:rsidRPr="00A54B1D">
              <w:rPr>
                <w:rFonts w:ascii="Arial" w:hAnsi="Arial" w:cs="Arial"/>
              </w:rPr>
              <w:t xml:space="preserve"> </w:t>
            </w:r>
            <w:r w:rsidRPr="00A54B1D">
              <w:rPr>
                <w:rFonts w:ascii="Arial" w:hAnsi="Arial" w:cs="Arial"/>
                <w:b/>
                <w:bCs/>
              </w:rPr>
              <w:t>a</w:t>
            </w:r>
            <w:r w:rsidRPr="00A54B1D">
              <w:rPr>
                <w:rFonts w:ascii="Arial" w:hAnsi="Arial" w:cs="Arial"/>
                <w:b/>
                <w:bCs/>
                <w:i/>
                <w:iCs/>
              </w:rPr>
              <w:t xml:space="preserve">ccessible </w:t>
            </w:r>
            <w:r>
              <w:rPr>
                <w:rFonts w:ascii="Arial" w:hAnsi="Arial" w:cs="Arial"/>
                <w:b/>
                <w:bCs/>
                <w:i/>
                <w:iCs/>
              </w:rPr>
              <w:t>for persons with disabilities.</w:t>
            </w:r>
          </w:p>
          <w:p w14:paraId="28C7E647" w14:textId="77777777" w:rsidR="00FB5790" w:rsidRPr="00A54B1D" w:rsidRDefault="00FB5790" w:rsidP="00BB030C">
            <w:pPr>
              <w:shd w:val="clear" w:color="auto" w:fill="FFFFFF"/>
              <w:textAlignment w:val="baseline"/>
              <w:rPr>
                <w:rFonts w:ascii="Arial" w:hAnsi="Arial" w:cs="Arial"/>
                <w:szCs w:val="24"/>
                <w:lang w:eastAsia="sv-SE"/>
              </w:rPr>
            </w:pPr>
          </w:p>
        </w:tc>
      </w:tr>
      <w:tr w:rsidR="00FB5790" w:rsidRPr="00A54B1D" w14:paraId="2E947852" w14:textId="77777777" w:rsidTr="00BB030C">
        <w:tc>
          <w:tcPr>
            <w:tcW w:w="9288" w:type="dxa"/>
            <w:gridSpan w:val="2"/>
          </w:tcPr>
          <w:p w14:paraId="20C9B0E0" w14:textId="77777777" w:rsidR="00FB5790" w:rsidRPr="00A54B1D" w:rsidRDefault="00FB5790" w:rsidP="00BB030C">
            <w:pPr>
              <w:jc w:val="center"/>
              <w:rPr>
                <w:rFonts w:ascii="Arial" w:hAnsi="Arial" w:cs="Arial"/>
                <w:szCs w:val="24"/>
              </w:rPr>
            </w:pPr>
            <w:r w:rsidRPr="00A54B1D">
              <w:rPr>
                <w:rFonts w:ascii="Arial" w:hAnsi="Arial" w:cs="Arial"/>
                <w:szCs w:val="24"/>
              </w:rPr>
              <w:t>Justification:</w:t>
            </w:r>
          </w:p>
          <w:p w14:paraId="7493367F" w14:textId="77777777" w:rsidR="00FB5790" w:rsidRPr="00A54B1D" w:rsidRDefault="00FB5790" w:rsidP="00BB030C">
            <w:pPr>
              <w:rPr>
                <w:rFonts w:ascii="Arial" w:hAnsi="Arial" w:cs="Arial"/>
                <w:szCs w:val="24"/>
              </w:rPr>
            </w:pPr>
          </w:p>
          <w:p w14:paraId="4E9E9E05" w14:textId="77777777" w:rsidR="00FB5790" w:rsidRPr="00AE41CD" w:rsidRDefault="00FB5790" w:rsidP="00BB030C">
            <w:pPr>
              <w:rPr>
                <w:rFonts w:ascii="Arial" w:hAnsi="Arial" w:cs="Arial"/>
                <w:szCs w:val="24"/>
                <w:lang w:val="en-GB"/>
              </w:rPr>
            </w:pPr>
            <w:r w:rsidRPr="00A54B1D">
              <w:rPr>
                <w:rFonts w:ascii="Arial" w:hAnsi="Arial" w:cs="Arial"/>
                <w:szCs w:val="24"/>
              </w:rPr>
              <w:t xml:space="preserve">Accessible payment systems are very important for users with disabilities. </w:t>
            </w:r>
            <w:r>
              <w:rPr>
                <w:rFonts w:ascii="Arial" w:hAnsi="Arial" w:cs="Arial"/>
                <w:szCs w:val="24"/>
              </w:rPr>
              <w:t xml:space="preserve">This means that it is also imperative that </w:t>
            </w:r>
            <w:r w:rsidRPr="00AE41CD">
              <w:rPr>
                <w:rFonts w:ascii="Arial" w:hAnsi="Arial" w:cs="Arial"/>
                <w:szCs w:val="24"/>
              </w:rPr>
              <w:t>Article 4</w:t>
            </w:r>
            <w:r>
              <w:rPr>
                <w:rFonts w:ascii="Arial" w:hAnsi="Arial" w:cs="Arial"/>
                <w:szCs w:val="24"/>
              </w:rPr>
              <w:t xml:space="preserve"> on </w:t>
            </w:r>
            <w:r w:rsidRPr="00AE41CD">
              <w:rPr>
                <w:rFonts w:ascii="Arial" w:hAnsi="Arial" w:cs="Arial"/>
                <w:szCs w:val="24"/>
              </w:rPr>
              <w:t>Establishment of a European electronic access points</w:t>
            </w:r>
            <w:r>
              <w:rPr>
                <w:rFonts w:ascii="Arial" w:hAnsi="Arial" w:cs="Arial"/>
                <w:szCs w:val="24"/>
              </w:rPr>
              <w:t xml:space="preserve"> requires compliance with </w:t>
            </w:r>
            <w:r w:rsidRPr="00AE41CD">
              <w:rPr>
                <w:rFonts w:ascii="Arial" w:hAnsi="Arial" w:cs="Arial"/>
                <w:szCs w:val="24"/>
              </w:rPr>
              <w:t>accessibility requirements set out in annex I of Directive (EU) 2019/882</w:t>
            </w:r>
            <w:r>
              <w:rPr>
                <w:rFonts w:ascii="Arial" w:hAnsi="Arial" w:cs="Arial"/>
                <w:szCs w:val="24"/>
              </w:rPr>
              <w:t xml:space="preserve">. </w:t>
            </w:r>
          </w:p>
          <w:p w14:paraId="362117A2" w14:textId="77777777" w:rsidR="00FB5790" w:rsidRPr="00A54B1D" w:rsidRDefault="00FB5790" w:rsidP="00BB030C">
            <w:pPr>
              <w:rPr>
                <w:rFonts w:ascii="Arial" w:hAnsi="Arial" w:cs="Arial"/>
                <w:szCs w:val="24"/>
                <w:lang w:eastAsia="sv-SE"/>
              </w:rPr>
            </w:pPr>
          </w:p>
        </w:tc>
      </w:tr>
    </w:tbl>
    <w:p w14:paraId="61A1E399" w14:textId="77777777" w:rsidR="00405E0B" w:rsidRPr="00A54B1D" w:rsidRDefault="00405E0B" w:rsidP="00FB5790">
      <w:pPr>
        <w:spacing w:after="200" w:line="276" w:lineRule="auto"/>
        <w:rPr>
          <w:rFonts w:ascii="Arial" w:eastAsia="Calibri" w:hAnsi="Arial" w:cs="Arial"/>
          <w:szCs w:val="24"/>
        </w:rPr>
      </w:pPr>
    </w:p>
    <w:p w14:paraId="6369BAC4" w14:textId="77777777" w:rsidR="00FB5790" w:rsidRPr="00A54B1D" w:rsidRDefault="00FB5790" w:rsidP="00FB5790">
      <w:pPr>
        <w:pStyle w:val="Heading2"/>
        <w:rPr>
          <w:rFonts w:eastAsia="Calibri" w:cs="Arial"/>
          <w:szCs w:val="22"/>
        </w:rPr>
      </w:pPr>
      <w:bookmarkStart w:id="16" w:name="_Toc108434127"/>
      <w:bookmarkStart w:id="17" w:name="_Toc109049400"/>
      <w:r w:rsidRPr="00A54B1D">
        <w:rPr>
          <w:rFonts w:eastAsia="Times New Roman"/>
          <w:lang w:val="en-GB" w:eastAsia="sv-SE"/>
        </w:rPr>
        <w:t>Article 12 (adoption of implementing acts by the Commission) and article 13 (reference implementation software)</w:t>
      </w:r>
      <w:bookmarkEnd w:id="16"/>
      <w:bookmarkEnd w:id="17"/>
    </w:p>
    <w:p w14:paraId="6A2ED4EE" w14:textId="77777777" w:rsidR="00FB5790" w:rsidRPr="00A54B1D" w:rsidRDefault="00FB5790" w:rsidP="00FB5790">
      <w:pPr>
        <w:spacing w:after="0" w:line="240" w:lineRule="auto"/>
        <w:rPr>
          <w:rFonts w:ascii="Arial" w:eastAsia="Times New Roman" w:hAnsi="Arial" w:cs="Arial"/>
          <w:vanish/>
          <w:szCs w:val="24"/>
          <w:lang w:val="en-GB" w:eastAsia="sv-SE"/>
        </w:rPr>
      </w:pPr>
    </w:p>
    <w:tbl>
      <w:tblPr>
        <w:tblStyle w:val="TableGrid1"/>
        <w:tblW w:w="9288" w:type="dxa"/>
        <w:tblLook w:val="04A0" w:firstRow="1" w:lastRow="0" w:firstColumn="1" w:lastColumn="0" w:noHBand="0" w:noVBand="1"/>
      </w:tblPr>
      <w:tblGrid>
        <w:gridCol w:w="4608"/>
        <w:gridCol w:w="4680"/>
      </w:tblGrid>
      <w:tr w:rsidR="00FB5790" w:rsidRPr="00A54B1D" w14:paraId="09222595" w14:textId="77777777" w:rsidTr="00BB030C">
        <w:tc>
          <w:tcPr>
            <w:tcW w:w="4608" w:type="dxa"/>
          </w:tcPr>
          <w:p w14:paraId="21ABA599" w14:textId="77777777" w:rsidR="00FB5790" w:rsidRPr="00A54B1D" w:rsidRDefault="00FB5790" w:rsidP="00BB030C">
            <w:pPr>
              <w:rPr>
                <w:rFonts w:ascii="Arial" w:hAnsi="Arial" w:cs="Arial"/>
                <w:b/>
                <w:bCs/>
                <w:szCs w:val="24"/>
              </w:rPr>
            </w:pPr>
            <w:r w:rsidRPr="00A54B1D">
              <w:rPr>
                <w:rFonts w:ascii="Arial" w:hAnsi="Arial" w:cs="Arial"/>
                <w:b/>
                <w:bCs/>
                <w:szCs w:val="24"/>
              </w:rPr>
              <w:t>Commission proposal</w:t>
            </w:r>
          </w:p>
        </w:tc>
        <w:tc>
          <w:tcPr>
            <w:tcW w:w="4680" w:type="dxa"/>
          </w:tcPr>
          <w:p w14:paraId="50FCB114" w14:textId="77777777" w:rsidR="00FB5790" w:rsidRPr="00A54B1D" w:rsidRDefault="00FB5790" w:rsidP="00BB030C">
            <w:pPr>
              <w:rPr>
                <w:rFonts w:ascii="Arial" w:hAnsi="Arial" w:cs="Arial"/>
                <w:b/>
                <w:bCs/>
                <w:szCs w:val="24"/>
              </w:rPr>
            </w:pPr>
            <w:r w:rsidRPr="00A54B1D">
              <w:rPr>
                <w:rFonts w:ascii="Arial" w:hAnsi="Arial" w:cs="Arial"/>
                <w:b/>
                <w:bCs/>
                <w:szCs w:val="24"/>
              </w:rPr>
              <w:t>Proposed amendments</w:t>
            </w:r>
          </w:p>
        </w:tc>
      </w:tr>
      <w:tr w:rsidR="00FB5790" w:rsidRPr="00A54B1D" w14:paraId="6D10653E" w14:textId="77777777" w:rsidTr="00BB030C">
        <w:tc>
          <w:tcPr>
            <w:tcW w:w="4608" w:type="dxa"/>
          </w:tcPr>
          <w:p w14:paraId="7E088C62" w14:textId="77777777" w:rsidR="00FB5790" w:rsidRPr="00A54B1D" w:rsidRDefault="00FB5790" w:rsidP="00BB030C">
            <w:pPr>
              <w:rPr>
                <w:rFonts w:ascii="Arial" w:hAnsi="Arial" w:cs="Arial"/>
                <w:szCs w:val="24"/>
              </w:rPr>
            </w:pPr>
            <w:r w:rsidRPr="00A54B1D">
              <w:rPr>
                <w:rFonts w:ascii="Arial" w:hAnsi="Arial" w:cs="Arial"/>
                <w:szCs w:val="24"/>
              </w:rPr>
              <w:t>Article 12 Adoption of implementing acts by the Commission</w:t>
            </w:r>
          </w:p>
          <w:p w14:paraId="28FE81D7" w14:textId="77777777" w:rsidR="00FB5790" w:rsidRPr="00A54B1D" w:rsidRDefault="00FB5790" w:rsidP="00BB030C">
            <w:pPr>
              <w:rPr>
                <w:rFonts w:ascii="Arial" w:hAnsi="Arial" w:cs="Arial"/>
                <w:szCs w:val="24"/>
              </w:rPr>
            </w:pPr>
          </w:p>
          <w:p w14:paraId="46C7E0DC" w14:textId="77777777" w:rsidR="00FB5790" w:rsidRPr="00A54B1D" w:rsidRDefault="00FB5790" w:rsidP="00BB030C">
            <w:pPr>
              <w:shd w:val="clear" w:color="auto" w:fill="FFFFFF"/>
              <w:ind w:left="850"/>
              <w:textAlignment w:val="baseline"/>
              <w:rPr>
                <w:rFonts w:ascii="Arial" w:hAnsi="Arial" w:cs="Arial"/>
                <w:color w:val="000000"/>
                <w:szCs w:val="24"/>
                <w:lang w:eastAsia="sv-SE"/>
              </w:rPr>
            </w:pPr>
            <w:r w:rsidRPr="00A54B1D">
              <w:rPr>
                <w:rFonts w:ascii="Arial" w:hAnsi="Arial" w:cs="Arial"/>
                <w:color w:val="000000"/>
                <w:szCs w:val="24"/>
                <w:bdr w:val="none" w:sz="0" w:space="0" w:color="auto" w:frame="1"/>
                <w:lang w:eastAsia="sv-SE"/>
              </w:rPr>
              <w:t xml:space="preserve">1. The Commission shall adopt implementing acts establishing the </w:t>
            </w:r>
            <w:proofErr w:type="spellStart"/>
            <w:r w:rsidRPr="00A54B1D">
              <w:rPr>
                <w:rFonts w:ascii="Arial" w:hAnsi="Arial" w:cs="Arial"/>
                <w:color w:val="000000"/>
                <w:szCs w:val="24"/>
                <w:bdr w:val="none" w:sz="0" w:space="0" w:color="auto" w:frame="1"/>
                <w:lang w:eastAsia="sv-SE"/>
              </w:rPr>
              <w:t>decentralised</w:t>
            </w:r>
            <w:proofErr w:type="spellEnd"/>
            <w:r w:rsidRPr="00A54B1D">
              <w:rPr>
                <w:rFonts w:ascii="Arial" w:hAnsi="Arial" w:cs="Arial"/>
                <w:color w:val="000000"/>
                <w:szCs w:val="24"/>
                <w:bdr w:val="none" w:sz="0" w:space="0" w:color="auto" w:frame="1"/>
                <w:lang w:eastAsia="sv-SE"/>
              </w:rPr>
              <w:t xml:space="preserve"> IT system, setting out the following:</w:t>
            </w:r>
          </w:p>
          <w:p w14:paraId="7D0A23E5" w14:textId="77777777" w:rsidR="00FB5790" w:rsidRPr="00A54B1D" w:rsidRDefault="00FB5790" w:rsidP="00BB030C">
            <w:pPr>
              <w:shd w:val="clear" w:color="auto" w:fill="FFFFFF"/>
              <w:ind w:left="1418"/>
              <w:textAlignment w:val="baseline"/>
              <w:rPr>
                <w:rFonts w:ascii="Arial" w:hAnsi="Arial" w:cs="Arial"/>
                <w:color w:val="000000"/>
                <w:szCs w:val="24"/>
                <w:lang w:eastAsia="sv-SE"/>
              </w:rPr>
            </w:pPr>
            <w:r w:rsidRPr="00A54B1D">
              <w:rPr>
                <w:rFonts w:ascii="Arial" w:hAnsi="Arial" w:cs="Arial"/>
                <w:color w:val="000000"/>
                <w:szCs w:val="24"/>
                <w:bdr w:val="none" w:sz="0" w:space="0" w:color="auto" w:frame="1"/>
                <w:lang w:eastAsia="sv-SE"/>
              </w:rPr>
              <w:t xml:space="preserve">(a)the technical specifications defining the methods of communication by electronic means for the purposes of the </w:t>
            </w:r>
            <w:proofErr w:type="spellStart"/>
            <w:r w:rsidRPr="00A54B1D">
              <w:rPr>
                <w:rFonts w:ascii="Arial" w:hAnsi="Arial" w:cs="Arial"/>
                <w:color w:val="000000"/>
                <w:szCs w:val="24"/>
                <w:bdr w:val="none" w:sz="0" w:space="0" w:color="auto" w:frame="1"/>
                <w:lang w:eastAsia="sv-SE"/>
              </w:rPr>
              <w:t>decentralised</w:t>
            </w:r>
            <w:proofErr w:type="spellEnd"/>
            <w:r w:rsidRPr="00A54B1D">
              <w:rPr>
                <w:rFonts w:ascii="Arial" w:hAnsi="Arial" w:cs="Arial"/>
                <w:color w:val="000000"/>
                <w:szCs w:val="24"/>
                <w:bdr w:val="none" w:sz="0" w:space="0" w:color="auto" w:frame="1"/>
                <w:lang w:eastAsia="sv-SE"/>
              </w:rPr>
              <w:t xml:space="preserve"> IT system;</w:t>
            </w:r>
          </w:p>
          <w:p w14:paraId="09100F71" w14:textId="77777777" w:rsidR="00FB5790" w:rsidRPr="00A54B1D" w:rsidRDefault="00FB5790" w:rsidP="00BB030C">
            <w:pPr>
              <w:shd w:val="clear" w:color="auto" w:fill="FFFFFF"/>
              <w:ind w:left="1418"/>
              <w:textAlignment w:val="baseline"/>
              <w:rPr>
                <w:rFonts w:ascii="Arial" w:hAnsi="Arial" w:cs="Arial"/>
                <w:color w:val="000000"/>
                <w:szCs w:val="24"/>
                <w:lang w:eastAsia="sv-SE"/>
              </w:rPr>
            </w:pPr>
            <w:r w:rsidRPr="00A54B1D">
              <w:rPr>
                <w:rFonts w:ascii="Arial" w:hAnsi="Arial" w:cs="Arial"/>
                <w:color w:val="000000"/>
                <w:szCs w:val="24"/>
                <w:bdr w:val="none" w:sz="0" w:space="0" w:color="auto" w:frame="1"/>
                <w:lang w:eastAsia="sv-SE"/>
              </w:rPr>
              <w:t>(b)the technical specifications for communication protocols;</w:t>
            </w:r>
          </w:p>
          <w:p w14:paraId="482D1048" w14:textId="77777777" w:rsidR="00FB5790" w:rsidRPr="00A54B1D" w:rsidRDefault="00FB5790" w:rsidP="00BB030C">
            <w:pPr>
              <w:shd w:val="clear" w:color="auto" w:fill="FFFFFF"/>
              <w:ind w:left="1418"/>
              <w:textAlignment w:val="baseline"/>
              <w:rPr>
                <w:rFonts w:ascii="Arial" w:hAnsi="Arial" w:cs="Arial"/>
                <w:color w:val="000000"/>
                <w:szCs w:val="24"/>
                <w:lang w:eastAsia="sv-SE"/>
              </w:rPr>
            </w:pPr>
            <w:r w:rsidRPr="00A54B1D">
              <w:rPr>
                <w:rFonts w:ascii="Arial" w:hAnsi="Arial" w:cs="Arial"/>
                <w:color w:val="000000"/>
                <w:szCs w:val="24"/>
                <w:bdr w:val="none" w:sz="0" w:space="0" w:color="auto" w:frame="1"/>
                <w:lang w:eastAsia="sv-SE"/>
              </w:rPr>
              <w:t xml:space="preserve">(c)the information security objectives and relevant technical measures ensuring minimum </w:t>
            </w:r>
            <w:r w:rsidRPr="00A54B1D">
              <w:rPr>
                <w:rFonts w:ascii="Arial" w:hAnsi="Arial" w:cs="Arial"/>
                <w:color w:val="000000"/>
                <w:szCs w:val="24"/>
                <w:bdr w:val="none" w:sz="0" w:space="0" w:color="auto" w:frame="1"/>
                <w:lang w:eastAsia="sv-SE"/>
              </w:rPr>
              <w:lastRenderedPageBreak/>
              <w:t xml:space="preserve">information security standards and a high level of cybersecurity for the processing and communication of information within the </w:t>
            </w:r>
            <w:proofErr w:type="spellStart"/>
            <w:r w:rsidRPr="00A54B1D">
              <w:rPr>
                <w:rFonts w:ascii="Arial" w:hAnsi="Arial" w:cs="Arial"/>
                <w:color w:val="000000"/>
                <w:szCs w:val="24"/>
                <w:bdr w:val="none" w:sz="0" w:space="0" w:color="auto" w:frame="1"/>
                <w:lang w:eastAsia="sv-SE"/>
              </w:rPr>
              <w:t>decentralised</w:t>
            </w:r>
            <w:proofErr w:type="spellEnd"/>
            <w:r w:rsidRPr="00A54B1D">
              <w:rPr>
                <w:rFonts w:ascii="Arial" w:hAnsi="Arial" w:cs="Arial"/>
                <w:color w:val="000000"/>
                <w:szCs w:val="24"/>
                <w:bdr w:val="none" w:sz="0" w:space="0" w:color="auto" w:frame="1"/>
                <w:lang w:eastAsia="sv-SE"/>
              </w:rPr>
              <w:t xml:space="preserve"> IT system;</w:t>
            </w:r>
          </w:p>
          <w:p w14:paraId="03D676C6" w14:textId="77777777" w:rsidR="00FB5790" w:rsidRPr="00A54B1D" w:rsidRDefault="00FB5790" w:rsidP="00BB030C">
            <w:pPr>
              <w:shd w:val="clear" w:color="auto" w:fill="FFFFFF"/>
              <w:ind w:left="1418"/>
              <w:textAlignment w:val="baseline"/>
              <w:rPr>
                <w:rFonts w:ascii="Arial" w:hAnsi="Arial" w:cs="Arial"/>
                <w:color w:val="000000"/>
                <w:szCs w:val="24"/>
                <w:bdr w:val="none" w:sz="0" w:space="0" w:color="auto" w:frame="1"/>
                <w:lang w:eastAsia="sv-SE"/>
              </w:rPr>
            </w:pPr>
            <w:r w:rsidRPr="00A54B1D">
              <w:rPr>
                <w:rFonts w:ascii="Arial" w:hAnsi="Arial" w:cs="Arial"/>
                <w:color w:val="000000"/>
                <w:szCs w:val="24"/>
                <w:bdr w:val="none" w:sz="0" w:space="0" w:color="auto" w:frame="1"/>
                <w:lang w:eastAsia="sv-SE"/>
              </w:rPr>
              <w:t xml:space="preserve">(d)the minimum availability objectives and possible related technical requirements for the  services provided by the </w:t>
            </w:r>
            <w:proofErr w:type="spellStart"/>
            <w:r w:rsidRPr="00A54B1D">
              <w:rPr>
                <w:rFonts w:ascii="Arial" w:hAnsi="Arial" w:cs="Arial"/>
                <w:color w:val="000000"/>
                <w:szCs w:val="24"/>
                <w:bdr w:val="none" w:sz="0" w:space="0" w:color="auto" w:frame="1"/>
                <w:lang w:eastAsia="sv-SE"/>
              </w:rPr>
              <w:t>decentralised</w:t>
            </w:r>
            <w:proofErr w:type="spellEnd"/>
            <w:r w:rsidRPr="00A54B1D">
              <w:rPr>
                <w:rFonts w:ascii="Arial" w:hAnsi="Arial" w:cs="Arial"/>
                <w:color w:val="000000"/>
                <w:szCs w:val="24"/>
                <w:bdr w:val="none" w:sz="0" w:space="0" w:color="auto" w:frame="1"/>
                <w:lang w:eastAsia="sv-SE"/>
              </w:rPr>
              <w:t xml:space="preserve"> IT system;</w:t>
            </w:r>
          </w:p>
          <w:p w14:paraId="55972A86" w14:textId="77777777" w:rsidR="00FB5790" w:rsidRPr="00A54B1D" w:rsidRDefault="00FB5790" w:rsidP="00BB030C">
            <w:pPr>
              <w:shd w:val="clear" w:color="auto" w:fill="FFFFFF"/>
              <w:ind w:left="1418"/>
              <w:textAlignment w:val="baseline"/>
              <w:rPr>
                <w:rFonts w:ascii="Arial" w:hAnsi="Arial" w:cs="Arial"/>
                <w:color w:val="000000"/>
                <w:szCs w:val="24"/>
                <w:lang w:eastAsia="sv-SE"/>
              </w:rPr>
            </w:pPr>
          </w:p>
          <w:p w14:paraId="2347310C" w14:textId="77777777" w:rsidR="00FB5790" w:rsidRPr="00A54B1D" w:rsidRDefault="00FB5790" w:rsidP="00BB030C">
            <w:pPr>
              <w:rPr>
                <w:rFonts w:ascii="Arial" w:hAnsi="Arial" w:cs="Arial"/>
                <w:szCs w:val="24"/>
              </w:rPr>
            </w:pPr>
          </w:p>
        </w:tc>
        <w:tc>
          <w:tcPr>
            <w:tcW w:w="4680" w:type="dxa"/>
          </w:tcPr>
          <w:p w14:paraId="7D314F14" w14:textId="77777777" w:rsidR="00FB5790" w:rsidRPr="00A54B1D" w:rsidRDefault="00FB5790" w:rsidP="00BB030C">
            <w:pPr>
              <w:rPr>
                <w:rFonts w:ascii="Arial" w:hAnsi="Arial" w:cs="Arial"/>
                <w:szCs w:val="24"/>
              </w:rPr>
            </w:pPr>
            <w:r w:rsidRPr="00A54B1D">
              <w:rPr>
                <w:rFonts w:ascii="Arial" w:hAnsi="Arial" w:cs="Arial"/>
                <w:szCs w:val="24"/>
              </w:rPr>
              <w:lastRenderedPageBreak/>
              <w:t>Article 12 Adoption of implementing acts by the Commission</w:t>
            </w:r>
          </w:p>
          <w:p w14:paraId="67B3BB88" w14:textId="77777777" w:rsidR="00FB5790" w:rsidRPr="00A54B1D" w:rsidRDefault="00FB5790" w:rsidP="00BB030C">
            <w:pPr>
              <w:rPr>
                <w:rFonts w:ascii="Arial" w:hAnsi="Arial" w:cs="Arial"/>
                <w:szCs w:val="24"/>
              </w:rPr>
            </w:pPr>
          </w:p>
          <w:p w14:paraId="752E479D" w14:textId="77777777" w:rsidR="00FB5790" w:rsidRPr="00A54B1D" w:rsidRDefault="00FB5790" w:rsidP="00BB030C">
            <w:pPr>
              <w:shd w:val="clear" w:color="auto" w:fill="FFFFFF"/>
              <w:ind w:left="850"/>
              <w:textAlignment w:val="baseline"/>
              <w:rPr>
                <w:rFonts w:ascii="Arial" w:hAnsi="Arial" w:cs="Arial"/>
                <w:color w:val="000000"/>
                <w:szCs w:val="24"/>
                <w:lang w:eastAsia="sv-SE"/>
              </w:rPr>
            </w:pPr>
            <w:r w:rsidRPr="00A54B1D">
              <w:rPr>
                <w:rFonts w:ascii="Arial" w:hAnsi="Arial" w:cs="Arial"/>
                <w:color w:val="000000"/>
                <w:szCs w:val="24"/>
                <w:bdr w:val="none" w:sz="0" w:space="0" w:color="auto" w:frame="1"/>
                <w:lang w:eastAsia="sv-SE"/>
              </w:rPr>
              <w:t xml:space="preserve">1. The Commission shall adopt implementing acts establishing the </w:t>
            </w:r>
            <w:proofErr w:type="spellStart"/>
            <w:r w:rsidRPr="00A54B1D">
              <w:rPr>
                <w:rFonts w:ascii="Arial" w:hAnsi="Arial" w:cs="Arial"/>
                <w:color w:val="000000"/>
                <w:szCs w:val="24"/>
                <w:bdr w:val="none" w:sz="0" w:space="0" w:color="auto" w:frame="1"/>
                <w:lang w:eastAsia="sv-SE"/>
              </w:rPr>
              <w:t>decentralised</w:t>
            </w:r>
            <w:proofErr w:type="spellEnd"/>
            <w:r w:rsidRPr="00A54B1D">
              <w:rPr>
                <w:rFonts w:ascii="Arial" w:hAnsi="Arial" w:cs="Arial"/>
                <w:color w:val="000000"/>
                <w:szCs w:val="24"/>
                <w:bdr w:val="none" w:sz="0" w:space="0" w:color="auto" w:frame="1"/>
                <w:lang w:eastAsia="sv-SE"/>
              </w:rPr>
              <w:t xml:space="preserve"> IT system, setting out the following:</w:t>
            </w:r>
          </w:p>
          <w:p w14:paraId="0B7E51DE" w14:textId="77777777" w:rsidR="00FB5790" w:rsidRPr="00AE41CD" w:rsidRDefault="00FB5790" w:rsidP="00BB030C">
            <w:pPr>
              <w:shd w:val="clear" w:color="auto" w:fill="FFFFFF"/>
              <w:ind w:left="1418"/>
              <w:textAlignment w:val="baseline"/>
              <w:rPr>
                <w:rFonts w:ascii="Arial" w:hAnsi="Arial" w:cs="Arial"/>
                <w:color w:val="000000"/>
                <w:szCs w:val="24"/>
                <w:bdr w:val="none" w:sz="0" w:space="0" w:color="auto" w:frame="1"/>
                <w:lang w:eastAsia="sv-SE"/>
              </w:rPr>
            </w:pPr>
            <w:r w:rsidRPr="00A54B1D">
              <w:rPr>
                <w:rFonts w:ascii="Arial" w:hAnsi="Arial" w:cs="Arial"/>
                <w:color w:val="000000"/>
                <w:szCs w:val="24"/>
                <w:bdr w:val="none" w:sz="0" w:space="0" w:color="auto" w:frame="1"/>
                <w:lang w:eastAsia="sv-SE"/>
              </w:rPr>
              <w:t xml:space="preserve">(a)the technical specifications defining the methods of communication by electronic means for the purposes of the </w:t>
            </w:r>
            <w:proofErr w:type="spellStart"/>
            <w:r w:rsidRPr="00A54B1D">
              <w:rPr>
                <w:rFonts w:ascii="Arial" w:hAnsi="Arial" w:cs="Arial"/>
                <w:color w:val="000000"/>
                <w:szCs w:val="24"/>
                <w:bdr w:val="none" w:sz="0" w:space="0" w:color="auto" w:frame="1"/>
                <w:lang w:eastAsia="sv-SE"/>
              </w:rPr>
              <w:t>decentralised</w:t>
            </w:r>
            <w:proofErr w:type="spellEnd"/>
            <w:r w:rsidRPr="00A54B1D">
              <w:rPr>
                <w:rFonts w:ascii="Arial" w:hAnsi="Arial" w:cs="Arial"/>
                <w:color w:val="000000"/>
                <w:szCs w:val="24"/>
                <w:bdr w:val="none" w:sz="0" w:space="0" w:color="auto" w:frame="1"/>
                <w:lang w:eastAsia="sv-SE"/>
              </w:rPr>
              <w:t xml:space="preserve"> IT system</w:t>
            </w:r>
            <w:r>
              <w:rPr>
                <w:rFonts w:ascii="Arial" w:hAnsi="Arial" w:cs="Arial"/>
                <w:color w:val="000000"/>
                <w:szCs w:val="24"/>
                <w:bdr w:val="none" w:sz="0" w:space="0" w:color="auto" w:frame="1"/>
                <w:lang w:eastAsia="sv-SE"/>
              </w:rPr>
              <w:t>;</w:t>
            </w:r>
            <w:r w:rsidRPr="00A54B1D">
              <w:rPr>
                <w:rFonts w:ascii="Arial" w:hAnsi="Arial" w:cs="Arial"/>
                <w:color w:val="000000"/>
                <w:szCs w:val="24"/>
                <w:bdr w:val="none" w:sz="0" w:space="0" w:color="auto" w:frame="1"/>
                <w:lang w:eastAsia="sv-SE"/>
              </w:rPr>
              <w:t xml:space="preserve"> </w:t>
            </w:r>
          </w:p>
          <w:p w14:paraId="081760A2" w14:textId="77777777" w:rsidR="00FB5790" w:rsidRPr="00A54B1D" w:rsidRDefault="00FB5790" w:rsidP="00BB030C">
            <w:pPr>
              <w:shd w:val="clear" w:color="auto" w:fill="FFFFFF"/>
              <w:ind w:left="1418"/>
              <w:textAlignment w:val="baseline"/>
              <w:rPr>
                <w:rFonts w:ascii="Arial" w:hAnsi="Arial" w:cs="Arial"/>
                <w:color w:val="000000"/>
                <w:szCs w:val="24"/>
                <w:lang w:eastAsia="sv-SE"/>
              </w:rPr>
            </w:pPr>
            <w:r w:rsidRPr="00A54B1D">
              <w:rPr>
                <w:rFonts w:ascii="Arial" w:hAnsi="Arial" w:cs="Arial"/>
                <w:color w:val="000000"/>
                <w:szCs w:val="24"/>
                <w:bdr w:val="none" w:sz="0" w:space="0" w:color="auto" w:frame="1"/>
                <w:lang w:eastAsia="sv-SE"/>
              </w:rPr>
              <w:t>(b)the technical specifications for communication protocols;</w:t>
            </w:r>
          </w:p>
          <w:p w14:paraId="03E2D60F" w14:textId="77777777" w:rsidR="00FB5790" w:rsidRPr="00A54B1D" w:rsidRDefault="00FB5790" w:rsidP="00BB030C">
            <w:pPr>
              <w:shd w:val="clear" w:color="auto" w:fill="FFFFFF"/>
              <w:ind w:left="1418"/>
              <w:textAlignment w:val="baseline"/>
              <w:rPr>
                <w:rFonts w:ascii="Arial" w:hAnsi="Arial" w:cs="Arial"/>
                <w:color w:val="000000"/>
                <w:szCs w:val="24"/>
                <w:lang w:eastAsia="sv-SE"/>
              </w:rPr>
            </w:pPr>
            <w:r w:rsidRPr="00A54B1D">
              <w:rPr>
                <w:rFonts w:ascii="Arial" w:hAnsi="Arial" w:cs="Arial"/>
                <w:color w:val="000000"/>
                <w:szCs w:val="24"/>
                <w:bdr w:val="none" w:sz="0" w:space="0" w:color="auto" w:frame="1"/>
                <w:lang w:eastAsia="sv-SE"/>
              </w:rPr>
              <w:t xml:space="preserve">(c)the information security objectives and relevant technical measures ensuring minimum </w:t>
            </w:r>
            <w:r w:rsidRPr="00A54B1D">
              <w:rPr>
                <w:rFonts w:ascii="Arial" w:hAnsi="Arial" w:cs="Arial"/>
                <w:color w:val="000000"/>
                <w:szCs w:val="24"/>
                <w:bdr w:val="none" w:sz="0" w:space="0" w:color="auto" w:frame="1"/>
                <w:lang w:eastAsia="sv-SE"/>
              </w:rPr>
              <w:lastRenderedPageBreak/>
              <w:t xml:space="preserve">information security standards and a high level of cybersecurity for the processing and communication of information within the </w:t>
            </w:r>
            <w:proofErr w:type="spellStart"/>
            <w:r w:rsidRPr="00A54B1D">
              <w:rPr>
                <w:rFonts w:ascii="Arial" w:hAnsi="Arial" w:cs="Arial"/>
                <w:color w:val="000000"/>
                <w:szCs w:val="24"/>
                <w:bdr w:val="none" w:sz="0" w:space="0" w:color="auto" w:frame="1"/>
                <w:lang w:eastAsia="sv-SE"/>
              </w:rPr>
              <w:t>decentralised</w:t>
            </w:r>
            <w:proofErr w:type="spellEnd"/>
            <w:r w:rsidRPr="00A54B1D">
              <w:rPr>
                <w:rFonts w:ascii="Arial" w:hAnsi="Arial" w:cs="Arial"/>
                <w:color w:val="000000"/>
                <w:szCs w:val="24"/>
                <w:bdr w:val="none" w:sz="0" w:space="0" w:color="auto" w:frame="1"/>
                <w:lang w:eastAsia="sv-SE"/>
              </w:rPr>
              <w:t xml:space="preserve"> IT system;</w:t>
            </w:r>
          </w:p>
          <w:p w14:paraId="303AC18F" w14:textId="77777777" w:rsidR="00FB5790" w:rsidRDefault="00FB5790" w:rsidP="00BB030C">
            <w:pPr>
              <w:shd w:val="clear" w:color="auto" w:fill="FFFFFF"/>
              <w:ind w:left="1418"/>
              <w:textAlignment w:val="baseline"/>
              <w:rPr>
                <w:rFonts w:ascii="Arial" w:hAnsi="Arial" w:cs="Arial"/>
                <w:color w:val="000000"/>
                <w:szCs w:val="24"/>
                <w:bdr w:val="none" w:sz="0" w:space="0" w:color="auto" w:frame="1"/>
                <w:lang w:eastAsia="sv-SE"/>
              </w:rPr>
            </w:pPr>
            <w:r w:rsidRPr="00A54B1D">
              <w:rPr>
                <w:rFonts w:ascii="Arial" w:hAnsi="Arial" w:cs="Arial"/>
                <w:color w:val="000000"/>
                <w:szCs w:val="24"/>
                <w:bdr w:val="none" w:sz="0" w:space="0" w:color="auto" w:frame="1"/>
                <w:lang w:eastAsia="sv-SE"/>
              </w:rPr>
              <w:t xml:space="preserve">(d)the minimum availability objectives and possible related technical requirements for the services provided by the </w:t>
            </w:r>
            <w:proofErr w:type="spellStart"/>
            <w:r w:rsidRPr="00A54B1D">
              <w:rPr>
                <w:rFonts w:ascii="Arial" w:hAnsi="Arial" w:cs="Arial"/>
                <w:color w:val="000000"/>
                <w:szCs w:val="24"/>
                <w:bdr w:val="none" w:sz="0" w:space="0" w:color="auto" w:frame="1"/>
                <w:lang w:eastAsia="sv-SE"/>
              </w:rPr>
              <w:t>decentralised</w:t>
            </w:r>
            <w:proofErr w:type="spellEnd"/>
            <w:r w:rsidRPr="00A54B1D">
              <w:rPr>
                <w:rFonts w:ascii="Arial" w:hAnsi="Arial" w:cs="Arial"/>
                <w:color w:val="000000"/>
                <w:szCs w:val="24"/>
                <w:bdr w:val="none" w:sz="0" w:space="0" w:color="auto" w:frame="1"/>
                <w:lang w:eastAsia="sv-SE"/>
              </w:rPr>
              <w:t xml:space="preserve"> IT system;</w:t>
            </w:r>
          </w:p>
          <w:p w14:paraId="5920690F" w14:textId="77777777" w:rsidR="00FB5790" w:rsidRPr="00A54B1D" w:rsidRDefault="00FB5790" w:rsidP="00BB030C">
            <w:pPr>
              <w:shd w:val="clear" w:color="auto" w:fill="FFFFFF"/>
              <w:ind w:left="1418"/>
              <w:textAlignment w:val="baseline"/>
              <w:rPr>
                <w:rFonts w:ascii="Arial" w:hAnsi="Arial" w:cs="Arial"/>
                <w:color w:val="000000"/>
                <w:szCs w:val="24"/>
                <w:lang w:eastAsia="sv-SE"/>
              </w:rPr>
            </w:pPr>
            <w:r w:rsidRPr="000058AD">
              <w:rPr>
                <w:rFonts w:ascii="Arial" w:hAnsi="Arial" w:cs="Arial"/>
                <w:b/>
                <w:bCs/>
                <w:color w:val="000000"/>
                <w:szCs w:val="24"/>
                <w:lang w:eastAsia="sv-SE"/>
              </w:rPr>
              <w:t xml:space="preserve">(e) the accessibility of the </w:t>
            </w:r>
            <w:proofErr w:type="spellStart"/>
            <w:r w:rsidRPr="000058AD">
              <w:rPr>
                <w:rFonts w:ascii="Arial" w:hAnsi="Arial" w:cs="Arial"/>
                <w:b/>
                <w:bCs/>
                <w:color w:val="000000"/>
                <w:szCs w:val="24"/>
                <w:lang w:eastAsia="sv-SE"/>
              </w:rPr>
              <w:t>decentralised</w:t>
            </w:r>
            <w:proofErr w:type="spellEnd"/>
            <w:r w:rsidRPr="000058AD">
              <w:rPr>
                <w:rFonts w:ascii="Arial" w:hAnsi="Arial" w:cs="Arial"/>
                <w:b/>
                <w:bCs/>
                <w:color w:val="000000"/>
                <w:szCs w:val="24"/>
                <w:lang w:eastAsia="sv-SE"/>
              </w:rPr>
              <w:t xml:space="preserve"> IT system</w:t>
            </w:r>
            <w:r>
              <w:rPr>
                <w:rFonts w:ascii="Arial" w:hAnsi="Arial" w:cs="Arial"/>
                <w:color w:val="000000"/>
                <w:szCs w:val="24"/>
                <w:lang w:eastAsia="sv-SE"/>
              </w:rPr>
              <w:t xml:space="preserve">. </w:t>
            </w:r>
          </w:p>
          <w:p w14:paraId="4B6B43AF" w14:textId="77777777" w:rsidR="00FB5790" w:rsidRPr="00A54B1D" w:rsidRDefault="00FB5790" w:rsidP="00BB030C">
            <w:pPr>
              <w:rPr>
                <w:rFonts w:ascii="Arial" w:hAnsi="Arial" w:cs="Arial"/>
                <w:szCs w:val="24"/>
              </w:rPr>
            </w:pPr>
          </w:p>
        </w:tc>
      </w:tr>
      <w:tr w:rsidR="00FB5790" w:rsidRPr="00A54B1D" w14:paraId="4439B242" w14:textId="77777777" w:rsidTr="00BB030C">
        <w:tc>
          <w:tcPr>
            <w:tcW w:w="4608" w:type="dxa"/>
          </w:tcPr>
          <w:p w14:paraId="2908DF1B" w14:textId="77777777" w:rsidR="00FB5790" w:rsidRPr="00A54B1D" w:rsidRDefault="00FB5790" w:rsidP="00BB030C">
            <w:pPr>
              <w:rPr>
                <w:rFonts w:ascii="Arial" w:hAnsi="Arial" w:cs="Arial"/>
                <w:szCs w:val="24"/>
              </w:rPr>
            </w:pPr>
            <w:r w:rsidRPr="00A54B1D">
              <w:rPr>
                <w:rFonts w:ascii="Arial" w:hAnsi="Arial" w:cs="Arial"/>
                <w:szCs w:val="24"/>
              </w:rPr>
              <w:lastRenderedPageBreak/>
              <w:t>Article 13 Reference implementation software</w:t>
            </w:r>
          </w:p>
          <w:p w14:paraId="5463D1B8" w14:textId="77777777" w:rsidR="00FB5790" w:rsidRPr="00A54B1D" w:rsidRDefault="00FB5790" w:rsidP="00BB030C">
            <w:pPr>
              <w:rPr>
                <w:rFonts w:ascii="Arial" w:hAnsi="Arial" w:cs="Arial"/>
                <w:szCs w:val="24"/>
              </w:rPr>
            </w:pPr>
          </w:p>
          <w:p w14:paraId="1471618E" w14:textId="77777777" w:rsidR="00FB5790" w:rsidRPr="00A54B1D" w:rsidRDefault="00FB5790" w:rsidP="00BB030C">
            <w:pPr>
              <w:shd w:val="clear" w:color="auto" w:fill="FFFFFF"/>
              <w:ind w:left="850"/>
              <w:textAlignment w:val="baseline"/>
              <w:rPr>
                <w:rFonts w:ascii="Arial" w:hAnsi="Arial" w:cs="Arial"/>
                <w:color w:val="000000"/>
                <w:szCs w:val="24"/>
                <w:lang w:eastAsia="sv-SE"/>
              </w:rPr>
            </w:pPr>
            <w:r w:rsidRPr="00A54B1D">
              <w:rPr>
                <w:rFonts w:ascii="Arial" w:hAnsi="Arial" w:cs="Arial"/>
                <w:color w:val="000000"/>
                <w:szCs w:val="24"/>
                <w:bdr w:val="none" w:sz="0" w:space="0" w:color="auto" w:frame="1"/>
                <w:lang w:eastAsia="sv-SE"/>
              </w:rPr>
              <w:t>1. The Commission shall be responsible for the creation, maintenance and development of reference implementation software which Member States may choose to apply as their back-end system instead of a national IT system. The creation, maintenance and development of the reference implementation software shall be financed from the general budget of the Union.</w:t>
            </w:r>
          </w:p>
          <w:p w14:paraId="5CB832AA" w14:textId="77777777" w:rsidR="00FB5790" w:rsidRPr="00A54B1D" w:rsidRDefault="00FB5790" w:rsidP="00BB030C">
            <w:pPr>
              <w:shd w:val="clear" w:color="auto" w:fill="FFFFFF"/>
              <w:ind w:left="850"/>
              <w:textAlignment w:val="baseline"/>
              <w:rPr>
                <w:rFonts w:ascii="Arial" w:hAnsi="Arial" w:cs="Arial"/>
                <w:color w:val="000000"/>
                <w:szCs w:val="24"/>
                <w:bdr w:val="none" w:sz="0" w:space="0" w:color="auto" w:frame="1"/>
                <w:lang w:eastAsia="sv-SE"/>
              </w:rPr>
            </w:pPr>
          </w:p>
          <w:p w14:paraId="217C98CC" w14:textId="77777777" w:rsidR="00FB5790" w:rsidRPr="00A54B1D" w:rsidRDefault="00FB5790" w:rsidP="00BB030C">
            <w:pPr>
              <w:shd w:val="clear" w:color="auto" w:fill="FFFFFF"/>
              <w:ind w:left="850"/>
              <w:textAlignment w:val="baseline"/>
              <w:rPr>
                <w:rFonts w:ascii="Arial" w:hAnsi="Arial" w:cs="Arial"/>
                <w:color w:val="000000"/>
                <w:szCs w:val="24"/>
                <w:bdr w:val="none" w:sz="0" w:space="0" w:color="auto" w:frame="1"/>
                <w:lang w:eastAsia="sv-SE"/>
              </w:rPr>
            </w:pPr>
            <w:r w:rsidRPr="00A54B1D">
              <w:rPr>
                <w:rFonts w:ascii="Arial" w:hAnsi="Arial" w:cs="Arial"/>
                <w:color w:val="000000"/>
                <w:szCs w:val="24"/>
                <w:bdr w:val="none" w:sz="0" w:space="0" w:color="auto" w:frame="1"/>
                <w:lang w:eastAsia="sv-SE"/>
              </w:rPr>
              <w:t>2.The Commission shall provide, maintain and support on a free-of-charge basis the reference implementation software.</w:t>
            </w:r>
          </w:p>
          <w:p w14:paraId="43FE994F" w14:textId="77777777" w:rsidR="00FB5790" w:rsidRPr="00A54B1D" w:rsidRDefault="00FB5790" w:rsidP="00BB030C">
            <w:pPr>
              <w:shd w:val="clear" w:color="auto" w:fill="FFFFFF"/>
              <w:ind w:left="850"/>
              <w:textAlignment w:val="baseline"/>
              <w:rPr>
                <w:rFonts w:ascii="Arial" w:hAnsi="Arial" w:cs="Arial"/>
                <w:szCs w:val="24"/>
                <w:lang w:eastAsia="sv-SE"/>
              </w:rPr>
            </w:pPr>
          </w:p>
        </w:tc>
        <w:tc>
          <w:tcPr>
            <w:tcW w:w="4680" w:type="dxa"/>
          </w:tcPr>
          <w:p w14:paraId="194C4551" w14:textId="77777777" w:rsidR="00FB5790" w:rsidRPr="00A54B1D" w:rsidRDefault="00FB5790" w:rsidP="00BB030C">
            <w:pPr>
              <w:rPr>
                <w:rFonts w:ascii="Arial" w:hAnsi="Arial" w:cs="Arial"/>
                <w:szCs w:val="24"/>
              </w:rPr>
            </w:pPr>
            <w:r w:rsidRPr="00A54B1D">
              <w:rPr>
                <w:rFonts w:ascii="Arial" w:hAnsi="Arial" w:cs="Arial"/>
                <w:szCs w:val="24"/>
              </w:rPr>
              <w:t>Article 13 Reference implementation software</w:t>
            </w:r>
          </w:p>
          <w:p w14:paraId="1E0BF132" w14:textId="77777777" w:rsidR="00FB5790" w:rsidRPr="00A54B1D" w:rsidRDefault="00FB5790" w:rsidP="00BB030C">
            <w:pPr>
              <w:rPr>
                <w:rFonts w:ascii="Arial" w:hAnsi="Arial" w:cs="Arial"/>
                <w:szCs w:val="24"/>
              </w:rPr>
            </w:pPr>
          </w:p>
          <w:p w14:paraId="4B30CA8E" w14:textId="77777777" w:rsidR="00FB5790" w:rsidRPr="00A54B1D" w:rsidRDefault="00FB5790" w:rsidP="00BB030C">
            <w:pPr>
              <w:shd w:val="clear" w:color="auto" w:fill="FFFFFF"/>
              <w:ind w:left="850"/>
              <w:textAlignment w:val="baseline"/>
              <w:rPr>
                <w:rFonts w:ascii="Arial" w:hAnsi="Arial" w:cs="Arial"/>
                <w:color w:val="000000"/>
                <w:szCs w:val="24"/>
                <w:lang w:eastAsia="sv-SE"/>
              </w:rPr>
            </w:pPr>
            <w:r w:rsidRPr="00A54B1D">
              <w:rPr>
                <w:rFonts w:ascii="Arial" w:hAnsi="Arial" w:cs="Arial"/>
                <w:color w:val="000000"/>
                <w:szCs w:val="24"/>
                <w:bdr w:val="none" w:sz="0" w:space="0" w:color="auto" w:frame="1"/>
                <w:lang w:eastAsia="sv-SE"/>
              </w:rPr>
              <w:t xml:space="preserve">1. The Commission shall be responsible for the creation, </w:t>
            </w:r>
            <w:r w:rsidRPr="00A54B1D">
              <w:rPr>
                <w:rFonts w:ascii="Arial" w:hAnsi="Arial" w:cs="Arial"/>
                <w:b/>
                <w:bCs/>
                <w:i/>
                <w:iCs/>
                <w:color w:val="000000"/>
                <w:szCs w:val="24"/>
                <w:bdr w:val="none" w:sz="0" w:space="0" w:color="auto" w:frame="1"/>
                <w:lang w:eastAsia="sv-SE"/>
              </w:rPr>
              <w:t>accessibility</w:t>
            </w:r>
            <w:r w:rsidRPr="00A54B1D">
              <w:rPr>
                <w:rFonts w:ascii="Arial" w:hAnsi="Arial" w:cs="Arial"/>
                <w:color w:val="000000"/>
                <w:szCs w:val="24"/>
                <w:bdr w:val="none" w:sz="0" w:space="0" w:color="auto" w:frame="1"/>
                <w:lang w:eastAsia="sv-SE"/>
              </w:rPr>
              <w:t>, maintenance and development of reference implementation software which Member States may choose to apply as their back-end system instead of a national IT system. The creation, maintenance and development of the reference implementation software shall be financed from the general budget of the Union.</w:t>
            </w:r>
          </w:p>
          <w:p w14:paraId="29D776B0" w14:textId="77777777" w:rsidR="00FB5790" w:rsidRPr="00A54B1D" w:rsidRDefault="00FB5790" w:rsidP="00BB030C">
            <w:pPr>
              <w:shd w:val="clear" w:color="auto" w:fill="FFFFFF"/>
              <w:ind w:left="850"/>
              <w:textAlignment w:val="baseline"/>
              <w:rPr>
                <w:rFonts w:ascii="Arial" w:hAnsi="Arial" w:cs="Arial"/>
                <w:color w:val="000000"/>
                <w:szCs w:val="24"/>
                <w:bdr w:val="none" w:sz="0" w:space="0" w:color="auto" w:frame="1"/>
                <w:lang w:eastAsia="sv-SE"/>
              </w:rPr>
            </w:pPr>
          </w:p>
          <w:p w14:paraId="49F11441" w14:textId="77777777" w:rsidR="00FB5790" w:rsidRPr="00A54B1D" w:rsidRDefault="00FB5790" w:rsidP="00BB030C">
            <w:pPr>
              <w:shd w:val="clear" w:color="auto" w:fill="FFFFFF"/>
              <w:ind w:left="850"/>
              <w:textAlignment w:val="baseline"/>
              <w:rPr>
                <w:rFonts w:ascii="Arial" w:hAnsi="Arial" w:cs="Arial"/>
                <w:color w:val="000000"/>
                <w:szCs w:val="24"/>
                <w:bdr w:val="none" w:sz="0" w:space="0" w:color="auto" w:frame="1"/>
                <w:lang w:eastAsia="sv-SE"/>
              </w:rPr>
            </w:pPr>
            <w:r w:rsidRPr="00A54B1D">
              <w:rPr>
                <w:rFonts w:ascii="Arial" w:hAnsi="Arial" w:cs="Arial"/>
                <w:color w:val="000000"/>
                <w:szCs w:val="24"/>
                <w:bdr w:val="none" w:sz="0" w:space="0" w:color="auto" w:frame="1"/>
                <w:lang w:eastAsia="sv-SE"/>
              </w:rPr>
              <w:t>2.The Commission shall provide, maintain and support on a free-of-charge basis the reference implementation software.</w:t>
            </w:r>
          </w:p>
          <w:p w14:paraId="40A2E50B" w14:textId="77777777" w:rsidR="00FB5790" w:rsidRPr="00A54B1D" w:rsidRDefault="00FB5790" w:rsidP="00BB030C">
            <w:pPr>
              <w:shd w:val="clear" w:color="auto" w:fill="FFFFFF"/>
              <w:ind w:left="850"/>
              <w:textAlignment w:val="baseline"/>
              <w:rPr>
                <w:rFonts w:ascii="Arial" w:hAnsi="Arial" w:cs="Arial"/>
                <w:i/>
                <w:iCs/>
                <w:color w:val="000000"/>
                <w:szCs w:val="24"/>
                <w:lang w:eastAsia="sv-SE"/>
              </w:rPr>
            </w:pPr>
          </w:p>
        </w:tc>
      </w:tr>
      <w:tr w:rsidR="00FB5790" w:rsidRPr="00A54B1D" w14:paraId="1D43C36C" w14:textId="77777777" w:rsidTr="00BB030C">
        <w:tc>
          <w:tcPr>
            <w:tcW w:w="9288" w:type="dxa"/>
            <w:gridSpan w:val="2"/>
          </w:tcPr>
          <w:p w14:paraId="747870F4" w14:textId="77777777" w:rsidR="00FB5790" w:rsidRPr="00A54B1D" w:rsidRDefault="00FB5790" w:rsidP="00BB030C">
            <w:pPr>
              <w:jc w:val="center"/>
              <w:rPr>
                <w:rFonts w:ascii="Arial" w:hAnsi="Arial" w:cs="Arial"/>
                <w:szCs w:val="24"/>
              </w:rPr>
            </w:pPr>
            <w:r w:rsidRPr="00A54B1D">
              <w:rPr>
                <w:rFonts w:ascii="Arial" w:hAnsi="Arial" w:cs="Arial"/>
                <w:szCs w:val="24"/>
              </w:rPr>
              <w:t>Justification:</w:t>
            </w:r>
          </w:p>
          <w:p w14:paraId="4B923ED2" w14:textId="77777777" w:rsidR="00FB5790" w:rsidRPr="00A54B1D" w:rsidRDefault="00FB5790" w:rsidP="00BB030C">
            <w:pPr>
              <w:rPr>
                <w:rFonts w:ascii="Arial" w:hAnsi="Arial" w:cs="Arial"/>
                <w:szCs w:val="24"/>
              </w:rPr>
            </w:pPr>
          </w:p>
          <w:p w14:paraId="4480D3A2" w14:textId="77777777" w:rsidR="00FB5790" w:rsidRPr="00A54B1D" w:rsidRDefault="00FB5790" w:rsidP="00BB030C">
            <w:pPr>
              <w:rPr>
                <w:rFonts w:ascii="Arial" w:hAnsi="Arial" w:cs="Arial"/>
                <w:szCs w:val="24"/>
              </w:rPr>
            </w:pPr>
            <w:r w:rsidRPr="00A54B1D">
              <w:rPr>
                <w:rFonts w:ascii="Arial" w:hAnsi="Arial" w:cs="Arial"/>
                <w:color w:val="000000"/>
                <w:szCs w:val="24"/>
                <w:shd w:val="clear" w:color="auto" w:fill="FFFFFF"/>
              </w:rPr>
              <w:t>Products</w:t>
            </w:r>
            <w:r w:rsidRPr="00A54B1D">
              <w:rPr>
                <w:rFonts w:ascii="Arial" w:hAnsi="Arial" w:cs="Arial"/>
                <w:color w:val="333333"/>
                <w:szCs w:val="24"/>
              </w:rPr>
              <w:t xml:space="preserve"> intended for use by natural persons, whether general public or staff of the should take into account accessibility criteria for persons with disabilities or design for all users. </w:t>
            </w:r>
          </w:p>
        </w:tc>
      </w:tr>
    </w:tbl>
    <w:p w14:paraId="4BACCA58" w14:textId="48B60CA5" w:rsidR="00FB5790" w:rsidRDefault="00FB5790" w:rsidP="00FB5790">
      <w:pPr>
        <w:spacing w:after="200" w:line="276" w:lineRule="auto"/>
        <w:rPr>
          <w:rFonts w:ascii="Arial" w:eastAsia="Calibri" w:hAnsi="Arial" w:cs="Arial"/>
          <w:szCs w:val="24"/>
          <w:lang w:val="en-GB"/>
        </w:rPr>
      </w:pPr>
    </w:p>
    <w:p w14:paraId="0B0FF7CD" w14:textId="77777777" w:rsidR="0006791C" w:rsidRPr="00A54B1D" w:rsidRDefault="0006791C" w:rsidP="00FB5790">
      <w:pPr>
        <w:spacing w:after="200" w:line="276" w:lineRule="auto"/>
        <w:rPr>
          <w:rFonts w:ascii="Arial" w:eastAsia="Calibri" w:hAnsi="Arial" w:cs="Arial"/>
          <w:szCs w:val="24"/>
          <w:lang w:val="en-GB"/>
        </w:rPr>
      </w:pPr>
    </w:p>
    <w:p w14:paraId="3EDB7014" w14:textId="77777777" w:rsidR="00FB5790" w:rsidRPr="00947D2F" w:rsidRDefault="00FB5790" w:rsidP="00FB5790">
      <w:pPr>
        <w:pStyle w:val="Heading1"/>
        <w:rPr>
          <w:lang w:val="en-GB"/>
        </w:rPr>
      </w:pPr>
      <w:bookmarkStart w:id="18" w:name="_Toc108434128"/>
      <w:bookmarkStart w:id="19" w:name="_Toc109049401"/>
      <w:r>
        <w:rPr>
          <w:lang w:val="en-GB"/>
        </w:rPr>
        <w:lastRenderedPageBreak/>
        <w:t>Proposed new recitals</w:t>
      </w:r>
      <w:bookmarkEnd w:id="18"/>
      <w:bookmarkEnd w:id="19"/>
      <w:r>
        <w:rPr>
          <w:lang w:val="en-GB"/>
        </w:rPr>
        <w:t xml:space="preserve"> </w:t>
      </w:r>
    </w:p>
    <w:tbl>
      <w:tblPr>
        <w:tblStyle w:val="TableGrid2"/>
        <w:tblW w:w="0" w:type="auto"/>
        <w:tblLook w:val="04A0" w:firstRow="1" w:lastRow="0" w:firstColumn="1" w:lastColumn="0" w:noHBand="0" w:noVBand="1"/>
      </w:tblPr>
      <w:tblGrid>
        <w:gridCol w:w="3707"/>
        <w:gridCol w:w="5309"/>
      </w:tblGrid>
      <w:tr w:rsidR="00FB5790" w:rsidRPr="00947D2F" w14:paraId="484AEA33" w14:textId="77777777" w:rsidTr="00BB030C">
        <w:tc>
          <w:tcPr>
            <w:tcW w:w="3707" w:type="dxa"/>
          </w:tcPr>
          <w:p w14:paraId="03678E81" w14:textId="77777777" w:rsidR="00FB5790" w:rsidRPr="00947D2F" w:rsidRDefault="00FB5790" w:rsidP="00BB030C">
            <w:pPr>
              <w:rPr>
                <w:rFonts w:ascii="Arial" w:hAnsi="Arial" w:cs="Arial"/>
                <w:b/>
                <w:bCs/>
                <w:szCs w:val="24"/>
              </w:rPr>
            </w:pPr>
            <w:r w:rsidRPr="00947D2F">
              <w:rPr>
                <w:rFonts w:ascii="Arial" w:hAnsi="Arial" w:cs="Arial"/>
                <w:b/>
                <w:bCs/>
                <w:szCs w:val="24"/>
              </w:rPr>
              <w:t>Commission proposal</w:t>
            </w:r>
          </w:p>
        </w:tc>
        <w:tc>
          <w:tcPr>
            <w:tcW w:w="5309" w:type="dxa"/>
          </w:tcPr>
          <w:p w14:paraId="36D2992B" w14:textId="77777777" w:rsidR="00FB5790" w:rsidRPr="00947D2F" w:rsidRDefault="00FB5790" w:rsidP="00BB030C">
            <w:pPr>
              <w:rPr>
                <w:rFonts w:ascii="Arial" w:hAnsi="Arial" w:cs="Arial"/>
                <w:b/>
                <w:bCs/>
                <w:szCs w:val="24"/>
              </w:rPr>
            </w:pPr>
            <w:r w:rsidRPr="00947D2F">
              <w:rPr>
                <w:rFonts w:ascii="Arial" w:hAnsi="Arial" w:cs="Arial"/>
                <w:b/>
                <w:bCs/>
                <w:szCs w:val="24"/>
              </w:rPr>
              <w:t>Proposed amendments</w:t>
            </w:r>
          </w:p>
        </w:tc>
      </w:tr>
      <w:tr w:rsidR="00FB5790" w:rsidRPr="00947D2F" w14:paraId="3AAC77DE" w14:textId="77777777" w:rsidTr="00BB030C">
        <w:tc>
          <w:tcPr>
            <w:tcW w:w="3707" w:type="dxa"/>
          </w:tcPr>
          <w:p w14:paraId="7D078FB9" w14:textId="77777777" w:rsidR="00FB5790" w:rsidRPr="00947D2F" w:rsidRDefault="00FB5790" w:rsidP="00BB030C">
            <w:pPr>
              <w:rPr>
                <w:rFonts w:ascii="Arial" w:hAnsi="Arial" w:cs="Arial"/>
                <w:szCs w:val="24"/>
              </w:rPr>
            </w:pPr>
          </w:p>
          <w:p w14:paraId="2621AD4F" w14:textId="77777777" w:rsidR="00FB5790" w:rsidRPr="00947D2F" w:rsidRDefault="00FB5790" w:rsidP="00BB030C">
            <w:pPr>
              <w:rPr>
                <w:rFonts w:ascii="Arial" w:hAnsi="Arial" w:cs="Arial"/>
                <w:szCs w:val="24"/>
              </w:rPr>
            </w:pPr>
          </w:p>
        </w:tc>
        <w:tc>
          <w:tcPr>
            <w:tcW w:w="5309" w:type="dxa"/>
          </w:tcPr>
          <w:p w14:paraId="75028856" w14:textId="77777777" w:rsidR="00FB5790" w:rsidRDefault="00FB5790" w:rsidP="00BB030C">
            <w:pPr>
              <w:rPr>
                <w:rFonts w:ascii="Arial" w:hAnsi="Arial" w:cs="Arial"/>
                <w:szCs w:val="24"/>
              </w:rPr>
            </w:pPr>
            <w:r w:rsidRPr="00947D2F">
              <w:rPr>
                <w:rFonts w:ascii="Arial" w:hAnsi="Arial" w:cs="Arial"/>
                <w:b/>
                <w:bCs/>
                <w:szCs w:val="24"/>
              </w:rPr>
              <w:t>New recital</w:t>
            </w:r>
            <w:r w:rsidRPr="00947D2F">
              <w:rPr>
                <w:rFonts w:ascii="Arial" w:hAnsi="Arial" w:cs="Arial"/>
                <w:szCs w:val="24"/>
              </w:rPr>
              <w:t>:</w:t>
            </w:r>
          </w:p>
          <w:p w14:paraId="7D3546DF" w14:textId="77777777" w:rsidR="00FB5790" w:rsidRDefault="00FB5790" w:rsidP="00BB030C">
            <w:pPr>
              <w:rPr>
                <w:rFonts w:ascii="Arial" w:hAnsi="Arial" w:cs="Arial"/>
                <w:szCs w:val="24"/>
              </w:rPr>
            </w:pPr>
          </w:p>
          <w:p w14:paraId="7FECCE1F" w14:textId="77777777" w:rsidR="00FB5790" w:rsidRPr="002F4788" w:rsidRDefault="00FB5790" w:rsidP="00BB030C">
            <w:pPr>
              <w:rPr>
                <w:rFonts w:ascii="Arial" w:hAnsi="Arial" w:cs="Arial"/>
                <w:i/>
                <w:iCs/>
                <w:szCs w:val="24"/>
              </w:rPr>
            </w:pPr>
            <w:r w:rsidRPr="006B5710">
              <w:rPr>
                <w:rFonts w:ascii="Arial" w:hAnsi="Arial" w:cs="Arial"/>
                <w:i/>
                <w:iCs/>
                <w:szCs w:val="24"/>
              </w:rPr>
              <w:t>By respectively ratifying and concluding the United Nations Convention on the Rights of Persons with Disabilities</w:t>
            </w:r>
            <w:r>
              <w:rPr>
                <w:rFonts w:ascii="Arial" w:hAnsi="Arial" w:cs="Arial"/>
                <w:i/>
                <w:iCs/>
                <w:szCs w:val="24"/>
              </w:rPr>
              <w:t xml:space="preserve"> (UN CRPD)</w:t>
            </w:r>
            <w:r w:rsidRPr="006B5710">
              <w:rPr>
                <w:rFonts w:ascii="Arial" w:hAnsi="Arial" w:cs="Arial"/>
                <w:i/>
                <w:iCs/>
                <w:szCs w:val="24"/>
              </w:rPr>
              <w:t xml:space="preserve">, the Member States and the Union have committed themselves to taking appropriate measures to ensure </w:t>
            </w:r>
            <w:r>
              <w:rPr>
                <w:rFonts w:ascii="Arial" w:hAnsi="Arial" w:cs="Arial"/>
                <w:i/>
                <w:iCs/>
                <w:szCs w:val="24"/>
              </w:rPr>
              <w:t xml:space="preserve">equal </w:t>
            </w:r>
            <w:r w:rsidRPr="006B5710">
              <w:rPr>
                <w:rFonts w:ascii="Arial" w:hAnsi="Arial" w:cs="Arial"/>
                <w:i/>
                <w:iCs/>
                <w:szCs w:val="24"/>
              </w:rPr>
              <w:t xml:space="preserve">access to information and communication technologies and systems, as well as access to justice for persons with disabilities, including through the provision of procedural and age-appropriate accommodations, in order to facilitate their effective role as direct and indirect participants of the justice system. </w:t>
            </w:r>
            <w:r>
              <w:rPr>
                <w:rFonts w:ascii="Arial" w:hAnsi="Arial" w:cs="Arial"/>
                <w:i/>
                <w:iCs/>
                <w:szCs w:val="24"/>
              </w:rPr>
              <w:t xml:space="preserve">The Commission </w:t>
            </w:r>
            <w:r w:rsidRPr="006B5710">
              <w:rPr>
                <w:rFonts w:ascii="Arial" w:hAnsi="Arial" w:cs="Arial"/>
                <w:i/>
                <w:iCs/>
                <w:szCs w:val="24"/>
              </w:rPr>
              <w:t xml:space="preserve">communication of the 3 May 2021 ‘Union of Equality: Strategy for the Rights of Persons with Disabilities 2021-2030’ builds on the </w:t>
            </w:r>
            <w:r>
              <w:rPr>
                <w:rFonts w:ascii="Arial" w:hAnsi="Arial" w:cs="Arial"/>
                <w:i/>
                <w:iCs/>
                <w:szCs w:val="24"/>
              </w:rPr>
              <w:t xml:space="preserve">UN CRPD and sets out action to be taken in several priority areas including </w:t>
            </w:r>
            <w:r w:rsidRPr="002F4788">
              <w:rPr>
                <w:rFonts w:ascii="Arial" w:hAnsi="Arial" w:cs="Arial"/>
                <w:i/>
                <w:iCs/>
                <w:szCs w:val="24"/>
              </w:rPr>
              <w:t>improving access to justice, legal protection, freedom and security</w:t>
            </w:r>
            <w:r>
              <w:rPr>
                <w:rFonts w:ascii="Arial" w:hAnsi="Arial" w:cs="Arial"/>
                <w:i/>
                <w:iCs/>
                <w:szCs w:val="24"/>
              </w:rPr>
              <w:t>.</w:t>
            </w:r>
            <w:r>
              <w:rPr>
                <w:rFonts w:ascii="Arial" w:hAnsi="Arial" w:cs="Arial"/>
                <w:b/>
                <w:bCs/>
                <w:szCs w:val="24"/>
              </w:rPr>
              <w:t xml:space="preserve"> </w:t>
            </w:r>
          </w:p>
        </w:tc>
      </w:tr>
      <w:tr w:rsidR="00FB5790" w:rsidRPr="00947D2F" w14:paraId="0455EA59" w14:textId="77777777" w:rsidTr="00BB030C">
        <w:tc>
          <w:tcPr>
            <w:tcW w:w="3707" w:type="dxa"/>
          </w:tcPr>
          <w:p w14:paraId="057F5C30" w14:textId="77777777" w:rsidR="00FB5790" w:rsidRPr="00947D2F" w:rsidRDefault="00FB5790" w:rsidP="00BB030C">
            <w:pPr>
              <w:rPr>
                <w:rFonts w:ascii="Arial" w:hAnsi="Arial" w:cs="Arial"/>
                <w:szCs w:val="24"/>
              </w:rPr>
            </w:pPr>
          </w:p>
        </w:tc>
        <w:tc>
          <w:tcPr>
            <w:tcW w:w="5309" w:type="dxa"/>
          </w:tcPr>
          <w:p w14:paraId="02005D6E" w14:textId="77777777" w:rsidR="00FB5790" w:rsidRPr="00A978F3" w:rsidRDefault="00FB5790" w:rsidP="00BB030C">
            <w:pPr>
              <w:spacing w:before="120" w:beforeAutospacing="1" w:afterAutospacing="1" w:line="312" w:lineRule="atLeast"/>
              <w:rPr>
                <w:rFonts w:ascii="Arial" w:hAnsi="Arial" w:cs="Arial"/>
                <w:b/>
                <w:bCs/>
                <w:i/>
                <w:iCs/>
                <w:color w:val="333333"/>
                <w:szCs w:val="24"/>
                <w:lang w:eastAsia="sv-SE"/>
              </w:rPr>
            </w:pPr>
            <w:r w:rsidRPr="00A978F3">
              <w:rPr>
                <w:rFonts w:ascii="Arial" w:hAnsi="Arial" w:cs="Arial"/>
                <w:b/>
                <w:bCs/>
                <w:i/>
                <w:iCs/>
                <w:color w:val="333333"/>
                <w:szCs w:val="24"/>
                <w:lang w:eastAsia="sv-SE"/>
              </w:rPr>
              <w:t>New recital</w:t>
            </w:r>
          </w:p>
          <w:p w14:paraId="630CFD15" w14:textId="77777777" w:rsidR="00FB5790" w:rsidRPr="00947D2F" w:rsidRDefault="00FB5790" w:rsidP="00BB030C">
            <w:pPr>
              <w:spacing w:before="120" w:beforeAutospacing="1" w:afterAutospacing="1" w:line="312" w:lineRule="atLeast"/>
              <w:rPr>
                <w:rFonts w:ascii="Arial" w:hAnsi="Arial" w:cs="Arial"/>
                <w:i/>
                <w:iCs/>
                <w:color w:val="333333"/>
                <w:szCs w:val="24"/>
                <w:lang w:eastAsia="sv-SE"/>
              </w:rPr>
            </w:pPr>
            <w:r w:rsidRPr="006B5710">
              <w:rPr>
                <w:rFonts w:ascii="Arial" w:hAnsi="Arial" w:cs="Arial"/>
                <w:i/>
                <w:iCs/>
                <w:color w:val="333333"/>
                <w:szCs w:val="24"/>
                <w:lang w:eastAsia="sv-SE"/>
              </w:rPr>
              <w:t xml:space="preserve">Union law provides for accessibility requirements improving the equal access to persons with disabilities to information and communication technology that also have the potential to further </w:t>
            </w:r>
            <w:r>
              <w:rPr>
                <w:rFonts w:ascii="Arial" w:hAnsi="Arial" w:cs="Arial"/>
                <w:i/>
                <w:iCs/>
                <w:color w:val="333333"/>
                <w:szCs w:val="24"/>
                <w:lang w:eastAsia="sv-SE"/>
              </w:rPr>
              <w:t xml:space="preserve">improve </w:t>
            </w:r>
            <w:r w:rsidRPr="006B5710">
              <w:rPr>
                <w:rFonts w:ascii="Arial" w:hAnsi="Arial" w:cs="Arial"/>
                <w:i/>
                <w:iCs/>
                <w:color w:val="333333"/>
                <w:szCs w:val="24"/>
                <w:lang w:eastAsia="sv-SE"/>
              </w:rPr>
              <w:t xml:space="preserve">access to justice of persons with disabilities. </w:t>
            </w:r>
            <w:r>
              <w:rPr>
                <w:rFonts w:ascii="Arial" w:hAnsi="Arial" w:cs="Arial"/>
                <w:i/>
                <w:iCs/>
                <w:color w:val="333333"/>
                <w:szCs w:val="24"/>
                <w:lang w:eastAsia="sv-SE"/>
              </w:rPr>
              <w:t>Directive (EU) 2019/882</w:t>
            </w:r>
            <w:r w:rsidRPr="006B5710">
              <w:rPr>
                <w:rFonts w:ascii="Arial" w:hAnsi="Arial" w:cs="Arial"/>
                <w:i/>
                <w:iCs/>
                <w:color w:val="333333"/>
                <w:szCs w:val="24"/>
                <w:lang w:eastAsia="sv-SE"/>
              </w:rPr>
              <w:t xml:space="preserve"> </w:t>
            </w:r>
            <w:r>
              <w:rPr>
                <w:rFonts w:ascii="Arial" w:hAnsi="Arial" w:cs="Arial"/>
                <w:i/>
                <w:iCs/>
                <w:color w:val="333333"/>
                <w:szCs w:val="24"/>
                <w:lang w:eastAsia="sv-SE"/>
              </w:rPr>
              <w:t>sets out EU harmonized</w:t>
            </w:r>
            <w:r w:rsidRPr="006B5710">
              <w:rPr>
                <w:i/>
                <w:iCs/>
              </w:rPr>
              <w:t xml:space="preserve"> </w:t>
            </w:r>
            <w:r w:rsidRPr="006B5710">
              <w:rPr>
                <w:rFonts w:ascii="Arial" w:hAnsi="Arial" w:cs="Arial"/>
                <w:i/>
                <w:iCs/>
                <w:color w:val="333333"/>
                <w:szCs w:val="24"/>
                <w:lang w:eastAsia="sv-SE"/>
              </w:rPr>
              <w:t xml:space="preserve">accessibility </w:t>
            </w:r>
            <w:r>
              <w:rPr>
                <w:rFonts w:ascii="Arial" w:hAnsi="Arial" w:cs="Arial"/>
                <w:i/>
                <w:iCs/>
                <w:color w:val="333333"/>
                <w:szCs w:val="24"/>
                <w:lang w:eastAsia="sv-SE"/>
              </w:rPr>
              <w:t>requirements for a range of</w:t>
            </w:r>
            <w:r w:rsidRPr="006B5710">
              <w:rPr>
                <w:rFonts w:ascii="Arial" w:hAnsi="Arial" w:cs="Arial"/>
                <w:i/>
                <w:iCs/>
                <w:color w:val="333333"/>
                <w:szCs w:val="24"/>
                <w:lang w:eastAsia="sv-SE"/>
              </w:rPr>
              <w:t xml:space="preserve"> ICT products and services, such as computers and operating systems, electronic communications, or digital identification</w:t>
            </w:r>
            <w:r>
              <w:rPr>
                <w:rFonts w:ascii="Arial" w:hAnsi="Arial" w:cs="Arial"/>
                <w:i/>
                <w:iCs/>
                <w:color w:val="333333"/>
                <w:szCs w:val="24"/>
                <w:lang w:eastAsia="sv-SE"/>
              </w:rPr>
              <w:t xml:space="preserve"> and payment methods</w:t>
            </w:r>
            <w:r w:rsidRPr="006B5710">
              <w:rPr>
                <w:rFonts w:ascii="Arial" w:hAnsi="Arial" w:cs="Arial"/>
                <w:i/>
                <w:iCs/>
                <w:color w:val="333333"/>
                <w:szCs w:val="24"/>
                <w:lang w:eastAsia="sv-SE"/>
              </w:rPr>
              <w:t xml:space="preserve">, among others. </w:t>
            </w:r>
            <w:r>
              <w:rPr>
                <w:rFonts w:ascii="Arial" w:hAnsi="Arial" w:cs="Arial"/>
                <w:i/>
                <w:iCs/>
                <w:color w:val="333333"/>
                <w:szCs w:val="24"/>
                <w:lang w:eastAsia="sv-SE"/>
              </w:rPr>
              <w:t xml:space="preserve">Union law </w:t>
            </w:r>
            <w:r w:rsidRPr="00FF1EB7">
              <w:rPr>
                <w:rFonts w:ascii="Arial" w:hAnsi="Arial" w:cs="Arial"/>
                <w:i/>
                <w:iCs/>
                <w:color w:val="333333"/>
                <w:szCs w:val="24"/>
                <w:lang w:eastAsia="sv-SE"/>
              </w:rPr>
              <w:t xml:space="preserve">is supported by </w:t>
            </w:r>
            <w:proofErr w:type="spellStart"/>
            <w:r w:rsidRPr="00FF1EB7">
              <w:rPr>
                <w:rFonts w:ascii="Arial" w:hAnsi="Arial" w:cs="Arial"/>
                <w:i/>
                <w:iCs/>
                <w:color w:val="333333"/>
                <w:szCs w:val="24"/>
                <w:lang w:eastAsia="sv-SE"/>
              </w:rPr>
              <w:t>harmonised</w:t>
            </w:r>
            <w:proofErr w:type="spellEnd"/>
            <w:r w:rsidRPr="00FF1EB7">
              <w:rPr>
                <w:rFonts w:ascii="Arial" w:hAnsi="Arial" w:cs="Arial"/>
                <w:i/>
                <w:iCs/>
                <w:color w:val="333333"/>
                <w:szCs w:val="24"/>
                <w:lang w:eastAsia="sv-SE"/>
              </w:rPr>
              <w:t xml:space="preserve"> standards that judicial administration can use to procure accessible technology in line with the </w:t>
            </w:r>
            <w:r w:rsidRPr="006B5710">
              <w:rPr>
                <w:rFonts w:ascii="Arial" w:hAnsi="Arial" w:cs="Arial"/>
                <w:i/>
                <w:iCs/>
                <w:color w:val="333333"/>
                <w:szCs w:val="24"/>
                <w:lang w:eastAsia="sv-SE"/>
              </w:rPr>
              <w:t>Directive 2014/24/EU</w:t>
            </w:r>
            <w:r>
              <w:rPr>
                <w:rFonts w:ascii="Arial" w:hAnsi="Arial" w:cs="Arial"/>
                <w:i/>
                <w:iCs/>
                <w:color w:val="333333"/>
                <w:szCs w:val="24"/>
                <w:lang w:eastAsia="sv-SE"/>
              </w:rPr>
              <w:t xml:space="preserve"> and </w:t>
            </w:r>
            <w:r w:rsidRPr="009E2F11">
              <w:rPr>
                <w:rFonts w:ascii="Arial" w:hAnsi="Arial" w:cs="Arial"/>
                <w:i/>
                <w:iCs/>
                <w:color w:val="333333"/>
                <w:szCs w:val="24"/>
                <w:lang w:eastAsia="sv-SE"/>
              </w:rPr>
              <w:t>Directive 2014/25/EU</w:t>
            </w:r>
            <w:r w:rsidRPr="00FF1EB7">
              <w:rPr>
                <w:rFonts w:ascii="Arial" w:hAnsi="Arial" w:cs="Arial"/>
                <w:i/>
                <w:iCs/>
                <w:color w:val="333333"/>
                <w:szCs w:val="24"/>
                <w:lang w:eastAsia="sv-SE"/>
              </w:rPr>
              <w:t>.</w:t>
            </w:r>
          </w:p>
        </w:tc>
      </w:tr>
      <w:tr w:rsidR="00FB5790" w:rsidRPr="00947D2F" w14:paraId="603B7703" w14:textId="77777777" w:rsidTr="00BB030C">
        <w:tc>
          <w:tcPr>
            <w:tcW w:w="3707" w:type="dxa"/>
          </w:tcPr>
          <w:p w14:paraId="6F0C0908" w14:textId="77777777" w:rsidR="00FB5790" w:rsidRPr="00947D2F" w:rsidRDefault="00FB5790" w:rsidP="00BB030C">
            <w:pPr>
              <w:rPr>
                <w:rFonts w:ascii="Arial" w:hAnsi="Arial" w:cs="Arial"/>
                <w:szCs w:val="24"/>
              </w:rPr>
            </w:pPr>
          </w:p>
        </w:tc>
        <w:tc>
          <w:tcPr>
            <w:tcW w:w="5309" w:type="dxa"/>
          </w:tcPr>
          <w:p w14:paraId="3BC37AA8" w14:textId="77777777" w:rsidR="00FB5790" w:rsidRPr="00A978F3" w:rsidRDefault="00FB5790" w:rsidP="00BB030C">
            <w:pPr>
              <w:spacing w:before="120" w:beforeAutospacing="1" w:afterAutospacing="1" w:line="312" w:lineRule="atLeast"/>
              <w:rPr>
                <w:rFonts w:ascii="Arial" w:hAnsi="Arial" w:cs="Arial"/>
                <w:b/>
                <w:bCs/>
                <w:i/>
                <w:iCs/>
                <w:color w:val="333333"/>
                <w:szCs w:val="24"/>
                <w:lang w:eastAsia="sv-SE"/>
              </w:rPr>
            </w:pPr>
            <w:r w:rsidRPr="00A978F3">
              <w:rPr>
                <w:rFonts w:ascii="Arial" w:hAnsi="Arial" w:cs="Arial"/>
                <w:b/>
                <w:bCs/>
                <w:i/>
                <w:iCs/>
                <w:color w:val="333333"/>
                <w:szCs w:val="24"/>
                <w:lang w:eastAsia="sv-SE"/>
              </w:rPr>
              <w:t>New recital</w:t>
            </w:r>
          </w:p>
          <w:p w14:paraId="55455785" w14:textId="77777777" w:rsidR="00FB5790" w:rsidRPr="006B5710" w:rsidRDefault="00FB5790" w:rsidP="00BB030C">
            <w:pPr>
              <w:spacing w:before="120" w:beforeAutospacing="1" w:afterAutospacing="1" w:line="312" w:lineRule="atLeast"/>
              <w:rPr>
                <w:rFonts w:ascii="Arial" w:hAnsi="Arial" w:cs="Arial"/>
                <w:i/>
                <w:iCs/>
                <w:color w:val="333333"/>
                <w:szCs w:val="24"/>
                <w:lang w:eastAsia="sv-SE"/>
              </w:rPr>
            </w:pPr>
            <w:r w:rsidRPr="00CE1785">
              <w:rPr>
                <w:rFonts w:ascii="Arial" w:hAnsi="Arial" w:cs="Arial"/>
                <w:i/>
                <w:iCs/>
                <w:color w:val="333333"/>
                <w:szCs w:val="24"/>
                <w:lang w:eastAsia="sv-SE"/>
              </w:rPr>
              <w:t xml:space="preserve">In the context of this Regulation, accessibility should be understood as principles and </w:t>
            </w:r>
            <w:r w:rsidRPr="00CE1785">
              <w:rPr>
                <w:rFonts w:ascii="Arial" w:hAnsi="Arial" w:cs="Arial"/>
                <w:i/>
                <w:iCs/>
                <w:color w:val="333333"/>
                <w:szCs w:val="24"/>
                <w:lang w:eastAsia="sv-SE"/>
              </w:rPr>
              <w:lastRenderedPageBreak/>
              <w:t>techniques to be observed when designing, constructing, maintaining, and updating websites, software, electronic communications, videoconferencing and other distance communication technology in order to make them more accessible to users, in particular persons with disabilities.</w:t>
            </w:r>
          </w:p>
        </w:tc>
      </w:tr>
      <w:tr w:rsidR="00FB5790" w:rsidRPr="00947D2F" w14:paraId="2B344B24" w14:textId="77777777" w:rsidTr="00BB030C">
        <w:tc>
          <w:tcPr>
            <w:tcW w:w="3707" w:type="dxa"/>
          </w:tcPr>
          <w:p w14:paraId="645184EE" w14:textId="77777777" w:rsidR="00FB5790" w:rsidRPr="00947D2F" w:rsidRDefault="00FB5790" w:rsidP="00BB030C">
            <w:pPr>
              <w:rPr>
                <w:rFonts w:ascii="Arial" w:hAnsi="Arial" w:cs="Arial"/>
                <w:szCs w:val="24"/>
              </w:rPr>
            </w:pPr>
          </w:p>
        </w:tc>
        <w:tc>
          <w:tcPr>
            <w:tcW w:w="5309" w:type="dxa"/>
          </w:tcPr>
          <w:p w14:paraId="26658C4F" w14:textId="77777777" w:rsidR="00FB5790" w:rsidRPr="00A978F3" w:rsidRDefault="00FB5790" w:rsidP="00BB030C">
            <w:pPr>
              <w:spacing w:before="120" w:beforeAutospacing="1" w:afterAutospacing="1" w:line="312" w:lineRule="atLeast"/>
              <w:rPr>
                <w:rFonts w:ascii="Arial" w:hAnsi="Arial" w:cs="Arial"/>
                <w:b/>
                <w:bCs/>
                <w:i/>
                <w:iCs/>
                <w:color w:val="000000"/>
                <w:szCs w:val="24"/>
                <w:shd w:val="clear" w:color="auto" w:fill="FFFFFF"/>
                <w:lang w:eastAsia="sv-SE"/>
              </w:rPr>
            </w:pPr>
            <w:r w:rsidRPr="00A978F3">
              <w:rPr>
                <w:rFonts w:ascii="Arial" w:hAnsi="Arial" w:cs="Arial"/>
                <w:b/>
                <w:bCs/>
                <w:i/>
                <w:iCs/>
                <w:color w:val="000000"/>
                <w:szCs w:val="24"/>
                <w:shd w:val="clear" w:color="auto" w:fill="FFFFFF"/>
                <w:lang w:eastAsia="sv-SE"/>
              </w:rPr>
              <w:t>New recital</w:t>
            </w:r>
          </w:p>
          <w:p w14:paraId="20C4711E" w14:textId="77777777" w:rsidR="00FB5790" w:rsidRPr="009E2F11" w:rsidRDefault="00FB5790" w:rsidP="00BB030C">
            <w:pPr>
              <w:spacing w:before="120" w:beforeAutospacing="1" w:afterAutospacing="1" w:line="312" w:lineRule="atLeast"/>
              <w:rPr>
                <w:rFonts w:ascii="Arial" w:hAnsi="Arial" w:cs="Arial"/>
                <w:i/>
                <w:iCs/>
                <w:color w:val="000000"/>
                <w:szCs w:val="24"/>
                <w:shd w:val="clear" w:color="auto" w:fill="FFFFFF"/>
                <w:lang w:eastAsia="sv-SE"/>
              </w:rPr>
            </w:pPr>
            <w:r w:rsidRPr="009E2F11">
              <w:rPr>
                <w:rFonts w:ascii="Arial" w:hAnsi="Arial" w:cs="Arial"/>
                <w:i/>
                <w:iCs/>
                <w:color w:val="000000"/>
                <w:szCs w:val="24"/>
                <w:shd w:val="clear" w:color="auto" w:fill="FFFFFF"/>
                <w:lang w:eastAsia="sv-SE"/>
              </w:rPr>
              <w:t>Procedural accommodation</w:t>
            </w:r>
            <w:r>
              <w:rPr>
                <w:rFonts w:ascii="Arial" w:hAnsi="Arial" w:cs="Arial"/>
                <w:i/>
                <w:iCs/>
                <w:color w:val="000000"/>
                <w:szCs w:val="24"/>
                <w:shd w:val="clear" w:color="auto" w:fill="FFFFFF"/>
                <w:lang w:eastAsia="sv-SE"/>
              </w:rPr>
              <w:t xml:space="preserve"> is</w:t>
            </w:r>
            <w:r w:rsidRPr="009E2F11">
              <w:rPr>
                <w:rFonts w:ascii="Arial" w:hAnsi="Arial" w:cs="Arial"/>
                <w:i/>
                <w:iCs/>
                <w:color w:val="000000"/>
                <w:szCs w:val="24"/>
                <w:shd w:val="clear" w:color="auto" w:fill="FFFFFF"/>
                <w:lang w:eastAsia="sv-SE"/>
              </w:rPr>
              <w:t xml:space="preserve"> essential to</w:t>
            </w:r>
            <w:r>
              <w:rPr>
                <w:rFonts w:ascii="Arial" w:hAnsi="Arial" w:cs="Arial"/>
                <w:i/>
                <w:iCs/>
                <w:color w:val="000000"/>
                <w:szCs w:val="24"/>
                <w:shd w:val="clear" w:color="auto" w:fill="FFFFFF"/>
                <w:lang w:eastAsia="sv-SE"/>
              </w:rPr>
              <w:t xml:space="preserve"> remove barriers in the justice system and to ensure</w:t>
            </w:r>
            <w:r w:rsidRPr="009E2F11">
              <w:rPr>
                <w:rFonts w:ascii="Arial" w:hAnsi="Arial" w:cs="Arial"/>
                <w:i/>
                <w:iCs/>
                <w:color w:val="000000"/>
                <w:szCs w:val="24"/>
                <w:shd w:val="clear" w:color="auto" w:fill="FFFFFF"/>
                <w:lang w:eastAsia="sv-SE"/>
              </w:rPr>
              <w:t xml:space="preserve"> </w:t>
            </w:r>
            <w:r>
              <w:rPr>
                <w:rFonts w:ascii="Arial" w:hAnsi="Arial" w:cs="Arial"/>
                <w:i/>
                <w:iCs/>
                <w:color w:val="000000"/>
                <w:szCs w:val="24"/>
                <w:shd w:val="clear" w:color="auto" w:fill="FFFFFF"/>
                <w:lang w:eastAsia="sv-SE"/>
              </w:rPr>
              <w:t>equal</w:t>
            </w:r>
            <w:r w:rsidRPr="009E2F11">
              <w:rPr>
                <w:rFonts w:ascii="Arial" w:hAnsi="Arial" w:cs="Arial"/>
                <w:i/>
                <w:iCs/>
                <w:color w:val="000000"/>
                <w:szCs w:val="24"/>
                <w:shd w:val="clear" w:color="auto" w:fill="FFFFFF"/>
                <w:lang w:eastAsia="sv-SE"/>
              </w:rPr>
              <w:t xml:space="preserve"> access to remedy and fair trial </w:t>
            </w:r>
            <w:r>
              <w:rPr>
                <w:rFonts w:ascii="Arial" w:hAnsi="Arial" w:cs="Arial"/>
                <w:i/>
                <w:iCs/>
                <w:color w:val="000000"/>
                <w:szCs w:val="24"/>
                <w:shd w:val="clear" w:color="auto" w:fill="FFFFFF"/>
                <w:lang w:eastAsia="sv-SE"/>
              </w:rPr>
              <w:t>for</w:t>
            </w:r>
            <w:r w:rsidRPr="009E2F11">
              <w:rPr>
                <w:rFonts w:ascii="Arial" w:hAnsi="Arial" w:cs="Arial"/>
                <w:i/>
                <w:iCs/>
                <w:color w:val="000000"/>
                <w:szCs w:val="24"/>
                <w:shd w:val="clear" w:color="auto" w:fill="FFFFFF"/>
                <w:lang w:eastAsia="sv-SE"/>
              </w:rPr>
              <w:t xml:space="preserve"> persons with disabilities. Such accommodation must be granted </w:t>
            </w:r>
            <w:r>
              <w:rPr>
                <w:rFonts w:ascii="Arial" w:hAnsi="Arial" w:cs="Arial"/>
                <w:i/>
                <w:iCs/>
                <w:color w:val="000000"/>
                <w:szCs w:val="24"/>
                <w:shd w:val="clear" w:color="auto" w:fill="FFFFFF"/>
                <w:lang w:eastAsia="sv-SE"/>
              </w:rPr>
              <w:t>when needed and requested by</w:t>
            </w:r>
            <w:r w:rsidRPr="009E2F11">
              <w:rPr>
                <w:rFonts w:ascii="Arial" w:hAnsi="Arial" w:cs="Arial"/>
                <w:i/>
                <w:iCs/>
                <w:color w:val="000000"/>
                <w:szCs w:val="24"/>
                <w:shd w:val="clear" w:color="auto" w:fill="FFFFFF"/>
                <w:lang w:eastAsia="sv-SE"/>
              </w:rPr>
              <w:t xml:space="preserve"> persons with disabilities </w:t>
            </w:r>
            <w:r>
              <w:rPr>
                <w:rFonts w:ascii="Arial" w:hAnsi="Arial" w:cs="Arial"/>
                <w:i/>
                <w:iCs/>
                <w:color w:val="000000"/>
                <w:szCs w:val="24"/>
                <w:shd w:val="clear" w:color="auto" w:fill="FFFFFF"/>
                <w:lang w:eastAsia="sv-SE"/>
              </w:rPr>
              <w:t>who are direct or indirect participants of the justice system</w:t>
            </w:r>
            <w:r w:rsidRPr="009E2F11">
              <w:rPr>
                <w:rFonts w:ascii="Arial" w:hAnsi="Arial" w:cs="Arial"/>
                <w:i/>
                <w:iCs/>
                <w:color w:val="000000"/>
                <w:szCs w:val="24"/>
                <w:shd w:val="clear" w:color="auto" w:fill="FFFFFF"/>
                <w:lang w:eastAsia="sv-SE"/>
              </w:rPr>
              <w:t>.</w:t>
            </w:r>
            <w:r>
              <w:rPr>
                <w:rFonts w:ascii="Arial" w:hAnsi="Arial" w:cs="Arial"/>
                <w:i/>
                <w:iCs/>
                <w:color w:val="000000"/>
                <w:szCs w:val="24"/>
                <w:shd w:val="clear" w:color="auto" w:fill="FFFFFF"/>
                <w:lang w:eastAsia="sv-SE"/>
              </w:rPr>
              <w:t xml:space="preserve"> Such accommodation may include the provision of</w:t>
            </w:r>
            <w:r w:rsidRPr="009E2F11">
              <w:rPr>
                <w:rFonts w:ascii="Arial" w:hAnsi="Arial" w:cs="Arial"/>
                <w:i/>
                <w:iCs/>
                <w:color w:val="000000"/>
                <w:szCs w:val="24"/>
                <w:shd w:val="clear" w:color="auto" w:fill="FFFFFF"/>
                <w:lang w:eastAsia="sv-SE"/>
              </w:rPr>
              <w:t xml:space="preserve"> </w:t>
            </w:r>
            <w:r>
              <w:rPr>
                <w:rFonts w:ascii="Arial" w:hAnsi="Arial" w:cs="Arial"/>
                <w:i/>
                <w:iCs/>
                <w:color w:val="000000"/>
                <w:szCs w:val="24"/>
                <w:shd w:val="clear" w:color="auto" w:fill="FFFFFF"/>
                <w:lang w:eastAsia="sv-SE"/>
              </w:rPr>
              <w:t>s</w:t>
            </w:r>
            <w:r w:rsidRPr="009E2F11">
              <w:rPr>
                <w:rFonts w:ascii="Arial" w:hAnsi="Arial" w:cs="Arial"/>
                <w:i/>
                <w:iCs/>
                <w:color w:val="000000"/>
                <w:szCs w:val="24"/>
                <w:shd w:val="clear" w:color="auto" w:fill="FFFFFF"/>
                <w:lang w:eastAsia="sv-SE"/>
              </w:rPr>
              <w:t>ign language interpretation</w:t>
            </w:r>
            <w:r>
              <w:rPr>
                <w:rFonts w:ascii="Arial" w:hAnsi="Arial" w:cs="Arial"/>
                <w:i/>
                <w:iCs/>
                <w:color w:val="000000"/>
                <w:szCs w:val="24"/>
                <w:shd w:val="clear" w:color="auto" w:fill="FFFFFF"/>
                <w:lang w:eastAsia="sv-SE"/>
              </w:rPr>
              <w:t xml:space="preserve">, tactile sign interpretation, </w:t>
            </w:r>
            <w:r w:rsidRPr="009E2F11">
              <w:rPr>
                <w:rFonts w:ascii="Arial" w:hAnsi="Arial" w:cs="Arial"/>
                <w:i/>
                <w:iCs/>
                <w:color w:val="000000"/>
                <w:szCs w:val="24"/>
                <w:shd w:val="clear" w:color="auto" w:fill="FFFFFF"/>
                <w:lang w:eastAsia="sv-SE"/>
              </w:rPr>
              <w:t>speech-to-text functionality</w:t>
            </w:r>
            <w:r>
              <w:rPr>
                <w:rFonts w:ascii="Arial" w:hAnsi="Arial" w:cs="Arial"/>
                <w:i/>
                <w:iCs/>
                <w:color w:val="000000"/>
                <w:szCs w:val="24"/>
                <w:shd w:val="clear" w:color="auto" w:fill="FFFFFF"/>
                <w:lang w:eastAsia="sv-SE"/>
              </w:rPr>
              <w:t>, Easy to Read and Braille formats, among others, and</w:t>
            </w:r>
            <w:r w:rsidRPr="009E2F11">
              <w:rPr>
                <w:rFonts w:ascii="Arial" w:hAnsi="Arial" w:cs="Arial"/>
                <w:i/>
                <w:iCs/>
                <w:color w:val="000000"/>
                <w:szCs w:val="24"/>
                <w:shd w:val="clear" w:color="auto" w:fill="FFFFFF"/>
                <w:lang w:eastAsia="sv-SE"/>
              </w:rPr>
              <w:t xml:space="preserve"> should be considered in the implementation of this Regulation as a way to ensure equal access to hearing through videoconferencing or other distance communication technology. </w:t>
            </w:r>
          </w:p>
        </w:tc>
      </w:tr>
      <w:tr w:rsidR="00FB5790" w:rsidRPr="00947D2F" w14:paraId="41A2A84F" w14:textId="77777777" w:rsidTr="00BB030C">
        <w:tc>
          <w:tcPr>
            <w:tcW w:w="9016" w:type="dxa"/>
            <w:gridSpan w:val="2"/>
          </w:tcPr>
          <w:p w14:paraId="1033633F" w14:textId="77777777" w:rsidR="00FB5790" w:rsidRPr="00947D2F" w:rsidRDefault="00FB5790" w:rsidP="00BB030C">
            <w:pPr>
              <w:jc w:val="center"/>
              <w:rPr>
                <w:rFonts w:ascii="Arial" w:hAnsi="Arial" w:cs="Arial"/>
                <w:b/>
                <w:bCs/>
                <w:szCs w:val="24"/>
              </w:rPr>
            </w:pPr>
            <w:r w:rsidRPr="00947D2F">
              <w:rPr>
                <w:rFonts w:ascii="Arial" w:hAnsi="Arial" w:cs="Arial"/>
                <w:b/>
                <w:bCs/>
                <w:szCs w:val="24"/>
              </w:rPr>
              <w:t>Justification:</w:t>
            </w:r>
          </w:p>
          <w:p w14:paraId="1E732016" w14:textId="77777777" w:rsidR="00FB5790" w:rsidRPr="00D31570" w:rsidRDefault="00FB5790" w:rsidP="00BB030C">
            <w:pPr>
              <w:shd w:val="clear" w:color="auto" w:fill="FFFFFF"/>
              <w:spacing w:before="240" w:after="120"/>
              <w:rPr>
                <w:rFonts w:ascii="Arial" w:hAnsi="Arial" w:cs="Arial"/>
                <w:szCs w:val="24"/>
              </w:rPr>
            </w:pPr>
            <w:r w:rsidRPr="00947D2F">
              <w:rPr>
                <w:rFonts w:ascii="Arial" w:hAnsi="Arial" w:cs="Arial"/>
                <w:szCs w:val="24"/>
              </w:rPr>
              <w:t xml:space="preserve">These new recitals include essential references to the </w:t>
            </w:r>
            <w:r>
              <w:rPr>
                <w:rFonts w:ascii="Arial" w:hAnsi="Arial" w:cs="Arial"/>
                <w:szCs w:val="24"/>
              </w:rPr>
              <w:t xml:space="preserve">United Nations Convention on the Rights of Persons with Disabilities, </w:t>
            </w:r>
            <w:r w:rsidRPr="00947D2F">
              <w:rPr>
                <w:rFonts w:ascii="Arial" w:hAnsi="Arial" w:cs="Arial"/>
                <w:szCs w:val="24"/>
              </w:rPr>
              <w:t>as well as</w:t>
            </w:r>
            <w:r>
              <w:rPr>
                <w:rFonts w:ascii="Arial" w:hAnsi="Arial" w:cs="Arial"/>
                <w:szCs w:val="24"/>
              </w:rPr>
              <w:t xml:space="preserve"> relevant EU policies and </w:t>
            </w:r>
            <w:r w:rsidRPr="00947D2F">
              <w:rPr>
                <w:rFonts w:ascii="Arial" w:hAnsi="Arial" w:cs="Arial"/>
                <w:szCs w:val="24"/>
              </w:rPr>
              <w:t xml:space="preserve">instruments setting out accessibility requirements </w:t>
            </w:r>
            <w:r>
              <w:rPr>
                <w:rFonts w:ascii="Arial" w:hAnsi="Arial" w:cs="Arial"/>
                <w:szCs w:val="24"/>
              </w:rPr>
              <w:t xml:space="preserve">necessary to ensure the equal rights of persons with disabilities in judicial cooperation and access to justice. </w:t>
            </w:r>
          </w:p>
        </w:tc>
      </w:tr>
    </w:tbl>
    <w:p w14:paraId="120BDEDB" w14:textId="77777777" w:rsidR="00FB5790" w:rsidRPr="00FB5790" w:rsidRDefault="00FB5790" w:rsidP="00FB5790"/>
    <w:p w14:paraId="63B7F075" w14:textId="61C3BB80" w:rsidR="00A9576D" w:rsidRPr="00187E62" w:rsidRDefault="00A9576D" w:rsidP="00A9576D">
      <w:pPr>
        <w:pStyle w:val="Heading1"/>
        <w:pageBreakBefore/>
      </w:pPr>
      <w:bookmarkStart w:id="20" w:name="_Toc109049402"/>
      <w:r w:rsidRPr="00187E62">
        <w:lastRenderedPageBreak/>
        <w:t>Document credits</w:t>
      </w:r>
      <w:bookmarkEnd w:id="20"/>
    </w:p>
    <w:p w14:paraId="2B95C88F" w14:textId="0A288A15" w:rsidR="00A9576D" w:rsidRDefault="00A9576D" w:rsidP="006D0B23">
      <w:pPr>
        <w:widowControl w:val="0"/>
        <w:spacing w:before="480"/>
      </w:pPr>
      <w:r>
        <w:t>This document was prepared by</w:t>
      </w:r>
      <w:r w:rsidR="00B54D05">
        <w:t xml:space="preserve"> Marine Uldry</w:t>
      </w:r>
      <w:r w:rsidR="004609DC">
        <w:t>, EDF Senior Human Rights Officer</w:t>
      </w:r>
      <w:r w:rsidR="00FE1D26">
        <w:t xml:space="preserve"> (</w:t>
      </w:r>
      <w:hyperlink r:id="rId10" w:history="1">
        <w:r w:rsidR="00FE1D26" w:rsidRPr="00D928E4">
          <w:rPr>
            <w:rStyle w:val="Hyperlink"/>
          </w:rPr>
          <w:t>marine.uldry@edf-feph.org</w:t>
        </w:r>
      </w:hyperlink>
      <w:r w:rsidR="00FE1D26">
        <w:t xml:space="preserve">). </w:t>
      </w:r>
    </w:p>
    <w:p w14:paraId="343B7103" w14:textId="7EB9A9FB" w:rsidR="00A9576D" w:rsidRDefault="00A9576D" w:rsidP="006D0B23">
      <w:pPr>
        <w:widowControl w:val="0"/>
        <w:spacing w:before="480"/>
      </w:pPr>
      <w:r>
        <w:t>Assisted</w:t>
      </w:r>
      <w:r w:rsidR="00B54D05">
        <w:t xml:space="preserve"> by Carine Marzin and Alejandro Moledo. </w:t>
      </w:r>
    </w:p>
    <w:p w14:paraId="177D1331" w14:textId="30D02CFC" w:rsidR="009277BC" w:rsidRDefault="009277BC" w:rsidP="009277BC">
      <w:pPr>
        <w:widowControl w:val="0"/>
        <w:spacing w:before="480"/>
      </w:pPr>
      <w:r>
        <w:rPr>
          <w:noProof/>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9277BC" w:rsidRDefault="00A9576D" w:rsidP="006D0B23">
      <w:pPr>
        <w:widowControl w:val="0"/>
        <w:spacing w:before="480"/>
      </w:pPr>
      <w:r>
        <w:t>The European Disability Forum</w:t>
      </w:r>
      <w:r w:rsidR="009277BC">
        <w:br/>
      </w:r>
      <w:r w:rsidR="009277BC" w:rsidRPr="009277BC">
        <w:t>Mundo Madou</w:t>
      </w:r>
      <w:r w:rsidR="009277BC">
        <w:br/>
      </w:r>
      <w:r w:rsidRPr="009277BC">
        <w:t>Avenue des Arts 7-8</w:t>
      </w:r>
      <w:r w:rsidR="009277BC" w:rsidRPr="009277BC">
        <w:br/>
        <w:t>1210 Brussels, Belgium.</w:t>
      </w:r>
    </w:p>
    <w:p w14:paraId="63FAD6C0" w14:textId="334864FE" w:rsidR="00A9576D" w:rsidRDefault="004D611D" w:rsidP="006D0B23">
      <w:pPr>
        <w:widowControl w:val="0"/>
        <w:spacing w:before="480"/>
      </w:pPr>
      <w:hyperlink r:id="rId11" w:history="1">
        <w:r w:rsidR="00A9576D" w:rsidRPr="009277BC">
          <w:rPr>
            <w:rStyle w:val="Hyperlink"/>
          </w:rPr>
          <w:t>www.edf-feph.org</w:t>
        </w:r>
      </w:hyperlink>
    </w:p>
    <w:p w14:paraId="7B572B14" w14:textId="5A1C910E" w:rsidR="009277BC" w:rsidRPr="009277BC" w:rsidRDefault="004D611D" w:rsidP="006D0B23">
      <w:pPr>
        <w:widowControl w:val="0"/>
        <w:spacing w:before="480"/>
      </w:pPr>
      <w:hyperlink r:id="rId12" w:history="1">
        <w:r w:rsidR="009277BC" w:rsidRPr="008C480E">
          <w:rPr>
            <w:rStyle w:val="Hyperlink"/>
          </w:rPr>
          <w:t>info@edf-feph.org</w:t>
        </w:r>
      </w:hyperlink>
    </w:p>
    <w:p w14:paraId="23807C83" w14:textId="06A6BD57" w:rsidR="009277BC" w:rsidRDefault="009277BC" w:rsidP="009277BC">
      <w:pPr>
        <w:widowControl w:val="0"/>
        <w:spacing w:before="1680" w:after="120"/>
      </w:pPr>
      <w:r w:rsidRPr="009277BC">
        <w:t>This publication has received financial support from the European Union. The information contained in this publication does not necessarily reflect the official position of the European Commission.</w:t>
      </w:r>
    </w:p>
    <w:p w14:paraId="45BA7225" w14:textId="1CB9D07B" w:rsidR="009277BC" w:rsidRDefault="009277BC" w:rsidP="009277BC">
      <w:pPr>
        <w:widowControl w:val="0"/>
        <w:spacing w:before="120"/>
        <w:jc w:val="center"/>
      </w:pPr>
      <w:r>
        <w:rPr>
          <w:noProof/>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Sect="006D0B23">
      <w:footerReference w:type="default" r:id="rId14"/>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564B" w14:textId="77777777" w:rsidR="0008516E" w:rsidRDefault="0008516E" w:rsidP="00E47FF5">
      <w:pPr>
        <w:spacing w:after="0" w:line="240" w:lineRule="auto"/>
      </w:pPr>
      <w:r>
        <w:separator/>
      </w:r>
    </w:p>
  </w:endnote>
  <w:endnote w:type="continuationSeparator" w:id="0">
    <w:p w14:paraId="48542D56" w14:textId="77777777" w:rsidR="0008516E" w:rsidRDefault="0008516E"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1D2E" w14:textId="77777777" w:rsidR="0008516E" w:rsidRDefault="0008516E" w:rsidP="00E47FF5">
      <w:pPr>
        <w:spacing w:after="0" w:line="240" w:lineRule="auto"/>
      </w:pPr>
      <w:r>
        <w:separator/>
      </w:r>
    </w:p>
  </w:footnote>
  <w:footnote w:type="continuationSeparator" w:id="0">
    <w:p w14:paraId="1CC88A0E" w14:textId="77777777" w:rsidR="0008516E" w:rsidRDefault="0008516E" w:rsidP="00E47FF5">
      <w:pPr>
        <w:spacing w:after="0" w:line="240" w:lineRule="auto"/>
      </w:pPr>
      <w:r>
        <w:continuationSeparator/>
      </w:r>
    </w:p>
  </w:footnote>
  <w:footnote w:id="1">
    <w:p w14:paraId="0D884136" w14:textId="77777777" w:rsidR="00146E47" w:rsidRPr="003B1227" w:rsidRDefault="00146E47" w:rsidP="00146E47">
      <w:pPr>
        <w:pStyle w:val="FootnoteText"/>
      </w:pPr>
      <w:r>
        <w:rPr>
          <w:rStyle w:val="FootnoteReference"/>
        </w:rPr>
        <w:footnoteRef/>
      </w:r>
      <w:r>
        <w:t xml:space="preserve"> </w:t>
      </w:r>
      <w:hyperlink r:id="rId1" w:history="1">
        <w:r w:rsidRPr="007D66D1">
          <w:rPr>
            <w:rStyle w:val="Hyperlink"/>
          </w:rPr>
          <w:t>Council decision 2010/48/EC</w:t>
        </w:r>
      </w:hyperlink>
      <w:r>
        <w:t xml:space="preserve"> </w:t>
      </w:r>
    </w:p>
  </w:footnote>
  <w:footnote w:id="2">
    <w:p w14:paraId="3F3A6865" w14:textId="77777777" w:rsidR="00146E47" w:rsidRPr="009B7C1C" w:rsidRDefault="00146E47" w:rsidP="00146E47">
      <w:pPr>
        <w:pStyle w:val="FootnoteText"/>
      </w:pPr>
      <w:r>
        <w:rPr>
          <w:rStyle w:val="FootnoteReference"/>
        </w:rPr>
        <w:footnoteRef/>
      </w:r>
      <w:r>
        <w:t xml:space="preserve"> </w:t>
      </w:r>
      <w:hyperlink r:id="rId2" w:history="1">
        <w:r w:rsidRPr="007D66D1">
          <w:rPr>
            <w:rStyle w:val="Hyperlink"/>
          </w:rPr>
          <w:t>European Disability Rights Strategy 2021-2030</w:t>
        </w:r>
      </w:hyperlink>
      <w:r>
        <w:t xml:space="preserve">, see 5.1. </w:t>
      </w:r>
    </w:p>
  </w:footnote>
  <w:footnote w:id="3">
    <w:p w14:paraId="3EC3B1E0" w14:textId="77777777" w:rsidR="00146E47" w:rsidRPr="00E80443" w:rsidRDefault="00146E47" w:rsidP="00146E47">
      <w:pPr>
        <w:pStyle w:val="FootnoteText"/>
      </w:pPr>
      <w:r>
        <w:rPr>
          <w:rStyle w:val="FootnoteReference"/>
        </w:rPr>
        <w:footnoteRef/>
      </w:r>
      <w:r>
        <w:t xml:space="preserve"> UN International principles and guidelines on access to justice for persons with disabilities </w:t>
      </w:r>
      <w:hyperlink r:id="rId3" w:history="1">
        <w:r>
          <w:rPr>
            <w:rStyle w:val="Hyperlink"/>
          </w:rPr>
          <w:t>International Principles and Guidelines on Access to Justice for Persons with Disabilities (un.org)</w:t>
        </w:r>
      </w:hyperlink>
    </w:p>
  </w:footnote>
  <w:footnote w:id="4">
    <w:p w14:paraId="748BA747" w14:textId="77777777" w:rsidR="00146E47" w:rsidRPr="008C082A" w:rsidRDefault="00146E47" w:rsidP="00146E47">
      <w:pPr>
        <w:pStyle w:val="FootnoteText"/>
      </w:pPr>
      <w:r>
        <w:rPr>
          <w:rStyle w:val="FootnoteReference"/>
        </w:rPr>
        <w:footnoteRef/>
      </w:r>
      <w:r w:rsidRPr="008C082A">
        <w:t xml:space="preserve"> </w:t>
      </w:r>
      <w:hyperlink r:id="rId4" w:history="1">
        <w:r w:rsidRPr="008C082A">
          <w:rPr>
            <w:rStyle w:val="Hyperlink"/>
          </w:rPr>
          <w:t>EU Justice Score Board 2022</w:t>
        </w:r>
      </w:hyperlink>
      <w:r w:rsidRPr="008C082A">
        <w:t xml:space="preserve"> </w:t>
      </w:r>
    </w:p>
  </w:footnote>
  <w:footnote w:id="5">
    <w:p w14:paraId="2C9D44E2" w14:textId="77777777" w:rsidR="00146E47" w:rsidRPr="008C082A" w:rsidRDefault="00146E47" w:rsidP="00146E47">
      <w:pPr>
        <w:pStyle w:val="FootnoteText"/>
      </w:pPr>
      <w:r>
        <w:rPr>
          <w:rStyle w:val="FootnoteReference"/>
        </w:rPr>
        <w:footnoteRef/>
      </w:r>
      <w:r w:rsidRPr="008C082A">
        <w:t xml:space="preserve"> </w:t>
      </w:r>
      <w:hyperlink r:id="rId5" w:history="1">
        <w:r w:rsidRPr="008C082A">
          <w:rPr>
            <w:rStyle w:val="Hyperlink"/>
          </w:rPr>
          <w:t>European Accessibility Act (EU) 2019/882</w:t>
        </w:r>
      </w:hyperlink>
      <w:r w:rsidRPr="008C082A">
        <w:t xml:space="preserve"> </w:t>
      </w:r>
    </w:p>
  </w:footnote>
  <w:footnote w:id="6">
    <w:p w14:paraId="28684FC5" w14:textId="77777777" w:rsidR="00146E47" w:rsidRPr="008C082A" w:rsidRDefault="00146E47" w:rsidP="00146E47">
      <w:pPr>
        <w:pStyle w:val="FootnoteText"/>
      </w:pPr>
      <w:r>
        <w:rPr>
          <w:rStyle w:val="FootnoteReference"/>
        </w:rPr>
        <w:footnoteRef/>
      </w:r>
      <w:r w:rsidRPr="008C082A">
        <w:t xml:space="preserve"> </w:t>
      </w:r>
      <w:hyperlink r:id="rId6" w:history="1">
        <w:r w:rsidRPr="008C082A">
          <w:rPr>
            <w:rStyle w:val="Hyperlink"/>
          </w:rPr>
          <w:t>Web Accessibility Directive (EU) 2016/2102</w:t>
        </w:r>
      </w:hyperlink>
      <w:r>
        <w:fldChar w:fldCharType="begin"/>
      </w:r>
      <w:r>
        <w:instrText>HYPERLINK</w:instrText>
      </w:r>
      <w:r>
        <w:fldChar w:fldCharType="separate"/>
      </w:r>
      <w:r>
        <w:rPr>
          <w:b/>
          <w:bCs/>
          <w:lang w:val="en-US"/>
        </w:rPr>
        <w:t>Error! Hyperlink reference not valid.</w:t>
      </w:r>
      <w:r>
        <w:rPr>
          <w:b/>
          <w:bCs/>
          <w:lang w:val="en-US"/>
        </w:rPr>
        <w:fldChar w:fldCharType="end"/>
      </w:r>
    </w:p>
  </w:footnote>
  <w:footnote w:id="7">
    <w:p w14:paraId="44C8FED9" w14:textId="77777777" w:rsidR="00146E47" w:rsidRPr="00935B95" w:rsidRDefault="00146E47" w:rsidP="00146E47">
      <w:pPr>
        <w:pStyle w:val="FootnoteText"/>
        <w:rPr>
          <w:lang w:val="fr-FR"/>
        </w:rPr>
      </w:pPr>
      <w:r>
        <w:rPr>
          <w:rStyle w:val="FootnoteReference"/>
        </w:rPr>
        <w:footnoteRef/>
      </w:r>
      <w:r w:rsidRPr="00935B95">
        <w:rPr>
          <w:lang w:val="fr-FR"/>
        </w:rPr>
        <w:t xml:space="preserve"> </w:t>
      </w:r>
      <w:hyperlink r:id="rId7" w:history="1">
        <w:r w:rsidRPr="00877155">
          <w:rPr>
            <w:rStyle w:val="Hyperlink"/>
            <w:lang w:val="fr-FR"/>
          </w:rPr>
          <w:t xml:space="preserve">European </w:t>
        </w:r>
        <w:proofErr w:type="spellStart"/>
        <w:r w:rsidRPr="00877155">
          <w:rPr>
            <w:rStyle w:val="Hyperlink"/>
            <w:lang w:val="fr-FR"/>
          </w:rPr>
          <w:t>Electronic</w:t>
        </w:r>
        <w:proofErr w:type="spellEnd"/>
        <w:r w:rsidRPr="00877155">
          <w:rPr>
            <w:rStyle w:val="Hyperlink"/>
            <w:lang w:val="fr-FR"/>
          </w:rPr>
          <w:t xml:space="preserve"> Communication Code (EU) 2018/1972</w:t>
        </w:r>
      </w:hyperlink>
      <w:r w:rsidRPr="00935B95">
        <w:rPr>
          <w:lang w:val="fr-FR"/>
        </w:rPr>
        <w:t xml:space="preserve"> </w:t>
      </w:r>
    </w:p>
  </w:footnote>
  <w:footnote w:id="8">
    <w:p w14:paraId="6DE5B334" w14:textId="77777777" w:rsidR="00146E47" w:rsidRPr="00877155" w:rsidRDefault="00146E47" w:rsidP="00146E47">
      <w:pPr>
        <w:pStyle w:val="FootnoteText"/>
      </w:pPr>
      <w:r>
        <w:rPr>
          <w:rStyle w:val="FootnoteReference"/>
        </w:rPr>
        <w:footnoteRef/>
      </w:r>
      <w:r w:rsidRPr="00877155">
        <w:t xml:space="preserve"> </w:t>
      </w:r>
      <w:hyperlink r:id="rId8" w:history="1">
        <w:r w:rsidRPr="00877155">
          <w:rPr>
            <w:rStyle w:val="Hyperlink"/>
          </w:rPr>
          <w:t>Public Procurement Directive 2014/24/EU</w:t>
        </w:r>
      </w:hyperlink>
      <w:r w:rsidRPr="00877155">
        <w:t xml:space="preserve"> ; </w:t>
      </w:r>
      <w:r>
        <w:t>A</w:t>
      </w:r>
      <w:r w:rsidRPr="00877155">
        <w:t xml:space="preserve">rticle 42 covers </w:t>
      </w:r>
      <w:r w:rsidRPr="00877155">
        <w:rPr>
          <w:b/>
          <w:bCs/>
        </w:rPr>
        <w:t>all procurement</w:t>
      </w:r>
      <w:r w:rsidRPr="00877155">
        <w:t xml:space="preserve"> “intended for use by natural persons, whether general public or staff of the contracting authority, the technical specifications shall, except in duly justified cases, be drawn up to take into account accessibility criteria for persons with disabilities or design for all users.” </w:t>
      </w:r>
    </w:p>
    <w:p w14:paraId="2018D312" w14:textId="77777777" w:rsidR="00146E47" w:rsidRPr="00877155" w:rsidRDefault="00146E47" w:rsidP="00146E4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03EE0"/>
    <w:multiLevelType w:val="hybridMultilevel"/>
    <w:tmpl w:val="77C40690"/>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99225297">
    <w:abstractNumId w:val="0"/>
  </w:num>
  <w:num w:numId="2" w16cid:durableId="1347751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54D5A"/>
    <w:rsid w:val="0006780B"/>
    <w:rsid w:val="0006791C"/>
    <w:rsid w:val="0008516E"/>
    <w:rsid w:val="00086074"/>
    <w:rsid w:val="000D37E5"/>
    <w:rsid w:val="00146E47"/>
    <w:rsid w:val="00187E62"/>
    <w:rsid w:val="001E0F08"/>
    <w:rsid w:val="00282B80"/>
    <w:rsid w:val="00306ABD"/>
    <w:rsid w:val="00355289"/>
    <w:rsid w:val="003C78D1"/>
    <w:rsid w:val="003D1BF3"/>
    <w:rsid w:val="00405E0B"/>
    <w:rsid w:val="004136FE"/>
    <w:rsid w:val="004609DC"/>
    <w:rsid w:val="004D611D"/>
    <w:rsid w:val="00541EBA"/>
    <w:rsid w:val="00573E19"/>
    <w:rsid w:val="00574D66"/>
    <w:rsid w:val="005B01F0"/>
    <w:rsid w:val="005D414D"/>
    <w:rsid w:val="00606390"/>
    <w:rsid w:val="006A6BD9"/>
    <w:rsid w:val="006C1A26"/>
    <w:rsid w:val="006D0B23"/>
    <w:rsid w:val="00730531"/>
    <w:rsid w:val="00734CD5"/>
    <w:rsid w:val="007C7CD3"/>
    <w:rsid w:val="008054A7"/>
    <w:rsid w:val="008065A5"/>
    <w:rsid w:val="0087125C"/>
    <w:rsid w:val="009277BC"/>
    <w:rsid w:val="00A9576D"/>
    <w:rsid w:val="00AD55B8"/>
    <w:rsid w:val="00AF0B7A"/>
    <w:rsid w:val="00B30927"/>
    <w:rsid w:val="00B515CD"/>
    <w:rsid w:val="00B54D05"/>
    <w:rsid w:val="00BA19BB"/>
    <w:rsid w:val="00CD5C83"/>
    <w:rsid w:val="00D11DAB"/>
    <w:rsid w:val="00D71C17"/>
    <w:rsid w:val="00E41423"/>
    <w:rsid w:val="00E47FF5"/>
    <w:rsid w:val="00E62CBF"/>
    <w:rsid w:val="00EA0706"/>
    <w:rsid w:val="00EC688E"/>
    <w:rsid w:val="00F34A74"/>
    <w:rsid w:val="00F5051D"/>
    <w:rsid w:val="00FB5790"/>
    <w:rsid w:val="00FE1D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FootnoteText">
    <w:name w:val="footnote text"/>
    <w:basedOn w:val="Normal"/>
    <w:link w:val="FootnoteTextChar"/>
    <w:uiPriority w:val="99"/>
    <w:semiHidden/>
    <w:unhideWhenUsed/>
    <w:rsid w:val="00146E47"/>
    <w:pPr>
      <w:spacing w:after="0" w:line="240" w:lineRule="auto"/>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semiHidden/>
    <w:rsid w:val="00146E47"/>
    <w:rPr>
      <w:sz w:val="20"/>
      <w:szCs w:val="20"/>
      <w:lang w:val="en-GB"/>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nt,BVI fn"/>
    <w:basedOn w:val="DefaultParagraphFont"/>
    <w:uiPriority w:val="99"/>
    <w:semiHidden/>
    <w:unhideWhenUsed/>
    <w:rsid w:val="00146E47"/>
    <w:rPr>
      <w:vertAlign w:val="superscript"/>
    </w:rPr>
  </w:style>
  <w:style w:type="table" w:customStyle="1" w:styleId="TableGrid1">
    <w:name w:val="Table Grid1"/>
    <w:basedOn w:val="TableNormal"/>
    <w:next w:val="TableGrid"/>
    <w:uiPriority w:val="59"/>
    <w:rsid w:val="00FB57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57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edf-feph.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f-feph.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ine.uldry@edf-feph.org" TargetMode="External"/><Relationship Id="rId4" Type="http://schemas.openxmlformats.org/officeDocument/2006/relationships/webSettings" Target="webSettings.xml"/><Relationship Id="rId9" Type="http://schemas.openxmlformats.org/officeDocument/2006/relationships/hyperlink" Target="https://www.edf-feph.org/newsroom-news-what-does-digitalisation-justice-mean-persons-disabilitie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uri=celex%3A32014L0024" TargetMode="External"/><Relationship Id="rId3" Type="http://schemas.openxmlformats.org/officeDocument/2006/relationships/hyperlink" Target="https://www.un.org/development/desa/disabilities/wp-content/uploads/sites/15/2020/10/Access-to-Justice-EN.pdf" TargetMode="External"/><Relationship Id="rId7" Type="http://schemas.openxmlformats.org/officeDocument/2006/relationships/hyperlink" Target="https://eur-lex.europa.eu/legal-content/EN/TXT/?uri=uriserv%3AOJ.L_.2018.321.01.0036.01.ENG" TargetMode="External"/><Relationship Id="rId2" Type="http://schemas.openxmlformats.org/officeDocument/2006/relationships/hyperlink" Target="https://ec.europa.eu/social/main.jsp?catId=738&amp;langId=en&amp;pubId=8376&amp;furtherPubs=yes" TargetMode="External"/><Relationship Id="rId1" Type="http://schemas.openxmlformats.org/officeDocument/2006/relationships/hyperlink" Target="https://eur-lex.europa.eu/legal-content/EN/TXT/HTML/?uri=CELEX:32010D0048&amp;from=SV" TargetMode="External"/><Relationship Id="rId6" Type="http://schemas.openxmlformats.org/officeDocument/2006/relationships/hyperlink" Target="https://eur-lex.europa.eu/legal-content/EN/TXT/HTML/?uri=CELEX:32016L2102" TargetMode="External"/><Relationship Id="rId5" Type="http://schemas.openxmlformats.org/officeDocument/2006/relationships/hyperlink" Target="https://eur-lex.europa.eu/legal-content/EN/TXT/?uri=CELEX%3A32019L0882" TargetMode="External"/><Relationship Id="rId4" Type="http://schemas.openxmlformats.org/officeDocument/2006/relationships/hyperlink" Target="https://ec.europa.eu/commission/presscorner/detail/e%20n/ip_22_3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13</Pages>
  <Words>3740</Words>
  <Characters>20572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Marine Uldry</cp:lastModifiedBy>
  <cp:revision>26</cp:revision>
  <cp:lastPrinted>2022-07-18T13:06:00Z</cp:lastPrinted>
  <dcterms:created xsi:type="dcterms:W3CDTF">2021-02-22T09:45:00Z</dcterms:created>
  <dcterms:modified xsi:type="dcterms:W3CDTF">2022-07-18T13:09:00Z</dcterms:modified>
</cp:coreProperties>
</file>