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4827" w14:textId="77777777" w:rsidR="00F86167" w:rsidRPr="00394A1E" w:rsidRDefault="00F86167" w:rsidP="006963AC">
      <w:pPr>
        <w:pStyle w:val="Title"/>
        <w:jc w:val="both"/>
        <w:rPr>
          <w:rFonts w:cs="Arial"/>
          <w:szCs w:val="24"/>
          <w:lang w:val="lt-LT"/>
        </w:rPr>
      </w:pPr>
    </w:p>
    <w:p w14:paraId="4744DF7A" w14:textId="77777777" w:rsidR="00F33C4B" w:rsidRDefault="00F33C4B" w:rsidP="00FF4E6C">
      <w:pPr>
        <w:pStyle w:val="Heading2"/>
        <w:jc w:val="center"/>
      </w:pPr>
    </w:p>
    <w:p w14:paraId="383E26F5" w14:textId="77777777" w:rsidR="00FF4E6C" w:rsidRDefault="00FF4E6C" w:rsidP="00FF4E6C">
      <w:pPr>
        <w:pStyle w:val="Heading2"/>
        <w:jc w:val="center"/>
      </w:pPr>
      <w:r>
        <w:t>EDF WOMEN’S COMMITTEE</w:t>
      </w:r>
      <w:r w:rsidR="00394D17">
        <w:t xml:space="preserve"> </w:t>
      </w:r>
    </w:p>
    <w:p w14:paraId="43696476" w14:textId="77777777" w:rsidR="00FF4E6C" w:rsidRPr="00FF4E6C" w:rsidRDefault="00FF4E6C" w:rsidP="00FF4E6C"/>
    <w:p w14:paraId="3D3FEC71" w14:textId="5B608D86" w:rsidR="00FF4E6C" w:rsidRPr="00394D17" w:rsidRDefault="00FF4E6C" w:rsidP="00FF4E6C">
      <w:pPr>
        <w:jc w:val="center"/>
        <w:rPr>
          <w:b/>
          <w:color w:val="0070C0"/>
        </w:rPr>
      </w:pPr>
      <w:r w:rsidRPr="00394D17">
        <w:rPr>
          <w:b/>
          <w:color w:val="0070C0"/>
        </w:rPr>
        <w:t xml:space="preserve">WORK PLAN </w:t>
      </w:r>
      <w:r w:rsidR="00974F24">
        <w:rPr>
          <w:b/>
          <w:color w:val="0070C0"/>
        </w:rPr>
        <w:t>2023-202</w:t>
      </w:r>
      <w:r w:rsidR="00DF2491">
        <w:rPr>
          <w:b/>
          <w:color w:val="0070C0"/>
        </w:rPr>
        <w:t>6</w:t>
      </w:r>
    </w:p>
    <w:p w14:paraId="585E8244" w14:textId="77777777" w:rsidR="00F33C4B" w:rsidRDefault="00F33C4B" w:rsidP="006963AC">
      <w:pPr>
        <w:pStyle w:val="Heading2"/>
      </w:pPr>
    </w:p>
    <w:p w14:paraId="3CB85507" w14:textId="77777777" w:rsidR="00FF4E6C" w:rsidRPr="00394D17" w:rsidRDefault="00F33C4B" w:rsidP="00394D17">
      <w:pPr>
        <w:rPr>
          <w:b/>
          <w:color w:val="0070C0"/>
        </w:rPr>
      </w:pPr>
      <w:r w:rsidRPr="00394D17">
        <w:rPr>
          <w:b/>
          <w:color w:val="0070C0"/>
        </w:rPr>
        <w:t>Background</w:t>
      </w:r>
    </w:p>
    <w:p w14:paraId="35DDDA5A" w14:textId="385E1318" w:rsidR="00974F24" w:rsidRDefault="00974F24" w:rsidP="001F4A0A">
      <w:pPr>
        <w:jc w:val="both"/>
      </w:pPr>
      <w:r>
        <w:t xml:space="preserve">This document explains the </w:t>
      </w:r>
      <w:r w:rsidR="007C3EDA">
        <w:t xml:space="preserve">priorities for </w:t>
      </w:r>
      <w:r w:rsidR="00C840FA">
        <w:t xml:space="preserve">the work of EDF </w:t>
      </w:r>
      <w:r>
        <w:t>related to women and girls with disabilities for 2023-202</w:t>
      </w:r>
      <w:r w:rsidR="00C601EC">
        <w:t>6</w:t>
      </w:r>
      <w:r>
        <w:t xml:space="preserve">. </w:t>
      </w:r>
    </w:p>
    <w:p w14:paraId="06A2BDB8" w14:textId="1842E337" w:rsidR="00144A80" w:rsidRDefault="00EC5971" w:rsidP="001F4A0A">
      <w:pPr>
        <w:jc w:val="both"/>
      </w:pPr>
      <w:r>
        <w:t xml:space="preserve">It is based on the EDF work plan for </w:t>
      </w:r>
      <w:r w:rsidR="00C840FA">
        <w:t>2023</w:t>
      </w:r>
      <w:r>
        <w:t xml:space="preserve"> as adopted by the EDF Executive Committee and Board in </w:t>
      </w:r>
      <w:r w:rsidR="00C840FA">
        <w:t>2022</w:t>
      </w:r>
      <w:r w:rsidR="00A20412">
        <w:t xml:space="preserve"> and</w:t>
      </w:r>
      <w:r w:rsidR="00A20412" w:rsidRPr="00A20412">
        <w:t xml:space="preserve"> should be read in conjunction with t</w:t>
      </w:r>
      <w:r w:rsidR="00A20412">
        <w:t>his overall work plan for the Forum.</w:t>
      </w:r>
    </w:p>
    <w:p w14:paraId="02A3F789" w14:textId="1B0C3C83" w:rsidR="00507307" w:rsidRDefault="00EC5971" w:rsidP="001F4A0A">
      <w:pPr>
        <w:jc w:val="both"/>
      </w:pPr>
      <w:r>
        <w:t>Th</w:t>
      </w:r>
      <w:r w:rsidR="00BD1E7C">
        <w:t>e</w:t>
      </w:r>
      <w:r>
        <w:t xml:space="preserve"> document</w:t>
      </w:r>
      <w:r w:rsidR="007C3EDA">
        <w:t xml:space="preserve"> </w:t>
      </w:r>
      <w:r w:rsidR="00E36217">
        <w:t>aims to incorporate the perspectives of</w:t>
      </w:r>
      <w:r>
        <w:t xml:space="preserve"> women and girls with disabilities and</w:t>
      </w:r>
      <w:r w:rsidR="00E36217">
        <w:t xml:space="preserve"> mothers of persons with disabilities in the work of EDF</w:t>
      </w:r>
      <w:r w:rsidR="00A20412">
        <w:t xml:space="preserve">. </w:t>
      </w:r>
    </w:p>
    <w:p w14:paraId="2C54FCF5" w14:textId="340017F6" w:rsidR="00EC5971" w:rsidRDefault="00A20412" w:rsidP="001F4A0A">
      <w:pPr>
        <w:jc w:val="both"/>
      </w:pPr>
      <w:r>
        <w:t>This mainstreaming exercise</w:t>
      </w:r>
      <w:r w:rsidR="00EC5971">
        <w:t xml:space="preserve"> </w:t>
      </w:r>
      <w:r>
        <w:t xml:space="preserve">draws on General Comment no. 3 </w:t>
      </w:r>
      <w:r w:rsidRPr="00A20412">
        <w:t>on women with disabilities</w:t>
      </w:r>
      <w:r>
        <w:t xml:space="preserve"> of the United Nations Committee on the Rights of Persons with Disabilities and seeks to apply an intersectional approach between gender and disability.</w:t>
      </w:r>
    </w:p>
    <w:p w14:paraId="243FCCC1" w14:textId="3E9EC1E2" w:rsidR="00230BA8" w:rsidRPr="00230BA8" w:rsidRDefault="00EC5971" w:rsidP="00230BA8">
      <w:pPr>
        <w:jc w:val="both"/>
      </w:pPr>
      <w:r>
        <w:t xml:space="preserve">As the </w:t>
      </w:r>
      <w:r w:rsidR="007C3EDA">
        <w:t>EDF has its own Women’s Committee</w:t>
      </w:r>
      <w:r w:rsidR="00144A80">
        <w:t>, the action areas set out in this d</w:t>
      </w:r>
      <w:r>
        <w:t>ocument</w:t>
      </w:r>
      <w:r w:rsidR="00144A80">
        <w:t xml:space="preserve"> </w:t>
      </w:r>
      <w:r>
        <w:t>constitute the action or work plan f</w:t>
      </w:r>
      <w:r w:rsidR="00BD1E7C">
        <w:t>or</w:t>
      </w:r>
      <w:r>
        <w:t xml:space="preserve"> the Women’s Committee</w:t>
      </w:r>
      <w:r w:rsidR="00BD1E7C">
        <w:t>, to be implemented with support from the EDF Secretariat.</w:t>
      </w:r>
    </w:p>
    <w:p w14:paraId="778ECBCC" w14:textId="77777777" w:rsidR="00EC5971" w:rsidRPr="00BD1E7C" w:rsidRDefault="00EC5971" w:rsidP="00F33C4B">
      <w:pPr>
        <w:rPr>
          <w:b/>
          <w:color w:val="0070C0"/>
        </w:rPr>
      </w:pPr>
      <w:r w:rsidRPr="00BD1E7C">
        <w:rPr>
          <w:b/>
          <w:color w:val="0070C0"/>
        </w:rPr>
        <w:t>Contents</w:t>
      </w:r>
    </w:p>
    <w:p w14:paraId="308EC0D8" w14:textId="77777777" w:rsidR="00230BA8" w:rsidRDefault="00230BA8" w:rsidP="001F4A0A">
      <w:pPr>
        <w:jc w:val="both"/>
      </w:pPr>
      <w:r>
        <w:t>T</w:t>
      </w:r>
      <w:r w:rsidR="00EC5971">
        <w:t>he following action areas in the field of women and girls with disabilities are</w:t>
      </w:r>
      <w:r w:rsidR="00BD1E7C">
        <w:t xml:space="preserve"> addressed in this work plan: </w:t>
      </w:r>
    </w:p>
    <w:p w14:paraId="1B1EBEDB" w14:textId="2A27C305" w:rsidR="00230BA8" w:rsidRPr="00D733C7" w:rsidRDefault="00D733C7" w:rsidP="00981F3B">
      <w:pPr>
        <w:pStyle w:val="ListParagraph"/>
        <w:numPr>
          <w:ilvl w:val="0"/>
          <w:numId w:val="10"/>
        </w:numPr>
        <w:jc w:val="both"/>
        <w:rPr>
          <w:bCs/>
        </w:rPr>
      </w:pPr>
      <w:r w:rsidRPr="00D733C7">
        <w:rPr>
          <w:bCs/>
        </w:rPr>
        <w:t xml:space="preserve">Mainstreaming the perspective of women and girls with disabilities in EU policies and EDF’s work  </w:t>
      </w:r>
    </w:p>
    <w:p w14:paraId="292177DE" w14:textId="4AD7A8D3" w:rsidR="00230BA8" w:rsidRDefault="00225FDA" w:rsidP="00981F3B">
      <w:pPr>
        <w:pStyle w:val="ListParagraph"/>
        <w:numPr>
          <w:ilvl w:val="0"/>
          <w:numId w:val="10"/>
        </w:numPr>
        <w:jc w:val="both"/>
      </w:pPr>
      <w:r>
        <w:t>C</w:t>
      </w:r>
      <w:r w:rsidR="008C0E21" w:rsidRPr="008C0E21">
        <w:t>ombating violence against women and domestic violence</w:t>
      </w:r>
    </w:p>
    <w:p w14:paraId="77E58605" w14:textId="2018C1F1" w:rsidR="00230BA8" w:rsidRDefault="00225FDA" w:rsidP="00981F3B">
      <w:pPr>
        <w:pStyle w:val="ListParagraph"/>
        <w:numPr>
          <w:ilvl w:val="0"/>
          <w:numId w:val="10"/>
        </w:numPr>
        <w:jc w:val="both"/>
      </w:pPr>
      <w:r>
        <w:t>Human r</w:t>
      </w:r>
      <w:r w:rsidR="00BD1E7C">
        <w:t>ights of women and girls with disabilities</w:t>
      </w:r>
    </w:p>
    <w:p w14:paraId="4751CFAC" w14:textId="78BD5E6D" w:rsidR="005740C6" w:rsidRDefault="00230BA8" w:rsidP="00981F3B">
      <w:pPr>
        <w:pStyle w:val="ListParagraph"/>
        <w:numPr>
          <w:ilvl w:val="0"/>
          <w:numId w:val="10"/>
        </w:numPr>
        <w:jc w:val="both"/>
      </w:pPr>
      <w:r>
        <w:t>S</w:t>
      </w:r>
      <w:r w:rsidR="00BD1E7C">
        <w:t>tatements, position papers and other documents to be prepared by the Women’s Committee</w:t>
      </w:r>
    </w:p>
    <w:p w14:paraId="418E2A33" w14:textId="13DC634D" w:rsidR="00230BA8" w:rsidRDefault="00230BA8" w:rsidP="00981F3B">
      <w:pPr>
        <w:pStyle w:val="ListParagraph"/>
        <w:numPr>
          <w:ilvl w:val="0"/>
          <w:numId w:val="10"/>
        </w:numPr>
        <w:jc w:val="both"/>
      </w:pPr>
      <w:r>
        <w:t>M</w:t>
      </w:r>
      <w:r w:rsidR="00565633" w:rsidRPr="00565633">
        <w:t>onitoring international human rights treaties in Europe</w:t>
      </w:r>
    </w:p>
    <w:p w14:paraId="08DA4370" w14:textId="28E5DB97" w:rsidR="005740C6" w:rsidRDefault="005740C6" w:rsidP="00981F3B">
      <w:pPr>
        <w:pStyle w:val="ListParagraph"/>
        <w:numPr>
          <w:ilvl w:val="0"/>
          <w:numId w:val="10"/>
        </w:numPr>
        <w:jc w:val="both"/>
      </w:pPr>
      <w:r>
        <w:t xml:space="preserve">Networking </w:t>
      </w:r>
    </w:p>
    <w:p w14:paraId="37F12005" w14:textId="77777777" w:rsidR="00230BA8" w:rsidRDefault="00230BA8" w:rsidP="00981F3B">
      <w:pPr>
        <w:pStyle w:val="ListParagraph"/>
        <w:numPr>
          <w:ilvl w:val="0"/>
          <w:numId w:val="10"/>
        </w:numPr>
        <w:jc w:val="both"/>
      </w:pPr>
      <w:r>
        <w:t>E</w:t>
      </w:r>
      <w:r w:rsidR="001F4A0A">
        <w:t xml:space="preserve">xternal </w:t>
      </w:r>
      <w:r w:rsidR="00BD1E7C">
        <w:t>representation</w:t>
      </w:r>
    </w:p>
    <w:p w14:paraId="3C2D4CF7" w14:textId="458DAA64" w:rsidR="007C3EDA" w:rsidRDefault="00230BA8" w:rsidP="00981F3B">
      <w:pPr>
        <w:pStyle w:val="ListParagraph"/>
        <w:numPr>
          <w:ilvl w:val="0"/>
          <w:numId w:val="10"/>
        </w:numPr>
        <w:jc w:val="both"/>
      </w:pPr>
      <w:r>
        <w:t>C</w:t>
      </w:r>
      <w:r w:rsidR="00BD1E7C">
        <w:t xml:space="preserve">ommunication </w:t>
      </w:r>
      <w:r w:rsidR="001F4A0A">
        <w:t>work</w:t>
      </w:r>
    </w:p>
    <w:p w14:paraId="493056E6" w14:textId="77777777" w:rsidR="00125D3F" w:rsidRDefault="00125D3F" w:rsidP="00F33C4B">
      <w:pPr>
        <w:rPr>
          <w:b/>
          <w:color w:val="0070C0"/>
        </w:rPr>
      </w:pPr>
    </w:p>
    <w:p w14:paraId="003D2DD2" w14:textId="46139061" w:rsidR="00BE1907" w:rsidRPr="00394D17" w:rsidRDefault="00394D17" w:rsidP="00F33C4B">
      <w:pPr>
        <w:rPr>
          <w:b/>
          <w:color w:val="0070C0"/>
        </w:rPr>
      </w:pPr>
      <w:r>
        <w:rPr>
          <w:b/>
          <w:color w:val="0070C0"/>
        </w:rPr>
        <w:lastRenderedPageBreak/>
        <w:t>The intersection of gender and disability in EDF’s work</w:t>
      </w:r>
    </w:p>
    <w:p w14:paraId="0EDCAADE" w14:textId="3CFC187C" w:rsidR="0009288A" w:rsidRDefault="007C3EDA" w:rsidP="0009288A">
      <w:pPr>
        <w:jc w:val="both"/>
        <w:rPr>
          <w:b/>
          <w:szCs w:val="24"/>
        </w:rPr>
      </w:pPr>
      <w:bookmarkStart w:id="0" w:name="_Hlk256882"/>
      <w:r>
        <w:rPr>
          <w:b/>
          <w:bCs/>
          <w:szCs w:val="24"/>
        </w:rPr>
        <w:t xml:space="preserve">Action area </w:t>
      </w:r>
      <w:r w:rsidR="00881A5F" w:rsidRPr="00881A5F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 </w:t>
      </w:r>
      <w:r w:rsidR="00D733C7">
        <w:rPr>
          <w:b/>
          <w:bCs/>
          <w:szCs w:val="24"/>
        </w:rPr>
        <w:t>–</w:t>
      </w:r>
      <w:r w:rsidR="0009288A" w:rsidRPr="007C3EDA">
        <w:rPr>
          <w:b/>
          <w:szCs w:val="24"/>
        </w:rPr>
        <w:t xml:space="preserve"> </w:t>
      </w:r>
      <w:bookmarkStart w:id="1" w:name="_Hlk117094954"/>
      <w:r w:rsidR="00010908" w:rsidRPr="00010908">
        <w:rPr>
          <w:b/>
          <w:szCs w:val="24"/>
        </w:rPr>
        <w:t>mainstream the perspective of women and girls with disabilities in EU policies and EDF’s work</w:t>
      </w:r>
      <w:bookmarkEnd w:id="1"/>
      <w:r w:rsidR="00010908" w:rsidRPr="00010908">
        <w:rPr>
          <w:b/>
          <w:szCs w:val="24"/>
        </w:rPr>
        <w:t xml:space="preserve">  </w:t>
      </w:r>
    </w:p>
    <w:p w14:paraId="4293B302" w14:textId="12170B0F" w:rsidR="0009288A" w:rsidRDefault="0009288A" w:rsidP="00BF2CE9">
      <w:pPr>
        <w:pStyle w:val="ListParagraph"/>
        <w:numPr>
          <w:ilvl w:val="0"/>
          <w:numId w:val="2"/>
        </w:numPr>
        <w:jc w:val="both"/>
        <w:rPr>
          <w:szCs w:val="24"/>
        </w:rPr>
      </w:pPr>
      <w:bookmarkStart w:id="2" w:name="_Hlk260529"/>
      <w:bookmarkEnd w:id="0"/>
      <w:r w:rsidRPr="007C3EDA">
        <w:rPr>
          <w:szCs w:val="24"/>
        </w:rPr>
        <w:t>Ensur</w:t>
      </w:r>
      <w:r w:rsidR="00A204A9">
        <w:rPr>
          <w:szCs w:val="24"/>
        </w:rPr>
        <w:t>e</w:t>
      </w:r>
      <w:r w:rsidRPr="007C3EDA">
        <w:rPr>
          <w:szCs w:val="24"/>
        </w:rPr>
        <w:t xml:space="preserve"> the </w:t>
      </w:r>
      <w:r w:rsidR="00D733C7">
        <w:rPr>
          <w:szCs w:val="24"/>
        </w:rPr>
        <w:t>EU</w:t>
      </w:r>
      <w:r w:rsidRPr="007C3EDA">
        <w:rPr>
          <w:szCs w:val="24"/>
        </w:rPr>
        <w:t xml:space="preserve"> mainstreams </w:t>
      </w:r>
      <w:r w:rsidR="006C6415">
        <w:rPr>
          <w:szCs w:val="24"/>
        </w:rPr>
        <w:t xml:space="preserve">the </w:t>
      </w:r>
      <w:r w:rsidR="00394D17">
        <w:rPr>
          <w:szCs w:val="24"/>
        </w:rPr>
        <w:t xml:space="preserve">perspective of </w:t>
      </w:r>
      <w:r w:rsidRPr="007C3EDA">
        <w:rPr>
          <w:szCs w:val="24"/>
        </w:rPr>
        <w:t>women and girls with disabilities</w:t>
      </w:r>
      <w:r w:rsidR="00394D17">
        <w:rPr>
          <w:szCs w:val="24"/>
        </w:rPr>
        <w:t xml:space="preserve"> </w:t>
      </w:r>
      <w:bookmarkStart w:id="3" w:name="_Hlk262400"/>
      <w:r w:rsidR="00394D17">
        <w:rPr>
          <w:szCs w:val="24"/>
        </w:rPr>
        <w:t>and mothers of persons with disabilities</w:t>
      </w:r>
      <w:r w:rsidRPr="007C3EDA">
        <w:rPr>
          <w:szCs w:val="24"/>
        </w:rPr>
        <w:t xml:space="preserve"> </w:t>
      </w:r>
      <w:bookmarkEnd w:id="3"/>
      <w:r w:rsidRPr="007C3EDA">
        <w:rPr>
          <w:szCs w:val="24"/>
        </w:rPr>
        <w:t xml:space="preserve">in </w:t>
      </w:r>
      <w:r w:rsidR="0030435F">
        <w:rPr>
          <w:szCs w:val="24"/>
        </w:rPr>
        <w:t xml:space="preserve">activities </w:t>
      </w:r>
      <w:r w:rsidR="00D733C7">
        <w:rPr>
          <w:szCs w:val="24"/>
        </w:rPr>
        <w:t>relevant to them, including the EU Strategy on the Rights of Persons with Disabilities, the Gender Equality Strategy, and other relevant initiatives</w:t>
      </w:r>
    </w:p>
    <w:p w14:paraId="37471B95" w14:textId="765194C8" w:rsidR="00B81A40" w:rsidRDefault="0032647F" w:rsidP="00BF2CE9">
      <w:pPr>
        <w:pStyle w:val="ListParagraph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Advocate for the development of</w:t>
      </w:r>
      <w:r w:rsidR="00B81A40" w:rsidRPr="00B81A40">
        <w:rPr>
          <w:szCs w:val="24"/>
        </w:rPr>
        <w:t xml:space="preserve"> </w:t>
      </w:r>
      <w:r w:rsidR="00486ADA">
        <w:rPr>
          <w:szCs w:val="24"/>
        </w:rPr>
        <w:t>targeted</w:t>
      </w:r>
      <w:r w:rsidR="00573A55">
        <w:rPr>
          <w:szCs w:val="24"/>
        </w:rPr>
        <w:t xml:space="preserve"> measures</w:t>
      </w:r>
      <w:r w:rsidR="00486ADA">
        <w:rPr>
          <w:szCs w:val="24"/>
        </w:rPr>
        <w:t xml:space="preserve"> and </w:t>
      </w:r>
      <w:r w:rsidR="00B81A40" w:rsidRPr="00B81A40">
        <w:rPr>
          <w:szCs w:val="24"/>
        </w:rPr>
        <w:t>affirmative actions to advance the rights of women and girls with disabilities</w:t>
      </w:r>
      <w:r w:rsidR="00E90858">
        <w:rPr>
          <w:szCs w:val="24"/>
        </w:rPr>
        <w:t xml:space="preserve">, including </w:t>
      </w:r>
      <w:r w:rsidR="00C20E58">
        <w:rPr>
          <w:szCs w:val="24"/>
        </w:rPr>
        <w:t xml:space="preserve">in the area of social policy </w:t>
      </w:r>
    </w:p>
    <w:bookmarkEnd w:id="2"/>
    <w:p w14:paraId="429BDA89" w14:textId="3250D795" w:rsidR="009777E6" w:rsidRDefault="009777E6" w:rsidP="00BF2CE9">
      <w:pPr>
        <w:pStyle w:val="ListParagraph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Work jointly with the European Women’s Lobby</w:t>
      </w:r>
      <w:r w:rsidR="00DC1CD5">
        <w:rPr>
          <w:szCs w:val="24"/>
        </w:rPr>
        <w:t>, and other relevant organisations,</w:t>
      </w:r>
      <w:r>
        <w:rPr>
          <w:szCs w:val="24"/>
        </w:rPr>
        <w:t xml:space="preserve"> on legislative and policy initiatives </w:t>
      </w:r>
      <w:r w:rsidR="00DC1CD5">
        <w:rPr>
          <w:szCs w:val="24"/>
        </w:rPr>
        <w:t>important for</w:t>
      </w:r>
      <w:r w:rsidR="008443AF">
        <w:rPr>
          <w:szCs w:val="24"/>
        </w:rPr>
        <w:t xml:space="preserve"> women and girls with disabilities </w:t>
      </w:r>
      <w:r w:rsidR="00CF522B">
        <w:rPr>
          <w:szCs w:val="24"/>
        </w:rPr>
        <w:t>and women caring for persons with disabilities</w:t>
      </w:r>
    </w:p>
    <w:p w14:paraId="626B2AD8" w14:textId="0C2161D9" w:rsidR="00573A55" w:rsidRPr="00573A55" w:rsidRDefault="00573A55" w:rsidP="00573A55">
      <w:pPr>
        <w:pStyle w:val="ListParagraph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Update EDF’s gender mainstreaming tool developed in 2015 and raise awareness about it among EDF’s members </w:t>
      </w:r>
    </w:p>
    <w:p w14:paraId="3966E6B3" w14:textId="3403F27F" w:rsidR="00125D3F" w:rsidRDefault="008C0E21" w:rsidP="0088620F">
      <w:pPr>
        <w:jc w:val="both"/>
        <w:rPr>
          <w:b/>
          <w:szCs w:val="24"/>
        </w:rPr>
      </w:pPr>
      <w:r w:rsidRPr="008C0E21">
        <w:rPr>
          <w:b/>
          <w:szCs w:val="24"/>
        </w:rPr>
        <w:t xml:space="preserve">Action area </w:t>
      </w:r>
      <w:r w:rsidR="00D733C7">
        <w:rPr>
          <w:b/>
          <w:szCs w:val="24"/>
        </w:rPr>
        <w:t>2</w:t>
      </w:r>
      <w:r w:rsidRPr="008C0E21">
        <w:rPr>
          <w:b/>
          <w:szCs w:val="24"/>
        </w:rPr>
        <w:t xml:space="preserve"> - </w:t>
      </w:r>
      <w:bookmarkStart w:id="4" w:name="_Hlk271188"/>
      <w:r w:rsidR="00125D3F">
        <w:rPr>
          <w:b/>
          <w:szCs w:val="24"/>
        </w:rPr>
        <w:t xml:space="preserve">combating violence against women and girls with disabilities </w:t>
      </w:r>
    </w:p>
    <w:bookmarkEnd w:id="4"/>
    <w:p w14:paraId="39C3BAAB" w14:textId="27ACF698" w:rsidR="00FA13CB" w:rsidRDefault="00FA13CB" w:rsidP="00BF2CE9">
      <w:pPr>
        <w:pStyle w:val="ListParagraph"/>
        <w:numPr>
          <w:ilvl w:val="0"/>
          <w:numId w:val="2"/>
        </w:numPr>
        <w:jc w:val="both"/>
      </w:pPr>
      <w:r>
        <w:t xml:space="preserve">Advocate for the full inclusion of women and girls with disabilities under the proposed Directive on combating violence against women and domestic violence, including the criminalisation of forced sterilisation </w:t>
      </w:r>
    </w:p>
    <w:p w14:paraId="098F10D5" w14:textId="6352BA22" w:rsidR="00826096" w:rsidRDefault="00826096" w:rsidP="00BF2CE9">
      <w:pPr>
        <w:pStyle w:val="ListParagraph"/>
        <w:numPr>
          <w:ilvl w:val="0"/>
          <w:numId w:val="2"/>
        </w:numPr>
        <w:jc w:val="both"/>
      </w:pPr>
      <w:r>
        <w:t>Continue to advocate for the accession and implementation of</w:t>
      </w:r>
      <w:r w:rsidR="00646582">
        <w:t xml:space="preserve"> </w:t>
      </w:r>
      <w:r w:rsidR="00090A90">
        <w:t xml:space="preserve">the </w:t>
      </w:r>
      <w:r w:rsidR="00125D3F" w:rsidRPr="00125D3F">
        <w:t>Council of Europe Convention on preventing and combating violence against women and domestic violence (Istanbul Convention)</w:t>
      </w:r>
      <w:r>
        <w:t xml:space="preserve"> by </w:t>
      </w:r>
      <w:r w:rsidR="00451E16">
        <w:t>the E</w:t>
      </w:r>
      <w:r w:rsidR="00EC598A">
        <w:t>uropean Union</w:t>
      </w:r>
      <w:r w:rsidR="00451E16">
        <w:t xml:space="preserve"> and all</w:t>
      </w:r>
      <w:r>
        <w:t xml:space="preserve"> its Member States </w:t>
      </w:r>
    </w:p>
    <w:p w14:paraId="0E0D0CB6" w14:textId="15A1086E" w:rsidR="007C3EDA" w:rsidRDefault="007C3EDA" w:rsidP="0088620F">
      <w:pPr>
        <w:jc w:val="both"/>
        <w:rPr>
          <w:b/>
        </w:rPr>
      </w:pPr>
      <w:r>
        <w:rPr>
          <w:b/>
        </w:rPr>
        <w:t xml:space="preserve">Action area </w:t>
      </w:r>
      <w:r w:rsidR="00D733C7">
        <w:rPr>
          <w:b/>
        </w:rPr>
        <w:t>3</w:t>
      </w:r>
      <w:r>
        <w:rPr>
          <w:b/>
        </w:rPr>
        <w:t xml:space="preserve"> - </w:t>
      </w:r>
      <w:r w:rsidR="00125D3F">
        <w:rPr>
          <w:b/>
        </w:rPr>
        <w:t xml:space="preserve">advancing the human </w:t>
      </w:r>
      <w:r w:rsidR="00BD1E7C">
        <w:rPr>
          <w:b/>
        </w:rPr>
        <w:t>r</w:t>
      </w:r>
      <w:r>
        <w:rPr>
          <w:b/>
        </w:rPr>
        <w:t>ights of women and girls with disabilities</w:t>
      </w:r>
    </w:p>
    <w:p w14:paraId="0ED900EB" w14:textId="5679BF29" w:rsidR="00C03216" w:rsidRDefault="00C03216" w:rsidP="00BF2CE9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Lead </w:t>
      </w:r>
      <w:r w:rsidR="00451E16">
        <w:rPr>
          <w:szCs w:val="24"/>
        </w:rPr>
        <w:t>a</w:t>
      </w:r>
      <w:r>
        <w:rPr>
          <w:szCs w:val="24"/>
        </w:rPr>
        <w:t xml:space="preserve"> European campaign on ending forced sterilisation, with the objective to criminalise forced sterilisation </w:t>
      </w:r>
      <w:r w:rsidR="00451E16">
        <w:rPr>
          <w:szCs w:val="24"/>
        </w:rPr>
        <w:t>in all EU countries</w:t>
      </w:r>
    </w:p>
    <w:p w14:paraId="25AD4A0E" w14:textId="394E6081" w:rsidR="00090A90" w:rsidRPr="00090A90" w:rsidRDefault="00090A90" w:rsidP="00BF2CE9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090A90">
        <w:rPr>
          <w:szCs w:val="24"/>
        </w:rPr>
        <w:t xml:space="preserve">Ensure the sexual and reproductive health and rights of women and girls with disabilities in </w:t>
      </w:r>
      <w:r w:rsidR="00201C81">
        <w:rPr>
          <w:szCs w:val="24"/>
        </w:rPr>
        <w:t>EU</w:t>
      </w:r>
      <w:r w:rsidRPr="00090A90">
        <w:rPr>
          <w:szCs w:val="24"/>
        </w:rPr>
        <w:t xml:space="preserve"> health-related initiatives</w:t>
      </w:r>
    </w:p>
    <w:p w14:paraId="03FECDD0" w14:textId="52252918" w:rsidR="00B81A40" w:rsidRDefault="00B81A40" w:rsidP="00BF2CE9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E</w:t>
      </w:r>
      <w:r w:rsidR="00820DB3" w:rsidRPr="00820DB3">
        <w:rPr>
          <w:szCs w:val="24"/>
        </w:rPr>
        <w:t>nsure the European Union funds</w:t>
      </w:r>
      <w:r>
        <w:rPr>
          <w:szCs w:val="24"/>
        </w:rPr>
        <w:t xml:space="preserve"> </w:t>
      </w:r>
      <w:r w:rsidRPr="00B81A40">
        <w:rPr>
          <w:szCs w:val="24"/>
        </w:rPr>
        <w:t>research</w:t>
      </w:r>
      <w:r>
        <w:rPr>
          <w:szCs w:val="24"/>
        </w:rPr>
        <w:t xml:space="preserve"> and studies</w:t>
      </w:r>
      <w:r w:rsidRPr="00B81A40">
        <w:rPr>
          <w:szCs w:val="24"/>
        </w:rPr>
        <w:t xml:space="preserve"> on</w:t>
      </w:r>
      <w:r>
        <w:rPr>
          <w:szCs w:val="24"/>
        </w:rPr>
        <w:t xml:space="preserve"> the human rights of</w:t>
      </w:r>
      <w:r w:rsidRPr="00B81A40">
        <w:rPr>
          <w:szCs w:val="24"/>
        </w:rPr>
        <w:t xml:space="preserve"> women and girls with disabilities</w:t>
      </w:r>
      <w:r>
        <w:rPr>
          <w:szCs w:val="24"/>
        </w:rPr>
        <w:t xml:space="preserve">, including </w:t>
      </w:r>
      <w:r w:rsidR="00820DB3" w:rsidRPr="00820DB3">
        <w:rPr>
          <w:szCs w:val="24"/>
        </w:rPr>
        <w:t>disaggregated data</w:t>
      </w:r>
    </w:p>
    <w:p w14:paraId="6285C8F7" w14:textId="77777777" w:rsidR="00B7274F" w:rsidRPr="00090A90" w:rsidRDefault="00B7274F" w:rsidP="00BF2CE9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Design awareness </w:t>
      </w:r>
      <w:r w:rsidR="004A38CB">
        <w:rPr>
          <w:szCs w:val="24"/>
        </w:rPr>
        <w:t>raising</w:t>
      </w:r>
      <w:r>
        <w:rPr>
          <w:szCs w:val="24"/>
        </w:rPr>
        <w:t xml:space="preserve"> tools and provide training </w:t>
      </w:r>
      <w:r w:rsidR="00DC4C58">
        <w:rPr>
          <w:szCs w:val="24"/>
        </w:rPr>
        <w:t xml:space="preserve">on </w:t>
      </w:r>
      <w:r>
        <w:rPr>
          <w:szCs w:val="24"/>
        </w:rPr>
        <w:t>the rights of women and girls with disabilities to relevant stakeholders</w:t>
      </w:r>
    </w:p>
    <w:p w14:paraId="417B9322" w14:textId="1F599D40" w:rsidR="007C3EDA" w:rsidRDefault="007C3EDA" w:rsidP="0088620F">
      <w:pPr>
        <w:jc w:val="both"/>
        <w:rPr>
          <w:b/>
        </w:rPr>
      </w:pPr>
      <w:r w:rsidRPr="00B411D6">
        <w:rPr>
          <w:b/>
        </w:rPr>
        <w:t xml:space="preserve">Action area </w:t>
      </w:r>
      <w:r w:rsidR="00D733C7">
        <w:rPr>
          <w:b/>
        </w:rPr>
        <w:t>4</w:t>
      </w:r>
      <w:r w:rsidRPr="00B411D6">
        <w:rPr>
          <w:b/>
        </w:rPr>
        <w:t xml:space="preserve"> </w:t>
      </w:r>
      <w:r w:rsidR="00B411D6">
        <w:rPr>
          <w:b/>
        </w:rPr>
        <w:t>–</w:t>
      </w:r>
      <w:r w:rsidRPr="00B411D6">
        <w:rPr>
          <w:b/>
        </w:rPr>
        <w:t xml:space="preserve"> </w:t>
      </w:r>
      <w:r w:rsidR="00B411D6">
        <w:rPr>
          <w:b/>
        </w:rPr>
        <w:t xml:space="preserve">Publish and share </w:t>
      </w:r>
      <w:r w:rsidRPr="00B411D6">
        <w:rPr>
          <w:b/>
        </w:rPr>
        <w:t>position papers, statements and other document</w:t>
      </w:r>
      <w:r w:rsidR="00090A90" w:rsidRPr="00B411D6">
        <w:rPr>
          <w:b/>
        </w:rPr>
        <w:t>s</w:t>
      </w:r>
      <w:r w:rsidR="00B411D6">
        <w:rPr>
          <w:b/>
        </w:rPr>
        <w:t xml:space="preserve"> prepared by EDF Women’s Committee </w:t>
      </w:r>
    </w:p>
    <w:p w14:paraId="3E2FF4E3" w14:textId="26D54CB2" w:rsidR="00295F50" w:rsidRDefault="00295F50" w:rsidP="00BF2CE9">
      <w:pPr>
        <w:pStyle w:val="ListParagraph"/>
        <w:numPr>
          <w:ilvl w:val="0"/>
          <w:numId w:val="3"/>
        </w:numPr>
        <w:jc w:val="both"/>
      </w:pPr>
      <w:r>
        <w:t>P</w:t>
      </w:r>
      <w:r w:rsidR="00CC0F72">
        <w:t>repare and publish th</w:t>
      </w:r>
      <w:r w:rsidR="00590D10">
        <w:t>e</w:t>
      </w:r>
      <w:r w:rsidR="00CC0F72">
        <w:t xml:space="preserve"> </w:t>
      </w:r>
      <w:bookmarkStart w:id="5" w:name="_Hlk117095283"/>
      <w:r w:rsidR="00CC0F72">
        <w:t>EDF</w:t>
      </w:r>
      <w:r w:rsidR="00590D10">
        <w:t xml:space="preserve"> Third</w:t>
      </w:r>
      <w:r w:rsidR="00CC0F72">
        <w:t xml:space="preserve"> Manifesto on women and girls with disabilities </w:t>
      </w:r>
      <w:bookmarkEnd w:id="5"/>
    </w:p>
    <w:p w14:paraId="5C10CC17" w14:textId="622671C9" w:rsidR="00CC0F72" w:rsidRDefault="00CC0F72" w:rsidP="00BF2CE9">
      <w:pPr>
        <w:pStyle w:val="ListParagraph"/>
        <w:numPr>
          <w:ilvl w:val="0"/>
          <w:numId w:val="3"/>
        </w:numPr>
        <w:jc w:val="both"/>
      </w:pPr>
      <w:r>
        <w:t>Prepare and publish position paper</w:t>
      </w:r>
      <w:r w:rsidR="008E5BAE">
        <w:t>s</w:t>
      </w:r>
      <w:r>
        <w:t xml:space="preserve"> and statements necessary to advocate for the rights of persons with disabilities in the European Union </w:t>
      </w:r>
    </w:p>
    <w:p w14:paraId="5063B373" w14:textId="119FE564" w:rsidR="00295F50" w:rsidRDefault="00295F50" w:rsidP="00BF2CE9">
      <w:pPr>
        <w:pStyle w:val="ListParagraph"/>
        <w:numPr>
          <w:ilvl w:val="0"/>
          <w:numId w:val="3"/>
        </w:numPr>
        <w:jc w:val="both"/>
      </w:pPr>
      <w:r>
        <w:lastRenderedPageBreak/>
        <w:t xml:space="preserve">Continue to share EDF reports and position papers, such as the report on ‘Ending forced sterilisations of persons with disabilities in the EU’ and EDF position paper on </w:t>
      </w:r>
      <w:r w:rsidRPr="00295F50">
        <w:t>the sexual and reproductive health and rights of women and girls with disabilities</w:t>
      </w:r>
    </w:p>
    <w:p w14:paraId="23E25EC2" w14:textId="2D9F146C" w:rsidR="00565633" w:rsidRPr="00565633" w:rsidRDefault="00565633" w:rsidP="0088620F">
      <w:pPr>
        <w:jc w:val="both"/>
        <w:rPr>
          <w:b/>
        </w:rPr>
      </w:pPr>
      <w:r w:rsidRPr="00565633">
        <w:rPr>
          <w:b/>
        </w:rPr>
        <w:t xml:space="preserve">Action area </w:t>
      </w:r>
      <w:r w:rsidR="00D733C7">
        <w:rPr>
          <w:b/>
        </w:rPr>
        <w:t>5</w:t>
      </w:r>
      <w:r w:rsidRPr="00565633">
        <w:rPr>
          <w:b/>
        </w:rPr>
        <w:t xml:space="preserve"> - </w:t>
      </w:r>
      <w:r w:rsidR="00B07A67">
        <w:rPr>
          <w:b/>
        </w:rPr>
        <w:t>M</w:t>
      </w:r>
      <w:r w:rsidR="00825275">
        <w:rPr>
          <w:b/>
        </w:rPr>
        <w:t>onitor</w:t>
      </w:r>
      <w:r w:rsidR="00CA24C7">
        <w:rPr>
          <w:b/>
        </w:rPr>
        <w:t xml:space="preserve"> </w:t>
      </w:r>
      <w:r w:rsidRPr="00565633">
        <w:rPr>
          <w:b/>
        </w:rPr>
        <w:t>international human rights treaties</w:t>
      </w:r>
      <w:r w:rsidR="00CA24C7">
        <w:rPr>
          <w:b/>
        </w:rPr>
        <w:t xml:space="preserve"> </w:t>
      </w:r>
      <w:r w:rsidR="00CA24C7" w:rsidRPr="00CA24C7">
        <w:rPr>
          <w:b/>
        </w:rPr>
        <w:t xml:space="preserve">relevant </w:t>
      </w:r>
      <w:r w:rsidR="00CA24C7">
        <w:rPr>
          <w:b/>
        </w:rPr>
        <w:t xml:space="preserve">to </w:t>
      </w:r>
      <w:r w:rsidR="00CA24C7" w:rsidRPr="00CA24C7">
        <w:rPr>
          <w:b/>
        </w:rPr>
        <w:t>women and girls with disabilities</w:t>
      </w:r>
      <w:r w:rsidR="00B07A67">
        <w:rPr>
          <w:b/>
        </w:rPr>
        <w:t xml:space="preserve"> and support EDF members to participate in the </w:t>
      </w:r>
      <w:r w:rsidR="00825275">
        <w:rPr>
          <w:b/>
        </w:rPr>
        <w:t xml:space="preserve">evaluation </w:t>
      </w:r>
      <w:r w:rsidR="00B07A67">
        <w:rPr>
          <w:b/>
        </w:rPr>
        <w:t>process, including</w:t>
      </w:r>
      <w:r w:rsidR="00825275">
        <w:rPr>
          <w:b/>
        </w:rPr>
        <w:t xml:space="preserve"> evaluation by</w:t>
      </w:r>
      <w:r w:rsidR="00B07A67">
        <w:rPr>
          <w:b/>
        </w:rPr>
        <w:t xml:space="preserve">:  </w:t>
      </w:r>
    </w:p>
    <w:p w14:paraId="3E5A031B" w14:textId="3379AF6F" w:rsidR="003B33F4" w:rsidRPr="004B218F" w:rsidRDefault="00565633" w:rsidP="00BF2CE9">
      <w:pPr>
        <w:pStyle w:val="ListParagraph"/>
        <w:numPr>
          <w:ilvl w:val="0"/>
          <w:numId w:val="4"/>
        </w:numPr>
        <w:ind w:left="709" w:hanging="283"/>
        <w:jc w:val="both"/>
      </w:pPr>
      <w:r w:rsidRPr="004B218F">
        <w:t xml:space="preserve">CRPD Committee </w:t>
      </w:r>
    </w:p>
    <w:p w14:paraId="1E35F95A" w14:textId="250BA5A9" w:rsidR="006647C6" w:rsidRDefault="003B33F4" w:rsidP="00BF2CE9">
      <w:pPr>
        <w:pStyle w:val="ListParagraph"/>
        <w:numPr>
          <w:ilvl w:val="0"/>
          <w:numId w:val="4"/>
        </w:numPr>
        <w:ind w:left="709" w:hanging="283"/>
        <w:jc w:val="both"/>
      </w:pPr>
      <w:r>
        <w:t xml:space="preserve">CEDAW Committee </w:t>
      </w:r>
    </w:p>
    <w:p w14:paraId="17ABC3AB" w14:textId="4ADEF938" w:rsidR="00565633" w:rsidRPr="002465E4" w:rsidRDefault="003F443E" w:rsidP="00BF2CE9">
      <w:pPr>
        <w:pStyle w:val="ListParagraph"/>
        <w:numPr>
          <w:ilvl w:val="0"/>
          <w:numId w:val="4"/>
        </w:numPr>
        <w:ind w:left="709" w:hanging="283"/>
        <w:jc w:val="both"/>
      </w:pPr>
      <w:r w:rsidRPr="002465E4">
        <w:t xml:space="preserve">Council of Europe </w:t>
      </w:r>
      <w:r w:rsidR="002465E4" w:rsidRPr="002465E4">
        <w:t>GREVIO</w:t>
      </w:r>
      <w:r w:rsidR="006647C6" w:rsidRPr="002465E4">
        <w:t xml:space="preserve"> </w:t>
      </w:r>
      <w:r w:rsidR="002465E4">
        <w:t>(</w:t>
      </w:r>
      <w:r w:rsidR="002465E4" w:rsidRPr="002465E4">
        <w:t xml:space="preserve">independent expert body responsible for monitoring the implementation of the </w:t>
      </w:r>
      <w:r w:rsidR="006647C6" w:rsidRPr="002465E4">
        <w:t>Istanbul Convention</w:t>
      </w:r>
      <w:r w:rsidR="002465E4">
        <w:t xml:space="preserve">) </w:t>
      </w:r>
    </w:p>
    <w:p w14:paraId="337E4606" w14:textId="6F32F666" w:rsidR="007C3EDA" w:rsidRDefault="007C3EDA" w:rsidP="0088620F">
      <w:pPr>
        <w:jc w:val="both"/>
        <w:rPr>
          <w:b/>
        </w:rPr>
      </w:pPr>
      <w:r>
        <w:rPr>
          <w:b/>
        </w:rPr>
        <w:t xml:space="preserve">Action area </w:t>
      </w:r>
      <w:r w:rsidR="00D733C7">
        <w:rPr>
          <w:b/>
        </w:rPr>
        <w:t>6</w:t>
      </w:r>
      <w:r>
        <w:rPr>
          <w:b/>
        </w:rPr>
        <w:t xml:space="preserve"> - </w:t>
      </w:r>
      <w:r w:rsidR="00682E68">
        <w:rPr>
          <w:b/>
        </w:rPr>
        <w:t>n</w:t>
      </w:r>
      <w:r>
        <w:rPr>
          <w:b/>
        </w:rPr>
        <w:t>etworking</w:t>
      </w:r>
    </w:p>
    <w:p w14:paraId="0E5111ED" w14:textId="56FB3CE0" w:rsidR="006647C6" w:rsidRPr="006647C6" w:rsidRDefault="006647C6" w:rsidP="00BF2CE9">
      <w:pPr>
        <w:pStyle w:val="ListParagraph"/>
        <w:numPr>
          <w:ilvl w:val="0"/>
          <w:numId w:val="5"/>
        </w:numPr>
        <w:jc w:val="both"/>
        <w:rPr>
          <w:b/>
        </w:rPr>
      </w:pPr>
      <w:r w:rsidRPr="006647C6">
        <w:t>Promote</w:t>
      </w:r>
      <w:r>
        <w:rPr>
          <w:b/>
        </w:rPr>
        <w:t xml:space="preserve"> </w:t>
      </w:r>
      <w:r w:rsidRPr="006647C6">
        <w:t>co-operation and</w:t>
      </w:r>
      <w:r>
        <w:rPr>
          <w:b/>
        </w:rPr>
        <w:t xml:space="preserve"> </w:t>
      </w:r>
      <w:r w:rsidRPr="006647C6">
        <w:t>sharing of best practises among national organisations of women with disabilities</w:t>
      </w:r>
      <w:r w:rsidR="00953D56">
        <w:t xml:space="preserve"> in Europe</w:t>
      </w:r>
    </w:p>
    <w:p w14:paraId="572957FC" w14:textId="690EAE67" w:rsidR="006647C6" w:rsidRPr="006647C6" w:rsidRDefault="006647C6" w:rsidP="00BF2CE9">
      <w:pPr>
        <w:pStyle w:val="ListParagraph"/>
        <w:numPr>
          <w:ilvl w:val="0"/>
          <w:numId w:val="5"/>
        </w:numPr>
        <w:jc w:val="both"/>
      </w:pPr>
      <w:r w:rsidRPr="006647C6">
        <w:t xml:space="preserve">Develop a joint </w:t>
      </w:r>
      <w:r w:rsidR="003F443E">
        <w:t xml:space="preserve">European </w:t>
      </w:r>
      <w:r w:rsidRPr="006647C6">
        <w:t>project</w:t>
      </w:r>
      <w:r w:rsidR="003F443E">
        <w:t xml:space="preserve"> with the engagement of national organisations of women with disabilities</w:t>
      </w:r>
    </w:p>
    <w:p w14:paraId="682142CC" w14:textId="1B427549" w:rsidR="007C3EDA" w:rsidRDefault="007C3EDA" w:rsidP="0088620F">
      <w:pPr>
        <w:jc w:val="both"/>
        <w:rPr>
          <w:b/>
        </w:rPr>
      </w:pPr>
      <w:r>
        <w:rPr>
          <w:b/>
        </w:rPr>
        <w:t xml:space="preserve">Action area </w:t>
      </w:r>
      <w:r w:rsidR="00D733C7">
        <w:rPr>
          <w:b/>
        </w:rPr>
        <w:t>7</w:t>
      </w:r>
      <w:r>
        <w:rPr>
          <w:b/>
        </w:rPr>
        <w:t xml:space="preserve"> - </w:t>
      </w:r>
      <w:r w:rsidR="001F4A0A">
        <w:rPr>
          <w:b/>
        </w:rPr>
        <w:t>external r</w:t>
      </w:r>
      <w:r>
        <w:rPr>
          <w:b/>
        </w:rPr>
        <w:t>epresentation</w:t>
      </w:r>
    </w:p>
    <w:p w14:paraId="5F0C8DA9" w14:textId="47261F57" w:rsidR="00953D56" w:rsidRDefault="00953D56" w:rsidP="00BF2CE9">
      <w:pPr>
        <w:pStyle w:val="ListParagraph"/>
        <w:numPr>
          <w:ilvl w:val="0"/>
          <w:numId w:val="6"/>
        </w:numPr>
        <w:jc w:val="both"/>
      </w:pPr>
      <w:r>
        <w:t>Provide support to play an active role in European Women’s Lobby governing bodies and working groups (EDF is a member of EWL)</w:t>
      </w:r>
    </w:p>
    <w:p w14:paraId="664FC993" w14:textId="4218A95D" w:rsidR="00AC4936" w:rsidRDefault="00AC4936" w:rsidP="00BF2CE9">
      <w:pPr>
        <w:pStyle w:val="ListParagraph"/>
        <w:numPr>
          <w:ilvl w:val="0"/>
          <w:numId w:val="6"/>
        </w:numPr>
        <w:jc w:val="both"/>
      </w:pPr>
      <w:r>
        <w:t xml:space="preserve">Explore other external representation of the women’s committee in activities organised by the women’s movement </w:t>
      </w:r>
    </w:p>
    <w:p w14:paraId="7A40F928" w14:textId="3B9D8D5D" w:rsidR="00AC4936" w:rsidRPr="00AC4936" w:rsidRDefault="007C3EDA" w:rsidP="00AC4936">
      <w:pPr>
        <w:jc w:val="both"/>
        <w:rPr>
          <w:b/>
        </w:rPr>
      </w:pPr>
      <w:r>
        <w:rPr>
          <w:b/>
        </w:rPr>
        <w:t xml:space="preserve">Action area </w:t>
      </w:r>
      <w:r w:rsidR="00D733C7">
        <w:rPr>
          <w:b/>
        </w:rPr>
        <w:t>8</w:t>
      </w:r>
      <w:r>
        <w:rPr>
          <w:b/>
        </w:rPr>
        <w:t xml:space="preserve"> - </w:t>
      </w:r>
      <w:r w:rsidR="00682E68">
        <w:rPr>
          <w:b/>
        </w:rPr>
        <w:t>c</w:t>
      </w:r>
      <w:r>
        <w:rPr>
          <w:b/>
        </w:rPr>
        <w:t>ommunication</w:t>
      </w:r>
    </w:p>
    <w:p w14:paraId="7E12ED37" w14:textId="4DA92DE3" w:rsidR="00D47BBF" w:rsidRDefault="00D47BBF" w:rsidP="00D47BBF">
      <w:pPr>
        <w:pStyle w:val="ListParagraph"/>
        <w:numPr>
          <w:ilvl w:val="0"/>
          <w:numId w:val="7"/>
        </w:numPr>
        <w:jc w:val="both"/>
      </w:pPr>
      <w:r>
        <w:t xml:space="preserve">Publish and advertise EDF Women’s Voice newsletter </w:t>
      </w:r>
    </w:p>
    <w:p w14:paraId="20581CE4" w14:textId="2CFCECBE" w:rsidR="000C18DC" w:rsidRDefault="00AC4936" w:rsidP="00BF2CE9">
      <w:pPr>
        <w:pStyle w:val="ListParagraph"/>
        <w:numPr>
          <w:ilvl w:val="0"/>
          <w:numId w:val="7"/>
        </w:numPr>
        <w:jc w:val="both"/>
      </w:pPr>
      <w:r>
        <w:t xml:space="preserve">Regularly update the pages on </w:t>
      </w:r>
      <w:r w:rsidR="000C18DC">
        <w:t xml:space="preserve">gender equality </w:t>
      </w:r>
      <w:r>
        <w:t>and women’s rights o</w:t>
      </w:r>
      <w:r w:rsidR="000C18DC">
        <w:t>n the EDF web site with further information on women and girls with disabilities</w:t>
      </w:r>
    </w:p>
    <w:p w14:paraId="765F8F1D" w14:textId="29FE6EAA" w:rsidR="000C18DC" w:rsidRPr="000C18DC" w:rsidRDefault="00E44E32" w:rsidP="00E44E32">
      <w:pPr>
        <w:pStyle w:val="ListParagraph"/>
        <w:numPr>
          <w:ilvl w:val="0"/>
          <w:numId w:val="7"/>
        </w:numPr>
        <w:jc w:val="both"/>
      </w:pPr>
      <w:r>
        <w:t xml:space="preserve">Publish communication for </w:t>
      </w:r>
      <w:r w:rsidR="00A8720A">
        <w:t xml:space="preserve">key dates, including the </w:t>
      </w:r>
      <w:r w:rsidR="00A8720A" w:rsidRPr="00A8720A">
        <w:t>International Women's Day</w:t>
      </w:r>
      <w:r w:rsidR="00A8720A">
        <w:t xml:space="preserve"> (March 8th), </w:t>
      </w:r>
      <w:r w:rsidR="00A8720A" w:rsidRPr="00A8720A">
        <w:t>International Day of the Girl Child</w:t>
      </w:r>
      <w:r w:rsidR="00A8720A">
        <w:t xml:space="preserve"> (October 11th)</w:t>
      </w:r>
      <w:r>
        <w:t xml:space="preserve"> and the </w:t>
      </w:r>
      <w:r w:rsidR="00A8720A" w:rsidRPr="00A8720A">
        <w:t>International Day for the Elimination of Violence against Women</w:t>
      </w:r>
      <w:r w:rsidR="00A8720A">
        <w:t xml:space="preserve"> (November 25th)</w:t>
      </w:r>
    </w:p>
    <w:p w14:paraId="55F7783A" w14:textId="65CF32A3" w:rsidR="00481F1B" w:rsidRPr="00610D21" w:rsidRDefault="00481F1B" w:rsidP="00BD30DF">
      <w:pPr>
        <w:pStyle w:val="Heading1"/>
      </w:pPr>
      <w:r>
        <w:t xml:space="preserve"> </w:t>
      </w:r>
    </w:p>
    <w:p w14:paraId="45FBBFD1" w14:textId="2AD84B5E" w:rsidR="0009288A" w:rsidRPr="00AA21FE" w:rsidRDefault="0009288A" w:rsidP="00E973F6">
      <w:pPr>
        <w:jc w:val="both"/>
        <w:rPr>
          <w:szCs w:val="24"/>
        </w:rPr>
      </w:pPr>
    </w:p>
    <w:sectPr w:rsidR="0009288A" w:rsidRPr="00AA21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464F" w14:textId="77777777" w:rsidR="00DD44C2" w:rsidRDefault="00DD44C2" w:rsidP="00F86167">
      <w:pPr>
        <w:spacing w:after="0" w:line="240" w:lineRule="auto"/>
      </w:pPr>
      <w:r>
        <w:separator/>
      </w:r>
    </w:p>
  </w:endnote>
  <w:endnote w:type="continuationSeparator" w:id="0">
    <w:p w14:paraId="29116085" w14:textId="77777777" w:rsidR="00DD44C2" w:rsidRDefault="00DD44C2" w:rsidP="00F8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5D9A" w14:textId="77777777" w:rsidR="00AD48E5" w:rsidRDefault="00AD48E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6E4D">
      <w:rPr>
        <w:noProof/>
      </w:rPr>
      <w:t>6</w:t>
    </w:r>
    <w:r>
      <w:rPr>
        <w:noProof/>
      </w:rPr>
      <w:fldChar w:fldCharType="end"/>
    </w:r>
  </w:p>
  <w:p w14:paraId="300C99A3" w14:textId="77777777" w:rsidR="000D77E3" w:rsidRDefault="000D7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A82B3" w14:textId="77777777" w:rsidR="00DD44C2" w:rsidRDefault="00DD44C2" w:rsidP="00F86167">
      <w:pPr>
        <w:spacing w:after="0" w:line="240" w:lineRule="auto"/>
      </w:pPr>
      <w:r>
        <w:separator/>
      </w:r>
    </w:p>
  </w:footnote>
  <w:footnote w:type="continuationSeparator" w:id="0">
    <w:p w14:paraId="60E8C05E" w14:textId="77777777" w:rsidR="00DD44C2" w:rsidRDefault="00DD44C2" w:rsidP="00F86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683E" w14:textId="77777777" w:rsidR="00F86167" w:rsidRDefault="00853F38" w:rsidP="005222BC">
    <w:pPr>
      <w:pStyle w:val="Header"/>
      <w:tabs>
        <w:tab w:val="clear" w:pos="4513"/>
        <w:tab w:val="clear" w:pos="9026"/>
        <w:tab w:val="left" w:pos="3705"/>
      </w:tabs>
    </w:pPr>
    <w:r w:rsidRPr="00057DB8">
      <w:rPr>
        <w:noProof/>
        <w:lang w:val="fr-BE" w:eastAsia="fr-BE" w:bidi="ar-SA"/>
      </w:rPr>
      <w:drawing>
        <wp:anchor distT="0" distB="0" distL="114300" distR="114300" simplePos="0" relativeHeight="251660288" behindDoc="0" locked="0" layoutInCell="1" allowOverlap="1" wp14:anchorId="45EEF6A6" wp14:editId="7B792541">
          <wp:simplePos x="0" y="0"/>
          <wp:positionH relativeFrom="margin">
            <wp:posOffset>4191000</wp:posOffset>
          </wp:positionH>
          <wp:positionV relativeFrom="margin">
            <wp:posOffset>-863014</wp:posOffset>
          </wp:positionV>
          <wp:extent cx="1579880" cy="857250"/>
          <wp:effectExtent l="0" t="0" r="1270" b="0"/>
          <wp:wrapSquare wrapText="bothSides"/>
          <wp:docPr id="2" name="Picture 2" descr="Image result for european union funded 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european union funded b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859">
      <w:rPr>
        <w:noProof/>
        <w:lang w:val="fr-BE" w:eastAsia="fr-BE" w:bidi="ar-SA"/>
      </w:rPr>
      <w:drawing>
        <wp:anchor distT="0" distB="0" distL="114300" distR="114300" simplePos="0" relativeHeight="251658240" behindDoc="0" locked="0" layoutInCell="1" allowOverlap="1" wp14:anchorId="71971E7B" wp14:editId="4D7935DD">
          <wp:simplePos x="0" y="0"/>
          <wp:positionH relativeFrom="margin">
            <wp:posOffset>440055</wp:posOffset>
          </wp:positionH>
          <wp:positionV relativeFrom="paragraph">
            <wp:posOffset>-301088</wp:posOffset>
          </wp:positionV>
          <wp:extent cx="1294765" cy="946138"/>
          <wp:effectExtent l="0" t="0" r="635" b="6985"/>
          <wp:wrapNone/>
          <wp:docPr id="1" name="Picture 1" descr="LOGO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946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2BC">
      <w:tab/>
    </w:r>
  </w:p>
  <w:p w14:paraId="0A6AD1D7" w14:textId="77777777" w:rsidR="00FF3AC6" w:rsidRDefault="00FF3A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27D2D"/>
    <w:multiLevelType w:val="hybridMultilevel"/>
    <w:tmpl w:val="4E72F638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7635CFC"/>
    <w:multiLevelType w:val="hybridMultilevel"/>
    <w:tmpl w:val="0F769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E5210"/>
    <w:multiLevelType w:val="hybridMultilevel"/>
    <w:tmpl w:val="076888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72953"/>
    <w:multiLevelType w:val="hybridMultilevel"/>
    <w:tmpl w:val="DDDA8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B0945"/>
    <w:multiLevelType w:val="hybridMultilevel"/>
    <w:tmpl w:val="791A7B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EC1DBA"/>
    <w:multiLevelType w:val="hybridMultilevel"/>
    <w:tmpl w:val="AB7E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94C84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E4665"/>
    <w:multiLevelType w:val="hybridMultilevel"/>
    <w:tmpl w:val="8C947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31766"/>
    <w:multiLevelType w:val="hybridMultilevel"/>
    <w:tmpl w:val="7B1424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84AF1"/>
    <w:multiLevelType w:val="hybridMultilevel"/>
    <w:tmpl w:val="9DD47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E3FF9"/>
    <w:multiLevelType w:val="hybridMultilevel"/>
    <w:tmpl w:val="3A785D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09543">
    <w:abstractNumId w:val="5"/>
  </w:num>
  <w:num w:numId="2" w16cid:durableId="1591767283">
    <w:abstractNumId w:val="0"/>
  </w:num>
  <w:num w:numId="3" w16cid:durableId="127818546">
    <w:abstractNumId w:val="3"/>
  </w:num>
  <w:num w:numId="4" w16cid:durableId="1285041292">
    <w:abstractNumId w:val="4"/>
  </w:num>
  <w:num w:numId="5" w16cid:durableId="7101606">
    <w:abstractNumId w:val="6"/>
  </w:num>
  <w:num w:numId="6" w16cid:durableId="1411855599">
    <w:abstractNumId w:val="8"/>
  </w:num>
  <w:num w:numId="7" w16cid:durableId="1208880542">
    <w:abstractNumId w:val="1"/>
  </w:num>
  <w:num w:numId="8" w16cid:durableId="1162552066">
    <w:abstractNumId w:val="7"/>
  </w:num>
  <w:num w:numId="9" w16cid:durableId="142284865">
    <w:abstractNumId w:val="2"/>
  </w:num>
  <w:num w:numId="10" w16cid:durableId="3081406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DB"/>
    <w:rsid w:val="0000739C"/>
    <w:rsid w:val="0000745B"/>
    <w:rsid w:val="00010209"/>
    <w:rsid w:val="00010908"/>
    <w:rsid w:val="00012112"/>
    <w:rsid w:val="0003516B"/>
    <w:rsid w:val="000410DE"/>
    <w:rsid w:val="00073BE5"/>
    <w:rsid w:val="00090A90"/>
    <w:rsid w:val="0009288A"/>
    <w:rsid w:val="000A6D6E"/>
    <w:rsid w:val="000C18DC"/>
    <w:rsid w:val="000D77E3"/>
    <w:rsid w:val="000E2C61"/>
    <w:rsid w:val="000F195C"/>
    <w:rsid w:val="001032D3"/>
    <w:rsid w:val="00103556"/>
    <w:rsid w:val="001051D6"/>
    <w:rsid w:val="001102D0"/>
    <w:rsid w:val="00125D3F"/>
    <w:rsid w:val="00144A80"/>
    <w:rsid w:val="00155ED3"/>
    <w:rsid w:val="00170D07"/>
    <w:rsid w:val="00180808"/>
    <w:rsid w:val="0018534F"/>
    <w:rsid w:val="001904D0"/>
    <w:rsid w:val="001E69CF"/>
    <w:rsid w:val="001F4A0A"/>
    <w:rsid w:val="00200C52"/>
    <w:rsid w:val="00201C81"/>
    <w:rsid w:val="00217F02"/>
    <w:rsid w:val="00225FDA"/>
    <w:rsid w:val="00230BA8"/>
    <w:rsid w:val="002408BB"/>
    <w:rsid w:val="002465E4"/>
    <w:rsid w:val="00257194"/>
    <w:rsid w:val="00270809"/>
    <w:rsid w:val="00276DEF"/>
    <w:rsid w:val="00281144"/>
    <w:rsid w:val="002876EB"/>
    <w:rsid w:val="00292B80"/>
    <w:rsid w:val="00295F50"/>
    <w:rsid w:val="002A239A"/>
    <w:rsid w:val="002A31EF"/>
    <w:rsid w:val="002A342E"/>
    <w:rsid w:val="002B6845"/>
    <w:rsid w:val="002C169D"/>
    <w:rsid w:val="002C3CC4"/>
    <w:rsid w:val="002D554E"/>
    <w:rsid w:val="002E1E28"/>
    <w:rsid w:val="002E63C7"/>
    <w:rsid w:val="002F426F"/>
    <w:rsid w:val="002F6486"/>
    <w:rsid w:val="0030046B"/>
    <w:rsid w:val="00300EA3"/>
    <w:rsid w:val="00303D90"/>
    <w:rsid w:val="0030435F"/>
    <w:rsid w:val="003201EB"/>
    <w:rsid w:val="00321AA1"/>
    <w:rsid w:val="00325BD9"/>
    <w:rsid w:val="0032647F"/>
    <w:rsid w:val="00333531"/>
    <w:rsid w:val="00337D49"/>
    <w:rsid w:val="003501B3"/>
    <w:rsid w:val="00356623"/>
    <w:rsid w:val="003620C9"/>
    <w:rsid w:val="003859DC"/>
    <w:rsid w:val="00394A1E"/>
    <w:rsid w:val="00394D17"/>
    <w:rsid w:val="003A532D"/>
    <w:rsid w:val="003B33F4"/>
    <w:rsid w:val="003B7736"/>
    <w:rsid w:val="003C4C02"/>
    <w:rsid w:val="003D56D8"/>
    <w:rsid w:val="003E3C88"/>
    <w:rsid w:val="003F1AF3"/>
    <w:rsid w:val="003F443E"/>
    <w:rsid w:val="003F5F4D"/>
    <w:rsid w:val="00426E4D"/>
    <w:rsid w:val="0043198E"/>
    <w:rsid w:val="00437480"/>
    <w:rsid w:val="00437FC7"/>
    <w:rsid w:val="00444755"/>
    <w:rsid w:val="00451E16"/>
    <w:rsid w:val="004602B7"/>
    <w:rsid w:val="00472EFF"/>
    <w:rsid w:val="00476616"/>
    <w:rsid w:val="00481F1B"/>
    <w:rsid w:val="00486ADA"/>
    <w:rsid w:val="00490AA8"/>
    <w:rsid w:val="0049755B"/>
    <w:rsid w:val="004A15D9"/>
    <w:rsid w:val="004A38CB"/>
    <w:rsid w:val="004B0B31"/>
    <w:rsid w:val="004B218F"/>
    <w:rsid w:val="004C0803"/>
    <w:rsid w:val="004D1CB2"/>
    <w:rsid w:val="004D3877"/>
    <w:rsid w:val="004F642D"/>
    <w:rsid w:val="00502893"/>
    <w:rsid w:val="00507307"/>
    <w:rsid w:val="005118B1"/>
    <w:rsid w:val="005222BC"/>
    <w:rsid w:val="00525C12"/>
    <w:rsid w:val="00545853"/>
    <w:rsid w:val="00565633"/>
    <w:rsid w:val="00572FA0"/>
    <w:rsid w:val="00573A55"/>
    <w:rsid w:val="005740C6"/>
    <w:rsid w:val="00577E95"/>
    <w:rsid w:val="005832A8"/>
    <w:rsid w:val="00590D10"/>
    <w:rsid w:val="005B68C9"/>
    <w:rsid w:val="005E11D8"/>
    <w:rsid w:val="005E48B5"/>
    <w:rsid w:val="005E6D45"/>
    <w:rsid w:val="005F3D46"/>
    <w:rsid w:val="005F6967"/>
    <w:rsid w:val="005F7293"/>
    <w:rsid w:val="00610D21"/>
    <w:rsid w:val="00623C3E"/>
    <w:rsid w:val="00627D4D"/>
    <w:rsid w:val="00634347"/>
    <w:rsid w:val="00640F38"/>
    <w:rsid w:val="00641766"/>
    <w:rsid w:val="00646582"/>
    <w:rsid w:val="00646649"/>
    <w:rsid w:val="00647271"/>
    <w:rsid w:val="006560B5"/>
    <w:rsid w:val="006647C6"/>
    <w:rsid w:val="006737D5"/>
    <w:rsid w:val="006743C9"/>
    <w:rsid w:val="00682E68"/>
    <w:rsid w:val="006963AC"/>
    <w:rsid w:val="006A6684"/>
    <w:rsid w:val="006B06D9"/>
    <w:rsid w:val="006C4D84"/>
    <w:rsid w:val="006C6415"/>
    <w:rsid w:val="006D6A16"/>
    <w:rsid w:val="006E027F"/>
    <w:rsid w:val="006E232A"/>
    <w:rsid w:val="006E5308"/>
    <w:rsid w:val="006F6AA8"/>
    <w:rsid w:val="006F6D94"/>
    <w:rsid w:val="006F7E6C"/>
    <w:rsid w:val="00710F73"/>
    <w:rsid w:val="00721886"/>
    <w:rsid w:val="007522CA"/>
    <w:rsid w:val="00755D30"/>
    <w:rsid w:val="007603F2"/>
    <w:rsid w:val="00761BDB"/>
    <w:rsid w:val="00766C5C"/>
    <w:rsid w:val="0077255D"/>
    <w:rsid w:val="00772F63"/>
    <w:rsid w:val="00782102"/>
    <w:rsid w:val="007871FE"/>
    <w:rsid w:val="007A2617"/>
    <w:rsid w:val="007A487B"/>
    <w:rsid w:val="007B50BF"/>
    <w:rsid w:val="007C3EDA"/>
    <w:rsid w:val="007D66AC"/>
    <w:rsid w:val="007D7D32"/>
    <w:rsid w:val="007E4FAF"/>
    <w:rsid w:val="007E668A"/>
    <w:rsid w:val="007F7DED"/>
    <w:rsid w:val="008124C2"/>
    <w:rsid w:val="00815D7D"/>
    <w:rsid w:val="00820DB3"/>
    <w:rsid w:val="00825275"/>
    <w:rsid w:val="00825AC8"/>
    <w:rsid w:val="00826096"/>
    <w:rsid w:val="008377E7"/>
    <w:rsid w:val="00843344"/>
    <w:rsid w:val="008443AF"/>
    <w:rsid w:val="00853F38"/>
    <w:rsid w:val="00875DC2"/>
    <w:rsid w:val="008819A7"/>
    <w:rsid w:val="00881A5F"/>
    <w:rsid w:val="0088620F"/>
    <w:rsid w:val="008A50C1"/>
    <w:rsid w:val="008B73DB"/>
    <w:rsid w:val="008C0E21"/>
    <w:rsid w:val="008C6FF6"/>
    <w:rsid w:val="008C70EB"/>
    <w:rsid w:val="008D134D"/>
    <w:rsid w:val="008E094E"/>
    <w:rsid w:val="008E2B6E"/>
    <w:rsid w:val="008E42BF"/>
    <w:rsid w:val="008E5BAE"/>
    <w:rsid w:val="00903478"/>
    <w:rsid w:val="009054CB"/>
    <w:rsid w:val="009070F4"/>
    <w:rsid w:val="009119F4"/>
    <w:rsid w:val="00930E80"/>
    <w:rsid w:val="00943F4B"/>
    <w:rsid w:val="00953D56"/>
    <w:rsid w:val="00972654"/>
    <w:rsid w:val="00974F24"/>
    <w:rsid w:val="009777E6"/>
    <w:rsid w:val="009819DE"/>
    <w:rsid w:val="00981F3B"/>
    <w:rsid w:val="00982B89"/>
    <w:rsid w:val="00993B6F"/>
    <w:rsid w:val="009B25D4"/>
    <w:rsid w:val="009B4A78"/>
    <w:rsid w:val="009B5369"/>
    <w:rsid w:val="009B77FE"/>
    <w:rsid w:val="009C63AE"/>
    <w:rsid w:val="009D0685"/>
    <w:rsid w:val="009D2E3A"/>
    <w:rsid w:val="009D4BA6"/>
    <w:rsid w:val="00A01D02"/>
    <w:rsid w:val="00A03F4C"/>
    <w:rsid w:val="00A20412"/>
    <w:rsid w:val="00A204A9"/>
    <w:rsid w:val="00A20993"/>
    <w:rsid w:val="00A20EDC"/>
    <w:rsid w:val="00A30D35"/>
    <w:rsid w:val="00A3222D"/>
    <w:rsid w:val="00A32808"/>
    <w:rsid w:val="00A42400"/>
    <w:rsid w:val="00A45BDF"/>
    <w:rsid w:val="00A86A64"/>
    <w:rsid w:val="00A8720A"/>
    <w:rsid w:val="00A94831"/>
    <w:rsid w:val="00A97010"/>
    <w:rsid w:val="00AA21FE"/>
    <w:rsid w:val="00AA326F"/>
    <w:rsid w:val="00AA36BF"/>
    <w:rsid w:val="00AA63CE"/>
    <w:rsid w:val="00AA6FE7"/>
    <w:rsid w:val="00AB1F06"/>
    <w:rsid w:val="00AB6690"/>
    <w:rsid w:val="00AC0B71"/>
    <w:rsid w:val="00AC4936"/>
    <w:rsid w:val="00AD03B3"/>
    <w:rsid w:val="00AD1746"/>
    <w:rsid w:val="00AD485E"/>
    <w:rsid w:val="00AD48E5"/>
    <w:rsid w:val="00AE2811"/>
    <w:rsid w:val="00AE7ABC"/>
    <w:rsid w:val="00B07A67"/>
    <w:rsid w:val="00B17193"/>
    <w:rsid w:val="00B307C9"/>
    <w:rsid w:val="00B34C3D"/>
    <w:rsid w:val="00B36DFD"/>
    <w:rsid w:val="00B411D6"/>
    <w:rsid w:val="00B55C9E"/>
    <w:rsid w:val="00B62CD4"/>
    <w:rsid w:val="00B72081"/>
    <w:rsid w:val="00B7274F"/>
    <w:rsid w:val="00B81A40"/>
    <w:rsid w:val="00B84C2C"/>
    <w:rsid w:val="00B978E0"/>
    <w:rsid w:val="00BC4B08"/>
    <w:rsid w:val="00BD1E7C"/>
    <w:rsid w:val="00BD30DF"/>
    <w:rsid w:val="00BD58B1"/>
    <w:rsid w:val="00BE1907"/>
    <w:rsid w:val="00BE2E73"/>
    <w:rsid w:val="00BF105F"/>
    <w:rsid w:val="00BF2CE9"/>
    <w:rsid w:val="00C03216"/>
    <w:rsid w:val="00C111D0"/>
    <w:rsid w:val="00C20E58"/>
    <w:rsid w:val="00C36E13"/>
    <w:rsid w:val="00C37753"/>
    <w:rsid w:val="00C40A42"/>
    <w:rsid w:val="00C558D0"/>
    <w:rsid w:val="00C601EC"/>
    <w:rsid w:val="00C6729F"/>
    <w:rsid w:val="00C8354C"/>
    <w:rsid w:val="00C840FA"/>
    <w:rsid w:val="00C84F29"/>
    <w:rsid w:val="00C87859"/>
    <w:rsid w:val="00C90EB5"/>
    <w:rsid w:val="00C9246D"/>
    <w:rsid w:val="00CA24C7"/>
    <w:rsid w:val="00CA4B34"/>
    <w:rsid w:val="00CA7DAE"/>
    <w:rsid w:val="00CA7EDD"/>
    <w:rsid w:val="00CC0F72"/>
    <w:rsid w:val="00CC3B17"/>
    <w:rsid w:val="00CC5CA4"/>
    <w:rsid w:val="00CC6D51"/>
    <w:rsid w:val="00CE144E"/>
    <w:rsid w:val="00CF522B"/>
    <w:rsid w:val="00D003B4"/>
    <w:rsid w:val="00D016C4"/>
    <w:rsid w:val="00D03008"/>
    <w:rsid w:val="00D1320A"/>
    <w:rsid w:val="00D41527"/>
    <w:rsid w:val="00D434BB"/>
    <w:rsid w:val="00D47BBF"/>
    <w:rsid w:val="00D654CC"/>
    <w:rsid w:val="00D72EAF"/>
    <w:rsid w:val="00D733C7"/>
    <w:rsid w:val="00D7350F"/>
    <w:rsid w:val="00D7482A"/>
    <w:rsid w:val="00D82E29"/>
    <w:rsid w:val="00D84074"/>
    <w:rsid w:val="00DA5760"/>
    <w:rsid w:val="00DA5F56"/>
    <w:rsid w:val="00DB0F89"/>
    <w:rsid w:val="00DB582F"/>
    <w:rsid w:val="00DC1CD5"/>
    <w:rsid w:val="00DC4C58"/>
    <w:rsid w:val="00DD119F"/>
    <w:rsid w:val="00DD2D8C"/>
    <w:rsid w:val="00DD44C2"/>
    <w:rsid w:val="00DD6B84"/>
    <w:rsid w:val="00DE20BA"/>
    <w:rsid w:val="00DF2491"/>
    <w:rsid w:val="00DF7BCD"/>
    <w:rsid w:val="00E038A7"/>
    <w:rsid w:val="00E041B8"/>
    <w:rsid w:val="00E075BD"/>
    <w:rsid w:val="00E14D3E"/>
    <w:rsid w:val="00E159C8"/>
    <w:rsid w:val="00E21BA9"/>
    <w:rsid w:val="00E36217"/>
    <w:rsid w:val="00E44E32"/>
    <w:rsid w:val="00E4556F"/>
    <w:rsid w:val="00E45F7A"/>
    <w:rsid w:val="00E47C5F"/>
    <w:rsid w:val="00E657B8"/>
    <w:rsid w:val="00E74CF4"/>
    <w:rsid w:val="00E76BB6"/>
    <w:rsid w:val="00E90858"/>
    <w:rsid w:val="00E973F6"/>
    <w:rsid w:val="00EA1A2F"/>
    <w:rsid w:val="00EB4628"/>
    <w:rsid w:val="00EC53BA"/>
    <w:rsid w:val="00EC5971"/>
    <w:rsid w:val="00EC598A"/>
    <w:rsid w:val="00F045D0"/>
    <w:rsid w:val="00F103A6"/>
    <w:rsid w:val="00F13C40"/>
    <w:rsid w:val="00F33C4B"/>
    <w:rsid w:val="00F64DDB"/>
    <w:rsid w:val="00F67043"/>
    <w:rsid w:val="00F73766"/>
    <w:rsid w:val="00F86167"/>
    <w:rsid w:val="00FA13CB"/>
    <w:rsid w:val="00FB2C10"/>
    <w:rsid w:val="00FB4974"/>
    <w:rsid w:val="00FF231A"/>
    <w:rsid w:val="00FF3A09"/>
    <w:rsid w:val="00FF3AC6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C446B3E"/>
  <w15:chartTrackingRefBased/>
  <w15:docId w15:val="{0082FECA-398F-4299-8B9E-A86FE9BA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85E"/>
    <w:pPr>
      <w:spacing w:after="200" w:line="276" w:lineRule="auto"/>
    </w:pPr>
    <w:rPr>
      <w:rFonts w:ascii="Arial" w:eastAsia="Times New Roman" w:hAnsi="Arial"/>
      <w:sz w:val="24"/>
      <w:szCs w:val="22"/>
      <w:lang w:val="en-GB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967"/>
    <w:pPr>
      <w:keepNext/>
      <w:keepLines/>
      <w:spacing w:before="480" w:after="0"/>
      <w:outlineLvl w:val="0"/>
    </w:pPr>
    <w:rPr>
      <w:b/>
      <w:bCs/>
      <w:color w:val="0A77B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6967"/>
    <w:pPr>
      <w:keepNext/>
      <w:keepLines/>
      <w:spacing w:before="200" w:after="0"/>
      <w:outlineLvl w:val="1"/>
    </w:pPr>
    <w:rPr>
      <w:b/>
      <w:bCs/>
      <w:color w:val="0A77B3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F6967"/>
    <w:pPr>
      <w:keepNext/>
      <w:keepLines/>
      <w:spacing w:before="200" w:after="0"/>
      <w:outlineLvl w:val="2"/>
    </w:pPr>
    <w:rPr>
      <w:b/>
      <w:bCs/>
      <w:color w:val="E22B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F6967"/>
    <w:rPr>
      <w:rFonts w:ascii="Arial" w:eastAsia="Times New Roman" w:hAnsi="Arial" w:cs="Times New Roman"/>
      <w:b/>
      <w:bCs/>
      <w:color w:val="0A77B3"/>
      <w:sz w:val="28"/>
      <w:szCs w:val="28"/>
    </w:rPr>
  </w:style>
  <w:style w:type="character" w:customStyle="1" w:styleId="Heading2Char">
    <w:name w:val="Heading 2 Char"/>
    <w:link w:val="Heading2"/>
    <w:uiPriority w:val="9"/>
    <w:rsid w:val="005F6967"/>
    <w:rPr>
      <w:rFonts w:ascii="Arial" w:eastAsia="Times New Roman" w:hAnsi="Arial" w:cs="Times New Roman"/>
      <w:b/>
      <w:bCs/>
      <w:color w:val="0A77B3"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5F6967"/>
    <w:rPr>
      <w:rFonts w:ascii="Arial" w:eastAsia="Times New Roman" w:hAnsi="Arial" w:cs="Times New Roman"/>
      <w:b/>
      <w:bCs/>
      <w:color w:val="E22B2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F6967"/>
    <w:pPr>
      <w:spacing w:after="300" w:line="240" w:lineRule="auto"/>
      <w:contextualSpacing/>
    </w:pPr>
    <w:rPr>
      <w:color w:val="0070C0"/>
      <w:spacing w:val="5"/>
      <w:kern w:val="28"/>
      <w:szCs w:val="52"/>
    </w:rPr>
  </w:style>
  <w:style w:type="character" w:customStyle="1" w:styleId="TitleChar">
    <w:name w:val="Title Char"/>
    <w:link w:val="Title"/>
    <w:uiPriority w:val="10"/>
    <w:rsid w:val="005F6967"/>
    <w:rPr>
      <w:rFonts w:ascii="Arial" w:eastAsia="Times New Roman" w:hAnsi="Arial" w:cs="Times New Roman"/>
      <w:color w:val="0070C0"/>
      <w:spacing w:val="5"/>
      <w:kern w:val="28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967"/>
    <w:pPr>
      <w:numPr>
        <w:ilvl w:val="1"/>
      </w:numPr>
    </w:pPr>
    <w:rPr>
      <w:b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5F6967"/>
    <w:rPr>
      <w:rFonts w:ascii="Arial" w:eastAsia="Times New Roman" w:hAnsi="Arial" w:cs="Times New Roman"/>
      <w:b/>
      <w:iCs/>
      <w:color w:val="4F81BD"/>
      <w:spacing w:val="15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F6967"/>
    <w:pPr>
      <w:ind w:left="720"/>
      <w:contextualSpacing/>
    </w:p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5F6967"/>
    <w:pPr>
      <w:outlineLvl w:val="9"/>
    </w:pPr>
    <w:rPr>
      <w:rFonts w:ascii="Cambria" w:hAnsi="Cambria"/>
      <w:color w:val="365F91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167"/>
    <w:pPr>
      <w:spacing w:after="160" w:line="240" w:lineRule="auto"/>
    </w:pPr>
    <w:rPr>
      <w:rFonts w:ascii="Calibri" w:eastAsia="Calibri" w:hAnsi="Calibri"/>
      <w:sz w:val="20"/>
      <w:szCs w:val="20"/>
      <w:lang w:val="en-US" w:bidi="ar-SA"/>
    </w:rPr>
  </w:style>
  <w:style w:type="character" w:customStyle="1" w:styleId="CommentTextChar">
    <w:name w:val="Comment Text Char"/>
    <w:link w:val="CommentText"/>
    <w:uiPriority w:val="99"/>
    <w:semiHidden/>
    <w:rsid w:val="00F86167"/>
    <w:rPr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F8616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6167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86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86167"/>
    <w:rPr>
      <w:rFonts w:ascii="Cambria" w:eastAsia="Times New Roman" w:hAnsi="Cambria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86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86167"/>
    <w:rPr>
      <w:rFonts w:ascii="Cambria" w:eastAsia="Times New Roman" w:hAnsi="Cambria" w:cs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F06"/>
    <w:pPr>
      <w:spacing w:after="200"/>
    </w:pPr>
    <w:rPr>
      <w:rFonts w:ascii="Cambria" w:eastAsia="Times New Roman" w:hAnsi="Cambria"/>
      <w:b/>
      <w:bCs/>
      <w:lang w:val="en-GB" w:bidi="en-US"/>
    </w:rPr>
  </w:style>
  <w:style w:type="character" w:customStyle="1" w:styleId="CommentSubjectChar">
    <w:name w:val="Comment Subject Char"/>
    <w:link w:val="CommentSubject"/>
    <w:uiPriority w:val="99"/>
    <w:semiHidden/>
    <w:rsid w:val="00AB1F06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character" w:styleId="Strong">
    <w:name w:val="Strong"/>
    <w:uiPriority w:val="22"/>
    <w:qFormat/>
    <w:rsid w:val="009B25D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A1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lang w:val="en-US"/>
    </w:rPr>
  </w:style>
  <w:style w:type="character" w:customStyle="1" w:styleId="IntenseQuoteChar">
    <w:name w:val="Intense Quote Char"/>
    <w:link w:val="IntenseQuote"/>
    <w:uiPriority w:val="30"/>
    <w:rsid w:val="006D6A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styleId="BookTitle">
    <w:name w:val="Book Title"/>
    <w:uiPriority w:val="33"/>
    <w:qFormat/>
    <w:rsid w:val="006D6A16"/>
    <w:rPr>
      <w:b/>
      <w:bCs/>
      <w:smallCaps/>
      <w:spacing w:val="5"/>
    </w:rPr>
  </w:style>
  <w:style w:type="character" w:styleId="Hyperlink">
    <w:name w:val="Hyperlink"/>
    <w:uiPriority w:val="99"/>
    <w:unhideWhenUsed/>
    <w:rsid w:val="006D6A16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F3A09"/>
    <w:pPr>
      <w:keepLines w:val="0"/>
      <w:spacing w:before="240" w:after="60"/>
      <w:outlineLvl w:val="9"/>
    </w:pPr>
    <w:rPr>
      <w:rFonts w:ascii="Calibri Light" w:hAnsi="Calibri Light"/>
      <w:color w:val="auto"/>
      <w:kern w:val="32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F3A09"/>
  </w:style>
  <w:style w:type="paragraph" w:styleId="TOC2">
    <w:name w:val="toc 2"/>
    <w:basedOn w:val="Normal"/>
    <w:next w:val="Normal"/>
    <w:autoRedefine/>
    <w:uiPriority w:val="39"/>
    <w:unhideWhenUsed/>
    <w:rsid w:val="00FF3A09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F3A09"/>
    <w:pPr>
      <w:ind w:left="440"/>
    </w:pPr>
  </w:style>
  <w:style w:type="paragraph" w:styleId="ListParagraph">
    <w:name w:val="List Paragraph"/>
    <w:basedOn w:val="Normal"/>
    <w:uiPriority w:val="34"/>
    <w:qFormat/>
    <w:rsid w:val="00881A5F"/>
    <w:pPr>
      <w:ind w:left="720"/>
      <w:contextualSpacing/>
    </w:p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9070F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3E3C8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CBD69-0EFA-4F57-9A6C-093E462E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843</Words>
  <Characters>4641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Naughton</dc:creator>
  <cp:keywords/>
  <dc:description/>
  <cp:lastModifiedBy>Marine Uldry</cp:lastModifiedBy>
  <cp:revision>188</cp:revision>
  <dcterms:created xsi:type="dcterms:W3CDTF">2019-01-23T08:19:00Z</dcterms:created>
  <dcterms:modified xsi:type="dcterms:W3CDTF">2023-02-13T15:12:00Z</dcterms:modified>
</cp:coreProperties>
</file>