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6709" w14:textId="65AAE81A" w:rsidR="00D86DE5" w:rsidRDefault="00D86DE5" w:rsidP="008511DA">
      <w:pPr>
        <w:pStyle w:val="Heading1"/>
        <w:rPr>
          <w:lang w:val="en-GB"/>
        </w:rPr>
      </w:pPr>
      <w:r w:rsidRPr="00011E72">
        <w:rPr>
          <w:lang w:val="en-GB"/>
        </w:rPr>
        <w:t>EDF proposal</w:t>
      </w:r>
      <w:r w:rsidR="00011E72" w:rsidRPr="00011E72">
        <w:rPr>
          <w:lang w:val="en-GB"/>
        </w:rPr>
        <w:t>s</w:t>
      </w:r>
      <w:r w:rsidRPr="00011E72">
        <w:rPr>
          <w:lang w:val="en-GB"/>
        </w:rPr>
        <w:t xml:space="preserve"> </w:t>
      </w:r>
      <w:r w:rsidR="00011E72" w:rsidRPr="00011E72">
        <w:rPr>
          <w:lang w:val="en-GB"/>
        </w:rPr>
        <w:t xml:space="preserve">for </w:t>
      </w:r>
      <w:r w:rsidRPr="00011E72">
        <w:rPr>
          <w:lang w:val="en-GB"/>
        </w:rPr>
        <w:t xml:space="preserve">amendments to CULT draft report on the implementation of the revised </w:t>
      </w:r>
      <w:r w:rsidR="000A2F06" w:rsidRPr="00011E72">
        <w:rPr>
          <w:lang w:val="en-GB"/>
        </w:rPr>
        <w:t>Audio-visual</w:t>
      </w:r>
      <w:r w:rsidRPr="00011E72">
        <w:rPr>
          <w:lang w:val="en-GB"/>
        </w:rPr>
        <w:t xml:space="preserve"> Media Services Directive (2022/2038(INI))</w:t>
      </w:r>
    </w:p>
    <w:p w14:paraId="689707CF" w14:textId="77777777" w:rsidR="008511DA" w:rsidRPr="008511DA" w:rsidRDefault="008511DA" w:rsidP="008511DA">
      <w:pPr>
        <w:rPr>
          <w:sz w:val="4"/>
          <w:szCs w:val="4"/>
          <w:lang w:val="en-GB"/>
        </w:rPr>
      </w:pPr>
    </w:p>
    <w:p w14:paraId="6F436EE7" w14:textId="6F6BC61E" w:rsidR="00D86DE5" w:rsidRPr="00011E72" w:rsidRDefault="00D86DE5" w:rsidP="00D86DE5">
      <w:pPr>
        <w:pStyle w:val="Heading2"/>
        <w:rPr>
          <w:lang w:val="en-GB"/>
        </w:rPr>
      </w:pPr>
      <w:r w:rsidRPr="00011E72">
        <w:rPr>
          <w:lang w:val="en-GB"/>
        </w:rPr>
        <w:t>Introduction:</w:t>
      </w:r>
    </w:p>
    <w:p w14:paraId="149C5520" w14:textId="25011528" w:rsidR="00D86DE5" w:rsidRPr="00011E72" w:rsidRDefault="00D86DE5" w:rsidP="00D86DE5">
      <w:pPr>
        <w:rPr>
          <w:sz w:val="24"/>
          <w:szCs w:val="24"/>
          <w:lang w:val="en-GB"/>
        </w:rPr>
      </w:pPr>
      <w:r w:rsidRPr="00011E72">
        <w:rPr>
          <w:sz w:val="24"/>
          <w:szCs w:val="24"/>
          <w:lang w:val="en-GB"/>
        </w:rPr>
        <w:t xml:space="preserve">Despite the positive changes brought by this directive, </w:t>
      </w:r>
      <w:r w:rsidR="007D3B9C" w:rsidRPr="00011E72">
        <w:rPr>
          <w:sz w:val="24"/>
          <w:szCs w:val="24"/>
          <w:lang w:val="en-GB"/>
        </w:rPr>
        <w:t>the</w:t>
      </w:r>
      <w:r w:rsidRPr="00011E72">
        <w:rPr>
          <w:sz w:val="24"/>
          <w:szCs w:val="24"/>
          <w:lang w:val="en-GB"/>
        </w:rPr>
        <w:t xml:space="preserve"> implementation </w:t>
      </w:r>
      <w:r w:rsidR="007D3B9C" w:rsidRPr="00011E72">
        <w:rPr>
          <w:sz w:val="24"/>
          <w:szCs w:val="24"/>
          <w:lang w:val="en-GB"/>
        </w:rPr>
        <w:t>of Article 7 (Accessibility</w:t>
      </w:r>
      <w:r w:rsidR="00560A38" w:rsidRPr="00011E72">
        <w:rPr>
          <w:sz w:val="24"/>
          <w:szCs w:val="24"/>
          <w:lang w:val="en-GB"/>
        </w:rPr>
        <w:t>-</w:t>
      </w:r>
      <w:r w:rsidR="0078744F" w:rsidRPr="00011E72">
        <w:rPr>
          <w:sz w:val="24"/>
          <w:szCs w:val="24"/>
          <w:lang w:val="en-GB"/>
        </w:rPr>
        <w:t>related</w:t>
      </w:r>
      <w:r w:rsidR="007D3B9C" w:rsidRPr="00011E72">
        <w:rPr>
          <w:sz w:val="24"/>
          <w:szCs w:val="24"/>
          <w:lang w:val="en-GB"/>
        </w:rPr>
        <w:t xml:space="preserve">) </w:t>
      </w:r>
      <w:r w:rsidRPr="00011E72">
        <w:rPr>
          <w:sz w:val="24"/>
          <w:szCs w:val="24"/>
          <w:lang w:val="en-GB"/>
        </w:rPr>
        <w:t xml:space="preserve">has been challenging and heterogeneous, as Member States  (MS) differ not </w:t>
      </w:r>
      <w:r w:rsidR="00550C86" w:rsidRPr="00011E72">
        <w:rPr>
          <w:sz w:val="24"/>
          <w:szCs w:val="24"/>
          <w:lang w:val="en-GB"/>
        </w:rPr>
        <w:t>only i</w:t>
      </w:r>
      <w:r w:rsidRPr="00011E72">
        <w:rPr>
          <w:sz w:val="24"/>
          <w:szCs w:val="24"/>
          <w:lang w:val="en-GB"/>
        </w:rPr>
        <w:t>n the</w:t>
      </w:r>
      <w:r w:rsidR="007D3B9C" w:rsidRPr="00011E72">
        <w:rPr>
          <w:sz w:val="24"/>
          <w:szCs w:val="24"/>
          <w:lang w:val="en-GB"/>
        </w:rPr>
        <w:t xml:space="preserve"> nature of</w:t>
      </w:r>
      <w:r w:rsidRPr="00011E72">
        <w:rPr>
          <w:sz w:val="24"/>
          <w:szCs w:val="24"/>
          <w:lang w:val="en-GB"/>
        </w:rPr>
        <w:t xml:space="preserve"> obligations</w:t>
      </w:r>
      <w:r w:rsidR="007D3B9C" w:rsidRPr="00011E72">
        <w:rPr>
          <w:sz w:val="24"/>
          <w:szCs w:val="24"/>
          <w:lang w:val="en-GB"/>
        </w:rPr>
        <w:t xml:space="preserve"> imposed and the </w:t>
      </w:r>
      <w:r w:rsidRPr="00011E72">
        <w:rPr>
          <w:sz w:val="24"/>
          <w:szCs w:val="24"/>
          <w:lang w:val="en-GB"/>
        </w:rPr>
        <w:t>quantity and quality of access services</w:t>
      </w:r>
      <w:r w:rsidR="00C8716D" w:rsidRPr="00011E72">
        <w:rPr>
          <w:sz w:val="24"/>
          <w:szCs w:val="24"/>
          <w:lang w:val="en-GB"/>
        </w:rPr>
        <w:t xml:space="preserve"> required</w:t>
      </w:r>
      <w:r w:rsidRPr="00011E72">
        <w:rPr>
          <w:sz w:val="24"/>
          <w:szCs w:val="24"/>
          <w:lang w:val="en-GB"/>
        </w:rPr>
        <w:t xml:space="preserve">, but also </w:t>
      </w:r>
      <w:r w:rsidR="007D3B9C" w:rsidRPr="00011E72">
        <w:rPr>
          <w:sz w:val="24"/>
          <w:szCs w:val="24"/>
          <w:lang w:val="en-GB"/>
        </w:rPr>
        <w:t>i</w:t>
      </w:r>
      <w:r w:rsidRPr="00011E72">
        <w:rPr>
          <w:sz w:val="24"/>
          <w:szCs w:val="24"/>
          <w:lang w:val="en-GB"/>
        </w:rPr>
        <w:t>n the providers, services and programmes the obligations apply to (</w:t>
      </w:r>
      <w:hyperlink r:id="rId7" w:history="1">
        <w:r w:rsidRPr="00011E72">
          <w:rPr>
            <w:rStyle w:val="Hyperlink"/>
            <w:sz w:val="24"/>
            <w:szCs w:val="24"/>
            <w:lang w:val="en-GB"/>
          </w:rPr>
          <w:t>see ERGA Report on article 7.1</w:t>
        </w:r>
      </w:hyperlink>
      <w:r w:rsidRPr="00011E72">
        <w:rPr>
          <w:sz w:val="24"/>
          <w:szCs w:val="24"/>
          <w:lang w:val="en-GB"/>
        </w:rPr>
        <w:t xml:space="preserve">). To see the </w:t>
      </w:r>
      <w:r w:rsidR="007D3B9C" w:rsidRPr="00011E72">
        <w:rPr>
          <w:sz w:val="24"/>
          <w:szCs w:val="24"/>
          <w:lang w:val="en-GB"/>
        </w:rPr>
        <w:t xml:space="preserve">real </w:t>
      </w:r>
      <w:r w:rsidRPr="00011E72">
        <w:rPr>
          <w:sz w:val="24"/>
          <w:szCs w:val="24"/>
          <w:lang w:val="en-GB"/>
        </w:rPr>
        <w:t>extent of this, special attention must be paid to the upcoming reporting by MS</w:t>
      </w:r>
      <w:r w:rsidR="00550C86" w:rsidRPr="00011E72">
        <w:rPr>
          <w:sz w:val="24"/>
          <w:szCs w:val="24"/>
          <w:lang w:val="en-GB"/>
        </w:rPr>
        <w:t xml:space="preserve"> to the Commission</w:t>
      </w:r>
      <w:r w:rsidRPr="00011E72">
        <w:rPr>
          <w:sz w:val="24"/>
          <w:szCs w:val="24"/>
          <w:lang w:val="en-GB"/>
        </w:rPr>
        <w:t xml:space="preserve"> </w:t>
      </w:r>
      <w:r w:rsidR="007D3B9C" w:rsidRPr="00011E72">
        <w:rPr>
          <w:sz w:val="24"/>
          <w:szCs w:val="24"/>
          <w:lang w:val="en-GB"/>
        </w:rPr>
        <w:t xml:space="preserve">on this matter (Article 7.2). </w:t>
      </w:r>
      <w:r w:rsidR="0078744F" w:rsidRPr="00011E72">
        <w:rPr>
          <w:sz w:val="24"/>
          <w:szCs w:val="24"/>
          <w:lang w:val="en-GB"/>
        </w:rPr>
        <w:t xml:space="preserve"> </w:t>
      </w:r>
    </w:p>
    <w:p w14:paraId="0D79FD26" w14:textId="7CBD4052" w:rsidR="00D86DE5" w:rsidRPr="00011E72" w:rsidRDefault="00560A38" w:rsidP="008B75E7">
      <w:pPr>
        <w:pStyle w:val="Heading2"/>
        <w:rPr>
          <w:lang w:val="en-GB"/>
        </w:rPr>
      </w:pPr>
      <w:r w:rsidRPr="00011E72">
        <w:rPr>
          <w:lang w:val="en-GB"/>
        </w:rPr>
        <w:t>EDF</w:t>
      </w:r>
      <w:r w:rsidR="00D86DE5" w:rsidRPr="00011E72">
        <w:rPr>
          <w:lang w:val="en-GB"/>
        </w:rPr>
        <w:t xml:space="preserve"> amendments to the Parliament’s Draft Report</w:t>
      </w:r>
      <w:r w:rsidR="002174B6" w:rsidRPr="00011E72">
        <w:rPr>
          <w:lang w:val="en-GB"/>
        </w:rPr>
        <w:t>:</w:t>
      </w:r>
    </w:p>
    <w:p w14:paraId="6721D611" w14:textId="77777777" w:rsidR="002174B6" w:rsidRPr="00011E72" w:rsidRDefault="002174B6" w:rsidP="002174B6">
      <w:pPr>
        <w:rPr>
          <w:sz w:val="6"/>
          <w:szCs w:val="6"/>
          <w:lang w:val="en-GB"/>
        </w:rPr>
      </w:pPr>
    </w:p>
    <w:tbl>
      <w:tblPr>
        <w:tblStyle w:val="TableGrid"/>
        <w:tblW w:w="0" w:type="auto"/>
        <w:tblLook w:val="04A0" w:firstRow="1" w:lastRow="0" w:firstColumn="1" w:lastColumn="0" w:noHBand="0" w:noVBand="1"/>
      </w:tblPr>
      <w:tblGrid>
        <w:gridCol w:w="4531"/>
        <w:gridCol w:w="4531"/>
      </w:tblGrid>
      <w:tr w:rsidR="007054F4" w:rsidRPr="00011E72" w14:paraId="49BBA57D" w14:textId="77777777" w:rsidTr="00497675">
        <w:tc>
          <w:tcPr>
            <w:tcW w:w="4531" w:type="dxa"/>
            <w:shd w:val="clear" w:color="auto" w:fill="BDD6EE" w:themeFill="accent5" w:themeFillTint="66"/>
          </w:tcPr>
          <w:p w14:paraId="7407D55F" w14:textId="2F99427D" w:rsidR="007054F4" w:rsidRPr="00011E72" w:rsidRDefault="007054F4" w:rsidP="007054F4">
            <w:pPr>
              <w:rPr>
                <w:b/>
                <w:bCs/>
                <w:sz w:val="24"/>
                <w:szCs w:val="24"/>
                <w:lang w:val="en-GB"/>
              </w:rPr>
            </w:pPr>
            <w:r w:rsidRPr="00011E72">
              <w:rPr>
                <w:b/>
                <w:bCs/>
                <w:sz w:val="24"/>
                <w:szCs w:val="24"/>
                <w:lang w:val="en-GB"/>
              </w:rPr>
              <w:t>Parliament Proposal</w:t>
            </w:r>
          </w:p>
        </w:tc>
        <w:tc>
          <w:tcPr>
            <w:tcW w:w="4531" w:type="dxa"/>
            <w:shd w:val="clear" w:color="auto" w:fill="BDD6EE" w:themeFill="accent5" w:themeFillTint="66"/>
          </w:tcPr>
          <w:p w14:paraId="6B918C2E" w14:textId="1F35D24E" w:rsidR="007054F4" w:rsidRPr="00011E72" w:rsidRDefault="007054F4" w:rsidP="007054F4">
            <w:pPr>
              <w:rPr>
                <w:b/>
                <w:bCs/>
                <w:sz w:val="24"/>
                <w:szCs w:val="24"/>
                <w:lang w:val="en-GB"/>
              </w:rPr>
            </w:pPr>
            <w:r w:rsidRPr="00011E72">
              <w:rPr>
                <w:b/>
                <w:bCs/>
                <w:sz w:val="24"/>
                <w:szCs w:val="24"/>
                <w:lang w:val="en-GB"/>
              </w:rPr>
              <w:t>EDF Proposed Amendments</w:t>
            </w:r>
          </w:p>
        </w:tc>
      </w:tr>
      <w:tr w:rsidR="00F73A6A" w:rsidRPr="00543A3B" w14:paraId="0B1CA4BB" w14:textId="77777777" w:rsidTr="00284D4C">
        <w:tc>
          <w:tcPr>
            <w:tcW w:w="4531" w:type="dxa"/>
          </w:tcPr>
          <w:p w14:paraId="0BE346C7" w14:textId="77777777" w:rsidR="00F73A6A" w:rsidRDefault="00F73A6A" w:rsidP="00F73A6A">
            <w:pPr>
              <w:rPr>
                <w:sz w:val="24"/>
                <w:szCs w:val="24"/>
                <w:lang w:val="en-GB"/>
              </w:rPr>
            </w:pPr>
            <w:r w:rsidRPr="00011E72">
              <w:rPr>
                <w:sz w:val="24"/>
                <w:szCs w:val="24"/>
                <w:lang w:val="en-GB"/>
              </w:rPr>
              <w:t>N/A</w:t>
            </w:r>
          </w:p>
          <w:p w14:paraId="22470C14" w14:textId="77777777" w:rsidR="008511DA" w:rsidRPr="008511DA" w:rsidRDefault="008511DA" w:rsidP="008511DA">
            <w:pPr>
              <w:rPr>
                <w:sz w:val="24"/>
                <w:szCs w:val="24"/>
                <w:lang w:val="en-GB"/>
              </w:rPr>
            </w:pPr>
          </w:p>
          <w:p w14:paraId="18B360C1" w14:textId="77777777" w:rsidR="008511DA" w:rsidRDefault="008511DA" w:rsidP="008511DA">
            <w:pPr>
              <w:rPr>
                <w:sz w:val="24"/>
                <w:szCs w:val="24"/>
                <w:lang w:val="en-GB"/>
              </w:rPr>
            </w:pPr>
          </w:p>
          <w:p w14:paraId="1C305766" w14:textId="77777777" w:rsidR="008511DA" w:rsidRDefault="008511DA" w:rsidP="008511DA">
            <w:pPr>
              <w:rPr>
                <w:sz w:val="24"/>
                <w:szCs w:val="24"/>
                <w:lang w:val="en-GB"/>
              </w:rPr>
            </w:pPr>
          </w:p>
          <w:p w14:paraId="73D011DD" w14:textId="3493910C" w:rsidR="008511DA" w:rsidRPr="008511DA" w:rsidRDefault="008511DA" w:rsidP="008511DA">
            <w:pPr>
              <w:jc w:val="center"/>
              <w:rPr>
                <w:sz w:val="24"/>
                <w:szCs w:val="24"/>
                <w:lang w:val="en-GB"/>
              </w:rPr>
            </w:pPr>
          </w:p>
        </w:tc>
        <w:tc>
          <w:tcPr>
            <w:tcW w:w="4531" w:type="dxa"/>
          </w:tcPr>
          <w:p w14:paraId="104A3D41" w14:textId="0E4719FD" w:rsidR="00F73A6A" w:rsidRPr="00011E72" w:rsidRDefault="00F73A6A" w:rsidP="00F73A6A">
            <w:pPr>
              <w:rPr>
                <w:sz w:val="24"/>
                <w:szCs w:val="24"/>
                <w:lang w:val="en-GB"/>
              </w:rPr>
            </w:pPr>
            <w:r w:rsidRPr="00011E72">
              <w:rPr>
                <w:sz w:val="24"/>
                <w:szCs w:val="24"/>
                <w:lang w:val="en-GB"/>
              </w:rPr>
              <w:t xml:space="preserve">(E new). Whereas the </w:t>
            </w:r>
            <w:hyperlink r:id="rId8" w:history="1">
              <w:r w:rsidRPr="00011E72">
                <w:rPr>
                  <w:rStyle w:val="Hyperlink"/>
                  <w:sz w:val="24"/>
                  <w:szCs w:val="24"/>
                  <w:lang w:val="en-GB"/>
                </w:rPr>
                <w:t>United Nations Convention on the Rights of Persons with Disabilities (CRPD)</w:t>
              </w:r>
            </w:hyperlink>
            <w:r w:rsidRPr="00011E72">
              <w:rPr>
                <w:sz w:val="24"/>
                <w:szCs w:val="24"/>
                <w:lang w:val="en-GB"/>
              </w:rPr>
              <w:t xml:space="preserve"> legally binds the European Union and all Member States to ensure the right to accessibility (Article 9), freedom of expression</w:t>
            </w:r>
            <w:r w:rsidR="007B4C53" w:rsidRPr="00011E72">
              <w:rPr>
                <w:sz w:val="24"/>
                <w:szCs w:val="24"/>
                <w:lang w:val="en-GB"/>
              </w:rPr>
              <w:t>,</w:t>
            </w:r>
            <w:r w:rsidRPr="00011E72">
              <w:rPr>
                <w:sz w:val="24"/>
                <w:szCs w:val="24"/>
                <w:lang w:val="en-GB"/>
              </w:rPr>
              <w:t xml:space="preserve"> opinion, and access to information (Article 21) and participation in cultural life (Article 30). </w:t>
            </w:r>
          </w:p>
        </w:tc>
      </w:tr>
      <w:tr w:rsidR="00C63E32" w:rsidRPr="00543A3B" w14:paraId="3733E37C" w14:textId="77777777" w:rsidTr="009547C9">
        <w:tc>
          <w:tcPr>
            <w:tcW w:w="9062" w:type="dxa"/>
            <w:gridSpan w:val="2"/>
          </w:tcPr>
          <w:p w14:paraId="106F8823" w14:textId="4E972004" w:rsidR="00C63E32" w:rsidRPr="00011E72" w:rsidRDefault="00C63E32" w:rsidP="00F73A6A">
            <w:pPr>
              <w:rPr>
                <w:b/>
                <w:bCs/>
                <w:sz w:val="24"/>
                <w:szCs w:val="24"/>
                <w:lang w:val="en-GB"/>
              </w:rPr>
            </w:pPr>
            <w:r w:rsidRPr="00011E72">
              <w:rPr>
                <w:b/>
                <w:bCs/>
                <w:sz w:val="24"/>
                <w:szCs w:val="24"/>
                <w:lang w:val="en-GB"/>
              </w:rPr>
              <w:t xml:space="preserve">Justification: </w:t>
            </w:r>
          </w:p>
          <w:p w14:paraId="588D138D" w14:textId="63FBCD67" w:rsidR="00C63E32" w:rsidRPr="00011E72" w:rsidRDefault="00C63E32" w:rsidP="00F73A6A">
            <w:pPr>
              <w:rPr>
                <w:b/>
                <w:bCs/>
                <w:sz w:val="24"/>
                <w:szCs w:val="24"/>
                <w:lang w:val="en-GB"/>
              </w:rPr>
            </w:pPr>
            <w:r w:rsidRPr="00011E72">
              <w:rPr>
                <w:sz w:val="24"/>
                <w:szCs w:val="24"/>
                <w:lang w:val="en-GB"/>
              </w:rPr>
              <w:t>The EU and Member States are State Parties to the Convention and obliged to align Union and national legislation and policies to the Convention. Therefore, it is important to highlight the CRPD as part of the human rights framework that the AVMSD should build on</w:t>
            </w:r>
            <w:r w:rsidR="00497675">
              <w:rPr>
                <w:sz w:val="24"/>
                <w:szCs w:val="24"/>
                <w:lang w:val="en-GB"/>
              </w:rPr>
              <w:t>.</w:t>
            </w:r>
          </w:p>
        </w:tc>
      </w:tr>
    </w:tbl>
    <w:p w14:paraId="7F92EF6C" w14:textId="77777777" w:rsidR="008511DA" w:rsidRPr="00497675" w:rsidRDefault="008511DA">
      <w:pPr>
        <w:rPr>
          <w:lang w:val="en-GB"/>
        </w:rPr>
      </w:pPr>
    </w:p>
    <w:tbl>
      <w:tblPr>
        <w:tblStyle w:val="TableGrid"/>
        <w:tblW w:w="0" w:type="auto"/>
        <w:tblLook w:val="04A0" w:firstRow="1" w:lastRow="0" w:firstColumn="1" w:lastColumn="0" w:noHBand="0" w:noVBand="1"/>
      </w:tblPr>
      <w:tblGrid>
        <w:gridCol w:w="4531"/>
        <w:gridCol w:w="4531"/>
      </w:tblGrid>
      <w:tr w:rsidR="008511DA" w:rsidRPr="00543A3B" w14:paraId="2BF6057F" w14:textId="77777777" w:rsidTr="00497675">
        <w:tc>
          <w:tcPr>
            <w:tcW w:w="4531" w:type="dxa"/>
            <w:shd w:val="clear" w:color="auto" w:fill="BDD6EE" w:themeFill="accent5" w:themeFillTint="66"/>
          </w:tcPr>
          <w:p w14:paraId="621D1A12" w14:textId="4AA33CE8" w:rsidR="008511DA" w:rsidRPr="00011E72" w:rsidRDefault="008511DA" w:rsidP="008511DA">
            <w:pPr>
              <w:rPr>
                <w:sz w:val="24"/>
                <w:szCs w:val="24"/>
                <w:lang w:val="en-GB"/>
              </w:rPr>
            </w:pPr>
            <w:r w:rsidRPr="00011E72">
              <w:rPr>
                <w:b/>
                <w:bCs/>
                <w:sz w:val="24"/>
                <w:szCs w:val="24"/>
                <w:lang w:val="en-GB"/>
              </w:rPr>
              <w:t>Parliament Proposal</w:t>
            </w:r>
          </w:p>
        </w:tc>
        <w:tc>
          <w:tcPr>
            <w:tcW w:w="4531" w:type="dxa"/>
            <w:shd w:val="clear" w:color="auto" w:fill="BDD6EE" w:themeFill="accent5" w:themeFillTint="66"/>
          </w:tcPr>
          <w:p w14:paraId="117E0E44" w14:textId="73646E04" w:rsidR="008511DA" w:rsidRPr="00011E72" w:rsidRDefault="008511DA" w:rsidP="008511DA">
            <w:pPr>
              <w:rPr>
                <w:sz w:val="24"/>
                <w:szCs w:val="24"/>
                <w:lang w:val="en-GB"/>
              </w:rPr>
            </w:pPr>
            <w:r w:rsidRPr="00011E72">
              <w:rPr>
                <w:b/>
                <w:bCs/>
                <w:sz w:val="24"/>
                <w:szCs w:val="24"/>
                <w:lang w:val="en-GB"/>
              </w:rPr>
              <w:t>EDF Proposed Amendments</w:t>
            </w:r>
          </w:p>
        </w:tc>
      </w:tr>
      <w:tr w:rsidR="008511DA" w:rsidRPr="00543A3B" w14:paraId="44A719C4" w14:textId="77777777" w:rsidTr="00284D4C">
        <w:tc>
          <w:tcPr>
            <w:tcW w:w="4531" w:type="dxa"/>
          </w:tcPr>
          <w:p w14:paraId="44BBD21C" w14:textId="17F34A6D" w:rsidR="008511DA" w:rsidRPr="00011E72" w:rsidRDefault="008511DA" w:rsidP="008511DA">
            <w:pPr>
              <w:rPr>
                <w:sz w:val="24"/>
                <w:szCs w:val="24"/>
                <w:lang w:val="en-GB"/>
              </w:rPr>
            </w:pPr>
            <w:r w:rsidRPr="00011E72">
              <w:rPr>
                <w:sz w:val="24"/>
                <w:szCs w:val="24"/>
                <w:lang w:val="en-GB"/>
              </w:rPr>
              <w:t>2. Recalls the Commission’s obligation, as laid down in Article 33, second sentence of the Directive, to submit a report on the application of the Directive no later than</w:t>
            </w:r>
          </w:p>
          <w:p w14:paraId="74785183" w14:textId="77777777" w:rsidR="008511DA" w:rsidRPr="00011E72" w:rsidRDefault="008511DA" w:rsidP="008511DA">
            <w:pPr>
              <w:rPr>
                <w:sz w:val="24"/>
                <w:szCs w:val="24"/>
                <w:lang w:val="en-GB"/>
              </w:rPr>
            </w:pPr>
            <w:r w:rsidRPr="00011E72">
              <w:rPr>
                <w:sz w:val="24"/>
                <w:szCs w:val="24"/>
                <w:lang w:val="en-GB"/>
              </w:rPr>
              <w:t xml:space="preserve">19 December 2022, and reminds the Member </w:t>
            </w:r>
            <w:proofErr w:type="gramStart"/>
            <w:r w:rsidRPr="00011E72">
              <w:rPr>
                <w:sz w:val="24"/>
                <w:szCs w:val="24"/>
                <w:lang w:val="en-GB"/>
              </w:rPr>
              <w:t>States’</w:t>
            </w:r>
            <w:proofErr w:type="gramEnd"/>
            <w:r w:rsidRPr="00011E72">
              <w:rPr>
                <w:sz w:val="24"/>
                <w:szCs w:val="24"/>
                <w:lang w:val="en-GB"/>
              </w:rPr>
              <w:t xml:space="preserve"> of their obligation under</w:t>
            </w:r>
          </w:p>
          <w:p w14:paraId="46DC0A85" w14:textId="77777777" w:rsidR="008511DA" w:rsidRPr="00011E72" w:rsidRDefault="008511DA" w:rsidP="008511DA">
            <w:pPr>
              <w:rPr>
                <w:sz w:val="24"/>
                <w:szCs w:val="24"/>
                <w:lang w:val="en-GB"/>
              </w:rPr>
            </w:pPr>
            <w:r w:rsidRPr="00011E72">
              <w:rPr>
                <w:sz w:val="24"/>
                <w:szCs w:val="24"/>
                <w:lang w:val="en-GB"/>
              </w:rPr>
              <w:t>Article 7(2) of the Directive to report to the Commission on progress regarding</w:t>
            </w:r>
          </w:p>
          <w:p w14:paraId="5CAAEF07" w14:textId="028C7AF2" w:rsidR="008511DA" w:rsidRPr="00011E72" w:rsidRDefault="008511DA" w:rsidP="008511DA">
            <w:pPr>
              <w:rPr>
                <w:sz w:val="24"/>
                <w:szCs w:val="24"/>
                <w:lang w:val="en-GB"/>
              </w:rPr>
            </w:pPr>
            <w:r w:rsidRPr="00011E72">
              <w:rPr>
                <w:sz w:val="24"/>
                <w:szCs w:val="24"/>
                <w:lang w:val="en-GB"/>
              </w:rPr>
              <w:t>accessibility by the same date;</w:t>
            </w:r>
          </w:p>
        </w:tc>
        <w:tc>
          <w:tcPr>
            <w:tcW w:w="4531" w:type="dxa"/>
          </w:tcPr>
          <w:p w14:paraId="21F32EEF" w14:textId="69A3DB04" w:rsidR="008511DA" w:rsidRPr="00011E72" w:rsidRDefault="008511DA" w:rsidP="008511DA">
            <w:pPr>
              <w:rPr>
                <w:sz w:val="24"/>
                <w:szCs w:val="24"/>
                <w:lang w:val="en-GB"/>
              </w:rPr>
            </w:pPr>
            <w:r w:rsidRPr="00011E72">
              <w:rPr>
                <w:sz w:val="24"/>
                <w:szCs w:val="24"/>
                <w:lang w:val="en-GB"/>
              </w:rPr>
              <w:t>2. Recalls the Commission’s obligation, as laid down in Article 33, second sentence of the Directive, to submit a report on the application of the Directive no later than</w:t>
            </w:r>
          </w:p>
          <w:p w14:paraId="095C3B6D" w14:textId="77777777" w:rsidR="008511DA" w:rsidRPr="00011E72" w:rsidRDefault="008511DA" w:rsidP="008511DA">
            <w:pPr>
              <w:rPr>
                <w:sz w:val="24"/>
                <w:szCs w:val="24"/>
                <w:lang w:val="en-GB"/>
              </w:rPr>
            </w:pPr>
            <w:r w:rsidRPr="00011E72">
              <w:rPr>
                <w:sz w:val="24"/>
                <w:szCs w:val="24"/>
                <w:lang w:val="en-GB"/>
              </w:rPr>
              <w:t xml:space="preserve">19 December 2022, and reminds the Member </w:t>
            </w:r>
            <w:proofErr w:type="gramStart"/>
            <w:r w:rsidRPr="00011E72">
              <w:rPr>
                <w:sz w:val="24"/>
                <w:szCs w:val="24"/>
                <w:lang w:val="en-GB"/>
              </w:rPr>
              <w:t>States’</w:t>
            </w:r>
            <w:proofErr w:type="gramEnd"/>
            <w:r w:rsidRPr="00011E72">
              <w:rPr>
                <w:sz w:val="24"/>
                <w:szCs w:val="24"/>
                <w:lang w:val="en-GB"/>
              </w:rPr>
              <w:t xml:space="preserve"> of their obligation under</w:t>
            </w:r>
          </w:p>
          <w:p w14:paraId="32608BB5" w14:textId="77777777" w:rsidR="008511DA" w:rsidRPr="00011E72" w:rsidRDefault="008511DA" w:rsidP="008511DA">
            <w:pPr>
              <w:rPr>
                <w:sz w:val="24"/>
                <w:szCs w:val="24"/>
                <w:lang w:val="en-GB"/>
              </w:rPr>
            </w:pPr>
            <w:r w:rsidRPr="00011E72">
              <w:rPr>
                <w:sz w:val="24"/>
                <w:szCs w:val="24"/>
                <w:lang w:val="en-GB"/>
              </w:rPr>
              <w:t>Article 7(2) of the Directive to report to the Commission on progress regarding</w:t>
            </w:r>
          </w:p>
          <w:p w14:paraId="6CBD20FA" w14:textId="77777777" w:rsidR="008511DA" w:rsidRPr="00011E72" w:rsidRDefault="008511DA" w:rsidP="008511DA">
            <w:pPr>
              <w:rPr>
                <w:b/>
                <w:bCs/>
                <w:i/>
                <w:iCs/>
                <w:sz w:val="24"/>
                <w:szCs w:val="24"/>
                <w:lang w:val="en-GB"/>
              </w:rPr>
            </w:pPr>
            <w:r w:rsidRPr="00011E72">
              <w:rPr>
                <w:sz w:val="24"/>
                <w:szCs w:val="24"/>
                <w:lang w:val="en-GB"/>
              </w:rPr>
              <w:t xml:space="preserve">accessibility by the same date. </w:t>
            </w:r>
            <w:r w:rsidRPr="00011E72">
              <w:rPr>
                <w:b/>
                <w:bCs/>
                <w:i/>
                <w:iCs/>
                <w:sz w:val="24"/>
                <w:szCs w:val="24"/>
                <w:lang w:val="en-GB"/>
              </w:rPr>
              <w:t>When assessing the Member States’ implementation of their obligations under the AVMSD, the Commission should verify that their understandings of ‘proportionate measures’ are not voiding Article 7.</w:t>
            </w:r>
          </w:p>
          <w:p w14:paraId="24A0B75C" w14:textId="2EA7002C" w:rsidR="008511DA" w:rsidRPr="00011E72" w:rsidRDefault="008511DA" w:rsidP="008511DA">
            <w:pPr>
              <w:rPr>
                <w:sz w:val="24"/>
                <w:szCs w:val="24"/>
                <w:lang w:val="en-GB"/>
              </w:rPr>
            </w:pPr>
          </w:p>
        </w:tc>
      </w:tr>
      <w:tr w:rsidR="008511DA" w:rsidRPr="008511DA" w14:paraId="0C6B5EBF" w14:textId="77777777" w:rsidTr="00F44B97">
        <w:tc>
          <w:tcPr>
            <w:tcW w:w="9062" w:type="dxa"/>
            <w:gridSpan w:val="2"/>
          </w:tcPr>
          <w:p w14:paraId="31EA60D5" w14:textId="77777777" w:rsidR="008511DA" w:rsidRPr="00011E72" w:rsidRDefault="008511DA" w:rsidP="008511DA">
            <w:pPr>
              <w:rPr>
                <w:b/>
                <w:bCs/>
                <w:sz w:val="24"/>
                <w:szCs w:val="24"/>
                <w:lang w:val="en-GB"/>
              </w:rPr>
            </w:pPr>
            <w:r w:rsidRPr="00011E72">
              <w:rPr>
                <w:b/>
                <w:bCs/>
                <w:sz w:val="24"/>
                <w:szCs w:val="24"/>
                <w:lang w:val="en-GB"/>
              </w:rPr>
              <w:lastRenderedPageBreak/>
              <w:t>Justification:</w:t>
            </w:r>
          </w:p>
          <w:p w14:paraId="28DEF50B" w14:textId="1662FE69" w:rsidR="008511DA" w:rsidRPr="00011E72" w:rsidRDefault="008511DA" w:rsidP="008511DA">
            <w:pPr>
              <w:rPr>
                <w:sz w:val="24"/>
                <w:szCs w:val="24"/>
                <w:lang w:val="en-GB"/>
              </w:rPr>
            </w:pPr>
            <w:r w:rsidRPr="00011E72">
              <w:rPr>
                <w:sz w:val="24"/>
                <w:szCs w:val="24"/>
                <w:lang w:val="en-GB"/>
              </w:rPr>
              <w:t xml:space="preserve">The AVMSD takes the legal form of a Directive and, therefore, Member States have discretion to implement some of its provisions. Article 7, which covers accessibility, is broad, </w:t>
            </w:r>
            <w:r>
              <w:rPr>
                <w:sz w:val="24"/>
                <w:szCs w:val="24"/>
                <w:lang w:val="en-GB"/>
              </w:rPr>
              <w:t>leaving</w:t>
            </w:r>
            <w:r w:rsidRPr="00011E72">
              <w:rPr>
                <w:sz w:val="24"/>
                <w:szCs w:val="24"/>
                <w:lang w:val="en-GB"/>
              </w:rPr>
              <w:t xml:space="preserve"> room for interpretation. Although it establishes </w:t>
            </w:r>
            <w:r>
              <w:rPr>
                <w:sz w:val="24"/>
                <w:szCs w:val="24"/>
                <w:lang w:val="en-GB"/>
              </w:rPr>
              <w:t xml:space="preserve">in article 7(1) </w:t>
            </w:r>
            <w:r w:rsidRPr="00011E72">
              <w:rPr>
                <w:sz w:val="24"/>
                <w:szCs w:val="24"/>
                <w:lang w:val="en-GB"/>
              </w:rPr>
              <w:t>a legal obligation fo</w:t>
            </w:r>
            <w:r w:rsidR="00D72BA5">
              <w:rPr>
                <w:sz w:val="24"/>
                <w:szCs w:val="24"/>
                <w:lang w:val="en-GB"/>
              </w:rPr>
              <w:t>r</w:t>
            </w:r>
            <w:r w:rsidRPr="00011E72">
              <w:rPr>
                <w:sz w:val="24"/>
                <w:szCs w:val="24"/>
                <w:lang w:val="en-GB"/>
              </w:rPr>
              <w:t xml:space="preserve"> Member States to make </w:t>
            </w:r>
            <w:r>
              <w:rPr>
                <w:sz w:val="24"/>
                <w:szCs w:val="24"/>
                <w:lang w:val="en-GB"/>
              </w:rPr>
              <w:t xml:space="preserve">audiovisual </w:t>
            </w:r>
            <w:r w:rsidRPr="00011E72">
              <w:rPr>
                <w:sz w:val="24"/>
                <w:szCs w:val="24"/>
                <w:lang w:val="en-GB"/>
              </w:rPr>
              <w:t>media services continuously and progressively more accessible</w:t>
            </w:r>
            <w:r>
              <w:rPr>
                <w:sz w:val="24"/>
                <w:szCs w:val="24"/>
                <w:lang w:val="en-GB"/>
              </w:rPr>
              <w:t>, the wording of “proportionate measures” has been used by a number of Member States to avoid setting obligations to ensure progress in media accessibility by audiovisual media services providers (for example excluding commercial broadcasters or video on demand platforms), and by excluding certain techniques (laid down in AVMSD recital 23) which ultimately exclude specific disability groups.</w:t>
            </w:r>
            <w:r w:rsidR="00D72BA5">
              <w:rPr>
                <w:sz w:val="24"/>
                <w:szCs w:val="24"/>
                <w:lang w:val="en-GB"/>
              </w:rPr>
              <w:t xml:space="preserve"> </w:t>
            </w:r>
            <w:r w:rsidRPr="00011E72">
              <w:rPr>
                <w:sz w:val="24"/>
                <w:szCs w:val="24"/>
                <w:lang w:val="en-GB"/>
              </w:rPr>
              <w:t xml:space="preserve"> As seen in the </w:t>
            </w:r>
            <w:hyperlink r:id="rId9" w:history="1">
              <w:r w:rsidRPr="00011E72">
                <w:rPr>
                  <w:rStyle w:val="Hyperlink"/>
                  <w:sz w:val="24"/>
                  <w:szCs w:val="24"/>
                  <w:lang w:val="en-GB"/>
                </w:rPr>
                <w:t>ERGA Report on Article 7.1</w:t>
              </w:r>
            </w:hyperlink>
            <w:r w:rsidRPr="00011E72">
              <w:rPr>
                <w:sz w:val="24"/>
                <w:szCs w:val="24"/>
                <w:lang w:val="en-GB"/>
              </w:rPr>
              <w:t xml:space="preserve">, this vagueness is leading to divergences among </w:t>
            </w:r>
            <w:r>
              <w:rPr>
                <w:sz w:val="24"/>
                <w:szCs w:val="24"/>
                <w:lang w:val="en-GB"/>
              </w:rPr>
              <w:t>Member States</w:t>
            </w:r>
            <w:r w:rsidRPr="00011E72">
              <w:rPr>
                <w:sz w:val="24"/>
                <w:szCs w:val="24"/>
                <w:lang w:val="en-GB"/>
              </w:rPr>
              <w:t xml:space="preserve">. At EDF, we believe that this </w:t>
            </w:r>
            <w:r>
              <w:rPr>
                <w:sz w:val="24"/>
                <w:szCs w:val="24"/>
                <w:lang w:val="en-GB"/>
              </w:rPr>
              <w:t xml:space="preserve">have led </w:t>
            </w:r>
            <w:r w:rsidRPr="00011E72">
              <w:rPr>
                <w:sz w:val="24"/>
                <w:szCs w:val="24"/>
                <w:lang w:val="en-GB"/>
              </w:rPr>
              <w:t xml:space="preserve">to MS adopting laws which simply do not comply with the </w:t>
            </w:r>
            <w:r>
              <w:rPr>
                <w:sz w:val="24"/>
                <w:szCs w:val="24"/>
                <w:lang w:val="en-GB"/>
              </w:rPr>
              <w:t xml:space="preserve">sprit and objectives of the </w:t>
            </w:r>
            <w:r w:rsidRPr="00011E72">
              <w:rPr>
                <w:sz w:val="24"/>
                <w:szCs w:val="24"/>
                <w:lang w:val="en-GB"/>
              </w:rPr>
              <w:t xml:space="preserve">legislation, an issue that should be closely monitored by the Commission. </w:t>
            </w:r>
          </w:p>
        </w:tc>
      </w:tr>
    </w:tbl>
    <w:p w14:paraId="42F803B6" w14:textId="77777777" w:rsidR="008511DA" w:rsidRDefault="008511DA"/>
    <w:tbl>
      <w:tblPr>
        <w:tblStyle w:val="TableGrid"/>
        <w:tblW w:w="0" w:type="auto"/>
        <w:tblLook w:val="04A0" w:firstRow="1" w:lastRow="0" w:firstColumn="1" w:lastColumn="0" w:noHBand="0" w:noVBand="1"/>
      </w:tblPr>
      <w:tblGrid>
        <w:gridCol w:w="4531"/>
        <w:gridCol w:w="4531"/>
      </w:tblGrid>
      <w:tr w:rsidR="008511DA" w:rsidRPr="00543A3B" w14:paraId="18F79923" w14:textId="77777777" w:rsidTr="00497675">
        <w:tc>
          <w:tcPr>
            <w:tcW w:w="4531" w:type="dxa"/>
            <w:shd w:val="clear" w:color="auto" w:fill="BDD6EE" w:themeFill="accent5" w:themeFillTint="66"/>
          </w:tcPr>
          <w:p w14:paraId="211E9091" w14:textId="0D743549" w:rsidR="008511DA" w:rsidRPr="00011E72" w:rsidRDefault="008511DA" w:rsidP="008511DA">
            <w:pPr>
              <w:rPr>
                <w:sz w:val="24"/>
                <w:szCs w:val="24"/>
                <w:lang w:val="en-GB"/>
              </w:rPr>
            </w:pPr>
            <w:r w:rsidRPr="00011E72">
              <w:rPr>
                <w:b/>
                <w:bCs/>
                <w:sz w:val="24"/>
                <w:szCs w:val="24"/>
                <w:lang w:val="en-GB"/>
              </w:rPr>
              <w:t>Parliament Proposal</w:t>
            </w:r>
          </w:p>
        </w:tc>
        <w:tc>
          <w:tcPr>
            <w:tcW w:w="4531" w:type="dxa"/>
            <w:shd w:val="clear" w:color="auto" w:fill="BDD6EE" w:themeFill="accent5" w:themeFillTint="66"/>
          </w:tcPr>
          <w:p w14:paraId="2C9CDDD9" w14:textId="3E2CDA48" w:rsidR="008511DA" w:rsidRPr="00011E72" w:rsidRDefault="008511DA" w:rsidP="008511DA">
            <w:pPr>
              <w:rPr>
                <w:sz w:val="24"/>
                <w:szCs w:val="24"/>
                <w:lang w:val="en-GB"/>
              </w:rPr>
            </w:pPr>
            <w:r w:rsidRPr="00011E72">
              <w:rPr>
                <w:b/>
                <w:bCs/>
                <w:sz w:val="24"/>
                <w:szCs w:val="24"/>
                <w:lang w:val="en-GB"/>
              </w:rPr>
              <w:t>EDF Proposed Amendments</w:t>
            </w:r>
          </w:p>
        </w:tc>
      </w:tr>
      <w:tr w:rsidR="008511DA" w:rsidRPr="00543A3B" w14:paraId="6CAD6385" w14:textId="77777777" w:rsidTr="00284D4C">
        <w:tc>
          <w:tcPr>
            <w:tcW w:w="4531" w:type="dxa"/>
          </w:tcPr>
          <w:p w14:paraId="39EB8A72" w14:textId="65CDA105" w:rsidR="008511DA" w:rsidRPr="00011E72" w:rsidRDefault="008511DA" w:rsidP="008511DA">
            <w:pPr>
              <w:rPr>
                <w:sz w:val="24"/>
                <w:szCs w:val="24"/>
                <w:lang w:val="en-GB"/>
              </w:rPr>
            </w:pPr>
            <w:r w:rsidRPr="00011E72">
              <w:rPr>
                <w:sz w:val="24"/>
                <w:szCs w:val="24"/>
                <w:lang w:val="en-GB"/>
              </w:rPr>
              <w:t xml:space="preserve">7. Calls on the Commission, </w:t>
            </w:r>
            <w:proofErr w:type="gramStart"/>
            <w:r w:rsidRPr="00011E72">
              <w:rPr>
                <w:sz w:val="24"/>
                <w:szCs w:val="24"/>
                <w:lang w:val="en-GB"/>
              </w:rPr>
              <w:t>on the basis of</w:t>
            </w:r>
            <w:proofErr w:type="gramEnd"/>
            <w:r w:rsidRPr="00011E72">
              <w:rPr>
                <w:sz w:val="24"/>
                <w:szCs w:val="24"/>
                <w:lang w:val="en-GB"/>
              </w:rPr>
              <w:t xml:space="preserve"> the Member States’ reports and in cooperation with ERGA, to work on common qualitative and quantitative targets to promote the</w:t>
            </w:r>
          </w:p>
          <w:p w14:paraId="1C2AFC80" w14:textId="77777777" w:rsidR="008511DA" w:rsidRPr="00011E72" w:rsidRDefault="008511DA" w:rsidP="008511DA">
            <w:pPr>
              <w:rPr>
                <w:sz w:val="24"/>
                <w:szCs w:val="24"/>
                <w:lang w:val="en-GB"/>
              </w:rPr>
            </w:pPr>
            <w:r w:rsidRPr="00011E72">
              <w:rPr>
                <w:sz w:val="24"/>
                <w:szCs w:val="24"/>
                <w:lang w:val="en-GB"/>
              </w:rPr>
              <w:t>further development of accessible services and to improve the accessibility of services</w:t>
            </w:r>
          </w:p>
          <w:p w14:paraId="0E1E7E43" w14:textId="3825801C" w:rsidR="008511DA" w:rsidRPr="00011E72" w:rsidRDefault="008511DA" w:rsidP="008511DA">
            <w:pPr>
              <w:rPr>
                <w:sz w:val="24"/>
                <w:szCs w:val="24"/>
                <w:lang w:val="en-GB"/>
              </w:rPr>
            </w:pPr>
            <w:r w:rsidRPr="00011E72">
              <w:rPr>
                <w:sz w:val="24"/>
                <w:szCs w:val="24"/>
                <w:lang w:val="en-GB"/>
              </w:rPr>
              <w:t>overall;</w:t>
            </w:r>
          </w:p>
        </w:tc>
        <w:tc>
          <w:tcPr>
            <w:tcW w:w="4531" w:type="dxa"/>
          </w:tcPr>
          <w:p w14:paraId="7DC3D060" w14:textId="55054FB2" w:rsidR="008511DA" w:rsidRPr="00011E72" w:rsidRDefault="008511DA" w:rsidP="008511DA">
            <w:pPr>
              <w:rPr>
                <w:sz w:val="24"/>
                <w:szCs w:val="24"/>
                <w:lang w:val="en-GB"/>
              </w:rPr>
            </w:pPr>
            <w:r w:rsidRPr="00011E72">
              <w:rPr>
                <w:sz w:val="24"/>
                <w:szCs w:val="24"/>
                <w:lang w:val="en-GB"/>
              </w:rPr>
              <w:t xml:space="preserve">7. Calls on the Commission, </w:t>
            </w:r>
            <w:proofErr w:type="gramStart"/>
            <w:r w:rsidRPr="00011E72">
              <w:rPr>
                <w:sz w:val="24"/>
                <w:szCs w:val="24"/>
                <w:lang w:val="en-GB"/>
              </w:rPr>
              <w:t>on the basis of</w:t>
            </w:r>
            <w:proofErr w:type="gramEnd"/>
            <w:r w:rsidRPr="00011E72">
              <w:rPr>
                <w:sz w:val="24"/>
                <w:szCs w:val="24"/>
                <w:lang w:val="en-GB"/>
              </w:rPr>
              <w:t xml:space="preserve"> the Member States’ reports and in cooperation with ERGA, to work on common qualitative and quantitative targets to promote the</w:t>
            </w:r>
          </w:p>
          <w:p w14:paraId="5C1DF998" w14:textId="0AA30462" w:rsidR="008511DA" w:rsidRPr="00011E72" w:rsidRDefault="008511DA" w:rsidP="008511DA">
            <w:pPr>
              <w:rPr>
                <w:sz w:val="24"/>
                <w:szCs w:val="24"/>
                <w:lang w:val="en-GB"/>
              </w:rPr>
            </w:pPr>
            <w:r w:rsidRPr="00011E72">
              <w:rPr>
                <w:sz w:val="24"/>
                <w:szCs w:val="24"/>
                <w:lang w:val="en-GB"/>
              </w:rPr>
              <w:t xml:space="preserve">further development of accessible services </w:t>
            </w:r>
            <w:r>
              <w:rPr>
                <w:b/>
                <w:bCs/>
                <w:i/>
                <w:iCs/>
                <w:sz w:val="24"/>
                <w:szCs w:val="24"/>
                <w:lang w:val="en-GB"/>
              </w:rPr>
              <w:t xml:space="preserve">for persons with disabilities </w:t>
            </w:r>
            <w:r w:rsidRPr="00011E72">
              <w:rPr>
                <w:sz w:val="24"/>
                <w:szCs w:val="24"/>
                <w:lang w:val="en-GB"/>
              </w:rPr>
              <w:t>and to improve the accessibility of services</w:t>
            </w:r>
          </w:p>
          <w:p w14:paraId="42DE7EA5" w14:textId="6EC6BF35" w:rsidR="008511DA" w:rsidRPr="00011E72" w:rsidRDefault="008511DA" w:rsidP="008511DA">
            <w:pPr>
              <w:rPr>
                <w:sz w:val="24"/>
                <w:szCs w:val="24"/>
                <w:lang w:val="en-GB"/>
              </w:rPr>
            </w:pPr>
            <w:proofErr w:type="gramStart"/>
            <w:r w:rsidRPr="00011E72">
              <w:rPr>
                <w:sz w:val="24"/>
                <w:szCs w:val="24"/>
                <w:lang w:val="en-GB"/>
              </w:rPr>
              <w:t>overall;</w:t>
            </w:r>
            <w:proofErr w:type="gramEnd"/>
            <w:r w:rsidRPr="00011E72">
              <w:rPr>
                <w:sz w:val="24"/>
                <w:szCs w:val="24"/>
                <w:lang w:val="en-GB"/>
              </w:rPr>
              <w:t xml:space="preserve"> </w:t>
            </w:r>
            <w:r w:rsidRPr="00011E72">
              <w:rPr>
                <w:b/>
                <w:bCs/>
                <w:i/>
                <w:iCs/>
                <w:sz w:val="24"/>
                <w:szCs w:val="24"/>
                <w:lang w:val="en-GB"/>
              </w:rPr>
              <w:t>Such targets should state, with clear timelines, what percentage of audiovisual content should be made accessible and for what type of access service</w:t>
            </w:r>
            <w:r>
              <w:rPr>
                <w:b/>
                <w:bCs/>
                <w:i/>
                <w:iCs/>
                <w:sz w:val="24"/>
                <w:szCs w:val="24"/>
                <w:lang w:val="en-GB"/>
              </w:rPr>
              <w:t>. These targets should be based on the situation of media accessibility in the Member State</w:t>
            </w:r>
            <w:r w:rsidRPr="00011E72">
              <w:rPr>
                <w:b/>
                <w:bCs/>
                <w:i/>
                <w:iCs/>
                <w:sz w:val="24"/>
                <w:szCs w:val="24"/>
                <w:lang w:val="en-GB"/>
              </w:rPr>
              <w:t xml:space="preserve">. </w:t>
            </w:r>
          </w:p>
        </w:tc>
      </w:tr>
      <w:tr w:rsidR="008511DA" w:rsidRPr="00543A3B" w14:paraId="4D70B65A" w14:textId="77777777" w:rsidTr="00C74E52">
        <w:tc>
          <w:tcPr>
            <w:tcW w:w="9062" w:type="dxa"/>
            <w:gridSpan w:val="2"/>
          </w:tcPr>
          <w:p w14:paraId="5113BC17" w14:textId="77777777" w:rsidR="008511DA" w:rsidRPr="00011E72" w:rsidRDefault="008511DA" w:rsidP="008511DA">
            <w:pPr>
              <w:rPr>
                <w:b/>
                <w:bCs/>
                <w:sz w:val="24"/>
                <w:szCs w:val="24"/>
                <w:lang w:val="en-GB"/>
              </w:rPr>
            </w:pPr>
            <w:r w:rsidRPr="00011E72">
              <w:rPr>
                <w:b/>
                <w:bCs/>
                <w:sz w:val="24"/>
                <w:szCs w:val="24"/>
                <w:lang w:val="en-GB"/>
              </w:rPr>
              <w:t>Justification</w:t>
            </w:r>
          </w:p>
          <w:p w14:paraId="16581D82" w14:textId="3ABEE1AA" w:rsidR="008511DA" w:rsidRPr="00011E72" w:rsidRDefault="008511DA" w:rsidP="008511DA">
            <w:pPr>
              <w:rPr>
                <w:sz w:val="24"/>
                <w:szCs w:val="24"/>
                <w:lang w:val="en-GB"/>
              </w:rPr>
            </w:pPr>
            <w:r w:rsidRPr="00011E72">
              <w:rPr>
                <w:sz w:val="24"/>
                <w:szCs w:val="24"/>
                <w:lang w:val="en-GB"/>
              </w:rPr>
              <w:t>Although they are not established by the Directive, targets and timelines are key tools to ensure the proper implementation and monitoring of the accessibility obligations. Such targets should state what percentage of audiovisual content should be made accessible, for what access services (</w:t>
            </w:r>
            <w:r>
              <w:rPr>
                <w:sz w:val="24"/>
                <w:szCs w:val="24"/>
                <w:lang w:val="en-GB"/>
              </w:rPr>
              <w:t>meaning the techniques laid down in AVMSD recital 23: s</w:t>
            </w:r>
            <w:r w:rsidRPr="00011E72">
              <w:rPr>
                <w:sz w:val="24"/>
                <w:szCs w:val="24"/>
                <w:lang w:val="en-GB"/>
              </w:rPr>
              <w:t>ubtitles for deaf and hard of hearing, audio-description, sign language,</w:t>
            </w:r>
            <w:r>
              <w:rPr>
                <w:sz w:val="24"/>
                <w:szCs w:val="24"/>
                <w:lang w:val="en-GB"/>
              </w:rPr>
              <w:t xml:space="preserve"> and</w:t>
            </w:r>
            <w:r w:rsidRPr="00011E72">
              <w:rPr>
                <w:sz w:val="24"/>
                <w:szCs w:val="24"/>
                <w:lang w:val="en-GB"/>
              </w:rPr>
              <w:t xml:space="preserve"> spoken subtitles) and its timeline</w:t>
            </w:r>
            <w:r>
              <w:rPr>
                <w:sz w:val="24"/>
                <w:szCs w:val="24"/>
                <w:lang w:val="en-GB"/>
              </w:rPr>
              <w:t>,</w:t>
            </w:r>
            <w:r w:rsidRPr="00011E72">
              <w:rPr>
                <w:sz w:val="24"/>
                <w:szCs w:val="24"/>
                <w:lang w:val="en-GB"/>
              </w:rPr>
              <w:t xml:space="preserve"> for example, what percentage of content should have Subtitles for the deaf and hard of hearing in one year, two years, three years, four years, etc. after national law has come into force. </w:t>
            </w:r>
          </w:p>
        </w:tc>
      </w:tr>
    </w:tbl>
    <w:p w14:paraId="3FB33229" w14:textId="23C8191C" w:rsidR="008511DA" w:rsidRDefault="008511DA"/>
    <w:p w14:paraId="4E78110D" w14:textId="6F32FD4E" w:rsidR="00497675" w:rsidRDefault="00497675"/>
    <w:p w14:paraId="12ABD0B8" w14:textId="15AC5302" w:rsidR="00497675" w:rsidRDefault="00497675"/>
    <w:p w14:paraId="0EF93238" w14:textId="0908548E" w:rsidR="004E1E23" w:rsidRDefault="004E1E23"/>
    <w:p w14:paraId="1FA086A2" w14:textId="77777777" w:rsidR="004E1E23" w:rsidRDefault="004E1E23"/>
    <w:tbl>
      <w:tblPr>
        <w:tblStyle w:val="TableGrid"/>
        <w:tblW w:w="0" w:type="auto"/>
        <w:tblLook w:val="04A0" w:firstRow="1" w:lastRow="0" w:firstColumn="1" w:lastColumn="0" w:noHBand="0" w:noVBand="1"/>
      </w:tblPr>
      <w:tblGrid>
        <w:gridCol w:w="4531"/>
        <w:gridCol w:w="4531"/>
      </w:tblGrid>
      <w:tr w:rsidR="008511DA" w:rsidRPr="00543A3B" w14:paraId="5849D975" w14:textId="77777777" w:rsidTr="00497675">
        <w:tc>
          <w:tcPr>
            <w:tcW w:w="4531" w:type="dxa"/>
            <w:shd w:val="clear" w:color="auto" w:fill="BDD6EE" w:themeFill="accent5" w:themeFillTint="66"/>
          </w:tcPr>
          <w:p w14:paraId="7A811F95" w14:textId="55248C8C" w:rsidR="008511DA" w:rsidRPr="00011E72" w:rsidRDefault="008511DA" w:rsidP="008511DA">
            <w:pPr>
              <w:rPr>
                <w:sz w:val="24"/>
                <w:szCs w:val="24"/>
                <w:lang w:val="en-GB"/>
              </w:rPr>
            </w:pPr>
            <w:r w:rsidRPr="00011E72">
              <w:rPr>
                <w:b/>
                <w:bCs/>
                <w:sz w:val="24"/>
                <w:szCs w:val="24"/>
                <w:lang w:val="en-GB"/>
              </w:rPr>
              <w:lastRenderedPageBreak/>
              <w:t>Parliament Proposal</w:t>
            </w:r>
          </w:p>
        </w:tc>
        <w:tc>
          <w:tcPr>
            <w:tcW w:w="4531" w:type="dxa"/>
            <w:shd w:val="clear" w:color="auto" w:fill="BDD6EE" w:themeFill="accent5" w:themeFillTint="66"/>
          </w:tcPr>
          <w:p w14:paraId="46A58E1D" w14:textId="7630BCD5" w:rsidR="008511DA" w:rsidRPr="00011E72" w:rsidRDefault="008511DA" w:rsidP="008511DA">
            <w:pPr>
              <w:rPr>
                <w:b/>
                <w:bCs/>
                <w:i/>
                <w:iCs/>
                <w:sz w:val="24"/>
                <w:szCs w:val="24"/>
                <w:lang w:val="en-GB"/>
              </w:rPr>
            </w:pPr>
            <w:r w:rsidRPr="00011E72">
              <w:rPr>
                <w:b/>
                <w:bCs/>
                <w:sz w:val="24"/>
                <w:szCs w:val="24"/>
                <w:lang w:val="en-GB"/>
              </w:rPr>
              <w:t>EDF Proposed Amendments</w:t>
            </w:r>
          </w:p>
        </w:tc>
      </w:tr>
      <w:tr w:rsidR="00F73A6A" w:rsidRPr="00543A3B" w14:paraId="3D0BEC38" w14:textId="77777777" w:rsidTr="00284D4C">
        <w:tc>
          <w:tcPr>
            <w:tcW w:w="4531" w:type="dxa"/>
          </w:tcPr>
          <w:p w14:paraId="06E3CE8B" w14:textId="66A9525F" w:rsidR="00F73A6A" w:rsidRPr="00011E72" w:rsidRDefault="00F73A6A" w:rsidP="00F73A6A">
            <w:pPr>
              <w:rPr>
                <w:sz w:val="24"/>
                <w:szCs w:val="24"/>
                <w:lang w:val="en-GB"/>
              </w:rPr>
            </w:pPr>
            <w:r w:rsidRPr="00011E72">
              <w:rPr>
                <w:sz w:val="24"/>
                <w:szCs w:val="24"/>
                <w:lang w:val="en-GB"/>
              </w:rPr>
              <w:t>N/A</w:t>
            </w:r>
          </w:p>
        </w:tc>
        <w:tc>
          <w:tcPr>
            <w:tcW w:w="4531" w:type="dxa"/>
          </w:tcPr>
          <w:p w14:paraId="3A80F120" w14:textId="77777777" w:rsidR="00F73A6A" w:rsidRPr="00011E72" w:rsidRDefault="00F73A6A" w:rsidP="00F73A6A">
            <w:pPr>
              <w:rPr>
                <w:b/>
                <w:bCs/>
                <w:i/>
                <w:iCs/>
                <w:sz w:val="24"/>
                <w:szCs w:val="24"/>
                <w:lang w:val="en-GB"/>
              </w:rPr>
            </w:pPr>
            <w:r w:rsidRPr="00011E72">
              <w:rPr>
                <w:b/>
                <w:bCs/>
                <w:i/>
                <w:iCs/>
                <w:sz w:val="24"/>
                <w:szCs w:val="24"/>
                <w:lang w:val="en-GB"/>
              </w:rPr>
              <w:t>(7a new): Calls on the Commission to request European standards for access services, including icons, which respect existing practices but can be used by countries in which there is no quality guidance.</w:t>
            </w:r>
          </w:p>
          <w:p w14:paraId="6C776FE1" w14:textId="65B87C2C" w:rsidR="00F73A6A" w:rsidRPr="00011E72" w:rsidRDefault="00F73A6A" w:rsidP="00F73A6A">
            <w:pPr>
              <w:rPr>
                <w:b/>
                <w:bCs/>
                <w:i/>
                <w:iCs/>
                <w:sz w:val="24"/>
                <w:szCs w:val="24"/>
                <w:lang w:val="en-GB"/>
              </w:rPr>
            </w:pPr>
          </w:p>
        </w:tc>
      </w:tr>
      <w:tr w:rsidR="00F73A6A" w:rsidRPr="00543A3B" w14:paraId="692A832F" w14:textId="77777777" w:rsidTr="007D4F1D">
        <w:tc>
          <w:tcPr>
            <w:tcW w:w="9062" w:type="dxa"/>
            <w:gridSpan w:val="2"/>
          </w:tcPr>
          <w:p w14:paraId="135D6189" w14:textId="77777777" w:rsidR="00F73A6A" w:rsidRPr="00011E72" w:rsidRDefault="00F73A6A" w:rsidP="00F73A6A">
            <w:pPr>
              <w:rPr>
                <w:b/>
                <w:bCs/>
                <w:sz w:val="24"/>
                <w:szCs w:val="24"/>
                <w:lang w:val="en-GB"/>
              </w:rPr>
            </w:pPr>
            <w:r w:rsidRPr="00011E72">
              <w:rPr>
                <w:b/>
                <w:bCs/>
                <w:sz w:val="24"/>
                <w:szCs w:val="24"/>
                <w:lang w:val="en-GB"/>
              </w:rPr>
              <w:t>Justification</w:t>
            </w:r>
          </w:p>
          <w:p w14:paraId="5A617DF8" w14:textId="5E0088A2" w:rsidR="00F73A6A" w:rsidRPr="00011E72" w:rsidRDefault="00F73A6A" w:rsidP="00F73A6A">
            <w:pPr>
              <w:rPr>
                <w:sz w:val="24"/>
                <w:szCs w:val="24"/>
                <w:lang w:val="en-GB"/>
              </w:rPr>
            </w:pPr>
            <w:r w:rsidRPr="00011E72">
              <w:rPr>
                <w:sz w:val="24"/>
                <w:szCs w:val="24"/>
                <w:lang w:val="en-GB"/>
              </w:rPr>
              <w:t xml:space="preserve">Currently there are no </w:t>
            </w:r>
            <w:r w:rsidR="00567766">
              <w:rPr>
                <w:sz w:val="24"/>
                <w:szCs w:val="24"/>
                <w:lang w:val="en-GB"/>
              </w:rPr>
              <w:t xml:space="preserve">European </w:t>
            </w:r>
            <w:r w:rsidRPr="00011E72">
              <w:rPr>
                <w:sz w:val="24"/>
                <w:szCs w:val="24"/>
                <w:lang w:val="en-GB"/>
              </w:rPr>
              <w:t xml:space="preserve">standards on access services. Standards are important because they provide guidance and certainty to public administrations and businesses on how to </w:t>
            </w:r>
            <w:r w:rsidR="00567766">
              <w:rPr>
                <w:sz w:val="24"/>
                <w:szCs w:val="24"/>
                <w:lang w:val="en-GB"/>
              </w:rPr>
              <w:t xml:space="preserve">ensure quality and live up to existing policies, in this case on how to </w:t>
            </w:r>
            <w:r w:rsidRPr="00011E72">
              <w:rPr>
                <w:sz w:val="24"/>
                <w:szCs w:val="24"/>
                <w:lang w:val="en-GB"/>
              </w:rPr>
              <w:t xml:space="preserve">make their </w:t>
            </w:r>
            <w:r w:rsidR="00567766">
              <w:rPr>
                <w:sz w:val="24"/>
                <w:szCs w:val="24"/>
                <w:lang w:val="en-GB"/>
              </w:rPr>
              <w:t xml:space="preserve">audiovisual media </w:t>
            </w:r>
            <w:r w:rsidRPr="00011E72">
              <w:rPr>
                <w:sz w:val="24"/>
                <w:szCs w:val="24"/>
                <w:lang w:val="en-GB"/>
              </w:rPr>
              <w:t xml:space="preserve">services </w:t>
            </w:r>
            <w:r w:rsidR="00567766">
              <w:rPr>
                <w:sz w:val="24"/>
                <w:szCs w:val="24"/>
                <w:lang w:val="en-GB"/>
              </w:rPr>
              <w:t xml:space="preserve">more </w:t>
            </w:r>
            <w:r w:rsidRPr="00011E72">
              <w:rPr>
                <w:sz w:val="24"/>
                <w:szCs w:val="24"/>
                <w:lang w:val="en-GB"/>
              </w:rPr>
              <w:t>accessible</w:t>
            </w:r>
            <w:r w:rsidR="00567766">
              <w:rPr>
                <w:sz w:val="24"/>
                <w:szCs w:val="24"/>
                <w:lang w:val="en-GB"/>
              </w:rPr>
              <w:t xml:space="preserve"> to persons with disabilities</w:t>
            </w:r>
            <w:r w:rsidRPr="00011E72">
              <w:rPr>
                <w:sz w:val="24"/>
                <w:szCs w:val="24"/>
                <w:lang w:val="en-GB"/>
              </w:rPr>
              <w:t xml:space="preserve">. </w:t>
            </w:r>
            <w:r w:rsidR="00567766">
              <w:rPr>
                <w:sz w:val="24"/>
                <w:szCs w:val="24"/>
                <w:lang w:val="en-GB"/>
              </w:rPr>
              <w:t>Certain countries do have national standards which ensure the quality of the access services provided by audiovisual services providers. Adopting common European standards on access services will contribute that EU countries in which media accessibility is still starting, they can do so by ensuring quality as well.</w:t>
            </w:r>
            <w:r w:rsidR="00CE1E6D">
              <w:rPr>
                <w:sz w:val="24"/>
                <w:szCs w:val="24"/>
                <w:lang w:val="en-GB"/>
              </w:rPr>
              <w:t xml:space="preserve"> Furthermore, having common European icons for the different access services will facilitate findability by consumers across the EU.</w:t>
            </w:r>
            <w:r w:rsidR="00567766">
              <w:rPr>
                <w:sz w:val="24"/>
                <w:szCs w:val="24"/>
                <w:lang w:val="en-GB"/>
              </w:rPr>
              <w:t xml:space="preserve"> </w:t>
            </w:r>
          </w:p>
        </w:tc>
      </w:tr>
    </w:tbl>
    <w:p w14:paraId="58982EF4" w14:textId="77777777" w:rsidR="008511DA" w:rsidRDefault="008511DA"/>
    <w:tbl>
      <w:tblPr>
        <w:tblStyle w:val="TableGrid"/>
        <w:tblW w:w="0" w:type="auto"/>
        <w:tblLook w:val="04A0" w:firstRow="1" w:lastRow="0" w:firstColumn="1" w:lastColumn="0" w:noHBand="0" w:noVBand="1"/>
      </w:tblPr>
      <w:tblGrid>
        <w:gridCol w:w="4531"/>
        <w:gridCol w:w="4531"/>
      </w:tblGrid>
      <w:tr w:rsidR="008511DA" w:rsidRPr="00543A3B" w14:paraId="67935590" w14:textId="77777777" w:rsidTr="00497675">
        <w:tc>
          <w:tcPr>
            <w:tcW w:w="4531" w:type="dxa"/>
            <w:shd w:val="clear" w:color="auto" w:fill="BDD6EE" w:themeFill="accent5" w:themeFillTint="66"/>
          </w:tcPr>
          <w:p w14:paraId="4D0047F2" w14:textId="3C1C0040" w:rsidR="008511DA" w:rsidRPr="00011E72" w:rsidRDefault="008511DA" w:rsidP="008511DA">
            <w:pPr>
              <w:rPr>
                <w:sz w:val="24"/>
                <w:szCs w:val="24"/>
                <w:lang w:val="en-GB"/>
              </w:rPr>
            </w:pPr>
            <w:r w:rsidRPr="00011E72">
              <w:rPr>
                <w:b/>
                <w:bCs/>
                <w:sz w:val="24"/>
                <w:szCs w:val="24"/>
                <w:lang w:val="en-GB"/>
              </w:rPr>
              <w:t>Parliament Proposal</w:t>
            </w:r>
          </w:p>
        </w:tc>
        <w:tc>
          <w:tcPr>
            <w:tcW w:w="4531" w:type="dxa"/>
            <w:shd w:val="clear" w:color="auto" w:fill="BDD6EE" w:themeFill="accent5" w:themeFillTint="66"/>
          </w:tcPr>
          <w:p w14:paraId="1ED4DF9D" w14:textId="19426BB2" w:rsidR="008511DA" w:rsidRPr="00011E72" w:rsidRDefault="008511DA" w:rsidP="008511DA">
            <w:pPr>
              <w:rPr>
                <w:b/>
                <w:bCs/>
                <w:i/>
                <w:iCs/>
                <w:sz w:val="24"/>
                <w:szCs w:val="24"/>
                <w:lang w:val="en-GB"/>
              </w:rPr>
            </w:pPr>
            <w:r w:rsidRPr="00011E72">
              <w:rPr>
                <w:b/>
                <w:bCs/>
                <w:sz w:val="24"/>
                <w:szCs w:val="24"/>
                <w:lang w:val="en-GB"/>
              </w:rPr>
              <w:t>EDF Proposed Amendments</w:t>
            </w:r>
          </w:p>
        </w:tc>
      </w:tr>
      <w:tr w:rsidR="00F73A6A" w:rsidRPr="00543A3B" w14:paraId="19B7F17B" w14:textId="77777777" w:rsidTr="00284D4C">
        <w:tc>
          <w:tcPr>
            <w:tcW w:w="4531" w:type="dxa"/>
          </w:tcPr>
          <w:p w14:paraId="59A2207D" w14:textId="77777777" w:rsidR="00F73A6A" w:rsidRPr="00011E72" w:rsidRDefault="00F73A6A" w:rsidP="00F73A6A">
            <w:pPr>
              <w:rPr>
                <w:sz w:val="24"/>
                <w:szCs w:val="24"/>
                <w:lang w:val="en-GB"/>
              </w:rPr>
            </w:pPr>
          </w:p>
        </w:tc>
        <w:tc>
          <w:tcPr>
            <w:tcW w:w="4531" w:type="dxa"/>
          </w:tcPr>
          <w:p w14:paraId="3BC54369" w14:textId="16A10124" w:rsidR="00F73A6A" w:rsidRPr="00011E72" w:rsidRDefault="00F73A6A" w:rsidP="00F73A6A">
            <w:pPr>
              <w:rPr>
                <w:b/>
                <w:bCs/>
                <w:i/>
                <w:iCs/>
                <w:sz w:val="24"/>
                <w:szCs w:val="24"/>
                <w:lang w:val="en-GB"/>
              </w:rPr>
            </w:pPr>
            <w:r w:rsidRPr="00011E72">
              <w:rPr>
                <w:b/>
                <w:bCs/>
                <w:i/>
                <w:iCs/>
                <w:sz w:val="24"/>
                <w:szCs w:val="24"/>
                <w:lang w:val="en-GB"/>
              </w:rPr>
              <w:t xml:space="preserve">(7b new): Recommends the future AccessibleEU Centre to create </w:t>
            </w:r>
            <w:r w:rsidR="009E2A77" w:rsidRPr="00011E72">
              <w:rPr>
                <w:b/>
                <w:bCs/>
                <w:i/>
                <w:iCs/>
                <w:sz w:val="24"/>
                <w:szCs w:val="24"/>
                <w:lang w:val="en-GB"/>
              </w:rPr>
              <w:t>a</w:t>
            </w:r>
            <w:r w:rsidRPr="00011E72">
              <w:rPr>
                <w:b/>
                <w:bCs/>
                <w:i/>
                <w:iCs/>
                <w:sz w:val="24"/>
                <w:szCs w:val="24"/>
                <w:lang w:val="en-GB"/>
              </w:rPr>
              <w:t xml:space="preserve"> forum for all the stakeholders affected by the European Accessibility Act (EAA) and the Audiovisual Media Services Directive (AVMSD) to </w:t>
            </w:r>
            <w:r w:rsidR="00CE1E6D">
              <w:rPr>
                <w:b/>
                <w:bCs/>
                <w:i/>
                <w:iCs/>
                <w:sz w:val="24"/>
                <w:szCs w:val="24"/>
                <w:lang w:val="en-GB"/>
              </w:rPr>
              <w:t>exchange practices and find synergies to improve media accessibility in the EU</w:t>
            </w:r>
            <w:r w:rsidRPr="00011E72">
              <w:rPr>
                <w:b/>
                <w:bCs/>
                <w:i/>
                <w:iCs/>
                <w:sz w:val="24"/>
                <w:szCs w:val="24"/>
                <w:lang w:val="en-GB"/>
              </w:rPr>
              <w:t>.</w:t>
            </w:r>
          </w:p>
        </w:tc>
      </w:tr>
      <w:tr w:rsidR="00F73A6A" w:rsidRPr="00543A3B" w14:paraId="6D32C1D8" w14:textId="77777777" w:rsidTr="00B928A5">
        <w:tc>
          <w:tcPr>
            <w:tcW w:w="9062" w:type="dxa"/>
            <w:gridSpan w:val="2"/>
          </w:tcPr>
          <w:p w14:paraId="23E3975E" w14:textId="14217980" w:rsidR="00F73A6A" w:rsidRPr="00011E72" w:rsidRDefault="00F73A6A" w:rsidP="00F73A6A">
            <w:pPr>
              <w:rPr>
                <w:sz w:val="24"/>
                <w:szCs w:val="24"/>
                <w:lang w:val="en-GB"/>
              </w:rPr>
            </w:pPr>
            <w:r w:rsidRPr="00011E72">
              <w:rPr>
                <w:b/>
                <w:bCs/>
                <w:sz w:val="24"/>
                <w:szCs w:val="24"/>
                <w:lang w:val="en-GB"/>
              </w:rPr>
              <w:t xml:space="preserve">Justification: </w:t>
            </w:r>
            <w:r w:rsidRPr="00011E72">
              <w:rPr>
                <w:sz w:val="24"/>
                <w:szCs w:val="24"/>
                <w:lang w:val="en-GB"/>
              </w:rPr>
              <w:t xml:space="preserve">The EAA and the AVMSD are two directives that work together with the aim of ensuring the rights of persons with disabilities to information, </w:t>
            </w:r>
            <w:proofErr w:type="gramStart"/>
            <w:r w:rsidRPr="00011E72">
              <w:rPr>
                <w:sz w:val="24"/>
                <w:szCs w:val="24"/>
                <w:lang w:val="en-GB"/>
              </w:rPr>
              <w:t>culture</w:t>
            </w:r>
            <w:proofErr w:type="gramEnd"/>
            <w:r w:rsidRPr="00011E72">
              <w:rPr>
                <w:sz w:val="24"/>
                <w:szCs w:val="24"/>
                <w:lang w:val="en-GB"/>
              </w:rPr>
              <w:t xml:space="preserve"> and education. While the AVMSD covers access services to audio-visual content (sign interpretation, subtitles for deaf and hard of hearing…), it does not cover the features or services providing access to such media services (websites, online </w:t>
            </w:r>
            <w:proofErr w:type="gramStart"/>
            <w:r w:rsidRPr="00011E72">
              <w:rPr>
                <w:sz w:val="24"/>
                <w:szCs w:val="24"/>
                <w:lang w:val="en-GB"/>
              </w:rPr>
              <w:t>applications</w:t>
            </w:r>
            <w:proofErr w:type="gramEnd"/>
            <w:r w:rsidRPr="00011E72">
              <w:rPr>
                <w:sz w:val="24"/>
                <w:szCs w:val="24"/>
                <w:lang w:val="en-GB"/>
              </w:rPr>
              <w:t xml:space="preserve"> and electronic programme guides), nor the provision of information on accessibility and in accessible formats. This is something that will be covered by the EAA</w:t>
            </w:r>
            <w:r w:rsidR="009E2A77" w:rsidRPr="00011E72">
              <w:rPr>
                <w:sz w:val="24"/>
                <w:szCs w:val="24"/>
                <w:lang w:val="en-GB"/>
              </w:rPr>
              <w:t xml:space="preserve">. </w:t>
            </w:r>
            <w:r w:rsidRPr="00011E72">
              <w:rPr>
                <w:sz w:val="24"/>
                <w:szCs w:val="24"/>
                <w:lang w:val="en-GB"/>
              </w:rPr>
              <w:t>As one of</w:t>
            </w:r>
            <w:r w:rsidR="009E2A77" w:rsidRPr="00011E72">
              <w:rPr>
                <w:sz w:val="24"/>
                <w:szCs w:val="24"/>
                <w:lang w:val="en-GB"/>
              </w:rPr>
              <w:t xml:space="preserve"> the aims of the future AccessibleEU Centre</w:t>
            </w:r>
            <w:r w:rsidRPr="00011E72">
              <w:rPr>
                <w:sz w:val="24"/>
                <w:szCs w:val="24"/>
                <w:lang w:val="en-GB"/>
              </w:rPr>
              <w:t xml:space="preserve"> will be</w:t>
            </w:r>
            <w:r w:rsidR="009E2A77" w:rsidRPr="00011E72">
              <w:rPr>
                <w:sz w:val="24"/>
                <w:szCs w:val="24"/>
                <w:lang w:val="en-GB"/>
              </w:rPr>
              <w:t xml:space="preserve"> to support</w:t>
            </w:r>
            <w:r w:rsidRPr="00011E72">
              <w:rPr>
                <w:sz w:val="24"/>
                <w:szCs w:val="24"/>
                <w:lang w:val="en-GB"/>
              </w:rPr>
              <w:t xml:space="preserve"> the practical implementation of EU accessibility-related legislation, is important that the interaction between these two directives is </w:t>
            </w:r>
            <w:r w:rsidR="00CC21C5" w:rsidRPr="00011E72">
              <w:rPr>
                <w:sz w:val="24"/>
                <w:szCs w:val="24"/>
                <w:lang w:val="en-GB"/>
              </w:rPr>
              <w:t>considered</w:t>
            </w:r>
            <w:r w:rsidR="00CE1E6D">
              <w:rPr>
                <w:sz w:val="24"/>
                <w:szCs w:val="24"/>
                <w:lang w:val="en-GB"/>
              </w:rPr>
              <w:t>, and all concerned industries and users’ organisations can cooperate to succeed in the implementation of these harmonised legislations</w:t>
            </w:r>
            <w:r w:rsidRPr="00011E72">
              <w:rPr>
                <w:sz w:val="24"/>
                <w:szCs w:val="24"/>
                <w:lang w:val="en-GB"/>
              </w:rPr>
              <w:t xml:space="preserve">. </w:t>
            </w:r>
          </w:p>
        </w:tc>
      </w:tr>
    </w:tbl>
    <w:p w14:paraId="614E1B3C" w14:textId="6472CEE6" w:rsidR="008511DA" w:rsidRDefault="008511DA"/>
    <w:p w14:paraId="23784644" w14:textId="582C6A14" w:rsidR="00497675" w:rsidRDefault="00497675"/>
    <w:p w14:paraId="3AEE7721" w14:textId="695CFC1C" w:rsidR="00497675" w:rsidRDefault="00497675"/>
    <w:p w14:paraId="2F40B72F" w14:textId="60C046F6" w:rsidR="00497675" w:rsidRDefault="00497675"/>
    <w:p w14:paraId="4B6F30BF" w14:textId="03ADE003" w:rsidR="00497675" w:rsidRDefault="00497675"/>
    <w:p w14:paraId="407797A6" w14:textId="77777777" w:rsidR="00497675" w:rsidRDefault="00497675"/>
    <w:tbl>
      <w:tblPr>
        <w:tblStyle w:val="TableGrid"/>
        <w:tblW w:w="0" w:type="auto"/>
        <w:tblLook w:val="04A0" w:firstRow="1" w:lastRow="0" w:firstColumn="1" w:lastColumn="0" w:noHBand="0" w:noVBand="1"/>
      </w:tblPr>
      <w:tblGrid>
        <w:gridCol w:w="4531"/>
        <w:gridCol w:w="4531"/>
      </w:tblGrid>
      <w:tr w:rsidR="008511DA" w:rsidRPr="00543A3B" w14:paraId="62CABA08" w14:textId="77777777" w:rsidTr="00497675">
        <w:tc>
          <w:tcPr>
            <w:tcW w:w="4531" w:type="dxa"/>
            <w:shd w:val="clear" w:color="auto" w:fill="BDD6EE" w:themeFill="accent5" w:themeFillTint="66"/>
          </w:tcPr>
          <w:p w14:paraId="1951DA74" w14:textId="67B52890" w:rsidR="008511DA" w:rsidRPr="00011E72" w:rsidRDefault="008511DA" w:rsidP="008511DA">
            <w:pPr>
              <w:rPr>
                <w:sz w:val="24"/>
                <w:szCs w:val="24"/>
                <w:lang w:val="en-GB"/>
              </w:rPr>
            </w:pPr>
            <w:r w:rsidRPr="00011E72">
              <w:rPr>
                <w:b/>
                <w:bCs/>
                <w:sz w:val="24"/>
                <w:szCs w:val="24"/>
                <w:lang w:val="en-GB"/>
              </w:rPr>
              <w:lastRenderedPageBreak/>
              <w:t>Parliament Proposal</w:t>
            </w:r>
          </w:p>
        </w:tc>
        <w:tc>
          <w:tcPr>
            <w:tcW w:w="4531" w:type="dxa"/>
            <w:shd w:val="clear" w:color="auto" w:fill="BDD6EE" w:themeFill="accent5" w:themeFillTint="66"/>
          </w:tcPr>
          <w:p w14:paraId="743650E8" w14:textId="2BE217A5" w:rsidR="008511DA" w:rsidRPr="00011E72" w:rsidRDefault="008511DA" w:rsidP="008511DA">
            <w:pPr>
              <w:rPr>
                <w:b/>
                <w:bCs/>
                <w:i/>
                <w:iCs/>
                <w:sz w:val="24"/>
                <w:szCs w:val="24"/>
                <w:lang w:val="en-GB"/>
              </w:rPr>
            </w:pPr>
            <w:r w:rsidRPr="00011E72">
              <w:rPr>
                <w:b/>
                <w:bCs/>
                <w:sz w:val="24"/>
                <w:szCs w:val="24"/>
                <w:lang w:val="en-GB"/>
              </w:rPr>
              <w:t>EDF Proposed Amendments</w:t>
            </w:r>
          </w:p>
        </w:tc>
      </w:tr>
      <w:tr w:rsidR="00F73A6A" w:rsidRPr="00543A3B" w14:paraId="76ADCAA3" w14:textId="77777777" w:rsidTr="00284D4C">
        <w:tc>
          <w:tcPr>
            <w:tcW w:w="4531" w:type="dxa"/>
          </w:tcPr>
          <w:p w14:paraId="3EE9A1CE" w14:textId="77777777" w:rsidR="00F73A6A" w:rsidRPr="00011E72" w:rsidRDefault="00F73A6A" w:rsidP="00F73A6A">
            <w:pPr>
              <w:rPr>
                <w:sz w:val="24"/>
                <w:szCs w:val="24"/>
                <w:lang w:val="en-GB"/>
              </w:rPr>
            </w:pPr>
          </w:p>
        </w:tc>
        <w:tc>
          <w:tcPr>
            <w:tcW w:w="4531" w:type="dxa"/>
          </w:tcPr>
          <w:p w14:paraId="23F12F3C" w14:textId="3A515707" w:rsidR="00F73A6A" w:rsidRPr="00011E72" w:rsidRDefault="00F73A6A" w:rsidP="00F73A6A">
            <w:pPr>
              <w:rPr>
                <w:b/>
                <w:bCs/>
                <w:i/>
                <w:iCs/>
                <w:sz w:val="24"/>
                <w:szCs w:val="24"/>
                <w:lang w:val="en-GB"/>
              </w:rPr>
            </w:pPr>
            <w:r w:rsidRPr="00011E72">
              <w:rPr>
                <w:b/>
                <w:bCs/>
                <w:i/>
                <w:iCs/>
                <w:sz w:val="24"/>
                <w:szCs w:val="24"/>
                <w:lang w:val="en-GB"/>
              </w:rPr>
              <w:t xml:space="preserve">(7c new): calls on the Commission to procure a study to measure and benchmark media accessibility between Member States. </w:t>
            </w:r>
          </w:p>
        </w:tc>
      </w:tr>
      <w:tr w:rsidR="00F73A6A" w:rsidRPr="00543A3B" w14:paraId="5C6E7CBE" w14:textId="77777777" w:rsidTr="00482145">
        <w:tc>
          <w:tcPr>
            <w:tcW w:w="9062" w:type="dxa"/>
            <w:gridSpan w:val="2"/>
          </w:tcPr>
          <w:p w14:paraId="03AC1304" w14:textId="3E0A7460" w:rsidR="00F73A6A" w:rsidRPr="00011E72" w:rsidRDefault="00F73A6A" w:rsidP="00F73A6A">
            <w:pPr>
              <w:rPr>
                <w:b/>
                <w:bCs/>
                <w:sz w:val="24"/>
                <w:szCs w:val="24"/>
                <w:lang w:val="en-GB"/>
              </w:rPr>
            </w:pPr>
            <w:r w:rsidRPr="00011E72">
              <w:rPr>
                <w:b/>
                <w:bCs/>
                <w:sz w:val="24"/>
                <w:szCs w:val="24"/>
                <w:lang w:val="en-GB"/>
              </w:rPr>
              <w:t>Justification:</w:t>
            </w:r>
          </w:p>
          <w:p w14:paraId="321F54CD" w14:textId="2E70B45D" w:rsidR="00F73A6A" w:rsidRPr="00011E72" w:rsidRDefault="00CE1E6D" w:rsidP="00F73A6A">
            <w:pPr>
              <w:rPr>
                <w:sz w:val="24"/>
                <w:szCs w:val="24"/>
                <w:lang w:val="en-GB"/>
              </w:rPr>
            </w:pPr>
            <w:r>
              <w:rPr>
                <w:sz w:val="24"/>
                <w:szCs w:val="24"/>
                <w:lang w:val="en-GB"/>
              </w:rPr>
              <w:t xml:space="preserve">These </w:t>
            </w:r>
            <w:r w:rsidR="00F73A6A" w:rsidRPr="00011E72">
              <w:rPr>
                <w:sz w:val="24"/>
                <w:szCs w:val="24"/>
                <w:lang w:val="en-GB"/>
              </w:rPr>
              <w:t xml:space="preserve">studies are a positive measure to compare </w:t>
            </w:r>
            <w:r w:rsidR="00CC21C5" w:rsidRPr="00011E72">
              <w:rPr>
                <w:sz w:val="24"/>
                <w:szCs w:val="24"/>
                <w:lang w:val="en-GB"/>
              </w:rPr>
              <w:t>MS</w:t>
            </w:r>
            <w:r w:rsidR="00F73A6A" w:rsidRPr="00011E72">
              <w:rPr>
                <w:sz w:val="24"/>
                <w:szCs w:val="24"/>
                <w:lang w:val="en-GB"/>
              </w:rPr>
              <w:t xml:space="preserve"> performance</w:t>
            </w:r>
            <w:r>
              <w:rPr>
                <w:sz w:val="24"/>
                <w:szCs w:val="24"/>
                <w:lang w:val="en-GB"/>
              </w:rPr>
              <w:t xml:space="preserve"> as for media accessibility</w:t>
            </w:r>
            <w:r w:rsidR="00F73A6A" w:rsidRPr="00011E72">
              <w:rPr>
                <w:sz w:val="24"/>
                <w:szCs w:val="24"/>
                <w:lang w:val="en-GB"/>
              </w:rPr>
              <w:t xml:space="preserve">, </w:t>
            </w:r>
            <w:r w:rsidR="0046397A" w:rsidRPr="00011E72">
              <w:rPr>
                <w:sz w:val="24"/>
                <w:szCs w:val="24"/>
                <w:lang w:val="en-GB"/>
              </w:rPr>
              <w:t xml:space="preserve">share </w:t>
            </w:r>
            <w:r w:rsidR="00F73A6A" w:rsidRPr="00011E72">
              <w:rPr>
                <w:sz w:val="24"/>
                <w:szCs w:val="24"/>
                <w:lang w:val="en-GB"/>
              </w:rPr>
              <w:t xml:space="preserve">good practices, promote compliance, support organisations of persons with disabilities </w:t>
            </w:r>
            <w:r w:rsidR="0046397A" w:rsidRPr="00011E72">
              <w:rPr>
                <w:sz w:val="24"/>
                <w:szCs w:val="24"/>
                <w:lang w:val="en-GB"/>
              </w:rPr>
              <w:t xml:space="preserve">in their advocacy work </w:t>
            </w:r>
            <w:r w:rsidR="00F73A6A" w:rsidRPr="00011E72">
              <w:rPr>
                <w:sz w:val="24"/>
                <w:szCs w:val="24"/>
                <w:lang w:val="en-GB"/>
              </w:rPr>
              <w:t xml:space="preserve">and provide policy recommendations. The European Commission has already carried out similar initiatives, such as the </w:t>
            </w:r>
            <w:hyperlink r:id="rId10" w:history="1">
              <w:r w:rsidR="00F73A6A" w:rsidRPr="00011E72">
                <w:rPr>
                  <w:rStyle w:val="Hyperlink"/>
                  <w:sz w:val="24"/>
                  <w:szCs w:val="24"/>
                  <w:lang w:val="en-GB"/>
                </w:rPr>
                <w:t>2013 Study on e-accessibility</w:t>
              </w:r>
            </w:hyperlink>
            <w:r w:rsidR="00F73A6A" w:rsidRPr="00011E72">
              <w:rPr>
                <w:sz w:val="24"/>
                <w:szCs w:val="24"/>
                <w:lang w:val="en-GB"/>
              </w:rPr>
              <w:t xml:space="preserve">.  </w:t>
            </w:r>
          </w:p>
          <w:p w14:paraId="47F350C5" w14:textId="5B2A5FDA" w:rsidR="00F73A6A" w:rsidRPr="00011E72" w:rsidRDefault="00F73A6A" w:rsidP="00F73A6A">
            <w:pPr>
              <w:rPr>
                <w:sz w:val="24"/>
                <w:szCs w:val="24"/>
                <w:lang w:val="en-GB"/>
              </w:rPr>
            </w:pPr>
          </w:p>
        </w:tc>
      </w:tr>
    </w:tbl>
    <w:p w14:paraId="0C4B1F22" w14:textId="553F75ED" w:rsidR="00284D4C" w:rsidRPr="00011E72" w:rsidRDefault="00284D4C" w:rsidP="00D86DE5">
      <w:pPr>
        <w:rPr>
          <w:lang w:val="en-GB"/>
        </w:rPr>
      </w:pPr>
    </w:p>
    <w:p w14:paraId="3EBB783A" w14:textId="77777777" w:rsidR="007054F4" w:rsidRPr="00011E72" w:rsidRDefault="007054F4" w:rsidP="007054F4">
      <w:pPr>
        <w:pStyle w:val="Heading2"/>
        <w:rPr>
          <w:rFonts w:ascii="Arial" w:hAnsi="Arial" w:cs="Arial"/>
          <w:lang w:val="en-GB"/>
        </w:rPr>
      </w:pPr>
      <w:r w:rsidRPr="00011E72">
        <w:rPr>
          <w:rFonts w:ascii="Arial" w:hAnsi="Arial" w:cs="Arial"/>
          <w:lang w:val="en-GB"/>
        </w:rPr>
        <w:t>Contact person at EDF:</w:t>
      </w:r>
    </w:p>
    <w:p w14:paraId="39002A41" w14:textId="77777777" w:rsidR="007054F4" w:rsidRPr="00011E72" w:rsidRDefault="007054F4" w:rsidP="007054F4">
      <w:pPr>
        <w:rPr>
          <w:rFonts w:ascii="Arial" w:hAnsi="Arial" w:cs="Arial"/>
          <w:lang w:val="en-GB"/>
        </w:rPr>
      </w:pPr>
      <w:r w:rsidRPr="00011E72">
        <w:rPr>
          <w:rFonts w:ascii="Arial" w:hAnsi="Arial" w:cs="Arial"/>
          <w:lang w:val="en-GB"/>
        </w:rPr>
        <w:t xml:space="preserve">Daniel Casas, EDF Accessibility Policy Officer, </w:t>
      </w:r>
      <w:hyperlink r:id="rId11" w:history="1">
        <w:r w:rsidRPr="00011E72">
          <w:rPr>
            <w:rStyle w:val="Hyperlink"/>
            <w:rFonts w:ascii="Arial" w:hAnsi="Arial" w:cs="Arial"/>
            <w:lang w:val="en-GB"/>
          </w:rPr>
          <w:t>daniel.casas@edf-feph.org</w:t>
        </w:r>
      </w:hyperlink>
      <w:r w:rsidRPr="00011E72">
        <w:rPr>
          <w:rFonts w:ascii="Arial" w:hAnsi="Arial" w:cs="Arial"/>
          <w:lang w:val="en-GB"/>
        </w:rPr>
        <w:t xml:space="preserve"> </w:t>
      </w:r>
    </w:p>
    <w:p w14:paraId="7E9BEC0C" w14:textId="77777777" w:rsidR="007054F4" w:rsidRPr="00011E72" w:rsidRDefault="007054F4" w:rsidP="00D86DE5">
      <w:pPr>
        <w:rPr>
          <w:lang w:val="en-GB"/>
        </w:rPr>
      </w:pPr>
    </w:p>
    <w:sectPr w:rsidR="007054F4" w:rsidRPr="00011E72" w:rsidSect="004E1E23">
      <w:headerReference w:type="default" r:id="rId12"/>
      <w:pgSz w:w="11906" w:h="16838"/>
      <w:pgMar w:top="184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FEEB" w14:textId="77777777" w:rsidR="00C00733" w:rsidRDefault="00C00733" w:rsidP="00D86DE5">
      <w:pPr>
        <w:spacing w:after="0" w:line="240" w:lineRule="auto"/>
      </w:pPr>
      <w:r>
        <w:separator/>
      </w:r>
    </w:p>
  </w:endnote>
  <w:endnote w:type="continuationSeparator" w:id="0">
    <w:p w14:paraId="1F6F1877" w14:textId="77777777" w:rsidR="00C00733" w:rsidRDefault="00C00733" w:rsidP="00D8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22D1" w14:textId="77777777" w:rsidR="00C00733" w:rsidRDefault="00C00733" w:rsidP="00D86DE5">
      <w:pPr>
        <w:spacing w:after="0" w:line="240" w:lineRule="auto"/>
      </w:pPr>
      <w:r>
        <w:separator/>
      </w:r>
    </w:p>
  </w:footnote>
  <w:footnote w:type="continuationSeparator" w:id="0">
    <w:p w14:paraId="3EDF7DBD" w14:textId="77777777" w:rsidR="00C00733" w:rsidRDefault="00C00733" w:rsidP="00D86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A70C" w14:textId="64AA0BC5" w:rsidR="00D86DE5" w:rsidRDefault="00D86DE5">
    <w:pPr>
      <w:pStyle w:val="Header"/>
    </w:pPr>
    <w:r>
      <w:rPr>
        <w:noProof/>
      </w:rPr>
      <w:drawing>
        <wp:anchor distT="0" distB="0" distL="114300" distR="114300" simplePos="0" relativeHeight="251658240" behindDoc="1" locked="0" layoutInCell="1" allowOverlap="1" wp14:anchorId="7047B0B7" wp14:editId="4C13262C">
          <wp:simplePos x="0" y="0"/>
          <wp:positionH relativeFrom="margin">
            <wp:posOffset>2473960</wp:posOffset>
          </wp:positionH>
          <wp:positionV relativeFrom="paragraph">
            <wp:posOffset>-213360</wp:posOffset>
          </wp:positionV>
          <wp:extent cx="765810" cy="951865"/>
          <wp:effectExtent l="0" t="0" r="0" b="635"/>
          <wp:wrapTight wrapText="bothSides">
            <wp:wrapPolygon edited="0">
              <wp:start x="0" y="0"/>
              <wp:lineTo x="0" y="21182"/>
              <wp:lineTo x="20955" y="21182"/>
              <wp:lineTo x="20955" y="0"/>
              <wp:lineTo x="0" y="0"/>
            </wp:wrapPolygon>
          </wp:wrapTight>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1510C"/>
    <w:multiLevelType w:val="hybridMultilevel"/>
    <w:tmpl w:val="3B5A7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316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D4"/>
    <w:rsid w:val="00011E72"/>
    <w:rsid w:val="00023BC1"/>
    <w:rsid w:val="000A2F06"/>
    <w:rsid w:val="00172D13"/>
    <w:rsid w:val="002174B6"/>
    <w:rsid w:val="00284D4C"/>
    <w:rsid w:val="003964B4"/>
    <w:rsid w:val="0046397A"/>
    <w:rsid w:val="00497675"/>
    <w:rsid w:val="004E1E23"/>
    <w:rsid w:val="00503723"/>
    <w:rsid w:val="00543A3B"/>
    <w:rsid w:val="00550C86"/>
    <w:rsid w:val="00560A38"/>
    <w:rsid w:val="00567766"/>
    <w:rsid w:val="005D530B"/>
    <w:rsid w:val="00681BCC"/>
    <w:rsid w:val="006D2112"/>
    <w:rsid w:val="006F7149"/>
    <w:rsid w:val="007054F4"/>
    <w:rsid w:val="00733B00"/>
    <w:rsid w:val="0078744F"/>
    <w:rsid w:val="007B4C53"/>
    <w:rsid w:val="007D3B9C"/>
    <w:rsid w:val="00823AAD"/>
    <w:rsid w:val="008511DA"/>
    <w:rsid w:val="008B75E7"/>
    <w:rsid w:val="009B786C"/>
    <w:rsid w:val="009E2A77"/>
    <w:rsid w:val="00BA4963"/>
    <w:rsid w:val="00BF6617"/>
    <w:rsid w:val="00C00733"/>
    <w:rsid w:val="00C122F3"/>
    <w:rsid w:val="00C63E32"/>
    <w:rsid w:val="00C83241"/>
    <w:rsid w:val="00C8716D"/>
    <w:rsid w:val="00CC21C5"/>
    <w:rsid w:val="00CE1E6D"/>
    <w:rsid w:val="00D4762C"/>
    <w:rsid w:val="00D72BA5"/>
    <w:rsid w:val="00D85365"/>
    <w:rsid w:val="00D86DE5"/>
    <w:rsid w:val="00DD62D4"/>
    <w:rsid w:val="00F7383A"/>
    <w:rsid w:val="00F73A6A"/>
    <w:rsid w:val="00FA17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6021F"/>
  <w15:chartTrackingRefBased/>
  <w15:docId w15:val="{CDF8A6C6-908A-46FC-AFA2-02FA6F79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6D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E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86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6DE5"/>
  </w:style>
  <w:style w:type="paragraph" w:styleId="Footer">
    <w:name w:val="footer"/>
    <w:basedOn w:val="Normal"/>
    <w:link w:val="FooterChar"/>
    <w:uiPriority w:val="99"/>
    <w:unhideWhenUsed/>
    <w:rsid w:val="00D86D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6DE5"/>
  </w:style>
  <w:style w:type="character" w:styleId="Hyperlink">
    <w:name w:val="Hyperlink"/>
    <w:basedOn w:val="DefaultParagraphFont"/>
    <w:uiPriority w:val="99"/>
    <w:unhideWhenUsed/>
    <w:rsid w:val="00D86DE5"/>
    <w:rPr>
      <w:color w:val="0563C1" w:themeColor="hyperlink"/>
      <w:u w:val="single"/>
    </w:rPr>
  </w:style>
  <w:style w:type="character" w:styleId="UnresolvedMention">
    <w:name w:val="Unresolved Mention"/>
    <w:basedOn w:val="DefaultParagraphFont"/>
    <w:uiPriority w:val="99"/>
    <w:semiHidden/>
    <w:unhideWhenUsed/>
    <w:rsid w:val="00D86DE5"/>
    <w:rPr>
      <w:color w:val="605E5C"/>
      <w:shd w:val="clear" w:color="auto" w:fill="E1DFDD"/>
    </w:rPr>
  </w:style>
  <w:style w:type="character" w:customStyle="1" w:styleId="Heading2Char">
    <w:name w:val="Heading 2 Char"/>
    <w:basedOn w:val="DefaultParagraphFont"/>
    <w:link w:val="Heading2"/>
    <w:uiPriority w:val="9"/>
    <w:rsid w:val="00D86DE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8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365"/>
    <w:rPr>
      <w:sz w:val="16"/>
      <w:szCs w:val="16"/>
    </w:rPr>
  </w:style>
  <w:style w:type="paragraph" w:styleId="CommentText">
    <w:name w:val="annotation text"/>
    <w:basedOn w:val="Normal"/>
    <w:link w:val="CommentTextChar"/>
    <w:uiPriority w:val="99"/>
    <w:unhideWhenUsed/>
    <w:rsid w:val="00D85365"/>
    <w:pPr>
      <w:spacing w:line="240" w:lineRule="auto"/>
    </w:pPr>
    <w:rPr>
      <w:sz w:val="20"/>
      <w:szCs w:val="20"/>
    </w:rPr>
  </w:style>
  <w:style w:type="character" w:customStyle="1" w:styleId="CommentTextChar">
    <w:name w:val="Comment Text Char"/>
    <w:basedOn w:val="DefaultParagraphFont"/>
    <w:link w:val="CommentText"/>
    <w:uiPriority w:val="99"/>
    <w:rsid w:val="00D85365"/>
    <w:rPr>
      <w:sz w:val="20"/>
      <w:szCs w:val="20"/>
    </w:rPr>
  </w:style>
  <w:style w:type="paragraph" w:styleId="CommentSubject">
    <w:name w:val="annotation subject"/>
    <w:basedOn w:val="CommentText"/>
    <w:next w:val="CommentText"/>
    <w:link w:val="CommentSubjectChar"/>
    <w:uiPriority w:val="99"/>
    <w:semiHidden/>
    <w:unhideWhenUsed/>
    <w:rsid w:val="00D85365"/>
    <w:rPr>
      <w:b/>
      <w:bCs/>
    </w:rPr>
  </w:style>
  <w:style w:type="character" w:customStyle="1" w:styleId="CommentSubjectChar">
    <w:name w:val="Comment Subject Char"/>
    <w:basedOn w:val="CommentTextChar"/>
    <w:link w:val="CommentSubject"/>
    <w:uiPriority w:val="99"/>
    <w:semiHidden/>
    <w:rsid w:val="00D85365"/>
    <w:rPr>
      <w:b/>
      <w:bCs/>
      <w:sz w:val="20"/>
      <w:szCs w:val="20"/>
    </w:rPr>
  </w:style>
  <w:style w:type="paragraph" w:styleId="ListParagraph">
    <w:name w:val="List Paragraph"/>
    <w:basedOn w:val="Normal"/>
    <w:uiPriority w:val="34"/>
    <w:qFormat/>
    <w:rsid w:val="007054F4"/>
    <w:pPr>
      <w:ind w:left="720"/>
      <w:contextualSpacing/>
    </w:pPr>
    <w:rPr>
      <w:lang w:val="en-GB"/>
    </w:rPr>
  </w:style>
  <w:style w:type="paragraph" w:styleId="Revision">
    <w:name w:val="Revision"/>
    <w:hidden/>
    <w:uiPriority w:val="99"/>
    <w:semiHidden/>
    <w:rsid w:val="00011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convention-on-the-rights-of-persons-with-disabilities/convention-on-the-rights-of-persons-with-disabilities-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ga-online.eu/wp-content/uploads/2021/12/ERGA-SG1-2021-Report-Article-7-accessibility.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casas@edf-feph.org" TargetMode="External"/><Relationship Id="rId5" Type="http://schemas.openxmlformats.org/officeDocument/2006/relationships/footnotes" Target="footnotes.xml"/><Relationship Id="rId10" Type="http://schemas.openxmlformats.org/officeDocument/2006/relationships/hyperlink" Target="https://digital-strategy.ec.europa.eu/en/library/study-assessing-and-promoting-e-accessibility" TargetMode="External"/><Relationship Id="rId4" Type="http://schemas.openxmlformats.org/officeDocument/2006/relationships/webSettings" Target="webSettings.xml"/><Relationship Id="rId9" Type="http://schemas.openxmlformats.org/officeDocument/2006/relationships/hyperlink" Target="https://erga-online.eu/wp-content/uploads/2021/12/ERGA-SG1-2021-Report-Article-7-accessibility.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1309</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5</cp:revision>
  <dcterms:created xsi:type="dcterms:W3CDTF">2022-12-13T14:29:00Z</dcterms:created>
  <dcterms:modified xsi:type="dcterms:W3CDTF">2022-12-13T15:08:00Z</dcterms:modified>
</cp:coreProperties>
</file>