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BE56A" w14:textId="1F8D8417" w:rsidR="00646AC2" w:rsidRPr="002B0256" w:rsidRDefault="008C74D9" w:rsidP="005F17FD">
      <w:pPr>
        <w:jc w:val="center"/>
      </w:pPr>
      <w:r w:rsidRPr="002B0256">
        <w:rPr>
          <w:noProof/>
          <w:lang w:val="en-US"/>
        </w:rPr>
        <w:drawing>
          <wp:inline distT="0" distB="0" distL="0" distR="0" wp14:anchorId="3763585C" wp14:editId="09A5E8A4">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002C1DB1" w:rsidRPr="002B0256">
        <w:rPr>
          <w:noProof/>
          <w:sz w:val="20"/>
          <w:lang w:val="en-US"/>
        </w:rPr>
        <mc:AlternateContent>
          <mc:Choice Requires="wps">
            <w:drawing>
              <wp:anchor distT="0" distB="0" distL="114300" distR="114300" simplePos="0" relativeHeight="251659264" behindDoc="1" locked="0" layoutInCell="0" allowOverlap="1" wp14:anchorId="131133D6" wp14:editId="15FE452D">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60660" w14:textId="77777777" w:rsidR="002C1DB1" w:rsidRPr="00260E65" w:rsidRDefault="002C1DB1">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1133D6"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" o:allowincell="f" filled="f" stroked="f">
                <v:textbox>
                  <w:txbxContent>
                    <w:p w14:paraId="45060660" w14:textId="77777777" w:rsidR="002C1DB1" w:rsidRPr="00260E65" w:rsidRDefault="002C1DB1">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14:paraId="5E7A16AD" w14:textId="77777777" w:rsidR="008C74D9" w:rsidRPr="002B0256" w:rsidRDefault="008C74D9" w:rsidP="005F17FD"/>
    <w:p w14:paraId="5B3BE56B" w14:textId="00789077" w:rsidR="00646AC2" w:rsidRPr="002B0256" w:rsidRDefault="00D34520" w:rsidP="005F17FD">
      <w:pPr>
        <w:jc w:val="right"/>
      </w:pPr>
      <w:r w:rsidRPr="002B0256">
        <w:rPr>
          <w:b/>
          <w:bCs/>
        </w:rPr>
        <w:t>SOC</w:t>
      </w:r>
      <w:r w:rsidR="03385EDC" w:rsidRPr="002B0256">
        <w:rPr>
          <w:b/>
          <w:bCs/>
        </w:rPr>
        <w:t>/</w:t>
      </w:r>
      <w:r w:rsidR="00A426AF" w:rsidRPr="002B0256">
        <w:rPr>
          <w:b/>
          <w:bCs/>
        </w:rPr>
        <w:t>765</w:t>
      </w:r>
    </w:p>
    <w:p w14:paraId="5B3BE56C" w14:textId="2814A665" w:rsidR="00563C84" w:rsidRPr="00994829" w:rsidRDefault="00D34520" w:rsidP="005F17FD">
      <w:pPr>
        <w:jc w:val="right"/>
      </w:pPr>
      <w:r w:rsidRPr="00994829">
        <w:rPr>
          <w:b/>
          <w:bCs/>
        </w:rPr>
        <w:t xml:space="preserve">The European </w:t>
      </w:r>
      <w:r w:rsidR="00A426AF" w:rsidRPr="00994829">
        <w:rPr>
          <w:b/>
          <w:bCs/>
        </w:rPr>
        <w:t>Disability Card</w:t>
      </w:r>
    </w:p>
    <w:p w14:paraId="5B3BE56D" w14:textId="77777777" w:rsidR="009B30AA" w:rsidRPr="00994829" w:rsidRDefault="009B30AA" w:rsidP="005F17FD"/>
    <w:p w14:paraId="5B3BE56E" w14:textId="77777777" w:rsidR="009B30AA" w:rsidRPr="00994829" w:rsidRDefault="009B30AA" w:rsidP="005F17FD"/>
    <w:p w14:paraId="3C09B2EE" w14:textId="4C313FC0" w:rsidR="0048754F" w:rsidRPr="00994829" w:rsidRDefault="00574DB6" w:rsidP="005F17FD">
      <w:pPr>
        <w:jc w:val="center"/>
        <w:rPr>
          <w:b/>
          <w:bCs/>
          <w:sz w:val="28"/>
          <w:szCs w:val="28"/>
        </w:rPr>
      </w:pPr>
      <w:r w:rsidRPr="00994829">
        <w:rPr>
          <w:b/>
          <w:bCs/>
          <w:sz w:val="28"/>
          <w:szCs w:val="28"/>
        </w:rPr>
        <w:t>OPINION</w:t>
      </w:r>
    </w:p>
    <w:p w14:paraId="34368F6A" w14:textId="77777777" w:rsidR="0048754F" w:rsidRPr="00994829" w:rsidRDefault="0048754F" w:rsidP="005F17FD">
      <w:pPr>
        <w:jc w:val="center"/>
      </w:pPr>
    </w:p>
    <w:p w14:paraId="7D40B1DD" w14:textId="6FC6E119" w:rsidR="0048754F" w:rsidRPr="00994829" w:rsidRDefault="03385EDC" w:rsidP="005F17FD">
      <w:pPr>
        <w:jc w:val="center"/>
      </w:pPr>
      <w:r w:rsidRPr="00994829">
        <w:t xml:space="preserve">Section for </w:t>
      </w:r>
      <w:r w:rsidR="00D34520" w:rsidRPr="00994829">
        <w:t>Employment, Social Affairs and Citizenship</w:t>
      </w:r>
    </w:p>
    <w:p w14:paraId="046C48E8" w14:textId="77777777" w:rsidR="0048754F" w:rsidRPr="00994829" w:rsidRDefault="0048754F" w:rsidP="005F17FD">
      <w:pPr>
        <w:jc w:val="center"/>
      </w:pPr>
    </w:p>
    <w:p w14:paraId="69DFD613" w14:textId="1D4512C4" w:rsidR="0048754F" w:rsidRPr="00994829" w:rsidRDefault="001615FA" w:rsidP="005F17FD">
      <w:pPr>
        <w:jc w:val="center"/>
        <w:rPr>
          <w:b/>
          <w:bCs/>
        </w:rPr>
      </w:pPr>
      <w:r>
        <w:rPr>
          <w:b/>
          <w:bCs/>
        </w:rPr>
        <w:t>The European Disability Card</w:t>
      </w:r>
    </w:p>
    <w:p w14:paraId="61A78162" w14:textId="6C29BFC3" w:rsidR="00E9644F" w:rsidRPr="00994829" w:rsidRDefault="00F96E2B" w:rsidP="005F17FD">
      <w:pPr>
        <w:jc w:val="center"/>
      </w:pPr>
      <w:r w:rsidRPr="00994829">
        <w:t>(</w:t>
      </w:r>
      <w:r w:rsidR="00A426AF" w:rsidRPr="00994829">
        <w:t>Exploratory opinion from the European Commission</w:t>
      </w:r>
      <w:r w:rsidRPr="00994829">
        <w:t>)</w:t>
      </w:r>
    </w:p>
    <w:p w14:paraId="5B3BE570" w14:textId="77777777" w:rsidR="009B30AA" w:rsidRPr="00994829" w:rsidRDefault="009B30AA">
      <w:pPr>
        <w:jc w:val="cente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FF3759" w:rsidRPr="00D21E69" w14:paraId="5B3BE57A" w14:textId="77777777" w:rsidTr="0020095C">
        <w:tc>
          <w:tcPr>
            <w:tcW w:w="3085" w:type="dxa"/>
          </w:tcPr>
          <w:p w14:paraId="5B3BE578" w14:textId="3C27EE13" w:rsidR="00FF3759" w:rsidRPr="00D21E69" w:rsidRDefault="03385EDC" w:rsidP="00501F5B">
            <w:pPr>
              <w:jc w:val="left"/>
              <w:rPr>
                <w:lang w:eastAsia="en-GB" w:bidi="en-GB"/>
              </w:rPr>
            </w:pPr>
            <w:r w:rsidRPr="00D21E69">
              <w:t>Contact</w:t>
            </w:r>
          </w:p>
        </w:tc>
        <w:tc>
          <w:tcPr>
            <w:tcW w:w="6204" w:type="dxa"/>
          </w:tcPr>
          <w:p w14:paraId="5B3BE579" w14:textId="4C2E0742" w:rsidR="00D34520" w:rsidRPr="00D21E69" w:rsidRDefault="00000000" w:rsidP="00501F5B">
            <w:pPr>
              <w:jc w:val="left"/>
            </w:pPr>
            <w:hyperlink r:id="rId12" w:history="1">
              <w:r w:rsidR="00D34520" w:rsidRPr="00D21E69">
                <w:rPr>
                  <w:rStyle w:val="Hyperlink"/>
                </w:rPr>
                <w:t>valeria.atzori@eesc.europa.eu</w:t>
              </w:r>
            </w:hyperlink>
          </w:p>
        </w:tc>
      </w:tr>
      <w:tr w:rsidR="00FF3759" w:rsidRPr="00D21E69" w14:paraId="5B3BE57D" w14:textId="77777777" w:rsidTr="0020095C">
        <w:tc>
          <w:tcPr>
            <w:tcW w:w="3085" w:type="dxa"/>
          </w:tcPr>
          <w:p w14:paraId="5B3BE57B" w14:textId="77777777" w:rsidR="00FF3759" w:rsidRPr="00D21E69" w:rsidRDefault="03385EDC" w:rsidP="00501F5B">
            <w:pPr>
              <w:jc w:val="left"/>
            </w:pPr>
            <w:r w:rsidRPr="00D21E69">
              <w:t>Administrator</w:t>
            </w:r>
          </w:p>
        </w:tc>
        <w:tc>
          <w:tcPr>
            <w:tcW w:w="6204" w:type="dxa"/>
          </w:tcPr>
          <w:p w14:paraId="5B3BE57C" w14:textId="3561F32B" w:rsidR="00FF3759" w:rsidRPr="00D21E69" w:rsidRDefault="00D34520" w:rsidP="00501F5B">
            <w:pPr>
              <w:jc w:val="left"/>
            </w:pPr>
            <w:r w:rsidRPr="00D21E69">
              <w:t>Valeria ATZORI</w:t>
            </w:r>
          </w:p>
        </w:tc>
      </w:tr>
      <w:tr w:rsidR="00FF3759" w:rsidRPr="00D21E69" w14:paraId="5B3BE580" w14:textId="77777777" w:rsidTr="0020095C">
        <w:tc>
          <w:tcPr>
            <w:tcW w:w="3085" w:type="dxa"/>
          </w:tcPr>
          <w:p w14:paraId="5B3BE57E" w14:textId="77777777" w:rsidR="00FF3759" w:rsidRPr="00D21E69" w:rsidRDefault="03385EDC" w:rsidP="00501F5B">
            <w:pPr>
              <w:jc w:val="left"/>
            </w:pPr>
            <w:r w:rsidRPr="00D21E69">
              <w:t>Document date</w:t>
            </w:r>
          </w:p>
        </w:tc>
        <w:tc>
          <w:tcPr>
            <w:tcW w:w="6204" w:type="dxa"/>
          </w:tcPr>
          <w:p w14:paraId="5B3BE57F" w14:textId="53ED3BA1" w:rsidR="00FF3759" w:rsidRPr="00D21E69" w:rsidRDefault="001F2786" w:rsidP="00545065">
            <w:pPr>
              <w:jc w:val="left"/>
            </w:pPr>
            <w:r w:rsidRPr="00D21E69">
              <w:t>11</w:t>
            </w:r>
            <w:r w:rsidR="03385EDC" w:rsidRPr="00D21E69">
              <w:t>/</w:t>
            </w:r>
            <w:r w:rsidR="00545065" w:rsidRPr="00D21E69">
              <w:t>04</w:t>
            </w:r>
            <w:r w:rsidR="03385EDC" w:rsidRPr="00D21E69">
              <w:t>/</w:t>
            </w:r>
            <w:r w:rsidR="00D34520" w:rsidRPr="00D21E69">
              <w:t>202</w:t>
            </w:r>
            <w:r w:rsidR="000B35F5" w:rsidRPr="00D21E69">
              <w:t>3</w:t>
            </w:r>
          </w:p>
        </w:tc>
      </w:tr>
    </w:tbl>
    <w:p w14:paraId="67915520" w14:textId="1C291F5A" w:rsidR="007D54C2" w:rsidRPr="00D21E69" w:rsidRDefault="03385EDC">
      <w:pPr>
        <w:jc w:val="center"/>
        <w:rPr>
          <w:bCs/>
        </w:rPr>
      </w:pPr>
      <w:r w:rsidRPr="00D21E69">
        <w:t xml:space="preserve">Rapporteur: </w:t>
      </w:r>
      <w:proofErr w:type="spellStart"/>
      <w:r w:rsidR="000B35F5" w:rsidRPr="00D21E69">
        <w:rPr>
          <w:b/>
        </w:rPr>
        <w:t>Ioannis</w:t>
      </w:r>
      <w:proofErr w:type="spellEnd"/>
      <w:r w:rsidR="000B35F5" w:rsidRPr="00D21E69">
        <w:rPr>
          <w:b/>
        </w:rPr>
        <w:t xml:space="preserve"> VARDAKASTANIS</w:t>
      </w:r>
    </w:p>
    <w:p w14:paraId="7B2ACFE7" w14:textId="550E3E16" w:rsidR="00812061" w:rsidRPr="00D21E69" w:rsidRDefault="00812061">
      <w:pPr>
        <w:jc w:val="center"/>
        <w:rPr>
          <w:bCs/>
        </w:rPr>
      </w:pPr>
    </w:p>
    <w:p w14:paraId="5B3BE582" w14:textId="6F8F6800" w:rsidR="00E32DC6" w:rsidRPr="00D21E69" w:rsidRDefault="00E32DC6"/>
    <w:p w14:paraId="5B3BE583" w14:textId="77777777" w:rsidR="00E32DC6" w:rsidRPr="00D21E69" w:rsidRDefault="00E32DC6"/>
    <w:p w14:paraId="5B3BE584" w14:textId="77777777" w:rsidR="00E32DC6" w:rsidRPr="00D21E69" w:rsidRDefault="00E32DC6">
      <w:pPr>
        <w:sectPr w:rsidR="00E32DC6" w:rsidRPr="00D21E69" w:rsidSect="001F2786">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gNumType w:start="1"/>
          <w:cols w:space="720"/>
          <w:docGrid w:linePitch="299"/>
        </w:sectPr>
      </w:pPr>
    </w:p>
    <w:p w14:paraId="75A9796F" w14:textId="77777777" w:rsidR="000B35F5" w:rsidRPr="00D21E69" w:rsidRDefault="000B35F5"/>
    <w:tbl>
      <w:tblPr>
        <w:tblW w:w="0" w:type="auto"/>
        <w:tblLook w:val="04A0" w:firstRow="1" w:lastRow="0" w:firstColumn="1" w:lastColumn="0" w:noHBand="0" w:noVBand="1"/>
      </w:tblPr>
      <w:tblGrid>
        <w:gridCol w:w="3055"/>
        <w:gridCol w:w="6018"/>
      </w:tblGrid>
      <w:tr w:rsidR="0011656A" w:rsidRPr="00D21E69" w14:paraId="5B3BE5A6" w14:textId="77777777" w:rsidTr="03385EDC">
        <w:tc>
          <w:tcPr>
            <w:tcW w:w="3085" w:type="dxa"/>
          </w:tcPr>
          <w:p w14:paraId="5B3BE5A4" w14:textId="564DE682" w:rsidR="0011656A" w:rsidRPr="00D21E69" w:rsidRDefault="03385EDC">
            <w:pPr>
              <w:jc w:val="left"/>
            </w:pPr>
            <w:r w:rsidRPr="00D21E69">
              <w:t>Referral</w:t>
            </w:r>
          </w:p>
        </w:tc>
        <w:tc>
          <w:tcPr>
            <w:tcW w:w="6202" w:type="dxa"/>
          </w:tcPr>
          <w:p w14:paraId="458F60A5" w14:textId="77777777" w:rsidR="00664E2A" w:rsidRPr="00D21E69" w:rsidRDefault="00664E2A">
            <w:pPr>
              <w:jc w:val="left"/>
            </w:pPr>
            <w:r w:rsidRPr="00D21E69">
              <w:t xml:space="preserve">Exploratory opinion from the </w:t>
            </w:r>
            <w:r w:rsidR="000A1D79" w:rsidRPr="00D21E69">
              <w:t>Commission</w:t>
            </w:r>
          </w:p>
          <w:p w14:paraId="5B3BE5A5" w14:textId="547B1227" w:rsidR="0011656A" w:rsidRPr="00D21E69" w:rsidRDefault="00664E2A">
            <w:pPr>
              <w:jc w:val="left"/>
            </w:pPr>
            <w:r w:rsidRPr="00D21E69">
              <w:t xml:space="preserve">Letter from Maroš Šefčovič, Vice-President for Interinstitutional </w:t>
            </w:r>
            <w:proofErr w:type="gramStart"/>
            <w:r w:rsidRPr="00D21E69">
              <w:t>Relations</w:t>
            </w:r>
            <w:proofErr w:type="gramEnd"/>
            <w:r w:rsidRPr="00D21E69">
              <w:t xml:space="preserve"> and Foresight </w:t>
            </w:r>
            <w:r w:rsidR="00567BF2" w:rsidRPr="00D21E69">
              <w:t>–</w:t>
            </w:r>
            <w:r w:rsidRPr="00D21E69">
              <w:t xml:space="preserve"> </w:t>
            </w:r>
            <w:r w:rsidR="00567BF2" w:rsidRPr="00D21E69">
              <w:t>20/01/2023</w:t>
            </w:r>
          </w:p>
        </w:tc>
      </w:tr>
      <w:tr w:rsidR="0016503F" w:rsidRPr="00D21E69" w14:paraId="5B3BE5A9" w14:textId="77777777" w:rsidTr="03385EDC">
        <w:trPr>
          <w:trHeight w:val="251"/>
        </w:trPr>
        <w:tc>
          <w:tcPr>
            <w:tcW w:w="3085" w:type="dxa"/>
          </w:tcPr>
          <w:p w14:paraId="5B3BE5A7" w14:textId="77777777" w:rsidR="0016503F" w:rsidRPr="00D21E69" w:rsidRDefault="03385EDC">
            <w:pPr>
              <w:jc w:val="left"/>
            </w:pPr>
            <w:r w:rsidRPr="00D21E69">
              <w:t>Legal basis</w:t>
            </w:r>
          </w:p>
        </w:tc>
        <w:tc>
          <w:tcPr>
            <w:tcW w:w="6202" w:type="dxa"/>
          </w:tcPr>
          <w:p w14:paraId="5B3BE5A8" w14:textId="17338039" w:rsidR="0016503F" w:rsidRPr="00D21E69" w:rsidRDefault="00567BF2">
            <w:pPr>
              <w:jc w:val="left"/>
            </w:pPr>
            <w:r w:rsidRPr="00D21E69">
              <w:t>Article 11 of the Protocol on Cooperation between the European Commission and the European Economic and Social Committee</w:t>
            </w:r>
          </w:p>
        </w:tc>
      </w:tr>
      <w:tr w:rsidR="00BA1290" w:rsidRPr="00D21E69" w14:paraId="5B3BE5C1" w14:textId="77777777" w:rsidTr="03385EDC">
        <w:tc>
          <w:tcPr>
            <w:tcW w:w="3085" w:type="dxa"/>
          </w:tcPr>
          <w:p w14:paraId="5B3BE5BF" w14:textId="77777777" w:rsidR="00BA1290" w:rsidRPr="00D21E69" w:rsidRDefault="00BA1290">
            <w:pPr>
              <w:jc w:val="left"/>
            </w:pPr>
          </w:p>
        </w:tc>
        <w:tc>
          <w:tcPr>
            <w:tcW w:w="6202" w:type="dxa"/>
          </w:tcPr>
          <w:p w14:paraId="5B3BE5C0" w14:textId="77777777" w:rsidR="00BA1290" w:rsidRPr="00D21E69" w:rsidRDefault="00BA1290">
            <w:pPr>
              <w:jc w:val="left"/>
            </w:pPr>
          </w:p>
        </w:tc>
      </w:tr>
      <w:tr w:rsidR="00DF5B64" w:rsidRPr="00D21E69" w14:paraId="5B3BE5C4" w14:textId="77777777" w:rsidTr="03385EDC">
        <w:tc>
          <w:tcPr>
            <w:tcW w:w="3085" w:type="dxa"/>
          </w:tcPr>
          <w:p w14:paraId="5B3BE5C2" w14:textId="77777777" w:rsidR="00DF5B64" w:rsidRPr="00D21E69" w:rsidRDefault="03385EDC">
            <w:pPr>
              <w:jc w:val="left"/>
            </w:pPr>
            <w:r w:rsidRPr="00D21E69">
              <w:t>Section responsible</w:t>
            </w:r>
          </w:p>
        </w:tc>
        <w:tc>
          <w:tcPr>
            <w:tcW w:w="6202" w:type="dxa"/>
          </w:tcPr>
          <w:p w14:paraId="5B3BE5C3" w14:textId="0657A064" w:rsidR="00DF5B64" w:rsidRPr="00D21E69" w:rsidRDefault="000A1D79">
            <w:pPr>
              <w:jc w:val="left"/>
            </w:pPr>
            <w:r w:rsidRPr="00D21E69">
              <w:t>Employment, Social Affairs and Citizenship</w:t>
            </w:r>
          </w:p>
        </w:tc>
      </w:tr>
      <w:tr w:rsidR="00A156E6" w:rsidRPr="00D21E69" w14:paraId="5B3BE5C7" w14:textId="77777777" w:rsidTr="03385EDC">
        <w:tc>
          <w:tcPr>
            <w:tcW w:w="3085" w:type="dxa"/>
          </w:tcPr>
          <w:p w14:paraId="5B3BE5C5" w14:textId="6F862EC0" w:rsidR="00A156E6" w:rsidRPr="00D21E69" w:rsidRDefault="03385EDC">
            <w:pPr>
              <w:jc w:val="left"/>
            </w:pPr>
            <w:r w:rsidRPr="00D21E69">
              <w:t>Adopted in section</w:t>
            </w:r>
          </w:p>
        </w:tc>
        <w:tc>
          <w:tcPr>
            <w:tcW w:w="6202" w:type="dxa"/>
          </w:tcPr>
          <w:p w14:paraId="5B3BE5C6" w14:textId="7C78D45C" w:rsidR="00A156E6" w:rsidRPr="00D21E69" w:rsidRDefault="00545065" w:rsidP="00545065">
            <w:pPr>
              <w:jc w:val="left"/>
            </w:pPr>
            <w:r w:rsidRPr="00D21E69">
              <w:t>03</w:t>
            </w:r>
            <w:r w:rsidR="03385EDC" w:rsidRPr="00D21E69">
              <w:t>/</w:t>
            </w:r>
            <w:r w:rsidRPr="00D21E69">
              <w:t>04</w:t>
            </w:r>
            <w:r w:rsidR="03385EDC" w:rsidRPr="00D21E69">
              <w:t>/</w:t>
            </w:r>
            <w:r w:rsidRPr="00D21E69">
              <w:t>2023</w:t>
            </w:r>
          </w:p>
        </w:tc>
      </w:tr>
      <w:tr w:rsidR="00E64E71" w:rsidRPr="00D21E69" w14:paraId="76673220" w14:textId="77777777" w:rsidTr="0048754F">
        <w:tc>
          <w:tcPr>
            <w:tcW w:w="3085" w:type="dxa"/>
          </w:tcPr>
          <w:p w14:paraId="3C0899C8" w14:textId="0995A3EA" w:rsidR="00E64E71" w:rsidRPr="00D21E69" w:rsidRDefault="03385EDC">
            <w:pPr>
              <w:jc w:val="left"/>
            </w:pPr>
            <w:r w:rsidRPr="00D21E69">
              <w:t>Outcome of vote</w:t>
            </w:r>
            <w:r w:rsidR="00E64E71" w:rsidRPr="00D21E69">
              <w:br/>
            </w:r>
            <w:r w:rsidRPr="00D21E69">
              <w:t>(for/against/abstentions)</w:t>
            </w:r>
          </w:p>
        </w:tc>
        <w:tc>
          <w:tcPr>
            <w:tcW w:w="6202" w:type="dxa"/>
            <w:vAlign w:val="bottom"/>
          </w:tcPr>
          <w:p w14:paraId="31005FC7" w14:textId="403CA946" w:rsidR="00E64E71" w:rsidRPr="00D21E69" w:rsidRDefault="00545065" w:rsidP="00545065">
            <w:pPr>
              <w:jc w:val="left"/>
            </w:pPr>
            <w:r w:rsidRPr="00D21E69">
              <w:t>59</w:t>
            </w:r>
            <w:r w:rsidR="03385EDC" w:rsidRPr="00D21E69">
              <w:t>/</w:t>
            </w:r>
            <w:r w:rsidRPr="00D21E69">
              <w:t>2</w:t>
            </w:r>
            <w:r w:rsidR="03385EDC" w:rsidRPr="00D21E69">
              <w:t>/</w:t>
            </w:r>
            <w:r w:rsidRPr="00D21E69">
              <w:t>1</w:t>
            </w:r>
          </w:p>
        </w:tc>
      </w:tr>
      <w:tr w:rsidR="00A156E6" w:rsidRPr="00D21E69" w14:paraId="5B3BE5CA" w14:textId="77777777" w:rsidTr="03385EDC">
        <w:tc>
          <w:tcPr>
            <w:tcW w:w="3085" w:type="dxa"/>
          </w:tcPr>
          <w:p w14:paraId="5B3BE5C8" w14:textId="17C6178A" w:rsidR="00A156E6" w:rsidRPr="00D21E69" w:rsidRDefault="03385EDC">
            <w:pPr>
              <w:jc w:val="left"/>
            </w:pPr>
            <w:r w:rsidRPr="00D21E69">
              <w:t>Adopted at plenary</w:t>
            </w:r>
          </w:p>
        </w:tc>
        <w:tc>
          <w:tcPr>
            <w:tcW w:w="6202" w:type="dxa"/>
          </w:tcPr>
          <w:p w14:paraId="5B3BE5C9" w14:textId="77777777" w:rsidR="00A156E6" w:rsidRPr="00D21E69" w:rsidRDefault="03385EDC">
            <w:pPr>
              <w:jc w:val="left"/>
            </w:pPr>
            <w:r w:rsidRPr="00D21E69">
              <w:t>DD/MM/YYYY</w:t>
            </w:r>
          </w:p>
        </w:tc>
      </w:tr>
      <w:tr w:rsidR="00BA1290" w:rsidRPr="00D21E69" w14:paraId="5B3BE5CD" w14:textId="77777777" w:rsidTr="03385EDC">
        <w:tc>
          <w:tcPr>
            <w:tcW w:w="3085" w:type="dxa"/>
          </w:tcPr>
          <w:p w14:paraId="5B3BE5CB" w14:textId="77777777" w:rsidR="00BA1290" w:rsidRPr="00D21E69" w:rsidRDefault="03385EDC">
            <w:pPr>
              <w:jc w:val="left"/>
            </w:pPr>
            <w:r w:rsidRPr="00D21E69">
              <w:t>Plenary session No</w:t>
            </w:r>
          </w:p>
        </w:tc>
        <w:tc>
          <w:tcPr>
            <w:tcW w:w="6202" w:type="dxa"/>
          </w:tcPr>
          <w:p w14:paraId="5B3BE5CC" w14:textId="77777777" w:rsidR="00BA1290" w:rsidRPr="00D21E69" w:rsidRDefault="03385EDC">
            <w:pPr>
              <w:jc w:val="left"/>
            </w:pPr>
            <w:r w:rsidRPr="00D21E69">
              <w:t>…</w:t>
            </w:r>
          </w:p>
        </w:tc>
      </w:tr>
      <w:tr w:rsidR="00A156E6" w:rsidRPr="00D21E69" w14:paraId="5B3BE5D0" w14:textId="77777777" w:rsidTr="03385EDC">
        <w:tc>
          <w:tcPr>
            <w:tcW w:w="3085" w:type="dxa"/>
          </w:tcPr>
          <w:p w14:paraId="5B3BE5CE" w14:textId="0ED6183D" w:rsidR="00D423D4" w:rsidRPr="00D21E69" w:rsidRDefault="03385EDC">
            <w:pPr>
              <w:jc w:val="left"/>
            </w:pPr>
            <w:r w:rsidRPr="00D21E69">
              <w:t>Outcome of vote</w:t>
            </w:r>
            <w:r w:rsidR="0043024C" w:rsidRPr="00D21E69">
              <w:br/>
            </w:r>
            <w:r w:rsidRPr="00D21E69">
              <w:t>(for/against/abstentions)</w:t>
            </w:r>
          </w:p>
        </w:tc>
        <w:tc>
          <w:tcPr>
            <w:tcW w:w="6202" w:type="dxa"/>
            <w:vAlign w:val="bottom"/>
          </w:tcPr>
          <w:p w14:paraId="5B3BE5CF" w14:textId="77777777" w:rsidR="00A156E6" w:rsidRPr="00D21E69" w:rsidRDefault="03385EDC">
            <w:pPr>
              <w:jc w:val="left"/>
            </w:pPr>
            <w:r w:rsidRPr="00D21E69">
              <w:t>…/…/…</w:t>
            </w:r>
          </w:p>
        </w:tc>
      </w:tr>
    </w:tbl>
    <w:p w14:paraId="5B3BE5D1" w14:textId="77777777" w:rsidR="0090053A" w:rsidRPr="00D21E69" w:rsidRDefault="0090053A"/>
    <w:p w14:paraId="5B3BE5D2" w14:textId="77777777" w:rsidR="00646AC2" w:rsidRPr="00D21E69" w:rsidRDefault="00646AC2">
      <w:r w:rsidRPr="00D21E69">
        <w:br w:type="page"/>
      </w:r>
    </w:p>
    <w:p w14:paraId="1B357BA9" w14:textId="14551568" w:rsidR="00567BF2" w:rsidRPr="0020095C" w:rsidRDefault="00567BF2">
      <w:pPr>
        <w:keepNext/>
        <w:numPr>
          <w:ilvl w:val="0"/>
          <w:numId w:val="1"/>
        </w:numPr>
        <w:overflowPunct w:val="0"/>
        <w:autoSpaceDE w:val="0"/>
        <w:autoSpaceDN w:val="0"/>
        <w:adjustRightInd w:val="0"/>
        <w:ind w:left="567" w:hanging="567"/>
        <w:textAlignment w:val="baseline"/>
        <w:outlineLvl w:val="0"/>
        <w:rPr>
          <w:b/>
          <w:bCs/>
          <w:kern w:val="28"/>
        </w:rPr>
      </w:pPr>
      <w:r w:rsidRPr="0020095C">
        <w:rPr>
          <w:b/>
          <w:bCs/>
          <w:kern w:val="28"/>
        </w:rPr>
        <w:lastRenderedPageBreak/>
        <w:t>Conclusions and recommendations</w:t>
      </w:r>
    </w:p>
    <w:p w14:paraId="6DD5D244" w14:textId="77777777" w:rsidR="00567BF2" w:rsidRPr="0020095C" w:rsidRDefault="00567BF2">
      <w:pPr>
        <w:keepNext/>
        <w:autoSpaceDE w:val="0"/>
        <w:autoSpaceDN w:val="0"/>
        <w:jc w:val="left"/>
      </w:pPr>
    </w:p>
    <w:p w14:paraId="05D176BE" w14:textId="10744A52" w:rsidR="00560C36" w:rsidRPr="0020095C" w:rsidRDefault="00560C36">
      <w:pPr>
        <w:numPr>
          <w:ilvl w:val="1"/>
          <w:numId w:val="1"/>
        </w:numPr>
        <w:overflowPunct w:val="0"/>
        <w:autoSpaceDE w:val="0"/>
        <w:autoSpaceDN w:val="0"/>
        <w:adjustRightInd w:val="0"/>
        <w:ind w:left="567" w:hanging="567"/>
        <w:textAlignment w:val="baseline"/>
        <w:outlineLvl w:val="1"/>
      </w:pPr>
      <w:r w:rsidRPr="0020095C">
        <w:t xml:space="preserve">The EESC welcomes the flagship initiative of the European Commission </w:t>
      </w:r>
      <w:r w:rsidR="00EA5547" w:rsidRPr="0020095C">
        <w:t xml:space="preserve">which will </w:t>
      </w:r>
      <w:r w:rsidRPr="0020095C">
        <w:t>launch a European Disability Card, enabling</w:t>
      </w:r>
      <w:r w:rsidR="00EF1333" w:rsidRPr="0020095C">
        <w:t xml:space="preserve"> the</w:t>
      </w:r>
      <w:r w:rsidRPr="0020095C">
        <w:t xml:space="preserve"> right to free movement and residence across the EU </w:t>
      </w:r>
      <w:r w:rsidR="00EF1333" w:rsidRPr="0020095C">
        <w:t xml:space="preserve">for persons with disabilities </w:t>
      </w:r>
      <w:r w:rsidRPr="0020095C">
        <w:t xml:space="preserve">by </w:t>
      </w:r>
      <w:r w:rsidRPr="0020095C">
        <w:rPr>
          <w:b/>
          <w:bCs/>
        </w:rPr>
        <w:t>facilitating the mutual recognition of disability status for card holders</w:t>
      </w:r>
      <w:r w:rsidRPr="0020095C">
        <w:t>. The European Disability Card has been a long-standing request and a high priority of the disability movement, given the ongoing limitations to the freedom of movement rights that the non-recognition of disability uphold</w:t>
      </w:r>
      <w:r w:rsidR="009E2284" w:rsidRPr="0020095C">
        <w:t>s</w:t>
      </w:r>
      <w:r w:rsidRPr="0020095C">
        <w:t>.</w:t>
      </w:r>
    </w:p>
    <w:p w14:paraId="63D7915F" w14:textId="77777777" w:rsidR="002A4A07" w:rsidRPr="0020095C" w:rsidRDefault="002A4A07">
      <w:pPr>
        <w:overflowPunct w:val="0"/>
        <w:autoSpaceDE w:val="0"/>
        <w:autoSpaceDN w:val="0"/>
        <w:adjustRightInd w:val="0"/>
        <w:ind w:left="567"/>
        <w:textAlignment w:val="baseline"/>
        <w:outlineLvl w:val="1"/>
      </w:pPr>
    </w:p>
    <w:p w14:paraId="0621C3D8" w14:textId="644FA850" w:rsidR="002A4A07" w:rsidRPr="0020095C" w:rsidRDefault="001C0F9B">
      <w:pPr>
        <w:numPr>
          <w:ilvl w:val="1"/>
          <w:numId w:val="1"/>
        </w:numPr>
        <w:overflowPunct w:val="0"/>
        <w:autoSpaceDE w:val="0"/>
        <w:autoSpaceDN w:val="0"/>
        <w:adjustRightInd w:val="0"/>
        <w:ind w:left="567" w:hanging="567"/>
        <w:textAlignment w:val="baseline"/>
        <w:outlineLvl w:val="1"/>
      </w:pPr>
      <w:r w:rsidRPr="0020095C">
        <w:rPr>
          <w:b/>
          <w:bCs/>
        </w:rPr>
        <w:t>The EESC underlines that t</w:t>
      </w:r>
      <w:r w:rsidR="006C5BD8" w:rsidRPr="0020095C">
        <w:rPr>
          <w:b/>
          <w:bCs/>
        </w:rPr>
        <w:t xml:space="preserve">he </w:t>
      </w:r>
      <w:r w:rsidR="005C2C44" w:rsidRPr="0020095C">
        <w:rPr>
          <w:b/>
          <w:bCs/>
        </w:rPr>
        <w:t xml:space="preserve">non-mutual </w:t>
      </w:r>
      <w:r w:rsidR="00C55EE2" w:rsidRPr="0020095C">
        <w:rPr>
          <w:b/>
          <w:bCs/>
        </w:rPr>
        <w:t>recognition</w:t>
      </w:r>
      <w:r w:rsidR="006C5BD8" w:rsidRPr="0020095C">
        <w:rPr>
          <w:b/>
          <w:bCs/>
        </w:rPr>
        <w:t xml:space="preserve"> of disabili</w:t>
      </w:r>
      <w:r w:rsidR="0047268D" w:rsidRPr="0020095C">
        <w:rPr>
          <w:b/>
          <w:bCs/>
        </w:rPr>
        <w:t xml:space="preserve">ty </w:t>
      </w:r>
      <w:r w:rsidR="0087726F" w:rsidRPr="0020095C">
        <w:rPr>
          <w:b/>
          <w:bCs/>
        </w:rPr>
        <w:t>hinders</w:t>
      </w:r>
      <w:r w:rsidR="005462BA" w:rsidRPr="0020095C">
        <w:rPr>
          <w:b/>
          <w:bCs/>
        </w:rPr>
        <w:t xml:space="preserve"> the availability of support measures</w:t>
      </w:r>
      <w:r w:rsidR="005C2C44" w:rsidRPr="0020095C">
        <w:rPr>
          <w:b/>
          <w:bCs/>
        </w:rPr>
        <w:t xml:space="preserve"> for persons with disabilities</w:t>
      </w:r>
      <w:r w:rsidR="00B17566" w:rsidRPr="0020095C">
        <w:rPr>
          <w:b/>
          <w:bCs/>
        </w:rPr>
        <w:t xml:space="preserve">, </w:t>
      </w:r>
      <w:r w:rsidR="005576DA" w:rsidRPr="0020095C">
        <w:rPr>
          <w:b/>
          <w:bCs/>
        </w:rPr>
        <w:t>impl</w:t>
      </w:r>
      <w:r w:rsidR="00B17566" w:rsidRPr="0020095C">
        <w:rPr>
          <w:b/>
          <w:bCs/>
        </w:rPr>
        <w:t>ying</w:t>
      </w:r>
      <w:r w:rsidR="005576DA" w:rsidRPr="0020095C">
        <w:rPr>
          <w:b/>
          <w:bCs/>
        </w:rPr>
        <w:t xml:space="preserve"> </w:t>
      </w:r>
      <w:r w:rsidR="0087726F" w:rsidRPr="0020095C">
        <w:rPr>
          <w:b/>
          <w:bCs/>
        </w:rPr>
        <w:t xml:space="preserve">a direct denial of the </w:t>
      </w:r>
      <w:r w:rsidR="00B24E0C" w:rsidRPr="0020095C">
        <w:rPr>
          <w:b/>
          <w:bCs/>
        </w:rPr>
        <w:t>realisation</w:t>
      </w:r>
      <w:r w:rsidR="00454613" w:rsidRPr="0020095C">
        <w:rPr>
          <w:b/>
          <w:bCs/>
        </w:rPr>
        <w:t xml:space="preserve"> of the</w:t>
      </w:r>
      <w:r w:rsidR="00A728BE" w:rsidRPr="0020095C">
        <w:rPr>
          <w:b/>
          <w:bCs/>
        </w:rPr>
        <w:t>ir</w:t>
      </w:r>
      <w:r w:rsidR="00454613" w:rsidRPr="0020095C">
        <w:rPr>
          <w:b/>
          <w:bCs/>
        </w:rPr>
        <w:t xml:space="preserve"> rights</w:t>
      </w:r>
      <w:r w:rsidR="00A728BE" w:rsidRPr="0020095C">
        <w:t xml:space="preserve"> to</w:t>
      </w:r>
      <w:r w:rsidR="00454613" w:rsidRPr="0020095C">
        <w:t xml:space="preserve"> trave</w:t>
      </w:r>
      <w:r w:rsidR="00EF1333" w:rsidRPr="0020095C">
        <w:t>l</w:t>
      </w:r>
      <w:r w:rsidR="00454613" w:rsidRPr="0020095C">
        <w:t xml:space="preserve"> and/or </w:t>
      </w:r>
      <w:r w:rsidR="00A728BE" w:rsidRPr="0020095C">
        <w:t xml:space="preserve">move </w:t>
      </w:r>
      <w:r w:rsidR="00454613" w:rsidRPr="0020095C">
        <w:t>to other EU countries.</w:t>
      </w:r>
    </w:p>
    <w:p w14:paraId="4FC51464" w14:textId="77777777" w:rsidR="00560C36" w:rsidRPr="0020095C" w:rsidRDefault="00560C36">
      <w:pPr>
        <w:overflowPunct w:val="0"/>
        <w:autoSpaceDE w:val="0"/>
        <w:autoSpaceDN w:val="0"/>
        <w:adjustRightInd w:val="0"/>
        <w:textAlignment w:val="baseline"/>
        <w:outlineLvl w:val="1"/>
      </w:pPr>
    </w:p>
    <w:p w14:paraId="03A6E37F" w14:textId="7AE9CE5D" w:rsidR="00D81C3C" w:rsidRPr="0020095C" w:rsidRDefault="00560C36">
      <w:pPr>
        <w:pStyle w:val="Heading2"/>
        <w:ind w:left="567" w:hanging="567"/>
      </w:pPr>
      <w:r w:rsidRPr="00D21E69">
        <w:t>The EESC understands that the improvement of th</w:t>
      </w:r>
      <w:r w:rsidR="00D76544" w:rsidRPr="00D21E69">
        <w:t>is</w:t>
      </w:r>
      <w:r w:rsidRPr="00D21E69">
        <w:t xml:space="preserve"> freedom of movement</w:t>
      </w:r>
      <w:r w:rsidR="006101F6" w:rsidRPr="00D21E69">
        <w:t xml:space="preserve"> achieved by the</w:t>
      </w:r>
      <w:r w:rsidRPr="00D21E69">
        <w:t xml:space="preserve"> mutual recognition of disabilities</w:t>
      </w:r>
      <w:r w:rsidR="001A56CC" w:rsidRPr="00D21E69">
        <w:t xml:space="preserve"> </w:t>
      </w:r>
      <w:r w:rsidR="00EF1333" w:rsidRPr="00D21E69">
        <w:t xml:space="preserve">would </w:t>
      </w:r>
      <w:r w:rsidRPr="00D21E69">
        <w:t xml:space="preserve">enhance the </w:t>
      </w:r>
      <w:r w:rsidRPr="00D21E69">
        <w:rPr>
          <w:b/>
          <w:bCs/>
        </w:rPr>
        <w:t>construction of</w:t>
      </w:r>
      <w:r w:rsidRPr="0020095C">
        <w:rPr>
          <w:b/>
          <w:bCs/>
        </w:rPr>
        <w:t xml:space="preserve"> a common European identity</w:t>
      </w:r>
      <w:r w:rsidR="00462AAD" w:rsidRPr="0020095C">
        <w:rPr>
          <w:b/>
          <w:bCs/>
        </w:rPr>
        <w:t xml:space="preserve"> and </w:t>
      </w:r>
      <w:r w:rsidR="00EA5547" w:rsidRPr="0020095C">
        <w:rPr>
          <w:b/>
          <w:bCs/>
        </w:rPr>
        <w:t>lead to greater consistency</w:t>
      </w:r>
      <w:r w:rsidRPr="0020095C">
        <w:t xml:space="preserve"> for persons with disabilities, creating awareness among service providers about the lack of</w:t>
      </w:r>
      <w:r w:rsidR="00F83928" w:rsidRPr="0020095C">
        <w:t xml:space="preserve"> </w:t>
      </w:r>
      <w:r w:rsidRPr="0020095C">
        <w:t xml:space="preserve">accessibility and </w:t>
      </w:r>
      <w:r w:rsidRPr="0020095C">
        <w:rPr>
          <w:b/>
          <w:bCs/>
        </w:rPr>
        <w:t>improving access in the long run</w:t>
      </w:r>
      <w:r w:rsidRPr="0020095C">
        <w:t>. This will benefit them, at the same time, by increasing the number of visitors.</w:t>
      </w:r>
    </w:p>
    <w:p w14:paraId="1BE72464" w14:textId="77777777" w:rsidR="00D81C3C" w:rsidRPr="00E20D85" w:rsidRDefault="00D81C3C">
      <w:pPr>
        <w:pStyle w:val="Heading2"/>
        <w:numPr>
          <w:ilvl w:val="0"/>
          <w:numId w:val="0"/>
        </w:numPr>
        <w:ind w:left="567"/>
        <w:rPr>
          <w:lang w:val="en-US"/>
        </w:rPr>
      </w:pPr>
    </w:p>
    <w:p w14:paraId="10449442" w14:textId="16DDBFFB" w:rsidR="0035502E" w:rsidRPr="0020095C" w:rsidRDefault="00D81C3C">
      <w:pPr>
        <w:pStyle w:val="Heading2"/>
        <w:ind w:left="567" w:hanging="567"/>
      </w:pPr>
      <w:r w:rsidRPr="0020095C">
        <w:t xml:space="preserve">The European Disability Card will </w:t>
      </w:r>
      <w:r w:rsidR="00EF1333" w:rsidRPr="0020095C">
        <w:t>also</w:t>
      </w:r>
      <w:r w:rsidRPr="0020095C">
        <w:t xml:space="preserve"> </w:t>
      </w:r>
      <w:r w:rsidR="00560C36" w:rsidRPr="0020095C">
        <w:rPr>
          <w:b/>
          <w:bCs/>
        </w:rPr>
        <w:t>strength</w:t>
      </w:r>
      <w:r w:rsidRPr="0020095C">
        <w:rPr>
          <w:b/>
          <w:bCs/>
        </w:rPr>
        <w:t>en the</w:t>
      </w:r>
      <w:r w:rsidR="00560C36" w:rsidRPr="0020095C">
        <w:rPr>
          <w:b/>
          <w:bCs/>
        </w:rPr>
        <w:t xml:space="preserve"> collaboration between different national authorities and government agencies </w:t>
      </w:r>
      <w:r w:rsidR="00EF1333" w:rsidRPr="0020095C">
        <w:rPr>
          <w:b/>
          <w:bCs/>
        </w:rPr>
        <w:t>to raise</w:t>
      </w:r>
      <w:r w:rsidR="00560C36" w:rsidRPr="0020095C">
        <w:rPr>
          <w:b/>
          <w:bCs/>
        </w:rPr>
        <w:t xml:space="preserve"> awareness of disability issues</w:t>
      </w:r>
      <w:r w:rsidR="00560C36" w:rsidRPr="0020095C">
        <w:t>, giving certain persons with invisible disabilities a tool to facilitate access to advantages and services without having to explain their disabilities</w:t>
      </w:r>
      <w:r w:rsidR="00831445" w:rsidRPr="0020095C">
        <w:t xml:space="preserve">. </w:t>
      </w:r>
      <w:r w:rsidR="00A728BE" w:rsidRPr="0020095C">
        <w:t>I</w:t>
      </w:r>
      <w:r w:rsidR="00831445" w:rsidRPr="0020095C">
        <w:t>t will</w:t>
      </w:r>
      <w:r w:rsidR="00A728BE" w:rsidRPr="0020095C">
        <w:t xml:space="preserve"> also</w:t>
      </w:r>
      <w:r w:rsidR="00831445" w:rsidRPr="0020095C">
        <w:t xml:space="preserve"> ease </w:t>
      </w:r>
      <w:r w:rsidR="00560C36" w:rsidRPr="0020095C">
        <w:t>the provision</w:t>
      </w:r>
      <w:r w:rsidR="00831445" w:rsidRPr="0020095C">
        <w:t xml:space="preserve"> of services</w:t>
      </w:r>
      <w:r w:rsidR="00560C36" w:rsidRPr="0020095C">
        <w:t xml:space="preserve"> to persons with disabilities from Member States that do not have a national </w:t>
      </w:r>
      <w:r w:rsidR="00EF1333" w:rsidRPr="0020095C">
        <w:t>d</w:t>
      </w:r>
      <w:r w:rsidR="00560C36" w:rsidRPr="0020095C">
        <w:t xml:space="preserve">isability </w:t>
      </w:r>
      <w:r w:rsidR="00EF1333" w:rsidRPr="0020095C">
        <w:t>c</w:t>
      </w:r>
      <w:r w:rsidR="00560C36" w:rsidRPr="0020095C">
        <w:t xml:space="preserve">ard </w:t>
      </w:r>
      <w:r w:rsidR="00A728BE" w:rsidRPr="0020095C">
        <w:t xml:space="preserve">by providing </w:t>
      </w:r>
      <w:r w:rsidR="00560C36" w:rsidRPr="0020095C">
        <w:t xml:space="preserve">a document that they can use also </w:t>
      </w:r>
      <w:r w:rsidR="00EF1333" w:rsidRPr="0020095C">
        <w:t xml:space="preserve">at </w:t>
      </w:r>
      <w:r w:rsidR="00560C36" w:rsidRPr="0020095C">
        <w:t>national level as a proof of disability</w:t>
      </w:r>
      <w:r w:rsidR="0035502E" w:rsidRPr="0020095C">
        <w:t>.</w:t>
      </w:r>
    </w:p>
    <w:p w14:paraId="028562A2" w14:textId="5225911B" w:rsidR="0035502E" w:rsidRPr="00D21E69" w:rsidRDefault="0035502E"/>
    <w:p w14:paraId="063C91C1" w14:textId="7D4B85EA" w:rsidR="0035502E" w:rsidRPr="0020095C" w:rsidRDefault="0035502E">
      <w:pPr>
        <w:pStyle w:val="Heading2"/>
        <w:ind w:left="567" w:hanging="567"/>
      </w:pPr>
      <w:r w:rsidRPr="0020095C">
        <w:t xml:space="preserve">The EESC underlines the importance of </w:t>
      </w:r>
      <w:r w:rsidR="000B0538" w:rsidRPr="0020095C">
        <w:t>complementing the launch of the European Disability Card with measures, both at European and national level</w:t>
      </w:r>
      <w:r w:rsidR="00726DDF" w:rsidRPr="0020095C">
        <w:t xml:space="preserve">, aimed at </w:t>
      </w:r>
      <w:r w:rsidR="00726DDF" w:rsidRPr="0020095C">
        <w:rPr>
          <w:b/>
          <w:bCs/>
        </w:rPr>
        <w:t xml:space="preserve">improving the general accessibility of built environments, </w:t>
      </w:r>
      <w:r w:rsidR="00C82355" w:rsidRPr="0020095C">
        <w:rPr>
          <w:b/>
          <w:bCs/>
        </w:rPr>
        <w:t xml:space="preserve">transport, </w:t>
      </w:r>
      <w:r w:rsidR="00726DDF" w:rsidRPr="0020095C">
        <w:rPr>
          <w:b/>
          <w:bCs/>
        </w:rPr>
        <w:t>services and goods</w:t>
      </w:r>
      <w:r w:rsidR="0046225B" w:rsidRPr="0020095C">
        <w:t xml:space="preserve"> in accordance with </w:t>
      </w:r>
      <w:r w:rsidR="00C82355" w:rsidRPr="0020095C">
        <w:t>Directive (EU) 2019/882</w:t>
      </w:r>
      <w:r w:rsidR="00C82355" w:rsidRPr="0020095C">
        <w:rPr>
          <w:rStyle w:val="FootnoteReference"/>
          <w:sz w:val="22"/>
        </w:rPr>
        <w:footnoteReference w:id="1"/>
      </w:r>
      <w:r w:rsidR="00A55223" w:rsidRPr="0020095C">
        <w:t>,</w:t>
      </w:r>
      <w:r w:rsidR="00B50567" w:rsidRPr="0020095C">
        <w:t xml:space="preserve"> </w:t>
      </w:r>
      <w:r w:rsidR="00EF4C6F" w:rsidRPr="0020095C">
        <w:t>Directive (EU) 2016/2102</w:t>
      </w:r>
      <w:r w:rsidR="00EF4C6F" w:rsidRPr="0020095C">
        <w:rPr>
          <w:rStyle w:val="FootnoteReference"/>
          <w:sz w:val="22"/>
        </w:rPr>
        <w:footnoteReference w:id="2"/>
      </w:r>
      <w:r w:rsidR="00EF4C6F" w:rsidRPr="0020095C">
        <w:t xml:space="preserve">, </w:t>
      </w:r>
      <w:r w:rsidR="00B50567" w:rsidRPr="0020095C">
        <w:t>regulations</w:t>
      </w:r>
      <w:r w:rsidR="00597617" w:rsidRPr="0020095C">
        <w:t xml:space="preserve"> on transport accessibility</w:t>
      </w:r>
      <w:r w:rsidR="00454613" w:rsidRPr="0020095C">
        <w:rPr>
          <w:rStyle w:val="FootnoteReference"/>
          <w:sz w:val="22"/>
        </w:rPr>
        <w:footnoteReference w:id="3"/>
      </w:r>
      <w:r w:rsidR="00A55223" w:rsidRPr="0020095C">
        <w:t xml:space="preserve"> and related </w:t>
      </w:r>
      <w:r w:rsidR="005A4C05" w:rsidRPr="0020095C">
        <w:t xml:space="preserve">accessibility </w:t>
      </w:r>
      <w:r w:rsidR="00A55223" w:rsidRPr="0020095C">
        <w:t>standards</w:t>
      </w:r>
      <w:r w:rsidR="008C4425" w:rsidRPr="0020095C">
        <w:t>.</w:t>
      </w:r>
    </w:p>
    <w:p w14:paraId="1BA456BB" w14:textId="77777777" w:rsidR="00F0799F" w:rsidRPr="00D21E69" w:rsidRDefault="00F0799F"/>
    <w:p w14:paraId="58BFB895" w14:textId="3E572EF1" w:rsidR="008503FF" w:rsidRPr="0020095C" w:rsidRDefault="008503FF">
      <w:pPr>
        <w:numPr>
          <w:ilvl w:val="1"/>
          <w:numId w:val="1"/>
        </w:numPr>
        <w:overflowPunct w:val="0"/>
        <w:autoSpaceDE w:val="0"/>
        <w:autoSpaceDN w:val="0"/>
        <w:adjustRightInd w:val="0"/>
        <w:ind w:left="567" w:hanging="567"/>
        <w:textAlignment w:val="baseline"/>
        <w:outlineLvl w:val="1"/>
      </w:pPr>
      <w:r w:rsidRPr="0020095C">
        <w:t xml:space="preserve">The EESC </w:t>
      </w:r>
      <w:r w:rsidR="00EA5547" w:rsidRPr="0020095C">
        <w:t>is pleased that</w:t>
      </w:r>
      <w:r w:rsidR="002247E6" w:rsidRPr="0020095C">
        <w:t xml:space="preserve"> the Commission </w:t>
      </w:r>
      <w:r w:rsidR="00EA5547" w:rsidRPr="0020095C">
        <w:t xml:space="preserve">is </w:t>
      </w:r>
      <w:r w:rsidR="002247E6" w:rsidRPr="0020095C">
        <w:t xml:space="preserve">proposing a legislative initiative for the European Disability </w:t>
      </w:r>
      <w:proofErr w:type="gramStart"/>
      <w:r w:rsidR="002247E6" w:rsidRPr="0020095C">
        <w:t>Card, and</w:t>
      </w:r>
      <w:proofErr w:type="gramEnd"/>
      <w:r w:rsidR="002247E6" w:rsidRPr="0020095C">
        <w:t xml:space="preserve"> </w:t>
      </w:r>
      <w:r w:rsidR="00A728BE" w:rsidRPr="0020095C">
        <w:t xml:space="preserve">calls for </w:t>
      </w:r>
      <w:r w:rsidRPr="0020095C">
        <w:t xml:space="preserve">the European </w:t>
      </w:r>
      <w:r w:rsidR="006101F6" w:rsidRPr="0020095C">
        <w:t>Commission</w:t>
      </w:r>
      <w:r w:rsidRPr="0020095C">
        <w:t xml:space="preserve"> </w:t>
      </w:r>
      <w:r w:rsidRPr="0020095C">
        <w:rPr>
          <w:b/>
          <w:bCs/>
        </w:rPr>
        <w:t xml:space="preserve">to </w:t>
      </w:r>
      <w:r w:rsidR="002A324A" w:rsidRPr="0020095C">
        <w:rPr>
          <w:b/>
          <w:bCs/>
        </w:rPr>
        <w:t>propose</w:t>
      </w:r>
      <w:r w:rsidR="00EF1333" w:rsidRPr="0020095C">
        <w:rPr>
          <w:b/>
          <w:bCs/>
        </w:rPr>
        <w:t xml:space="preserve"> </w:t>
      </w:r>
      <w:r w:rsidRPr="0020095C">
        <w:rPr>
          <w:b/>
          <w:bCs/>
        </w:rPr>
        <w:t xml:space="preserve">a </w:t>
      </w:r>
      <w:r w:rsidR="00EF1333" w:rsidRPr="0020095C">
        <w:rPr>
          <w:b/>
          <w:bCs/>
        </w:rPr>
        <w:t>r</w:t>
      </w:r>
      <w:r w:rsidRPr="0020095C">
        <w:rPr>
          <w:b/>
          <w:bCs/>
        </w:rPr>
        <w:t>egulation</w:t>
      </w:r>
      <w:r w:rsidR="00FF3A3C" w:rsidRPr="0020095C">
        <w:rPr>
          <w:b/>
          <w:bCs/>
        </w:rPr>
        <w:t>, as it</w:t>
      </w:r>
      <w:r w:rsidRPr="0020095C">
        <w:rPr>
          <w:b/>
          <w:bCs/>
        </w:rPr>
        <w:t xml:space="preserve"> </w:t>
      </w:r>
      <w:r w:rsidR="00EF1333" w:rsidRPr="0020095C">
        <w:rPr>
          <w:b/>
          <w:bCs/>
        </w:rPr>
        <w:t xml:space="preserve">is </w:t>
      </w:r>
      <w:r w:rsidRPr="0020095C">
        <w:rPr>
          <w:b/>
          <w:bCs/>
        </w:rPr>
        <w:t xml:space="preserve">a more appropriate instrument </w:t>
      </w:r>
      <w:r w:rsidRPr="0020095C">
        <w:t>to ensure agility in the application and to avoid differences in implementation at national level.</w:t>
      </w:r>
    </w:p>
    <w:p w14:paraId="5B9C64E8" w14:textId="77777777" w:rsidR="00427FC1" w:rsidRPr="0020095C" w:rsidRDefault="00427FC1">
      <w:pPr>
        <w:overflowPunct w:val="0"/>
        <w:autoSpaceDE w:val="0"/>
        <w:autoSpaceDN w:val="0"/>
        <w:adjustRightInd w:val="0"/>
        <w:ind w:left="567"/>
        <w:textAlignment w:val="baseline"/>
        <w:outlineLvl w:val="1"/>
      </w:pPr>
    </w:p>
    <w:p w14:paraId="6D25A88A" w14:textId="71AC62AE" w:rsidR="008503FF" w:rsidRPr="00D21E69" w:rsidRDefault="00427FC1">
      <w:pPr>
        <w:numPr>
          <w:ilvl w:val="1"/>
          <w:numId w:val="1"/>
        </w:numPr>
        <w:overflowPunct w:val="0"/>
        <w:autoSpaceDE w:val="0"/>
        <w:autoSpaceDN w:val="0"/>
        <w:adjustRightInd w:val="0"/>
        <w:ind w:left="567" w:hanging="567"/>
        <w:textAlignment w:val="baseline"/>
        <w:outlineLvl w:val="1"/>
      </w:pPr>
      <w:r w:rsidRPr="0020095C">
        <w:t xml:space="preserve">The EESC </w:t>
      </w:r>
      <w:r w:rsidR="00F0799F" w:rsidRPr="0020095C">
        <w:t>stresses</w:t>
      </w:r>
      <w:r w:rsidRPr="0020095C">
        <w:t xml:space="preserve"> the importance of </w:t>
      </w:r>
      <w:r w:rsidR="00F0799F" w:rsidRPr="0020095C">
        <w:t xml:space="preserve">including in the European Disability Card </w:t>
      </w:r>
      <w:r w:rsidRPr="0020095C">
        <w:rPr>
          <w:b/>
          <w:bCs/>
        </w:rPr>
        <w:t xml:space="preserve">the </w:t>
      </w:r>
      <w:r w:rsidR="00F0799F" w:rsidRPr="0020095C">
        <w:rPr>
          <w:b/>
          <w:bCs/>
        </w:rPr>
        <w:t xml:space="preserve">scope of </w:t>
      </w:r>
      <w:r w:rsidRPr="0020095C">
        <w:rPr>
          <w:b/>
          <w:bCs/>
        </w:rPr>
        <w:t>access to all forms of services, benefits and discounts already granted at national level</w:t>
      </w:r>
      <w:r w:rsidRPr="0020095C">
        <w:t>, accepted by all services offering preferential conditions or adaptations to persons with disabilities, whether provided by public or private entities.</w:t>
      </w:r>
    </w:p>
    <w:p w14:paraId="6E0FE011" w14:textId="77777777" w:rsidR="00247258" w:rsidRPr="00D21E69" w:rsidRDefault="00247258">
      <w:pPr>
        <w:pStyle w:val="ListParagraph"/>
        <w:rPr>
          <w:highlight w:val="yellow"/>
        </w:rPr>
      </w:pPr>
    </w:p>
    <w:p w14:paraId="048499E0" w14:textId="18D80610" w:rsidR="00247258" w:rsidRPr="00D21E69" w:rsidRDefault="00247258">
      <w:pPr>
        <w:numPr>
          <w:ilvl w:val="1"/>
          <w:numId w:val="1"/>
        </w:numPr>
        <w:overflowPunct w:val="0"/>
        <w:autoSpaceDE w:val="0"/>
        <w:autoSpaceDN w:val="0"/>
        <w:adjustRightInd w:val="0"/>
        <w:ind w:left="567" w:hanging="567"/>
        <w:textAlignment w:val="baseline"/>
        <w:outlineLvl w:val="1"/>
      </w:pPr>
      <w:r w:rsidRPr="0020095C">
        <w:t xml:space="preserve">The EESC </w:t>
      </w:r>
      <w:r w:rsidR="00540BB8" w:rsidRPr="0020095C">
        <w:t>recommends</w:t>
      </w:r>
      <w:r w:rsidRPr="0020095C">
        <w:t xml:space="preserve"> that the European Disability Card </w:t>
      </w:r>
      <w:r w:rsidRPr="00D21E69">
        <w:t xml:space="preserve">provide the possibility </w:t>
      </w:r>
      <w:r w:rsidR="00A6736B" w:rsidRPr="00D21E69">
        <w:t xml:space="preserve">to </w:t>
      </w:r>
      <w:r w:rsidRPr="00D21E69">
        <w:rPr>
          <w:b/>
          <w:bCs/>
        </w:rPr>
        <w:t>grant</w:t>
      </w:r>
      <w:r w:rsidR="00540BB8" w:rsidRPr="00D21E69">
        <w:rPr>
          <w:b/>
          <w:bCs/>
        </w:rPr>
        <w:t xml:space="preserve"> access to </w:t>
      </w:r>
      <w:r w:rsidR="00540BB8" w:rsidRPr="0020095C">
        <w:rPr>
          <w:b/>
          <w:bCs/>
        </w:rPr>
        <w:t>benefits linked to public social policies and/or national social security systems</w:t>
      </w:r>
      <w:r w:rsidRPr="00D21E69">
        <w:rPr>
          <w:b/>
          <w:bCs/>
        </w:rPr>
        <w:t xml:space="preserve"> on a temporary basis </w:t>
      </w:r>
      <w:r w:rsidRPr="00D21E69">
        <w:t xml:space="preserve">when </w:t>
      </w:r>
      <w:r w:rsidR="00A728BE" w:rsidRPr="00D21E69">
        <w:t xml:space="preserve">a </w:t>
      </w:r>
      <w:r w:rsidRPr="00D21E69">
        <w:t xml:space="preserve">person with a disability has moved to </w:t>
      </w:r>
      <w:r w:rsidR="00A6736B" w:rsidRPr="00D21E69">
        <w:t xml:space="preserve">a </w:t>
      </w:r>
      <w:r w:rsidRPr="00D21E69">
        <w:t>Member State to study or to work, at least throughout the process of getting the disability re-assessed and certified.</w:t>
      </w:r>
    </w:p>
    <w:p w14:paraId="74952CA3" w14:textId="77777777" w:rsidR="00585E37" w:rsidRPr="00D21E69" w:rsidRDefault="00585E37">
      <w:pPr>
        <w:overflowPunct w:val="0"/>
        <w:autoSpaceDE w:val="0"/>
        <w:autoSpaceDN w:val="0"/>
        <w:adjustRightInd w:val="0"/>
        <w:textAlignment w:val="baseline"/>
        <w:outlineLvl w:val="1"/>
      </w:pPr>
    </w:p>
    <w:p w14:paraId="20BBE85E" w14:textId="790465E9" w:rsidR="00585E37" w:rsidRPr="0020095C" w:rsidRDefault="00585E37">
      <w:pPr>
        <w:numPr>
          <w:ilvl w:val="1"/>
          <w:numId w:val="1"/>
        </w:numPr>
        <w:overflowPunct w:val="0"/>
        <w:autoSpaceDE w:val="0"/>
        <w:autoSpaceDN w:val="0"/>
        <w:adjustRightInd w:val="0"/>
        <w:ind w:left="567" w:hanging="567"/>
        <w:textAlignment w:val="baseline"/>
        <w:outlineLvl w:val="1"/>
      </w:pPr>
      <w:r w:rsidRPr="0020095C">
        <w:t xml:space="preserve">While the recognition of disability through the European Disability Card does not imply the homogenisation of the disability assessment models among Member States, it </w:t>
      </w:r>
      <w:r w:rsidR="001A278E" w:rsidRPr="0020095C">
        <w:t xml:space="preserve">compels </w:t>
      </w:r>
      <w:r w:rsidRPr="0020095C">
        <w:t xml:space="preserve">Member States to </w:t>
      </w:r>
      <w:r w:rsidRPr="0020095C">
        <w:rPr>
          <w:b/>
          <w:bCs/>
        </w:rPr>
        <w:t xml:space="preserve">improve current systems based primarily on a medical approach </w:t>
      </w:r>
      <w:r w:rsidR="00A6736B" w:rsidRPr="0020095C">
        <w:rPr>
          <w:b/>
          <w:bCs/>
        </w:rPr>
        <w:t xml:space="preserve">to be more in line with </w:t>
      </w:r>
      <w:r w:rsidRPr="0020095C">
        <w:rPr>
          <w:b/>
          <w:bCs/>
        </w:rPr>
        <w:t xml:space="preserve">models that abide </w:t>
      </w:r>
      <w:r w:rsidR="00270124" w:rsidRPr="0020095C">
        <w:rPr>
          <w:b/>
          <w:bCs/>
        </w:rPr>
        <w:t xml:space="preserve">by </w:t>
      </w:r>
      <w:r w:rsidRPr="0020095C">
        <w:rPr>
          <w:b/>
          <w:bCs/>
        </w:rPr>
        <w:t>the UNCRPD</w:t>
      </w:r>
      <w:r w:rsidRPr="0020095C">
        <w:t>.</w:t>
      </w:r>
    </w:p>
    <w:p w14:paraId="5B4B20D4" w14:textId="77777777" w:rsidR="006A2EE2" w:rsidRPr="0020095C" w:rsidRDefault="006A2EE2">
      <w:pPr>
        <w:pStyle w:val="ListParagraph"/>
      </w:pPr>
    </w:p>
    <w:p w14:paraId="279CF2EA" w14:textId="03C4B40F" w:rsidR="00E32AA0" w:rsidRPr="0020095C" w:rsidRDefault="006A2EE2">
      <w:pPr>
        <w:numPr>
          <w:ilvl w:val="1"/>
          <w:numId w:val="1"/>
        </w:numPr>
        <w:overflowPunct w:val="0"/>
        <w:autoSpaceDE w:val="0"/>
        <w:autoSpaceDN w:val="0"/>
        <w:adjustRightInd w:val="0"/>
        <w:ind w:left="567" w:hanging="567"/>
        <w:textAlignment w:val="baseline"/>
        <w:outlineLvl w:val="1"/>
      </w:pPr>
      <w:r w:rsidRPr="00D21E69">
        <w:t xml:space="preserve">The EESC </w:t>
      </w:r>
      <w:r w:rsidR="00A6736B" w:rsidRPr="00D21E69">
        <w:t xml:space="preserve">believes that </w:t>
      </w:r>
      <w:r w:rsidRPr="00D21E69">
        <w:rPr>
          <w:b/>
          <w:bCs/>
        </w:rPr>
        <w:t xml:space="preserve">the </w:t>
      </w:r>
      <w:r w:rsidR="00A6736B" w:rsidRPr="00D21E69">
        <w:rPr>
          <w:b/>
          <w:bCs/>
        </w:rPr>
        <w:t>c</w:t>
      </w:r>
      <w:r w:rsidRPr="00D21E69">
        <w:rPr>
          <w:b/>
          <w:bCs/>
        </w:rPr>
        <w:t>ard must be</w:t>
      </w:r>
      <w:r w:rsidR="00A6736B" w:rsidRPr="00D21E69">
        <w:rPr>
          <w:b/>
          <w:bCs/>
        </w:rPr>
        <w:t xml:space="preserve"> in</w:t>
      </w:r>
      <w:r w:rsidRPr="00D21E69">
        <w:rPr>
          <w:b/>
          <w:bCs/>
        </w:rPr>
        <w:t xml:space="preserve"> physical</w:t>
      </w:r>
      <w:r w:rsidR="00B11C9C" w:rsidRPr="00D21E69">
        <w:rPr>
          <w:b/>
          <w:bCs/>
        </w:rPr>
        <w:t xml:space="preserve"> </w:t>
      </w:r>
      <w:r w:rsidR="00A6736B" w:rsidRPr="00D21E69">
        <w:rPr>
          <w:b/>
          <w:bCs/>
        </w:rPr>
        <w:t>form</w:t>
      </w:r>
      <w:r w:rsidRPr="00D21E69">
        <w:rPr>
          <w:b/>
          <w:bCs/>
        </w:rPr>
        <w:t xml:space="preserve"> with digital capabilities</w:t>
      </w:r>
      <w:r w:rsidR="00B11C9C" w:rsidRPr="00D21E69">
        <w:t>, fully accessible</w:t>
      </w:r>
      <w:r w:rsidR="00E32AA0" w:rsidRPr="00D21E69">
        <w:t xml:space="preserve"> and with a standardised ID size</w:t>
      </w:r>
      <w:r w:rsidR="00B11C9C" w:rsidRPr="00D21E69">
        <w:t xml:space="preserve">, </w:t>
      </w:r>
      <w:r w:rsidR="00E32AA0" w:rsidRPr="00D21E69">
        <w:t>including</w:t>
      </w:r>
      <w:r w:rsidR="00B11C9C" w:rsidRPr="00D21E69">
        <w:t xml:space="preserve"> </w:t>
      </w:r>
      <w:r w:rsidR="007B21E4" w:rsidRPr="0020095C">
        <w:t xml:space="preserve">information about the personal assistance and/or accompanying person for the owner of the </w:t>
      </w:r>
      <w:r w:rsidR="00A6736B" w:rsidRPr="0020095C">
        <w:t>c</w:t>
      </w:r>
      <w:r w:rsidR="007B21E4" w:rsidRPr="0020095C">
        <w:t>ard</w:t>
      </w:r>
      <w:r w:rsidR="00E32AA0" w:rsidRPr="0020095C">
        <w:t>.</w:t>
      </w:r>
    </w:p>
    <w:p w14:paraId="4B1FD333" w14:textId="77777777" w:rsidR="00E32AA0" w:rsidRPr="00D21E69" w:rsidRDefault="00E32AA0">
      <w:pPr>
        <w:pStyle w:val="ListParagraph"/>
        <w:rPr>
          <w:highlight w:val="yellow"/>
        </w:rPr>
      </w:pPr>
    </w:p>
    <w:p w14:paraId="2695E993" w14:textId="4C56DA29" w:rsidR="00CD30EA" w:rsidRPr="0020095C" w:rsidRDefault="006F51AC">
      <w:pPr>
        <w:numPr>
          <w:ilvl w:val="1"/>
          <w:numId w:val="1"/>
        </w:numPr>
        <w:overflowPunct w:val="0"/>
        <w:autoSpaceDE w:val="0"/>
        <w:autoSpaceDN w:val="0"/>
        <w:adjustRightInd w:val="0"/>
        <w:ind w:left="567" w:hanging="567"/>
        <w:textAlignment w:val="baseline"/>
        <w:outlineLvl w:val="1"/>
      </w:pPr>
      <w:r w:rsidRPr="00D21E69">
        <w:t xml:space="preserve">The EESC </w:t>
      </w:r>
      <w:r w:rsidR="0050599F" w:rsidRPr="00D21E69">
        <w:t xml:space="preserve">suggests that </w:t>
      </w:r>
      <w:r w:rsidR="006A2EE2" w:rsidRPr="00D21E69">
        <w:t xml:space="preserve">the European Disability Card </w:t>
      </w:r>
      <w:r w:rsidR="004A3E95" w:rsidRPr="00D21E69">
        <w:t xml:space="preserve">legislation </w:t>
      </w:r>
      <w:r w:rsidR="006A2EE2" w:rsidRPr="00D21E69">
        <w:t xml:space="preserve">must include an </w:t>
      </w:r>
      <w:r w:rsidR="006A2EE2" w:rsidRPr="00D21E69">
        <w:rPr>
          <w:b/>
          <w:bCs/>
        </w:rPr>
        <w:t>EU-level</w:t>
      </w:r>
      <w:r w:rsidR="00071D42" w:rsidRPr="00D21E69">
        <w:rPr>
          <w:b/>
          <w:bCs/>
        </w:rPr>
        <w:t>,</w:t>
      </w:r>
      <w:r w:rsidR="006A2EE2" w:rsidRPr="00D21E69">
        <w:rPr>
          <w:b/>
          <w:bCs/>
        </w:rPr>
        <w:t xml:space="preserve"> </w:t>
      </w:r>
      <w:r w:rsidR="00773AE6" w:rsidRPr="00D21E69">
        <w:rPr>
          <w:b/>
          <w:bCs/>
        </w:rPr>
        <w:t xml:space="preserve">fully accessible </w:t>
      </w:r>
      <w:r w:rsidR="006A2EE2" w:rsidRPr="00D21E69">
        <w:rPr>
          <w:b/>
          <w:bCs/>
        </w:rPr>
        <w:t>website</w:t>
      </w:r>
      <w:r w:rsidR="00B915BA" w:rsidRPr="00D21E69">
        <w:rPr>
          <w:b/>
          <w:bCs/>
        </w:rPr>
        <w:t xml:space="preserve">, with </w:t>
      </w:r>
      <w:r w:rsidR="00071D42" w:rsidRPr="00D21E69">
        <w:rPr>
          <w:b/>
          <w:bCs/>
        </w:rPr>
        <w:t xml:space="preserve">an </w:t>
      </w:r>
      <w:r w:rsidR="00B915BA" w:rsidRPr="00D21E69">
        <w:rPr>
          <w:b/>
          <w:bCs/>
        </w:rPr>
        <w:t>easy-to-read version</w:t>
      </w:r>
      <w:r w:rsidR="009A4170" w:rsidRPr="00D21E69">
        <w:rPr>
          <w:b/>
          <w:bCs/>
        </w:rPr>
        <w:t xml:space="preserve"> and sign language availability</w:t>
      </w:r>
      <w:r w:rsidR="006A2EE2" w:rsidRPr="00D21E69">
        <w:rPr>
          <w:b/>
          <w:bCs/>
        </w:rPr>
        <w:t>, available in all EU languages</w:t>
      </w:r>
      <w:r w:rsidR="00773AE6" w:rsidRPr="00D21E69">
        <w:rPr>
          <w:b/>
          <w:bCs/>
        </w:rPr>
        <w:t>,</w:t>
      </w:r>
      <w:r w:rsidR="006A2EE2" w:rsidRPr="00D21E69">
        <w:rPr>
          <w:b/>
          <w:bCs/>
        </w:rPr>
        <w:t xml:space="preserve"> </w:t>
      </w:r>
      <w:r w:rsidR="00773AE6" w:rsidRPr="00D21E69">
        <w:rPr>
          <w:b/>
          <w:bCs/>
        </w:rPr>
        <w:t>providing</w:t>
      </w:r>
      <w:r w:rsidR="006A2EE2" w:rsidRPr="00D21E69">
        <w:rPr>
          <w:b/>
          <w:bCs/>
        </w:rPr>
        <w:t xml:space="preserve"> practical </w:t>
      </w:r>
      <w:r w:rsidR="00773AE6" w:rsidRPr="00D21E69">
        <w:rPr>
          <w:b/>
          <w:bCs/>
        </w:rPr>
        <w:t>information</w:t>
      </w:r>
      <w:r w:rsidR="006A2EE2" w:rsidRPr="00D21E69">
        <w:rPr>
          <w:b/>
          <w:bCs/>
        </w:rPr>
        <w:t xml:space="preserve"> for every country</w:t>
      </w:r>
      <w:r w:rsidR="00773AE6" w:rsidRPr="00D21E69">
        <w:t>. It must</w:t>
      </w:r>
      <w:r w:rsidR="00A6736B" w:rsidRPr="00D21E69">
        <w:t xml:space="preserve"> also</w:t>
      </w:r>
      <w:r w:rsidR="00773AE6" w:rsidRPr="00D21E69">
        <w:t xml:space="preserve"> </w:t>
      </w:r>
      <w:r w:rsidRPr="00D21E69">
        <w:t xml:space="preserve">include </w:t>
      </w:r>
      <w:r w:rsidR="00773AE6" w:rsidRPr="00D21E69">
        <w:t>EU-wide and national awareness-raising campaign</w:t>
      </w:r>
      <w:r w:rsidR="00A6736B" w:rsidRPr="00D21E69">
        <w:t>s</w:t>
      </w:r>
      <w:r w:rsidR="00773AE6" w:rsidRPr="00D21E69">
        <w:t xml:space="preserve"> in all EU languages for the </w:t>
      </w:r>
      <w:proofErr w:type="gramStart"/>
      <w:r w:rsidR="00773AE6" w:rsidRPr="00D21E69">
        <w:t>general public</w:t>
      </w:r>
      <w:proofErr w:type="gramEnd"/>
      <w:r w:rsidR="00773AE6" w:rsidRPr="00D21E69">
        <w:t xml:space="preserve">, potential </w:t>
      </w:r>
      <w:r w:rsidR="00A6736B" w:rsidRPr="00D21E69">
        <w:t>c</w:t>
      </w:r>
      <w:r w:rsidR="00773AE6" w:rsidRPr="00D21E69">
        <w:t>ard users and service providers</w:t>
      </w:r>
      <w:r w:rsidRPr="00D21E69">
        <w:t>.</w:t>
      </w:r>
    </w:p>
    <w:p w14:paraId="68C667E5" w14:textId="77777777" w:rsidR="006F51AC" w:rsidRPr="0020095C" w:rsidRDefault="006F51AC">
      <w:pPr>
        <w:overflowPunct w:val="0"/>
        <w:autoSpaceDE w:val="0"/>
        <w:autoSpaceDN w:val="0"/>
        <w:adjustRightInd w:val="0"/>
        <w:textAlignment w:val="baseline"/>
        <w:outlineLvl w:val="1"/>
      </w:pPr>
    </w:p>
    <w:p w14:paraId="4F345B0D" w14:textId="5610BB1D" w:rsidR="00CD30EA" w:rsidRPr="0020095C" w:rsidRDefault="00C12D71">
      <w:pPr>
        <w:numPr>
          <w:ilvl w:val="1"/>
          <w:numId w:val="1"/>
        </w:numPr>
        <w:overflowPunct w:val="0"/>
        <w:autoSpaceDE w:val="0"/>
        <w:autoSpaceDN w:val="0"/>
        <w:adjustRightInd w:val="0"/>
        <w:ind w:left="567" w:hanging="567"/>
        <w:textAlignment w:val="baseline"/>
        <w:outlineLvl w:val="1"/>
      </w:pPr>
      <w:r w:rsidRPr="00D21E69">
        <w:t>The EESC</w:t>
      </w:r>
      <w:r w:rsidR="00606976" w:rsidRPr="00D21E69">
        <w:t xml:space="preserve"> </w:t>
      </w:r>
      <w:r w:rsidRPr="00D21E69">
        <w:t>support</w:t>
      </w:r>
      <w:r w:rsidR="00606976" w:rsidRPr="00D21E69">
        <w:t>s</w:t>
      </w:r>
      <w:r w:rsidRPr="00D21E69">
        <w:t xml:space="preserve"> the proposal </w:t>
      </w:r>
      <w:r w:rsidR="00A728BE" w:rsidRPr="00D21E69">
        <w:t>to develop</w:t>
      </w:r>
      <w:r w:rsidR="00AE1870" w:rsidRPr="00D21E69">
        <w:t xml:space="preserve"> the new legislation for the EU Parking Card together with the proposal for a European Disability Card</w:t>
      </w:r>
      <w:r w:rsidR="003A1367" w:rsidRPr="00D21E69">
        <w:t>.</w:t>
      </w:r>
      <w:r w:rsidR="00AE1870" w:rsidRPr="00D21E69">
        <w:t xml:space="preserve"> </w:t>
      </w:r>
      <w:r w:rsidR="003A1367" w:rsidRPr="00D21E69">
        <w:t>N</w:t>
      </w:r>
      <w:r w:rsidR="00606976" w:rsidRPr="00D21E69">
        <w:t>evertheless</w:t>
      </w:r>
      <w:r w:rsidR="000D09A9" w:rsidRPr="00D21E69">
        <w:t>,</w:t>
      </w:r>
      <w:r w:rsidR="00606976" w:rsidRPr="00D21E69">
        <w:t xml:space="preserve"> it calls for the Commission to</w:t>
      </w:r>
      <w:r w:rsidR="00AE1870" w:rsidRPr="00D21E69">
        <w:t xml:space="preserve"> </w:t>
      </w:r>
      <w:proofErr w:type="gramStart"/>
      <w:r w:rsidR="00A728BE" w:rsidRPr="00D21E69">
        <w:t>take into account</w:t>
      </w:r>
      <w:proofErr w:type="gramEnd"/>
      <w:r w:rsidR="00A728BE" w:rsidRPr="00D21E69">
        <w:t xml:space="preserve"> </w:t>
      </w:r>
      <w:r w:rsidR="00606976" w:rsidRPr="00D21E69">
        <w:t>that</w:t>
      </w:r>
      <w:r w:rsidR="00AE1870" w:rsidRPr="00D21E69">
        <w:t xml:space="preserve"> </w:t>
      </w:r>
      <w:r w:rsidR="00AE1870" w:rsidRPr="00D21E69">
        <w:rPr>
          <w:b/>
          <w:bCs/>
        </w:rPr>
        <w:t xml:space="preserve">both </w:t>
      </w:r>
      <w:r w:rsidR="003A1367" w:rsidRPr="00D21E69">
        <w:rPr>
          <w:b/>
          <w:bCs/>
        </w:rPr>
        <w:t>c</w:t>
      </w:r>
      <w:r w:rsidR="00AE1870" w:rsidRPr="00D21E69">
        <w:rPr>
          <w:b/>
          <w:bCs/>
        </w:rPr>
        <w:t>ards</w:t>
      </w:r>
      <w:r w:rsidR="00606976" w:rsidRPr="00D21E69">
        <w:rPr>
          <w:b/>
          <w:bCs/>
        </w:rPr>
        <w:t xml:space="preserve"> must</w:t>
      </w:r>
      <w:r w:rsidR="00AE1870" w:rsidRPr="00D21E69">
        <w:rPr>
          <w:b/>
          <w:bCs/>
        </w:rPr>
        <w:t xml:space="preserve"> remain physically separate</w:t>
      </w:r>
      <w:r w:rsidR="00A728BE" w:rsidRPr="00D21E69">
        <w:rPr>
          <w:b/>
          <w:bCs/>
        </w:rPr>
        <w:t xml:space="preserve"> </w:t>
      </w:r>
      <w:r w:rsidR="00A728BE" w:rsidRPr="00D21E69">
        <w:t>in all cases</w:t>
      </w:r>
      <w:r w:rsidR="00AE1870" w:rsidRPr="00D21E69">
        <w:t>.</w:t>
      </w:r>
    </w:p>
    <w:p w14:paraId="462816FF" w14:textId="77777777" w:rsidR="00491941" w:rsidRPr="0020095C" w:rsidRDefault="00491941">
      <w:pPr>
        <w:pStyle w:val="ListParagraph"/>
      </w:pPr>
    </w:p>
    <w:p w14:paraId="25C9B4C1" w14:textId="7F53E86C" w:rsidR="00491941" w:rsidRPr="00D21E69" w:rsidRDefault="00491941">
      <w:pPr>
        <w:numPr>
          <w:ilvl w:val="1"/>
          <w:numId w:val="1"/>
        </w:numPr>
        <w:overflowPunct w:val="0"/>
        <w:autoSpaceDE w:val="0"/>
        <w:autoSpaceDN w:val="0"/>
        <w:adjustRightInd w:val="0"/>
        <w:ind w:left="567" w:hanging="567"/>
        <w:textAlignment w:val="baseline"/>
        <w:outlineLvl w:val="1"/>
      </w:pPr>
      <w:r w:rsidRPr="00D21E69">
        <w:t xml:space="preserve">The EESC </w:t>
      </w:r>
      <w:r w:rsidR="00AA1637" w:rsidRPr="00D21E69">
        <w:t>stresses the importance for</w:t>
      </w:r>
      <w:r w:rsidRPr="00D21E69">
        <w:t xml:space="preserve"> EU institutions </w:t>
      </w:r>
      <w:r w:rsidR="00AA1637" w:rsidRPr="00D21E69">
        <w:t xml:space="preserve">to </w:t>
      </w:r>
      <w:r w:rsidR="00AA1637" w:rsidRPr="00D21E69">
        <w:rPr>
          <w:b/>
          <w:bCs/>
        </w:rPr>
        <w:t xml:space="preserve">maintain </w:t>
      </w:r>
      <w:r w:rsidRPr="00D21E69">
        <w:rPr>
          <w:b/>
          <w:bCs/>
        </w:rPr>
        <w:t xml:space="preserve">close collaboration </w:t>
      </w:r>
      <w:r w:rsidR="00D27AEB" w:rsidRPr="00D21E69">
        <w:rPr>
          <w:b/>
          <w:bCs/>
        </w:rPr>
        <w:t>with persons with disabilities, as well as</w:t>
      </w:r>
      <w:r w:rsidRPr="00D21E69">
        <w:rPr>
          <w:b/>
          <w:bCs/>
        </w:rPr>
        <w:t xml:space="preserve"> EU-level</w:t>
      </w:r>
      <w:r w:rsidR="00AA1637" w:rsidRPr="00D21E69">
        <w:rPr>
          <w:b/>
          <w:bCs/>
        </w:rPr>
        <w:t>,</w:t>
      </w:r>
      <w:r w:rsidRPr="00D21E69">
        <w:rPr>
          <w:b/>
          <w:bCs/>
        </w:rPr>
        <w:t xml:space="preserve"> national, </w:t>
      </w:r>
      <w:proofErr w:type="gramStart"/>
      <w:r w:rsidRPr="00D21E69">
        <w:rPr>
          <w:b/>
          <w:bCs/>
        </w:rPr>
        <w:t>regional</w:t>
      </w:r>
      <w:proofErr w:type="gramEnd"/>
      <w:r w:rsidRPr="00D21E69">
        <w:rPr>
          <w:b/>
          <w:bCs/>
        </w:rPr>
        <w:t xml:space="preserve"> and local </w:t>
      </w:r>
      <w:r w:rsidR="003A1367" w:rsidRPr="00D21E69">
        <w:rPr>
          <w:b/>
          <w:bCs/>
        </w:rPr>
        <w:t>representative organisations of persons with disabilities</w:t>
      </w:r>
      <w:r w:rsidRPr="00D21E69">
        <w:rPr>
          <w:b/>
          <w:bCs/>
        </w:rPr>
        <w:t xml:space="preserve"> (DPOs</w:t>
      </w:r>
      <w:r w:rsidR="00AA1637" w:rsidRPr="00D21E69">
        <w:rPr>
          <w:b/>
          <w:bCs/>
        </w:rPr>
        <w:t>)</w:t>
      </w:r>
      <w:r w:rsidR="00AA1637" w:rsidRPr="00D21E69">
        <w:t xml:space="preserve"> in the development, execution and later assessment of the European Disability Card.</w:t>
      </w:r>
    </w:p>
    <w:p w14:paraId="219B5DD3" w14:textId="77777777" w:rsidR="00491941" w:rsidRPr="00D21E69" w:rsidRDefault="00491941">
      <w:pPr>
        <w:pStyle w:val="ListParagraph"/>
        <w:rPr>
          <w:highlight w:val="yellow"/>
        </w:rPr>
      </w:pPr>
    </w:p>
    <w:p w14:paraId="4CAA1D43" w14:textId="28DF99AB" w:rsidR="007762A9" w:rsidRPr="0020095C" w:rsidRDefault="00AA1637">
      <w:pPr>
        <w:numPr>
          <w:ilvl w:val="1"/>
          <w:numId w:val="1"/>
        </w:numPr>
        <w:overflowPunct w:val="0"/>
        <w:autoSpaceDE w:val="0"/>
        <w:autoSpaceDN w:val="0"/>
        <w:adjustRightInd w:val="0"/>
        <w:ind w:left="567" w:hanging="567"/>
        <w:textAlignment w:val="baseline"/>
        <w:outlineLvl w:val="1"/>
      </w:pPr>
      <w:r w:rsidRPr="00D21E69">
        <w:t xml:space="preserve">The EESC understands that the European Disability Card is </w:t>
      </w:r>
      <w:r w:rsidRPr="00D21E69">
        <w:rPr>
          <w:b/>
          <w:bCs/>
        </w:rPr>
        <w:t>fully in line with the General Data Protection Regulation (GDPR)</w:t>
      </w:r>
      <w:r w:rsidRPr="0020095C">
        <w:rPr>
          <w:rStyle w:val="FootnoteReference"/>
          <w:sz w:val="22"/>
        </w:rPr>
        <w:footnoteReference w:id="4"/>
      </w:r>
      <w:r w:rsidRPr="00D21E69">
        <w:rPr>
          <w:b/>
          <w:bCs/>
        </w:rPr>
        <w:t xml:space="preserve"> and protects the personal information </w:t>
      </w:r>
      <w:r w:rsidR="003A1367" w:rsidRPr="00D21E69">
        <w:rPr>
          <w:b/>
          <w:bCs/>
        </w:rPr>
        <w:t xml:space="preserve">of </w:t>
      </w:r>
      <w:r w:rsidRPr="00D21E69">
        <w:rPr>
          <w:b/>
          <w:bCs/>
        </w:rPr>
        <w:t>the user</w:t>
      </w:r>
      <w:r w:rsidRPr="00D21E69">
        <w:t xml:space="preserve">. It asks the Commission to </w:t>
      </w:r>
      <w:r w:rsidR="003A1367" w:rsidRPr="00D21E69">
        <w:t>guarantee</w:t>
      </w:r>
      <w:r w:rsidRPr="00D21E69">
        <w:t xml:space="preserve"> a high level of protection</w:t>
      </w:r>
      <w:r w:rsidR="00756A5E" w:rsidRPr="00D21E69">
        <w:t xml:space="preserve"> of this data</w:t>
      </w:r>
      <w:r w:rsidRPr="00D21E69">
        <w:t xml:space="preserve">, together with </w:t>
      </w:r>
      <w:r w:rsidR="00BB3BE9" w:rsidRPr="00D21E69">
        <w:t>security and anti-</w:t>
      </w:r>
      <w:r w:rsidRPr="00D21E69">
        <w:t>counterfeiting measures</w:t>
      </w:r>
      <w:r w:rsidR="00756A5E" w:rsidRPr="00D21E69">
        <w:t>, through the proposed legislation in the design and use of the European Disability Card.</w:t>
      </w:r>
    </w:p>
    <w:p w14:paraId="77137451" w14:textId="77777777" w:rsidR="006A2EE2" w:rsidRPr="0020095C" w:rsidRDefault="006A2EE2">
      <w:pPr>
        <w:overflowPunct w:val="0"/>
        <w:autoSpaceDE w:val="0"/>
        <w:autoSpaceDN w:val="0"/>
        <w:adjustRightInd w:val="0"/>
        <w:textAlignment w:val="baseline"/>
      </w:pPr>
    </w:p>
    <w:p w14:paraId="5EB32E89" w14:textId="28522CFA" w:rsidR="00567BF2" w:rsidRPr="0020095C" w:rsidRDefault="00567BF2">
      <w:pPr>
        <w:keepNext/>
        <w:numPr>
          <w:ilvl w:val="0"/>
          <w:numId w:val="1"/>
        </w:numPr>
        <w:overflowPunct w:val="0"/>
        <w:autoSpaceDE w:val="0"/>
        <w:autoSpaceDN w:val="0"/>
        <w:adjustRightInd w:val="0"/>
        <w:ind w:left="567" w:hanging="567"/>
        <w:textAlignment w:val="baseline"/>
        <w:outlineLvl w:val="0"/>
        <w:rPr>
          <w:b/>
          <w:bCs/>
          <w:kern w:val="28"/>
        </w:rPr>
      </w:pPr>
      <w:r w:rsidRPr="0020095C">
        <w:rPr>
          <w:b/>
          <w:bCs/>
          <w:kern w:val="28"/>
        </w:rPr>
        <w:t>General comments</w:t>
      </w:r>
    </w:p>
    <w:p w14:paraId="1B0D2326" w14:textId="77777777" w:rsidR="00567BF2" w:rsidRPr="0020095C" w:rsidRDefault="00567BF2">
      <w:pPr>
        <w:keepNext/>
        <w:autoSpaceDE w:val="0"/>
        <w:autoSpaceDN w:val="0"/>
      </w:pPr>
    </w:p>
    <w:p w14:paraId="29C7BC1E" w14:textId="79B459A8" w:rsidR="007B2B87" w:rsidRPr="0020095C" w:rsidRDefault="007B2B87">
      <w:pPr>
        <w:numPr>
          <w:ilvl w:val="1"/>
          <w:numId w:val="1"/>
        </w:numPr>
        <w:overflowPunct w:val="0"/>
        <w:autoSpaceDE w:val="0"/>
        <w:autoSpaceDN w:val="0"/>
        <w:adjustRightInd w:val="0"/>
        <w:ind w:left="567" w:hanging="567"/>
        <w:textAlignment w:val="baseline"/>
        <w:outlineLvl w:val="1"/>
      </w:pPr>
      <w:r w:rsidRPr="0020095C">
        <w:t xml:space="preserve">The </w:t>
      </w:r>
      <w:r w:rsidR="00BE3FA7" w:rsidRPr="0020095C">
        <w:t xml:space="preserve">EESC </w:t>
      </w:r>
      <w:r w:rsidR="004D2538" w:rsidRPr="0020095C">
        <w:t xml:space="preserve">notes that </w:t>
      </w:r>
      <w:r w:rsidRPr="0020095C">
        <w:t xml:space="preserve">European citizenship status, as observed by Article 20 of the Treaty on the Functioning of the European Union, entails </w:t>
      </w:r>
      <w:r w:rsidRPr="0020095C">
        <w:rPr>
          <w:b/>
          <w:bCs/>
        </w:rPr>
        <w:t>the right to move and reside freely within the territory of the Member States</w:t>
      </w:r>
      <w:r w:rsidRPr="0020095C">
        <w:rPr>
          <w:rStyle w:val="FootnoteReference"/>
          <w:sz w:val="22"/>
        </w:rPr>
        <w:footnoteReference w:id="5"/>
      </w:r>
      <w:r w:rsidRPr="0020095C">
        <w:t xml:space="preserve">. For persons with disabilities, this right is protected by the United Nations Convention on the Rights of Persons with Disabilities (UNCRPD), ratified by the European Union and the 27 Member States, in Article 18, determining the liberty of </w:t>
      </w:r>
      <w:r w:rsidRPr="0020095C">
        <w:lastRenderedPageBreak/>
        <w:t xml:space="preserve">movement, freedom to choose their residence and nationality, </w:t>
      </w:r>
      <w:r w:rsidRPr="0020095C">
        <w:rPr>
          <w:b/>
          <w:bCs/>
        </w:rPr>
        <w:t>on an equal basis with others</w:t>
      </w:r>
      <w:r w:rsidRPr="0020095C">
        <w:t>. Understanding disability as a series of impairments which in interaction with various barriers may hinder the full and effective participation in society on an equal basis with others</w:t>
      </w:r>
      <w:r w:rsidRPr="0020095C">
        <w:rPr>
          <w:rStyle w:val="FootnoteReference"/>
          <w:sz w:val="22"/>
        </w:rPr>
        <w:footnoteReference w:id="6"/>
      </w:r>
      <w:r w:rsidRPr="0020095C">
        <w:t xml:space="preserve">, it is the responsibility of society as a whole, </w:t>
      </w:r>
      <w:proofErr w:type="gramStart"/>
      <w:r w:rsidRPr="0020095C">
        <w:t>in particular through</w:t>
      </w:r>
      <w:proofErr w:type="gramEnd"/>
      <w:r w:rsidRPr="0020095C">
        <w:t xml:space="preserve"> national and European public policies, to protect and effectively enable the realisation of this right.</w:t>
      </w:r>
    </w:p>
    <w:p w14:paraId="6E888FFB" w14:textId="77777777" w:rsidR="007B2B87" w:rsidRPr="0020095C" w:rsidRDefault="007B2B87">
      <w:pPr>
        <w:pStyle w:val="ListParagraph"/>
      </w:pPr>
    </w:p>
    <w:p w14:paraId="08087C29" w14:textId="51087C28" w:rsidR="007B2B87" w:rsidRPr="0020095C" w:rsidRDefault="007B2B87">
      <w:pPr>
        <w:numPr>
          <w:ilvl w:val="1"/>
          <w:numId w:val="1"/>
        </w:numPr>
        <w:overflowPunct w:val="0"/>
        <w:autoSpaceDE w:val="0"/>
        <w:autoSpaceDN w:val="0"/>
        <w:adjustRightInd w:val="0"/>
        <w:ind w:left="567" w:hanging="567"/>
        <w:textAlignment w:val="baseline"/>
        <w:outlineLvl w:val="1"/>
      </w:pPr>
      <w:r w:rsidRPr="0020095C">
        <w:t xml:space="preserve">Under this framework, the provision of support, assistance, accessibility measures, specific services, reasonable accommodation, positive actions and other forms of benefits to persons with disabilities are the </w:t>
      </w:r>
      <w:r w:rsidR="00EA2CED" w:rsidRPr="0020095C">
        <w:t>tools through</w:t>
      </w:r>
      <w:r w:rsidRPr="0020095C">
        <w:t xml:space="preserve"> which the equal enjoyment of rights is </w:t>
      </w:r>
      <w:proofErr w:type="gramStart"/>
      <w:r w:rsidRPr="0020095C">
        <w:t>accomplished</w:t>
      </w:r>
      <w:proofErr w:type="gramEnd"/>
      <w:r w:rsidR="00EA2CED" w:rsidRPr="0020095C">
        <w:t xml:space="preserve"> and barriers are overcome</w:t>
      </w:r>
      <w:r w:rsidRPr="0020095C">
        <w:t xml:space="preserve">. Hence, </w:t>
      </w:r>
      <w:r w:rsidRPr="0020095C">
        <w:rPr>
          <w:b/>
          <w:bCs/>
        </w:rPr>
        <w:t>the non-recognition of disability that hinders the availability of these support measures implies a direct denial of the realisation of the rights</w:t>
      </w:r>
      <w:r w:rsidRPr="0020095C">
        <w:t xml:space="preserve"> </w:t>
      </w:r>
      <w:r w:rsidR="00BC445F" w:rsidRPr="0020095C">
        <w:t xml:space="preserve">of </w:t>
      </w:r>
      <w:r w:rsidR="00B915BA" w:rsidRPr="0020095C">
        <w:t xml:space="preserve">the 87 million </w:t>
      </w:r>
      <w:r w:rsidRPr="0020095C">
        <w:t xml:space="preserve">persons with disabilities </w:t>
      </w:r>
      <w:r w:rsidR="00B915BA" w:rsidRPr="0020095C">
        <w:t xml:space="preserve">living in the EU </w:t>
      </w:r>
      <w:r w:rsidR="004D2538" w:rsidRPr="0020095C">
        <w:t xml:space="preserve">to </w:t>
      </w:r>
      <w:r w:rsidRPr="0020095C">
        <w:t xml:space="preserve">travel and/or </w:t>
      </w:r>
      <w:r w:rsidR="004D2538" w:rsidRPr="0020095C">
        <w:t xml:space="preserve">move </w:t>
      </w:r>
      <w:r w:rsidRPr="0020095C">
        <w:t>to other EU countries.</w:t>
      </w:r>
    </w:p>
    <w:p w14:paraId="4012BC1F" w14:textId="77777777" w:rsidR="007B2B87" w:rsidRPr="0020095C" w:rsidRDefault="007B2B87">
      <w:pPr>
        <w:overflowPunct w:val="0"/>
        <w:autoSpaceDE w:val="0"/>
        <w:autoSpaceDN w:val="0"/>
        <w:adjustRightInd w:val="0"/>
        <w:ind w:left="567"/>
        <w:textAlignment w:val="baseline"/>
        <w:outlineLvl w:val="1"/>
      </w:pPr>
    </w:p>
    <w:p w14:paraId="2BC7BE2F" w14:textId="1674ED8A" w:rsidR="00FE51E2" w:rsidRPr="0020095C" w:rsidRDefault="00AD53D1">
      <w:pPr>
        <w:numPr>
          <w:ilvl w:val="1"/>
          <w:numId w:val="1"/>
        </w:numPr>
        <w:overflowPunct w:val="0"/>
        <w:autoSpaceDE w:val="0"/>
        <w:autoSpaceDN w:val="0"/>
        <w:adjustRightInd w:val="0"/>
        <w:ind w:left="567" w:hanging="567"/>
        <w:textAlignment w:val="baseline"/>
        <w:outlineLvl w:val="1"/>
      </w:pPr>
      <w:r w:rsidRPr="0020095C">
        <w:t>The EESC</w:t>
      </w:r>
      <w:r w:rsidR="0086280E" w:rsidRPr="0020095C">
        <w:t xml:space="preserve"> </w:t>
      </w:r>
      <w:r w:rsidR="00BC445F" w:rsidRPr="0020095C">
        <w:t>is pleased that</w:t>
      </w:r>
      <w:r w:rsidR="0086280E" w:rsidRPr="0020095C">
        <w:t xml:space="preserve"> th</w:t>
      </w:r>
      <w:r w:rsidR="00B41904" w:rsidRPr="0020095C">
        <w:t xml:space="preserve">e Commission </w:t>
      </w:r>
      <w:r w:rsidR="00BC445F" w:rsidRPr="0020095C">
        <w:t xml:space="preserve">is </w:t>
      </w:r>
      <w:r w:rsidR="00B41904" w:rsidRPr="0020095C">
        <w:t xml:space="preserve">proposing a legislative initiative for the European Disability Card, and </w:t>
      </w:r>
      <w:r w:rsidR="00BE3FA7" w:rsidRPr="0020095C">
        <w:t xml:space="preserve">strongly recommends that </w:t>
      </w:r>
      <w:r w:rsidRPr="0020095C">
        <w:t xml:space="preserve">the European Disability Card </w:t>
      </w:r>
      <w:r w:rsidR="00985535" w:rsidRPr="0020095C">
        <w:t xml:space="preserve">be </w:t>
      </w:r>
      <w:r w:rsidR="004D2538" w:rsidRPr="0020095C">
        <w:t>e</w:t>
      </w:r>
      <w:r w:rsidR="00BE3FA7" w:rsidRPr="0020095C">
        <w:t>stablished through a</w:t>
      </w:r>
      <w:r w:rsidR="00441AF7" w:rsidRPr="0020095C">
        <w:t xml:space="preserve"> </w:t>
      </w:r>
      <w:r w:rsidR="00985535" w:rsidRPr="0020095C">
        <w:rPr>
          <w:b/>
          <w:bCs/>
        </w:rPr>
        <w:t>r</w:t>
      </w:r>
      <w:r w:rsidRPr="0020095C">
        <w:rPr>
          <w:b/>
          <w:bCs/>
        </w:rPr>
        <w:t>egulation</w:t>
      </w:r>
      <w:r w:rsidR="000402A0" w:rsidRPr="0020095C">
        <w:rPr>
          <w:b/>
          <w:bCs/>
        </w:rPr>
        <w:t>,</w:t>
      </w:r>
      <w:r w:rsidRPr="0020095C">
        <w:rPr>
          <w:b/>
          <w:bCs/>
        </w:rPr>
        <w:t xml:space="preserve"> </w:t>
      </w:r>
      <w:r w:rsidR="00BE3FA7" w:rsidRPr="0020095C">
        <w:rPr>
          <w:b/>
          <w:bCs/>
        </w:rPr>
        <w:t>applicable in all Member States</w:t>
      </w:r>
      <w:r w:rsidR="0012412B" w:rsidRPr="0020095C">
        <w:rPr>
          <w:b/>
          <w:bCs/>
        </w:rPr>
        <w:t xml:space="preserve"> in a </w:t>
      </w:r>
      <w:r w:rsidR="000402A0" w:rsidRPr="0020095C">
        <w:rPr>
          <w:b/>
          <w:bCs/>
        </w:rPr>
        <w:t>rapid</w:t>
      </w:r>
      <w:r w:rsidR="0012412B" w:rsidRPr="0020095C">
        <w:rPr>
          <w:b/>
          <w:bCs/>
        </w:rPr>
        <w:t xml:space="preserve">, </w:t>
      </w:r>
      <w:proofErr w:type="gramStart"/>
      <w:r w:rsidR="0012412B" w:rsidRPr="0020095C">
        <w:rPr>
          <w:b/>
          <w:bCs/>
        </w:rPr>
        <w:t>effective</w:t>
      </w:r>
      <w:proofErr w:type="gramEnd"/>
      <w:r w:rsidR="0012412B" w:rsidRPr="0020095C">
        <w:rPr>
          <w:b/>
          <w:bCs/>
        </w:rPr>
        <w:t xml:space="preserve"> and homogeneous manner. </w:t>
      </w:r>
      <w:r w:rsidR="00D27AEB" w:rsidRPr="0020095C">
        <w:rPr>
          <w:b/>
          <w:bCs/>
        </w:rPr>
        <w:t>A regulation</w:t>
      </w:r>
      <w:r w:rsidR="000402A0" w:rsidRPr="0020095C">
        <w:rPr>
          <w:b/>
          <w:bCs/>
        </w:rPr>
        <w:t xml:space="preserve"> is </w:t>
      </w:r>
      <w:r w:rsidRPr="0020095C">
        <w:rPr>
          <w:b/>
          <w:bCs/>
        </w:rPr>
        <w:t xml:space="preserve">a more appropriate instrument </w:t>
      </w:r>
      <w:r w:rsidRPr="0020095C">
        <w:t>to ensure agility in the application and to avoid differences in implementation at national level.</w:t>
      </w:r>
      <w:r w:rsidR="008503FF" w:rsidRPr="0020095C">
        <w:t xml:space="preserve"> </w:t>
      </w:r>
      <w:r w:rsidR="000402A0" w:rsidRPr="0020095C">
        <w:t xml:space="preserve">The legislation </w:t>
      </w:r>
      <w:r w:rsidR="008503FF" w:rsidRPr="0020095C">
        <w:t xml:space="preserve">cannot have the character of recommendation, </w:t>
      </w:r>
      <w:r w:rsidR="000402A0" w:rsidRPr="0020095C">
        <w:t xml:space="preserve">as </w:t>
      </w:r>
      <w:r w:rsidR="00985535" w:rsidRPr="0020095C">
        <w:t xml:space="preserve">that </w:t>
      </w:r>
      <w:r w:rsidR="000402A0" w:rsidRPr="0020095C">
        <w:t xml:space="preserve">would not allow for the </w:t>
      </w:r>
      <w:r w:rsidR="00985535" w:rsidRPr="0020095C">
        <w:t>c</w:t>
      </w:r>
      <w:r w:rsidR="000402A0" w:rsidRPr="0020095C">
        <w:t xml:space="preserve">ard to </w:t>
      </w:r>
      <w:r w:rsidR="008503FF" w:rsidRPr="0020095C">
        <w:t>have universal</w:t>
      </w:r>
      <w:r w:rsidR="007C1C2E" w:rsidRPr="0020095C">
        <w:t xml:space="preserve"> and</w:t>
      </w:r>
      <w:r w:rsidR="000402A0" w:rsidRPr="0020095C">
        <w:t xml:space="preserve"> homogeneous</w:t>
      </w:r>
      <w:r w:rsidR="008503FF" w:rsidRPr="0020095C">
        <w:t xml:space="preserve"> applicability. </w:t>
      </w:r>
      <w:r w:rsidR="000402A0" w:rsidRPr="0020095C">
        <w:t>In the case of a</w:t>
      </w:r>
      <w:r w:rsidR="00BE3FA7" w:rsidRPr="0020095C">
        <w:t xml:space="preserve"> </w:t>
      </w:r>
      <w:r w:rsidR="00985535" w:rsidRPr="0020095C">
        <w:t>d</w:t>
      </w:r>
      <w:r w:rsidR="00BE3FA7" w:rsidRPr="0020095C">
        <w:t>irective,</w:t>
      </w:r>
      <w:r w:rsidR="00093E88" w:rsidRPr="0020095C">
        <w:t xml:space="preserve"> there would be a high risk of </w:t>
      </w:r>
      <w:r w:rsidR="00BD2227" w:rsidRPr="0020095C">
        <w:t>an undefined</w:t>
      </w:r>
      <w:r w:rsidR="00093E88" w:rsidRPr="0020095C">
        <w:t xml:space="preserve"> </w:t>
      </w:r>
      <w:r w:rsidR="00BD2227" w:rsidRPr="0020095C">
        <w:t xml:space="preserve">extension of the </w:t>
      </w:r>
      <w:r w:rsidR="00093E88" w:rsidRPr="0020095C">
        <w:t>time</w:t>
      </w:r>
      <w:r w:rsidR="00BD2227" w:rsidRPr="0020095C">
        <w:t xml:space="preserve"> needed</w:t>
      </w:r>
      <w:r w:rsidR="00093E88" w:rsidRPr="0020095C">
        <w:t xml:space="preserve"> </w:t>
      </w:r>
      <w:r w:rsidR="004D2538" w:rsidRPr="0020095C">
        <w:t>to transpose it</w:t>
      </w:r>
      <w:r w:rsidR="00BD2227" w:rsidRPr="0020095C">
        <w:t xml:space="preserve">, with potential situations </w:t>
      </w:r>
      <w:r w:rsidR="00985535" w:rsidRPr="0020095C">
        <w:t xml:space="preserve">where </w:t>
      </w:r>
      <w:r w:rsidR="00BD2227" w:rsidRPr="0020095C">
        <w:t xml:space="preserve">European Disability Cards </w:t>
      </w:r>
      <w:r w:rsidR="00985535" w:rsidRPr="0020095C">
        <w:t xml:space="preserve">have an active status in some Member </w:t>
      </w:r>
      <w:proofErr w:type="gramStart"/>
      <w:r w:rsidR="00985535" w:rsidRPr="0020095C">
        <w:t>States</w:t>
      </w:r>
      <w:proofErr w:type="gramEnd"/>
      <w:r w:rsidR="00985535" w:rsidRPr="0020095C">
        <w:t xml:space="preserve"> but</w:t>
      </w:r>
      <w:r w:rsidR="00BD2227" w:rsidRPr="0020095C">
        <w:t xml:space="preserve"> other EU countries </w:t>
      </w:r>
      <w:r w:rsidR="00985535" w:rsidRPr="0020095C">
        <w:t>do not have</w:t>
      </w:r>
      <w:r w:rsidR="00BD2227" w:rsidRPr="0020095C">
        <w:t xml:space="preserve"> proper legislation applying its benefits</w:t>
      </w:r>
      <w:r w:rsidR="00BE3FA7" w:rsidRPr="0020095C">
        <w:t xml:space="preserve">. </w:t>
      </w:r>
      <w:r w:rsidR="00BD2227" w:rsidRPr="0020095C">
        <w:t>On the other hand, a</w:t>
      </w:r>
      <w:r w:rsidR="00BE3FA7" w:rsidRPr="0020095C">
        <w:t xml:space="preserve"> regulation </w:t>
      </w:r>
      <w:r w:rsidR="00BD2227" w:rsidRPr="0020095C">
        <w:t>would have</w:t>
      </w:r>
      <w:r w:rsidR="00BE3FA7" w:rsidRPr="0020095C">
        <w:t xml:space="preserve"> immediate effect in every </w:t>
      </w:r>
      <w:r w:rsidR="00BD2227" w:rsidRPr="0020095C">
        <w:t>M</w:t>
      </w:r>
      <w:r w:rsidR="00BE3FA7" w:rsidRPr="0020095C">
        <w:t xml:space="preserve">ember </w:t>
      </w:r>
      <w:r w:rsidR="00BD2227" w:rsidRPr="0020095C">
        <w:t>State.</w:t>
      </w:r>
    </w:p>
    <w:p w14:paraId="4E6F21B6" w14:textId="77777777" w:rsidR="00A643DC" w:rsidRPr="0020095C" w:rsidRDefault="00A643DC">
      <w:pPr>
        <w:pStyle w:val="ListParagraph"/>
      </w:pPr>
    </w:p>
    <w:p w14:paraId="186D23ED" w14:textId="6477EFBD" w:rsidR="00A643DC" w:rsidRPr="0020095C" w:rsidRDefault="00A643DC">
      <w:pPr>
        <w:numPr>
          <w:ilvl w:val="1"/>
          <w:numId w:val="1"/>
        </w:numPr>
        <w:overflowPunct w:val="0"/>
        <w:autoSpaceDE w:val="0"/>
        <w:autoSpaceDN w:val="0"/>
        <w:adjustRightInd w:val="0"/>
        <w:ind w:left="567" w:hanging="567"/>
        <w:textAlignment w:val="baseline"/>
        <w:outlineLvl w:val="1"/>
      </w:pPr>
      <w:r w:rsidRPr="0020095C">
        <w:t>The European Disability Car</w:t>
      </w:r>
      <w:r w:rsidR="005912CD" w:rsidRPr="0020095C">
        <w:t xml:space="preserve">d, facilitating the </w:t>
      </w:r>
      <w:r w:rsidR="00EB1CD6" w:rsidRPr="0020095C">
        <w:t>removal</w:t>
      </w:r>
      <w:r w:rsidR="005912CD" w:rsidRPr="0020095C">
        <w:t xml:space="preserve"> of barriers for persons with disabilities to move freely in the EU</w:t>
      </w:r>
      <w:r w:rsidRPr="0020095C">
        <w:t>,</w:t>
      </w:r>
      <w:r w:rsidR="005912CD" w:rsidRPr="0020095C">
        <w:t xml:space="preserve"> would hence work and</w:t>
      </w:r>
      <w:r w:rsidRPr="0020095C">
        <w:t xml:space="preserve"> </w:t>
      </w:r>
      <w:r w:rsidRPr="0020095C">
        <w:rPr>
          <w:b/>
          <w:bCs/>
        </w:rPr>
        <w:t>have the characteristics of a European Disability Passport</w:t>
      </w:r>
      <w:r w:rsidRPr="0020095C">
        <w:t xml:space="preserve">, </w:t>
      </w:r>
      <w:r w:rsidR="005912CD" w:rsidRPr="0020095C">
        <w:t>allowing</w:t>
      </w:r>
      <w:r w:rsidRPr="0020095C">
        <w:t xml:space="preserve"> the identification</w:t>
      </w:r>
      <w:r w:rsidR="00B476F1" w:rsidRPr="0020095C">
        <w:t xml:space="preserve"> </w:t>
      </w:r>
      <w:r w:rsidR="00EB1CD6" w:rsidRPr="0020095C">
        <w:t>of and</w:t>
      </w:r>
      <w:r w:rsidRPr="0020095C">
        <w:t xml:space="preserve"> the </w:t>
      </w:r>
      <w:r w:rsidR="00E22133" w:rsidRPr="0020095C">
        <w:t>subsequent</w:t>
      </w:r>
      <w:r w:rsidRPr="0020095C">
        <w:t xml:space="preserve"> </w:t>
      </w:r>
      <w:r w:rsidR="00B476F1" w:rsidRPr="0020095C">
        <w:t xml:space="preserve">access to all the </w:t>
      </w:r>
      <w:r w:rsidR="00B82B63" w:rsidRPr="0020095C">
        <w:t xml:space="preserve">rightfully deserved </w:t>
      </w:r>
      <w:r w:rsidR="00B476F1" w:rsidRPr="0020095C">
        <w:t>services</w:t>
      </w:r>
      <w:r w:rsidR="00B82B63" w:rsidRPr="0020095C">
        <w:t xml:space="preserve"> and benefits</w:t>
      </w:r>
      <w:r w:rsidR="00B476F1" w:rsidRPr="0020095C">
        <w:t>.</w:t>
      </w:r>
    </w:p>
    <w:p w14:paraId="29EE0EDA" w14:textId="77777777" w:rsidR="00EF7727" w:rsidRPr="0020095C" w:rsidRDefault="00EF7727">
      <w:pPr>
        <w:overflowPunct w:val="0"/>
        <w:autoSpaceDE w:val="0"/>
        <w:autoSpaceDN w:val="0"/>
        <w:adjustRightInd w:val="0"/>
        <w:ind w:left="567"/>
        <w:textAlignment w:val="baseline"/>
        <w:outlineLvl w:val="1"/>
      </w:pPr>
    </w:p>
    <w:p w14:paraId="2DBB6DD2" w14:textId="55DE504A" w:rsidR="0030277F" w:rsidRPr="0020095C" w:rsidRDefault="001216E7">
      <w:pPr>
        <w:numPr>
          <w:ilvl w:val="1"/>
          <w:numId w:val="1"/>
        </w:numPr>
        <w:overflowPunct w:val="0"/>
        <w:autoSpaceDE w:val="0"/>
        <w:autoSpaceDN w:val="0"/>
        <w:adjustRightInd w:val="0"/>
        <w:ind w:left="567" w:hanging="567"/>
        <w:textAlignment w:val="baseline"/>
        <w:outlineLvl w:val="1"/>
      </w:pPr>
      <w:r w:rsidRPr="0020095C">
        <w:t xml:space="preserve">The EESC </w:t>
      </w:r>
      <w:r w:rsidR="00EB1CD6" w:rsidRPr="0020095C">
        <w:t xml:space="preserve">believes that </w:t>
      </w:r>
      <w:r w:rsidRPr="0020095C">
        <w:rPr>
          <w:b/>
          <w:bCs/>
        </w:rPr>
        <w:t xml:space="preserve">the pilot project launched </w:t>
      </w:r>
      <w:r w:rsidRPr="0020095C">
        <w:t xml:space="preserve">between 2016 and 2019 in </w:t>
      </w:r>
      <w:r w:rsidR="00A96BC2" w:rsidRPr="0020095C">
        <w:t>eight</w:t>
      </w:r>
      <w:r w:rsidR="00EC43CA" w:rsidRPr="0020095C">
        <w:t xml:space="preserve"> Member States</w:t>
      </w:r>
      <w:r w:rsidR="00A96BC2" w:rsidRPr="0020095C">
        <w:rPr>
          <w:b/>
          <w:bCs/>
        </w:rPr>
        <w:t xml:space="preserve"> showed the feasibility</w:t>
      </w:r>
      <w:r w:rsidR="00640EA9" w:rsidRPr="0020095C">
        <w:rPr>
          <w:b/>
          <w:bCs/>
        </w:rPr>
        <w:t xml:space="preserve"> </w:t>
      </w:r>
      <w:r w:rsidR="00135B76" w:rsidRPr="0020095C">
        <w:rPr>
          <w:b/>
          <w:bCs/>
        </w:rPr>
        <w:t xml:space="preserve">of the </w:t>
      </w:r>
      <w:r w:rsidR="00EB1CD6" w:rsidRPr="0020095C">
        <w:rPr>
          <w:b/>
          <w:bCs/>
        </w:rPr>
        <w:t>c</w:t>
      </w:r>
      <w:r w:rsidR="00135B76" w:rsidRPr="0020095C">
        <w:rPr>
          <w:b/>
          <w:bCs/>
        </w:rPr>
        <w:t xml:space="preserve">ard </w:t>
      </w:r>
      <w:r w:rsidR="00640EA9" w:rsidRPr="0020095C">
        <w:rPr>
          <w:b/>
          <w:bCs/>
        </w:rPr>
        <w:t>and</w:t>
      </w:r>
      <w:r w:rsidR="00135B76" w:rsidRPr="0020095C">
        <w:rPr>
          <w:b/>
          <w:bCs/>
        </w:rPr>
        <w:t xml:space="preserve"> the</w:t>
      </w:r>
      <w:r w:rsidR="00640EA9" w:rsidRPr="0020095C">
        <w:rPr>
          <w:b/>
          <w:bCs/>
        </w:rPr>
        <w:t xml:space="preserve"> opportunities it brings to users</w:t>
      </w:r>
      <w:r w:rsidR="00232C4F" w:rsidRPr="0020095C">
        <w:t xml:space="preserve">, how it enables </w:t>
      </w:r>
      <w:r w:rsidR="0025274F" w:rsidRPr="0020095C">
        <w:t xml:space="preserve">easier mobility by granting </w:t>
      </w:r>
      <w:r w:rsidR="00623461" w:rsidRPr="0020095C">
        <w:t xml:space="preserve">access to beneficial conditions on </w:t>
      </w:r>
      <w:proofErr w:type="gramStart"/>
      <w:r w:rsidR="00623461" w:rsidRPr="0020095C">
        <w:t>particular services</w:t>
      </w:r>
      <w:proofErr w:type="gramEnd"/>
      <w:r w:rsidR="00623461" w:rsidRPr="0020095C">
        <w:t xml:space="preserve"> already </w:t>
      </w:r>
      <w:r w:rsidR="0025274F" w:rsidRPr="0020095C">
        <w:t xml:space="preserve">available </w:t>
      </w:r>
      <w:r w:rsidR="00623461" w:rsidRPr="0020095C">
        <w:t xml:space="preserve">to </w:t>
      </w:r>
      <w:r w:rsidR="0025274F" w:rsidRPr="0020095C">
        <w:t xml:space="preserve">persons with disabilities of the </w:t>
      </w:r>
      <w:r w:rsidR="00135B76" w:rsidRPr="0020095C">
        <w:t>host</w:t>
      </w:r>
      <w:r w:rsidR="0025274F" w:rsidRPr="0020095C">
        <w:t xml:space="preserve"> Member State.</w:t>
      </w:r>
    </w:p>
    <w:p w14:paraId="69F1E1C4" w14:textId="77777777" w:rsidR="00A31062" w:rsidRPr="0020095C" w:rsidRDefault="00A31062">
      <w:pPr>
        <w:pStyle w:val="ListParagraph"/>
      </w:pPr>
    </w:p>
    <w:p w14:paraId="2BF1410C" w14:textId="30E89531" w:rsidR="004A3C21" w:rsidRPr="0020095C" w:rsidRDefault="00A31062">
      <w:pPr>
        <w:numPr>
          <w:ilvl w:val="1"/>
          <w:numId w:val="1"/>
        </w:numPr>
        <w:overflowPunct w:val="0"/>
        <w:autoSpaceDE w:val="0"/>
        <w:autoSpaceDN w:val="0"/>
        <w:adjustRightInd w:val="0"/>
        <w:ind w:left="567" w:hanging="567"/>
        <w:textAlignment w:val="baseline"/>
        <w:outlineLvl w:val="1"/>
      </w:pPr>
      <w:r w:rsidRPr="0020095C">
        <w:t>The assessment of the pilot project</w:t>
      </w:r>
      <w:r w:rsidR="00FF60A6" w:rsidRPr="0020095C">
        <w:rPr>
          <w:rStyle w:val="FootnoteReference"/>
          <w:sz w:val="22"/>
        </w:rPr>
        <w:footnoteReference w:id="7"/>
      </w:r>
      <w:r w:rsidRPr="0020095C">
        <w:t xml:space="preserve"> </w:t>
      </w:r>
      <w:r w:rsidR="00516829" w:rsidRPr="0020095C">
        <w:t xml:space="preserve">developed in 2021 detailed </w:t>
      </w:r>
      <w:r w:rsidR="00240B8A" w:rsidRPr="0020095C">
        <w:t>this</w:t>
      </w:r>
      <w:r w:rsidR="00516829" w:rsidRPr="0020095C">
        <w:t xml:space="preserve"> effectiveness. For instance, </w:t>
      </w:r>
      <w:r w:rsidR="00516829" w:rsidRPr="0020095C">
        <w:rPr>
          <w:b/>
          <w:bCs/>
        </w:rPr>
        <w:t xml:space="preserve">the use of the </w:t>
      </w:r>
      <w:r w:rsidR="00EB1CD6" w:rsidRPr="0020095C">
        <w:rPr>
          <w:b/>
          <w:bCs/>
        </w:rPr>
        <w:t>c</w:t>
      </w:r>
      <w:r w:rsidR="00516829" w:rsidRPr="0020095C">
        <w:rPr>
          <w:b/>
          <w:bCs/>
        </w:rPr>
        <w:t xml:space="preserve">ard boosted participation of persons with disabilities </w:t>
      </w:r>
      <w:r w:rsidR="00516829" w:rsidRPr="0020095C">
        <w:t xml:space="preserve">in the culture and leisure sectors, cross-border mobility </w:t>
      </w:r>
      <w:proofErr w:type="gramStart"/>
      <w:r w:rsidR="00516829" w:rsidRPr="0020095C">
        <w:t>increased</w:t>
      </w:r>
      <w:proofErr w:type="gramEnd"/>
      <w:r w:rsidR="00516829" w:rsidRPr="0020095C">
        <w:t xml:space="preserve"> and many users improved their tourism experiences abroad.</w:t>
      </w:r>
      <w:r w:rsidR="003F1DAD" w:rsidRPr="0020095C">
        <w:t xml:space="preserve"> </w:t>
      </w:r>
    </w:p>
    <w:p w14:paraId="615934F6" w14:textId="77777777" w:rsidR="004A3C21" w:rsidRPr="0020095C" w:rsidRDefault="004A3C21">
      <w:pPr>
        <w:pStyle w:val="ListParagraph"/>
      </w:pPr>
    </w:p>
    <w:p w14:paraId="2FD3C323" w14:textId="67286ED2" w:rsidR="00A31062" w:rsidRPr="0020095C" w:rsidRDefault="00516829">
      <w:pPr>
        <w:numPr>
          <w:ilvl w:val="1"/>
          <w:numId w:val="1"/>
        </w:numPr>
        <w:overflowPunct w:val="0"/>
        <w:autoSpaceDE w:val="0"/>
        <w:autoSpaceDN w:val="0"/>
        <w:adjustRightInd w:val="0"/>
        <w:ind w:left="567" w:hanging="567"/>
        <w:textAlignment w:val="baseline"/>
        <w:outlineLvl w:val="1"/>
      </w:pPr>
      <w:r w:rsidRPr="0020095C">
        <w:t xml:space="preserve">Nevertheless, </w:t>
      </w:r>
      <w:r w:rsidR="003F1DAD" w:rsidRPr="0020095C">
        <w:t xml:space="preserve">the assessment also showed that </w:t>
      </w:r>
      <w:r w:rsidRPr="0020095C">
        <w:rPr>
          <w:b/>
          <w:bCs/>
        </w:rPr>
        <w:t xml:space="preserve">users requested </w:t>
      </w:r>
      <w:r w:rsidR="004D2538" w:rsidRPr="0020095C">
        <w:rPr>
          <w:b/>
          <w:bCs/>
        </w:rPr>
        <w:t xml:space="preserve">greater </w:t>
      </w:r>
      <w:r w:rsidRPr="0020095C">
        <w:rPr>
          <w:b/>
          <w:bCs/>
        </w:rPr>
        <w:t xml:space="preserve">ambition and coverage of more sectors, </w:t>
      </w:r>
      <w:r w:rsidR="00CD6B71" w:rsidRPr="0020095C">
        <w:rPr>
          <w:b/>
          <w:bCs/>
        </w:rPr>
        <w:t>including</w:t>
      </w:r>
      <w:r w:rsidRPr="0020095C">
        <w:rPr>
          <w:b/>
          <w:bCs/>
        </w:rPr>
        <w:t xml:space="preserve"> the transport sector</w:t>
      </w:r>
      <w:r w:rsidR="004A3C21" w:rsidRPr="0020095C">
        <w:t>, which was limited</w:t>
      </w:r>
      <w:r w:rsidRPr="0020095C">
        <w:t xml:space="preserve">. Also, awareness </w:t>
      </w:r>
      <w:r w:rsidRPr="0020095C">
        <w:lastRenderedPageBreak/>
        <w:t>raising campaigns</w:t>
      </w:r>
      <w:r w:rsidR="004A3C21" w:rsidRPr="0020095C">
        <w:t xml:space="preserve"> were deemed highly </w:t>
      </w:r>
      <w:r w:rsidR="004D2538" w:rsidRPr="0020095C">
        <w:t>necessary</w:t>
      </w:r>
      <w:r w:rsidRPr="0020095C">
        <w:t xml:space="preserve"> so potential users </w:t>
      </w:r>
      <w:r w:rsidR="004A3C21" w:rsidRPr="0020095C">
        <w:t xml:space="preserve">could better </w:t>
      </w:r>
      <w:r w:rsidRPr="0020095C">
        <w:t>understand the new possibilities and service providers</w:t>
      </w:r>
      <w:r w:rsidR="00CD6B71" w:rsidRPr="0020095C">
        <w:t xml:space="preserve"> could</w:t>
      </w:r>
      <w:r w:rsidRPr="0020095C">
        <w:t xml:space="preserve"> recogni</w:t>
      </w:r>
      <w:r w:rsidR="00CD6B71" w:rsidRPr="0020095C">
        <w:t>s</w:t>
      </w:r>
      <w:r w:rsidRPr="0020095C">
        <w:t>e</w:t>
      </w:r>
      <w:r w:rsidR="008E02A7" w:rsidRPr="0020095C">
        <w:t xml:space="preserve"> the</w:t>
      </w:r>
      <w:r w:rsidRPr="0020095C">
        <w:t xml:space="preserve"> card and the discounts and services it entail</w:t>
      </w:r>
      <w:r w:rsidR="004A3C21" w:rsidRPr="0020095C">
        <w:t>ed</w:t>
      </w:r>
      <w:r w:rsidRPr="0020095C">
        <w:t>.</w:t>
      </w:r>
    </w:p>
    <w:p w14:paraId="68019429" w14:textId="77777777" w:rsidR="003F1DAD" w:rsidRPr="0020095C" w:rsidRDefault="003F1DAD">
      <w:pPr>
        <w:pStyle w:val="ListParagraph"/>
      </w:pPr>
    </w:p>
    <w:p w14:paraId="10B33C41" w14:textId="7EF461C9" w:rsidR="00135B76" w:rsidRPr="0020095C" w:rsidRDefault="00644EF9">
      <w:pPr>
        <w:numPr>
          <w:ilvl w:val="1"/>
          <w:numId w:val="1"/>
        </w:numPr>
        <w:overflowPunct w:val="0"/>
        <w:autoSpaceDE w:val="0"/>
        <w:autoSpaceDN w:val="0"/>
        <w:adjustRightInd w:val="0"/>
        <w:ind w:left="567" w:hanging="567"/>
        <w:textAlignment w:val="baseline"/>
        <w:outlineLvl w:val="1"/>
      </w:pPr>
      <w:r w:rsidRPr="0020095C">
        <w:t>T</w:t>
      </w:r>
      <w:r w:rsidR="003F1DAD" w:rsidRPr="0020095C">
        <w:t xml:space="preserve">he assessment report clearly </w:t>
      </w:r>
      <w:r w:rsidR="00CD6B71" w:rsidRPr="0020095C">
        <w:t xml:space="preserve">expresses </w:t>
      </w:r>
      <w:r w:rsidR="003F1DAD" w:rsidRPr="0020095C">
        <w:t xml:space="preserve">the </w:t>
      </w:r>
      <w:r w:rsidR="0053312F" w:rsidRPr="0020095C">
        <w:t>opportunities</w:t>
      </w:r>
      <w:r w:rsidR="00920CAF" w:rsidRPr="0020095C">
        <w:t xml:space="preserve"> but also the requests from persons with disabilities</w:t>
      </w:r>
      <w:r w:rsidR="0053312F" w:rsidRPr="0020095C">
        <w:t xml:space="preserve"> and </w:t>
      </w:r>
      <w:r w:rsidR="00920CAF" w:rsidRPr="0020095C">
        <w:t xml:space="preserve">the </w:t>
      </w:r>
      <w:r w:rsidR="0053312F" w:rsidRPr="0020095C">
        <w:t>potential gaps the European Disability Card</w:t>
      </w:r>
      <w:r w:rsidR="00920CAF" w:rsidRPr="0020095C">
        <w:t xml:space="preserve"> may </w:t>
      </w:r>
      <w:r w:rsidR="001742D1" w:rsidRPr="0020095C">
        <w:t>highlight</w:t>
      </w:r>
      <w:r w:rsidR="0053312F" w:rsidRPr="0020095C">
        <w:t xml:space="preserve"> if the s</w:t>
      </w:r>
      <w:r w:rsidR="00920CAF" w:rsidRPr="0020095C">
        <w:t xml:space="preserve">ectors covered are limited. Hence, </w:t>
      </w:r>
      <w:r w:rsidRPr="0020095C">
        <w:t xml:space="preserve">the EESC </w:t>
      </w:r>
      <w:r w:rsidR="00D0331A" w:rsidRPr="0020095C">
        <w:t xml:space="preserve">highlights the importance of </w:t>
      </w:r>
      <w:r w:rsidR="00D0331A" w:rsidRPr="0020095C">
        <w:rPr>
          <w:b/>
          <w:bCs/>
        </w:rPr>
        <w:t xml:space="preserve">granting </w:t>
      </w:r>
      <w:r w:rsidR="00480D00" w:rsidRPr="0020095C">
        <w:rPr>
          <w:b/>
          <w:bCs/>
        </w:rPr>
        <w:t>access to</w:t>
      </w:r>
      <w:r w:rsidR="00D0331A" w:rsidRPr="0020095C">
        <w:rPr>
          <w:b/>
          <w:bCs/>
        </w:rPr>
        <w:t xml:space="preserve"> all </w:t>
      </w:r>
      <w:r w:rsidR="00480D00" w:rsidRPr="0020095C">
        <w:rPr>
          <w:b/>
          <w:bCs/>
        </w:rPr>
        <w:t>forms</w:t>
      </w:r>
      <w:r w:rsidR="00441666" w:rsidRPr="0020095C">
        <w:rPr>
          <w:b/>
          <w:bCs/>
        </w:rPr>
        <w:t xml:space="preserve"> of services, benefits and discounts already granted at national level</w:t>
      </w:r>
      <w:r w:rsidR="00480D00" w:rsidRPr="0020095C">
        <w:t xml:space="preserve"> for users of the European Disability Card</w:t>
      </w:r>
      <w:r w:rsidR="00A04885" w:rsidRPr="0020095C">
        <w:t>, accepted by all services offering preferential conditions or adaptations to persons with disabilities, whether provided by public or private entities</w:t>
      </w:r>
      <w:r w:rsidR="00480D00" w:rsidRPr="0020095C">
        <w:t>.</w:t>
      </w:r>
      <w:r w:rsidR="00FD66D5" w:rsidRPr="0020095C">
        <w:t xml:space="preserve"> It </w:t>
      </w:r>
      <w:r w:rsidR="00CD6B71" w:rsidRPr="0020095C">
        <w:t xml:space="preserve">believes </w:t>
      </w:r>
      <w:r w:rsidR="00FD66D5" w:rsidRPr="0020095C">
        <w:t xml:space="preserve">that </w:t>
      </w:r>
      <w:r w:rsidR="00A04885" w:rsidRPr="0020095C">
        <w:t xml:space="preserve">the legislation should not set a limited list of sectors but apply to all services of the EU single market, as </w:t>
      </w:r>
      <w:r w:rsidR="00FD66D5" w:rsidRPr="0020095C">
        <w:t xml:space="preserve">listing </w:t>
      </w:r>
      <w:r w:rsidR="009B6FBE" w:rsidRPr="0020095C">
        <w:t>w</w:t>
      </w:r>
      <w:r w:rsidR="00D40574" w:rsidRPr="0020095C">
        <w:t>ould</w:t>
      </w:r>
      <w:r w:rsidR="009B6FBE" w:rsidRPr="0020095C">
        <w:t xml:space="preserve"> </w:t>
      </w:r>
      <w:r w:rsidR="00C21947" w:rsidRPr="0020095C">
        <w:t xml:space="preserve">entail </w:t>
      </w:r>
      <w:r w:rsidR="00D40574" w:rsidRPr="0020095C">
        <w:t>many exceptions, maintaining most</w:t>
      </w:r>
      <w:r w:rsidR="009B6FBE" w:rsidRPr="0020095C">
        <w:t xml:space="preserve"> </w:t>
      </w:r>
      <w:r w:rsidR="00D40574" w:rsidRPr="0020095C">
        <w:t xml:space="preserve">of the current </w:t>
      </w:r>
      <w:r w:rsidR="00F42475" w:rsidRPr="0020095C">
        <w:t>obstacles</w:t>
      </w:r>
      <w:r w:rsidR="00DD0612" w:rsidRPr="0020095C">
        <w:t xml:space="preserve"> and </w:t>
      </w:r>
      <w:r w:rsidR="00D40574" w:rsidRPr="0020095C">
        <w:t>limiting</w:t>
      </w:r>
      <w:r w:rsidR="00462B50" w:rsidRPr="0020095C">
        <w:t xml:space="preserve"> its effectiveness.</w:t>
      </w:r>
    </w:p>
    <w:p w14:paraId="40C1EB4A" w14:textId="77777777" w:rsidR="00B755C6" w:rsidRPr="0020095C" w:rsidRDefault="00B755C6"/>
    <w:p w14:paraId="33F9C407" w14:textId="350ADA16" w:rsidR="006E5B2F" w:rsidRPr="00D21E69" w:rsidRDefault="00235777">
      <w:pPr>
        <w:numPr>
          <w:ilvl w:val="1"/>
          <w:numId w:val="1"/>
        </w:numPr>
        <w:overflowPunct w:val="0"/>
        <w:autoSpaceDE w:val="0"/>
        <w:autoSpaceDN w:val="0"/>
        <w:adjustRightInd w:val="0"/>
        <w:ind w:left="567" w:hanging="567"/>
        <w:textAlignment w:val="baseline"/>
        <w:outlineLvl w:val="1"/>
      </w:pPr>
      <w:r w:rsidRPr="0020095C">
        <w:t>The EESC understands that, regarding the c</w:t>
      </w:r>
      <w:r w:rsidR="00B755C6" w:rsidRPr="0020095C">
        <w:t xml:space="preserve">overage of </w:t>
      </w:r>
      <w:r w:rsidR="008215AA" w:rsidRPr="0020095C">
        <w:t>benefits</w:t>
      </w:r>
      <w:r w:rsidR="00B755C6" w:rsidRPr="0020095C">
        <w:t xml:space="preserve"> </w:t>
      </w:r>
      <w:r w:rsidR="00974CD3" w:rsidRPr="0020095C">
        <w:t>linked</w:t>
      </w:r>
      <w:r w:rsidR="00B755C6" w:rsidRPr="0020095C">
        <w:t xml:space="preserve"> to</w:t>
      </w:r>
      <w:r w:rsidRPr="0020095C">
        <w:t xml:space="preserve"> public social policies and/or</w:t>
      </w:r>
      <w:r w:rsidR="00B755C6" w:rsidRPr="0020095C">
        <w:t xml:space="preserve"> </w:t>
      </w:r>
      <w:r w:rsidR="00974CD3" w:rsidRPr="0020095C">
        <w:t xml:space="preserve">national </w:t>
      </w:r>
      <w:r w:rsidR="00B755C6" w:rsidRPr="0020095C">
        <w:t>social security</w:t>
      </w:r>
      <w:r w:rsidR="00974CD3" w:rsidRPr="0020095C">
        <w:t xml:space="preserve"> systems</w:t>
      </w:r>
      <w:r w:rsidR="00E82012" w:rsidRPr="0020095C">
        <w:t xml:space="preserve"> </w:t>
      </w:r>
      <w:r w:rsidR="00B755C6" w:rsidRPr="0020095C">
        <w:t xml:space="preserve">such as direct economic </w:t>
      </w:r>
      <w:r w:rsidR="008215AA" w:rsidRPr="0020095C">
        <w:t>support</w:t>
      </w:r>
      <w:r w:rsidR="00B755C6" w:rsidRPr="0020095C">
        <w:t>, provision of personal assistance</w:t>
      </w:r>
      <w:r w:rsidR="00742EE4" w:rsidRPr="0020095C">
        <w:t xml:space="preserve">, </w:t>
      </w:r>
      <w:r w:rsidR="0067768D" w:rsidRPr="0020095C">
        <w:t>support</w:t>
      </w:r>
      <w:r w:rsidR="002F1415" w:rsidRPr="0020095C">
        <w:t xml:space="preserve"> </w:t>
      </w:r>
      <w:r w:rsidR="00742EE4" w:rsidRPr="0020095C">
        <w:t>for students or work-related benefits for companies when hiring employees with disabilities,</w:t>
      </w:r>
      <w:r w:rsidRPr="0020095C">
        <w:t xml:space="preserve"> the European Disability Card should </w:t>
      </w:r>
      <w:r w:rsidR="006E5B2F" w:rsidRPr="00D21E69">
        <w:t xml:space="preserve">provide the possibility of </w:t>
      </w:r>
      <w:r w:rsidR="006E5B2F" w:rsidRPr="00D21E69">
        <w:rPr>
          <w:b/>
          <w:bCs/>
        </w:rPr>
        <w:t xml:space="preserve">granting such services on a temporary basis when </w:t>
      </w:r>
      <w:r w:rsidR="004D2538" w:rsidRPr="00D21E69">
        <w:rPr>
          <w:b/>
          <w:bCs/>
        </w:rPr>
        <w:t xml:space="preserve">a </w:t>
      </w:r>
      <w:r w:rsidR="006E5B2F" w:rsidRPr="00D21E69">
        <w:rPr>
          <w:b/>
          <w:bCs/>
        </w:rPr>
        <w:t xml:space="preserve">person with a disability has moved to </w:t>
      </w:r>
      <w:r w:rsidR="00270124" w:rsidRPr="00D21E69">
        <w:rPr>
          <w:b/>
          <w:bCs/>
        </w:rPr>
        <w:t xml:space="preserve">a </w:t>
      </w:r>
      <w:r w:rsidR="006E5B2F" w:rsidRPr="00D21E69">
        <w:rPr>
          <w:b/>
          <w:bCs/>
        </w:rPr>
        <w:t>Member State to study or to work</w:t>
      </w:r>
      <w:r w:rsidR="006E5B2F" w:rsidRPr="00D21E69">
        <w:t xml:space="preserve">, </w:t>
      </w:r>
      <w:r w:rsidRPr="00D21E69">
        <w:t xml:space="preserve">at least throughout the process of getting the </w:t>
      </w:r>
      <w:r w:rsidR="006E5B2F" w:rsidRPr="00D21E69">
        <w:t xml:space="preserve">disability re-assessed and certified. This will </w:t>
      </w:r>
      <w:r w:rsidR="00270124" w:rsidRPr="00D21E69">
        <w:t xml:space="preserve">mean that </w:t>
      </w:r>
      <w:r w:rsidR="006E5B2F" w:rsidRPr="00D21E69">
        <w:t xml:space="preserve">persons with disabilities moving to another </w:t>
      </w:r>
      <w:r w:rsidRPr="00D21E69">
        <w:t>Member State</w:t>
      </w:r>
      <w:r w:rsidR="006E5B2F" w:rsidRPr="00D21E69">
        <w:t xml:space="preserve"> </w:t>
      </w:r>
      <w:r w:rsidR="00B8395B" w:rsidRPr="00D21E69">
        <w:t>for</w:t>
      </w:r>
      <w:r w:rsidR="006E5B2F" w:rsidRPr="00D21E69">
        <w:t xml:space="preserve"> a job or to study (</w:t>
      </w:r>
      <w:proofErr w:type="gramStart"/>
      <w:r w:rsidR="006E5B2F" w:rsidRPr="00D21E69">
        <w:t>e.g.</w:t>
      </w:r>
      <w:proofErr w:type="gramEnd"/>
      <w:r w:rsidR="006E5B2F" w:rsidRPr="00D21E69">
        <w:t xml:space="preserve"> Erasmus+ programme) will have the possibility to access </w:t>
      </w:r>
      <w:r w:rsidRPr="00D21E69">
        <w:t>any support required to work or study on an equal basis.</w:t>
      </w:r>
    </w:p>
    <w:p w14:paraId="38A40FB1" w14:textId="77777777" w:rsidR="000E6EC8" w:rsidRPr="00D21E69" w:rsidRDefault="000E6EC8"/>
    <w:p w14:paraId="230D5D32" w14:textId="14A3EB74" w:rsidR="000E6EC8" w:rsidRPr="00D21E69" w:rsidRDefault="00A673D3">
      <w:pPr>
        <w:numPr>
          <w:ilvl w:val="1"/>
          <w:numId w:val="1"/>
        </w:numPr>
        <w:overflowPunct w:val="0"/>
        <w:autoSpaceDE w:val="0"/>
        <w:autoSpaceDN w:val="0"/>
        <w:adjustRightInd w:val="0"/>
        <w:ind w:left="567" w:hanging="567"/>
        <w:textAlignment w:val="baseline"/>
        <w:outlineLvl w:val="1"/>
      </w:pPr>
      <w:r w:rsidRPr="00D21E69">
        <w:t xml:space="preserve">The EESC </w:t>
      </w:r>
      <w:r w:rsidR="002E21EE" w:rsidRPr="00D21E69">
        <w:t>highlights</w:t>
      </w:r>
      <w:r w:rsidRPr="00D21E69">
        <w:t xml:space="preserve"> that </w:t>
      </w:r>
      <w:r w:rsidR="00343032" w:rsidRPr="00D21E69">
        <w:t xml:space="preserve">the European Disability Card is </w:t>
      </w:r>
      <w:r w:rsidR="00343032" w:rsidRPr="00D21E69">
        <w:rPr>
          <w:b/>
          <w:bCs/>
        </w:rPr>
        <w:t>fully in line with the General Data Protection Regulation (GDPR)</w:t>
      </w:r>
      <w:r w:rsidR="00A84FF1" w:rsidRPr="0020095C">
        <w:rPr>
          <w:rStyle w:val="FootnoteReference"/>
          <w:sz w:val="22"/>
        </w:rPr>
        <w:footnoteReference w:id="8"/>
      </w:r>
      <w:r w:rsidR="00013D54" w:rsidRPr="00D21E69">
        <w:rPr>
          <w:b/>
          <w:bCs/>
        </w:rPr>
        <w:t xml:space="preserve"> and protects the personal information </w:t>
      </w:r>
      <w:r w:rsidR="00270124" w:rsidRPr="00D21E69">
        <w:rPr>
          <w:b/>
          <w:bCs/>
        </w:rPr>
        <w:t xml:space="preserve">of </w:t>
      </w:r>
      <w:r w:rsidR="00013D54" w:rsidRPr="00D21E69">
        <w:rPr>
          <w:b/>
          <w:bCs/>
        </w:rPr>
        <w:t>the user</w:t>
      </w:r>
      <w:r w:rsidR="00CC2A09" w:rsidRPr="00D21E69">
        <w:t>, given</w:t>
      </w:r>
      <w:r w:rsidR="00A84FF1" w:rsidRPr="00D21E69">
        <w:t xml:space="preserve"> </w:t>
      </w:r>
      <w:r w:rsidR="004D2538" w:rsidRPr="00D21E69">
        <w:t xml:space="preserve">that </w:t>
      </w:r>
      <w:r w:rsidR="003C5EEC" w:rsidRPr="00D21E69">
        <w:t>the</w:t>
      </w:r>
      <w:r w:rsidR="00013D54" w:rsidRPr="00D21E69">
        <w:t xml:space="preserve"> use of </w:t>
      </w:r>
      <w:r w:rsidR="00CC2A09" w:rsidRPr="00D21E69">
        <w:t>this document</w:t>
      </w:r>
      <w:r w:rsidR="00013D54" w:rsidRPr="00D21E69">
        <w:t xml:space="preserve"> to access services and benefits</w:t>
      </w:r>
      <w:r w:rsidR="00476FE0" w:rsidRPr="00D21E69">
        <w:t xml:space="preserve"> </w:t>
      </w:r>
      <w:r w:rsidR="00E65F91" w:rsidRPr="00D21E69">
        <w:t>safeguards</w:t>
      </w:r>
      <w:r w:rsidR="00476FE0" w:rsidRPr="00D21E69">
        <w:t xml:space="preserve"> the</w:t>
      </w:r>
      <w:r w:rsidR="00CC2A09" w:rsidRPr="00D21E69">
        <w:t xml:space="preserve"> person from being obliged to show and inform about </w:t>
      </w:r>
      <w:r w:rsidR="00476FE0" w:rsidRPr="00D21E69">
        <w:t xml:space="preserve">personal data, </w:t>
      </w:r>
      <w:r w:rsidR="00CC2A09" w:rsidRPr="00D21E69">
        <w:t>in particular</w:t>
      </w:r>
      <w:r w:rsidR="00476FE0" w:rsidRPr="00D21E69">
        <w:t xml:space="preserve"> the disability assessment</w:t>
      </w:r>
      <w:r w:rsidR="00CC2A09" w:rsidRPr="00D21E69">
        <w:t xml:space="preserve"> and</w:t>
      </w:r>
      <w:r w:rsidR="00476FE0" w:rsidRPr="00D21E69">
        <w:t xml:space="preserve"> personal health</w:t>
      </w:r>
      <w:r w:rsidR="00CC2A09" w:rsidRPr="00D21E69">
        <w:t xml:space="preserve"> information</w:t>
      </w:r>
      <w:r w:rsidR="00476FE0" w:rsidRPr="00D21E69">
        <w:t>.</w:t>
      </w:r>
    </w:p>
    <w:p w14:paraId="7C009072" w14:textId="77777777" w:rsidR="00D27AEB" w:rsidRPr="00D21E69" w:rsidRDefault="00D27AEB" w:rsidP="00C404BB">
      <w:pPr>
        <w:pStyle w:val="ListParagraph"/>
      </w:pPr>
    </w:p>
    <w:p w14:paraId="6F8C7F67" w14:textId="1EC981CE" w:rsidR="00D27AEB" w:rsidRPr="00D21E69" w:rsidRDefault="00D27AEB">
      <w:pPr>
        <w:numPr>
          <w:ilvl w:val="1"/>
          <w:numId w:val="1"/>
        </w:numPr>
        <w:overflowPunct w:val="0"/>
        <w:autoSpaceDE w:val="0"/>
        <w:autoSpaceDN w:val="0"/>
        <w:adjustRightInd w:val="0"/>
        <w:ind w:left="567" w:hanging="567"/>
        <w:textAlignment w:val="baseline"/>
        <w:outlineLvl w:val="1"/>
      </w:pPr>
      <w:r w:rsidRPr="00D21E69">
        <w:t xml:space="preserve">The European Disability Card </w:t>
      </w:r>
      <w:r w:rsidR="009A4170" w:rsidRPr="00D21E69">
        <w:t xml:space="preserve">proposal </w:t>
      </w:r>
      <w:r w:rsidRPr="00D21E69">
        <w:t xml:space="preserve">should include </w:t>
      </w:r>
      <w:r w:rsidR="009A4170" w:rsidRPr="00D21E69">
        <w:t xml:space="preserve">the </w:t>
      </w:r>
      <w:r w:rsidR="009A4170" w:rsidRPr="00D21E69">
        <w:rPr>
          <w:b/>
          <w:bCs/>
        </w:rPr>
        <w:t>launch of</w:t>
      </w:r>
      <w:r w:rsidR="009A4170" w:rsidRPr="00D21E69">
        <w:t xml:space="preserve"> </w:t>
      </w:r>
      <w:r w:rsidR="009A4170" w:rsidRPr="00D21E69">
        <w:rPr>
          <w:b/>
          <w:bCs/>
        </w:rPr>
        <w:t>an enforcing and monitoring system</w:t>
      </w:r>
      <w:r w:rsidR="009A4170" w:rsidRPr="00D21E69">
        <w:t xml:space="preserve">, </w:t>
      </w:r>
      <w:proofErr w:type="gramStart"/>
      <w:r w:rsidR="009A4170" w:rsidRPr="00D21E69">
        <w:t>in order to</w:t>
      </w:r>
      <w:proofErr w:type="gramEnd"/>
      <w:r w:rsidR="009A4170" w:rsidRPr="00D21E69">
        <w:t xml:space="preserve"> ensure </w:t>
      </w:r>
      <w:r w:rsidR="00BC445F" w:rsidRPr="00D21E69">
        <w:t>its</w:t>
      </w:r>
      <w:r w:rsidR="00680909" w:rsidRPr="00D21E69">
        <w:t xml:space="preserve"> smooth and effective</w:t>
      </w:r>
      <w:r w:rsidR="009A4170" w:rsidRPr="00D21E69">
        <w:t xml:space="preserve"> implementation, together with a structure to channel and manage complaints and requests from users.</w:t>
      </w:r>
    </w:p>
    <w:p w14:paraId="0B08BCF5" w14:textId="77777777" w:rsidR="00623256" w:rsidRPr="0020095C" w:rsidRDefault="00623256"/>
    <w:p w14:paraId="66729691" w14:textId="338577EE" w:rsidR="00210E98" w:rsidRPr="0020095C" w:rsidRDefault="00664D51">
      <w:pPr>
        <w:numPr>
          <w:ilvl w:val="1"/>
          <w:numId w:val="1"/>
        </w:numPr>
        <w:overflowPunct w:val="0"/>
        <w:autoSpaceDE w:val="0"/>
        <w:autoSpaceDN w:val="0"/>
        <w:adjustRightInd w:val="0"/>
        <w:ind w:left="567" w:hanging="567"/>
        <w:textAlignment w:val="baseline"/>
        <w:outlineLvl w:val="1"/>
      </w:pPr>
      <w:r w:rsidRPr="0020095C">
        <w:t xml:space="preserve">The EESC </w:t>
      </w:r>
      <w:r w:rsidR="002E21EE" w:rsidRPr="0020095C">
        <w:t>understands that t</w:t>
      </w:r>
      <w:r w:rsidR="00644EF9" w:rsidRPr="0020095C">
        <w:t>he</w:t>
      </w:r>
      <w:r w:rsidR="00065573" w:rsidRPr="0020095C">
        <w:t xml:space="preserve"> recognition of disability through the European Disability Card does not</w:t>
      </w:r>
      <w:r w:rsidR="00D6330B" w:rsidRPr="0020095C">
        <w:t xml:space="preserve"> imply the </w:t>
      </w:r>
      <w:r w:rsidR="00C55EE2" w:rsidRPr="0020095C">
        <w:t>homogenisation</w:t>
      </w:r>
      <w:r w:rsidR="00D6330B" w:rsidRPr="0020095C">
        <w:t xml:space="preserve"> of the</w:t>
      </w:r>
      <w:r w:rsidR="007F22E2" w:rsidRPr="0020095C">
        <w:t xml:space="preserve"> disability</w:t>
      </w:r>
      <w:r w:rsidR="00D6330B" w:rsidRPr="0020095C">
        <w:t xml:space="preserve"> assessment models among Member States</w:t>
      </w:r>
      <w:r w:rsidR="00A85F20" w:rsidRPr="0020095C">
        <w:t xml:space="preserve">. Nevertheless, </w:t>
      </w:r>
      <w:r w:rsidR="00D6330B" w:rsidRPr="0020095C">
        <w:t xml:space="preserve">it </w:t>
      </w:r>
      <w:r w:rsidR="001A278E" w:rsidRPr="0020095C">
        <w:t>compels</w:t>
      </w:r>
      <w:r w:rsidR="00270124" w:rsidRPr="0020095C">
        <w:t xml:space="preserve"> </w:t>
      </w:r>
      <w:r w:rsidR="003066FB" w:rsidRPr="0020095C">
        <w:t xml:space="preserve">Member States to </w:t>
      </w:r>
      <w:r w:rsidR="007F22E2" w:rsidRPr="0020095C">
        <w:rPr>
          <w:b/>
          <w:bCs/>
        </w:rPr>
        <w:t>improve</w:t>
      </w:r>
      <w:r w:rsidR="00DB0607" w:rsidRPr="0020095C">
        <w:rPr>
          <w:b/>
          <w:bCs/>
        </w:rPr>
        <w:t xml:space="preserve"> </w:t>
      </w:r>
      <w:r w:rsidR="007F22E2" w:rsidRPr="0020095C">
        <w:rPr>
          <w:b/>
          <w:bCs/>
        </w:rPr>
        <w:t xml:space="preserve">current systems </w:t>
      </w:r>
      <w:r w:rsidR="00DB0607" w:rsidRPr="0020095C">
        <w:rPr>
          <w:b/>
          <w:bCs/>
        </w:rPr>
        <w:t xml:space="preserve">based </w:t>
      </w:r>
      <w:r w:rsidR="00C55EE2" w:rsidRPr="0020095C">
        <w:rPr>
          <w:b/>
          <w:bCs/>
        </w:rPr>
        <w:t>primarily</w:t>
      </w:r>
      <w:r w:rsidR="00DB0607" w:rsidRPr="0020095C">
        <w:rPr>
          <w:b/>
          <w:bCs/>
        </w:rPr>
        <w:t xml:space="preserve"> on a medical approach</w:t>
      </w:r>
      <w:r w:rsidR="00270124" w:rsidRPr="0020095C">
        <w:rPr>
          <w:b/>
          <w:bCs/>
        </w:rPr>
        <w:t xml:space="preserve"> to </w:t>
      </w:r>
      <w:r w:rsidR="009A4170" w:rsidRPr="0020095C">
        <w:rPr>
          <w:b/>
          <w:bCs/>
        </w:rPr>
        <w:t>move towards</w:t>
      </w:r>
      <w:r w:rsidR="003C0738" w:rsidRPr="0020095C">
        <w:rPr>
          <w:b/>
          <w:bCs/>
        </w:rPr>
        <w:t xml:space="preserve"> models that</w:t>
      </w:r>
      <w:r w:rsidR="007F22E2" w:rsidRPr="0020095C">
        <w:rPr>
          <w:b/>
          <w:bCs/>
        </w:rPr>
        <w:t xml:space="preserve"> abide </w:t>
      </w:r>
      <w:r w:rsidR="00270124" w:rsidRPr="0020095C">
        <w:rPr>
          <w:b/>
          <w:bCs/>
        </w:rPr>
        <w:t xml:space="preserve">by </w:t>
      </w:r>
      <w:r w:rsidR="007F22E2" w:rsidRPr="0020095C">
        <w:rPr>
          <w:b/>
          <w:bCs/>
        </w:rPr>
        <w:t>the</w:t>
      </w:r>
      <w:r w:rsidR="003066FB" w:rsidRPr="0020095C">
        <w:rPr>
          <w:b/>
          <w:bCs/>
        </w:rPr>
        <w:t xml:space="preserve"> UNCRPD</w:t>
      </w:r>
      <w:r w:rsidR="007F22E2" w:rsidRPr="0020095C">
        <w:t>.</w:t>
      </w:r>
      <w:r w:rsidR="00412789" w:rsidRPr="0020095C">
        <w:t xml:space="preserve"> According to the recent European Parliament research on </w:t>
      </w:r>
      <w:r w:rsidR="00412789" w:rsidRPr="0020095C">
        <w:rPr>
          <w:i/>
          <w:iCs/>
        </w:rPr>
        <w:t>Disability assessment, mutual recognition and the EU Disability Card</w:t>
      </w:r>
      <w:r w:rsidR="00BD3519" w:rsidRPr="0020095C">
        <w:t xml:space="preserve">, </w:t>
      </w:r>
      <w:r w:rsidR="00926AC8" w:rsidRPr="0020095C">
        <w:t xml:space="preserve">there is a </w:t>
      </w:r>
      <w:r w:rsidR="004D2538" w:rsidRPr="0020095C">
        <w:t xml:space="preserve">strong </w:t>
      </w:r>
      <w:r w:rsidR="00926AC8" w:rsidRPr="0020095C">
        <w:t xml:space="preserve">consensus </w:t>
      </w:r>
      <w:r w:rsidR="00BF303A" w:rsidRPr="0020095C">
        <w:t xml:space="preserve">on the need to improve the </w:t>
      </w:r>
      <w:r w:rsidR="000B0431" w:rsidRPr="0020095C">
        <w:t xml:space="preserve">adoption of shared principles and greater harmonisation on </w:t>
      </w:r>
      <w:r w:rsidR="00DE0FB7" w:rsidRPr="0020095C">
        <w:t>disability assessments, disability definitions and mutual recognition. Also, it understands that e</w:t>
      </w:r>
      <w:r w:rsidR="00BF303A" w:rsidRPr="0020095C">
        <w:t>xisting assessment systems have focused more on individual characteristics than environmental ones</w:t>
      </w:r>
      <w:r w:rsidR="00DE0FB7" w:rsidRPr="0020095C">
        <w:t xml:space="preserve">, relying </w:t>
      </w:r>
      <w:r w:rsidR="00BF303A" w:rsidRPr="0020095C">
        <w:t xml:space="preserve">heavily on medical knowledge or </w:t>
      </w:r>
      <w:r w:rsidR="00BF303A" w:rsidRPr="0020095C">
        <w:lastRenderedPageBreak/>
        <w:t>tests of individual</w:t>
      </w:r>
      <w:r w:rsidR="00270124" w:rsidRPr="0020095C">
        <w:t>s</w:t>
      </w:r>
      <w:r w:rsidR="00BF303A" w:rsidRPr="0020095C">
        <w:t xml:space="preserve"> functioning out of context</w:t>
      </w:r>
      <w:r w:rsidR="00DE0FB7" w:rsidRPr="0020095C">
        <w:t xml:space="preserve"> rather than a</w:t>
      </w:r>
      <w:r w:rsidR="00BF303A" w:rsidRPr="0020095C">
        <w:t xml:space="preserve"> more holistic approach </w:t>
      </w:r>
      <w:r w:rsidR="00EF00FE" w:rsidRPr="0020095C">
        <w:t>that considers</w:t>
      </w:r>
      <w:r w:rsidR="00BF303A" w:rsidRPr="0020095C">
        <w:t xml:space="preserve"> people</w:t>
      </w:r>
      <w:r w:rsidR="00270124" w:rsidRPr="0020095C">
        <w:t>'</w:t>
      </w:r>
      <w:r w:rsidR="00BF303A" w:rsidRPr="0020095C">
        <w:t>s actual life situations</w:t>
      </w:r>
      <w:r w:rsidR="00EF00FE" w:rsidRPr="0020095C">
        <w:rPr>
          <w:rStyle w:val="FootnoteReference"/>
          <w:sz w:val="22"/>
        </w:rPr>
        <w:footnoteReference w:id="9"/>
      </w:r>
      <w:r w:rsidR="00EF00FE" w:rsidRPr="0020095C">
        <w:t>.</w:t>
      </w:r>
    </w:p>
    <w:p w14:paraId="1B401A64" w14:textId="77777777" w:rsidR="003C0738" w:rsidRPr="0020095C" w:rsidRDefault="003C0738">
      <w:pPr>
        <w:pStyle w:val="ListParagraph"/>
      </w:pPr>
    </w:p>
    <w:p w14:paraId="27C3BD40" w14:textId="0DF8F5AE" w:rsidR="003C0738" w:rsidRPr="0020095C" w:rsidRDefault="00E23672" w:rsidP="00501F5B">
      <w:pPr>
        <w:keepNext/>
        <w:keepLines/>
        <w:numPr>
          <w:ilvl w:val="0"/>
          <w:numId w:val="1"/>
        </w:numPr>
        <w:overflowPunct w:val="0"/>
        <w:autoSpaceDE w:val="0"/>
        <w:autoSpaceDN w:val="0"/>
        <w:adjustRightInd w:val="0"/>
        <w:ind w:left="567" w:hanging="567"/>
        <w:textAlignment w:val="baseline"/>
        <w:outlineLvl w:val="0"/>
        <w:rPr>
          <w:b/>
          <w:bCs/>
          <w:kern w:val="28"/>
        </w:rPr>
      </w:pPr>
      <w:r w:rsidRPr="0020095C">
        <w:rPr>
          <w:b/>
          <w:bCs/>
          <w:kern w:val="28"/>
        </w:rPr>
        <w:t>Specific comments</w:t>
      </w:r>
    </w:p>
    <w:p w14:paraId="718C4B7F" w14:textId="77777777" w:rsidR="00FE5966" w:rsidRPr="00D21E69" w:rsidRDefault="00FE5966" w:rsidP="00501F5B">
      <w:pPr>
        <w:pStyle w:val="ListParagraph"/>
        <w:keepNext/>
        <w:keepLines/>
      </w:pPr>
    </w:p>
    <w:p w14:paraId="7BD5EF22" w14:textId="7FF41058" w:rsidR="00FE5966" w:rsidRPr="0020095C" w:rsidRDefault="003C0738">
      <w:pPr>
        <w:numPr>
          <w:ilvl w:val="1"/>
          <w:numId w:val="1"/>
        </w:numPr>
        <w:overflowPunct w:val="0"/>
        <w:autoSpaceDE w:val="0"/>
        <w:autoSpaceDN w:val="0"/>
        <w:adjustRightInd w:val="0"/>
        <w:ind w:left="567" w:hanging="567"/>
        <w:textAlignment w:val="baseline"/>
        <w:outlineLvl w:val="1"/>
      </w:pPr>
      <w:r w:rsidRPr="00D21E69">
        <w:t xml:space="preserve">The EESC </w:t>
      </w:r>
      <w:r w:rsidR="00270124" w:rsidRPr="00D21E69">
        <w:t xml:space="preserve">believes </w:t>
      </w:r>
      <w:r w:rsidR="00E23672" w:rsidRPr="00D21E69">
        <w:t>that</w:t>
      </w:r>
      <w:r w:rsidR="00B67DF9" w:rsidRPr="00D21E69">
        <w:t>, concerning</w:t>
      </w:r>
      <w:r w:rsidR="00E23672" w:rsidRPr="00D21E69">
        <w:t xml:space="preserve"> the format</w:t>
      </w:r>
      <w:r w:rsidR="00B67DF9" w:rsidRPr="00D21E69">
        <w:t>,</w:t>
      </w:r>
      <w:r w:rsidR="00E23672" w:rsidRPr="00D21E69">
        <w:t xml:space="preserve"> </w:t>
      </w:r>
      <w:r w:rsidR="00E23672" w:rsidRPr="00D21E69">
        <w:rPr>
          <w:b/>
          <w:bCs/>
        </w:rPr>
        <w:t xml:space="preserve">the </w:t>
      </w:r>
      <w:r w:rsidR="00270124" w:rsidRPr="00D21E69">
        <w:rPr>
          <w:b/>
          <w:bCs/>
        </w:rPr>
        <w:t>c</w:t>
      </w:r>
      <w:r w:rsidR="00E23672" w:rsidRPr="00D21E69">
        <w:rPr>
          <w:b/>
          <w:bCs/>
        </w:rPr>
        <w:t xml:space="preserve">ard must be physical, </w:t>
      </w:r>
      <w:r w:rsidR="00365825" w:rsidRPr="00D21E69">
        <w:rPr>
          <w:b/>
          <w:bCs/>
        </w:rPr>
        <w:t xml:space="preserve">with </w:t>
      </w:r>
      <w:r w:rsidR="00E23672" w:rsidRPr="00D21E69">
        <w:rPr>
          <w:b/>
          <w:bCs/>
        </w:rPr>
        <w:t>digital capabilities</w:t>
      </w:r>
      <w:r w:rsidR="002654F2" w:rsidRPr="00D21E69">
        <w:t xml:space="preserve"> – for example,</w:t>
      </w:r>
      <w:r w:rsidR="00B9508C" w:rsidRPr="00D21E69">
        <w:t xml:space="preserve"> a QR code and/or electronic chip</w:t>
      </w:r>
      <w:r w:rsidR="00E23672" w:rsidRPr="00D21E69">
        <w:t xml:space="preserve"> linking to the </w:t>
      </w:r>
      <w:r w:rsidR="00243EEB" w:rsidRPr="00D21E69">
        <w:t>disability assessment details</w:t>
      </w:r>
      <w:r w:rsidR="002654F2" w:rsidRPr="00D21E69">
        <w:t xml:space="preserve"> </w:t>
      </w:r>
      <w:r w:rsidR="00270124" w:rsidRPr="00D21E69">
        <w:t>would be</w:t>
      </w:r>
      <w:r w:rsidR="002654F2" w:rsidRPr="00D21E69">
        <w:t xml:space="preserve"> </w:t>
      </w:r>
      <w:r w:rsidR="00E23672" w:rsidRPr="00D21E69">
        <w:t>a positive addition. This physical card must be completely a</w:t>
      </w:r>
      <w:r w:rsidR="00FE5966" w:rsidRPr="00D21E69">
        <w:t>ccessible</w:t>
      </w:r>
      <w:r w:rsidR="00E23672" w:rsidRPr="00D21E69">
        <w:t>,</w:t>
      </w:r>
      <w:r w:rsidR="008B5735" w:rsidRPr="00D21E69">
        <w:t xml:space="preserve"> with braille description, and</w:t>
      </w:r>
      <w:r w:rsidR="00FE5966" w:rsidRPr="00D21E69">
        <w:t xml:space="preserve"> </w:t>
      </w:r>
      <w:r w:rsidR="00365825" w:rsidRPr="00D21E69">
        <w:t xml:space="preserve">a </w:t>
      </w:r>
      <w:r w:rsidR="00FE5966" w:rsidRPr="00D21E69">
        <w:t>standardised</w:t>
      </w:r>
      <w:r w:rsidR="00365825" w:rsidRPr="00D21E69">
        <w:t xml:space="preserve"> ID</w:t>
      </w:r>
      <w:r w:rsidR="00FE5966" w:rsidRPr="00D21E69">
        <w:t xml:space="preserve"> size</w:t>
      </w:r>
      <w:r w:rsidR="00E23672" w:rsidRPr="00D21E69">
        <w:t>.</w:t>
      </w:r>
    </w:p>
    <w:p w14:paraId="5943D3F3" w14:textId="77777777" w:rsidR="00FE5966" w:rsidRPr="00D21E69" w:rsidRDefault="00FE5966"/>
    <w:p w14:paraId="1AD0CDA1" w14:textId="7498BD11" w:rsidR="00FE5966" w:rsidRPr="0020095C" w:rsidRDefault="002654F2">
      <w:pPr>
        <w:numPr>
          <w:ilvl w:val="1"/>
          <w:numId w:val="1"/>
        </w:numPr>
        <w:overflowPunct w:val="0"/>
        <w:autoSpaceDE w:val="0"/>
        <w:autoSpaceDN w:val="0"/>
        <w:adjustRightInd w:val="0"/>
        <w:ind w:left="567" w:hanging="567"/>
        <w:textAlignment w:val="baseline"/>
        <w:outlineLvl w:val="1"/>
      </w:pPr>
      <w:r w:rsidRPr="00D21E69">
        <w:t xml:space="preserve">The </w:t>
      </w:r>
      <w:r w:rsidR="00F32F47" w:rsidRPr="00D21E69">
        <w:t xml:space="preserve">European Disability </w:t>
      </w:r>
      <w:r w:rsidRPr="00D21E69">
        <w:t xml:space="preserve">Card </w:t>
      </w:r>
      <w:r w:rsidR="004D2538" w:rsidRPr="00D21E69">
        <w:t xml:space="preserve">project </w:t>
      </w:r>
      <w:r w:rsidRPr="00D21E69">
        <w:t>must i</w:t>
      </w:r>
      <w:r w:rsidR="00FE5966" w:rsidRPr="00D21E69">
        <w:t xml:space="preserve">nclude an </w:t>
      </w:r>
      <w:r w:rsidR="00FE5966" w:rsidRPr="00D21E69">
        <w:rPr>
          <w:b/>
          <w:bCs/>
        </w:rPr>
        <w:t>EU-level website that provides practical details for every country</w:t>
      </w:r>
      <w:r w:rsidRPr="00D21E69">
        <w:t xml:space="preserve">, such as </w:t>
      </w:r>
      <w:r w:rsidR="00FE5966" w:rsidRPr="00D21E69">
        <w:t xml:space="preserve">where to get the </w:t>
      </w:r>
      <w:r w:rsidR="00720CCE" w:rsidRPr="00D21E69">
        <w:t>c</w:t>
      </w:r>
      <w:r w:rsidR="00FE5966" w:rsidRPr="00D21E69">
        <w:t xml:space="preserve">ard </w:t>
      </w:r>
      <w:r w:rsidR="009A4170" w:rsidRPr="00D21E69">
        <w:t xml:space="preserve">and </w:t>
      </w:r>
      <w:r w:rsidR="00FE5966" w:rsidRPr="00D21E69">
        <w:t>how it works</w:t>
      </w:r>
      <w:r w:rsidR="009A4170" w:rsidRPr="00D21E69">
        <w:t xml:space="preserve">. </w:t>
      </w:r>
      <w:r w:rsidR="00AE1870" w:rsidRPr="00D21E69">
        <w:t>Th</w:t>
      </w:r>
      <w:r w:rsidR="00204DD8" w:rsidRPr="00D21E69">
        <w:t>e EU website should be available in every language and must be</w:t>
      </w:r>
      <w:r w:rsidR="007A46A4" w:rsidRPr="00D21E69">
        <w:t xml:space="preserve"> accessible at the highest level</w:t>
      </w:r>
      <w:r w:rsidR="000457E2" w:rsidRPr="00D21E69">
        <w:t xml:space="preserve"> of conformance (</w:t>
      </w:r>
      <w:r w:rsidR="005D36EB" w:rsidRPr="00D21E69">
        <w:t>AAA</w:t>
      </w:r>
      <w:r w:rsidR="000457E2" w:rsidRPr="00D21E69">
        <w:t>) of</w:t>
      </w:r>
      <w:r w:rsidR="005D36EB" w:rsidRPr="00D21E69">
        <w:t xml:space="preserve"> the Web Accessibility Guidelines</w:t>
      </w:r>
      <w:r w:rsidR="000457E2" w:rsidRPr="0020095C">
        <w:rPr>
          <w:rStyle w:val="FootnoteReference"/>
          <w:sz w:val="22"/>
        </w:rPr>
        <w:footnoteReference w:id="10"/>
      </w:r>
      <w:r w:rsidR="009A4170" w:rsidRPr="00D21E69">
        <w:t>, with easy-to-read formats and sign language availability</w:t>
      </w:r>
      <w:r w:rsidR="00720CCE" w:rsidRPr="00D21E69">
        <w:t>, as should the national websites and the full process of acquiring the card</w:t>
      </w:r>
      <w:r w:rsidR="005D36EB" w:rsidRPr="00D21E69">
        <w:t>.</w:t>
      </w:r>
    </w:p>
    <w:p w14:paraId="786A9931" w14:textId="77777777" w:rsidR="00F32F47" w:rsidRPr="0020095C" w:rsidRDefault="00F32F47">
      <w:pPr>
        <w:pStyle w:val="ListParagraph"/>
      </w:pPr>
    </w:p>
    <w:p w14:paraId="02A7BF82" w14:textId="5EF9DE2C" w:rsidR="00F32F47" w:rsidRPr="0020095C" w:rsidRDefault="00F32F47">
      <w:pPr>
        <w:numPr>
          <w:ilvl w:val="1"/>
          <w:numId w:val="1"/>
        </w:numPr>
        <w:overflowPunct w:val="0"/>
        <w:autoSpaceDE w:val="0"/>
        <w:autoSpaceDN w:val="0"/>
        <w:adjustRightInd w:val="0"/>
        <w:ind w:left="567" w:hanging="567"/>
        <w:textAlignment w:val="baseline"/>
        <w:outlineLvl w:val="1"/>
      </w:pPr>
      <w:r w:rsidRPr="0020095C">
        <w:t>The European Disability Card should</w:t>
      </w:r>
      <w:r w:rsidR="00EC788F" w:rsidRPr="0020095C">
        <w:t xml:space="preserve"> </w:t>
      </w:r>
      <w:r w:rsidR="00720CCE" w:rsidRPr="0020095C">
        <w:t>also</w:t>
      </w:r>
      <w:r w:rsidR="00EC788F" w:rsidRPr="0020095C">
        <w:t xml:space="preserve"> include </w:t>
      </w:r>
      <w:r w:rsidR="00EC788F" w:rsidRPr="0020095C">
        <w:rPr>
          <w:b/>
          <w:bCs/>
        </w:rPr>
        <w:t>information about the personal assistance</w:t>
      </w:r>
      <w:r w:rsidR="00B418DC" w:rsidRPr="0020095C">
        <w:rPr>
          <w:b/>
          <w:bCs/>
        </w:rPr>
        <w:t xml:space="preserve"> and/or a</w:t>
      </w:r>
      <w:r w:rsidR="00E30A14" w:rsidRPr="0020095C">
        <w:rPr>
          <w:b/>
          <w:bCs/>
        </w:rPr>
        <w:t>ccompanying person</w:t>
      </w:r>
      <w:r w:rsidR="00D37631" w:rsidRPr="0020095C">
        <w:rPr>
          <w:b/>
          <w:bCs/>
        </w:rPr>
        <w:t>s</w:t>
      </w:r>
      <w:r w:rsidR="00E30A14" w:rsidRPr="0020095C">
        <w:rPr>
          <w:b/>
          <w:bCs/>
        </w:rPr>
        <w:t xml:space="preserve"> for</w:t>
      </w:r>
      <w:r w:rsidR="00EC788F" w:rsidRPr="0020095C">
        <w:rPr>
          <w:b/>
          <w:bCs/>
        </w:rPr>
        <w:t xml:space="preserve"> the owner of the </w:t>
      </w:r>
      <w:r w:rsidR="00720CCE" w:rsidRPr="0020095C">
        <w:rPr>
          <w:b/>
          <w:bCs/>
        </w:rPr>
        <w:t>c</w:t>
      </w:r>
      <w:r w:rsidR="00EC788F" w:rsidRPr="0020095C">
        <w:rPr>
          <w:b/>
          <w:bCs/>
        </w:rPr>
        <w:t>ard</w:t>
      </w:r>
      <w:r w:rsidR="00EC788F" w:rsidRPr="0020095C">
        <w:t xml:space="preserve">, </w:t>
      </w:r>
      <w:proofErr w:type="gramStart"/>
      <w:r w:rsidR="00EC788F" w:rsidRPr="0020095C">
        <w:t>in order to</w:t>
      </w:r>
      <w:proofErr w:type="gramEnd"/>
      <w:r w:rsidR="00EC788F" w:rsidRPr="0020095C">
        <w:t xml:space="preserve"> include them within the scope of the benefits and support whenever it is applicable. This information can be expressed with a concrete symbol or </w:t>
      </w:r>
      <w:r w:rsidR="009F50C0" w:rsidRPr="0020095C">
        <w:t>mention in the physical card.</w:t>
      </w:r>
    </w:p>
    <w:p w14:paraId="576D488B" w14:textId="77777777" w:rsidR="00FE5966" w:rsidRPr="00D21E69" w:rsidRDefault="00FE5966">
      <w:pPr>
        <w:pStyle w:val="ListParagraph"/>
      </w:pPr>
    </w:p>
    <w:p w14:paraId="70C4668C" w14:textId="0311B491" w:rsidR="00F32F47" w:rsidRPr="0020095C" w:rsidRDefault="00185EB5">
      <w:pPr>
        <w:numPr>
          <w:ilvl w:val="1"/>
          <w:numId w:val="1"/>
        </w:numPr>
        <w:overflowPunct w:val="0"/>
        <w:autoSpaceDE w:val="0"/>
        <w:autoSpaceDN w:val="0"/>
        <w:adjustRightInd w:val="0"/>
        <w:ind w:left="567" w:hanging="567"/>
        <w:textAlignment w:val="baseline"/>
        <w:outlineLvl w:val="1"/>
      </w:pPr>
      <w:r w:rsidRPr="00D21E69">
        <w:t xml:space="preserve">The EESC </w:t>
      </w:r>
      <w:r w:rsidR="006D08E3" w:rsidRPr="00D21E69">
        <w:t xml:space="preserve">believes that the </w:t>
      </w:r>
      <w:r w:rsidR="00FE5966" w:rsidRPr="00D21E69">
        <w:t xml:space="preserve">use of </w:t>
      </w:r>
      <w:r w:rsidR="00FE5966" w:rsidRPr="00D21E69">
        <w:rPr>
          <w:b/>
          <w:bCs/>
        </w:rPr>
        <w:t xml:space="preserve">the European Disability Card </w:t>
      </w:r>
      <w:r w:rsidR="006D08E3" w:rsidRPr="00D21E69">
        <w:rPr>
          <w:b/>
          <w:bCs/>
        </w:rPr>
        <w:t>must be</w:t>
      </w:r>
      <w:r w:rsidR="00FE5966" w:rsidRPr="00D21E69">
        <w:rPr>
          <w:b/>
          <w:bCs/>
        </w:rPr>
        <w:t xml:space="preserve"> voluntary</w:t>
      </w:r>
      <w:r w:rsidR="006D08E3" w:rsidRPr="00D21E69">
        <w:t xml:space="preserve">, </w:t>
      </w:r>
      <w:r w:rsidR="004D2538" w:rsidRPr="00D21E69">
        <w:t xml:space="preserve">with it </w:t>
      </w:r>
      <w:r w:rsidR="006D08E3" w:rsidRPr="00D21E69">
        <w:t>being</w:t>
      </w:r>
      <w:r w:rsidR="00FE5966" w:rsidRPr="00D21E69">
        <w:t xml:space="preserve"> codified in the law that each person with a disability can decide themselves if they want to apply for the </w:t>
      </w:r>
      <w:r w:rsidR="00720CCE" w:rsidRPr="00D21E69">
        <w:t>c</w:t>
      </w:r>
      <w:r w:rsidR="00FE5966" w:rsidRPr="00D21E69">
        <w:t xml:space="preserve">ard and it should never be an obligation to hold such a </w:t>
      </w:r>
      <w:r w:rsidR="00720CCE" w:rsidRPr="00D21E69">
        <w:t>c</w:t>
      </w:r>
      <w:r w:rsidR="00FE5966" w:rsidRPr="00D21E69">
        <w:t>ard to prove</w:t>
      </w:r>
      <w:r w:rsidR="001742D1" w:rsidRPr="00D21E69">
        <w:t xml:space="preserve"> a</w:t>
      </w:r>
      <w:r w:rsidR="00FE5966" w:rsidRPr="00D21E69">
        <w:t xml:space="preserve"> disability</w:t>
      </w:r>
      <w:r w:rsidR="00193B28" w:rsidRPr="00D21E69">
        <w:t>.</w:t>
      </w:r>
      <w:r w:rsidR="00365CAC" w:rsidRPr="00D21E69">
        <w:t xml:space="preserve"> </w:t>
      </w:r>
    </w:p>
    <w:p w14:paraId="70B7EB41" w14:textId="77777777" w:rsidR="00193B28" w:rsidRPr="0020095C" w:rsidRDefault="00193B28">
      <w:pPr>
        <w:pStyle w:val="ListParagraph"/>
      </w:pPr>
    </w:p>
    <w:p w14:paraId="50EACA3C" w14:textId="5A2BAE69" w:rsidR="00193B28" w:rsidRPr="00D21E69" w:rsidRDefault="00193B28">
      <w:pPr>
        <w:numPr>
          <w:ilvl w:val="1"/>
          <w:numId w:val="1"/>
        </w:numPr>
        <w:overflowPunct w:val="0"/>
        <w:autoSpaceDE w:val="0"/>
        <w:autoSpaceDN w:val="0"/>
        <w:adjustRightInd w:val="0"/>
        <w:ind w:left="567" w:hanging="567"/>
        <w:textAlignment w:val="baseline"/>
        <w:outlineLvl w:val="1"/>
      </w:pPr>
      <w:r w:rsidRPr="00D21E69">
        <w:t xml:space="preserve">The EESC urges the Commission to provide </w:t>
      </w:r>
      <w:r w:rsidRPr="00D21E69">
        <w:rPr>
          <w:b/>
          <w:bCs/>
        </w:rPr>
        <w:t>a funding instrument to set up the European Disability Card in all EU Member States including the EU-wide website</w:t>
      </w:r>
      <w:r w:rsidRPr="00D21E69">
        <w:t xml:space="preserve">. Afterwards, continued funding for the printing and issuing of the </w:t>
      </w:r>
      <w:r w:rsidR="004D3EBD" w:rsidRPr="00D21E69">
        <w:t>c</w:t>
      </w:r>
      <w:r w:rsidRPr="00D21E69">
        <w:t xml:space="preserve">ard, staff, communication and maintenance of the website and related tools such as possible mobile applications </w:t>
      </w:r>
      <w:r w:rsidR="00894DBD" w:rsidRPr="00D21E69">
        <w:t>must</w:t>
      </w:r>
      <w:r w:rsidRPr="00D21E69">
        <w:t xml:space="preserve"> be ensured. This could be done either through a continuation of the EU funding instrument and/or national funding streams.</w:t>
      </w:r>
    </w:p>
    <w:p w14:paraId="5F67F8F2" w14:textId="77777777" w:rsidR="00F95539" w:rsidRPr="00D21E69" w:rsidRDefault="00F95539">
      <w:pPr>
        <w:pStyle w:val="ListParagraph"/>
      </w:pPr>
    </w:p>
    <w:p w14:paraId="448FE599" w14:textId="03977496" w:rsidR="00F95539" w:rsidRPr="00D21E69" w:rsidRDefault="006E27CA">
      <w:pPr>
        <w:numPr>
          <w:ilvl w:val="1"/>
          <w:numId w:val="1"/>
        </w:numPr>
        <w:overflowPunct w:val="0"/>
        <w:autoSpaceDE w:val="0"/>
        <w:autoSpaceDN w:val="0"/>
        <w:adjustRightInd w:val="0"/>
        <w:ind w:left="567" w:hanging="567"/>
        <w:textAlignment w:val="baseline"/>
        <w:outlineLvl w:val="1"/>
      </w:pPr>
      <w:r w:rsidRPr="00D21E69">
        <w:t xml:space="preserve">Communication and awareness raising about the </w:t>
      </w:r>
      <w:r w:rsidR="00FF3030" w:rsidRPr="00D21E69">
        <w:t>European Disability C</w:t>
      </w:r>
      <w:r w:rsidRPr="00D21E69">
        <w:t xml:space="preserve">ard is crucial to make sure it reaches all the potential beneficiaries and service providers. </w:t>
      </w:r>
      <w:r w:rsidR="00F95539" w:rsidRPr="00D21E69">
        <w:rPr>
          <w:b/>
          <w:bCs/>
        </w:rPr>
        <w:t xml:space="preserve">The launch of the </w:t>
      </w:r>
      <w:r w:rsidR="00C346CD" w:rsidRPr="00D21E69">
        <w:rPr>
          <w:b/>
          <w:bCs/>
        </w:rPr>
        <w:t>c</w:t>
      </w:r>
      <w:r w:rsidR="00F95539" w:rsidRPr="00D21E69">
        <w:rPr>
          <w:b/>
          <w:bCs/>
        </w:rPr>
        <w:t>ard should be paired with EU-wide and national awareness-raising campaign</w:t>
      </w:r>
      <w:r w:rsidR="00C346CD" w:rsidRPr="00D21E69">
        <w:rPr>
          <w:b/>
          <w:bCs/>
        </w:rPr>
        <w:t>s</w:t>
      </w:r>
      <w:r w:rsidR="00F95539" w:rsidRPr="00D21E69">
        <w:rPr>
          <w:b/>
          <w:bCs/>
        </w:rPr>
        <w:t xml:space="preserve"> </w:t>
      </w:r>
      <w:r w:rsidR="00F95539" w:rsidRPr="00D21E69">
        <w:t xml:space="preserve">for the </w:t>
      </w:r>
      <w:proofErr w:type="gramStart"/>
      <w:r w:rsidR="00F95539" w:rsidRPr="00D21E69">
        <w:t>general public</w:t>
      </w:r>
      <w:proofErr w:type="gramEnd"/>
      <w:r w:rsidR="00F95539" w:rsidRPr="00D21E69">
        <w:t xml:space="preserve">, </w:t>
      </w:r>
      <w:r w:rsidR="00C346CD" w:rsidRPr="00D21E69">
        <w:t xml:space="preserve">for </w:t>
      </w:r>
      <w:r w:rsidR="00F95539" w:rsidRPr="00D21E69">
        <w:t xml:space="preserve">potential </w:t>
      </w:r>
      <w:r w:rsidR="00C346CD" w:rsidRPr="00D21E69">
        <w:t>c</w:t>
      </w:r>
      <w:r w:rsidR="00F95539" w:rsidRPr="00D21E69">
        <w:t xml:space="preserve">ard users to apply and for service providers to join the scheme </w:t>
      </w:r>
      <w:r w:rsidR="00C346CD" w:rsidRPr="00D21E69">
        <w:t xml:space="preserve">so it can </w:t>
      </w:r>
      <w:r w:rsidR="00F95539" w:rsidRPr="00D21E69">
        <w:t>reach its full potential</w:t>
      </w:r>
      <w:r w:rsidR="00261145" w:rsidRPr="00D21E69">
        <w:t>, in all EU languages, easy-to-read and sign-language formats, to ensure accessibility for all</w:t>
      </w:r>
      <w:r w:rsidR="00F95539" w:rsidRPr="00D21E69">
        <w:t xml:space="preserve">. </w:t>
      </w:r>
      <w:proofErr w:type="gramStart"/>
      <w:r w:rsidR="004A7CC7" w:rsidRPr="00D21E69">
        <w:t>P</w:t>
      </w:r>
      <w:r w:rsidR="00B915BA" w:rsidRPr="00D21E69">
        <w:t>articular effort</w:t>
      </w:r>
      <w:proofErr w:type="gramEnd"/>
      <w:r w:rsidR="00B915BA" w:rsidRPr="00D21E69">
        <w:t xml:space="preserve"> must be made to reach those persons with disabilities who may have more difficulties accessing information about the existence</w:t>
      </w:r>
      <w:r w:rsidR="004A7CC7" w:rsidRPr="00D21E69">
        <w:t xml:space="preserve"> and</w:t>
      </w:r>
      <w:r w:rsidR="00B915BA" w:rsidRPr="00D21E69">
        <w:t xml:space="preserve"> </w:t>
      </w:r>
      <w:r w:rsidR="00D20A7D" w:rsidRPr="00D21E69">
        <w:t>benefits</w:t>
      </w:r>
      <w:r w:rsidR="00B915BA" w:rsidRPr="00D21E69">
        <w:t xml:space="preserve"> </w:t>
      </w:r>
      <w:r w:rsidR="004A7CC7" w:rsidRPr="00D21E69">
        <w:t xml:space="preserve">of </w:t>
      </w:r>
      <w:r w:rsidR="00B915BA" w:rsidRPr="00D21E69">
        <w:t xml:space="preserve">and </w:t>
      </w:r>
      <w:r w:rsidR="004A7CC7" w:rsidRPr="00D21E69">
        <w:t xml:space="preserve">the </w:t>
      </w:r>
      <w:r w:rsidR="00B915BA" w:rsidRPr="00D21E69">
        <w:t xml:space="preserve">processes </w:t>
      </w:r>
      <w:r w:rsidR="004A7CC7" w:rsidRPr="00D21E69">
        <w:t>involved in</w:t>
      </w:r>
      <w:r w:rsidR="00B915BA" w:rsidRPr="00D21E69">
        <w:t xml:space="preserve"> acquir</w:t>
      </w:r>
      <w:r w:rsidR="004A7CC7" w:rsidRPr="00D21E69">
        <w:t>ing</w:t>
      </w:r>
      <w:r w:rsidR="00B915BA" w:rsidRPr="00D21E69">
        <w:t xml:space="preserve"> the </w:t>
      </w:r>
      <w:r w:rsidR="004A7CC7" w:rsidRPr="00D21E69">
        <w:t>c</w:t>
      </w:r>
      <w:r w:rsidR="00B915BA" w:rsidRPr="00D21E69">
        <w:t>ard</w:t>
      </w:r>
      <w:r w:rsidR="004374A7" w:rsidRPr="00D21E69">
        <w:t>, such as persons with psychosocial</w:t>
      </w:r>
      <w:r w:rsidR="00A963F8" w:rsidRPr="00D21E69">
        <w:t xml:space="preserve"> or</w:t>
      </w:r>
      <w:r w:rsidR="004374A7" w:rsidRPr="00D21E69">
        <w:t xml:space="preserve"> intellectual disabilities and those who have a limited support system, as </w:t>
      </w:r>
      <w:r w:rsidR="0015411E" w:rsidRPr="00D21E69">
        <w:t xml:space="preserve">is the case </w:t>
      </w:r>
      <w:r w:rsidR="004A7CC7" w:rsidRPr="00D21E69">
        <w:t>for</w:t>
      </w:r>
      <w:r w:rsidR="0015411E" w:rsidRPr="00D21E69">
        <w:t xml:space="preserve"> </w:t>
      </w:r>
      <w:r w:rsidR="004374A7" w:rsidRPr="00D21E69">
        <w:t>refugees with disabilit</w:t>
      </w:r>
      <w:r w:rsidR="0015411E" w:rsidRPr="00D21E69">
        <w:t>ies</w:t>
      </w:r>
      <w:r w:rsidR="004374A7" w:rsidRPr="00D21E69">
        <w:t xml:space="preserve">. </w:t>
      </w:r>
      <w:r w:rsidR="0015411E" w:rsidRPr="00D21E69">
        <w:t>To</w:t>
      </w:r>
      <w:r w:rsidR="004374A7" w:rsidRPr="00D21E69">
        <w:t xml:space="preserve"> </w:t>
      </w:r>
      <w:r w:rsidR="0015411E" w:rsidRPr="00D21E69">
        <w:t xml:space="preserve">better </w:t>
      </w:r>
      <w:r w:rsidR="004374A7" w:rsidRPr="00D21E69">
        <w:t>reach Ukrainian refugees with disabilit</w:t>
      </w:r>
      <w:r w:rsidR="0015411E" w:rsidRPr="00D21E69">
        <w:t>ies</w:t>
      </w:r>
      <w:r w:rsidR="004374A7" w:rsidRPr="00D21E69">
        <w:t xml:space="preserve">, there should also be </w:t>
      </w:r>
      <w:r w:rsidR="004374A7" w:rsidRPr="00D21E69">
        <w:lastRenderedPageBreak/>
        <w:t>communication in Ukrainian</w:t>
      </w:r>
      <w:r w:rsidR="00B915BA" w:rsidRPr="00D21E69">
        <w:t xml:space="preserve">. </w:t>
      </w:r>
      <w:r w:rsidR="00F95539" w:rsidRPr="00D21E69">
        <w:t xml:space="preserve">This campaign </w:t>
      </w:r>
      <w:proofErr w:type="gramStart"/>
      <w:r w:rsidR="00F95539" w:rsidRPr="00D21E69">
        <w:t>has to</w:t>
      </w:r>
      <w:proofErr w:type="gramEnd"/>
      <w:r w:rsidR="00F95539" w:rsidRPr="00D21E69">
        <w:t xml:space="preserve"> be followed</w:t>
      </w:r>
      <w:r w:rsidR="00C346CD" w:rsidRPr="00D21E69">
        <w:t xml:space="preserve"> </w:t>
      </w:r>
      <w:r w:rsidR="00F95539" w:rsidRPr="00D21E69">
        <w:t xml:space="preserve">up with regular communication to update </w:t>
      </w:r>
      <w:r w:rsidR="00C346CD" w:rsidRPr="00D21E69">
        <w:t>c</w:t>
      </w:r>
      <w:r w:rsidR="00F95539" w:rsidRPr="00D21E69">
        <w:t xml:space="preserve">ard holders and the general public on new additions to the </w:t>
      </w:r>
      <w:r w:rsidR="00C346CD" w:rsidRPr="00D21E69">
        <w:t>c</w:t>
      </w:r>
      <w:r w:rsidR="00F95539" w:rsidRPr="00D21E69">
        <w:t xml:space="preserve">ard scheme and benefits of the </w:t>
      </w:r>
      <w:r w:rsidR="00C346CD" w:rsidRPr="00D21E69">
        <w:t>c</w:t>
      </w:r>
      <w:r w:rsidR="00F95539" w:rsidRPr="00D21E69">
        <w:t>ard in general to ensure this EU project</w:t>
      </w:r>
      <w:r w:rsidR="00C346CD" w:rsidRPr="00D21E69">
        <w:t xml:space="preserve"> is highly visible</w:t>
      </w:r>
      <w:r w:rsidR="00F95539" w:rsidRPr="00D21E69">
        <w:t>.</w:t>
      </w:r>
    </w:p>
    <w:p w14:paraId="08B31B77" w14:textId="77777777" w:rsidR="0097518C" w:rsidRPr="00D21E69" w:rsidRDefault="0097518C">
      <w:pPr>
        <w:pStyle w:val="ListParagraph"/>
      </w:pPr>
    </w:p>
    <w:p w14:paraId="2237AA83" w14:textId="5C7BB778" w:rsidR="00193B28" w:rsidRPr="00D21E69" w:rsidRDefault="001E464D">
      <w:pPr>
        <w:numPr>
          <w:ilvl w:val="1"/>
          <w:numId w:val="1"/>
        </w:numPr>
        <w:overflowPunct w:val="0"/>
        <w:autoSpaceDE w:val="0"/>
        <w:autoSpaceDN w:val="0"/>
        <w:adjustRightInd w:val="0"/>
        <w:ind w:left="567" w:hanging="567"/>
        <w:textAlignment w:val="baseline"/>
        <w:outlineLvl w:val="1"/>
      </w:pPr>
      <w:r w:rsidRPr="0020095C">
        <w:t xml:space="preserve">The EESC highlights the relevance for the EU institutions of </w:t>
      </w:r>
      <w:r w:rsidRPr="0020095C">
        <w:rPr>
          <w:b/>
          <w:bCs/>
        </w:rPr>
        <w:t>maintaining c</w:t>
      </w:r>
      <w:r w:rsidR="0097518C" w:rsidRPr="0020095C">
        <w:rPr>
          <w:b/>
          <w:bCs/>
        </w:rPr>
        <w:t>lose collaboration</w:t>
      </w:r>
      <w:r w:rsidR="00D27AEB" w:rsidRPr="0020095C">
        <w:rPr>
          <w:b/>
          <w:bCs/>
        </w:rPr>
        <w:t xml:space="preserve"> with </w:t>
      </w:r>
      <w:r w:rsidR="00D27AEB" w:rsidRPr="00D21E69">
        <w:rPr>
          <w:b/>
          <w:bCs/>
        </w:rPr>
        <w:t>persons with disabilities, as well as</w:t>
      </w:r>
      <w:r w:rsidR="0097518C" w:rsidRPr="0020095C">
        <w:rPr>
          <w:b/>
          <w:bCs/>
        </w:rPr>
        <w:t xml:space="preserve"> EU-level</w:t>
      </w:r>
      <w:r w:rsidR="00D27AEB" w:rsidRPr="0020095C">
        <w:rPr>
          <w:b/>
          <w:bCs/>
        </w:rPr>
        <w:t>,</w:t>
      </w:r>
      <w:r w:rsidR="009E7B8D" w:rsidRPr="0020095C">
        <w:rPr>
          <w:b/>
          <w:bCs/>
        </w:rPr>
        <w:t xml:space="preserve"> </w:t>
      </w:r>
      <w:r w:rsidR="0097518C" w:rsidRPr="0020095C">
        <w:rPr>
          <w:b/>
          <w:bCs/>
        </w:rPr>
        <w:t xml:space="preserve">national, </w:t>
      </w:r>
      <w:proofErr w:type="gramStart"/>
      <w:r w:rsidR="0097518C" w:rsidRPr="0020095C">
        <w:rPr>
          <w:b/>
          <w:bCs/>
        </w:rPr>
        <w:t>regional</w:t>
      </w:r>
      <w:proofErr w:type="gramEnd"/>
      <w:r w:rsidR="0097518C" w:rsidRPr="0020095C">
        <w:rPr>
          <w:b/>
          <w:bCs/>
        </w:rPr>
        <w:t xml:space="preserve"> and local </w:t>
      </w:r>
      <w:r w:rsidR="00A1530C" w:rsidRPr="0020095C">
        <w:rPr>
          <w:b/>
          <w:bCs/>
        </w:rPr>
        <w:t xml:space="preserve">representative organisations of persons with disabilities </w:t>
      </w:r>
      <w:r w:rsidR="0097518C" w:rsidRPr="0020095C">
        <w:rPr>
          <w:b/>
          <w:bCs/>
        </w:rPr>
        <w:t>(DPOs)</w:t>
      </w:r>
      <w:r w:rsidR="0097518C" w:rsidRPr="0020095C">
        <w:t xml:space="preserve">. </w:t>
      </w:r>
      <w:r w:rsidRPr="0020095C">
        <w:t>The</w:t>
      </w:r>
      <w:r w:rsidR="0097518C" w:rsidRPr="0020095C">
        <w:t xml:space="preserve"> project should be </w:t>
      </w:r>
      <w:r w:rsidR="000D7B79" w:rsidRPr="0020095C">
        <w:t xml:space="preserve">carried out </w:t>
      </w:r>
      <w:r w:rsidR="0097518C" w:rsidRPr="0020095C">
        <w:t xml:space="preserve">with </w:t>
      </w:r>
      <w:r w:rsidR="000D7B79" w:rsidRPr="0020095C">
        <w:t xml:space="preserve">the </w:t>
      </w:r>
      <w:r w:rsidR="0097518C" w:rsidRPr="0020095C">
        <w:t xml:space="preserve">full involvement of persons with disabilities and their representative organisations. This should happen both </w:t>
      </w:r>
      <w:r w:rsidR="00A1530C" w:rsidRPr="0020095C">
        <w:t xml:space="preserve">at </w:t>
      </w:r>
      <w:r w:rsidR="0097518C" w:rsidRPr="0020095C">
        <w:t xml:space="preserve">policy level to develop the </w:t>
      </w:r>
      <w:r w:rsidR="00A1530C" w:rsidRPr="0020095C">
        <w:t>c</w:t>
      </w:r>
      <w:r w:rsidR="0097518C" w:rsidRPr="0020095C">
        <w:t>ard</w:t>
      </w:r>
      <w:r w:rsidR="00A1530C" w:rsidRPr="0020095C">
        <w:t xml:space="preserve"> and</w:t>
      </w:r>
      <w:r w:rsidR="0097518C" w:rsidRPr="0020095C">
        <w:t xml:space="preserve"> executive level to implement and distribute </w:t>
      </w:r>
      <w:r w:rsidR="00EC09D8" w:rsidRPr="0020095C">
        <w:t>it</w:t>
      </w:r>
      <w:r w:rsidR="0097518C" w:rsidRPr="0020095C">
        <w:t>, as well as to communicate about it. The Commission should organise yearly</w:t>
      </w:r>
      <w:r w:rsidRPr="0020095C">
        <w:t xml:space="preserve"> exchanges on challenges, </w:t>
      </w:r>
      <w:proofErr w:type="gramStart"/>
      <w:r w:rsidRPr="0020095C">
        <w:t>progress</w:t>
      </w:r>
      <w:proofErr w:type="gramEnd"/>
      <w:r w:rsidRPr="0020095C">
        <w:t xml:space="preserve"> and good practices among Member States, involving </w:t>
      </w:r>
      <w:r w:rsidR="00D27AEB" w:rsidRPr="0020095C">
        <w:t xml:space="preserve">persons with disabilities and </w:t>
      </w:r>
      <w:r w:rsidR="00AB34F7" w:rsidRPr="0020095C">
        <w:t>DPOs</w:t>
      </w:r>
      <w:r w:rsidRPr="0020095C">
        <w:t xml:space="preserve">, to improve the scope and use of the </w:t>
      </w:r>
      <w:r w:rsidR="00A1530C" w:rsidRPr="0020095C">
        <w:t>c</w:t>
      </w:r>
      <w:r w:rsidRPr="0020095C">
        <w:t>ard over time.</w:t>
      </w:r>
    </w:p>
    <w:p w14:paraId="499724F5" w14:textId="77777777" w:rsidR="00073C4B" w:rsidRPr="00D21E69" w:rsidRDefault="00073C4B">
      <w:pPr>
        <w:pStyle w:val="ListParagraph"/>
      </w:pPr>
    </w:p>
    <w:p w14:paraId="2F5E23FB" w14:textId="64E101E8" w:rsidR="00073C4B" w:rsidRPr="00D21E69" w:rsidRDefault="00073C4B">
      <w:pPr>
        <w:numPr>
          <w:ilvl w:val="1"/>
          <w:numId w:val="1"/>
        </w:numPr>
        <w:overflowPunct w:val="0"/>
        <w:autoSpaceDE w:val="0"/>
        <w:autoSpaceDN w:val="0"/>
        <w:adjustRightInd w:val="0"/>
        <w:ind w:left="567" w:hanging="567"/>
        <w:textAlignment w:val="baseline"/>
        <w:outlineLvl w:val="1"/>
      </w:pPr>
      <w:r w:rsidRPr="00D21E69">
        <w:t xml:space="preserve">The implementation of the European Disability Card should include </w:t>
      </w:r>
      <w:r w:rsidR="007D7F57" w:rsidRPr="00D21E69">
        <w:rPr>
          <w:b/>
          <w:bCs/>
        </w:rPr>
        <w:t>a process of data collection</w:t>
      </w:r>
      <w:r w:rsidR="00E13297" w:rsidRPr="00D21E69">
        <w:t xml:space="preserve"> on </w:t>
      </w:r>
      <w:r w:rsidR="00C55EE2" w:rsidRPr="00D21E69">
        <w:t>anonymised</w:t>
      </w:r>
      <w:r w:rsidR="00C44FE1" w:rsidRPr="00D21E69">
        <w:t xml:space="preserve"> information about beneficiaries</w:t>
      </w:r>
      <w:r w:rsidR="007D7F57" w:rsidRPr="00D21E69">
        <w:t xml:space="preserve">, </w:t>
      </w:r>
      <w:r w:rsidR="00C55EE2" w:rsidRPr="00D21E69">
        <w:t>disaggregated</w:t>
      </w:r>
      <w:r w:rsidR="007D7F57" w:rsidRPr="00D21E69">
        <w:t xml:space="preserve"> by </w:t>
      </w:r>
      <w:r w:rsidR="00E13297" w:rsidRPr="00D21E69">
        <w:t>gender</w:t>
      </w:r>
      <w:r w:rsidR="00F32F47" w:rsidRPr="00D21E69">
        <w:t xml:space="preserve"> and age.</w:t>
      </w:r>
    </w:p>
    <w:p w14:paraId="46473796" w14:textId="77777777" w:rsidR="007762A9" w:rsidRPr="00D21E69" w:rsidRDefault="007762A9"/>
    <w:p w14:paraId="346DFAEB" w14:textId="4A0F201D" w:rsidR="002B2E6A" w:rsidRPr="0020095C" w:rsidRDefault="002B2E6A">
      <w:pPr>
        <w:keepNext/>
        <w:numPr>
          <w:ilvl w:val="0"/>
          <w:numId w:val="1"/>
        </w:numPr>
        <w:overflowPunct w:val="0"/>
        <w:autoSpaceDE w:val="0"/>
        <w:autoSpaceDN w:val="0"/>
        <w:adjustRightInd w:val="0"/>
        <w:ind w:left="567" w:hanging="567"/>
        <w:textAlignment w:val="baseline"/>
        <w:outlineLvl w:val="0"/>
        <w:rPr>
          <w:b/>
          <w:bCs/>
          <w:kern w:val="28"/>
        </w:rPr>
      </w:pPr>
      <w:r w:rsidRPr="0020095C">
        <w:rPr>
          <w:b/>
          <w:bCs/>
          <w:kern w:val="28"/>
        </w:rPr>
        <w:t>EU Parking Card</w:t>
      </w:r>
    </w:p>
    <w:p w14:paraId="414FE1BC" w14:textId="77777777" w:rsidR="002B2E6A" w:rsidRPr="0020095C" w:rsidRDefault="002B2E6A">
      <w:pPr>
        <w:keepNext/>
        <w:overflowPunct w:val="0"/>
        <w:autoSpaceDE w:val="0"/>
        <w:autoSpaceDN w:val="0"/>
        <w:adjustRightInd w:val="0"/>
        <w:ind w:left="567"/>
        <w:textAlignment w:val="baseline"/>
        <w:outlineLvl w:val="0"/>
        <w:rPr>
          <w:b/>
          <w:bCs/>
          <w:kern w:val="28"/>
        </w:rPr>
      </w:pPr>
    </w:p>
    <w:p w14:paraId="6AB5DE0F" w14:textId="2224532D" w:rsidR="00883230" w:rsidRPr="00D21E69" w:rsidRDefault="002B2E6A">
      <w:pPr>
        <w:numPr>
          <w:ilvl w:val="1"/>
          <w:numId w:val="1"/>
        </w:numPr>
        <w:overflowPunct w:val="0"/>
        <w:autoSpaceDE w:val="0"/>
        <w:autoSpaceDN w:val="0"/>
        <w:adjustRightInd w:val="0"/>
        <w:ind w:left="567" w:hanging="567"/>
        <w:textAlignment w:val="baseline"/>
        <w:outlineLvl w:val="1"/>
      </w:pPr>
      <w:r w:rsidRPr="00D21E69">
        <w:t>The EESC understand</w:t>
      </w:r>
      <w:r w:rsidR="00011F30" w:rsidRPr="00D21E69">
        <w:t>s</w:t>
      </w:r>
      <w:r w:rsidRPr="00D21E69">
        <w:t xml:space="preserve"> </w:t>
      </w:r>
      <w:r w:rsidR="00660E03" w:rsidRPr="00D21E69">
        <w:t xml:space="preserve">the importance of </w:t>
      </w:r>
      <w:r w:rsidR="00660E03" w:rsidRPr="00D21E69">
        <w:rPr>
          <w:b/>
          <w:bCs/>
        </w:rPr>
        <w:t>updating the legislation harmonising the characteristics and functioning of the EU Parking Card</w:t>
      </w:r>
      <w:r w:rsidR="00660E03" w:rsidRPr="00D21E69">
        <w:t>.</w:t>
      </w:r>
      <w:r w:rsidR="00816009" w:rsidRPr="00D21E69">
        <w:t xml:space="preserve"> The different formats of the card </w:t>
      </w:r>
      <w:r w:rsidR="008F1BD0" w:rsidRPr="00D21E69">
        <w:t xml:space="preserve">implemented at national, </w:t>
      </w:r>
      <w:proofErr w:type="gramStart"/>
      <w:r w:rsidR="006E28E5" w:rsidRPr="00D21E69">
        <w:t>regional</w:t>
      </w:r>
      <w:proofErr w:type="gramEnd"/>
      <w:r w:rsidR="008F1BD0" w:rsidRPr="00D21E69">
        <w:t xml:space="preserve"> or even local leve</w:t>
      </w:r>
      <w:r w:rsidR="00883230" w:rsidRPr="00D21E69">
        <w:t>l</w:t>
      </w:r>
      <w:r w:rsidR="005048D3" w:rsidRPr="00D21E69">
        <w:t xml:space="preserve"> still</w:t>
      </w:r>
      <w:r w:rsidR="00883230" w:rsidRPr="00D21E69">
        <w:t xml:space="preserve"> imply </w:t>
      </w:r>
      <w:r w:rsidR="00C55EE2" w:rsidRPr="00D21E69">
        <w:t>obstacles</w:t>
      </w:r>
      <w:r w:rsidR="005048D3" w:rsidRPr="00D21E69">
        <w:t xml:space="preserve"> and malfun</w:t>
      </w:r>
      <w:r w:rsidR="00B56317" w:rsidRPr="00D21E69">
        <w:t>c</w:t>
      </w:r>
      <w:r w:rsidR="005048D3" w:rsidRPr="00D21E69">
        <w:t>tion</w:t>
      </w:r>
      <w:r w:rsidR="00B56317" w:rsidRPr="00D21E69">
        <w:t>ing</w:t>
      </w:r>
      <w:r w:rsidR="00883230" w:rsidRPr="00D21E69">
        <w:t xml:space="preserve"> for users.</w:t>
      </w:r>
      <w:r w:rsidR="00266562" w:rsidRPr="00D21E69">
        <w:t xml:space="preserve"> Nevertheless, its use is of paramount importance for many persons with disabilities, </w:t>
      </w:r>
      <w:proofErr w:type="gramStart"/>
      <w:r w:rsidR="00266562" w:rsidRPr="00D21E69">
        <w:t>in particular as</w:t>
      </w:r>
      <w:proofErr w:type="gramEnd"/>
      <w:r w:rsidR="00266562" w:rsidRPr="00D21E69">
        <w:t xml:space="preserve"> it is the only solution that allows access to restricted urban areas, given public transport is often no alternative due to lack of accessibility.</w:t>
      </w:r>
    </w:p>
    <w:p w14:paraId="17494886" w14:textId="77777777" w:rsidR="0049136A" w:rsidRPr="00D21E69" w:rsidRDefault="0049136A">
      <w:pPr>
        <w:overflowPunct w:val="0"/>
        <w:autoSpaceDE w:val="0"/>
        <w:autoSpaceDN w:val="0"/>
        <w:adjustRightInd w:val="0"/>
        <w:ind w:left="567"/>
        <w:textAlignment w:val="baseline"/>
        <w:outlineLvl w:val="1"/>
      </w:pPr>
    </w:p>
    <w:p w14:paraId="06E318CA" w14:textId="7137AB7C" w:rsidR="0049136A" w:rsidRPr="00D21E69" w:rsidRDefault="0049136A">
      <w:pPr>
        <w:numPr>
          <w:ilvl w:val="1"/>
          <w:numId w:val="1"/>
        </w:numPr>
        <w:overflowPunct w:val="0"/>
        <w:autoSpaceDE w:val="0"/>
        <w:autoSpaceDN w:val="0"/>
        <w:adjustRightInd w:val="0"/>
        <w:ind w:left="567" w:hanging="567"/>
        <w:textAlignment w:val="baseline"/>
        <w:outlineLvl w:val="1"/>
      </w:pPr>
      <w:r w:rsidRPr="00D21E69">
        <w:t xml:space="preserve">The EESC </w:t>
      </w:r>
      <w:r w:rsidR="00011F30" w:rsidRPr="00D21E69">
        <w:t>b</w:t>
      </w:r>
      <w:r w:rsidR="009857DF" w:rsidRPr="00D21E69">
        <w:t>elieves</w:t>
      </w:r>
      <w:r w:rsidR="00011F30" w:rsidRPr="00D21E69">
        <w:t xml:space="preserve"> </w:t>
      </w:r>
      <w:r w:rsidRPr="00D21E69">
        <w:t xml:space="preserve">the format, characteristics and issuing procedure of the EU Parking Card should be harmonised, in a form which is binding for Member States and clearly communicated to </w:t>
      </w:r>
      <w:r w:rsidR="00011F30" w:rsidRPr="00D21E69">
        <w:t>c</w:t>
      </w:r>
      <w:r w:rsidRPr="00D21E69">
        <w:t xml:space="preserve">ard users. </w:t>
      </w:r>
      <w:r w:rsidR="00FC20DC" w:rsidRPr="00D21E69">
        <w:t>T</w:t>
      </w:r>
      <w:r w:rsidRPr="00D21E69">
        <w:rPr>
          <w:b/>
          <w:bCs/>
        </w:rPr>
        <w:t xml:space="preserve">he controls on fraudulent use of the </w:t>
      </w:r>
      <w:r w:rsidR="00011F30" w:rsidRPr="00D21E69">
        <w:rPr>
          <w:b/>
          <w:bCs/>
        </w:rPr>
        <w:t>c</w:t>
      </w:r>
      <w:r w:rsidRPr="00D21E69">
        <w:rPr>
          <w:b/>
          <w:bCs/>
        </w:rPr>
        <w:t>ard and illegal use of parking spaces</w:t>
      </w:r>
      <w:r w:rsidR="005A45AE" w:rsidRPr="00D21E69">
        <w:rPr>
          <w:b/>
          <w:bCs/>
        </w:rPr>
        <w:t xml:space="preserve"> reserved for persons with disabilities</w:t>
      </w:r>
      <w:r w:rsidRPr="00D21E69">
        <w:rPr>
          <w:b/>
          <w:bCs/>
        </w:rPr>
        <w:t xml:space="preserve"> should be strengthen</w:t>
      </w:r>
      <w:r w:rsidR="00011F30" w:rsidRPr="00D21E69">
        <w:rPr>
          <w:b/>
          <w:bCs/>
        </w:rPr>
        <w:t>ed</w:t>
      </w:r>
      <w:r w:rsidR="00897D7A" w:rsidRPr="00D21E69">
        <w:t xml:space="preserve">, </w:t>
      </w:r>
      <w:r w:rsidR="00011F30" w:rsidRPr="00D21E69">
        <w:t>and</w:t>
      </w:r>
      <w:r w:rsidR="00897D7A" w:rsidRPr="00D21E69">
        <w:t xml:space="preserve"> </w:t>
      </w:r>
      <w:r w:rsidRPr="00D21E69">
        <w:t>harder security</w:t>
      </w:r>
      <w:r w:rsidR="00897D7A" w:rsidRPr="00D21E69">
        <w:t xml:space="preserve"> and anti-counterfeiting measure</w:t>
      </w:r>
      <w:r w:rsidR="00217BD9" w:rsidRPr="00D21E69">
        <w:t>s</w:t>
      </w:r>
      <w:r w:rsidR="00C52484" w:rsidRPr="00D21E69">
        <w:t xml:space="preserve"> </w:t>
      </w:r>
      <w:r w:rsidR="00011F30" w:rsidRPr="00D21E69">
        <w:t xml:space="preserve">should be implemented along </w:t>
      </w:r>
      <w:r w:rsidR="00272A16" w:rsidRPr="00D21E69">
        <w:t xml:space="preserve">with </w:t>
      </w:r>
      <w:r w:rsidR="00C52484" w:rsidRPr="00D21E69">
        <w:t xml:space="preserve">higher and more effective </w:t>
      </w:r>
      <w:r w:rsidR="009F6697" w:rsidRPr="00D21E69">
        <w:t xml:space="preserve">fines against </w:t>
      </w:r>
      <w:r w:rsidR="00713704" w:rsidRPr="00D21E69">
        <w:t>misuse</w:t>
      </w:r>
      <w:r w:rsidR="009F6697" w:rsidRPr="00D21E69">
        <w:t xml:space="preserve"> and forgery. </w:t>
      </w:r>
      <w:r w:rsidR="005A45AE" w:rsidRPr="00D21E69">
        <w:t>The awareness-raising campaign should also</w:t>
      </w:r>
      <w:r w:rsidR="00FC20DC" w:rsidRPr="00D21E69">
        <w:t xml:space="preserve"> be</w:t>
      </w:r>
      <w:r w:rsidR="005A45AE" w:rsidRPr="00D21E69">
        <w:t xml:space="preserve"> aim</w:t>
      </w:r>
      <w:r w:rsidR="00FC20DC" w:rsidRPr="00D21E69">
        <w:t>ed</w:t>
      </w:r>
      <w:r w:rsidR="005A45AE" w:rsidRPr="00D21E69">
        <w:t xml:space="preserve"> at the </w:t>
      </w:r>
      <w:proofErr w:type="gramStart"/>
      <w:r w:rsidR="005A45AE" w:rsidRPr="00D21E69">
        <w:t>general public</w:t>
      </w:r>
      <w:proofErr w:type="gramEnd"/>
      <w:r w:rsidR="005A45AE" w:rsidRPr="00D21E69">
        <w:t xml:space="preserve"> </w:t>
      </w:r>
      <w:r w:rsidR="00FC20DC" w:rsidRPr="00D21E69">
        <w:t>as regards</w:t>
      </w:r>
      <w:r w:rsidR="005A45AE" w:rsidRPr="00D21E69">
        <w:t xml:space="preserve"> tackling the illegal use of reserved parking spaces.</w:t>
      </w:r>
    </w:p>
    <w:p w14:paraId="56730D30" w14:textId="77777777" w:rsidR="009067E0" w:rsidRPr="00D21E69" w:rsidRDefault="009067E0">
      <w:pPr>
        <w:pStyle w:val="ListParagraph"/>
      </w:pPr>
    </w:p>
    <w:p w14:paraId="5EDDF2F3" w14:textId="2789A925" w:rsidR="009067E0" w:rsidRPr="00D21E69" w:rsidRDefault="009067E0">
      <w:pPr>
        <w:numPr>
          <w:ilvl w:val="1"/>
          <w:numId w:val="1"/>
        </w:numPr>
        <w:overflowPunct w:val="0"/>
        <w:autoSpaceDE w:val="0"/>
        <w:autoSpaceDN w:val="0"/>
        <w:adjustRightInd w:val="0"/>
        <w:ind w:left="567" w:hanging="567"/>
        <w:textAlignment w:val="baseline"/>
        <w:outlineLvl w:val="1"/>
      </w:pPr>
      <w:r w:rsidRPr="00D21E69">
        <w:rPr>
          <w:b/>
          <w:bCs/>
        </w:rPr>
        <w:t>The legislation on the EU Parking Card should further harmoni</w:t>
      </w:r>
      <w:r w:rsidR="00011F30" w:rsidRPr="00D21E69">
        <w:rPr>
          <w:b/>
          <w:bCs/>
        </w:rPr>
        <w:t>s</w:t>
      </w:r>
      <w:r w:rsidRPr="00D21E69">
        <w:rPr>
          <w:b/>
          <w:bCs/>
        </w:rPr>
        <w:t>e the rules on eligibility and the issuing procedure</w:t>
      </w:r>
      <w:r w:rsidRPr="00D21E69">
        <w:t xml:space="preserve">, in a form which is binding for Member States and clearly communicated to </w:t>
      </w:r>
      <w:r w:rsidR="00011F30" w:rsidRPr="00D21E69">
        <w:t>c</w:t>
      </w:r>
      <w:r w:rsidRPr="00D21E69">
        <w:t>ard users</w:t>
      </w:r>
      <w:r w:rsidR="00BC74A9" w:rsidRPr="00D21E69">
        <w:t>. It can also f</w:t>
      </w:r>
      <w:r w:rsidRPr="00D21E69">
        <w:t xml:space="preserve">acilitate the exchange of good practices between the national authorities by starting a Commission working group on the subject, allowing ideas to develop </w:t>
      </w:r>
      <w:r w:rsidR="00011F30" w:rsidRPr="00D21E69">
        <w:t>at</w:t>
      </w:r>
      <w:r w:rsidRPr="00D21E69">
        <w:t xml:space="preserve"> EU level</w:t>
      </w:r>
      <w:r w:rsidR="00BC74A9" w:rsidRPr="00D21E69">
        <w:t xml:space="preserve">. </w:t>
      </w:r>
    </w:p>
    <w:p w14:paraId="2A140C07" w14:textId="77777777" w:rsidR="00883230" w:rsidRPr="00D21E69" w:rsidRDefault="00883230">
      <w:pPr>
        <w:overflowPunct w:val="0"/>
        <w:autoSpaceDE w:val="0"/>
        <w:autoSpaceDN w:val="0"/>
        <w:adjustRightInd w:val="0"/>
        <w:ind w:left="567"/>
        <w:textAlignment w:val="baseline"/>
        <w:outlineLvl w:val="1"/>
      </w:pPr>
    </w:p>
    <w:p w14:paraId="29EB1F3A" w14:textId="04D38975" w:rsidR="00CD30EA" w:rsidRPr="00D21E69" w:rsidRDefault="00F53F4C">
      <w:pPr>
        <w:numPr>
          <w:ilvl w:val="1"/>
          <w:numId w:val="1"/>
        </w:numPr>
        <w:overflowPunct w:val="0"/>
        <w:autoSpaceDE w:val="0"/>
        <w:autoSpaceDN w:val="0"/>
        <w:adjustRightInd w:val="0"/>
        <w:ind w:left="567" w:hanging="567"/>
        <w:textAlignment w:val="baseline"/>
        <w:outlineLvl w:val="1"/>
      </w:pPr>
      <w:r w:rsidRPr="00D21E69">
        <w:t xml:space="preserve">The development of the new legislation for the EU Parking Card, together with the proposal for a European Disability Card, must </w:t>
      </w:r>
      <w:proofErr w:type="gramStart"/>
      <w:r w:rsidR="009857DF" w:rsidRPr="00D21E69">
        <w:t>take into account</w:t>
      </w:r>
      <w:proofErr w:type="gramEnd"/>
      <w:r w:rsidRPr="00D21E69">
        <w:t xml:space="preserve"> that </w:t>
      </w:r>
      <w:r w:rsidRPr="00D21E69">
        <w:rPr>
          <w:b/>
          <w:bCs/>
        </w:rPr>
        <w:t xml:space="preserve">both </w:t>
      </w:r>
      <w:r w:rsidR="00756D9E" w:rsidRPr="00D21E69">
        <w:rPr>
          <w:b/>
          <w:bCs/>
        </w:rPr>
        <w:t>c</w:t>
      </w:r>
      <w:r w:rsidRPr="00D21E69">
        <w:rPr>
          <w:b/>
          <w:bCs/>
        </w:rPr>
        <w:t xml:space="preserve">ards </w:t>
      </w:r>
      <w:r w:rsidR="009857DF" w:rsidRPr="00D21E69">
        <w:rPr>
          <w:b/>
          <w:bCs/>
        </w:rPr>
        <w:t xml:space="preserve">must </w:t>
      </w:r>
      <w:r w:rsidRPr="00D21E69">
        <w:rPr>
          <w:b/>
          <w:bCs/>
        </w:rPr>
        <w:t>remain physically separate</w:t>
      </w:r>
      <w:r w:rsidR="009857DF" w:rsidRPr="00D21E69">
        <w:rPr>
          <w:b/>
          <w:bCs/>
        </w:rPr>
        <w:t xml:space="preserve"> </w:t>
      </w:r>
      <w:r w:rsidR="009857DF" w:rsidRPr="00D21E69">
        <w:t>in all cases</w:t>
      </w:r>
      <w:r w:rsidRPr="00D21E69">
        <w:t xml:space="preserve">. Not all persons with disabilities who are potential holders of the </w:t>
      </w:r>
      <w:r w:rsidR="009857DF" w:rsidRPr="00D21E69">
        <w:t>d</w:t>
      </w:r>
      <w:r w:rsidRPr="00D21E69">
        <w:t xml:space="preserve">isability </w:t>
      </w:r>
      <w:r w:rsidR="009857DF" w:rsidRPr="00D21E69">
        <w:t>c</w:t>
      </w:r>
      <w:r w:rsidRPr="00D21E69">
        <w:t xml:space="preserve">ards also drive a vehicle and, for practical reasons, the </w:t>
      </w:r>
      <w:r w:rsidR="009857DF" w:rsidRPr="00D21E69">
        <w:t>p</w:t>
      </w:r>
      <w:r w:rsidRPr="00D21E69">
        <w:t xml:space="preserve">arking </w:t>
      </w:r>
      <w:r w:rsidR="009857DF" w:rsidRPr="00D21E69">
        <w:t>c</w:t>
      </w:r>
      <w:r w:rsidRPr="00D21E69">
        <w:t xml:space="preserve">ard </w:t>
      </w:r>
      <w:proofErr w:type="gramStart"/>
      <w:r w:rsidRPr="00D21E69">
        <w:t>has to</w:t>
      </w:r>
      <w:proofErr w:type="gramEnd"/>
      <w:r w:rsidRPr="00D21E69">
        <w:t xml:space="preserve"> stay in the parked vehicle</w:t>
      </w:r>
      <w:r w:rsidR="009857DF" w:rsidRPr="00D21E69">
        <w:t>,</w:t>
      </w:r>
      <w:r w:rsidRPr="00D21E69">
        <w:t xml:space="preserve"> while the European Disability Card should be carried by the user.</w:t>
      </w:r>
    </w:p>
    <w:p w14:paraId="312350E0" w14:textId="4753569E" w:rsidR="00545065" w:rsidRPr="0020095C" w:rsidRDefault="00545065" w:rsidP="0020095C">
      <w:pPr>
        <w:autoSpaceDE w:val="0"/>
        <w:autoSpaceDN w:val="0"/>
      </w:pPr>
    </w:p>
    <w:p w14:paraId="632EBB1F" w14:textId="1AAA4D14" w:rsidR="00545065" w:rsidRPr="0020095C" w:rsidRDefault="00545065" w:rsidP="0020095C">
      <w:pPr>
        <w:autoSpaceDE w:val="0"/>
        <w:autoSpaceDN w:val="0"/>
      </w:pPr>
    </w:p>
    <w:p w14:paraId="125BB6D5" w14:textId="2000D797" w:rsidR="00545065" w:rsidRPr="0020095C" w:rsidRDefault="00545065" w:rsidP="0020095C">
      <w:pPr>
        <w:autoSpaceDE w:val="0"/>
        <w:autoSpaceDN w:val="0"/>
      </w:pPr>
      <w:r w:rsidRPr="0020095C">
        <w:t>Brussels, 3 April 2023</w:t>
      </w:r>
    </w:p>
    <w:p w14:paraId="5B5B8BF4" w14:textId="755B1B9D" w:rsidR="00545065" w:rsidRPr="0020095C" w:rsidRDefault="00545065" w:rsidP="0020095C">
      <w:pPr>
        <w:autoSpaceDE w:val="0"/>
        <w:autoSpaceDN w:val="0"/>
      </w:pPr>
    </w:p>
    <w:p w14:paraId="433F4BBF" w14:textId="3E7D102F" w:rsidR="00545065" w:rsidRPr="0020095C" w:rsidRDefault="00545065" w:rsidP="0020095C">
      <w:pPr>
        <w:autoSpaceDE w:val="0"/>
        <w:autoSpaceDN w:val="0"/>
      </w:pPr>
    </w:p>
    <w:p w14:paraId="5EE2A241" w14:textId="22C7B6E3" w:rsidR="00545065" w:rsidRPr="0020095C" w:rsidRDefault="00545065" w:rsidP="0020095C">
      <w:pPr>
        <w:autoSpaceDE w:val="0"/>
        <w:autoSpaceDN w:val="0"/>
      </w:pPr>
    </w:p>
    <w:p w14:paraId="109752A6" w14:textId="77777777" w:rsidR="00545065" w:rsidRPr="00D21E69" w:rsidRDefault="00545065" w:rsidP="00545065">
      <w:pPr>
        <w:jc w:val="left"/>
        <w:rPr>
          <w:lang w:eastAsia="pt-PT" w:bidi="pt-PT"/>
        </w:rPr>
      </w:pPr>
      <w:r w:rsidRPr="00D21E69">
        <w:rPr>
          <w:lang w:eastAsia="pt-PT" w:bidi="pt-PT"/>
        </w:rPr>
        <w:t xml:space="preserve">Aurel </w:t>
      </w:r>
      <w:proofErr w:type="spellStart"/>
      <w:r w:rsidRPr="00D21E69">
        <w:rPr>
          <w:lang w:eastAsia="pt-PT" w:bidi="pt-PT"/>
        </w:rPr>
        <w:t>Laurenţiu</w:t>
      </w:r>
      <w:proofErr w:type="spellEnd"/>
      <w:r w:rsidRPr="00D21E69">
        <w:rPr>
          <w:lang w:eastAsia="pt-PT" w:bidi="pt-PT"/>
        </w:rPr>
        <w:t xml:space="preserve"> </w:t>
      </w:r>
      <w:proofErr w:type="spellStart"/>
      <w:r w:rsidRPr="00D21E69">
        <w:rPr>
          <w:lang w:eastAsia="pt-PT" w:bidi="pt-PT"/>
        </w:rPr>
        <w:t>Plosceanu</w:t>
      </w:r>
      <w:proofErr w:type="spellEnd"/>
    </w:p>
    <w:p w14:paraId="184A5385" w14:textId="77777777" w:rsidR="00545065" w:rsidRPr="00D21E69" w:rsidRDefault="00545065" w:rsidP="00545065">
      <w:pPr>
        <w:jc w:val="left"/>
      </w:pPr>
      <w:r w:rsidRPr="00D21E69">
        <w:rPr>
          <w:lang w:eastAsia="pt-PT" w:bidi="pt-PT"/>
        </w:rPr>
        <w:t>The President of the Section for Employment, Social Affairs and Citizenship</w:t>
      </w:r>
    </w:p>
    <w:p w14:paraId="62BFD677" w14:textId="77777777" w:rsidR="00545065" w:rsidRPr="0020095C" w:rsidRDefault="00545065" w:rsidP="0020095C">
      <w:pPr>
        <w:autoSpaceDE w:val="0"/>
        <w:autoSpaceDN w:val="0"/>
      </w:pPr>
    </w:p>
    <w:p w14:paraId="30747D10" w14:textId="71E674FF" w:rsidR="00567BF2" w:rsidRPr="0020095C" w:rsidRDefault="00567BF2">
      <w:pPr>
        <w:autoSpaceDE w:val="0"/>
        <w:autoSpaceDN w:val="0"/>
        <w:jc w:val="center"/>
      </w:pPr>
      <w:r w:rsidRPr="0020095C">
        <w:t>_____________</w:t>
      </w:r>
    </w:p>
    <w:sectPr w:rsidR="00567BF2" w:rsidRPr="0020095C" w:rsidSect="001F2786">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3AA07" w14:textId="77777777" w:rsidR="00B52E36" w:rsidRDefault="00B52E36">
      <w:r>
        <w:separator/>
      </w:r>
    </w:p>
  </w:endnote>
  <w:endnote w:type="continuationSeparator" w:id="0">
    <w:p w14:paraId="6D840473" w14:textId="77777777" w:rsidR="00B52E36" w:rsidRDefault="00B52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56419" w14:textId="77777777" w:rsidR="001F2786" w:rsidRPr="001F2786" w:rsidRDefault="001F2786" w:rsidP="001F27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BE5EE" w14:textId="7A6DAD7C" w:rsidR="00E32DC6" w:rsidRPr="001F2786" w:rsidRDefault="001F2786" w:rsidP="001F2786">
    <w:pPr>
      <w:pStyle w:val="Footer"/>
    </w:pPr>
    <w:r>
      <w:t xml:space="preserve">SOC/765 – EESC-2023-00525-00-00-AS-TRA (EN) </w:t>
    </w:r>
    <w:r>
      <w:fldChar w:fldCharType="begin"/>
    </w:r>
    <w:r>
      <w:instrText xml:space="preserve"> PAGE  \* Arabic  \* MERGEFORMAT </w:instrText>
    </w:r>
    <w:r>
      <w:fldChar w:fldCharType="separate"/>
    </w:r>
    <w:r w:rsidR="00006DDE">
      <w:rPr>
        <w:noProof/>
      </w:rPr>
      <w:t>1</w:t>
    </w:r>
    <w:r>
      <w:fldChar w:fldCharType="end"/>
    </w:r>
    <w:r>
      <w:t>/</w:t>
    </w:r>
    <w:fldSimple w:instr=" NUMPAGES ">
      <w:r w:rsidR="00006DDE">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51FA7" w14:textId="77777777" w:rsidR="001F2786" w:rsidRPr="001F2786" w:rsidRDefault="001F2786" w:rsidP="001F27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3B060" w14:textId="77777777" w:rsidR="005D44EA" w:rsidRPr="001F2786" w:rsidRDefault="005D44EA" w:rsidP="001F278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BAA67" w14:textId="171E839E" w:rsidR="005D44EA" w:rsidRPr="001F2786" w:rsidRDefault="001F2786" w:rsidP="001F2786">
    <w:pPr>
      <w:pStyle w:val="Footer"/>
    </w:pPr>
    <w:r>
      <w:t xml:space="preserve">SOC/765 – EESC-2023-00525-00-00-AS-TRA (EN) </w:t>
    </w:r>
    <w:r>
      <w:fldChar w:fldCharType="begin"/>
    </w:r>
    <w:r>
      <w:instrText xml:space="preserve"> PAGE  \* Arabic  \* MERGEFORMAT </w:instrText>
    </w:r>
    <w:r>
      <w:fldChar w:fldCharType="separate"/>
    </w:r>
    <w:r>
      <w:rPr>
        <w:noProof/>
      </w:rPr>
      <w:t>2</w:t>
    </w:r>
    <w:r>
      <w:fldChar w:fldCharType="end"/>
    </w:r>
    <w:r>
      <w:t>/</w:t>
    </w:r>
    <w:fldSimple w:instr=" NUMPAGES ">
      <w:r>
        <w:rPr>
          <w:noProof/>
        </w:rPr>
        <w:t>9</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8866A" w14:textId="77777777" w:rsidR="005D44EA" w:rsidRPr="001F2786" w:rsidRDefault="005D44EA" w:rsidP="001F27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B24F5" w14:textId="77777777" w:rsidR="00B52E36" w:rsidRDefault="00B52E36">
      <w:r>
        <w:separator/>
      </w:r>
    </w:p>
  </w:footnote>
  <w:footnote w:type="continuationSeparator" w:id="0">
    <w:p w14:paraId="0CF8CF6A" w14:textId="77777777" w:rsidR="00B52E36" w:rsidRDefault="00B52E36">
      <w:r>
        <w:continuationSeparator/>
      </w:r>
    </w:p>
  </w:footnote>
  <w:footnote w:id="1">
    <w:p w14:paraId="7D7D66CD" w14:textId="5724D5F9" w:rsidR="00C82355" w:rsidRPr="002B0256" w:rsidRDefault="00C82355">
      <w:pPr>
        <w:pStyle w:val="FootnoteText"/>
        <w:rPr>
          <w:rStyle w:val="FootnoteReference"/>
        </w:rPr>
      </w:pPr>
      <w:r w:rsidRPr="002B0256">
        <w:rPr>
          <w:rStyle w:val="FootnoteReference"/>
        </w:rPr>
        <w:footnoteRef/>
      </w:r>
      <w:r w:rsidRPr="002B0256">
        <w:rPr>
          <w:rStyle w:val="FootnoteReference"/>
        </w:rPr>
        <w:t xml:space="preserve"> </w:t>
      </w:r>
      <w:r w:rsidR="00191F68" w:rsidRPr="002B0256">
        <w:rPr>
          <w:rStyle w:val="FootnoteReference"/>
        </w:rPr>
        <w:tab/>
      </w:r>
      <w:hyperlink r:id="rId1" w:history="1">
        <w:r w:rsidR="00F96E2B">
          <w:rPr>
            <w:rStyle w:val="Hyperlink"/>
            <w:sz w:val="24"/>
            <w:vertAlign w:val="superscript"/>
          </w:rPr>
          <w:t>OJ L 151, 7.6.2019, p. 70</w:t>
        </w:r>
      </w:hyperlink>
      <w:r w:rsidR="00BA42AE" w:rsidRPr="00501F5B">
        <w:t>.</w:t>
      </w:r>
    </w:p>
  </w:footnote>
  <w:footnote w:id="2">
    <w:p w14:paraId="555D613C" w14:textId="29EB7256" w:rsidR="00EF4C6F" w:rsidRPr="00BD6C42" w:rsidRDefault="00EF4C6F">
      <w:pPr>
        <w:pStyle w:val="FootnoteText"/>
      </w:pPr>
      <w:r>
        <w:rPr>
          <w:rStyle w:val="FootnoteReference"/>
        </w:rPr>
        <w:footnoteRef/>
      </w:r>
      <w:r>
        <w:t xml:space="preserve"> </w:t>
      </w:r>
      <w:r w:rsidRPr="00786ECB">
        <w:tab/>
      </w:r>
      <w:hyperlink r:id="rId2" w:history="1">
        <w:r w:rsidR="00BD6C42" w:rsidRPr="00786ECB">
          <w:rPr>
            <w:rStyle w:val="Hyperlink"/>
          </w:rPr>
          <w:t>OJ L 327, 2.12.2016, p. 1</w:t>
        </w:r>
      </w:hyperlink>
    </w:p>
  </w:footnote>
  <w:footnote w:id="3">
    <w:p w14:paraId="16DC592E" w14:textId="0B26AAEE" w:rsidR="00454613" w:rsidRPr="00BD6C42" w:rsidRDefault="00454613" w:rsidP="00454613">
      <w:pPr>
        <w:pStyle w:val="FootnoteText"/>
      </w:pPr>
      <w:r w:rsidRPr="002B0256">
        <w:rPr>
          <w:rStyle w:val="FootnoteReference"/>
        </w:rPr>
        <w:footnoteRef/>
      </w:r>
      <w:r w:rsidRPr="00BD6C42">
        <w:t xml:space="preserve"> </w:t>
      </w:r>
      <w:r w:rsidRPr="00BD6C42">
        <w:tab/>
      </w:r>
      <w:hyperlink r:id="rId3" w:anchor=":~:text=Regulation%20%28EC%29%20No%201107%2F2006%20of%20the%20European%20Parliament,MT%2C%20NL%2C%20PL%2C%20PT%2C%20SK%2C%20SL%2C%20FI%2C%20SV%29" w:history="1">
        <w:r w:rsidR="00F96E2B" w:rsidRPr="00BD6C42">
          <w:rPr>
            <w:rStyle w:val="Hyperlink"/>
          </w:rPr>
          <w:t>OJ L 204, 26.7.2006, p. 1</w:t>
        </w:r>
      </w:hyperlink>
      <w:r w:rsidRPr="00BD6C42">
        <w:t xml:space="preserve">; </w:t>
      </w:r>
      <w:hyperlink r:id="rId4" w:anchor=":~:text=Regulation%20%28EC%29%20No%20261%2F2004%20of%20the%20European%20Parliament,of%20flights%2C%20and%20repealing%20Regulation%20%28EEC%29%20No%20295%2F91" w:history="1">
        <w:r w:rsidR="00F96E2B" w:rsidRPr="00BD6C42">
          <w:rPr>
            <w:rStyle w:val="Hyperlink"/>
          </w:rPr>
          <w:t>OJ L 46, 17.2.2004, p. 1</w:t>
        </w:r>
      </w:hyperlink>
      <w:r w:rsidRPr="00BD6C42">
        <w:t xml:space="preserve">; </w:t>
      </w:r>
      <w:hyperlink r:id="rId5" w:anchor=":~:text=Regulation%20%28EU%29%20No%201177%2F2010%20of%20the%20European%20Parliament,Regulation%20%28EC%29%20No%202006%2F2004%20Text%20with%20EEA%20relevance" w:history="1"/>
      <w:hyperlink r:id="rId6" w:anchor=":~:text=Regulation%20%28EU%29%20No%201177%2F2010%20of%20the%20European%20Parliament,Regulation%20%28EC%29%20No%202006%2F2004%20Text%20with%20EEA%20relevance" w:history="1">
        <w:r w:rsidR="00F96E2B" w:rsidRPr="00BD6C42">
          <w:rPr>
            <w:rStyle w:val="Hyperlink"/>
          </w:rPr>
          <w:t>OJ L 334, 17.12.2010, p. 1</w:t>
        </w:r>
      </w:hyperlink>
      <w:r w:rsidRPr="00BD6C42">
        <w:t xml:space="preserve">; </w:t>
      </w:r>
      <w:hyperlink r:id="rId7" w:history="1">
        <w:r w:rsidR="00F96E2B" w:rsidRPr="00BD6C42">
          <w:rPr>
            <w:rStyle w:val="Hyperlink"/>
          </w:rPr>
          <w:t>OJ L 123, 17.5.2003, p. 18</w:t>
        </w:r>
      </w:hyperlink>
      <w:r w:rsidR="003F5BEF" w:rsidRPr="00BD6C42">
        <w:t xml:space="preserve">; </w:t>
      </w:r>
      <w:hyperlink r:id="rId8" w:history="1">
        <w:r w:rsidR="00F96E2B" w:rsidRPr="00BD6C42">
          <w:rPr>
            <w:rStyle w:val="Hyperlink"/>
          </w:rPr>
          <w:t>OJ L 315, 3.12.2007, p. 14</w:t>
        </w:r>
      </w:hyperlink>
      <w:r w:rsidRPr="00BD6C42">
        <w:t xml:space="preserve">; </w:t>
      </w:r>
      <w:hyperlink r:id="rId9" w:history="1">
        <w:r w:rsidR="00F96E2B" w:rsidRPr="00BD6C42">
          <w:rPr>
            <w:rStyle w:val="Hyperlink"/>
          </w:rPr>
          <w:t>OJ L 356, 12.12.2014, p. 110</w:t>
        </w:r>
      </w:hyperlink>
      <w:r w:rsidRPr="00BD6C42">
        <w:t xml:space="preserve">; </w:t>
      </w:r>
      <w:hyperlink r:id="rId10" w:history="1">
        <w:r w:rsidR="00F96E2B" w:rsidRPr="00BD6C42">
          <w:rPr>
            <w:rStyle w:val="Hyperlink"/>
          </w:rPr>
          <w:t>OJ L 55, 28.2.2011, p. 1</w:t>
        </w:r>
      </w:hyperlink>
      <w:r w:rsidRPr="00BD6C42">
        <w:t xml:space="preserve">; </w:t>
      </w:r>
      <w:hyperlink r:id="rId11" w:history="1">
        <w:r w:rsidR="00F96E2B" w:rsidRPr="00BD6C42">
          <w:rPr>
            <w:rStyle w:val="Hyperlink"/>
          </w:rPr>
          <w:t>OJ L 42, 13.2.2002, p. 1</w:t>
        </w:r>
      </w:hyperlink>
      <w:r w:rsidR="00BA42AE" w:rsidRPr="00BD6C42">
        <w:t>.</w:t>
      </w:r>
    </w:p>
  </w:footnote>
  <w:footnote w:id="4">
    <w:p w14:paraId="3D012996" w14:textId="724D1F44" w:rsidR="00AA1637" w:rsidRPr="00C404BB" w:rsidRDefault="00AA1637" w:rsidP="00AA1637">
      <w:pPr>
        <w:pStyle w:val="FootnoteText"/>
        <w:rPr>
          <w:lang w:val="fr-BE"/>
        </w:rPr>
      </w:pPr>
      <w:r w:rsidRPr="002B0256">
        <w:rPr>
          <w:rStyle w:val="FootnoteReference"/>
        </w:rPr>
        <w:footnoteRef/>
      </w:r>
      <w:r w:rsidRPr="00786ECB">
        <w:rPr>
          <w:lang w:val="fr-BE"/>
        </w:rPr>
        <w:t xml:space="preserve"> </w:t>
      </w:r>
      <w:r w:rsidRPr="00786ECB">
        <w:rPr>
          <w:lang w:val="fr-BE"/>
        </w:rPr>
        <w:tab/>
      </w:r>
      <w:hyperlink r:id="rId12" w:history="1">
        <w:r w:rsidR="00F96E2B" w:rsidRPr="00786ECB">
          <w:rPr>
            <w:rStyle w:val="Hyperlink"/>
            <w:lang w:val="fr-BE"/>
          </w:rPr>
          <w:t>OJ L 119, 4.5.2016, p. 1</w:t>
        </w:r>
      </w:hyperlink>
      <w:r w:rsidR="00EB1CD6" w:rsidRPr="00C404BB">
        <w:rPr>
          <w:lang w:val="fr-BE"/>
        </w:rPr>
        <w:t>.</w:t>
      </w:r>
    </w:p>
  </w:footnote>
  <w:footnote w:id="5">
    <w:p w14:paraId="488FDAA1" w14:textId="4DC74B77" w:rsidR="007B2B87" w:rsidRPr="00C404BB" w:rsidRDefault="007B2B87" w:rsidP="007B2B87">
      <w:pPr>
        <w:pStyle w:val="FootnoteText"/>
        <w:rPr>
          <w:lang w:val="fr-BE"/>
        </w:rPr>
      </w:pPr>
      <w:r w:rsidRPr="002B0256">
        <w:rPr>
          <w:rStyle w:val="FootnoteReference"/>
        </w:rPr>
        <w:footnoteRef/>
      </w:r>
      <w:r w:rsidRPr="00C404BB">
        <w:rPr>
          <w:lang w:val="fr-BE"/>
        </w:rPr>
        <w:t xml:space="preserve"> </w:t>
      </w:r>
      <w:r w:rsidRPr="00C404BB">
        <w:rPr>
          <w:lang w:val="fr-BE"/>
        </w:rPr>
        <w:tab/>
      </w:r>
      <w:hyperlink r:id="rId13" w:history="1">
        <w:r w:rsidR="000850A0" w:rsidRPr="00C404BB">
          <w:rPr>
            <w:rStyle w:val="Hyperlink"/>
            <w:lang w:val="fr-BE"/>
          </w:rPr>
          <w:t xml:space="preserve">OJ C 115, </w:t>
        </w:r>
        <w:r w:rsidR="004B44F6" w:rsidRPr="00C404BB">
          <w:rPr>
            <w:rStyle w:val="Hyperlink"/>
            <w:lang w:val="fr-BE"/>
          </w:rPr>
          <w:t>9</w:t>
        </w:r>
        <w:r w:rsidR="000850A0" w:rsidRPr="00C404BB">
          <w:rPr>
            <w:rStyle w:val="Hyperlink"/>
            <w:lang w:val="fr-BE"/>
          </w:rPr>
          <w:t>.5.2008, p. 47</w:t>
        </w:r>
      </w:hyperlink>
      <w:r w:rsidR="000850A0" w:rsidRPr="00C404BB">
        <w:rPr>
          <w:lang w:val="fr-BE"/>
        </w:rPr>
        <w:t xml:space="preserve"> </w:t>
      </w:r>
      <w:r w:rsidRPr="00C404BB">
        <w:rPr>
          <w:lang w:val="fr-BE"/>
        </w:rPr>
        <w:t>Article 20, 2. a)</w:t>
      </w:r>
      <w:r w:rsidR="00EB1CD6" w:rsidRPr="00C404BB">
        <w:rPr>
          <w:lang w:val="fr-BE"/>
        </w:rPr>
        <w:t>.</w:t>
      </w:r>
    </w:p>
  </w:footnote>
  <w:footnote w:id="6">
    <w:p w14:paraId="51C332FF" w14:textId="77777777" w:rsidR="007B2B87" w:rsidRPr="002B0256" w:rsidRDefault="007B2B87" w:rsidP="007B2B87">
      <w:pPr>
        <w:pStyle w:val="FootnoteText"/>
      </w:pPr>
      <w:r w:rsidRPr="002B0256">
        <w:rPr>
          <w:rStyle w:val="FootnoteReference"/>
        </w:rPr>
        <w:footnoteRef/>
      </w:r>
      <w:r w:rsidRPr="002B0256">
        <w:t xml:space="preserve"> </w:t>
      </w:r>
      <w:r w:rsidRPr="002B0256">
        <w:tab/>
        <w:t>United Nations. (2006). Convention on the Rights of Persons with Disabilities. Treaty Series, 2515, 3.</w:t>
      </w:r>
    </w:p>
  </w:footnote>
  <w:footnote w:id="7">
    <w:p w14:paraId="1BF14D82" w14:textId="46C3000C" w:rsidR="00FF60A6" w:rsidRPr="00FF60A6" w:rsidRDefault="00FF60A6">
      <w:pPr>
        <w:pStyle w:val="FootnoteText"/>
      </w:pPr>
      <w:r>
        <w:rPr>
          <w:rStyle w:val="FootnoteReference"/>
        </w:rPr>
        <w:footnoteRef/>
      </w:r>
      <w:r>
        <w:t xml:space="preserve"> </w:t>
      </w:r>
      <w:r>
        <w:tab/>
      </w:r>
      <w:r w:rsidRPr="007F4E4E">
        <w:rPr>
          <w:szCs w:val="16"/>
        </w:rPr>
        <w:t xml:space="preserve">European Commission. 2021. Study assessing the implementation of the pilot action on the EU Disability Card and associated benefits. Final Report </w:t>
      </w:r>
      <w:hyperlink r:id="rId14" w:history="1">
        <w:r w:rsidRPr="007F4E4E">
          <w:rPr>
            <w:rStyle w:val="Hyperlink"/>
            <w:szCs w:val="16"/>
          </w:rPr>
          <w:t>https://ec.europa.eu/social/main.jsp?catId=738&amp;langId=en&amp;pubId=8407&amp;furtherPubs=yes</w:t>
        </w:r>
      </w:hyperlink>
    </w:p>
  </w:footnote>
  <w:footnote w:id="8">
    <w:p w14:paraId="78CA8FF2" w14:textId="2CCA917C" w:rsidR="00A84FF1" w:rsidRPr="002B0256" w:rsidRDefault="00A84FF1">
      <w:pPr>
        <w:pStyle w:val="FootnoteText"/>
      </w:pPr>
      <w:r w:rsidRPr="002B0256">
        <w:rPr>
          <w:rStyle w:val="FootnoteReference"/>
        </w:rPr>
        <w:footnoteRef/>
      </w:r>
      <w:r w:rsidRPr="002B0256">
        <w:t xml:space="preserve"> </w:t>
      </w:r>
      <w:r w:rsidRPr="002B0256">
        <w:tab/>
      </w:r>
      <w:hyperlink r:id="rId15" w:anchor=":~:text=Regulation%20%28EU%29%202016%2F679%20of%20the%20European%20Parliament%20and,%28General%20Data%20Protection%20Regulation%29%20%28Text%20with%20EEA%20relevance%29" w:history="1">
        <w:r w:rsidR="00F96E2B">
          <w:rPr>
            <w:rStyle w:val="Hyperlink"/>
          </w:rPr>
          <w:t>OJ L 119, 4.5.2016, p. 1</w:t>
        </w:r>
      </w:hyperlink>
      <w:r w:rsidR="00270124" w:rsidRPr="00C404BB">
        <w:t>.</w:t>
      </w:r>
    </w:p>
  </w:footnote>
  <w:footnote w:id="9">
    <w:p w14:paraId="00485EB4" w14:textId="11ED2316" w:rsidR="00EF00FE" w:rsidRPr="002B0256" w:rsidRDefault="00EF00FE" w:rsidP="00EF00FE">
      <w:pPr>
        <w:pStyle w:val="FootnoteText"/>
      </w:pPr>
      <w:r w:rsidRPr="002B0256">
        <w:rPr>
          <w:rStyle w:val="FootnoteReference"/>
        </w:rPr>
        <w:footnoteRef/>
      </w:r>
      <w:r w:rsidRPr="002B0256">
        <w:t xml:space="preserve"> </w:t>
      </w:r>
      <w:r w:rsidRPr="002B0256">
        <w:tab/>
        <w:t>European Parliament</w:t>
      </w:r>
      <w:r w:rsidR="00270124">
        <w:t>,</w:t>
      </w:r>
      <w:r w:rsidRPr="002B0256">
        <w:t xml:space="preserve"> </w:t>
      </w:r>
      <w:r w:rsidRPr="00E55B28">
        <w:rPr>
          <w:i/>
          <w:iCs/>
        </w:rPr>
        <w:t>Disability assessment, mutual recognition and the EU Disability Card. Progress and opportunities</w:t>
      </w:r>
      <w:r w:rsidRPr="002B0256">
        <w:t>. Policy Department for Citizens</w:t>
      </w:r>
      <w:r w:rsidR="00270124">
        <w:t>'</w:t>
      </w:r>
      <w:r w:rsidRPr="002B0256">
        <w:t xml:space="preserve"> Rights and Constitutional Affairs Directorate-General for Internal Policies PE 739.397 - November 2022.</w:t>
      </w:r>
    </w:p>
  </w:footnote>
  <w:footnote w:id="10">
    <w:p w14:paraId="0193DF6E" w14:textId="05966D40" w:rsidR="000457E2" w:rsidRPr="002B0256" w:rsidRDefault="000457E2">
      <w:pPr>
        <w:pStyle w:val="FootnoteText"/>
      </w:pPr>
      <w:r w:rsidRPr="002B0256">
        <w:rPr>
          <w:rStyle w:val="FootnoteReference"/>
        </w:rPr>
        <w:footnoteRef/>
      </w:r>
      <w:r w:rsidRPr="002B0256">
        <w:t xml:space="preserve"> </w:t>
      </w:r>
      <w:r w:rsidRPr="002B0256">
        <w:tab/>
        <w:t>Web Content Accessibility Guidelines (WCAG) 2.0</w:t>
      </w:r>
      <w:r w:rsidR="00E230DE" w:rsidRPr="002B0256">
        <w:t xml:space="preserve"> </w:t>
      </w:r>
      <w:hyperlink r:id="rId16" w:history="1">
        <w:r w:rsidR="00E230DE" w:rsidRPr="002B0256">
          <w:rPr>
            <w:rStyle w:val="Hyperlink"/>
          </w:rPr>
          <w:t>http://www.w3.org/TR/WCAG20/</w:t>
        </w:r>
      </w:hyperlink>
      <w:r w:rsidR="004D2538" w:rsidRPr="00C404BB">
        <w:t>.</w:t>
      </w:r>
      <w:r w:rsidR="00E230DE" w:rsidRPr="002B0256">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9E258" w14:textId="77777777" w:rsidR="001F2786" w:rsidRPr="001F2786" w:rsidRDefault="001F2786" w:rsidP="001F27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E8CBA" w14:textId="7545DA28" w:rsidR="001F2786" w:rsidRPr="001F2786" w:rsidRDefault="001F2786" w:rsidP="001F27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11B30" w14:textId="77777777" w:rsidR="001F2786" w:rsidRPr="001F2786" w:rsidRDefault="001F2786" w:rsidP="001F27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8AEF4" w14:textId="77777777" w:rsidR="005D44EA" w:rsidRPr="001F2786" w:rsidRDefault="005D44EA" w:rsidP="001F278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5E48D" w14:textId="0F4565C5" w:rsidR="005D44EA" w:rsidRPr="001F2786" w:rsidRDefault="005D44EA" w:rsidP="001F278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12E0F" w14:textId="77777777" w:rsidR="005D44EA" w:rsidRPr="001F2786" w:rsidRDefault="005D44EA" w:rsidP="001F27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14AA39E"/>
    <w:lvl w:ilvl="0">
      <w:start w:val="1"/>
      <w:numFmt w:val="decimal"/>
      <w:pStyle w:val="Heading1"/>
      <w:lvlText w:val="%1."/>
      <w:legacy w:legacy="1" w:legacySpace="0" w:legacyIndent="0"/>
      <w:lvlJc w:val="left"/>
      <w:rPr>
        <w:b w:val="0"/>
        <w:bCs/>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16cid:durableId="51592088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F8F"/>
    <w:rsid w:val="00002944"/>
    <w:rsid w:val="00002C90"/>
    <w:rsid w:val="00005AB9"/>
    <w:rsid w:val="00005EB9"/>
    <w:rsid w:val="00006DDE"/>
    <w:rsid w:val="00006E24"/>
    <w:rsid w:val="00007A40"/>
    <w:rsid w:val="00011D33"/>
    <w:rsid w:val="00011F30"/>
    <w:rsid w:val="00013D54"/>
    <w:rsid w:val="00020E6E"/>
    <w:rsid w:val="00023A6D"/>
    <w:rsid w:val="000244AC"/>
    <w:rsid w:val="00030332"/>
    <w:rsid w:val="00031A4B"/>
    <w:rsid w:val="00033913"/>
    <w:rsid w:val="00033E5B"/>
    <w:rsid w:val="000357A8"/>
    <w:rsid w:val="000402A0"/>
    <w:rsid w:val="000430A6"/>
    <w:rsid w:val="00044923"/>
    <w:rsid w:val="000457E2"/>
    <w:rsid w:val="0005249C"/>
    <w:rsid w:val="000534A5"/>
    <w:rsid w:val="0005680D"/>
    <w:rsid w:val="0005759E"/>
    <w:rsid w:val="00062CE9"/>
    <w:rsid w:val="00063FB4"/>
    <w:rsid w:val="00065573"/>
    <w:rsid w:val="0006793E"/>
    <w:rsid w:val="00071D42"/>
    <w:rsid w:val="00072E0F"/>
    <w:rsid w:val="000735E5"/>
    <w:rsid w:val="0007360B"/>
    <w:rsid w:val="0007392F"/>
    <w:rsid w:val="00073C4B"/>
    <w:rsid w:val="00073F06"/>
    <w:rsid w:val="0007504F"/>
    <w:rsid w:val="000850A0"/>
    <w:rsid w:val="00087B39"/>
    <w:rsid w:val="00093E88"/>
    <w:rsid w:val="00096502"/>
    <w:rsid w:val="000A1D79"/>
    <w:rsid w:val="000A4315"/>
    <w:rsid w:val="000A49BB"/>
    <w:rsid w:val="000B0431"/>
    <w:rsid w:val="000B0538"/>
    <w:rsid w:val="000B35F5"/>
    <w:rsid w:val="000B3B35"/>
    <w:rsid w:val="000C28B3"/>
    <w:rsid w:val="000C3441"/>
    <w:rsid w:val="000C616A"/>
    <w:rsid w:val="000C7F53"/>
    <w:rsid w:val="000D09A9"/>
    <w:rsid w:val="000D2F8E"/>
    <w:rsid w:val="000D3712"/>
    <w:rsid w:val="000D7B79"/>
    <w:rsid w:val="000E1E31"/>
    <w:rsid w:val="000E1F92"/>
    <w:rsid w:val="000E2600"/>
    <w:rsid w:val="000E65C5"/>
    <w:rsid w:val="000E6EC8"/>
    <w:rsid w:val="000F196B"/>
    <w:rsid w:val="000F35DB"/>
    <w:rsid w:val="001009E0"/>
    <w:rsid w:val="00104032"/>
    <w:rsid w:val="00105361"/>
    <w:rsid w:val="00107339"/>
    <w:rsid w:val="001101F8"/>
    <w:rsid w:val="0011206F"/>
    <w:rsid w:val="0011656A"/>
    <w:rsid w:val="00120EE1"/>
    <w:rsid w:val="001216E7"/>
    <w:rsid w:val="0012220C"/>
    <w:rsid w:val="00123726"/>
    <w:rsid w:val="0012412B"/>
    <w:rsid w:val="00135B76"/>
    <w:rsid w:val="00136EA3"/>
    <w:rsid w:val="00137575"/>
    <w:rsid w:val="00144231"/>
    <w:rsid w:val="00150434"/>
    <w:rsid w:val="0015411E"/>
    <w:rsid w:val="00155721"/>
    <w:rsid w:val="0015678B"/>
    <w:rsid w:val="00156E1E"/>
    <w:rsid w:val="00160CF6"/>
    <w:rsid w:val="001615FA"/>
    <w:rsid w:val="0016503F"/>
    <w:rsid w:val="0016674F"/>
    <w:rsid w:val="00167CA0"/>
    <w:rsid w:val="00170DF7"/>
    <w:rsid w:val="00171024"/>
    <w:rsid w:val="0017120D"/>
    <w:rsid w:val="001714F6"/>
    <w:rsid w:val="001735C0"/>
    <w:rsid w:val="001742D1"/>
    <w:rsid w:val="00176168"/>
    <w:rsid w:val="001768B9"/>
    <w:rsid w:val="00177158"/>
    <w:rsid w:val="001808A5"/>
    <w:rsid w:val="001843AD"/>
    <w:rsid w:val="00184AB2"/>
    <w:rsid w:val="00184FD4"/>
    <w:rsid w:val="00185EB5"/>
    <w:rsid w:val="00186B04"/>
    <w:rsid w:val="00186F1E"/>
    <w:rsid w:val="00190836"/>
    <w:rsid w:val="00191F68"/>
    <w:rsid w:val="00193930"/>
    <w:rsid w:val="00193B28"/>
    <w:rsid w:val="001949F7"/>
    <w:rsid w:val="001963A5"/>
    <w:rsid w:val="00196F1E"/>
    <w:rsid w:val="00197FCA"/>
    <w:rsid w:val="001A278E"/>
    <w:rsid w:val="001A27DB"/>
    <w:rsid w:val="001A56CC"/>
    <w:rsid w:val="001A5F64"/>
    <w:rsid w:val="001A6852"/>
    <w:rsid w:val="001B0A6F"/>
    <w:rsid w:val="001B286A"/>
    <w:rsid w:val="001B2D02"/>
    <w:rsid w:val="001B3647"/>
    <w:rsid w:val="001B5124"/>
    <w:rsid w:val="001B77FA"/>
    <w:rsid w:val="001C0ABE"/>
    <w:rsid w:val="001C0F9B"/>
    <w:rsid w:val="001C5852"/>
    <w:rsid w:val="001D250A"/>
    <w:rsid w:val="001D45F0"/>
    <w:rsid w:val="001E464D"/>
    <w:rsid w:val="001E4A33"/>
    <w:rsid w:val="001E5C27"/>
    <w:rsid w:val="001F2786"/>
    <w:rsid w:val="001F3EA1"/>
    <w:rsid w:val="001F602B"/>
    <w:rsid w:val="001F6AC8"/>
    <w:rsid w:val="0020095C"/>
    <w:rsid w:val="00202587"/>
    <w:rsid w:val="002035BE"/>
    <w:rsid w:val="002037D5"/>
    <w:rsid w:val="00204DD8"/>
    <w:rsid w:val="002062C2"/>
    <w:rsid w:val="00206F90"/>
    <w:rsid w:val="00210E98"/>
    <w:rsid w:val="00212B03"/>
    <w:rsid w:val="002131AE"/>
    <w:rsid w:val="00215C10"/>
    <w:rsid w:val="00215C2D"/>
    <w:rsid w:val="00217BD9"/>
    <w:rsid w:val="002224BE"/>
    <w:rsid w:val="00223CF3"/>
    <w:rsid w:val="002247E6"/>
    <w:rsid w:val="002252C4"/>
    <w:rsid w:val="0023183E"/>
    <w:rsid w:val="00232C4F"/>
    <w:rsid w:val="0023423A"/>
    <w:rsid w:val="00235138"/>
    <w:rsid w:val="00235777"/>
    <w:rsid w:val="00240622"/>
    <w:rsid w:val="00240B8A"/>
    <w:rsid w:val="00242F9F"/>
    <w:rsid w:val="00243E36"/>
    <w:rsid w:val="00243EEB"/>
    <w:rsid w:val="00244158"/>
    <w:rsid w:val="00244BBA"/>
    <w:rsid w:val="0024540B"/>
    <w:rsid w:val="00245EF4"/>
    <w:rsid w:val="00247258"/>
    <w:rsid w:val="00250650"/>
    <w:rsid w:val="00250E11"/>
    <w:rsid w:val="00251383"/>
    <w:rsid w:val="00251FCA"/>
    <w:rsid w:val="002522C9"/>
    <w:rsid w:val="0025274F"/>
    <w:rsid w:val="00252A21"/>
    <w:rsid w:val="00252DB4"/>
    <w:rsid w:val="00253E4F"/>
    <w:rsid w:val="002542E4"/>
    <w:rsid w:val="00261053"/>
    <w:rsid w:val="00261145"/>
    <w:rsid w:val="00261D66"/>
    <w:rsid w:val="00262FDE"/>
    <w:rsid w:val="00263629"/>
    <w:rsid w:val="002654F2"/>
    <w:rsid w:val="00266562"/>
    <w:rsid w:val="002666C2"/>
    <w:rsid w:val="002670A9"/>
    <w:rsid w:val="002671CC"/>
    <w:rsid w:val="002672A1"/>
    <w:rsid w:val="00270124"/>
    <w:rsid w:val="00271B1D"/>
    <w:rsid w:val="00271D5D"/>
    <w:rsid w:val="0027264C"/>
    <w:rsid w:val="00272A16"/>
    <w:rsid w:val="00273258"/>
    <w:rsid w:val="002769BD"/>
    <w:rsid w:val="00276A75"/>
    <w:rsid w:val="002779F3"/>
    <w:rsid w:val="002809EA"/>
    <w:rsid w:val="00281D50"/>
    <w:rsid w:val="002831CE"/>
    <w:rsid w:val="00284962"/>
    <w:rsid w:val="00287A96"/>
    <w:rsid w:val="00287B0E"/>
    <w:rsid w:val="002A0B53"/>
    <w:rsid w:val="002A0EEF"/>
    <w:rsid w:val="002A324A"/>
    <w:rsid w:val="002A4A07"/>
    <w:rsid w:val="002A76F9"/>
    <w:rsid w:val="002B0256"/>
    <w:rsid w:val="002B2DF7"/>
    <w:rsid w:val="002B2E6A"/>
    <w:rsid w:val="002B5DD8"/>
    <w:rsid w:val="002C0221"/>
    <w:rsid w:val="002C1DB1"/>
    <w:rsid w:val="002C3BF4"/>
    <w:rsid w:val="002C749F"/>
    <w:rsid w:val="002D0742"/>
    <w:rsid w:val="002D61FE"/>
    <w:rsid w:val="002E18A5"/>
    <w:rsid w:val="002E21EE"/>
    <w:rsid w:val="002E61E2"/>
    <w:rsid w:val="002E7B33"/>
    <w:rsid w:val="002F0191"/>
    <w:rsid w:val="002F0254"/>
    <w:rsid w:val="002F059B"/>
    <w:rsid w:val="002F1415"/>
    <w:rsid w:val="002F2641"/>
    <w:rsid w:val="002F5B0B"/>
    <w:rsid w:val="00300924"/>
    <w:rsid w:val="0030277F"/>
    <w:rsid w:val="0030596E"/>
    <w:rsid w:val="003066FB"/>
    <w:rsid w:val="003073C3"/>
    <w:rsid w:val="00310A6A"/>
    <w:rsid w:val="00323637"/>
    <w:rsid w:val="00324E8A"/>
    <w:rsid w:val="00331D87"/>
    <w:rsid w:val="00332850"/>
    <w:rsid w:val="00334478"/>
    <w:rsid w:val="003346B4"/>
    <w:rsid w:val="00334AE6"/>
    <w:rsid w:val="003365D0"/>
    <w:rsid w:val="00343032"/>
    <w:rsid w:val="003439AB"/>
    <w:rsid w:val="00345CDE"/>
    <w:rsid w:val="0035034C"/>
    <w:rsid w:val="00354695"/>
    <w:rsid w:val="0035502E"/>
    <w:rsid w:val="0035549B"/>
    <w:rsid w:val="00363C4F"/>
    <w:rsid w:val="00363CD0"/>
    <w:rsid w:val="00365825"/>
    <w:rsid w:val="00365CAC"/>
    <w:rsid w:val="00366221"/>
    <w:rsid w:val="00370236"/>
    <w:rsid w:val="003750D5"/>
    <w:rsid w:val="003755C8"/>
    <w:rsid w:val="00375687"/>
    <w:rsid w:val="00377D36"/>
    <w:rsid w:val="00380AE0"/>
    <w:rsid w:val="00383324"/>
    <w:rsid w:val="00384831"/>
    <w:rsid w:val="00384FC9"/>
    <w:rsid w:val="00387A75"/>
    <w:rsid w:val="003904FD"/>
    <w:rsid w:val="00394254"/>
    <w:rsid w:val="003952F0"/>
    <w:rsid w:val="003A1367"/>
    <w:rsid w:val="003A1571"/>
    <w:rsid w:val="003A162C"/>
    <w:rsid w:val="003B1835"/>
    <w:rsid w:val="003B414B"/>
    <w:rsid w:val="003C0738"/>
    <w:rsid w:val="003C2BFB"/>
    <w:rsid w:val="003C436B"/>
    <w:rsid w:val="003C5337"/>
    <w:rsid w:val="003C5EEC"/>
    <w:rsid w:val="003C5F92"/>
    <w:rsid w:val="003C61C3"/>
    <w:rsid w:val="003D7A8C"/>
    <w:rsid w:val="003D7C00"/>
    <w:rsid w:val="003E56E5"/>
    <w:rsid w:val="003E7E60"/>
    <w:rsid w:val="003F00D4"/>
    <w:rsid w:val="003F1DAD"/>
    <w:rsid w:val="003F2209"/>
    <w:rsid w:val="003F3D39"/>
    <w:rsid w:val="003F5BEF"/>
    <w:rsid w:val="003F646A"/>
    <w:rsid w:val="003F6761"/>
    <w:rsid w:val="003F6A0A"/>
    <w:rsid w:val="003F6D07"/>
    <w:rsid w:val="003F6F84"/>
    <w:rsid w:val="004024F5"/>
    <w:rsid w:val="00402DE1"/>
    <w:rsid w:val="00403D8B"/>
    <w:rsid w:val="004058F1"/>
    <w:rsid w:val="00407E7D"/>
    <w:rsid w:val="00412789"/>
    <w:rsid w:val="0041283D"/>
    <w:rsid w:val="00413AB4"/>
    <w:rsid w:val="004161DB"/>
    <w:rsid w:val="00421373"/>
    <w:rsid w:val="004215E9"/>
    <w:rsid w:val="00421FB7"/>
    <w:rsid w:val="0042763B"/>
    <w:rsid w:val="00427FC1"/>
    <w:rsid w:val="0043024C"/>
    <w:rsid w:val="00433AEA"/>
    <w:rsid w:val="00433C87"/>
    <w:rsid w:val="00436706"/>
    <w:rsid w:val="004374A7"/>
    <w:rsid w:val="00441666"/>
    <w:rsid w:val="00441AF7"/>
    <w:rsid w:val="00443D38"/>
    <w:rsid w:val="0044594D"/>
    <w:rsid w:val="00450E7A"/>
    <w:rsid w:val="00453BB4"/>
    <w:rsid w:val="00454613"/>
    <w:rsid w:val="00456AF8"/>
    <w:rsid w:val="0046225B"/>
    <w:rsid w:val="00462AAD"/>
    <w:rsid w:val="00462B50"/>
    <w:rsid w:val="00463FD8"/>
    <w:rsid w:val="00464ACB"/>
    <w:rsid w:val="00470B15"/>
    <w:rsid w:val="0047268D"/>
    <w:rsid w:val="00475869"/>
    <w:rsid w:val="00475A77"/>
    <w:rsid w:val="00476FE0"/>
    <w:rsid w:val="00480D00"/>
    <w:rsid w:val="00480F24"/>
    <w:rsid w:val="004866A9"/>
    <w:rsid w:val="0048754F"/>
    <w:rsid w:val="00487B21"/>
    <w:rsid w:val="0049136A"/>
    <w:rsid w:val="00491941"/>
    <w:rsid w:val="00492774"/>
    <w:rsid w:val="00492EF9"/>
    <w:rsid w:val="00494936"/>
    <w:rsid w:val="00496D7A"/>
    <w:rsid w:val="004A31BC"/>
    <w:rsid w:val="004A3C21"/>
    <w:rsid w:val="004A3E95"/>
    <w:rsid w:val="004A3F1A"/>
    <w:rsid w:val="004A3F45"/>
    <w:rsid w:val="004A4279"/>
    <w:rsid w:val="004A5738"/>
    <w:rsid w:val="004A7CC7"/>
    <w:rsid w:val="004B1AFA"/>
    <w:rsid w:val="004B44F6"/>
    <w:rsid w:val="004B7088"/>
    <w:rsid w:val="004B7581"/>
    <w:rsid w:val="004C05C0"/>
    <w:rsid w:val="004C4D12"/>
    <w:rsid w:val="004C5B76"/>
    <w:rsid w:val="004D0011"/>
    <w:rsid w:val="004D02CD"/>
    <w:rsid w:val="004D0B24"/>
    <w:rsid w:val="004D2538"/>
    <w:rsid w:val="004D3EBD"/>
    <w:rsid w:val="004D448B"/>
    <w:rsid w:val="004D4B90"/>
    <w:rsid w:val="004D6B95"/>
    <w:rsid w:val="004D7E36"/>
    <w:rsid w:val="004D7F41"/>
    <w:rsid w:val="004E03A2"/>
    <w:rsid w:val="004E1C69"/>
    <w:rsid w:val="004E285D"/>
    <w:rsid w:val="004E317E"/>
    <w:rsid w:val="004E3954"/>
    <w:rsid w:val="004E5856"/>
    <w:rsid w:val="004F2330"/>
    <w:rsid w:val="004F53C6"/>
    <w:rsid w:val="004F55C6"/>
    <w:rsid w:val="004F69DB"/>
    <w:rsid w:val="004F6B87"/>
    <w:rsid w:val="00501C2D"/>
    <w:rsid w:val="00501F5B"/>
    <w:rsid w:val="00502637"/>
    <w:rsid w:val="005048D3"/>
    <w:rsid w:val="0050599F"/>
    <w:rsid w:val="00505A6A"/>
    <w:rsid w:val="00511140"/>
    <w:rsid w:val="00513CFE"/>
    <w:rsid w:val="00516829"/>
    <w:rsid w:val="0051793B"/>
    <w:rsid w:val="00521BDC"/>
    <w:rsid w:val="00522B0B"/>
    <w:rsid w:val="00523B6A"/>
    <w:rsid w:val="00525F6C"/>
    <w:rsid w:val="005325D0"/>
    <w:rsid w:val="0053312F"/>
    <w:rsid w:val="00533EC6"/>
    <w:rsid w:val="00540BB8"/>
    <w:rsid w:val="00545065"/>
    <w:rsid w:val="005462BA"/>
    <w:rsid w:val="00546AB4"/>
    <w:rsid w:val="005514E5"/>
    <w:rsid w:val="005576DA"/>
    <w:rsid w:val="00560406"/>
    <w:rsid w:val="00560C36"/>
    <w:rsid w:val="00563C84"/>
    <w:rsid w:val="00567BF2"/>
    <w:rsid w:val="00571FA8"/>
    <w:rsid w:val="005733E3"/>
    <w:rsid w:val="00574DB6"/>
    <w:rsid w:val="005762F6"/>
    <w:rsid w:val="005811EC"/>
    <w:rsid w:val="00584FBE"/>
    <w:rsid w:val="00585483"/>
    <w:rsid w:val="0058580E"/>
    <w:rsid w:val="00585E37"/>
    <w:rsid w:val="00587378"/>
    <w:rsid w:val="00587C05"/>
    <w:rsid w:val="00590AAB"/>
    <w:rsid w:val="005912CD"/>
    <w:rsid w:val="005938C3"/>
    <w:rsid w:val="0059468C"/>
    <w:rsid w:val="00595125"/>
    <w:rsid w:val="00596F21"/>
    <w:rsid w:val="00597617"/>
    <w:rsid w:val="005A45AE"/>
    <w:rsid w:val="005A4C05"/>
    <w:rsid w:val="005B1CDD"/>
    <w:rsid w:val="005B1E19"/>
    <w:rsid w:val="005B4BA8"/>
    <w:rsid w:val="005B55FC"/>
    <w:rsid w:val="005C0BD5"/>
    <w:rsid w:val="005C208C"/>
    <w:rsid w:val="005C2C44"/>
    <w:rsid w:val="005C2D5E"/>
    <w:rsid w:val="005C3B81"/>
    <w:rsid w:val="005C650C"/>
    <w:rsid w:val="005D086C"/>
    <w:rsid w:val="005D11D3"/>
    <w:rsid w:val="005D36EB"/>
    <w:rsid w:val="005D3B51"/>
    <w:rsid w:val="005D44EA"/>
    <w:rsid w:val="005D4E1F"/>
    <w:rsid w:val="005D4FB3"/>
    <w:rsid w:val="005E0D22"/>
    <w:rsid w:val="005E2F07"/>
    <w:rsid w:val="005E2FEA"/>
    <w:rsid w:val="005E32E7"/>
    <w:rsid w:val="005F17FD"/>
    <w:rsid w:val="005F314B"/>
    <w:rsid w:val="005F3C51"/>
    <w:rsid w:val="005F5255"/>
    <w:rsid w:val="00602D92"/>
    <w:rsid w:val="00606976"/>
    <w:rsid w:val="006101F6"/>
    <w:rsid w:val="006115B5"/>
    <w:rsid w:val="00611AF2"/>
    <w:rsid w:val="0061212B"/>
    <w:rsid w:val="006127AF"/>
    <w:rsid w:val="00613A98"/>
    <w:rsid w:val="00615FB2"/>
    <w:rsid w:val="00616987"/>
    <w:rsid w:val="00617BD1"/>
    <w:rsid w:val="00617CE8"/>
    <w:rsid w:val="00623256"/>
    <w:rsid w:val="00623461"/>
    <w:rsid w:val="00627522"/>
    <w:rsid w:val="006278A0"/>
    <w:rsid w:val="0063095F"/>
    <w:rsid w:val="00631CBD"/>
    <w:rsid w:val="0063704F"/>
    <w:rsid w:val="00640EA9"/>
    <w:rsid w:val="00644EF9"/>
    <w:rsid w:val="00646AC2"/>
    <w:rsid w:val="00650390"/>
    <w:rsid w:val="006530AA"/>
    <w:rsid w:val="00653BDA"/>
    <w:rsid w:val="006541B8"/>
    <w:rsid w:val="00654DAB"/>
    <w:rsid w:val="00655E3D"/>
    <w:rsid w:val="006579DF"/>
    <w:rsid w:val="00660010"/>
    <w:rsid w:val="00660E03"/>
    <w:rsid w:val="0066204A"/>
    <w:rsid w:val="00664D51"/>
    <w:rsid w:val="00664E2A"/>
    <w:rsid w:val="00665FF9"/>
    <w:rsid w:val="006679C9"/>
    <w:rsid w:val="0067065A"/>
    <w:rsid w:val="00670E3C"/>
    <w:rsid w:val="006720F5"/>
    <w:rsid w:val="0067768D"/>
    <w:rsid w:val="00677F57"/>
    <w:rsid w:val="00680909"/>
    <w:rsid w:val="00681088"/>
    <w:rsid w:val="006942C9"/>
    <w:rsid w:val="0069577E"/>
    <w:rsid w:val="0069634B"/>
    <w:rsid w:val="00696623"/>
    <w:rsid w:val="006A04E9"/>
    <w:rsid w:val="006A2EE2"/>
    <w:rsid w:val="006A4A03"/>
    <w:rsid w:val="006A7543"/>
    <w:rsid w:val="006B725C"/>
    <w:rsid w:val="006C273D"/>
    <w:rsid w:val="006C2C1E"/>
    <w:rsid w:val="006C42AD"/>
    <w:rsid w:val="006C5BD8"/>
    <w:rsid w:val="006C5C4F"/>
    <w:rsid w:val="006C6282"/>
    <w:rsid w:val="006C762A"/>
    <w:rsid w:val="006C7F55"/>
    <w:rsid w:val="006D08E3"/>
    <w:rsid w:val="006D5FF9"/>
    <w:rsid w:val="006E0772"/>
    <w:rsid w:val="006E0F86"/>
    <w:rsid w:val="006E27CA"/>
    <w:rsid w:val="006E28E5"/>
    <w:rsid w:val="006E4646"/>
    <w:rsid w:val="006E5B2F"/>
    <w:rsid w:val="006F0B15"/>
    <w:rsid w:val="006F0DCC"/>
    <w:rsid w:val="006F51AC"/>
    <w:rsid w:val="00703DF9"/>
    <w:rsid w:val="007048EB"/>
    <w:rsid w:val="00704FBB"/>
    <w:rsid w:val="007061F0"/>
    <w:rsid w:val="0070726A"/>
    <w:rsid w:val="0071189B"/>
    <w:rsid w:val="0071226B"/>
    <w:rsid w:val="00713704"/>
    <w:rsid w:val="0071413D"/>
    <w:rsid w:val="00715C08"/>
    <w:rsid w:val="00717040"/>
    <w:rsid w:val="00720CCE"/>
    <w:rsid w:val="00723449"/>
    <w:rsid w:val="00726DDF"/>
    <w:rsid w:val="007306D1"/>
    <w:rsid w:val="00732174"/>
    <w:rsid w:val="00736B90"/>
    <w:rsid w:val="007400F2"/>
    <w:rsid w:val="00742EE4"/>
    <w:rsid w:val="007539C1"/>
    <w:rsid w:val="00756A5E"/>
    <w:rsid w:val="00756D9E"/>
    <w:rsid w:val="007622A7"/>
    <w:rsid w:val="0076389B"/>
    <w:rsid w:val="007705AD"/>
    <w:rsid w:val="00773AE6"/>
    <w:rsid w:val="007750A2"/>
    <w:rsid w:val="007762A9"/>
    <w:rsid w:val="00777906"/>
    <w:rsid w:val="0078063F"/>
    <w:rsid w:val="00781468"/>
    <w:rsid w:val="007817D6"/>
    <w:rsid w:val="00781996"/>
    <w:rsid w:val="00781E1C"/>
    <w:rsid w:val="00785F31"/>
    <w:rsid w:val="00786ECB"/>
    <w:rsid w:val="00787912"/>
    <w:rsid w:val="00787F69"/>
    <w:rsid w:val="0079177A"/>
    <w:rsid w:val="00794836"/>
    <w:rsid w:val="007948D5"/>
    <w:rsid w:val="00795CFF"/>
    <w:rsid w:val="00796416"/>
    <w:rsid w:val="007A0476"/>
    <w:rsid w:val="007A15C9"/>
    <w:rsid w:val="007A401C"/>
    <w:rsid w:val="007A46A4"/>
    <w:rsid w:val="007A6676"/>
    <w:rsid w:val="007B21E4"/>
    <w:rsid w:val="007B2B87"/>
    <w:rsid w:val="007B7FF5"/>
    <w:rsid w:val="007C17F3"/>
    <w:rsid w:val="007C18DF"/>
    <w:rsid w:val="007C1C2E"/>
    <w:rsid w:val="007C283D"/>
    <w:rsid w:val="007C3FC6"/>
    <w:rsid w:val="007D2CE9"/>
    <w:rsid w:val="007D4FED"/>
    <w:rsid w:val="007D54C2"/>
    <w:rsid w:val="007D69DA"/>
    <w:rsid w:val="007D6F31"/>
    <w:rsid w:val="007D70B1"/>
    <w:rsid w:val="007D7140"/>
    <w:rsid w:val="007D7F57"/>
    <w:rsid w:val="007E00E3"/>
    <w:rsid w:val="007E1CDB"/>
    <w:rsid w:val="007E408C"/>
    <w:rsid w:val="007E50BF"/>
    <w:rsid w:val="007E6C7A"/>
    <w:rsid w:val="007E7E21"/>
    <w:rsid w:val="007F0460"/>
    <w:rsid w:val="007F0DA2"/>
    <w:rsid w:val="007F22E2"/>
    <w:rsid w:val="007F39CE"/>
    <w:rsid w:val="007F5E0D"/>
    <w:rsid w:val="00801085"/>
    <w:rsid w:val="00801A89"/>
    <w:rsid w:val="00803612"/>
    <w:rsid w:val="00804457"/>
    <w:rsid w:val="00812061"/>
    <w:rsid w:val="00812138"/>
    <w:rsid w:val="008151F2"/>
    <w:rsid w:val="00816009"/>
    <w:rsid w:val="0081777A"/>
    <w:rsid w:val="008210E0"/>
    <w:rsid w:val="008215AA"/>
    <w:rsid w:val="00824079"/>
    <w:rsid w:val="00831445"/>
    <w:rsid w:val="00831F0A"/>
    <w:rsid w:val="00833A78"/>
    <w:rsid w:val="00841E46"/>
    <w:rsid w:val="008442DD"/>
    <w:rsid w:val="0084482C"/>
    <w:rsid w:val="0084585F"/>
    <w:rsid w:val="0084776B"/>
    <w:rsid w:val="008503FF"/>
    <w:rsid w:val="0085120B"/>
    <w:rsid w:val="00851B69"/>
    <w:rsid w:val="00853E53"/>
    <w:rsid w:val="0085535C"/>
    <w:rsid w:val="0086280E"/>
    <w:rsid w:val="00864CED"/>
    <w:rsid w:val="00864D76"/>
    <w:rsid w:val="008656C9"/>
    <w:rsid w:val="0086711C"/>
    <w:rsid w:val="00867535"/>
    <w:rsid w:val="00875C5B"/>
    <w:rsid w:val="0087626A"/>
    <w:rsid w:val="00876A44"/>
    <w:rsid w:val="0087726F"/>
    <w:rsid w:val="00880D22"/>
    <w:rsid w:val="00883230"/>
    <w:rsid w:val="00883C5F"/>
    <w:rsid w:val="00885C57"/>
    <w:rsid w:val="00891C7D"/>
    <w:rsid w:val="00892FA7"/>
    <w:rsid w:val="00894DBD"/>
    <w:rsid w:val="00896011"/>
    <w:rsid w:val="00897D7A"/>
    <w:rsid w:val="008A3301"/>
    <w:rsid w:val="008A4DF1"/>
    <w:rsid w:val="008A5636"/>
    <w:rsid w:val="008A69C5"/>
    <w:rsid w:val="008B0EE3"/>
    <w:rsid w:val="008B125E"/>
    <w:rsid w:val="008B16BE"/>
    <w:rsid w:val="008B241C"/>
    <w:rsid w:val="008B301C"/>
    <w:rsid w:val="008B408B"/>
    <w:rsid w:val="008B4F11"/>
    <w:rsid w:val="008B5735"/>
    <w:rsid w:val="008C2362"/>
    <w:rsid w:val="008C3049"/>
    <w:rsid w:val="008C399E"/>
    <w:rsid w:val="008C4425"/>
    <w:rsid w:val="008C74D9"/>
    <w:rsid w:val="008D4AE9"/>
    <w:rsid w:val="008D5CF3"/>
    <w:rsid w:val="008D7D39"/>
    <w:rsid w:val="008E02A7"/>
    <w:rsid w:val="008E4574"/>
    <w:rsid w:val="008F1BD0"/>
    <w:rsid w:val="008F4016"/>
    <w:rsid w:val="008F42FE"/>
    <w:rsid w:val="008F4732"/>
    <w:rsid w:val="008F47BA"/>
    <w:rsid w:val="008F47C1"/>
    <w:rsid w:val="008F4A00"/>
    <w:rsid w:val="008F5402"/>
    <w:rsid w:val="008F639F"/>
    <w:rsid w:val="0090053A"/>
    <w:rsid w:val="009005EF"/>
    <w:rsid w:val="00901C2A"/>
    <w:rsid w:val="009067E0"/>
    <w:rsid w:val="00907DC3"/>
    <w:rsid w:val="00910ADD"/>
    <w:rsid w:val="009118C7"/>
    <w:rsid w:val="00914427"/>
    <w:rsid w:val="00914A60"/>
    <w:rsid w:val="00920CAF"/>
    <w:rsid w:val="009225B6"/>
    <w:rsid w:val="00925397"/>
    <w:rsid w:val="00926AC8"/>
    <w:rsid w:val="00933A21"/>
    <w:rsid w:val="00933CA0"/>
    <w:rsid w:val="00934C10"/>
    <w:rsid w:val="0093662A"/>
    <w:rsid w:val="0094060C"/>
    <w:rsid w:val="00942C4B"/>
    <w:rsid w:val="00944196"/>
    <w:rsid w:val="00954A94"/>
    <w:rsid w:val="009575E5"/>
    <w:rsid w:val="00957A53"/>
    <w:rsid w:val="009606A5"/>
    <w:rsid w:val="0096291C"/>
    <w:rsid w:val="00962F1F"/>
    <w:rsid w:val="00965304"/>
    <w:rsid w:val="00965F16"/>
    <w:rsid w:val="00971293"/>
    <w:rsid w:val="00973770"/>
    <w:rsid w:val="00973A3B"/>
    <w:rsid w:val="00974CD3"/>
    <w:rsid w:val="0097518C"/>
    <w:rsid w:val="009828B0"/>
    <w:rsid w:val="00983489"/>
    <w:rsid w:val="00983EAE"/>
    <w:rsid w:val="00985535"/>
    <w:rsid w:val="009857DF"/>
    <w:rsid w:val="009865C4"/>
    <w:rsid w:val="0098760B"/>
    <w:rsid w:val="00990509"/>
    <w:rsid w:val="00994829"/>
    <w:rsid w:val="009A11DD"/>
    <w:rsid w:val="009A4170"/>
    <w:rsid w:val="009A42C8"/>
    <w:rsid w:val="009A596F"/>
    <w:rsid w:val="009A5AAF"/>
    <w:rsid w:val="009A64B5"/>
    <w:rsid w:val="009B1519"/>
    <w:rsid w:val="009B30AA"/>
    <w:rsid w:val="009B5217"/>
    <w:rsid w:val="009B6CDA"/>
    <w:rsid w:val="009B6FBE"/>
    <w:rsid w:val="009C212E"/>
    <w:rsid w:val="009C3685"/>
    <w:rsid w:val="009C48DE"/>
    <w:rsid w:val="009D4438"/>
    <w:rsid w:val="009D5F56"/>
    <w:rsid w:val="009D60D9"/>
    <w:rsid w:val="009D7BDC"/>
    <w:rsid w:val="009E1E1E"/>
    <w:rsid w:val="009E2284"/>
    <w:rsid w:val="009E33E3"/>
    <w:rsid w:val="009E3B19"/>
    <w:rsid w:val="009E7B8D"/>
    <w:rsid w:val="009E7F16"/>
    <w:rsid w:val="009F14D3"/>
    <w:rsid w:val="009F1E65"/>
    <w:rsid w:val="009F27F8"/>
    <w:rsid w:val="009F5052"/>
    <w:rsid w:val="009F50C0"/>
    <w:rsid w:val="009F6697"/>
    <w:rsid w:val="00A03083"/>
    <w:rsid w:val="00A04072"/>
    <w:rsid w:val="00A04885"/>
    <w:rsid w:val="00A04C85"/>
    <w:rsid w:val="00A100F0"/>
    <w:rsid w:val="00A1530C"/>
    <w:rsid w:val="00A156E6"/>
    <w:rsid w:val="00A177C5"/>
    <w:rsid w:val="00A17D02"/>
    <w:rsid w:val="00A25D03"/>
    <w:rsid w:val="00A27D86"/>
    <w:rsid w:val="00A30A3D"/>
    <w:rsid w:val="00A31062"/>
    <w:rsid w:val="00A33151"/>
    <w:rsid w:val="00A35C4C"/>
    <w:rsid w:val="00A36970"/>
    <w:rsid w:val="00A405E0"/>
    <w:rsid w:val="00A41EB4"/>
    <w:rsid w:val="00A426AF"/>
    <w:rsid w:val="00A43706"/>
    <w:rsid w:val="00A44BFF"/>
    <w:rsid w:val="00A501E3"/>
    <w:rsid w:val="00A50F0C"/>
    <w:rsid w:val="00A52C3B"/>
    <w:rsid w:val="00A52DE5"/>
    <w:rsid w:val="00A54625"/>
    <w:rsid w:val="00A55223"/>
    <w:rsid w:val="00A56441"/>
    <w:rsid w:val="00A61634"/>
    <w:rsid w:val="00A643DC"/>
    <w:rsid w:val="00A6736B"/>
    <w:rsid w:val="00A673D3"/>
    <w:rsid w:val="00A728BE"/>
    <w:rsid w:val="00A736DD"/>
    <w:rsid w:val="00A76D17"/>
    <w:rsid w:val="00A82869"/>
    <w:rsid w:val="00A84FF1"/>
    <w:rsid w:val="00A85F20"/>
    <w:rsid w:val="00A8758C"/>
    <w:rsid w:val="00A935FC"/>
    <w:rsid w:val="00A94476"/>
    <w:rsid w:val="00A963F8"/>
    <w:rsid w:val="00A96BC2"/>
    <w:rsid w:val="00AA127E"/>
    <w:rsid w:val="00AA1637"/>
    <w:rsid w:val="00AA19AE"/>
    <w:rsid w:val="00AA423D"/>
    <w:rsid w:val="00AA6A95"/>
    <w:rsid w:val="00AB10DE"/>
    <w:rsid w:val="00AB34F7"/>
    <w:rsid w:val="00AB358A"/>
    <w:rsid w:val="00AB3668"/>
    <w:rsid w:val="00AB5ED7"/>
    <w:rsid w:val="00AC0B4C"/>
    <w:rsid w:val="00AC3EFE"/>
    <w:rsid w:val="00AC4466"/>
    <w:rsid w:val="00AC5956"/>
    <w:rsid w:val="00AD0AEE"/>
    <w:rsid w:val="00AD49E3"/>
    <w:rsid w:val="00AD4B4F"/>
    <w:rsid w:val="00AD53D1"/>
    <w:rsid w:val="00AE1870"/>
    <w:rsid w:val="00AF014D"/>
    <w:rsid w:val="00AF0616"/>
    <w:rsid w:val="00AF0E28"/>
    <w:rsid w:val="00AF3751"/>
    <w:rsid w:val="00AF6F9B"/>
    <w:rsid w:val="00B01409"/>
    <w:rsid w:val="00B10DBD"/>
    <w:rsid w:val="00B11C9C"/>
    <w:rsid w:val="00B149EC"/>
    <w:rsid w:val="00B15629"/>
    <w:rsid w:val="00B17566"/>
    <w:rsid w:val="00B2372C"/>
    <w:rsid w:val="00B24E0C"/>
    <w:rsid w:val="00B30372"/>
    <w:rsid w:val="00B32F70"/>
    <w:rsid w:val="00B373D0"/>
    <w:rsid w:val="00B418DC"/>
    <w:rsid w:val="00B41904"/>
    <w:rsid w:val="00B43AAA"/>
    <w:rsid w:val="00B4675E"/>
    <w:rsid w:val="00B476F1"/>
    <w:rsid w:val="00B50567"/>
    <w:rsid w:val="00B520EA"/>
    <w:rsid w:val="00B52E36"/>
    <w:rsid w:val="00B53139"/>
    <w:rsid w:val="00B55419"/>
    <w:rsid w:val="00B562CE"/>
    <w:rsid w:val="00B56317"/>
    <w:rsid w:val="00B61DAA"/>
    <w:rsid w:val="00B62DE2"/>
    <w:rsid w:val="00B67DF9"/>
    <w:rsid w:val="00B74417"/>
    <w:rsid w:val="00B755C6"/>
    <w:rsid w:val="00B75DB6"/>
    <w:rsid w:val="00B77246"/>
    <w:rsid w:val="00B82B63"/>
    <w:rsid w:val="00B8395B"/>
    <w:rsid w:val="00B84B02"/>
    <w:rsid w:val="00B866CD"/>
    <w:rsid w:val="00B87A0E"/>
    <w:rsid w:val="00B915BA"/>
    <w:rsid w:val="00B93034"/>
    <w:rsid w:val="00B93A81"/>
    <w:rsid w:val="00B94E1B"/>
    <w:rsid w:val="00B9508C"/>
    <w:rsid w:val="00B97C5D"/>
    <w:rsid w:val="00BA021A"/>
    <w:rsid w:val="00BA1290"/>
    <w:rsid w:val="00BA42AE"/>
    <w:rsid w:val="00BB2792"/>
    <w:rsid w:val="00BB2D7F"/>
    <w:rsid w:val="00BB3BE9"/>
    <w:rsid w:val="00BB6705"/>
    <w:rsid w:val="00BB76BF"/>
    <w:rsid w:val="00BC1AD1"/>
    <w:rsid w:val="00BC1D82"/>
    <w:rsid w:val="00BC445F"/>
    <w:rsid w:val="00BC4A58"/>
    <w:rsid w:val="00BC5A87"/>
    <w:rsid w:val="00BC613B"/>
    <w:rsid w:val="00BC74A9"/>
    <w:rsid w:val="00BD2227"/>
    <w:rsid w:val="00BD3484"/>
    <w:rsid w:val="00BD3519"/>
    <w:rsid w:val="00BD51D9"/>
    <w:rsid w:val="00BD64E2"/>
    <w:rsid w:val="00BD6C42"/>
    <w:rsid w:val="00BD7393"/>
    <w:rsid w:val="00BE01BF"/>
    <w:rsid w:val="00BE3FA7"/>
    <w:rsid w:val="00BE41E6"/>
    <w:rsid w:val="00BE4995"/>
    <w:rsid w:val="00BF1CBC"/>
    <w:rsid w:val="00BF303A"/>
    <w:rsid w:val="00BF429A"/>
    <w:rsid w:val="00BF62BE"/>
    <w:rsid w:val="00BF6511"/>
    <w:rsid w:val="00C03CAC"/>
    <w:rsid w:val="00C07126"/>
    <w:rsid w:val="00C10EB1"/>
    <w:rsid w:val="00C12A51"/>
    <w:rsid w:val="00C12D71"/>
    <w:rsid w:val="00C14129"/>
    <w:rsid w:val="00C166D5"/>
    <w:rsid w:val="00C16853"/>
    <w:rsid w:val="00C21947"/>
    <w:rsid w:val="00C263F0"/>
    <w:rsid w:val="00C320A0"/>
    <w:rsid w:val="00C32366"/>
    <w:rsid w:val="00C33D41"/>
    <w:rsid w:val="00C346CD"/>
    <w:rsid w:val="00C36E63"/>
    <w:rsid w:val="00C404BB"/>
    <w:rsid w:val="00C40AFD"/>
    <w:rsid w:val="00C41E20"/>
    <w:rsid w:val="00C42E3E"/>
    <w:rsid w:val="00C44FE1"/>
    <w:rsid w:val="00C45679"/>
    <w:rsid w:val="00C51C13"/>
    <w:rsid w:val="00C52484"/>
    <w:rsid w:val="00C525A5"/>
    <w:rsid w:val="00C5300F"/>
    <w:rsid w:val="00C53AC2"/>
    <w:rsid w:val="00C54594"/>
    <w:rsid w:val="00C54E4E"/>
    <w:rsid w:val="00C55EE2"/>
    <w:rsid w:val="00C66CE0"/>
    <w:rsid w:val="00C6721A"/>
    <w:rsid w:val="00C71BED"/>
    <w:rsid w:val="00C737B2"/>
    <w:rsid w:val="00C75B86"/>
    <w:rsid w:val="00C80B84"/>
    <w:rsid w:val="00C81B53"/>
    <w:rsid w:val="00C82355"/>
    <w:rsid w:val="00C8274E"/>
    <w:rsid w:val="00C82AD2"/>
    <w:rsid w:val="00C83027"/>
    <w:rsid w:val="00C86340"/>
    <w:rsid w:val="00C87766"/>
    <w:rsid w:val="00C90FB6"/>
    <w:rsid w:val="00C9220E"/>
    <w:rsid w:val="00C932BD"/>
    <w:rsid w:val="00C93429"/>
    <w:rsid w:val="00CA10F0"/>
    <w:rsid w:val="00CA16C5"/>
    <w:rsid w:val="00CA415A"/>
    <w:rsid w:val="00CA7A35"/>
    <w:rsid w:val="00CB1536"/>
    <w:rsid w:val="00CB432B"/>
    <w:rsid w:val="00CB7FB8"/>
    <w:rsid w:val="00CC1F71"/>
    <w:rsid w:val="00CC2A09"/>
    <w:rsid w:val="00CC49A2"/>
    <w:rsid w:val="00CC5588"/>
    <w:rsid w:val="00CC5EB3"/>
    <w:rsid w:val="00CC7757"/>
    <w:rsid w:val="00CD0E7B"/>
    <w:rsid w:val="00CD2ABD"/>
    <w:rsid w:val="00CD30EA"/>
    <w:rsid w:val="00CD4024"/>
    <w:rsid w:val="00CD4617"/>
    <w:rsid w:val="00CD4855"/>
    <w:rsid w:val="00CD6B71"/>
    <w:rsid w:val="00CE6D43"/>
    <w:rsid w:val="00CE7439"/>
    <w:rsid w:val="00CE7888"/>
    <w:rsid w:val="00CE7901"/>
    <w:rsid w:val="00CF2DF2"/>
    <w:rsid w:val="00D02FFE"/>
    <w:rsid w:val="00D0331A"/>
    <w:rsid w:val="00D10E1C"/>
    <w:rsid w:val="00D13CA4"/>
    <w:rsid w:val="00D15A01"/>
    <w:rsid w:val="00D161A3"/>
    <w:rsid w:val="00D167EB"/>
    <w:rsid w:val="00D1762D"/>
    <w:rsid w:val="00D20A7D"/>
    <w:rsid w:val="00D20E24"/>
    <w:rsid w:val="00D21E69"/>
    <w:rsid w:val="00D22E49"/>
    <w:rsid w:val="00D23716"/>
    <w:rsid w:val="00D25ED8"/>
    <w:rsid w:val="00D27AEB"/>
    <w:rsid w:val="00D27F8F"/>
    <w:rsid w:val="00D316B8"/>
    <w:rsid w:val="00D31CFC"/>
    <w:rsid w:val="00D3255D"/>
    <w:rsid w:val="00D340C3"/>
    <w:rsid w:val="00D34520"/>
    <w:rsid w:val="00D37631"/>
    <w:rsid w:val="00D40574"/>
    <w:rsid w:val="00D409CD"/>
    <w:rsid w:val="00D423D4"/>
    <w:rsid w:val="00D42CA0"/>
    <w:rsid w:val="00D42CAF"/>
    <w:rsid w:val="00D5310F"/>
    <w:rsid w:val="00D601EF"/>
    <w:rsid w:val="00D61533"/>
    <w:rsid w:val="00D62DDF"/>
    <w:rsid w:val="00D6330B"/>
    <w:rsid w:val="00D63B2F"/>
    <w:rsid w:val="00D646BD"/>
    <w:rsid w:val="00D65E7D"/>
    <w:rsid w:val="00D70747"/>
    <w:rsid w:val="00D71CAE"/>
    <w:rsid w:val="00D7251D"/>
    <w:rsid w:val="00D7261D"/>
    <w:rsid w:val="00D74C77"/>
    <w:rsid w:val="00D755FC"/>
    <w:rsid w:val="00D76544"/>
    <w:rsid w:val="00D76B6D"/>
    <w:rsid w:val="00D81C3C"/>
    <w:rsid w:val="00D84D07"/>
    <w:rsid w:val="00D8526A"/>
    <w:rsid w:val="00D90786"/>
    <w:rsid w:val="00D90E91"/>
    <w:rsid w:val="00D94D18"/>
    <w:rsid w:val="00DA2197"/>
    <w:rsid w:val="00DB0607"/>
    <w:rsid w:val="00DB60E1"/>
    <w:rsid w:val="00DB6993"/>
    <w:rsid w:val="00DC1347"/>
    <w:rsid w:val="00DC39F1"/>
    <w:rsid w:val="00DD0556"/>
    <w:rsid w:val="00DD0612"/>
    <w:rsid w:val="00DE0FB7"/>
    <w:rsid w:val="00DE4B35"/>
    <w:rsid w:val="00DF19C1"/>
    <w:rsid w:val="00DF387D"/>
    <w:rsid w:val="00DF54CA"/>
    <w:rsid w:val="00DF56C9"/>
    <w:rsid w:val="00DF5B64"/>
    <w:rsid w:val="00DF61BB"/>
    <w:rsid w:val="00E02794"/>
    <w:rsid w:val="00E043E3"/>
    <w:rsid w:val="00E0505B"/>
    <w:rsid w:val="00E07AFE"/>
    <w:rsid w:val="00E11280"/>
    <w:rsid w:val="00E12359"/>
    <w:rsid w:val="00E13297"/>
    <w:rsid w:val="00E152FF"/>
    <w:rsid w:val="00E15AF2"/>
    <w:rsid w:val="00E20D85"/>
    <w:rsid w:val="00E20E74"/>
    <w:rsid w:val="00E22133"/>
    <w:rsid w:val="00E230DE"/>
    <w:rsid w:val="00E23672"/>
    <w:rsid w:val="00E2461B"/>
    <w:rsid w:val="00E24886"/>
    <w:rsid w:val="00E276FB"/>
    <w:rsid w:val="00E30A14"/>
    <w:rsid w:val="00E32595"/>
    <w:rsid w:val="00E32AA0"/>
    <w:rsid w:val="00E32DC6"/>
    <w:rsid w:val="00E33A74"/>
    <w:rsid w:val="00E35739"/>
    <w:rsid w:val="00E4030B"/>
    <w:rsid w:val="00E41D56"/>
    <w:rsid w:val="00E457DF"/>
    <w:rsid w:val="00E46642"/>
    <w:rsid w:val="00E5139A"/>
    <w:rsid w:val="00E5413D"/>
    <w:rsid w:val="00E55B28"/>
    <w:rsid w:val="00E57977"/>
    <w:rsid w:val="00E627E7"/>
    <w:rsid w:val="00E635D7"/>
    <w:rsid w:val="00E64E71"/>
    <w:rsid w:val="00E65113"/>
    <w:rsid w:val="00E65F91"/>
    <w:rsid w:val="00E70576"/>
    <w:rsid w:val="00E71DED"/>
    <w:rsid w:val="00E82012"/>
    <w:rsid w:val="00E83954"/>
    <w:rsid w:val="00E86506"/>
    <w:rsid w:val="00E905E9"/>
    <w:rsid w:val="00E91730"/>
    <w:rsid w:val="00E9644F"/>
    <w:rsid w:val="00E96F04"/>
    <w:rsid w:val="00E977C1"/>
    <w:rsid w:val="00E97AEC"/>
    <w:rsid w:val="00EA20FE"/>
    <w:rsid w:val="00EA2CED"/>
    <w:rsid w:val="00EA52F4"/>
    <w:rsid w:val="00EA5547"/>
    <w:rsid w:val="00EB1CD6"/>
    <w:rsid w:val="00EB491E"/>
    <w:rsid w:val="00EB681B"/>
    <w:rsid w:val="00EC09D8"/>
    <w:rsid w:val="00EC1074"/>
    <w:rsid w:val="00EC43CA"/>
    <w:rsid w:val="00EC4FAD"/>
    <w:rsid w:val="00EC788F"/>
    <w:rsid w:val="00ED2837"/>
    <w:rsid w:val="00ED5F09"/>
    <w:rsid w:val="00EE3CFA"/>
    <w:rsid w:val="00EE69E4"/>
    <w:rsid w:val="00EF00FE"/>
    <w:rsid w:val="00EF0859"/>
    <w:rsid w:val="00EF1333"/>
    <w:rsid w:val="00EF2A7F"/>
    <w:rsid w:val="00EF4C6F"/>
    <w:rsid w:val="00EF7727"/>
    <w:rsid w:val="00EF7E90"/>
    <w:rsid w:val="00F002B6"/>
    <w:rsid w:val="00F0799F"/>
    <w:rsid w:val="00F10AFE"/>
    <w:rsid w:val="00F15C6C"/>
    <w:rsid w:val="00F17173"/>
    <w:rsid w:val="00F20987"/>
    <w:rsid w:val="00F2104F"/>
    <w:rsid w:val="00F224DC"/>
    <w:rsid w:val="00F22FBD"/>
    <w:rsid w:val="00F24A54"/>
    <w:rsid w:val="00F2518B"/>
    <w:rsid w:val="00F25CD9"/>
    <w:rsid w:val="00F2687F"/>
    <w:rsid w:val="00F26A5E"/>
    <w:rsid w:val="00F27F29"/>
    <w:rsid w:val="00F317DA"/>
    <w:rsid w:val="00F32D54"/>
    <w:rsid w:val="00F32F47"/>
    <w:rsid w:val="00F36C54"/>
    <w:rsid w:val="00F40A6F"/>
    <w:rsid w:val="00F418EA"/>
    <w:rsid w:val="00F41A29"/>
    <w:rsid w:val="00F42475"/>
    <w:rsid w:val="00F424B5"/>
    <w:rsid w:val="00F44C1C"/>
    <w:rsid w:val="00F518DF"/>
    <w:rsid w:val="00F53F4C"/>
    <w:rsid w:val="00F544DB"/>
    <w:rsid w:val="00F5624E"/>
    <w:rsid w:val="00F648EA"/>
    <w:rsid w:val="00F6502E"/>
    <w:rsid w:val="00F65663"/>
    <w:rsid w:val="00F73737"/>
    <w:rsid w:val="00F75147"/>
    <w:rsid w:val="00F756C0"/>
    <w:rsid w:val="00F7587A"/>
    <w:rsid w:val="00F75A40"/>
    <w:rsid w:val="00F77637"/>
    <w:rsid w:val="00F81C89"/>
    <w:rsid w:val="00F83928"/>
    <w:rsid w:val="00F8435D"/>
    <w:rsid w:val="00F862E5"/>
    <w:rsid w:val="00F87DD0"/>
    <w:rsid w:val="00F9044B"/>
    <w:rsid w:val="00F91906"/>
    <w:rsid w:val="00F91AF6"/>
    <w:rsid w:val="00F93360"/>
    <w:rsid w:val="00F93FE4"/>
    <w:rsid w:val="00F95539"/>
    <w:rsid w:val="00F96E2B"/>
    <w:rsid w:val="00F97DBF"/>
    <w:rsid w:val="00F97E4E"/>
    <w:rsid w:val="00FA1A40"/>
    <w:rsid w:val="00FA217B"/>
    <w:rsid w:val="00FB0089"/>
    <w:rsid w:val="00FB0BC5"/>
    <w:rsid w:val="00FB0BCC"/>
    <w:rsid w:val="00FC0FE5"/>
    <w:rsid w:val="00FC1868"/>
    <w:rsid w:val="00FC20DC"/>
    <w:rsid w:val="00FC3000"/>
    <w:rsid w:val="00FC4BF1"/>
    <w:rsid w:val="00FD1ABC"/>
    <w:rsid w:val="00FD66D5"/>
    <w:rsid w:val="00FD7DDF"/>
    <w:rsid w:val="00FE28B4"/>
    <w:rsid w:val="00FE4C92"/>
    <w:rsid w:val="00FE51E2"/>
    <w:rsid w:val="00FE5966"/>
    <w:rsid w:val="00FF0FAA"/>
    <w:rsid w:val="00FF3030"/>
    <w:rsid w:val="00FF3759"/>
    <w:rsid w:val="00FF3A3C"/>
    <w:rsid w:val="00FF4396"/>
    <w:rsid w:val="00FF60A6"/>
    <w:rsid w:val="00FF6E83"/>
    <w:rsid w:val="03385E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3BE568"/>
  <w15:docId w15:val="{601978D5-3994-4AB9-8E30-8FDD7333C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en-GB"/>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0BF"/>
    <w:pPr>
      <w:spacing w:line="288" w:lineRule="auto"/>
      <w:jc w:val="both"/>
    </w:pPr>
    <w:rPr>
      <w:lang w:eastAsia="en-US" w:bidi="ar-SA"/>
    </w:rPr>
  </w:style>
  <w:style w:type="paragraph" w:styleId="Heading1">
    <w:name w:val="heading 1"/>
    <w:basedOn w:val="Normal"/>
    <w:next w:val="Normal"/>
    <w:link w:val="Heading1Char"/>
    <w:qFormat/>
    <w:rsid w:val="007E50BF"/>
    <w:pPr>
      <w:numPr>
        <w:numId w:val="1"/>
      </w:numPr>
      <w:outlineLvl w:val="0"/>
    </w:pPr>
    <w:rPr>
      <w:kern w:val="28"/>
    </w:rPr>
  </w:style>
  <w:style w:type="paragraph" w:styleId="Heading2">
    <w:name w:val="heading 2"/>
    <w:basedOn w:val="Normal"/>
    <w:next w:val="Normal"/>
    <w:link w:val="Heading2Char"/>
    <w:qFormat/>
    <w:rsid w:val="007E50BF"/>
    <w:pPr>
      <w:numPr>
        <w:ilvl w:val="1"/>
        <w:numId w:val="1"/>
      </w:numPr>
      <w:outlineLvl w:val="1"/>
    </w:pPr>
  </w:style>
  <w:style w:type="paragraph" w:styleId="Heading3">
    <w:name w:val="heading 3"/>
    <w:basedOn w:val="Normal"/>
    <w:next w:val="Normal"/>
    <w:link w:val="Heading3Char"/>
    <w:qFormat/>
    <w:rsid w:val="007E50BF"/>
    <w:pPr>
      <w:numPr>
        <w:ilvl w:val="2"/>
        <w:numId w:val="1"/>
      </w:numPr>
      <w:outlineLvl w:val="2"/>
    </w:pPr>
  </w:style>
  <w:style w:type="paragraph" w:styleId="Heading4">
    <w:name w:val="heading 4"/>
    <w:basedOn w:val="Normal"/>
    <w:next w:val="Normal"/>
    <w:link w:val="Heading4Char"/>
    <w:qFormat/>
    <w:rsid w:val="007E50BF"/>
    <w:pPr>
      <w:numPr>
        <w:ilvl w:val="3"/>
        <w:numId w:val="1"/>
      </w:numPr>
      <w:outlineLvl w:val="3"/>
    </w:pPr>
  </w:style>
  <w:style w:type="paragraph" w:styleId="Heading5">
    <w:name w:val="heading 5"/>
    <w:basedOn w:val="Normal"/>
    <w:next w:val="Normal"/>
    <w:link w:val="Heading5Char"/>
    <w:qFormat/>
    <w:rsid w:val="007E50BF"/>
    <w:pPr>
      <w:numPr>
        <w:ilvl w:val="4"/>
        <w:numId w:val="1"/>
      </w:numPr>
      <w:outlineLvl w:val="4"/>
    </w:pPr>
  </w:style>
  <w:style w:type="paragraph" w:styleId="Heading6">
    <w:name w:val="heading 6"/>
    <w:basedOn w:val="Normal"/>
    <w:next w:val="Normal"/>
    <w:link w:val="Heading6Char"/>
    <w:qFormat/>
    <w:rsid w:val="007E50BF"/>
    <w:pPr>
      <w:numPr>
        <w:ilvl w:val="5"/>
        <w:numId w:val="1"/>
      </w:numPr>
      <w:outlineLvl w:val="5"/>
    </w:pPr>
  </w:style>
  <w:style w:type="paragraph" w:styleId="Heading7">
    <w:name w:val="heading 7"/>
    <w:basedOn w:val="Normal"/>
    <w:next w:val="Normal"/>
    <w:link w:val="Heading7Char"/>
    <w:qFormat/>
    <w:rsid w:val="007E50BF"/>
    <w:pPr>
      <w:numPr>
        <w:ilvl w:val="6"/>
        <w:numId w:val="1"/>
      </w:numPr>
      <w:outlineLvl w:val="6"/>
    </w:pPr>
  </w:style>
  <w:style w:type="paragraph" w:styleId="Heading8">
    <w:name w:val="heading 8"/>
    <w:basedOn w:val="Normal"/>
    <w:next w:val="Normal"/>
    <w:link w:val="Heading8Char"/>
    <w:qFormat/>
    <w:rsid w:val="007E50BF"/>
    <w:pPr>
      <w:numPr>
        <w:ilvl w:val="7"/>
        <w:numId w:val="1"/>
      </w:numPr>
      <w:outlineLvl w:val="7"/>
    </w:pPr>
  </w:style>
  <w:style w:type="paragraph" w:styleId="Heading9">
    <w:name w:val="heading 9"/>
    <w:basedOn w:val="Normal"/>
    <w:next w:val="Normal"/>
    <w:link w:val="Heading9Char"/>
    <w:qFormat/>
    <w:rsid w:val="007E50BF"/>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eastAsia="en-US" w:bidi="ar-SA"/>
    </w:rPr>
  </w:style>
  <w:style w:type="character" w:customStyle="1" w:styleId="Heading2Char">
    <w:name w:val="Heading 2 Char"/>
    <w:basedOn w:val="DefaultParagraphFont"/>
    <w:link w:val="Heading2"/>
    <w:locked/>
    <w:rsid w:val="00CB1536"/>
    <w:rPr>
      <w:lang w:eastAsia="en-US" w:bidi="ar-SA"/>
    </w:rPr>
  </w:style>
  <w:style w:type="character" w:customStyle="1" w:styleId="Heading3Char">
    <w:name w:val="Heading 3 Char"/>
    <w:basedOn w:val="DefaultParagraphFont"/>
    <w:link w:val="Heading3"/>
    <w:locked/>
    <w:rsid w:val="00CB1536"/>
    <w:rPr>
      <w:lang w:eastAsia="en-US" w:bidi="ar-SA"/>
    </w:rPr>
  </w:style>
  <w:style w:type="character" w:customStyle="1" w:styleId="Heading4Char">
    <w:name w:val="Heading 4 Char"/>
    <w:basedOn w:val="DefaultParagraphFont"/>
    <w:link w:val="Heading4"/>
    <w:locked/>
    <w:rsid w:val="00CB1536"/>
    <w:rPr>
      <w:lang w:eastAsia="en-US" w:bidi="ar-SA"/>
    </w:rPr>
  </w:style>
  <w:style w:type="character" w:customStyle="1" w:styleId="Heading5Char">
    <w:name w:val="Heading 5 Char"/>
    <w:basedOn w:val="DefaultParagraphFont"/>
    <w:link w:val="Heading5"/>
    <w:locked/>
    <w:rsid w:val="00CB1536"/>
    <w:rPr>
      <w:lang w:eastAsia="en-US" w:bidi="ar-SA"/>
    </w:rPr>
  </w:style>
  <w:style w:type="character" w:customStyle="1" w:styleId="Heading6Char">
    <w:name w:val="Heading 6 Char"/>
    <w:basedOn w:val="DefaultParagraphFont"/>
    <w:link w:val="Heading6"/>
    <w:locked/>
    <w:rsid w:val="00CB1536"/>
    <w:rPr>
      <w:lang w:eastAsia="en-US" w:bidi="ar-SA"/>
    </w:rPr>
  </w:style>
  <w:style w:type="character" w:customStyle="1" w:styleId="Heading7Char">
    <w:name w:val="Heading 7 Char"/>
    <w:basedOn w:val="DefaultParagraphFont"/>
    <w:link w:val="Heading7"/>
    <w:locked/>
    <w:rsid w:val="00CB1536"/>
    <w:rPr>
      <w:lang w:eastAsia="en-US" w:bidi="ar-SA"/>
    </w:rPr>
  </w:style>
  <w:style w:type="character" w:customStyle="1" w:styleId="Heading8Char">
    <w:name w:val="Heading 8 Char"/>
    <w:basedOn w:val="DefaultParagraphFont"/>
    <w:link w:val="Heading8"/>
    <w:locked/>
    <w:rsid w:val="00CB1536"/>
    <w:rPr>
      <w:lang w:eastAsia="en-US" w:bidi="ar-SA"/>
    </w:rPr>
  </w:style>
  <w:style w:type="character" w:customStyle="1" w:styleId="Heading9Char">
    <w:name w:val="Heading 9 Char"/>
    <w:basedOn w:val="DefaultParagraphFont"/>
    <w:link w:val="Heading9"/>
    <w:locked/>
    <w:rsid w:val="00CB1536"/>
    <w:rPr>
      <w:lang w:eastAsia="en-US" w:bidi="ar-SA"/>
    </w:rPr>
  </w:style>
  <w:style w:type="paragraph" w:styleId="Footer">
    <w:name w:val="footer"/>
    <w:basedOn w:val="Normal"/>
    <w:link w:val="FooterChar"/>
    <w:qFormat/>
    <w:rsid w:val="007E50BF"/>
  </w:style>
  <w:style w:type="character" w:customStyle="1" w:styleId="FooterChar">
    <w:name w:val="Footer Char"/>
    <w:basedOn w:val="DefaultParagraphFont"/>
    <w:link w:val="Footer"/>
    <w:locked/>
    <w:rsid w:val="00CB1536"/>
    <w:rPr>
      <w:lang w:eastAsia="en-US" w:bidi="ar-SA"/>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qFormat/>
    <w:rsid w:val="007E50BF"/>
    <w:pPr>
      <w:keepLines/>
      <w:spacing w:after="60" w:line="240" w:lineRule="auto"/>
      <w:ind w:left="567" w:hanging="567"/>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locked/>
    <w:rsid w:val="00CB1536"/>
    <w:rPr>
      <w:sz w:val="16"/>
      <w:lang w:val="en-US" w:eastAsia="en-US" w:bidi="ar-SA"/>
    </w:rPr>
  </w:style>
  <w:style w:type="paragraph" w:styleId="Header">
    <w:name w:val="header"/>
    <w:basedOn w:val="Normal"/>
    <w:link w:val="HeaderChar"/>
    <w:qFormat/>
    <w:rsid w:val="007E50BF"/>
  </w:style>
  <w:style w:type="character" w:customStyle="1" w:styleId="HeaderChar">
    <w:name w:val="Header Char"/>
    <w:basedOn w:val="DefaultParagraphFont"/>
    <w:link w:val="Header"/>
    <w:locked/>
    <w:rsid w:val="00CB1536"/>
    <w:rPr>
      <w:lang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aliases w:val="Footnote symbol"/>
    <w:basedOn w:val="DefaultParagraphFont"/>
    <w:uiPriority w:val="99"/>
    <w:unhideWhenUsed/>
    <w:qFormat/>
    <w:rsid w:val="007E50BF"/>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BalloonText">
    <w:name w:val="Balloon Text"/>
    <w:basedOn w:val="Normal"/>
    <w:link w:val="BalloonTextChar"/>
    <w:uiPriority w:val="99"/>
    <w:semiHidden/>
    <w:unhideWhenUsed/>
    <w:rsid w:val="007E50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0BF"/>
    <w:rPr>
      <w:rFonts w:ascii="Tahoma" w:hAnsi="Tahoma" w:cs="Tahoma"/>
      <w:sz w:val="16"/>
      <w:szCs w:val="16"/>
      <w:lang w:val="en-US" w:eastAsia="en-US" w:bidi="ar-SA"/>
    </w:rPr>
  </w:style>
  <w:style w:type="paragraph" w:customStyle="1" w:styleId="quotes">
    <w:name w:val="quotes"/>
    <w:basedOn w:val="Normal"/>
    <w:next w:val="Normal"/>
    <w:rsid w:val="007E50BF"/>
    <w:pPr>
      <w:ind w:left="720"/>
    </w:pPr>
    <w:rPr>
      <w:i/>
    </w:rPr>
  </w:style>
  <w:style w:type="character" w:styleId="CommentReference">
    <w:name w:val="annotation reference"/>
    <w:basedOn w:val="DefaultParagraphFont"/>
    <w:uiPriority w:val="99"/>
    <w:semiHidden/>
    <w:unhideWhenUsed/>
    <w:rsid w:val="002D0742"/>
    <w:rPr>
      <w:sz w:val="16"/>
      <w:szCs w:val="16"/>
    </w:rPr>
  </w:style>
  <w:style w:type="paragraph" w:styleId="CommentText">
    <w:name w:val="annotation text"/>
    <w:basedOn w:val="Normal"/>
    <w:link w:val="CommentTextChar"/>
    <w:uiPriority w:val="99"/>
    <w:unhideWhenUsed/>
    <w:rsid w:val="002D0742"/>
    <w:pPr>
      <w:spacing w:line="240" w:lineRule="auto"/>
    </w:pPr>
    <w:rPr>
      <w:sz w:val="20"/>
      <w:szCs w:val="20"/>
    </w:rPr>
  </w:style>
  <w:style w:type="character" w:customStyle="1" w:styleId="CommentTextChar">
    <w:name w:val="Comment Text Char"/>
    <w:basedOn w:val="DefaultParagraphFont"/>
    <w:link w:val="CommentText"/>
    <w:uiPriority w:val="99"/>
    <w:rsid w:val="002D0742"/>
    <w:rPr>
      <w:sz w:val="20"/>
      <w:szCs w:val="20"/>
      <w:lang w:eastAsia="en-US" w:bidi="ar-SA"/>
    </w:rPr>
  </w:style>
  <w:style w:type="paragraph" w:styleId="CommentSubject">
    <w:name w:val="annotation subject"/>
    <w:basedOn w:val="CommentText"/>
    <w:next w:val="CommentText"/>
    <w:link w:val="CommentSubjectChar"/>
    <w:uiPriority w:val="99"/>
    <w:semiHidden/>
    <w:unhideWhenUsed/>
    <w:rsid w:val="002D0742"/>
    <w:rPr>
      <w:b/>
      <w:bCs/>
    </w:rPr>
  </w:style>
  <w:style w:type="character" w:customStyle="1" w:styleId="CommentSubjectChar">
    <w:name w:val="Comment Subject Char"/>
    <w:basedOn w:val="CommentTextChar"/>
    <w:link w:val="CommentSubject"/>
    <w:uiPriority w:val="99"/>
    <w:semiHidden/>
    <w:rsid w:val="002D0742"/>
    <w:rPr>
      <w:b/>
      <w:bCs/>
      <w:sz w:val="20"/>
      <w:szCs w:val="20"/>
      <w:lang w:eastAsia="en-US" w:bidi="ar-SA"/>
    </w:rPr>
  </w:style>
  <w:style w:type="paragraph" w:styleId="ListParagraph">
    <w:name w:val="List Paragraph"/>
    <w:basedOn w:val="Normal"/>
    <w:link w:val="ListParagraphChar"/>
    <w:uiPriority w:val="34"/>
    <w:qFormat/>
    <w:rsid w:val="00781468"/>
    <w:pPr>
      <w:ind w:left="720"/>
      <w:contextualSpacing/>
    </w:pPr>
  </w:style>
  <w:style w:type="character" w:customStyle="1" w:styleId="UnresolvedMention1">
    <w:name w:val="Unresolved Mention1"/>
    <w:basedOn w:val="DefaultParagraphFont"/>
    <w:uiPriority w:val="99"/>
    <w:semiHidden/>
    <w:unhideWhenUsed/>
    <w:rsid w:val="001D250A"/>
    <w:rPr>
      <w:color w:val="605E5C"/>
      <w:shd w:val="clear" w:color="auto" w:fill="E1DFDD"/>
    </w:rPr>
  </w:style>
  <w:style w:type="character" w:customStyle="1" w:styleId="UnresolvedMention2">
    <w:name w:val="Unresolved Mention2"/>
    <w:basedOn w:val="DefaultParagraphFont"/>
    <w:uiPriority w:val="99"/>
    <w:semiHidden/>
    <w:unhideWhenUsed/>
    <w:rsid w:val="00CA10F0"/>
    <w:rPr>
      <w:color w:val="605E5C"/>
      <w:shd w:val="clear" w:color="auto" w:fill="E1DFDD"/>
    </w:rPr>
  </w:style>
  <w:style w:type="character" w:customStyle="1" w:styleId="ListParagraphChar">
    <w:name w:val="List Paragraph Char"/>
    <w:link w:val="ListParagraph"/>
    <w:uiPriority w:val="34"/>
    <w:locked/>
    <w:rsid w:val="009067E0"/>
    <w:rPr>
      <w:lang w:eastAsia="en-US" w:bidi="ar-SA"/>
    </w:rPr>
  </w:style>
  <w:style w:type="character" w:customStyle="1" w:styleId="UnresolvedMention3">
    <w:name w:val="Unresolved Mention3"/>
    <w:basedOn w:val="DefaultParagraphFont"/>
    <w:uiPriority w:val="99"/>
    <w:semiHidden/>
    <w:unhideWhenUsed/>
    <w:rsid w:val="00244BBA"/>
    <w:rPr>
      <w:color w:val="605E5C"/>
      <w:shd w:val="clear" w:color="auto" w:fill="E1DFDD"/>
    </w:rPr>
  </w:style>
  <w:style w:type="table" w:styleId="TableGrid">
    <w:name w:val="Table Grid"/>
    <w:basedOn w:val="TableNormal"/>
    <w:locked/>
    <w:rsid w:val="00271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972842">
      <w:bodyDiv w:val="1"/>
      <w:marLeft w:val="0"/>
      <w:marRight w:val="0"/>
      <w:marTop w:val="0"/>
      <w:marBottom w:val="0"/>
      <w:divBdr>
        <w:top w:val="none" w:sz="0" w:space="0" w:color="auto"/>
        <w:left w:val="none" w:sz="0" w:space="0" w:color="auto"/>
        <w:bottom w:val="none" w:sz="0" w:space="0" w:color="auto"/>
        <w:right w:val="none" w:sz="0" w:space="0" w:color="auto"/>
      </w:divBdr>
    </w:div>
    <w:div w:id="356470895">
      <w:bodyDiv w:val="1"/>
      <w:marLeft w:val="0"/>
      <w:marRight w:val="0"/>
      <w:marTop w:val="0"/>
      <w:marBottom w:val="0"/>
      <w:divBdr>
        <w:top w:val="none" w:sz="0" w:space="0" w:color="auto"/>
        <w:left w:val="none" w:sz="0" w:space="0" w:color="auto"/>
        <w:bottom w:val="none" w:sz="0" w:space="0" w:color="auto"/>
        <w:right w:val="none" w:sz="0" w:space="0" w:color="auto"/>
      </w:divBdr>
    </w:div>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180330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valeria.atzori@eesc.europa.eu"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ALL/?uri=CELEX%3A32007R1371" TargetMode="External"/><Relationship Id="rId13" Type="http://schemas.openxmlformats.org/officeDocument/2006/relationships/hyperlink" Target="https://eur-lex.europa.eu/legal-content/EN/TXT/?uri=OJ:C:2008:115:TOC" TargetMode="External"/><Relationship Id="rId3" Type="http://schemas.openxmlformats.org/officeDocument/2006/relationships/hyperlink" Target="https://eur-lex.europa.eu/legal-content/EN/ALL/?uri=CELEX%3A32006R1107" TargetMode="External"/><Relationship Id="rId7" Type="http://schemas.openxmlformats.org/officeDocument/2006/relationships/hyperlink" Target="https://eur-lex.europa.eu/legal-content/EN/TXT/?uri=CELEX%3A32003L0024" TargetMode="External"/><Relationship Id="rId12" Type="http://schemas.openxmlformats.org/officeDocument/2006/relationships/hyperlink" Target="https://eur-lex.europa.eu/legal-content/EN/TXT/?uri=CELEX%3A32016R0679" TargetMode="External"/><Relationship Id="rId2" Type="http://schemas.openxmlformats.org/officeDocument/2006/relationships/hyperlink" Target="https://eur-lex.europa.eu/legal-content/EN/TXT/?uri=uriserv%3AOJ.L_.2016.327.01.0001.01.ENG&amp;toc=OJ%3AL%3A2016%3A327%3ATOC" TargetMode="External"/><Relationship Id="rId16" Type="http://schemas.openxmlformats.org/officeDocument/2006/relationships/hyperlink" Target="http://www.w3.org/TR/WCAG20/" TargetMode="External"/><Relationship Id="rId1" Type="http://schemas.openxmlformats.org/officeDocument/2006/relationships/hyperlink" Target="https://eur-lex.europa.eu/legal-content/EN/TXT/?uri=CELEX%3A32019L0882" TargetMode="External"/><Relationship Id="rId6" Type="http://schemas.openxmlformats.org/officeDocument/2006/relationships/hyperlink" Target="https://eur-lex.europa.eu/legal-content/EN/ALL/?uri=celex%3A32010R1177" TargetMode="External"/><Relationship Id="rId11" Type="http://schemas.openxmlformats.org/officeDocument/2006/relationships/hyperlink" Target="https://eur-lex.europa.eu/legal-content/EN/TXT/?uri=CELEX:32001L0085" TargetMode="External"/><Relationship Id="rId5" Type="http://schemas.openxmlformats.org/officeDocument/2006/relationships/hyperlink" Target="https://eur-lex.europa.eu/legal-content/EN/ALL/?uri=celex%3A32010R1177" TargetMode="External"/><Relationship Id="rId15" Type="http://schemas.openxmlformats.org/officeDocument/2006/relationships/hyperlink" Target="https://eur-lex.europa.eu/legal-content/EN/TXT/?uri=CELEX%3A32016R0679" TargetMode="External"/><Relationship Id="rId10" Type="http://schemas.openxmlformats.org/officeDocument/2006/relationships/hyperlink" Target="https://eur-lex.europa.eu/legal-content/EN/ALL/?uri=CELEX%3A32011R0181" TargetMode="External"/><Relationship Id="rId4" Type="http://schemas.openxmlformats.org/officeDocument/2006/relationships/hyperlink" Target="https://eur-lex.europa.eu/legal-content/EN/TXT/?uri=CELEX%3A32004R0261" TargetMode="External"/><Relationship Id="rId9" Type="http://schemas.openxmlformats.org/officeDocument/2006/relationships/hyperlink" Target="https://eur-lex.europa.eu/legal-content/EN/TXT/?uri=CELEX:32014R1300" TargetMode="External"/><Relationship Id="rId14" Type="http://schemas.openxmlformats.org/officeDocument/2006/relationships/hyperlink" Target="https://ec.europa.eu/social/main.jsp?catId=738&amp;langId=en&amp;pubId=8407&amp;furtherPubs=y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CDB38A89627FC8409102604566BFD4EB" ma:contentTypeVersion="4" ma:contentTypeDescription="Defines the documents for Document Manager V2" ma:contentTypeScope="" ma:versionID="79414e5f06af0fe338c5606b96a21488">
  <xsd:schema xmlns:xsd="http://www.w3.org/2001/XMLSchema" xmlns:xs="http://www.w3.org/2001/XMLSchema" xmlns:p="http://schemas.microsoft.com/office/2006/metadata/properties" xmlns:ns2="56a5413d-c261-4a00-870c-a20d3379ae6d" xmlns:ns3="http://schemas.microsoft.com/sharepoint/v3/fields" xmlns:ns4="8759b006-28ee-44c8-b138-16f6ad18758c" targetNamespace="http://schemas.microsoft.com/office/2006/metadata/properties" ma:root="true" ma:fieldsID="afdf2a387991f46b25d49ecbd90ffb8b" ns2:_="" ns3:_="" ns4:_="">
    <xsd:import namespace="56a5413d-c261-4a00-870c-a20d3379ae6d"/>
    <xsd:import namespace="http://schemas.microsoft.com/sharepoint/v3/fields"/>
    <xsd:import namespace="8759b006-28ee-44c8-b138-16f6ad18758c"/>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5413d-c261-4a00-870c-a20d3379ae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8fc3fc4-2e3f-4257-97d9-99bc181f56c2}" ma:internalName="TaxCatchAll" ma:showField="CatchAllData"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8fc3fc4-2e3f-4257-97d9-99bc181f56c2}" ma:internalName="TaxCatchAllLabel" ma:readOnly="true" ma:showField="CatchAllDataLabel"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59b006-28ee-44c8-b138-16f6ad18758c"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56a5413d-c261-4a00-870c-a20d3379ae6d">XMKEDVFMMJCW-1266005036-7018</_dlc_DocId>
    <_dlc_DocIdUrl xmlns="56a5413d-c261-4a00-870c-a20d3379ae6d">
      <Url>http://dm2016/eesc/2023/_layouts/15/DocIdRedir.aspx?ID=XMKEDVFMMJCW-1266005036-7018</Url>
      <Description>XMKEDVFMMJCW-1266005036-7018</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Procedure xmlns="56a5413d-c261-4a00-870c-a20d3379ae6d"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6a5413d-c261-4a00-870c-a20d3379ae6d">2023-04-04T12:00:00+00:00</ProductionDate>
    <FicheYear xmlns="56a5413d-c261-4a00-870c-a20d3379ae6d" xsi:nil="true"/>
    <DocumentNumber xmlns="8759b006-28ee-44c8-b138-16f6ad18758c">525</DocumentNumber>
    <DocumentVersion xmlns="56a5413d-c261-4a00-870c-a20d3379ae6d">0</DocumentVersion>
    <DossierNumber xmlns="56a5413d-c261-4a00-870c-a20d3379ae6d">765</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6a5413d-c261-4a00-870c-a20d3379ae6d">2023-04-26T12:00:00+00:00</MeetingDate>
    <TaxCatchAll xmlns="56a5413d-c261-4a00-870c-a20d3379ae6d">
      <Value>132</Value>
      <Value>59</Value>
      <Value>49</Value>
      <Value>47</Value>
      <Value>46</Value>
      <Value>45</Value>
      <Value>44</Value>
      <Value>43</Value>
      <Value>42</Value>
      <Value>41</Value>
      <Value>40</Value>
      <Value>39</Value>
      <Value>38</Value>
      <Value>37</Value>
      <Value>36</Value>
      <Value>35</Value>
      <Value>34</Value>
      <Value>33</Value>
      <Value>32</Value>
      <Value>31</Value>
      <Value>30</Value>
      <Value>25</Value>
      <Value>24</Value>
      <Value>21</Value>
      <Value>16</Value>
      <Value>10</Value>
      <Value>9</Value>
      <Value>7</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56a5413d-c261-4a00-870c-a20d3379ae6d">VARDAKASTANIS</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56a5413d-c261-4a00-870c-a20d3379ae6d">2023</DocumentYear>
    <FicheNumber xmlns="56a5413d-c261-4a00-870c-a20d3379ae6d">1362</FicheNumber>
    <OriginalSender xmlns="56a5413d-c261-4a00-870c-a20d3379ae6d">
      <UserInfo>
        <DisplayName>TDriveSVCUserProd</DisplayName>
        <AccountId>1467</AccountId>
        <AccountType/>
      </UserInfo>
    </OriginalSender>
    <DocumentPart xmlns="56a5413d-c261-4a00-870c-a20d3379ae6d">0</DocumentPart>
    <AdoptionDate xmlns="56a5413d-c261-4a00-870c-a20d3379ae6d" xsi:nil="true"/>
    <RequestingService xmlns="56a5413d-c261-4a00-870c-a20d3379ae6d">Emploi, affaires sociales, citoyenneté</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8759b006-28ee-44c8-b138-16f6ad18758c">578</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SOC</TermName>
          <TermId xmlns="http://schemas.microsoft.com/office/infopath/2007/PartnerControls">13795804-ecbd-4ce5-9693-9b8be1981b20</TermId>
        </TermInfo>
      </Terms>
    </DossierName_0>
  </documentManagement>
</p:properties>
</file>

<file path=customXml/itemProps1.xml><?xml version="1.0" encoding="utf-8"?>
<ds:datastoreItem xmlns:ds="http://schemas.openxmlformats.org/officeDocument/2006/customXml" ds:itemID="{EAB790DC-9FD3-4252-B576-AC7390453B4A}">
  <ds:schemaRefs>
    <ds:schemaRef ds:uri="http://schemas.microsoft.com/sharepoint/v3/contenttype/forms"/>
  </ds:schemaRefs>
</ds:datastoreItem>
</file>

<file path=customXml/itemProps2.xml><?xml version="1.0" encoding="utf-8"?>
<ds:datastoreItem xmlns:ds="http://schemas.openxmlformats.org/officeDocument/2006/customXml" ds:itemID="{D60ACC34-015D-450C-BA9A-3A4B8479B781}">
  <ds:schemaRefs>
    <ds:schemaRef ds:uri="http://schemas.microsoft.com/sharepoint/events"/>
  </ds:schemaRefs>
</ds:datastoreItem>
</file>

<file path=customXml/itemProps3.xml><?xml version="1.0" encoding="utf-8"?>
<ds:datastoreItem xmlns:ds="http://schemas.openxmlformats.org/officeDocument/2006/customXml" ds:itemID="{5B78DFB0-D205-4117-A909-EADFB8ED3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a5413d-c261-4a00-870c-a20d3379ae6d"/>
    <ds:schemaRef ds:uri="http://schemas.microsoft.com/sharepoint/v3/fields"/>
    <ds:schemaRef ds:uri="8759b006-28ee-44c8-b138-16f6ad187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482D90-6BB8-401F-A60C-28810A40F38E}">
  <ds:schemaRefs>
    <ds:schemaRef ds:uri="http://schemas.microsoft.com/office/2006/metadata/properties"/>
    <ds:schemaRef ds:uri="http://schemas.microsoft.com/office/infopath/2007/PartnerControls"/>
    <ds:schemaRef ds:uri="56a5413d-c261-4a00-870c-a20d3379ae6d"/>
    <ds:schemaRef ds:uri="http://schemas.microsoft.com/sharepoint/v3/fields"/>
    <ds:schemaRef ds:uri="8759b006-28ee-44c8-b138-16f6ad18758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2949</Words>
  <Characters>16224</Characters>
  <Application>Microsoft Office Word</Application>
  <DocSecurity>0</DocSecurity>
  <Lines>135</Lines>
  <Paragraphs>38</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Christy has suggested an EDI</vt:lpstr>
      <vt:lpstr>DT- Working document - EESC revised model</vt:lpstr>
    </vt:vector>
  </TitlesOfParts>
  <Company>CESE-CdR</Company>
  <LinksUpToDate>false</LinksUpToDate>
  <CharactersWithSpaces>19135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European Disability Card</dc:title>
  <dc:subject>Section opinion</dc:subject>
  <dc:creator>Tomas Vocasek</dc:creator>
  <cp:keywords>EESC-2023-00525-00-00-AS-TRA-EN</cp:keywords>
  <dc:description>Rapporteur: - VARDAKASTANIS Original language: - EN Date of document: - 04/04/2023 Date of meeting: - 26/04/2023 External documents: -  Administrator responsible: - Mme ATZORI Valeria</dc:description>
  <cp:lastModifiedBy>Giulia D'Agnolo</cp:lastModifiedBy>
  <cp:revision>2</cp:revision>
  <cp:lastPrinted>2023-02-15T12:43:00Z</cp:lastPrinted>
  <dcterms:created xsi:type="dcterms:W3CDTF">2023-04-27T07:52:00Z</dcterms:created>
  <dcterms:modified xsi:type="dcterms:W3CDTF">2023-04-27T07:52:00Z</dcterms:modified>
  <cp:category>SOC/765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04/04/2023, 15/03/2023, 16/02/2023, 28/11/2022, 08/11/2022, 17/05/2022, 04/11/2015, 27/10/2015, 19/10/2015, 09/10/2015, 05/10/2015, 05/10/2015, 26/08/2015, 26/08/2015, 25/08/2015</vt:lpwstr>
  </property>
  <property fmtid="{D5CDD505-2E9C-101B-9397-08002B2CF9AE}" pid="4" name="Pref_Time">
    <vt:lpwstr>16:38:15, 16:32:47, 08:40:00, 09:03:59, 11:02:44, 12:59:17, 12/10/07, 14:44:02, 16/04/16, 14:09:30, 16:24:55, 16:04:02, 08:56:14, 07:27:56, 17:31:53</vt:lpwstr>
  </property>
  <property fmtid="{D5CDD505-2E9C-101B-9397-08002B2CF9AE}" pid="5" name="Pref_User">
    <vt:lpwstr>pacup, enied, enied, enied, pacup, enied, ssex, enied, amett, tvoc, mreg, mreg, amett, enied, ssex</vt:lpwstr>
  </property>
  <property fmtid="{D5CDD505-2E9C-101B-9397-08002B2CF9AE}" pid="6" name="Pref_FileName">
    <vt:lpwstr>EESC-2023-00525-00-00-AS-TRA.docx, EESC-2023-00525-00-00-PA-ORI.docx, EESC-2023-00525-00-00-DT-ORI.docx, EESC-2022-04849-00-00-APA-ORI.docx, EESC-2022-04849-00-00-DT-TRA.docx, COR-EESC-2022-02586-00-00-ADMIN-ORI.docx, EESC-2015-05408-00-00-PA-CRR-EN.docx,</vt:lpwstr>
  </property>
  <property fmtid="{D5CDD505-2E9C-101B-9397-08002B2CF9AE}" pid="7" name="ContentTypeId">
    <vt:lpwstr>0x010100EA97B91038054C99906057A708A1480A00CDB38A89627FC8409102604566BFD4EB</vt:lpwstr>
  </property>
  <property fmtid="{D5CDD505-2E9C-101B-9397-08002B2CF9AE}" pid="8" name="_dlc_DocIdItemGuid">
    <vt:lpwstr>d35bc992-017a-4400-89a1-7d4da2436b03</vt:lpwstr>
  </property>
  <property fmtid="{D5CDD505-2E9C-101B-9397-08002B2CF9AE}" pid="9" name="AvailableTranslations">
    <vt:lpwstr>44;#BG|1a1b3951-7821-4e6a-85f5-5673fc08bd2c;#49;#GA|762d2456-c427-4ecb-b312-af3dad8e258c;#25;#ES|e7a6b05b-ae16-40c8-add9-68b64b03aeba;#31;#NL|55c6556c-b4f4-441d-9acf-c498d4f838bd;#30;#IT|0774613c-01ed-4e5d-a25d-11d2388de825;#43;#DA|5d49c027-8956-412b-aa16-e85a0f96ad0e;#41;#HU|6b229040-c589-4408-b4c1-4285663d20a8;#34;#SK|46d9fce0-ef79-4f71-b89b-cd6aa82426b8;#33;#LV|46f7e311-5d9f-4663-b433-18aeccb7ace7;#21;#SV|c2ed69e7-a339-43d7-8f22-d93680a92aa0;#16;#DE|f6b31e5a-26fa-4935-b661-318e46daf27e;#45;#ET|ff6c3f4c-b02c-4c3c-ab07-2c37995a7a0a;#37;#CS|72f9705b-0217-4fd3-bea2-cbc7ed80e26e;#36;#MT|7df99101-6854-4a26-b53a-b88c0da02c26;#5;#EN|f2175f21-25d7-44a3-96da-d6a61b075e1b;#39;#LT|a7ff5ce7-6123-4f68-865a-a57c31810414;#40;#RO|feb747a2-64cd-4299-af12-4833ddc30497;#46;#HR|2f555653-ed1a-4fe6-8362-9082d95989e5;#35;#SL|98a412ae-eb01-49e9-ae3d-585a81724cfc;#32;#PT|50ccc04a-eadd-42ae-a0cb-acaf45f812ba;#24;#PL|1e03da61-4678-4e07-b136-b5024ca9197b;#10;#FR|d2afafd3-4c81-4f60-8f52-ee33f2f54ff3;#42;#FI|87606a43-d45f-42d6-b8c9-e1a3457db5b7;#38;#EL|6d4f4d51-af9b-4650-94b4-4276bee85c91</vt:lpwstr>
  </property>
  <property fmtid="{D5CDD505-2E9C-101B-9397-08002B2CF9AE}" pid="10" name="DocumentType_0">
    <vt:lpwstr>AS|c7a748eb-f6f2-4d9d-8b5a-af0cafebc224</vt:lpwstr>
  </property>
  <property fmtid="{D5CDD505-2E9C-101B-9397-08002B2CF9AE}" pid="11" name="MeetingNumber">
    <vt:i4>578</vt:i4>
  </property>
  <property fmtid="{D5CDD505-2E9C-101B-9397-08002B2CF9AE}" pid="12" name="DossierName_0">
    <vt:lpwstr>SOC|13795804-ecbd-4ce5-9693-9b8be1981b20</vt:lpwstr>
  </property>
  <property fmtid="{D5CDD505-2E9C-101B-9397-08002B2CF9AE}" pid="13" name="DocumentSource_0">
    <vt:lpwstr>EESC|422833ec-8d7e-4e65-8e4e-8bed07ffb729</vt:lpwstr>
  </property>
  <property fmtid="{D5CDD505-2E9C-101B-9397-08002B2CF9AE}" pid="14" name="DocumentNumber">
    <vt:i4>525</vt:i4>
  </property>
  <property fmtid="{D5CDD505-2E9C-101B-9397-08002B2CF9AE}" pid="15" name="FicheYear">
    <vt:i4>2023</vt:i4>
  </property>
  <property fmtid="{D5CDD505-2E9C-101B-9397-08002B2CF9AE}" pid="16" name="DocumentVersion">
    <vt:i4>0</vt:i4>
  </property>
  <property fmtid="{D5CDD505-2E9C-101B-9397-08002B2CF9AE}" pid="17" name="DossierNumber">
    <vt:i4>765</vt:i4>
  </property>
  <property fmtid="{D5CDD505-2E9C-101B-9397-08002B2CF9AE}" pid="18" name="DocumentStatus">
    <vt:lpwstr>3;#TRA|150d2a88-1431-44e6-a8ca-0bb753ab8672</vt:lpwstr>
  </property>
  <property fmtid="{D5CDD505-2E9C-101B-9397-08002B2CF9AE}" pid="19" name="DocumentPart">
    <vt:i4>0</vt:i4>
  </property>
  <property fmtid="{D5CDD505-2E9C-101B-9397-08002B2CF9AE}" pid="20" name="DossierName">
    <vt:lpwstr>47;#SOC|13795804-ecbd-4ce5-9693-9b8be1981b20</vt:lpwstr>
  </property>
  <property fmtid="{D5CDD505-2E9C-101B-9397-08002B2CF9AE}" pid="21" name="DocumentSource">
    <vt:lpwstr>1;#EESC|422833ec-8d7e-4e65-8e4e-8bed07ffb729</vt:lpwstr>
  </property>
  <property fmtid="{D5CDD505-2E9C-101B-9397-08002B2CF9AE}" pid="22" name="DocumentType">
    <vt:lpwstr>132;#AS|c7a748eb-f6f2-4d9d-8b5a-af0cafebc224</vt:lpwstr>
  </property>
  <property fmtid="{D5CDD505-2E9C-101B-9397-08002B2CF9AE}" pid="23" name="RequestingService">
    <vt:lpwstr>Emploi, affaires sociales, citoyenneté</vt:lpwstr>
  </property>
  <property fmtid="{D5CDD505-2E9C-101B-9397-08002B2CF9AE}" pid="24" name="Confidentiality">
    <vt:lpwstr>9;#Unrestricted|826e22d7-d029-4ec0-a450-0c28ff673572</vt:lpwstr>
  </property>
  <property fmtid="{D5CDD505-2E9C-101B-9397-08002B2CF9AE}" pid="25" name="MeetingName_0">
    <vt:lpwstr>SPL-CES|32d8cb1f-c9ec-4365-95c7-8385a18618ac</vt:lpwstr>
  </property>
  <property fmtid="{D5CDD505-2E9C-101B-9397-08002B2CF9AE}" pid="26" name="Confidentiality_0">
    <vt:lpwstr>Unrestricted|826e22d7-d029-4ec0-a450-0c28ff673572</vt:lpwstr>
  </property>
  <property fmtid="{D5CDD505-2E9C-101B-9397-08002B2CF9AE}" pid="27" name="OriginalLanguage">
    <vt:lpwstr>5;#EN|f2175f21-25d7-44a3-96da-d6a61b075e1b</vt:lpwstr>
  </property>
  <property fmtid="{D5CDD505-2E9C-101B-9397-08002B2CF9AE}" pid="28" name="MeetingName">
    <vt:lpwstr>59;#SPL-CES|32d8cb1f-c9ec-4365-95c7-8385a18618ac</vt:lpwstr>
  </property>
  <property fmtid="{D5CDD505-2E9C-101B-9397-08002B2CF9AE}" pid="29" name="MeetingDate">
    <vt:filetime>2023-04-26T12:00:00Z</vt:filetime>
  </property>
  <property fmtid="{D5CDD505-2E9C-101B-9397-08002B2CF9AE}" pid="30" name="AvailableTranslations_0">
    <vt:lpwstr/>
  </property>
  <property fmtid="{D5CDD505-2E9C-101B-9397-08002B2CF9AE}" pid="31" name="DocumentStatus_0">
    <vt:lpwstr>TRA|150d2a88-1431-44e6-a8ca-0bb753ab8672</vt:lpwstr>
  </property>
  <property fmtid="{D5CDD505-2E9C-101B-9397-08002B2CF9AE}" pid="32" name="OriginalLanguage_0">
    <vt:lpwstr>EN|f2175f21-25d7-44a3-96da-d6a61b075e1b</vt:lpwstr>
  </property>
  <property fmtid="{D5CDD505-2E9C-101B-9397-08002B2CF9AE}" pid="33" name="TaxCatchAll">
    <vt:lpwstr>47;#SOC|13795804-ecbd-4ce5-9693-9b8be1981b20;#9;#Unrestricted|826e22d7-d029-4ec0-a450-0c28ff673572;#59;#SPL-CES|32d8cb1f-c9ec-4365-95c7-8385a18618ac;#7;#Final|ea5e6674-7b27-4bac-b091-73adbb394efe;#132;#AS|c7a748eb-f6f2-4d9d-8b5a-af0cafebc224;#5;#EN|f2175f21-25d7-44a3-96da-d6a61b075e1b;#3;#TRA|150d2a88-1431-44e6-a8ca-0bb753ab8672;#1;#EESC|422833ec-8d7e-4e65-8e4e-8bed07ffb729</vt:lpwstr>
  </property>
  <property fmtid="{D5CDD505-2E9C-101B-9397-08002B2CF9AE}" pid="34" name="Rapporteur">
    <vt:lpwstr>VARDAKASTANIS</vt:lpwstr>
  </property>
  <property fmtid="{D5CDD505-2E9C-101B-9397-08002B2CF9AE}" pid="35" name="VersionStatus_0">
    <vt:lpwstr>Final|ea5e6674-7b27-4bac-b091-73adbb394efe</vt:lpwstr>
  </property>
  <property fmtid="{D5CDD505-2E9C-101B-9397-08002B2CF9AE}" pid="36" name="VersionStatus">
    <vt:lpwstr>7;#Final|ea5e6674-7b27-4bac-b091-73adbb394efe</vt:lpwstr>
  </property>
  <property fmtid="{D5CDD505-2E9C-101B-9397-08002B2CF9AE}" pid="37" name="DocumentYear">
    <vt:i4>2023</vt:i4>
  </property>
  <property fmtid="{D5CDD505-2E9C-101B-9397-08002B2CF9AE}" pid="38" name="FicheNumber">
    <vt:i4>1362</vt:i4>
  </property>
  <property fmtid="{D5CDD505-2E9C-101B-9397-08002B2CF9AE}" pid="39" name="DocumentLanguage">
    <vt:lpwstr>5;#EN|f2175f21-25d7-44a3-96da-d6a61b075e1b</vt:lpwstr>
  </property>
  <property fmtid="{D5CDD505-2E9C-101B-9397-08002B2CF9AE}" pid="40" name="_docset_NoMedatataSyncRequired">
    <vt:lpwstr>False</vt:lpwstr>
  </property>
</Properties>
</file>