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4BFA" w14:textId="1A63BA11" w:rsidR="00F31C5C" w:rsidRDefault="00F31C5C" w:rsidP="00A229C5">
      <w:pPr>
        <w:pStyle w:val="Heading1"/>
        <w:rPr>
          <w:shd w:val="clear" w:color="auto" w:fill="FFFFFF"/>
          <w:lang w:val="en-GB"/>
        </w:rPr>
      </w:pPr>
      <w:r>
        <w:rPr>
          <w:noProof/>
        </w:rPr>
        <w:drawing>
          <wp:anchor distT="0" distB="0" distL="114300" distR="114300" simplePos="0" relativeHeight="251658240" behindDoc="0" locked="0" layoutInCell="1" allowOverlap="1" wp14:anchorId="70DBCAC6" wp14:editId="6BAEBF12">
            <wp:simplePos x="914400" y="1066800"/>
            <wp:positionH relativeFrom="margin">
              <wp:align>left</wp:align>
            </wp:positionH>
            <wp:positionV relativeFrom="paragraph">
              <wp:align>top</wp:align>
            </wp:positionV>
            <wp:extent cx="971550" cy="1212850"/>
            <wp:effectExtent l="0" t="0" r="0" b="6350"/>
            <wp:wrapSquare wrapText="bothSides"/>
            <wp:docPr id="621994530" name="Picture 621994530"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94530" name="Picture 1" descr="A blue and red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1212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DDD">
        <w:rPr>
          <w:shd w:val="clear" w:color="auto" w:fill="FFFFFF"/>
          <w:lang w:val="en-GB"/>
        </w:rPr>
        <w:br w:type="textWrapping" w:clear="all"/>
      </w:r>
    </w:p>
    <w:p w14:paraId="250A46BC" w14:textId="77777777" w:rsidR="00F31C5C" w:rsidRDefault="00A229C5" w:rsidP="00F31C5C">
      <w:pPr>
        <w:pStyle w:val="Heading1"/>
        <w:jc w:val="center"/>
        <w:rPr>
          <w:shd w:val="clear" w:color="auto" w:fill="FFFFFF"/>
          <w:lang w:val="en-GB"/>
        </w:rPr>
      </w:pPr>
      <w:r w:rsidRPr="00152D67">
        <w:rPr>
          <w:shd w:val="clear" w:color="auto" w:fill="FFFFFF"/>
          <w:lang w:val="en-GB"/>
        </w:rPr>
        <w:t>E</w:t>
      </w:r>
      <w:r w:rsidR="003906BE" w:rsidRPr="00152D67">
        <w:rPr>
          <w:shd w:val="clear" w:color="auto" w:fill="FFFFFF"/>
          <w:lang w:val="en-GB"/>
        </w:rPr>
        <w:t xml:space="preserve">uropean </w:t>
      </w:r>
      <w:r w:rsidRPr="00152D67">
        <w:rPr>
          <w:shd w:val="clear" w:color="auto" w:fill="FFFFFF"/>
          <w:lang w:val="en-GB"/>
        </w:rPr>
        <w:t>D</w:t>
      </w:r>
      <w:r w:rsidR="003906BE" w:rsidRPr="00152D67">
        <w:rPr>
          <w:shd w:val="clear" w:color="auto" w:fill="FFFFFF"/>
          <w:lang w:val="en-GB"/>
        </w:rPr>
        <w:t xml:space="preserve">isability </w:t>
      </w:r>
      <w:r w:rsidRPr="00152D67">
        <w:rPr>
          <w:shd w:val="clear" w:color="auto" w:fill="FFFFFF"/>
          <w:lang w:val="en-GB"/>
        </w:rPr>
        <w:t>F</w:t>
      </w:r>
      <w:r w:rsidR="003906BE" w:rsidRPr="00152D67">
        <w:rPr>
          <w:shd w:val="clear" w:color="auto" w:fill="FFFFFF"/>
          <w:lang w:val="en-GB"/>
        </w:rPr>
        <w:t>orum (EDF)</w:t>
      </w:r>
      <w:r w:rsidRPr="00152D67">
        <w:rPr>
          <w:shd w:val="clear" w:color="auto" w:fill="FFFFFF"/>
          <w:lang w:val="en-GB"/>
        </w:rPr>
        <w:t xml:space="preserve"> submission </w:t>
      </w:r>
      <w:r w:rsidR="00F31C5C">
        <w:rPr>
          <w:shd w:val="clear" w:color="auto" w:fill="FFFFFF"/>
          <w:lang w:val="en-GB"/>
        </w:rPr>
        <w:t xml:space="preserve">to </w:t>
      </w:r>
      <w:r w:rsidRPr="00152D67">
        <w:rPr>
          <w:shd w:val="clear" w:color="auto" w:fill="FFFFFF"/>
          <w:lang w:val="en-GB"/>
        </w:rPr>
        <w:t>the public consultation</w:t>
      </w:r>
      <w:r w:rsidR="00F31C5C">
        <w:rPr>
          <w:shd w:val="clear" w:color="auto" w:fill="FFFFFF"/>
          <w:lang w:val="en-GB"/>
        </w:rPr>
        <w:t>:</w:t>
      </w:r>
    </w:p>
    <w:p w14:paraId="0ECBD733" w14:textId="1648502C" w:rsidR="001E7187" w:rsidRDefault="00A229C5" w:rsidP="00F31C5C">
      <w:pPr>
        <w:pStyle w:val="Heading1"/>
        <w:jc w:val="center"/>
        <w:rPr>
          <w:shd w:val="clear" w:color="auto" w:fill="FFFFFF"/>
          <w:lang w:val="en-GB"/>
        </w:rPr>
      </w:pPr>
      <w:r w:rsidRPr="00152D67">
        <w:rPr>
          <w:shd w:val="clear" w:color="auto" w:fill="FFFFFF"/>
          <w:lang w:val="en-GB"/>
        </w:rPr>
        <w:t>European Commission financing instruments for external action</w:t>
      </w:r>
      <w:r w:rsidR="003B4E3A">
        <w:rPr>
          <w:rStyle w:val="FootnoteReference"/>
          <w:shd w:val="clear" w:color="auto" w:fill="FFFFFF"/>
        </w:rPr>
        <w:footnoteReference w:id="2"/>
      </w:r>
    </w:p>
    <w:p w14:paraId="3C6D4E19" w14:textId="77777777" w:rsidR="005769E3" w:rsidRDefault="005769E3" w:rsidP="00F31C5C">
      <w:pPr>
        <w:rPr>
          <w:lang w:val="en-GB"/>
        </w:rPr>
      </w:pPr>
    </w:p>
    <w:p w14:paraId="00F9A799" w14:textId="5A2E16E9" w:rsidR="00F31C5C" w:rsidRPr="005769E3" w:rsidRDefault="005769E3" w:rsidP="00F31C5C">
      <w:pPr>
        <w:rPr>
          <w:i/>
          <w:iCs/>
          <w:lang w:val="en-GB"/>
        </w:rPr>
      </w:pPr>
      <w:r w:rsidRPr="005769E3">
        <w:rPr>
          <w:i/>
          <w:iCs/>
          <w:lang w:val="en-GB"/>
        </w:rPr>
        <w:t>20</w:t>
      </w:r>
      <w:r w:rsidRPr="005769E3">
        <w:rPr>
          <w:i/>
          <w:iCs/>
          <w:vertAlign w:val="superscript"/>
          <w:lang w:val="en-GB"/>
        </w:rPr>
        <w:t>th</w:t>
      </w:r>
      <w:r w:rsidRPr="005769E3">
        <w:rPr>
          <w:i/>
          <w:iCs/>
          <w:lang w:val="en-GB"/>
        </w:rPr>
        <w:t xml:space="preserve"> June 2023</w:t>
      </w:r>
    </w:p>
    <w:p w14:paraId="04F9DCD4" w14:textId="13018C21" w:rsidR="00703AB4" w:rsidRPr="00152D67" w:rsidRDefault="00F31C5C" w:rsidP="0056424C">
      <w:pPr>
        <w:pStyle w:val="Heading2"/>
        <w:rPr>
          <w:lang w:val="en-GB"/>
        </w:rPr>
      </w:pPr>
      <w:r>
        <w:rPr>
          <w:lang w:val="en-GB"/>
        </w:rPr>
        <w:t xml:space="preserve">The European Disability Forum </w:t>
      </w:r>
    </w:p>
    <w:p w14:paraId="400E486D" w14:textId="73C1B4D3" w:rsidR="00224C1B" w:rsidRDefault="00000000" w:rsidP="00224C1B">
      <w:pPr>
        <w:spacing w:after="120"/>
        <w:rPr>
          <w:lang w:val="en-GB"/>
        </w:rPr>
      </w:pPr>
      <w:hyperlink r:id="rId12" w:history="1">
        <w:r w:rsidR="00224C1B" w:rsidRPr="00F31C5C">
          <w:rPr>
            <w:rStyle w:val="Hyperlink"/>
            <w:bCs/>
            <w:lang w:val="en-GB"/>
          </w:rPr>
          <w:t>European Disability Forum</w:t>
        </w:r>
      </w:hyperlink>
      <w:r w:rsidR="00224C1B" w:rsidRPr="00152D67">
        <w:rPr>
          <w:bCs/>
          <w:lang w:val="en-GB"/>
        </w:rPr>
        <w:t xml:space="preserve"> (EDF)</w:t>
      </w:r>
      <w:r w:rsidR="00224C1B" w:rsidRPr="00152D67">
        <w:rPr>
          <w:b/>
          <w:lang w:val="en-GB"/>
        </w:rPr>
        <w:t xml:space="preserve"> </w:t>
      </w:r>
      <w:r w:rsidR="00224C1B" w:rsidRPr="00152D67">
        <w:rPr>
          <w:lang w:val="en-GB"/>
        </w:rPr>
        <w:t>is an umbrella organisation of persons with disabilities that defends the interests of Europeans with disabilities. EDF is a strong, united voice of persons with disabilities in Europe. EDF also plays an active role in ensuring persons with disabilities and their representative organisations are included in E</w:t>
      </w:r>
      <w:r w:rsidR="00555D21" w:rsidRPr="00152D67">
        <w:rPr>
          <w:lang w:val="en-GB"/>
        </w:rPr>
        <w:t xml:space="preserve">uropean </w:t>
      </w:r>
      <w:r w:rsidR="00224C1B" w:rsidRPr="00152D67">
        <w:rPr>
          <w:lang w:val="en-GB"/>
        </w:rPr>
        <w:t>U</w:t>
      </w:r>
      <w:r w:rsidR="00555D21" w:rsidRPr="00152D67">
        <w:rPr>
          <w:lang w:val="en-GB"/>
        </w:rPr>
        <w:t>nion</w:t>
      </w:r>
      <w:r w:rsidR="00224C1B" w:rsidRPr="00152D67">
        <w:rPr>
          <w:lang w:val="en-GB"/>
        </w:rPr>
        <w:t xml:space="preserve"> </w:t>
      </w:r>
      <w:r w:rsidR="00BE5C09" w:rsidRPr="00152D67">
        <w:rPr>
          <w:lang w:val="en-GB"/>
        </w:rPr>
        <w:t xml:space="preserve">(EU) </w:t>
      </w:r>
      <w:r w:rsidR="00224C1B" w:rsidRPr="00152D67">
        <w:rPr>
          <w:lang w:val="en-GB"/>
        </w:rPr>
        <w:t xml:space="preserve">external action. </w:t>
      </w:r>
    </w:p>
    <w:p w14:paraId="2B7B9294" w14:textId="5BE409FC" w:rsidR="00F31C5C" w:rsidRDefault="00F31C5C" w:rsidP="00224C1B">
      <w:pPr>
        <w:spacing w:after="120"/>
        <w:rPr>
          <w:lang w:val="en-GB"/>
        </w:rPr>
      </w:pPr>
      <w:r>
        <w:rPr>
          <w:lang w:val="en-GB"/>
        </w:rPr>
        <w:t xml:space="preserve">For more information, contact Marion Steff, International Cooperation Manager: </w:t>
      </w:r>
      <w:hyperlink r:id="rId13" w:history="1">
        <w:r w:rsidRPr="00F41837">
          <w:rPr>
            <w:rStyle w:val="Hyperlink"/>
            <w:lang w:val="en-GB"/>
          </w:rPr>
          <w:t>marion.steff@edf-feph.org</w:t>
        </w:r>
      </w:hyperlink>
      <w:r>
        <w:rPr>
          <w:lang w:val="en-GB"/>
        </w:rPr>
        <w:t xml:space="preserve"> </w:t>
      </w:r>
    </w:p>
    <w:p w14:paraId="133C880B" w14:textId="77777777" w:rsidR="00F31C5C" w:rsidRDefault="00F31C5C" w:rsidP="00224C1B">
      <w:pPr>
        <w:spacing w:after="120"/>
        <w:rPr>
          <w:lang w:val="en-GB"/>
        </w:rPr>
      </w:pPr>
    </w:p>
    <w:p w14:paraId="638C07D6" w14:textId="47C41DCA" w:rsidR="00F31C5C" w:rsidRPr="00152D67" w:rsidRDefault="00F31C5C" w:rsidP="00F31C5C">
      <w:pPr>
        <w:pStyle w:val="Heading2"/>
        <w:rPr>
          <w:lang w:val="en-GB"/>
        </w:rPr>
      </w:pPr>
      <w:r>
        <w:rPr>
          <w:lang w:val="en-GB"/>
        </w:rPr>
        <w:t>Introduction</w:t>
      </w:r>
    </w:p>
    <w:p w14:paraId="79089754" w14:textId="17ABB3FE" w:rsidR="00555D21" w:rsidRDefault="00224C1B" w:rsidP="00224C1B">
      <w:pPr>
        <w:spacing w:after="120"/>
      </w:pPr>
      <w:r w:rsidRPr="00152D67">
        <w:rPr>
          <w:lang w:val="en-GB"/>
        </w:rPr>
        <w:t xml:space="preserve">This submission </w:t>
      </w:r>
      <w:r w:rsidR="00555D21" w:rsidRPr="00152D67">
        <w:rPr>
          <w:lang w:val="en-GB"/>
        </w:rPr>
        <w:t xml:space="preserve">provides inputs to the public consultation on European Commission (EC) financing instruments for external action. </w:t>
      </w:r>
      <w:r w:rsidR="00555D21">
        <w:t xml:space="preserve">The </w:t>
      </w:r>
      <w:proofErr w:type="spellStart"/>
      <w:r w:rsidR="00555D21">
        <w:t>submission</w:t>
      </w:r>
      <w:proofErr w:type="spellEnd"/>
      <w:r w:rsidR="00555D21">
        <w:t xml:space="preserve"> </w:t>
      </w:r>
      <w:proofErr w:type="spellStart"/>
      <w:r w:rsidR="00555D21">
        <w:t>is</w:t>
      </w:r>
      <w:proofErr w:type="spellEnd"/>
      <w:r w:rsidR="00555D21">
        <w:t xml:space="preserve"> </w:t>
      </w:r>
      <w:proofErr w:type="spellStart"/>
      <w:r w:rsidR="00555D21">
        <w:t>tightly</w:t>
      </w:r>
      <w:proofErr w:type="spellEnd"/>
      <w:r w:rsidR="00555D21">
        <w:t xml:space="preserve"> </w:t>
      </w:r>
      <w:proofErr w:type="spellStart"/>
      <w:r w:rsidR="00555D21">
        <w:t>focused</w:t>
      </w:r>
      <w:proofErr w:type="spellEnd"/>
      <w:r w:rsidR="00555D21">
        <w:t xml:space="preserve">, </w:t>
      </w:r>
      <w:proofErr w:type="spellStart"/>
      <w:r w:rsidR="00555D21">
        <w:t>reflecting</w:t>
      </w:r>
      <w:proofErr w:type="spellEnd"/>
      <w:r w:rsidR="00555D21">
        <w:t xml:space="preserve"> </w:t>
      </w:r>
      <w:proofErr w:type="spellStart"/>
      <w:r w:rsidR="00555D21">
        <w:t>EDF’s</w:t>
      </w:r>
      <w:proofErr w:type="spellEnd"/>
      <w:r w:rsidR="00555D21">
        <w:t xml:space="preserve"> </w:t>
      </w:r>
      <w:proofErr w:type="spellStart"/>
      <w:r w:rsidR="00555D21">
        <w:t>core</w:t>
      </w:r>
      <w:proofErr w:type="spellEnd"/>
      <w:r w:rsidR="00555D21">
        <w:t xml:space="preserve"> expertise :</w:t>
      </w:r>
    </w:p>
    <w:p w14:paraId="77E12346" w14:textId="0B1C714B" w:rsidR="00555D21" w:rsidRPr="00152D67" w:rsidRDefault="00555D21" w:rsidP="00555D21">
      <w:pPr>
        <w:pStyle w:val="ListParagraph"/>
        <w:numPr>
          <w:ilvl w:val="0"/>
          <w:numId w:val="1"/>
        </w:numPr>
        <w:spacing w:after="120"/>
        <w:rPr>
          <w:lang w:val="en-GB"/>
        </w:rPr>
      </w:pPr>
      <w:r w:rsidRPr="00152D67">
        <w:rPr>
          <w:lang w:val="en-GB"/>
        </w:rPr>
        <w:t xml:space="preserve">The submission focuses specifically on the Neighbourhood, </w:t>
      </w:r>
      <w:proofErr w:type="gramStart"/>
      <w:r w:rsidRPr="00152D67">
        <w:rPr>
          <w:lang w:val="en-GB"/>
        </w:rPr>
        <w:t>Development</w:t>
      </w:r>
      <w:proofErr w:type="gramEnd"/>
      <w:r w:rsidRPr="00152D67">
        <w:rPr>
          <w:lang w:val="en-GB"/>
        </w:rPr>
        <w:t xml:space="preserve"> and International Cooperation Instrument (NDICI): it does not seek to comment on other instruments. </w:t>
      </w:r>
    </w:p>
    <w:p w14:paraId="57DE724E" w14:textId="4CE27441" w:rsidR="00224C1B" w:rsidRPr="00152D67" w:rsidRDefault="00555D21">
      <w:pPr>
        <w:pStyle w:val="ListParagraph"/>
        <w:numPr>
          <w:ilvl w:val="0"/>
          <w:numId w:val="1"/>
        </w:numPr>
        <w:spacing w:after="120"/>
        <w:rPr>
          <w:lang w:val="en-GB"/>
        </w:rPr>
      </w:pPr>
      <w:r w:rsidRPr="00152D67">
        <w:rPr>
          <w:lang w:val="en-GB"/>
        </w:rPr>
        <w:t xml:space="preserve">The submission focuses on </w:t>
      </w:r>
      <w:r w:rsidR="00101F3A" w:rsidRPr="00152D67">
        <w:rPr>
          <w:lang w:val="en-GB"/>
        </w:rPr>
        <w:t xml:space="preserve">direct </w:t>
      </w:r>
      <w:r w:rsidRPr="00152D67">
        <w:rPr>
          <w:lang w:val="en-GB"/>
        </w:rPr>
        <w:t xml:space="preserve">steps that should be taken to align </w:t>
      </w:r>
      <w:r w:rsidR="00C939AF" w:rsidRPr="00152D67">
        <w:rPr>
          <w:lang w:val="en-GB"/>
        </w:rPr>
        <w:t>Official Development Assistance (ODA) spending</w:t>
      </w:r>
      <w:r w:rsidRPr="00152D67">
        <w:rPr>
          <w:lang w:val="en-GB"/>
        </w:rPr>
        <w:t xml:space="preserve"> with the United Nations Convention on the Rights of Persons with Disabilities (UN CRPD). While wider aspects of the design and implementation of the NDICI, such as the use </w:t>
      </w:r>
      <w:r w:rsidR="00C939AF" w:rsidRPr="00152D67">
        <w:rPr>
          <w:lang w:val="en-GB"/>
        </w:rPr>
        <w:t xml:space="preserve">of ODA in </w:t>
      </w:r>
      <w:r w:rsidRPr="00152D67">
        <w:rPr>
          <w:lang w:val="en-GB"/>
        </w:rPr>
        <w:t>blended finance, may also have a</w:t>
      </w:r>
      <w:r w:rsidR="00101F3A" w:rsidRPr="00152D67">
        <w:rPr>
          <w:lang w:val="en-GB"/>
        </w:rPr>
        <w:t>n indirect</w:t>
      </w:r>
      <w:r w:rsidRPr="00152D67">
        <w:rPr>
          <w:lang w:val="en-GB"/>
        </w:rPr>
        <w:t xml:space="preserve"> bearing on the enjoyment of rights by persons with disabilities,</w:t>
      </w:r>
      <w:r w:rsidR="00E41A65" w:rsidRPr="0034476D">
        <w:rPr>
          <w:rStyle w:val="FootnoteReference"/>
        </w:rPr>
        <w:footnoteReference w:id="3"/>
      </w:r>
      <w:r w:rsidRPr="00152D67">
        <w:rPr>
          <w:lang w:val="en-GB"/>
        </w:rPr>
        <w:t xml:space="preserve"> these wider aspects are beyond the scope of this submission.</w:t>
      </w:r>
    </w:p>
    <w:p w14:paraId="1CAF66A2" w14:textId="3055BECC" w:rsidR="0034476D" w:rsidRPr="00152D67" w:rsidRDefault="0034476D" w:rsidP="0034476D">
      <w:pPr>
        <w:spacing w:after="120"/>
        <w:rPr>
          <w:lang w:val="en-GB"/>
        </w:rPr>
      </w:pPr>
      <w:r w:rsidRPr="00152D67">
        <w:rPr>
          <w:lang w:val="en-GB"/>
        </w:rPr>
        <w:t>The main body of the submission makes overarching comments on the design and implementation of the INFF. Annex 1 makes some more specific comments relating to Question 5 of the EC’s evaluation questionnaire.</w:t>
      </w:r>
      <w:r w:rsidR="00101F3A" w:rsidRPr="00152D67">
        <w:rPr>
          <w:lang w:val="en-GB"/>
        </w:rPr>
        <w:t xml:space="preserve"> Annexes 2 and 3 present the results of some more detailed analysis of relevant qualitative and quantitative data.</w:t>
      </w:r>
    </w:p>
    <w:p w14:paraId="3A864AFB" w14:textId="0C6D297C" w:rsidR="00703AB4" w:rsidRPr="00152D67" w:rsidRDefault="003E2F42" w:rsidP="0056424C">
      <w:pPr>
        <w:pStyle w:val="Heading2"/>
        <w:rPr>
          <w:lang w:val="en-GB"/>
        </w:rPr>
      </w:pPr>
      <w:r w:rsidRPr="00152D67">
        <w:rPr>
          <w:lang w:val="en-GB"/>
        </w:rPr>
        <w:lastRenderedPageBreak/>
        <w:t>Upholding the r</w:t>
      </w:r>
      <w:r w:rsidR="00703AB4" w:rsidRPr="00152D67">
        <w:rPr>
          <w:lang w:val="en-GB"/>
        </w:rPr>
        <w:t>ights of persons with disabilities</w:t>
      </w:r>
      <w:r w:rsidRPr="00152D67">
        <w:rPr>
          <w:lang w:val="en-GB"/>
        </w:rPr>
        <w:t xml:space="preserve"> in </w:t>
      </w:r>
      <w:r w:rsidR="00C939AF" w:rsidRPr="00152D67">
        <w:rPr>
          <w:lang w:val="en-GB"/>
        </w:rPr>
        <w:t>ODA programmes</w:t>
      </w:r>
    </w:p>
    <w:p w14:paraId="05213710" w14:textId="4CD8D6D5" w:rsidR="00A0604C" w:rsidRPr="009C0EEE" w:rsidRDefault="00BE5C09" w:rsidP="00AB57A8">
      <w:pPr>
        <w:rPr>
          <w:lang w:val="en-GB"/>
        </w:rPr>
      </w:pPr>
      <w:r w:rsidRPr="00152D67">
        <w:rPr>
          <w:lang w:val="en-GB"/>
        </w:rPr>
        <w:t xml:space="preserve">Ensuring that persons with disabilities participate in </w:t>
      </w:r>
      <w:r w:rsidR="00C939AF" w:rsidRPr="00152D67">
        <w:rPr>
          <w:lang w:val="en-GB"/>
        </w:rPr>
        <w:t>ODA programmes</w:t>
      </w:r>
      <w:r w:rsidRPr="00152D67">
        <w:rPr>
          <w:lang w:val="en-GB"/>
        </w:rPr>
        <w:t xml:space="preserve"> on an equal basis with other people is not only a basic matter of social justice. It is also a human rights obligation under the UN CRPD, to which the EU is a State Party</w:t>
      </w:r>
      <w:r w:rsidR="00821808" w:rsidRPr="00152D67">
        <w:rPr>
          <w:lang w:val="en-GB"/>
        </w:rPr>
        <w:t xml:space="preserve"> : for example, CRPD Article 32 deals explicitly with international cooperation, and sets out the need for </w:t>
      </w:r>
      <w:r w:rsidR="00B3048A" w:rsidRPr="00152D67">
        <w:rPr>
          <w:lang w:val="en-GB"/>
        </w:rPr>
        <w:t>such</w:t>
      </w:r>
      <w:r w:rsidR="00821808" w:rsidRPr="00152D67">
        <w:rPr>
          <w:lang w:val="en-GB"/>
        </w:rPr>
        <w:t xml:space="preserve"> cooperation to be « inclusive of and accessible to persons with disabilities ».</w:t>
      </w:r>
      <w:r w:rsidR="00821808">
        <w:rPr>
          <w:rStyle w:val="FootnoteReference"/>
        </w:rPr>
        <w:footnoteReference w:id="4"/>
      </w:r>
      <w:r w:rsidR="00B3048A" w:rsidRPr="00152D67">
        <w:rPr>
          <w:lang w:val="en-GB"/>
        </w:rPr>
        <w:t xml:space="preserve"> </w:t>
      </w:r>
      <w:r w:rsidR="009B2B09" w:rsidRPr="009C0EEE">
        <w:rPr>
          <w:lang w:val="en-GB"/>
        </w:rPr>
        <w:t>Inclusion of persons with disabilities is also embedded in the 2030 Agenda, both through specific references to disability, and through the overall principle that « no one will be left behind ».</w:t>
      </w:r>
      <w:r w:rsidR="009B2B09">
        <w:rPr>
          <w:rStyle w:val="FootnoteReference"/>
        </w:rPr>
        <w:footnoteReference w:id="5"/>
      </w:r>
      <w:r w:rsidR="009B2B09" w:rsidRPr="009C0EEE">
        <w:rPr>
          <w:lang w:val="en-GB"/>
        </w:rPr>
        <w:t xml:space="preserve"> </w:t>
      </w:r>
    </w:p>
    <w:p w14:paraId="4377A6DD" w14:textId="7A36609D" w:rsidR="00A0604C" w:rsidRPr="009C0EEE" w:rsidRDefault="002E329E" w:rsidP="00AB57A8">
      <w:pPr>
        <w:rPr>
          <w:lang w:val="en-GB"/>
        </w:rPr>
      </w:pPr>
      <w:r w:rsidRPr="00152D67">
        <w:rPr>
          <w:lang w:val="en-GB"/>
        </w:rPr>
        <w:t xml:space="preserve">It is estimated that </w:t>
      </w:r>
      <w:r w:rsidR="00833747" w:rsidRPr="00152D67">
        <w:rPr>
          <w:lang w:val="en-GB"/>
        </w:rPr>
        <w:t xml:space="preserve">as at 2021, </w:t>
      </w:r>
      <w:r w:rsidRPr="00152D67">
        <w:rPr>
          <w:lang w:val="en-GB"/>
        </w:rPr>
        <w:t xml:space="preserve">there </w:t>
      </w:r>
      <w:r w:rsidR="00833747" w:rsidRPr="00152D67">
        <w:rPr>
          <w:lang w:val="en-GB"/>
        </w:rPr>
        <w:t>we</w:t>
      </w:r>
      <w:r w:rsidRPr="00152D67">
        <w:rPr>
          <w:lang w:val="en-GB"/>
        </w:rPr>
        <w:t>re 1.3 billion persons with disabilities worldwide, and that nearly 80% of these people live</w:t>
      </w:r>
      <w:r w:rsidR="00833747" w:rsidRPr="00152D67">
        <w:rPr>
          <w:lang w:val="en-GB"/>
        </w:rPr>
        <w:t>d</w:t>
      </w:r>
      <w:r w:rsidRPr="00152D67">
        <w:rPr>
          <w:lang w:val="en-GB"/>
        </w:rPr>
        <w:t xml:space="preserve"> in low- and middle-income countries.</w:t>
      </w:r>
      <w:r w:rsidR="00833747">
        <w:rPr>
          <w:rStyle w:val="FootnoteReference"/>
        </w:rPr>
        <w:footnoteReference w:id="6"/>
      </w:r>
      <w:r w:rsidRPr="00152D67">
        <w:rPr>
          <w:lang w:val="en-GB"/>
        </w:rPr>
        <w:t xml:space="preserve"> </w:t>
      </w:r>
      <w:r w:rsidR="00E44A8A" w:rsidRPr="00152D67">
        <w:rPr>
          <w:lang w:val="en-GB"/>
        </w:rPr>
        <w:t xml:space="preserve">Persons with disabilities are over-represented </w:t>
      </w:r>
      <w:r w:rsidR="00410F06" w:rsidRPr="00152D67">
        <w:rPr>
          <w:lang w:val="en-GB"/>
        </w:rPr>
        <w:t>among people living in poverty, due to the cumulative impact of other inequalities.</w:t>
      </w:r>
      <w:r w:rsidR="00410F06">
        <w:rPr>
          <w:rStyle w:val="FootnoteReference"/>
        </w:rPr>
        <w:footnoteReference w:id="7"/>
      </w:r>
      <w:r w:rsidR="00410F06" w:rsidRPr="00152D67">
        <w:rPr>
          <w:lang w:val="en-GB"/>
        </w:rPr>
        <w:t xml:space="preserve"> </w:t>
      </w:r>
      <w:r w:rsidR="00410F06" w:rsidRPr="009C0EEE">
        <w:rPr>
          <w:lang w:val="en-GB"/>
        </w:rPr>
        <w:t xml:space="preserve">Ensuring that persons with disabilities participate equally in </w:t>
      </w:r>
      <w:r w:rsidR="00C939AF" w:rsidRPr="009C0EEE">
        <w:rPr>
          <w:lang w:val="en-GB"/>
        </w:rPr>
        <w:t>ODA programmes</w:t>
      </w:r>
      <w:r w:rsidR="00410F06" w:rsidRPr="009C0EEE">
        <w:rPr>
          <w:lang w:val="en-GB"/>
        </w:rPr>
        <w:t xml:space="preserve"> is thus crucial for eradicating poverty.</w:t>
      </w:r>
      <w:r w:rsidR="00A0604C" w:rsidRPr="009C0EEE">
        <w:rPr>
          <w:lang w:val="en-GB"/>
        </w:rPr>
        <w:t xml:space="preserve"> </w:t>
      </w:r>
    </w:p>
    <w:p w14:paraId="7B38C506" w14:textId="55E9FA5F" w:rsidR="00AB57A8" w:rsidRPr="009C0EEE" w:rsidRDefault="009555B3" w:rsidP="00AB57A8">
      <w:pPr>
        <w:rPr>
          <w:lang w:val="en-GB"/>
        </w:rPr>
      </w:pPr>
      <w:r w:rsidRPr="00152D67">
        <w:rPr>
          <w:lang w:val="en-GB"/>
        </w:rPr>
        <w:t>The European Strategy for the Rights of Persons with Disabilities recommits the EU to « uphold the human rights of persons with disabilities and support their social inclusion in all international relations, and as part of all external action, policy planning, funding programmes and activities ».</w:t>
      </w:r>
      <w:r>
        <w:rPr>
          <w:rStyle w:val="FootnoteReference"/>
        </w:rPr>
        <w:footnoteReference w:id="8"/>
      </w:r>
      <w:r w:rsidRPr="00152D67">
        <w:rPr>
          <w:lang w:val="en-GB"/>
        </w:rPr>
        <w:t xml:space="preserve"> </w:t>
      </w:r>
      <w:r w:rsidR="00F72ADF" w:rsidRPr="009C0EEE">
        <w:rPr>
          <w:lang w:val="en-GB"/>
        </w:rPr>
        <w:t>The rights and inclusion of persons with disabilities are also referenced in numerous other EU external policies.</w:t>
      </w:r>
      <w:r w:rsidR="000B0ED6">
        <w:rPr>
          <w:rStyle w:val="FootnoteReference"/>
        </w:rPr>
        <w:footnoteReference w:id="9"/>
      </w:r>
    </w:p>
    <w:p w14:paraId="6E9F46E1" w14:textId="59E7CB7C" w:rsidR="00101F3A" w:rsidRDefault="00101F3A" w:rsidP="00AB57A8">
      <w:pPr>
        <w:rPr>
          <w:lang w:val="en-GB"/>
        </w:rPr>
      </w:pPr>
      <w:r w:rsidRPr="00152D67">
        <w:rPr>
          <w:lang w:val="en-GB"/>
        </w:rPr>
        <w:t xml:space="preserve">For all these reasons, it is essential that the EC take deliberate steps to ensure persons with disabilities can participate in all NDICI-funded programmes on an equal basis with other people. </w:t>
      </w:r>
    </w:p>
    <w:p w14:paraId="6169EA21" w14:textId="77777777" w:rsidR="00553DDD" w:rsidRPr="00152D67" w:rsidRDefault="00553DDD" w:rsidP="00AB57A8">
      <w:pPr>
        <w:rPr>
          <w:lang w:val="en-GB"/>
        </w:rPr>
      </w:pPr>
    </w:p>
    <w:p w14:paraId="2895B00A" w14:textId="2B6C05B0" w:rsidR="009C6C4F" w:rsidRPr="00152D67" w:rsidRDefault="009C6C4F" w:rsidP="0056424C">
      <w:pPr>
        <w:pStyle w:val="Heading2"/>
        <w:rPr>
          <w:lang w:val="en-GB"/>
        </w:rPr>
      </w:pPr>
      <w:r w:rsidRPr="00152D67">
        <w:rPr>
          <w:lang w:val="en-GB"/>
        </w:rPr>
        <w:t>EDF</w:t>
      </w:r>
      <w:r w:rsidR="00BB5749" w:rsidRPr="00152D67">
        <w:rPr>
          <w:lang w:val="en-GB"/>
        </w:rPr>
        <w:t>’s</w:t>
      </w:r>
      <w:r w:rsidRPr="00152D67">
        <w:rPr>
          <w:lang w:val="en-GB"/>
        </w:rPr>
        <w:t xml:space="preserve"> position on </w:t>
      </w:r>
      <w:r w:rsidR="009F54CC" w:rsidRPr="00152D67">
        <w:rPr>
          <w:lang w:val="en-GB"/>
        </w:rPr>
        <w:t>adoption</w:t>
      </w:r>
      <w:r w:rsidRPr="00152D67">
        <w:rPr>
          <w:lang w:val="en-GB"/>
        </w:rPr>
        <w:t xml:space="preserve"> of the NDICI</w:t>
      </w:r>
    </w:p>
    <w:p w14:paraId="613DCBCA" w14:textId="572DB03D" w:rsidR="00E12590" w:rsidRPr="00152D67" w:rsidRDefault="009F54CC" w:rsidP="009F54CC">
      <w:pPr>
        <w:rPr>
          <w:rStyle w:val="Strong"/>
          <w:rFonts w:ascii="Arial" w:hAnsi="Arial" w:cs="Arial"/>
          <w:color w:val="001F30"/>
          <w:sz w:val="27"/>
          <w:szCs w:val="27"/>
          <w:bdr w:val="none" w:sz="0" w:space="0" w:color="auto" w:frame="1"/>
          <w:shd w:val="clear" w:color="auto" w:fill="FFFFFF"/>
          <w:lang w:val="en-GB"/>
        </w:rPr>
      </w:pPr>
      <w:r w:rsidRPr="00152D67">
        <w:rPr>
          <w:lang w:val="en-GB"/>
        </w:rPr>
        <w:t>When the NDICI was adopted in 2021, EDF strongly welcomed the</w:t>
      </w:r>
      <w:r w:rsidR="00E12590" w:rsidRPr="00152D67">
        <w:rPr>
          <w:lang w:val="en-GB"/>
        </w:rPr>
        <w:t xml:space="preserve"> fact that the NDICI explicitly included persons with disabilities.</w:t>
      </w:r>
      <w:r w:rsidR="00CB70A9">
        <w:rPr>
          <w:rStyle w:val="FootnoteReference"/>
        </w:rPr>
        <w:footnoteReference w:id="10"/>
      </w:r>
      <w:r w:rsidR="00E12590" w:rsidRPr="00152D67">
        <w:rPr>
          <w:lang w:val="en-GB"/>
        </w:rPr>
        <w:t xml:space="preserve"> For example, Article 8 </w:t>
      </w:r>
      <w:r w:rsidR="00E71A78" w:rsidRPr="00152D67">
        <w:rPr>
          <w:lang w:val="en-GB"/>
        </w:rPr>
        <w:t xml:space="preserve">of the NDICI </w:t>
      </w:r>
      <w:r w:rsidR="00E12590" w:rsidRPr="00152D67">
        <w:rPr>
          <w:lang w:val="en-GB"/>
        </w:rPr>
        <w:t xml:space="preserve">says that « the NDICI instrument shall apply a rights-based approach encompassing all human rights to support the right holders in claiming their rights, with a focus on poorer, </w:t>
      </w:r>
      <w:proofErr w:type="gramStart"/>
      <w:r w:rsidR="00E12590" w:rsidRPr="00152D67">
        <w:rPr>
          <w:lang w:val="en-GB"/>
        </w:rPr>
        <w:t>marginalised</w:t>
      </w:r>
      <w:proofErr w:type="gramEnd"/>
      <w:r w:rsidR="00E12590" w:rsidRPr="00152D67">
        <w:rPr>
          <w:lang w:val="en-GB"/>
        </w:rPr>
        <w:t xml:space="preserve"> and vulnerable people and groups, </w:t>
      </w:r>
      <w:r w:rsidR="00E12590" w:rsidRPr="00152D67">
        <w:rPr>
          <w:b/>
          <w:bCs/>
          <w:lang w:val="en-GB"/>
        </w:rPr>
        <w:t>including persons with disabilities. »</w:t>
      </w:r>
      <w:r w:rsidR="000A6B46">
        <w:rPr>
          <w:rStyle w:val="FootnoteReference"/>
          <w:b/>
          <w:bCs/>
        </w:rPr>
        <w:footnoteReference w:id="11"/>
      </w:r>
      <w:r w:rsidR="00E12590" w:rsidRPr="00152D67">
        <w:rPr>
          <w:rStyle w:val="Strong"/>
          <w:rFonts w:ascii="Arial" w:hAnsi="Arial" w:cs="Arial"/>
          <w:color w:val="001F30"/>
          <w:sz w:val="27"/>
          <w:szCs w:val="27"/>
          <w:bdr w:val="none" w:sz="0" w:space="0" w:color="auto" w:frame="1"/>
          <w:shd w:val="clear" w:color="auto" w:fill="FFFFFF"/>
          <w:lang w:val="en-GB"/>
        </w:rPr>
        <w:t xml:space="preserve"> </w:t>
      </w:r>
    </w:p>
    <w:p w14:paraId="387273FC" w14:textId="17E014D4" w:rsidR="00AA3571" w:rsidRDefault="00E0047B" w:rsidP="009F54CC">
      <w:r w:rsidRPr="00152D67">
        <w:rPr>
          <w:lang w:val="en-GB"/>
        </w:rPr>
        <w:lastRenderedPageBreak/>
        <w:t xml:space="preserve">At the same time, </w:t>
      </w:r>
      <w:r w:rsidR="00CD4E1A" w:rsidRPr="00152D67">
        <w:rPr>
          <w:lang w:val="en-GB"/>
        </w:rPr>
        <w:t xml:space="preserve">EDF </w:t>
      </w:r>
      <w:r w:rsidR="00AA7581" w:rsidRPr="00152D67">
        <w:rPr>
          <w:lang w:val="en-GB"/>
        </w:rPr>
        <w:t xml:space="preserve">highlighted several areas that would need attention </w:t>
      </w:r>
      <w:proofErr w:type="gramStart"/>
      <w:r w:rsidR="00AA7581" w:rsidRPr="00152D67">
        <w:rPr>
          <w:lang w:val="en-GB"/>
        </w:rPr>
        <w:t>i</w:t>
      </w:r>
      <w:r w:rsidR="00BB5749" w:rsidRPr="00152D67">
        <w:rPr>
          <w:lang w:val="en-GB"/>
        </w:rPr>
        <w:t>n order for</w:t>
      </w:r>
      <w:proofErr w:type="gramEnd"/>
      <w:r w:rsidR="00BB5749" w:rsidRPr="00152D67">
        <w:rPr>
          <w:lang w:val="en-GB"/>
        </w:rPr>
        <w:t xml:space="preserve"> this principle to be put into practice</w:t>
      </w:r>
      <w:r w:rsidR="00DE190B" w:rsidRPr="00152D67">
        <w:rPr>
          <w:lang w:val="en-GB"/>
        </w:rPr>
        <w:t xml:space="preserve"> and </w:t>
      </w:r>
      <w:r w:rsidR="00A26FC6" w:rsidRPr="00152D67">
        <w:rPr>
          <w:lang w:val="en-GB"/>
        </w:rPr>
        <w:t xml:space="preserve">to </w:t>
      </w:r>
      <w:r w:rsidR="000C1A6B" w:rsidRPr="00152D67">
        <w:rPr>
          <w:lang w:val="en-GB"/>
        </w:rPr>
        <w:t xml:space="preserve">help </w:t>
      </w:r>
      <w:r w:rsidR="00DE190B" w:rsidRPr="00152D67">
        <w:rPr>
          <w:lang w:val="en-GB"/>
        </w:rPr>
        <w:t>ensure that</w:t>
      </w:r>
      <w:r w:rsidR="008272ED" w:rsidRPr="00152D67">
        <w:rPr>
          <w:lang w:val="en-GB"/>
        </w:rPr>
        <w:t xml:space="preserve"> all NDICI </w:t>
      </w:r>
      <w:r w:rsidR="00C939AF" w:rsidRPr="00152D67">
        <w:rPr>
          <w:lang w:val="en-GB"/>
        </w:rPr>
        <w:t>programming</w:t>
      </w:r>
      <w:r w:rsidR="008272ED" w:rsidRPr="00152D67">
        <w:rPr>
          <w:lang w:val="en-GB"/>
        </w:rPr>
        <w:t xml:space="preserve"> complies with the UN CRPD</w:t>
      </w:r>
      <w:r w:rsidR="00BB5749" w:rsidRPr="00152D67">
        <w:rPr>
          <w:lang w:val="en-GB"/>
        </w:rPr>
        <w:t xml:space="preserve">. </w:t>
      </w:r>
      <w:proofErr w:type="spellStart"/>
      <w:r w:rsidR="00BB5749">
        <w:t>These</w:t>
      </w:r>
      <w:proofErr w:type="spellEnd"/>
      <w:r w:rsidR="00BB5749">
        <w:t xml:space="preserve"> </w:t>
      </w:r>
      <w:proofErr w:type="spellStart"/>
      <w:r w:rsidR="00BB5749">
        <w:t>included</w:t>
      </w:r>
      <w:proofErr w:type="spellEnd"/>
      <w:r w:rsidR="00AA3571">
        <w:t> :</w:t>
      </w:r>
      <w:r w:rsidR="00BB5749">
        <w:t xml:space="preserve"> </w:t>
      </w:r>
    </w:p>
    <w:p w14:paraId="093DC0FB" w14:textId="27A853AA" w:rsidR="00E0047B" w:rsidRPr="00152D67" w:rsidRDefault="00AA3571" w:rsidP="00AA3571">
      <w:pPr>
        <w:pStyle w:val="ListParagraph"/>
        <w:numPr>
          <w:ilvl w:val="0"/>
          <w:numId w:val="1"/>
        </w:numPr>
        <w:rPr>
          <w:lang w:val="en-GB"/>
        </w:rPr>
      </w:pPr>
      <w:r w:rsidRPr="00152D67">
        <w:rPr>
          <w:lang w:val="en-GB"/>
        </w:rPr>
        <w:t>E</w:t>
      </w:r>
      <w:r w:rsidR="00BB5749" w:rsidRPr="00152D67">
        <w:rPr>
          <w:lang w:val="en-GB"/>
        </w:rPr>
        <w:t>nsuring th</w:t>
      </w:r>
      <w:r w:rsidRPr="00152D67">
        <w:rPr>
          <w:lang w:val="en-GB"/>
        </w:rPr>
        <w:t>at</w:t>
      </w:r>
      <w:r w:rsidR="00BB5749" w:rsidRPr="00152D67">
        <w:rPr>
          <w:lang w:val="en-GB"/>
        </w:rPr>
        <w:t xml:space="preserve"> persons with disabilities and their representative organisations </w:t>
      </w:r>
      <w:r w:rsidRPr="00152D67">
        <w:rPr>
          <w:lang w:val="en-GB"/>
        </w:rPr>
        <w:t>participate fully at all stages of NDICI programming (both country and regional</w:t>
      </w:r>
      <w:proofErr w:type="gramStart"/>
      <w:r w:rsidRPr="00152D67">
        <w:rPr>
          <w:lang w:val="en-GB"/>
        </w:rPr>
        <w:t>)</w:t>
      </w:r>
      <w:r w:rsidR="00BB5749" w:rsidRPr="00152D67">
        <w:rPr>
          <w:lang w:val="en-GB"/>
        </w:rPr>
        <w:t>;</w:t>
      </w:r>
      <w:proofErr w:type="gramEnd"/>
      <w:r w:rsidR="00BB5749" w:rsidRPr="00152D67">
        <w:rPr>
          <w:lang w:val="en-GB"/>
        </w:rPr>
        <w:t xml:space="preserve"> </w:t>
      </w:r>
    </w:p>
    <w:p w14:paraId="7CD7FC80" w14:textId="6A743185" w:rsidR="00AA3571" w:rsidRPr="00152D67" w:rsidRDefault="00A450B3" w:rsidP="00AD2F03">
      <w:pPr>
        <w:pStyle w:val="ListParagraph"/>
        <w:numPr>
          <w:ilvl w:val="0"/>
          <w:numId w:val="2"/>
        </w:numPr>
        <w:rPr>
          <w:lang w:val="en-GB"/>
        </w:rPr>
      </w:pPr>
      <w:r w:rsidRPr="00152D67">
        <w:rPr>
          <w:lang w:val="en-GB"/>
        </w:rPr>
        <w:t xml:space="preserve">Ensuring that all NDICI programming, Team Europe initiatives and joint programmes </w:t>
      </w:r>
      <w:r w:rsidR="00A26FC6" w:rsidRPr="00152D67">
        <w:rPr>
          <w:lang w:val="en-GB"/>
        </w:rPr>
        <w:t xml:space="preserve">are based on </w:t>
      </w:r>
      <w:r w:rsidRPr="00152D67">
        <w:rPr>
          <w:lang w:val="en-GB"/>
        </w:rPr>
        <w:t xml:space="preserve">an intersectional analysis, and </w:t>
      </w:r>
      <w:r w:rsidR="00A26FC6" w:rsidRPr="00152D67">
        <w:rPr>
          <w:lang w:val="en-GB"/>
        </w:rPr>
        <w:t xml:space="preserve">that </w:t>
      </w:r>
      <w:r w:rsidRPr="00152D67">
        <w:rPr>
          <w:lang w:val="en-GB"/>
        </w:rPr>
        <w:t xml:space="preserve">a twin-track approach (which combines disability mainstreaming with targeted initiatives) </w:t>
      </w:r>
      <w:r w:rsidR="00A26FC6" w:rsidRPr="00152D67">
        <w:rPr>
          <w:lang w:val="en-GB"/>
        </w:rPr>
        <w:t>is</w:t>
      </w:r>
      <w:r w:rsidRPr="00152D67">
        <w:rPr>
          <w:lang w:val="en-GB"/>
        </w:rPr>
        <w:t xml:space="preserve"> used.</w:t>
      </w:r>
    </w:p>
    <w:p w14:paraId="534DE996" w14:textId="0FDFA455" w:rsidR="00A450B3" w:rsidRDefault="00A450B3" w:rsidP="00DD0051">
      <w:pPr>
        <w:pStyle w:val="ListParagraph"/>
        <w:numPr>
          <w:ilvl w:val="0"/>
          <w:numId w:val="2"/>
        </w:numPr>
        <w:rPr>
          <w:lang w:val="en-GB"/>
        </w:rPr>
      </w:pPr>
      <w:r w:rsidRPr="00152D67">
        <w:rPr>
          <w:lang w:val="en-GB"/>
        </w:rPr>
        <w:t xml:space="preserve">Ensuring that data </w:t>
      </w:r>
      <w:r w:rsidR="00DD0051" w:rsidRPr="00152D67">
        <w:rPr>
          <w:lang w:val="en-GB"/>
        </w:rPr>
        <w:t>are</w:t>
      </w:r>
      <w:r w:rsidRPr="00152D67">
        <w:rPr>
          <w:lang w:val="en-GB"/>
        </w:rPr>
        <w:t xml:space="preserve"> collected (including disability-disaggregated data) to monitor progress.</w:t>
      </w:r>
      <w:r>
        <w:rPr>
          <w:rStyle w:val="FootnoteReference"/>
        </w:rPr>
        <w:footnoteReference w:id="12"/>
      </w:r>
    </w:p>
    <w:p w14:paraId="5CAF61A5" w14:textId="77777777" w:rsidR="00553DDD" w:rsidRPr="00152D67" w:rsidRDefault="00553DDD" w:rsidP="00553DDD">
      <w:pPr>
        <w:pStyle w:val="ListParagraph"/>
        <w:ind w:left="360"/>
        <w:rPr>
          <w:lang w:val="en-GB"/>
        </w:rPr>
      </w:pPr>
    </w:p>
    <w:p w14:paraId="7A79FD50" w14:textId="240848B9" w:rsidR="00A95DF7" w:rsidRPr="00152D67" w:rsidRDefault="00AB2E27" w:rsidP="0056424C">
      <w:pPr>
        <w:pStyle w:val="Heading2"/>
        <w:rPr>
          <w:lang w:val="en-GB"/>
        </w:rPr>
      </w:pPr>
      <w:r w:rsidRPr="00152D67">
        <w:rPr>
          <w:lang w:val="en-GB"/>
        </w:rPr>
        <w:t>Implementation of the NDICI since 2021</w:t>
      </w:r>
    </w:p>
    <w:p w14:paraId="2B0D015A" w14:textId="5CAC3E7A" w:rsidR="00AB2E27" w:rsidRPr="00152D67" w:rsidRDefault="00190290" w:rsidP="00AB2E27">
      <w:pPr>
        <w:rPr>
          <w:lang w:val="en-GB"/>
        </w:rPr>
      </w:pPr>
      <w:r w:rsidRPr="00152D67">
        <w:rPr>
          <w:b/>
          <w:bCs/>
          <w:lang w:val="en-GB"/>
        </w:rPr>
        <w:t>Cautio</w:t>
      </w:r>
      <w:r w:rsidR="00F31C5C">
        <w:rPr>
          <w:b/>
          <w:bCs/>
          <w:lang w:val="en-GB"/>
        </w:rPr>
        <w:t>n</w:t>
      </w:r>
      <w:r w:rsidRPr="00152D67">
        <w:rPr>
          <w:b/>
          <w:bCs/>
          <w:lang w:val="en-GB"/>
        </w:rPr>
        <w:t xml:space="preserve">: </w:t>
      </w:r>
      <w:r w:rsidR="00AC2641" w:rsidRPr="00152D67">
        <w:rPr>
          <w:lang w:val="en-GB"/>
        </w:rPr>
        <w:t>within the time and resources available, it was not possible to do a comprehensive study of how far the NDICI has been implemented in a way that aligns with the UN CRPD. Instead, this section presents a fe</w:t>
      </w:r>
      <w:r w:rsidR="00991F45" w:rsidRPr="00152D67">
        <w:rPr>
          <w:lang w:val="en-GB"/>
        </w:rPr>
        <w:t>w</w:t>
      </w:r>
      <w:r w:rsidR="00EB1D24" w:rsidRPr="00152D67">
        <w:rPr>
          <w:lang w:val="en-GB"/>
        </w:rPr>
        <w:t xml:space="preserve"> key</w:t>
      </w:r>
      <w:r w:rsidR="00991F45" w:rsidRPr="00152D67">
        <w:rPr>
          <w:lang w:val="en-GB"/>
        </w:rPr>
        <w:t xml:space="preserve"> pieces of evidence that can offer some </w:t>
      </w:r>
      <w:r w:rsidR="00EB1D24" w:rsidRPr="00152D67">
        <w:rPr>
          <w:lang w:val="en-GB"/>
        </w:rPr>
        <w:t xml:space="preserve">important </w:t>
      </w:r>
      <w:r w:rsidR="00EB03CE" w:rsidRPr="00152D67">
        <w:rPr>
          <w:lang w:val="en-GB"/>
        </w:rPr>
        <w:t>clues</w:t>
      </w:r>
      <w:r w:rsidR="00EB1D24" w:rsidRPr="00152D67">
        <w:rPr>
          <w:lang w:val="en-GB"/>
        </w:rPr>
        <w:t>.</w:t>
      </w:r>
    </w:p>
    <w:p w14:paraId="29717048" w14:textId="7DB671F8" w:rsidR="00991F45" w:rsidRPr="00152D67" w:rsidRDefault="00983EB5" w:rsidP="00406596">
      <w:pPr>
        <w:pStyle w:val="Heading3"/>
        <w:rPr>
          <w:lang w:val="en-GB"/>
        </w:rPr>
      </w:pPr>
      <w:r w:rsidRPr="00152D67">
        <w:rPr>
          <w:lang w:val="en-GB"/>
        </w:rPr>
        <w:t xml:space="preserve">4.1 </w:t>
      </w:r>
      <w:r w:rsidR="00406596" w:rsidRPr="00152D67">
        <w:rPr>
          <w:lang w:val="en-GB"/>
        </w:rPr>
        <w:t>Positive developments</w:t>
      </w:r>
    </w:p>
    <w:p w14:paraId="6A117284" w14:textId="636CFB7A" w:rsidR="00406596" w:rsidRDefault="003E7894" w:rsidP="00406596">
      <w:r w:rsidRPr="00152D67">
        <w:rPr>
          <w:lang w:val="en-GB"/>
        </w:rPr>
        <w:t>The E</w:t>
      </w:r>
      <w:r w:rsidR="00380DD9" w:rsidRPr="00152D67">
        <w:rPr>
          <w:lang w:val="en-GB"/>
        </w:rPr>
        <w:t>C</w:t>
      </w:r>
      <w:r w:rsidRPr="00152D67">
        <w:rPr>
          <w:lang w:val="en-GB"/>
        </w:rPr>
        <w:t xml:space="preserve"> has taken some positive steps that could help </w:t>
      </w:r>
      <w:r w:rsidR="003D65C2" w:rsidRPr="00152D67">
        <w:rPr>
          <w:lang w:val="en-GB"/>
        </w:rPr>
        <w:t xml:space="preserve">align NDICI programming with the UN CRPD. </w:t>
      </w:r>
      <w:proofErr w:type="spellStart"/>
      <w:r w:rsidR="003D65C2">
        <w:t>These</w:t>
      </w:r>
      <w:proofErr w:type="spellEnd"/>
      <w:r w:rsidR="003D65C2">
        <w:t xml:space="preserve"> </w:t>
      </w:r>
      <w:proofErr w:type="spellStart"/>
      <w:r w:rsidR="003D65C2">
        <w:t>include</w:t>
      </w:r>
      <w:proofErr w:type="spellEnd"/>
      <w:r w:rsidR="003D65C2">
        <w:t> :</w:t>
      </w:r>
    </w:p>
    <w:p w14:paraId="7DFA5D3B" w14:textId="4CF216FC" w:rsidR="003B4E3A" w:rsidRPr="009C0EEE" w:rsidRDefault="003B4E3A" w:rsidP="003B4E3A">
      <w:pPr>
        <w:pStyle w:val="ListParagraph"/>
        <w:numPr>
          <w:ilvl w:val="0"/>
          <w:numId w:val="5"/>
        </w:numPr>
        <w:rPr>
          <w:lang w:val="en-GB"/>
        </w:rPr>
      </w:pPr>
      <w:r w:rsidRPr="00152D67">
        <w:rPr>
          <w:lang w:val="en-GB"/>
        </w:rPr>
        <w:t xml:space="preserve">Rapidly adopting the Organisation for Economic Cooperation and Development-Development Assistance Committee’s (OECD-DAC’s) </w:t>
      </w:r>
      <w:r w:rsidRPr="00152D67">
        <w:rPr>
          <w:b/>
          <w:bCs/>
          <w:lang w:val="en-GB"/>
        </w:rPr>
        <w:t>policy marker</w:t>
      </w:r>
      <w:r w:rsidRPr="00152D67">
        <w:rPr>
          <w:lang w:val="en-GB"/>
        </w:rPr>
        <w:t xml:space="preserve"> for tracking the inclusion of persons with disabilities in Official Development Assistance spending.</w:t>
      </w:r>
      <w:r>
        <w:rPr>
          <w:rStyle w:val="FootnoteReference"/>
        </w:rPr>
        <w:footnoteReference w:id="13"/>
      </w:r>
      <w:r w:rsidRPr="00152D67">
        <w:rPr>
          <w:lang w:val="en-GB"/>
        </w:rPr>
        <w:t xml:space="preserve"> </w:t>
      </w:r>
      <w:r w:rsidR="00C839DC" w:rsidRPr="009C0EEE">
        <w:rPr>
          <w:lang w:val="en-GB"/>
        </w:rPr>
        <w:t>In addition, the E</w:t>
      </w:r>
      <w:r w:rsidR="00380DD9" w:rsidRPr="009C0EEE">
        <w:rPr>
          <w:lang w:val="en-GB"/>
        </w:rPr>
        <w:t>C</w:t>
      </w:r>
      <w:r w:rsidR="00C839DC" w:rsidRPr="009C0EEE">
        <w:rPr>
          <w:lang w:val="en-GB"/>
        </w:rPr>
        <w:t xml:space="preserve"> has incorporated an indicator in its overall results framework to monitor the share of projects awarded positive scores on the OECD-DAC </w:t>
      </w:r>
      <w:r w:rsidR="000A3086" w:rsidRPr="009C0EEE">
        <w:rPr>
          <w:lang w:val="en-GB"/>
        </w:rPr>
        <w:t xml:space="preserve">disability policy </w:t>
      </w:r>
      <w:r w:rsidR="00C839DC" w:rsidRPr="009C0EEE">
        <w:rPr>
          <w:lang w:val="en-GB"/>
        </w:rPr>
        <w:t>marker.</w:t>
      </w:r>
      <w:r w:rsidR="00940F41">
        <w:rPr>
          <w:rStyle w:val="FootnoteReference"/>
        </w:rPr>
        <w:footnoteReference w:id="14"/>
      </w:r>
    </w:p>
    <w:p w14:paraId="6CC44B27" w14:textId="77E9D7E5" w:rsidR="003B4E3A" w:rsidRPr="009C0EEE" w:rsidRDefault="003B4E3A" w:rsidP="007159B6">
      <w:pPr>
        <w:pStyle w:val="ListParagraph"/>
        <w:numPr>
          <w:ilvl w:val="0"/>
          <w:numId w:val="5"/>
        </w:numPr>
        <w:rPr>
          <w:lang w:val="en-GB"/>
        </w:rPr>
      </w:pPr>
      <w:r w:rsidRPr="00152D67">
        <w:rPr>
          <w:lang w:val="en-GB"/>
        </w:rPr>
        <w:t>Publishing</w:t>
      </w:r>
      <w:r w:rsidR="00347AA2" w:rsidRPr="00152D67">
        <w:rPr>
          <w:lang w:val="en-GB"/>
        </w:rPr>
        <w:t xml:space="preserve"> </w:t>
      </w:r>
      <w:r w:rsidR="00347AA2" w:rsidRPr="00152D67">
        <w:rPr>
          <w:b/>
          <w:bCs/>
          <w:lang w:val="en-GB"/>
        </w:rPr>
        <w:t>guidance</w:t>
      </w:r>
      <w:r w:rsidR="00347AA2" w:rsidRPr="00152D67">
        <w:rPr>
          <w:lang w:val="en-GB"/>
        </w:rPr>
        <w:t xml:space="preserve"> on</w:t>
      </w:r>
      <w:r w:rsidRPr="00152D67">
        <w:rPr>
          <w:lang w:val="en-GB"/>
        </w:rPr>
        <w:t xml:space="preserve"> </w:t>
      </w:r>
      <w:r w:rsidR="00D66E99" w:rsidRPr="00152D67">
        <w:rPr>
          <w:lang w:val="en-GB"/>
        </w:rPr>
        <w:t xml:space="preserve">making consultations and dialogues inclusive and accessible for </w:t>
      </w:r>
      <w:proofErr w:type="gramStart"/>
      <w:r w:rsidR="00D66E99" w:rsidRPr="00152D67">
        <w:rPr>
          <w:lang w:val="en-GB"/>
        </w:rPr>
        <w:t>all</w:t>
      </w:r>
      <w:r w:rsidR="002C7BCF" w:rsidRPr="00152D67">
        <w:rPr>
          <w:lang w:val="en-GB"/>
        </w:rPr>
        <w:t> ;</w:t>
      </w:r>
      <w:proofErr w:type="gramEnd"/>
      <w:r w:rsidR="00D66E99" w:rsidRPr="00152D67">
        <w:rPr>
          <w:lang w:val="en-GB"/>
        </w:rPr>
        <w:t xml:space="preserve"> </w:t>
      </w:r>
      <w:r w:rsidR="00FD132F" w:rsidRPr="00152D67">
        <w:rPr>
          <w:lang w:val="en-GB"/>
        </w:rPr>
        <w:t>and on disability inclusion in external action.</w:t>
      </w:r>
      <w:r w:rsidR="00FD132F">
        <w:rPr>
          <w:rStyle w:val="FootnoteReference"/>
        </w:rPr>
        <w:footnoteReference w:id="15"/>
      </w:r>
      <w:r w:rsidR="00FD132F" w:rsidRPr="00152D67">
        <w:rPr>
          <w:lang w:val="en-GB"/>
        </w:rPr>
        <w:t xml:space="preserve"> </w:t>
      </w:r>
      <w:r w:rsidR="00D66E99" w:rsidRPr="009C0EEE">
        <w:rPr>
          <w:lang w:val="en-GB"/>
        </w:rPr>
        <w:t>(</w:t>
      </w:r>
      <w:r w:rsidR="00FD132F" w:rsidRPr="009C0EEE">
        <w:rPr>
          <w:lang w:val="en-GB"/>
        </w:rPr>
        <w:t>N</w:t>
      </w:r>
      <w:r w:rsidR="00D66E99" w:rsidRPr="009C0EEE">
        <w:rPr>
          <w:lang w:val="en-GB"/>
        </w:rPr>
        <w:t xml:space="preserve">ote : for the purposes of this submission, the practice note </w:t>
      </w:r>
      <w:r w:rsidR="00FD132F" w:rsidRPr="009C0EEE">
        <w:rPr>
          <w:lang w:val="en-GB"/>
        </w:rPr>
        <w:t xml:space="preserve">on consultations and dialogues </w:t>
      </w:r>
      <w:r w:rsidR="00D66E99" w:rsidRPr="009C0EEE">
        <w:rPr>
          <w:lang w:val="en-GB"/>
        </w:rPr>
        <w:t>was not reviewed in detail).</w:t>
      </w:r>
    </w:p>
    <w:p w14:paraId="2FBEC769" w14:textId="7551FA07" w:rsidR="00FD1908" w:rsidRPr="00152D67" w:rsidRDefault="00983EB5" w:rsidP="00FD1908">
      <w:pPr>
        <w:pStyle w:val="Heading3"/>
        <w:rPr>
          <w:lang w:val="en-GB"/>
        </w:rPr>
      </w:pPr>
      <w:r w:rsidRPr="00152D67">
        <w:rPr>
          <w:lang w:val="en-GB"/>
        </w:rPr>
        <w:t xml:space="preserve">4.2 </w:t>
      </w:r>
      <w:r w:rsidR="00FD1908" w:rsidRPr="00152D67">
        <w:rPr>
          <w:lang w:val="en-GB"/>
        </w:rPr>
        <w:t>Concerns</w:t>
      </w:r>
    </w:p>
    <w:p w14:paraId="036EE054" w14:textId="557E525A" w:rsidR="00F114F0" w:rsidRDefault="009252A8" w:rsidP="00F114F0">
      <w:r w:rsidRPr="00152D67">
        <w:rPr>
          <w:lang w:val="en-GB"/>
        </w:rPr>
        <w:t>However</w:t>
      </w:r>
      <w:r w:rsidR="00BC3D48" w:rsidRPr="00152D67">
        <w:rPr>
          <w:lang w:val="en-GB"/>
        </w:rPr>
        <w:t>, there are also some warning signs that the E</w:t>
      </w:r>
      <w:r w:rsidR="00380DD9" w:rsidRPr="00152D67">
        <w:rPr>
          <w:lang w:val="en-GB"/>
        </w:rPr>
        <w:t>C</w:t>
      </w:r>
      <w:r w:rsidR="0045122C" w:rsidRPr="00152D67">
        <w:rPr>
          <w:lang w:val="en-GB"/>
        </w:rPr>
        <w:t>’s approach to align</w:t>
      </w:r>
      <w:r w:rsidR="00BC3D48" w:rsidRPr="00152D67">
        <w:rPr>
          <w:lang w:val="en-GB"/>
        </w:rPr>
        <w:t xml:space="preserve">ing NDICI programming with the UN CRPD is not yet consistent. </w:t>
      </w:r>
      <w:r w:rsidR="00E51DED">
        <w:t xml:space="preserve">Key </w:t>
      </w:r>
      <w:proofErr w:type="spellStart"/>
      <w:r w:rsidR="00E51DED">
        <w:t>concerns</w:t>
      </w:r>
      <w:proofErr w:type="spellEnd"/>
      <w:r w:rsidR="00E51DED">
        <w:t xml:space="preserve"> </w:t>
      </w:r>
      <w:proofErr w:type="spellStart"/>
      <w:r w:rsidR="00E51DED">
        <w:t>include</w:t>
      </w:r>
      <w:proofErr w:type="spellEnd"/>
      <w:r w:rsidR="00E51DED">
        <w:t> </w:t>
      </w:r>
      <w:proofErr w:type="spellStart"/>
      <w:proofErr w:type="gramStart"/>
      <w:r w:rsidR="00BE4839">
        <w:t>that</w:t>
      </w:r>
      <w:proofErr w:type="spellEnd"/>
      <w:r w:rsidR="00E51DED">
        <w:t>:</w:t>
      </w:r>
      <w:proofErr w:type="gramEnd"/>
    </w:p>
    <w:p w14:paraId="1C81B612" w14:textId="59BF7E23" w:rsidR="00BD22D8" w:rsidRPr="009C0EEE" w:rsidRDefault="00494E25" w:rsidP="002939E2">
      <w:pPr>
        <w:pStyle w:val="ListParagraph"/>
        <w:numPr>
          <w:ilvl w:val="0"/>
          <w:numId w:val="8"/>
        </w:numPr>
        <w:rPr>
          <w:lang w:val="en-GB"/>
        </w:rPr>
      </w:pPr>
      <w:r w:rsidRPr="00152D67">
        <w:rPr>
          <w:lang w:val="en-GB"/>
        </w:rPr>
        <w:lastRenderedPageBreak/>
        <w:t xml:space="preserve">There is no systematic process for </w:t>
      </w:r>
      <w:r w:rsidRPr="00152D67">
        <w:rPr>
          <w:b/>
          <w:bCs/>
          <w:lang w:val="en-GB"/>
        </w:rPr>
        <w:t>consulting persons with disabilities</w:t>
      </w:r>
      <w:r w:rsidRPr="00152D67">
        <w:rPr>
          <w:lang w:val="en-GB"/>
        </w:rPr>
        <w:t xml:space="preserve"> and their representative organisations, either in Brussels or through EU Delegations in Global South countries.</w:t>
      </w:r>
      <w:r w:rsidR="00323306">
        <w:rPr>
          <w:rStyle w:val="FootnoteReference"/>
        </w:rPr>
        <w:footnoteReference w:id="16"/>
      </w:r>
      <w:r w:rsidR="008D119C" w:rsidRPr="00152D67">
        <w:rPr>
          <w:lang w:val="en-GB"/>
        </w:rPr>
        <w:t xml:space="preserve"> </w:t>
      </w:r>
      <w:r w:rsidR="00022927" w:rsidRPr="009C0EEE">
        <w:rPr>
          <w:rStyle w:val="normaltextrun"/>
          <w:rFonts w:ascii="Calibri" w:hAnsi="Calibri" w:cs="Calibri"/>
          <w:color w:val="0078D4"/>
          <w:u w:val="single"/>
          <w:shd w:val="clear" w:color="auto" w:fill="FFFFFF"/>
          <w:lang w:val="en-GB"/>
        </w:rPr>
        <w:t>For instance, organisations of persons with disabilities are not systematically included in the EU Human Rights Dialogues for consultation, happening in countries.</w:t>
      </w:r>
      <w:r w:rsidR="00AD0BAD">
        <w:rPr>
          <w:rStyle w:val="FootnoteReference"/>
          <w:rFonts w:ascii="Calibri" w:hAnsi="Calibri" w:cs="Calibri"/>
          <w:color w:val="0078D4"/>
          <w:u w:val="single"/>
          <w:shd w:val="clear" w:color="auto" w:fill="FFFFFF"/>
        </w:rPr>
        <w:footnoteReference w:id="17"/>
      </w:r>
      <w:r w:rsidR="00022927" w:rsidRPr="009C0EEE">
        <w:rPr>
          <w:rStyle w:val="normaltextrun"/>
          <w:rFonts w:ascii="Calibri" w:hAnsi="Calibri" w:cs="Calibri"/>
          <w:color w:val="0078D4"/>
          <w:u w:val="single"/>
          <w:shd w:val="clear" w:color="auto" w:fill="FFFFFF"/>
          <w:lang w:val="en-GB"/>
        </w:rPr>
        <w:t xml:space="preserve"> </w:t>
      </w:r>
      <w:r w:rsidR="008D119C" w:rsidRPr="009C0EEE">
        <w:rPr>
          <w:lang w:val="en-GB"/>
        </w:rPr>
        <w:t xml:space="preserve">In addition, DPOs face </w:t>
      </w:r>
      <w:r w:rsidR="006A55C9" w:rsidRPr="009C0EEE">
        <w:rPr>
          <w:lang w:val="en-GB"/>
        </w:rPr>
        <w:t>barriers in accessing EU funding (see Annex 1 for more details).</w:t>
      </w:r>
    </w:p>
    <w:p w14:paraId="56CB630D" w14:textId="446F5221" w:rsidR="0045122C" w:rsidRPr="00152D67" w:rsidRDefault="0045122C" w:rsidP="002939E2">
      <w:pPr>
        <w:pStyle w:val="ListParagraph"/>
        <w:numPr>
          <w:ilvl w:val="0"/>
          <w:numId w:val="8"/>
        </w:numPr>
        <w:rPr>
          <w:lang w:val="en-GB"/>
        </w:rPr>
      </w:pPr>
      <w:r w:rsidRPr="00152D67">
        <w:rPr>
          <w:lang w:val="en-GB"/>
        </w:rPr>
        <w:t>Wh</w:t>
      </w:r>
      <w:r w:rsidR="008E1AF3" w:rsidRPr="00152D67">
        <w:rPr>
          <w:lang w:val="en-GB"/>
        </w:rPr>
        <w:t>ereas</w:t>
      </w:r>
      <w:r w:rsidRPr="00152D67">
        <w:rPr>
          <w:lang w:val="en-GB"/>
        </w:rPr>
        <w:t xml:space="preserve"> the EC’s work on gender equality in international cooperation is driven by a detailed Gender Action Plan,</w:t>
      </w:r>
      <w:r w:rsidR="00C931C4">
        <w:rPr>
          <w:rStyle w:val="FootnoteReference"/>
        </w:rPr>
        <w:footnoteReference w:id="18"/>
      </w:r>
      <w:r w:rsidRPr="00152D67">
        <w:rPr>
          <w:lang w:val="en-GB"/>
        </w:rPr>
        <w:t xml:space="preserve"> the EC </w:t>
      </w:r>
      <w:r w:rsidRPr="00152D67">
        <w:rPr>
          <w:b/>
          <w:bCs/>
          <w:lang w:val="en-GB"/>
        </w:rPr>
        <w:t>does not have an action plan</w:t>
      </w:r>
      <w:r w:rsidRPr="00152D67">
        <w:rPr>
          <w:lang w:val="en-GB"/>
        </w:rPr>
        <w:t xml:space="preserve"> on the rights of persons with disabilities in international cooperation programming.</w:t>
      </w:r>
      <w:r w:rsidR="00F8421C">
        <w:rPr>
          <w:rStyle w:val="FootnoteReference"/>
        </w:rPr>
        <w:footnoteReference w:id="19"/>
      </w:r>
    </w:p>
    <w:p w14:paraId="37E97863" w14:textId="1CEEDD4A" w:rsidR="00BC3D48" w:rsidRPr="009C0EEE" w:rsidRDefault="00DA059A" w:rsidP="00F114F0">
      <w:pPr>
        <w:pStyle w:val="ListParagraph"/>
        <w:numPr>
          <w:ilvl w:val="0"/>
          <w:numId w:val="8"/>
        </w:numPr>
        <w:rPr>
          <w:lang w:val="en-GB"/>
        </w:rPr>
      </w:pPr>
      <w:r w:rsidRPr="00152D67">
        <w:rPr>
          <w:lang w:val="en-GB"/>
        </w:rPr>
        <w:t xml:space="preserve">Although the EC results framework includes an indicator on the disability marker (which tracks projects’ intentions on disability inclusion), the results framework </w:t>
      </w:r>
      <w:r w:rsidRPr="00152D67">
        <w:rPr>
          <w:b/>
          <w:bCs/>
          <w:lang w:val="en-GB"/>
        </w:rPr>
        <w:t>does not systematic</w:t>
      </w:r>
      <w:r w:rsidR="00DF4B9B" w:rsidRPr="00152D67">
        <w:rPr>
          <w:b/>
          <w:bCs/>
          <w:lang w:val="en-GB"/>
        </w:rPr>
        <w:t>ally</w:t>
      </w:r>
      <w:r w:rsidRPr="00152D67">
        <w:rPr>
          <w:lang w:val="en-GB"/>
        </w:rPr>
        <w:t xml:space="preserve"> </w:t>
      </w:r>
      <w:r w:rsidRPr="00152D67">
        <w:rPr>
          <w:b/>
          <w:bCs/>
          <w:lang w:val="en-GB"/>
        </w:rPr>
        <w:t>track disability inclusion in project outcomes</w:t>
      </w:r>
      <w:r w:rsidR="00DC3969" w:rsidRPr="00152D67">
        <w:rPr>
          <w:b/>
          <w:bCs/>
          <w:lang w:val="en-GB"/>
        </w:rPr>
        <w:t xml:space="preserve"> or impacts</w:t>
      </w:r>
      <w:r w:rsidRPr="00152D67">
        <w:rPr>
          <w:lang w:val="en-GB"/>
        </w:rPr>
        <w:t xml:space="preserve">. </w:t>
      </w:r>
      <w:r w:rsidR="00DF4B9B" w:rsidRPr="00152D67">
        <w:rPr>
          <w:lang w:val="en-GB"/>
        </w:rPr>
        <w:t>Only one</w:t>
      </w:r>
      <w:r w:rsidR="00DC3969" w:rsidRPr="00152D67">
        <w:rPr>
          <w:lang w:val="en-GB"/>
        </w:rPr>
        <w:t xml:space="preserve"> impact</w:t>
      </w:r>
      <w:r w:rsidR="00DF4B9B" w:rsidRPr="00152D67">
        <w:rPr>
          <w:lang w:val="en-GB"/>
        </w:rPr>
        <w:t xml:space="preserve"> indicator (on unemployment rates) explicitly mentions disability.</w:t>
      </w:r>
      <w:r w:rsidR="00DC3969">
        <w:rPr>
          <w:rStyle w:val="FootnoteReference"/>
        </w:rPr>
        <w:footnoteReference w:id="20"/>
      </w:r>
      <w:r w:rsidR="00DF4B9B" w:rsidRPr="00152D67">
        <w:rPr>
          <w:lang w:val="en-GB"/>
        </w:rPr>
        <w:t xml:space="preserve"> </w:t>
      </w:r>
      <w:r w:rsidRPr="009C0EEE">
        <w:rPr>
          <w:lang w:val="en-GB"/>
        </w:rPr>
        <w:t xml:space="preserve">The </w:t>
      </w:r>
      <w:r w:rsidR="00DF4B9B" w:rsidRPr="009C0EEE">
        <w:rPr>
          <w:lang w:val="en-GB"/>
        </w:rPr>
        <w:t xml:space="preserve">results </w:t>
      </w:r>
      <w:r w:rsidRPr="009C0EEE">
        <w:rPr>
          <w:lang w:val="en-GB"/>
        </w:rPr>
        <w:t xml:space="preserve">framework </w:t>
      </w:r>
      <w:r w:rsidR="00DF4B9B" w:rsidRPr="009C0EEE">
        <w:rPr>
          <w:lang w:val="en-GB"/>
        </w:rPr>
        <w:t>says that disability-disaggregated results data should be reported « where relevant and possible </w:t>
      </w:r>
      <w:proofErr w:type="gramStart"/>
      <w:r w:rsidR="00DF4B9B" w:rsidRPr="009C0EEE">
        <w:rPr>
          <w:lang w:val="en-GB"/>
        </w:rPr>
        <w:t>», but</w:t>
      </w:r>
      <w:proofErr w:type="gramEnd"/>
      <w:r w:rsidR="00DF4B9B" w:rsidRPr="009C0EEE">
        <w:rPr>
          <w:lang w:val="en-GB"/>
        </w:rPr>
        <w:t xml:space="preserve"> does not explain how this will be judged.</w:t>
      </w:r>
      <w:r w:rsidR="000E49BA">
        <w:rPr>
          <w:rStyle w:val="FootnoteReference"/>
        </w:rPr>
        <w:footnoteReference w:id="21"/>
      </w:r>
    </w:p>
    <w:p w14:paraId="011BA585" w14:textId="5591BC23" w:rsidR="009E224E" w:rsidRPr="00152D67" w:rsidRDefault="00335AE0" w:rsidP="00F114F0">
      <w:pPr>
        <w:pStyle w:val="ListParagraph"/>
        <w:numPr>
          <w:ilvl w:val="0"/>
          <w:numId w:val="8"/>
        </w:numPr>
        <w:rPr>
          <w:lang w:val="en-GB"/>
        </w:rPr>
      </w:pPr>
      <w:r w:rsidRPr="00152D67">
        <w:rPr>
          <w:lang w:val="en-GB"/>
        </w:rPr>
        <w:t xml:space="preserve">A rapid review of </w:t>
      </w:r>
      <w:r w:rsidR="00A50A8B" w:rsidRPr="00152D67">
        <w:rPr>
          <w:lang w:val="en-GB"/>
        </w:rPr>
        <w:t xml:space="preserve">NDICI </w:t>
      </w:r>
      <w:r w:rsidRPr="00152D67">
        <w:rPr>
          <w:b/>
          <w:bCs/>
          <w:lang w:val="en-GB"/>
        </w:rPr>
        <w:t>Multiannual Implementation Programmes</w:t>
      </w:r>
      <w:r w:rsidRPr="00152D67">
        <w:rPr>
          <w:lang w:val="en-GB"/>
        </w:rPr>
        <w:t xml:space="preserve"> (MIPs) for </w:t>
      </w:r>
      <w:r w:rsidR="00A50A8B" w:rsidRPr="00152D67">
        <w:rPr>
          <w:lang w:val="en-GB"/>
        </w:rPr>
        <w:t>specific countries and regions</w:t>
      </w:r>
      <w:r w:rsidRPr="00152D67">
        <w:rPr>
          <w:lang w:val="en-GB"/>
        </w:rPr>
        <w:t xml:space="preserve"> suggests that the rights of persons with disabilities are not yet included comprehensively (see Annex 2 for further details).</w:t>
      </w:r>
      <w:r w:rsidR="004A4B47" w:rsidRPr="00152D67">
        <w:rPr>
          <w:lang w:val="en-GB"/>
        </w:rPr>
        <w:t xml:space="preserve"> </w:t>
      </w:r>
    </w:p>
    <w:p w14:paraId="7EE1688A" w14:textId="3C23C0D4" w:rsidR="007E2AAB" w:rsidRPr="00152D67" w:rsidRDefault="007E092F" w:rsidP="00E62697">
      <w:pPr>
        <w:pStyle w:val="ListParagraph"/>
        <w:numPr>
          <w:ilvl w:val="0"/>
          <w:numId w:val="8"/>
        </w:numPr>
        <w:rPr>
          <w:lang w:val="en-GB"/>
        </w:rPr>
      </w:pPr>
      <w:r w:rsidRPr="00152D67">
        <w:rPr>
          <w:lang w:val="en-GB"/>
        </w:rPr>
        <w:t xml:space="preserve">The most recent </w:t>
      </w:r>
      <w:r w:rsidR="00FF5C0B" w:rsidRPr="00152D67">
        <w:rPr>
          <w:b/>
          <w:bCs/>
          <w:lang w:val="en-GB"/>
        </w:rPr>
        <w:t>data</w:t>
      </w:r>
      <w:r w:rsidRPr="00152D67">
        <w:rPr>
          <w:b/>
          <w:bCs/>
          <w:lang w:val="en-GB"/>
        </w:rPr>
        <w:t xml:space="preserve"> from the OECD-DAC disability policy marker</w:t>
      </w:r>
      <w:r w:rsidRPr="00152D67">
        <w:rPr>
          <w:lang w:val="en-GB"/>
        </w:rPr>
        <w:t xml:space="preserve"> suggest that the EC</w:t>
      </w:r>
      <w:r w:rsidR="002E6C27" w:rsidRPr="00152D67">
        <w:rPr>
          <w:lang w:val="en-GB"/>
        </w:rPr>
        <w:t xml:space="preserve">’s performance in including </w:t>
      </w:r>
      <w:r w:rsidRPr="00152D67">
        <w:rPr>
          <w:lang w:val="en-GB"/>
        </w:rPr>
        <w:t xml:space="preserve">persons with disabilities in its </w:t>
      </w:r>
      <w:r w:rsidR="00AF6F5D" w:rsidRPr="00152D67">
        <w:rPr>
          <w:lang w:val="en-GB"/>
        </w:rPr>
        <w:t xml:space="preserve">international cooperation </w:t>
      </w:r>
      <w:r w:rsidRPr="00152D67">
        <w:rPr>
          <w:lang w:val="en-GB"/>
        </w:rPr>
        <w:t>spending</w:t>
      </w:r>
      <w:r w:rsidR="002E6C27" w:rsidRPr="00152D67">
        <w:rPr>
          <w:lang w:val="en-GB"/>
        </w:rPr>
        <w:t xml:space="preserve"> has been </w:t>
      </w:r>
      <w:r w:rsidR="001040A1" w:rsidRPr="00152D67">
        <w:rPr>
          <w:lang w:val="en-GB"/>
        </w:rPr>
        <w:t xml:space="preserve">improving but remains </w:t>
      </w:r>
      <w:r w:rsidR="002E6C27" w:rsidRPr="00152D67">
        <w:rPr>
          <w:lang w:val="en-GB"/>
        </w:rPr>
        <w:t>mixed</w:t>
      </w:r>
      <w:r w:rsidR="00E62697" w:rsidRPr="00152D67">
        <w:rPr>
          <w:lang w:val="en-GB"/>
        </w:rPr>
        <w:t xml:space="preserve"> (see Annex 3 for further details)</w:t>
      </w:r>
      <w:r w:rsidRPr="00152D67">
        <w:rPr>
          <w:lang w:val="en-GB"/>
        </w:rPr>
        <w:t xml:space="preserve">. </w:t>
      </w:r>
    </w:p>
    <w:p w14:paraId="719C6E2B" w14:textId="01B33EB8" w:rsidR="006743FE" w:rsidRDefault="001040A1" w:rsidP="00E62697">
      <w:pPr>
        <w:pStyle w:val="ListParagraph"/>
        <w:numPr>
          <w:ilvl w:val="0"/>
          <w:numId w:val="8"/>
        </w:numPr>
        <w:rPr>
          <w:lang w:val="en-GB"/>
        </w:rPr>
      </w:pPr>
      <w:r w:rsidRPr="00152D67">
        <w:rPr>
          <w:lang w:val="en-GB"/>
        </w:rPr>
        <w:t xml:space="preserve">Finally, EDF’s past </w:t>
      </w:r>
      <w:r w:rsidR="00710B29" w:rsidRPr="00152D67">
        <w:rPr>
          <w:lang w:val="en-GB"/>
        </w:rPr>
        <w:t xml:space="preserve">research – jointly with the European Network on Independent Living – has found that there is a lack of information on how far EU international cooperation funding supports </w:t>
      </w:r>
      <w:r w:rsidR="00710B29" w:rsidRPr="00152D67">
        <w:rPr>
          <w:b/>
          <w:bCs/>
          <w:lang w:val="en-GB"/>
        </w:rPr>
        <w:t>independent living and deinstitutionalisation</w:t>
      </w:r>
      <w:r w:rsidR="00710B29" w:rsidRPr="00152D67">
        <w:rPr>
          <w:lang w:val="en-GB"/>
        </w:rPr>
        <w:t>.</w:t>
      </w:r>
      <w:r w:rsidR="00D85324">
        <w:rPr>
          <w:rStyle w:val="FootnoteReference"/>
        </w:rPr>
        <w:footnoteReference w:id="22"/>
      </w:r>
      <w:r w:rsidR="00FF41E9" w:rsidRPr="00152D67">
        <w:rPr>
          <w:lang w:val="en-GB"/>
        </w:rPr>
        <w:t xml:space="preserve"> </w:t>
      </w:r>
      <w:r w:rsidR="00D85324" w:rsidRPr="009C0EEE">
        <w:rPr>
          <w:lang w:val="en-GB"/>
        </w:rPr>
        <w:t xml:space="preserve">Until better information is available, it will be hard to be confident that NDICI funding is never used in ways that reinforce segregation and contravene the CRPD. </w:t>
      </w:r>
    </w:p>
    <w:p w14:paraId="2F3D68ED" w14:textId="77777777" w:rsidR="00553DDD" w:rsidRPr="00553DDD" w:rsidRDefault="00553DDD" w:rsidP="00553DDD">
      <w:pPr>
        <w:rPr>
          <w:lang w:val="en-GB"/>
        </w:rPr>
      </w:pPr>
    </w:p>
    <w:p w14:paraId="0B40E347" w14:textId="23FB39DA" w:rsidR="003E6FD5" w:rsidRPr="00553DDD" w:rsidRDefault="00E02E0B" w:rsidP="0056424C">
      <w:pPr>
        <w:pStyle w:val="Heading2"/>
        <w:rPr>
          <w:lang w:val="en-GB"/>
        </w:rPr>
      </w:pPr>
      <w:r w:rsidRPr="00553DDD">
        <w:rPr>
          <w:lang w:val="en-GB"/>
        </w:rPr>
        <w:lastRenderedPageBreak/>
        <w:t>Recommendations</w:t>
      </w:r>
    </w:p>
    <w:p w14:paraId="61BFC8AA" w14:textId="19CB1C1E" w:rsidR="00852D98" w:rsidRPr="00553DDD" w:rsidRDefault="00553DDD" w:rsidP="00852D98">
      <w:pPr>
        <w:rPr>
          <w:lang w:val="en-GB"/>
        </w:rPr>
      </w:pPr>
      <w:r w:rsidRPr="00553DDD">
        <w:rPr>
          <w:lang w:val="en-GB"/>
        </w:rPr>
        <w:t>EDF</w:t>
      </w:r>
      <w:r w:rsidR="00852D98" w:rsidRPr="00553DDD">
        <w:rPr>
          <w:lang w:val="en-GB"/>
        </w:rPr>
        <w:t xml:space="preserve"> recommend</w:t>
      </w:r>
      <w:r w:rsidRPr="00553DDD">
        <w:rPr>
          <w:lang w:val="en-GB"/>
        </w:rPr>
        <w:t>s</w:t>
      </w:r>
      <w:r w:rsidR="00852D98" w:rsidRPr="00553DDD">
        <w:rPr>
          <w:lang w:val="en-GB"/>
        </w:rPr>
        <w:t xml:space="preserve"> that:</w:t>
      </w:r>
    </w:p>
    <w:p w14:paraId="5D1C0E6A" w14:textId="76EF05F3" w:rsidR="00D76AAB" w:rsidRPr="00152D67" w:rsidRDefault="0095594C" w:rsidP="0095594C">
      <w:pPr>
        <w:pStyle w:val="ListParagraph"/>
        <w:numPr>
          <w:ilvl w:val="0"/>
          <w:numId w:val="11"/>
        </w:numPr>
        <w:rPr>
          <w:lang w:val="en-GB"/>
        </w:rPr>
      </w:pPr>
      <w:r w:rsidRPr="00152D67">
        <w:rPr>
          <w:lang w:val="en-GB"/>
        </w:rPr>
        <w:t>Persons with disabilities</w:t>
      </w:r>
      <w:r w:rsidR="00013AA0" w:rsidRPr="00152D67">
        <w:rPr>
          <w:lang w:val="en-GB"/>
        </w:rPr>
        <w:t xml:space="preserve"> and their representative organisations</w:t>
      </w:r>
      <w:r w:rsidR="00286E56" w:rsidRPr="00152D67">
        <w:rPr>
          <w:lang w:val="en-GB"/>
        </w:rPr>
        <w:t xml:space="preserve"> should be </w:t>
      </w:r>
      <w:r w:rsidR="00286E56" w:rsidRPr="00152D67">
        <w:rPr>
          <w:b/>
          <w:bCs/>
          <w:lang w:val="en-GB"/>
        </w:rPr>
        <w:t>closely consulted and actively involved</w:t>
      </w:r>
      <w:r w:rsidR="00286E56" w:rsidRPr="00152D67">
        <w:rPr>
          <w:lang w:val="en-GB"/>
        </w:rPr>
        <w:t xml:space="preserve"> in all stages of NDICI programming. </w:t>
      </w:r>
      <w:r w:rsidR="00D13225" w:rsidRPr="00152D67">
        <w:rPr>
          <w:lang w:val="en-GB"/>
        </w:rPr>
        <w:t xml:space="preserve">This should include those from under-represented groups </w:t>
      </w:r>
      <w:r w:rsidR="00A80083" w:rsidRPr="00152D67">
        <w:rPr>
          <w:lang w:val="en-GB"/>
        </w:rPr>
        <w:t xml:space="preserve">(i.e. those who </w:t>
      </w:r>
      <w:r w:rsidR="00555C05" w:rsidRPr="00152D67">
        <w:rPr>
          <w:lang w:val="en-GB"/>
        </w:rPr>
        <w:t xml:space="preserve">may </w:t>
      </w:r>
      <w:r w:rsidR="00372DD7" w:rsidRPr="00152D67">
        <w:rPr>
          <w:lang w:val="en-GB"/>
        </w:rPr>
        <w:t xml:space="preserve">be </w:t>
      </w:r>
      <w:r w:rsidR="00555C05" w:rsidRPr="00152D67">
        <w:rPr>
          <w:lang w:val="en-GB"/>
        </w:rPr>
        <w:t xml:space="preserve">less prominent in policy processes due to severe accessibility and attitudinal </w:t>
      </w:r>
      <w:proofErr w:type="gramStart"/>
      <w:r w:rsidR="00555C05" w:rsidRPr="00152D67">
        <w:rPr>
          <w:lang w:val="en-GB"/>
        </w:rPr>
        <w:t>barriers :</w:t>
      </w:r>
      <w:proofErr w:type="gramEnd"/>
      <w:r w:rsidR="00555C05" w:rsidRPr="00152D67">
        <w:rPr>
          <w:lang w:val="en-GB"/>
        </w:rPr>
        <w:t xml:space="preserve"> depending on the context, examples might include neurodiverse pe</w:t>
      </w:r>
      <w:r w:rsidR="00CB2093" w:rsidRPr="00152D67">
        <w:rPr>
          <w:lang w:val="en-GB"/>
        </w:rPr>
        <w:t>rsons</w:t>
      </w:r>
      <w:r w:rsidR="00555C05" w:rsidRPr="00152D67">
        <w:rPr>
          <w:lang w:val="en-GB"/>
        </w:rPr>
        <w:t xml:space="preserve"> or pe</w:t>
      </w:r>
      <w:r w:rsidR="00CB2093" w:rsidRPr="00152D67">
        <w:rPr>
          <w:lang w:val="en-GB"/>
        </w:rPr>
        <w:t>rsons</w:t>
      </w:r>
      <w:r w:rsidR="00555C05" w:rsidRPr="00152D67">
        <w:rPr>
          <w:lang w:val="en-GB"/>
        </w:rPr>
        <w:t xml:space="preserve"> with </w:t>
      </w:r>
      <w:proofErr w:type="spellStart"/>
      <w:r w:rsidR="00555C05" w:rsidRPr="00152D67">
        <w:rPr>
          <w:lang w:val="en-GB"/>
        </w:rPr>
        <w:t>deafblindness</w:t>
      </w:r>
      <w:proofErr w:type="spellEnd"/>
      <w:r w:rsidR="00555C05" w:rsidRPr="00152D67">
        <w:rPr>
          <w:lang w:val="en-GB"/>
        </w:rPr>
        <w:t>) as well as those experiencing inters</w:t>
      </w:r>
      <w:r w:rsidR="00A80083" w:rsidRPr="00152D67">
        <w:rPr>
          <w:lang w:val="en-GB"/>
        </w:rPr>
        <w:t xml:space="preserve">ecting discrimination (e.g. women with disabilities, persons with disabilities from minority ethnic groups). </w:t>
      </w:r>
      <w:r w:rsidR="00013AA0" w:rsidRPr="00152D67">
        <w:rPr>
          <w:lang w:val="en-GB"/>
        </w:rPr>
        <w:t xml:space="preserve">Barriers that prevent disabled people’s organisations </w:t>
      </w:r>
      <w:r w:rsidR="00553DDD">
        <w:rPr>
          <w:lang w:val="en-GB"/>
        </w:rPr>
        <w:t xml:space="preserve">(DPOs) </w:t>
      </w:r>
      <w:r w:rsidR="00013AA0" w:rsidRPr="00152D67">
        <w:rPr>
          <w:lang w:val="en-GB"/>
        </w:rPr>
        <w:t>from obtaining EU funding – including accessibility barriers – should be removed</w:t>
      </w:r>
      <w:r w:rsidR="00D5207A" w:rsidRPr="00152D67">
        <w:rPr>
          <w:lang w:val="en-GB"/>
        </w:rPr>
        <w:t xml:space="preserve"> (see </w:t>
      </w:r>
      <w:r w:rsidR="0012578C" w:rsidRPr="00152D67">
        <w:rPr>
          <w:lang w:val="en-GB"/>
        </w:rPr>
        <w:t>Annex 1 below</w:t>
      </w:r>
      <w:r w:rsidR="00D5207A" w:rsidRPr="00152D67">
        <w:rPr>
          <w:lang w:val="en-GB"/>
        </w:rPr>
        <w:t>)</w:t>
      </w:r>
      <w:r w:rsidR="0012578C" w:rsidRPr="00152D67">
        <w:rPr>
          <w:lang w:val="en-GB"/>
        </w:rPr>
        <w:t>.</w:t>
      </w:r>
    </w:p>
    <w:p w14:paraId="06ADD8AD" w14:textId="7968577F" w:rsidR="00852D98" w:rsidRPr="00152D67" w:rsidRDefault="0056092F" w:rsidP="0095594C">
      <w:pPr>
        <w:pStyle w:val="ListParagraph"/>
        <w:numPr>
          <w:ilvl w:val="0"/>
          <w:numId w:val="11"/>
        </w:numPr>
        <w:rPr>
          <w:lang w:val="en-GB"/>
        </w:rPr>
      </w:pPr>
      <w:r w:rsidRPr="41A9E7C0">
        <w:rPr>
          <w:lang w:val="en-GB"/>
        </w:rPr>
        <w:t xml:space="preserve">The EC should adopt a </w:t>
      </w:r>
      <w:r w:rsidRPr="41A9E7C0">
        <w:rPr>
          <w:b/>
          <w:bCs/>
          <w:lang w:val="en-GB"/>
        </w:rPr>
        <w:t>disability action plan</w:t>
      </w:r>
      <w:r w:rsidR="00640CA1" w:rsidRPr="41A9E7C0">
        <w:rPr>
          <w:b/>
          <w:bCs/>
          <w:lang w:val="en-GB"/>
        </w:rPr>
        <w:t xml:space="preserve"> </w:t>
      </w:r>
      <w:r w:rsidR="00640CA1" w:rsidRPr="41A9E7C0">
        <w:rPr>
          <w:lang w:val="en-GB"/>
        </w:rPr>
        <w:t xml:space="preserve">setting out in detail how </w:t>
      </w:r>
      <w:r w:rsidR="00D263DC" w:rsidRPr="41A9E7C0">
        <w:rPr>
          <w:lang w:val="en-GB"/>
        </w:rPr>
        <w:t xml:space="preserve">it will align </w:t>
      </w:r>
      <w:r w:rsidR="00640CA1" w:rsidRPr="41A9E7C0">
        <w:rPr>
          <w:lang w:val="en-GB"/>
        </w:rPr>
        <w:t>all NDICI</w:t>
      </w:r>
      <w:r w:rsidR="00C939AF" w:rsidRPr="41A9E7C0">
        <w:rPr>
          <w:lang w:val="en-GB"/>
        </w:rPr>
        <w:t xml:space="preserve"> spending</w:t>
      </w:r>
      <w:r w:rsidR="00640CA1" w:rsidRPr="41A9E7C0">
        <w:rPr>
          <w:lang w:val="en-GB"/>
        </w:rPr>
        <w:t xml:space="preserve"> with the UN CRPD</w:t>
      </w:r>
      <w:r w:rsidR="00BB62AE" w:rsidRPr="41A9E7C0">
        <w:rPr>
          <w:lang w:val="en-GB"/>
        </w:rPr>
        <w:t>, following an intersectional approach</w:t>
      </w:r>
      <w:r w:rsidR="006B5628" w:rsidRPr="41A9E7C0">
        <w:rPr>
          <w:lang w:val="en-GB"/>
        </w:rPr>
        <w:t>.</w:t>
      </w:r>
      <w:r w:rsidRPr="41A9E7C0">
        <w:rPr>
          <w:lang w:val="en-GB"/>
        </w:rPr>
        <w:t xml:space="preserve"> </w:t>
      </w:r>
      <w:r w:rsidR="00BB62AE" w:rsidRPr="41A9E7C0">
        <w:rPr>
          <w:lang w:val="en-GB"/>
        </w:rPr>
        <w:t>T</w:t>
      </w:r>
      <w:r w:rsidR="00593BCA" w:rsidRPr="41A9E7C0">
        <w:rPr>
          <w:lang w:val="en-GB"/>
        </w:rPr>
        <w:t>he disability action plan should also pay particular attention to accessibilit</w:t>
      </w:r>
      <w:r w:rsidR="16C6D3A1" w:rsidRPr="41A9E7C0">
        <w:rPr>
          <w:lang w:val="en-GB"/>
        </w:rPr>
        <w:t>y</w:t>
      </w:r>
      <w:r w:rsidR="00593BCA" w:rsidRPr="41A9E7C0">
        <w:rPr>
          <w:lang w:val="en-GB"/>
        </w:rPr>
        <w:t xml:space="preserve"> and should set out plans for ensuring that all EU-funded procurement processes and programmes are </w:t>
      </w:r>
      <w:r w:rsidR="005459C3" w:rsidRPr="41A9E7C0">
        <w:rPr>
          <w:lang w:val="en-GB"/>
        </w:rPr>
        <w:t>compliant with Article 9 of the UN CRPD</w:t>
      </w:r>
      <w:r w:rsidR="00372DD7" w:rsidRPr="41A9E7C0">
        <w:rPr>
          <w:lang w:val="en-GB"/>
        </w:rPr>
        <w:t xml:space="preserve"> (accessibility)</w:t>
      </w:r>
      <w:r w:rsidR="0F43189F" w:rsidRPr="41A9E7C0">
        <w:rPr>
          <w:lang w:val="en-GB"/>
        </w:rPr>
        <w:t>. T</w:t>
      </w:r>
      <w:r w:rsidR="00F74861" w:rsidRPr="41A9E7C0">
        <w:rPr>
          <w:lang w:val="en-GB"/>
        </w:rPr>
        <w:t>o this end</w:t>
      </w:r>
      <w:r w:rsidR="0044065D" w:rsidRPr="41A9E7C0">
        <w:rPr>
          <w:lang w:val="en-GB"/>
        </w:rPr>
        <w:t xml:space="preserve">, where </w:t>
      </w:r>
      <w:r w:rsidR="00AA70F6" w:rsidRPr="41A9E7C0">
        <w:rPr>
          <w:lang w:val="en-GB"/>
        </w:rPr>
        <w:t>possible,</w:t>
      </w:r>
      <w:r w:rsidR="00C87B69" w:rsidRPr="41A9E7C0">
        <w:rPr>
          <w:lang w:val="en-GB"/>
        </w:rPr>
        <w:t xml:space="preserve"> state-of-the-art </w:t>
      </w:r>
      <w:r w:rsidR="005377BE" w:rsidRPr="41A9E7C0">
        <w:rPr>
          <w:lang w:val="en-GB"/>
        </w:rPr>
        <w:t xml:space="preserve">accessibility </w:t>
      </w:r>
      <w:r w:rsidR="00F9422E" w:rsidRPr="41A9E7C0">
        <w:rPr>
          <w:lang w:val="en-GB"/>
        </w:rPr>
        <w:t xml:space="preserve">requirements and </w:t>
      </w:r>
      <w:r w:rsidR="005377BE" w:rsidRPr="41A9E7C0">
        <w:rPr>
          <w:lang w:val="en-GB"/>
        </w:rPr>
        <w:t xml:space="preserve">standards </w:t>
      </w:r>
      <w:r w:rsidR="00F74861" w:rsidRPr="41A9E7C0">
        <w:rPr>
          <w:lang w:val="en-GB"/>
        </w:rPr>
        <w:t>must be considered</w:t>
      </w:r>
      <w:r w:rsidR="00AC6C1A" w:rsidRPr="41A9E7C0">
        <w:rPr>
          <w:lang w:val="en-GB"/>
        </w:rPr>
        <w:t xml:space="preserve"> </w:t>
      </w:r>
      <w:r w:rsidR="00D80AFE" w:rsidRPr="41A9E7C0">
        <w:rPr>
          <w:lang w:val="en-GB"/>
        </w:rPr>
        <w:t>in cooperation with representative organisations of persons with disabilities and accessibility professionals on the ground</w:t>
      </w:r>
      <w:r w:rsidR="00593BCA" w:rsidRPr="41A9E7C0">
        <w:rPr>
          <w:lang w:val="en-GB"/>
        </w:rPr>
        <w:t>.</w:t>
      </w:r>
    </w:p>
    <w:p w14:paraId="564BF528" w14:textId="4AC43D21" w:rsidR="00AE22DF" w:rsidRPr="00152D67" w:rsidRDefault="00AE22DF" w:rsidP="0095594C">
      <w:pPr>
        <w:pStyle w:val="ListParagraph"/>
        <w:numPr>
          <w:ilvl w:val="0"/>
          <w:numId w:val="11"/>
        </w:numPr>
        <w:rPr>
          <w:lang w:val="en-GB"/>
        </w:rPr>
      </w:pPr>
      <w:r w:rsidRPr="00152D67">
        <w:rPr>
          <w:lang w:val="en-GB"/>
        </w:rPr>
        <w:t xml:space="preserve">The EC should put in place a system of </w:t>
      </w:r>
      <w:r w:rsidRPr="00152D67">
        <w:rPr>
          <w:b/>
          <w:bCs/>
          <w:lang w:val="en-GB"/>
        </w:rPr>
        <w:t>human rights-based indicators</w:t>
      </w:r>
      <w:r w:rsidRPr="00152D67">
        <w:rPr>
          <w:lang w:val="en-GB"/>
        </w:rPr>
        <w:t xml:space="preserve"> to track the NDICI’s alignment with the UN</w:t>
      </w:r>
      <w:r w:rsidR="005459C3" w:rsidRPr="00152D67">
        <w:rPr>
          <w:lang w:val="en-GB"/>
        </w:rPr>
        <w:t xml:space="preserve"> </w:t>
      </w:r>
      <w:r w:rsidRPr="00152D67">
        <w:rPr>
          <w:lang w:val="en-GB"/>
        </w:rPr>
        <w:t>CRPD. The system should include collection of disability-disaggregated data</w:t>
      </w:r>
      <w:r w:rsidR="008C7A44" w:rsidRPr="00152D67">
        <w:rPr>
          <w:lang w:val="en-GB"/>
        </w:rPr>
        <w:t xml:space="preserve"> using the Washington Group Questions</w:t>
      </w:r>
      <w:r w:rsidR="00BB62AE" w:rsidRPr="00152D67">
        <w:rPr>
          <w:lang w:val="en-GB"/>
        </w:rPr>
        <w:t xml:space="preserve"> and</w:t>
      </w:r>
      <w:r w:rsidRPr="00152D67">
        <w:rPr>
          <w:lang w:val="en-GB"/>
        </w:rPr>
        <w:t xml:space="preserve"> should also include other measures to capture qualitative dimensions and to </w:t>
      </w:r>
      <w:r w:rsidR="008C7A44" w:rsidRPr="00152D67">
        <w:rPr>
          <w:lang w:val="en-GB"/>
        </w:rPr>
        <w:t>cover constituencies not fully included in standard data disaggregation tools.</w:t>
      </w:r>
      <w:r w:rsidR="00EC4754">
        <w:rPr>
          <w:rStyle w:val="FootnoteReference"/>
        </w:rPr>
        <w:footnoteReference w:id="23"/>
      </w:r>
    </w:p>
    <w:p w14:paraId="2A1C8806" w14:textId="3D86CC61" w:rsidR="00640CA1" w:rsidRPr="00152D67" w:rsidRDefault="004D175E">
      <w:pPr>
        <w:pStyle w:val="ListParagraph"/>
        <w:numPr>
          <w:ilvl w:val="0"/>
          <w:numId w:val="11"/>
        </w:numPr>
        <w:rPr>
          <w:lang w:val="en-GB"/>
        </w:rPr>
      </w:pPr>
      <w:r w:rsidRPr="00152D67">
        <w:rPr>
          <w:lang w:val="en-GB"/>
        </w:rPr>
        <w:t xml:space="preserve">All key NDICI </w:t>
      </w:r>
      <w:r w:rsidRPr="00152D67">
        <w:rPr>
          <w:b/>
          <w:bCs/>
          <w:lang w:val="en-GB"/>
        </w:rPr>
        <w:t>programming documents</w:t>
      </w:r>
      <w:r w:rsidRPr="00152D67">
        <w:rPr>
          <w:lang w:val="en-GB"/>
        </w:rPr>
        <w:t xml:space="preserve">, including MIPs, </w:t>
      </w:r>
      <w:r w:rsidR="00F51695" w:rsidRPr="00152D67">
        <w:rPr>
          <w:lang w:val="en-GB"/>
        </w:rPr>
        <w:t xml:space="preserve">as well as all Team Europe and Joint Programming documents, should </w:t>
      </w:r>
      <w:r w:rsidR="003647AE" w:rsidRPr="00152D67">
        <w:rPr>
          <w:lang w:val="en-GB"/>
        </w:rPr>
        <w:t>include concrete measures to</w:t>
      </w:r>
      <w:r w:rsidR="00F51695" w:rsidRPr="00152D67">
        <w:rPr>
          <w:lang w:val="en-GB"/>
        </w:rPr>
        <w:t xml:space="preserve"> ensure that all aspects of programmes align with the UN CRPD, taking </w:t>
      </w:r>
      <w:r w:rsidR="00FA7993" w:rsidRPr="00152D67">
        <w:rPr>
          <w:lang w:val="en-GB"/>
        </w:rPr>
        <w:t xml:space="preserve">full account of </w:t>
      </w:r>
      <w:proofErr w:type="spellStart"/>
      <w:r w:rsidR="00FA7993" w:rsidRPr="00152D67">
        <w:rPr>
          <w:lang w:val="en-GB"/>
        </w:rPr>
        <w:t>intersectionalities</w:t>
      </w:r>
      <w:proofErr w:type="spellEnd"/>
      <w:r w:rsidR="00FA7993" w:rsidRPr="00152D67">
        <w:rPr>
          <w:lang w:val="en-GB"/>
        </w:rPr>
        <w:t xml:space="preserve">, and following a twin track approach. </w:t>
      </w:r>
    </w:p>
    <w:p w14:paraId="0D2C882C" w14:textId="69C8CFBC" w:rsidR="00FA7993" w:rsidRPr="00152D67" w:rsidRDefault="00346BD5">
      <w:pPr>
        <w:pStyle w:val="ListParagraph"/>
        <w:numPr>
          <w:ilvl w:val="0"/>
          <w:numId w:val="11"/>
        </w:numPr>
        <w:rPr>
          <w:lang w:val="en-GB"/>
        </w:rPr>
      </w:pPr>
      <w:r w:rsidRPr="00152D67">
        <w:rPr>
          <w:lang w:val="en-GB"/>
        </w:rPr>
        <w:t xml:space="preserve">The EC should set aside dedicated </w:t>
      </w:r>
      <w:r w:rsidRPr="00152D67">
        <w:rPr>
          <w:b/>
          <w:bCs/>
          <w:lang w:val="en-GB"/>
        </w:rPr>
        <w:t>budgets</w:t>
      </w:r>
      <w:r w:rsidRPr="00152D67">
        <w:rPr>
          <w:lang w:val="en-GB"/>
        </w:rPr>
        <w:t xml:space="preserve"> to cover the costs of making programmes inclusive of and accessible to persons with disabilities.</w:t>
      </w:r>
      <w:r w:rsidR="00553DDD">
        <w:rPr>
          <w:lang w:val="en-GB"/>
        </w:rPr>
        <w:t xml:space="preserve"> For instance, funding should also be allocated to the cost of sign interpretation, captioning, personal </w:t>
      </w:r>
      <w:proofErr w:type="gramStart"/>
      <w:r w:rsidR="00553DDD">
        <w:rPr>
          <w:lang w:val="en-GB"/>
        </w:rPr>
        <w:t>assistant</w:t>
      </w:r>
      <w:proofErr w:type="gramEnd"/>
      <w:r w:rsidR="00553DDD">
        <w:rPr>
          <w:lang w:val="en-GB"/>
        </w:rPr>
        <w:t xml:space="preserve"> and adapted transportation.  </w:t>
      </w:r>
    </w:p>
    <w:p w14:paraId="40659516" w14:textId="7DA4F48D" w:rsidR="00346BD5" w:rsidRDefault="006F520A">
      <w:pPr>
        <w:pStyle w:val="ListParagraph"/>
        <w:numPr>
          <w:ilvl w:val="0"/>
          <w:numId w:val="11"/>
        </w:numPr>
        <w:rPr>
          <w:lang w:val="en-GB"/>
        </w:rPr>
      </w:pPr>
      <w:r w:rsidRPr="00152D67">
        <w:rPr>
          <w:lang w:val="en-GB"/>
        </w:rPr>
        <w:t xml:space="preserve">The EC should </w:t>
      </w:r>
      <w:r w:rsidR="00305845" w:rsidRPr="00152D67">
        <w:rPr>
          <w:lang w:val="en-GB"/>
        </w:rPr>
        <w:t xml:space="preserve">ensure that checks are in place to prevent EU </w:t>
      </w:r>
      <w:r w:rsidR="00C939AF" w:rsidRPr="00152D67">
        <w:rPr>
          <w:lang w:val="en-GB"/>
        </w:rPr>
        <w:t>ODA</w:t>
      </w:r>
      <w:r w:rsidR="00305845" w:rsidRPr="00152D67">
        <w:rPr>
          <w:lang w:val="en-GB"/>
        </w:rPr>
        <w:t xml:space="preserve"> funding being used for measures that </w:t>
      </w:r>
      <w:r w:rsidR="00305845" w:rsidRPr="00152D67">
        <w:rPr>
          <w:b/>
          <w:bCs/>
          <w:lang w:val="en-GB"/>
        </w:rPr>
        <w:t>contravene the CRPD</w:t>
      </w:r>
      <w:r w:rsidR="00305845" w:rsidRPr="00152D67">
        <w:rPr>
          <w:lang w:val="en-GB"/>
        </w:rPr>
        <w:t xml:space="preserve">. It should instead make use of NDICI funding to support deinstitutionalisation. </w:t>
      </w:r>
    </w:p>
    <w:p w14:paraId="0406FF64" w14:textId="1577223B" w:rsidR="00F31C5C" w:rsidRDefault="00F31C5C">
      <w:pPr>
        <w:rPr>
          <w:lang w:val="en-GB"/>
        </w:rPr>
      </w:pPr>
      <w:r>
        <w:rPr>
          <w:lang w:val="en-GB"/>
        </w:rPr>
        <w:br w:type="page"/>
      </w:r>
    </w:p>
    <w:p w14:paraId="72C71BA5" w14:textId="7A76F746" w:rsidR="003A0199" w:rsidRDefault="000F02FD" w:rsidP="00C27660">
      <w:pPr>
        <w:pStyle w:val="Heading2"/>
        <w:rPr>
          <w:lang w:val="en-GB"/>
        </w:rPr>
      </w:pPr>
      <w:r w:rsidRPr="00152D67">
        <w:rPr>
          <w:lang w:val="en-GB"/>
        </w:rPr>
        <w:lastRenderedPageBreak/>
        <w:t xml:space="preserve">Annex </w:t>
      </w:r>
      <w:proofErr w:type="gramStart"/>
      <w:r w:rsidRPr="00152D67">
        <w:rPr>
          <w:lang w:val="en-GB"/>
        </w:rPr>
        <w:t>1</w:t>
      </w:r>
      <w:r w:rsidR="00D020F1" w:rsidRPr="00152D67">
        <w:rPr>
          <w:lang w:val="en-GB"/>
        </w:rPr>
        <w:t> :</w:t>
      </w:r>
      <w:proofErr w:type="gramEnd"/>
      <w:r w:rsidR="00D020F1" w:rsidRPr="00152D67">
        <w:rPr>
          <w:lang w:val="en-GB"/>
        </w:rPr>
        <w:t xml:space="preserve"> further comments on </w:t>
      </w:r>
      <w:r w:rsidR="002A76C1" w:rsidRPr="00152D67">
        <w:rPr>
          <w:lang w:val="en-GB"/>
        </w:rPr>
        <w:t>question 5</w:t>
      </w:r>
    </w:p>
    <w:p w14:paraId="3CEB2580" w14:textId="31AF398B" w:rsidR="00424DB2" w:rsidRDefault="00274A16" w:rsidP="00424DB2">
      <w:pPr>
        <w:rPr>
          <w:lang w:val="en-GB"/>
        </w:rPr>
      </w:pPr>
      <w:r w:rsidRPr="00152D67">
        <w:rPr>
          <w:b/>
          <w:bCs/>
          <w:lang w:val="en-GB"/>
        </w:rPr>
        <w:t xml:space="preserve">Question </w:t>
      </w:r>
      <w:proofErr w:type="gramStart"/>
      <w:r w:rsidRPr="00152D67">
        <w:rPr>
          <w:b/>
          <w:bCs/>
          <w:lang w:val="en-GB"/>
        </w:rPr>
        <w:t>5 :</w:t>
      </w:r>
      <w:proofErr w:type="gramEnd"/>
      <w:r w:rsidRPr="00152D67">
        <w:rPr>
          <w:b/>
          <w:bCs/>
          <w:lang w:val="en-GB"/>
        </w:rPr>
        <w:t xml:space="preserve"> </w:t>
      </w:r>
      <w:r w:rsidR="00C02E99" w:rsidRPr="00152D67">
        <w:rPr>
          <w:b/>
          <w:bCs/>
          <w:lang w:val="en-GB"/>
        </w:rPr>
        <w:t>Has it become easier in the past two years to access EU funds for external cooperation?</w:t>
      </w:r>
      <w:r w:rsidR="00C02E99" w:rsidRPr="00152D67">
        <w:rPr>
          <w:b/>
          <w:bCs/>
          <w:lang w:val="en-GB"/>
        </w:rPr>
        <w:br/>
      </w:r>
      <w:r w:rsidR="002A76C1" w:rsidRPr="009C0EEE">
        <w:rPr>
          <w:lang w:val="en-GB"/>
        </w:rPr>
        <w:t xml:space="preserve">Disabled </w:t>
      </w:r>
      <w:r w:rsidR="00E54815" w:rsidRPr="009C0EEE">
        <w:rPr>
          <w:lang w:val="en-GB"/>
        </w:rPr>
        <w:t>people’s organisations</w:t>
      </w:r>
      <w:r w:rsidR="00444358">
        <w:rPr>
          <w:lang w:val="en-GB"/>
        </w:rPr>
        <w:t xml:space="preserve"> (DPOs)</w:t>
      </w:r>
      <w:r w:rsidR="002A76C1" w:rsidRPr="009C0EEE">
        <w:rPr>
          <w:lang w:val="en-GB"/>
        </w:rPr>
        <w:t xml:space="preserve"> continue to experience barriers</w:t>
      </w:r>
      <w:r w:rsidR="00E54815" w:rsidRPr="009C0EEE">
        <w:rPr>
          <w:lang w:val="en-GB"/>
        </w:rPr>
        <w:t xml:space="preserve"> to access</w:t>
      </w:r>
      <w:r w:rsidR="002A76C1" w:rsidRPr="009C0EEE">
        <w:rPr>
          <w:lang w:val="en-GB"/>
        </w:rPr>
        <w:t>ing</w:t>
      </w:r>
      <w:r w:rsidR="00E54815" w:rsidRPr="009C0EEE">
        <w:rPr>
          <w:lang w:val="en-GB"/>
        </w:rPr>
        <w:t xml:space="preserve"> EU funds. </w:t>
      </w:r>
      <w:r w:rsidR="002A76C1" w:rsidRPr="009C0EEE">
        <w:rPr>
          <w:lang w:val="en-GB"/>
        </w:rPr>
        <w:t xml:space="preserve">This is partly because </w:t>
      </w:r>
      <w:r w:rsidR="00303C4C" w:rsidRPr="009C0EEE">
        <w:rPr>
          <w:lang w:val="en-GB"/>
        </w:rPr>
        <w:t>procedures are not fully accessible</w:t>
      </w:r>
      <w:r w:rsidR="00E54815" w:rsidRPr="009C0EEE">
        <w:rPr>
          <w:lang w:val="en-GB"/>
        </w:rPr>
        <w:t>.</w:t>
      </w:r>
      <w:r w:rsidR="00E54815">
        <w:rPr>
          <w:rStyle w:val="FootnoteReference"/>
        </w:rPr>
        <w:footnoteReference w:id="24"/>
      </w:r>
      <w:r w:rsidR="00E54815" w:rsidRPr="009C0EEE">
        <w:rPr>
          <w:lang w:val="en-GB"/>
        </w:rPr>
        <w:t xml:space="preserve"> </w:t>
      </w:r>
      <w:r w:rsidR="002A76C1" w:rsidRPr="00273E41">
        <w:rPr>
          <w:lang w:val="en-GB"/>
        </w:rPr>
        <w:t>It is also because of wider barriers</w:t>
      </w:r>
      <w:r w:rsidR="008C40A2" w:rsidRPr="00273E41">
        <w:rPr>
          <w:lang w:val="en-GB"/>
        </w:rPr>
        <w:t xml:space="preserve">. </w:t>
      </w:r>
      <w:r w:rsidR="008C40A2" w:rsidRPr="00152D67">
        <w:rPr>
          <w:lang w:val="en-GB"/>
        </w:rPr>
        <w:t>We echo CONCORD’s recommendation</w:t>
      </w:r>
      <w:r w:rsidR="0023604A" w:rsidRPr="00152D67">
        <w:rPr>
          <w:lang w:val="en-GB"/>
        </w:rPr>
        <w:t>s</w:t>
      </w:r>
      <w:r w:rsidR="008C40A2" w:rsidRPr="00152D67">
        <w:rPr>
          <w:lang w:val="en-GB"/>
        </w:rPr>
        <w:t xml:space="preserve"> that </w:t>
      </w:r>
      <w:r w:rsidR="0023604A" w:rsidRPr="00152D67">
        <w:rPr>
          <w:lang w:val="en-GB"/>
        </w:rPr>
        <w:t xml:space="preserve">civil society organisations should have more opportunities to apply for funding across all NDICI geographic and thematic programmes; </w:t>
      </w:r>
      <w:r w:rsidR="00F520B5" w:rsidRPr="00152D67">
        <w:rPr>
          <w:lang w:val="en-GB"/>
        </w:rPr>
        <w:t xml:space="preserve">that longer-term funding should be possible ; </w:t>
      </w:r>
      <w:r w:rsidR="0023604A" w:rsidRPr="00152D67">
        <w:rPr>
          <w:lang w:val="en-GB"/>
        </w:rPr>
        <w:t xml:space="preserve">and that </w:t>
      </w:r>
      <w:r w:rsidR="008C40A2" w:rsidRPr="00152D67">
        <w:rPr>
          <w:lang w:val="en-GB"/>
        </w:rPr>
        <w:t>more core funding should be available to civil society organisations.</w:t>
      </w:r>
      <w:r w:rsidR="008C40A2">
        <w:rPr>
          <w:rStyle w:val="FootnoteReference"/>
        </w:rPr>
        <w:footnoteReference w:id="25"/>
      </w:r>
      <w:r w:rsidR="008C40A2" w:rsidRPr="00152D67">
        <w:rPr>
          <w:lang w:val="en-GB"/>
        </w:rPr>
        <w:t xml:space="preserve"> </w:t>
      </w:r>
      <w:r w:rsidR="0023604A" w:rsidRPr="009C0EEE">
        <w:rPr>
          <w:lang w:val="en-GB"/>
        </w:rPr>
        <w:t>We also echo the</w:t>
      </w:r>
      <w:r w:rsidR="00F520B5" w:rsidRPr="009C0EEE">
        <w:rPr>
          <w:lang w:val="en-GB"/>
        </w:rPr>
        <w:t xml:space="preserve"> Human Rights and Democracy Network’s previous recommendations that more proactive steps should be taken to reach out to grassroots organisations, and to support organisations that are unregistered.</w:t>
      </w:r>
      <w:r w:rsidR="00F520B5">
        <w:rPr>
          <w:rStyle w:val="FootnoteReference"/>
        </w:rPr>
        <w:footnoteReference w:id="26"/>
      </w:r>
    </w:p>
    <w:p w14:paraId="7F902FFF" w14:textId="77777777" w:rsidR="00553DDD" w:rsidRPr="009C0EEE" w:rsidRDefault="00553DDD" w:rsidP="00424DB2">
      <w:pPr>
        <w:rPr>
          <w:lang w:val="en-GB"/>
        </w:rPr>
      </w:pPr>
    </w:p>
    <w:p w14:paraId="52D4E8F8" w14:textId="33E61ACB" w:rsidR="003A0199" w:rsidRDefault="003A0199" w:rsidP="00C27660">
      <w:pPr>
        <w:pStyle w:val="Heading2"/>
        <w:rPr>
          <w:lang w:val="en-GB"/>
        </w:rPr>
      </w:pPr>
      <w:r w:rsidRPr="00152D67">
        <w:rPr>
          <w:lang w:val="en-GB"/>
        </w:rPr>
        <w:t xml:space="preserve">Annex </w:t>
      </w:r>
      <w:proofErr w:type="gramStart"/>
      <w:r w:rsidR="00634B1A" w:rsidRPr="00152D67">
        <w:rPr>
          <w:lang w:val="en-GB"/>
        </w:rPr>
        <w:t>2</w:t>
      </w:r>
      <w:r w:rsidR="00674523" w:rsidRPr="00152D67">
        <w:rPr>
          <w:lang w:val="en-GB"/>
        </w:rPr>
        <w:t> :</w:t>
      </w:r>
      <w:proofErr w:type="gramEnd"/>
      <w:r w:rsidR="00674523" w:rsidRPr="00152D67">
        <w:rPr>
          <w:lang w:val="en-GB"/>
        </w:rPr>
        <w:t xml:space="preserve"> rapid review of </w:t>
      </w:r>
      <w:r w:rsidR="000E6404" w:rsidRPr="00152D67">
        <w:rPr>
          <w:lang w:val="en-GB"/>
        </w:rPr>
        <w:t>m</w:t>
      </w:r>
      <w:r w:rsidR="00674523" w:rsidRPr="00152D67">
        <w:rPr>
          <w:lang w:val="en-GB"/>
        </w:rPr>
        <w:t xml:space="preserve">ultiannual </w:t>
      </w:r>
      <w:r w:rsidR="000E6404" w:rsidRPr="00152D67">
        <w:rPr>
          <w:lang w:val="en-GB"/>
        </w:rPr>
        <w:t>i</w:t>
      </w:r>
      <w:r w:rsidR="00674523" w:rsidRPr="00152D67">
        <w:rPr>
          <w:lang w:val="en-GB"/>
        </w:rPr>
        <w:t xml:space="preserve">mplementation </w:t>
      </w:r>
      <w:r w:rsidR="000E6404" w:rsidRPr="00152D67">
        <w:rPr>
          <w:lang w:val="en-GB"/>
        </w:rPr>
        <w:t>p</w:t>
      </w:r>
      <w:r w:rsidR="00674523" w:rsidRPr="00152D67">
        <w:rPr>
          <w:lang w:val="en-GB"/>
        </w:rPr>
        <w:t>rogrammes</w:t>
      </w:r>
    </w:p>
    <w:p w14:paraId="0136F646" w14:textId="1E1AF0CB" w:rsidR="007D4B17" w:rsidRPr="009C0EEE" w:rsidRDefault="002979AC" w:rsidP="008D560D">
      <w:pPr>
        <w:rPr>
          <w:lang w:val="en-GB"/>
        </w:rPr>
      </w:pPr>
      <w:r w:rsidRPr="00152D67">
        <w:rPr>
          <w:lang w:val="en-GB"/>
        </w:rPr>
        <w:t xml:space="preserve">As part of the research for this submission, a very rapid review was undertaken on </w:t>
      </w:r>
      <w:r w:rsidR="007E4FF9" w:rsidRPr="00152D67">
        <w:rPr>
          <w:lang w:val="en-GB"/>
        </w:rPr>
        <w:t>88</w:t>
      </w:r>
      <w:r w:rsidRPr="00152D67">
        <w:rPr>
          <w:lang w:val="en-GB"/>
        </w:rPr>
        <w:t xml:space="preserve"> </w:t>
      </w:r>
      <w:r w:rsidR="000E6404" w:rsidRPr="00152D67">
        <w:rPr>
          <w:lang w:val="en-GB"/>
        </w:rPr>
        <w:t>m</w:t>
      </w:r>
      <w:r w:rsidRPr="00152D67">
        <w:rPr>
          <w:lang w:val="en-GB"/>
        </w:rPr>
        <w:t xml:space="preserve">ultiannual implementation programmes </w:t>
      </w:r>
      <w:r w:rsidR="000E6404" w:rsidRPr="00152D67">
        <w:rPr>
          <w:lang w:val="en-GB"/>
        </w:rPr>
        <w:t xml:space="preserve">(MIPs) </w:t>
      </w:r>
      <w:r w:rsidRPr="00152D67">
        <w:rPr>
          <w:lang w:val="en-GB"/>
        </w:rPr>
        <w:t>covering specific countries and regions.</w:t>
      </w:r>
      <w:r w:rsidR="00B72C57" w:rsidRPr="006F0B6F">
        <w:rPr>
          <w:rStyle w:val="FootnoteReference"/>
        </w:rPr>
        <w:footnoteReference w:id="27"/>
      </w:r>
      <w:r w:rsidRPr="00152D67">
        <w:rPr>
          <w:lang w:val="en-GB"/>
        </w:rPr>
        <w:t xml:space="preserve"> </w:t>
      </w:r>
      <w:r w:rsidR="007D4B17" w:rsidRPr="009C0EEE">
        <w:rPr>
          <w:lang w:val="en-GB"/>
        </w:rPr>
        <w:t>The review focused on MIPs’ plans for disability inclusion in ODA programming, as opposed to policy dialogue, in line with this submission's focus on ODA</w:t>
      </w:r>
      <w:r w:rsidR="007E0981" w:rsidRPr="009C0EEE">
        <w:rPr>
          <w:lang w:val="en-GB"/>
        </w:rPr>
        <w:t xml:space="preserve"> spending</w:t>
      </w:r>
      <w:r w:rsidR="007D4B17" w:rsidRPr="009C0EEE">
        <w:rPr>
          <w:lang w:val="en-GB"/>
        </w:rPr>
        <w:t xml:space="preserve">. </w:t>
      </w:r>
    </w:p>
    <w:p w14:paraId="14558B7A" w14:textId="53633F50" w:rsidR="00CC0326" w:rsidRPr="006F0B6F" w:rsidRDefault="002979AC" w:rsidP="008D560D">
      <w:r w:rsidRPr="00152D67">
        <w:rPr>
          <w:lang w:val="en-GB"/>
        </w:rPr>
        <w:t>The review was limited</w:t>
      </w:r>
      <w:r w:rsidR="0019700F" w:rsidRPr="00152D67">
        <w:rPr>
          <w:lang w:val="en-GB"/>
        </w:rPr>
        <w:t>, and mainly</w:t>
      </w:r>
      <w:r w:rsidRPr="00152D67">
        <w:rPr>
          <w:lang w:val="en-GB"/>
        </w:rPr>
        <w:t xml:space="preserve"> involved search</w:t>
      </w:r>
      <w:r w:rsidR="00E413ED" w:rsidRPr="00152D67">
        <w:rPr>
          <w:lang w:val="en-GB"/>
        </w:rPr>
        <w:t>ing</w:t>
      </w:r>
      <w:r w:rsidRPr="00152D67">
        <w:rPr>
          <w:lang w:val="en-GB"/>
        </w:rPr>
        <w:t xml:space="preserve"> the documents for explicit references to « disability »</w:t>
      </w:r>
      <w:r w:rsidR="007415B9" w:rsidRPr="00152D67">
        <w:rPr>
          <w:lang w:val="en-GB"/>
        </w:rPr>
        <w:t>/ « disabilities »</w:t>
      </w:r>
      <w:r w:rsidRPr="006F0B6F">
        <w:rPr>
          <w:rStyle w:val="FootnoteReference"/>
        </w:rPr>
        <w:footnoteReference w:id="28"/>
      </w:r>
      <w:r w:rsidR="00E413ED" w:rsidRPr="00152D67">
        <w:rPr>
          <w:lang w:val="en-GB"/>
        </w:rPr>
        <w:t xml:space="preserve">. </w:t>
      </w:r>
      <w:r w:rsidR="00CC0326" w:rsidRPr="006F0B6F">
        <w:t xml:space="preserve">This </w:t>
      </w:r>
      <w:proofErr w:type="spellStart"/>
      <w:r w:rsidR="00CC0326" w:rsidRPr="006F0B6F">
        <w:t>approach</w:t>
      </w:r>
      <w:proofErr w:type="spellEnd"/>
      <w:r w:rsidR="00CC0326" w:rsidRPr="006F0B6F">
        <w:t xml:space="preserve"> </w:t>
      </w:r>
      <w:proofErr w:type="spellStart"/>
      <w:r w:rsidR="00CC0326" w:rsidRPr="006F0B6F">
        <w:t>means</w:t>
      </w:r>
      <w:proofErr w:type="spellEnd"/>
      <w:r w:rsidR="00CC0326" w:rsidRPr="006F0B6F">
        <w:t xml:space="preserve"> </w:t>
      </w:r>
      <w:proofErr w:type="spellStart"/>
      <w:r w:rsidR="00CC0326" w:rsidRPr="006F0B6F">
        <w:t>that</w:t>
      </w:r>
      <w:proofErr w:type="spellEnd"/>
      <w:r w:rsidR="00CC0326" w:rsidRPr="006F0B6F">
        <w:t xml:space="preserve"> </w:t>
      </w:r>
      <w:proofErr w:type="spellStart"/>
      <w:r w:rsidR="00CC0326" w:rsidRPr="006F0B6F">
        <w:t>two</w:t>
      </w:r>
      <w:proofErr w:type="spellEnd"/>
      <w:r w:rsidR="00CC0326" w:rsidRPr="006F0B6F">
        <w:t xml:space="preserve"> cautions are </w:t>
      </w:r>
      <w:proofErr w:type="spellStart"/>
      <w:r w:rsidR="00CC0326" w:rsidRPr="006F0B6F">
        <w:t>needed</w:t>
      </w:r>
      <w:proofErr w:type="spellEnd"/>
      <w:r w:rsidR="00CC0326" w:rsidRPr="006F0B6F">
        <w:t> :</w:t>
      </w:r>
    </w:p>
    <w:p w14:paraId="1EB15C0B" w14:textId="2A3F686F" w:rsidR="007E0981" w:rsidRPr="00152D67" w:rsidRDefault="00CC0326" w:rsidP="00CC0326">
      <w:pPr>
        <w:pStyle w:val="ListParagraph"/>
        <w:numPr>
          <w:ilvl w:val="0"/>
          <w:numId w:val="16"/>
        </w:numPr>
        <w:rPr>
          <w:lang w:val="en-GB"/>
        </w:rPr>
      </w:pPr>
      <w:r w:rsidRPr="00152D67">
        <w:rPr>
          <w:lang w:val="en-GB"/>
        </w:rPr>
        <w:t>First, i</w:t>
      </w:r>
      <w:r w:rsidR="003B7D91" w:rsidRPr="00152D67">
        <w:rPr>
          <w:lang w:val="en-GB"/>
        </w:rPr>
        <w:t xml:space="preserve">f this was a full-scale research project aiming at a more exhaustive assessment, it would </w:t>
      </w:r>
      <w:r w:rsidR="00761ED5" w:rsidRPr="00152D67">
        <w:rPr>
          <w:lang w:val="en-GB"/>
        </w:rPr>
        <w:t xml:space="preserve">have </w:t>
      </w:r>
      <w:r w:rsidR="003B7D91" w:rsidRPr="00152D67">
        <w:rPr>
          <w:lang w:val="en-GB"/>
        </w:rPr>
        <w:t>be</w:t>
      </w:r>
      <w:r w:rsidR="00761ED5" w:rsidRPr="00152D67">
        <w:rPr>
          <w:lang w:val="en-GB"/>
        </w:rPr>
        <w:t>en</w:t>
      </w:r>
      <w:r w:rsidR="003B7D91" w:rsidRPr="00152D67">
        <w:rPr>
          <w:lang w:val="en-GB"/>
        </w:rPr>
        <w:t xml:space="preserve"> necessary to search for other terms too, including sector-specific terms such as « inclusive education », and terms relevant to specific sub-groups of the population of persons with disabilities, such as « blind ». The detailed findings from the review should therefore be treated with some caution: it is possible that some of the results stated below would be a little higher if a wider range of search terms had been used. However, the main aim of the review was to look for evidence of disability </w:t>
      </w:r>
      <w:r w:rsidR="003B7D91" w:rsidRPr="00152D67">
        <w:rPr>
          <w:b/>
          <w:bCs/>
          <w:lang w:val="en-GB"/>
        </w:rPr>
        <w:t>mainstreaming</w:t>
      </w:r>
      <w:r w:rsidR="003B7D91" w:rsidRPr="00152D67">
        <w:rPr>
          <w:lang w:val="en-GB"/>
        </w:rPr>
        <w:t xml:space="preserve">, and it seems implausible that a MIP seeking to mainstream the rights of persons with disabilities in their diversity, across all sectors, would not use the term « disability » in describing its plans. In the context of this rapid review, </w:t>
      </w:r>
      <w:r w:rsidR="00595881" w:rsidRPr="00152D67">
        <w:rPr>
          <w:lang w:val="en-GB"/>
        </w:rPr>
        <w:t xml:space="preserve">searching on </w:t>
      </w:r>
      <w:r w:rsidR="003B7D91" w:rsidRPr="00152D67">
        <w:rPr>
          <w:lang w:val="en-GB"/>
        </w:rPr>
        <w:t>« disability »</w:t>
      </w:r>
      <w:r w:rsidR="00595881" w:rsidRPr="00152D67">
        <w:rPr>
          <w:lang w:val="en-GB"/>
        </w:rPr>
        <w:t>/ « disabilities »</w:t>
      </w:r>
      <w:r w:rsidR="003B7D91" w:rsidRPr="00152D67">
        <w:rPr>
          <w:lang w:val="en-GB"/>
        </w:rPr>
        <w:t xml:space="preserve"> was thus considered a reasonable proxy</w:t>
      </w:r>
      <w:r w:rsidR="00595881" w:rsidRPr="00152D67">
        <w:rPr>
          <w:lang w:val="en-GB"/>
        </w:rPr>
        <w:t>.</w:t>
      </w:r>
    </w:p>
    <w:p w14:paraId="1A6E1213" w14:textId="5D96231E" w:rsidR="00CC0326" w:rsidRPr="006F0B6F" w:rsidRDefault="00756A32" w:rsidP="00756A32">
      <w:pPr>
        <w:pStyle w:val="ListParagraph"/>
        <w:numPr>
          <w:ilvl w:val="0"/>
          <w:numId w:val="16"/>
        </w:numPr>
      </w:pPr>
      <w:r w:rsidRPr="00152D67">
        <w:rPr>
          <w:lang w:val="en-GB"/>
        </w:rPr>
        <w:t>A second caution is that</w:t>
      </w:r>
      <w:r w:rsidR="00095CA7" w:rsidRPr="00152D67">
        <w:rPr>
          <w:lang w:val="en-GB"/>
        </w:rPr>
        <w:t xml:space="preserve"> t</w:t>
      </w:r>
      <w:r w:rsidR="0019700F" w:rsidRPr="00152D67">
        <w:rPr>
          <w:lang w:val="en-GB"/>
        </w:rPr>
        <w:t>he review</w:t>
      </w:r>
      <w:r w:rsidR="00E413ED" w:rsidRPr="00152D67">
        <w:rPr>
          <w:lang w:val="en-GB"/>
        </w:rPr>
        <w:t xml:space="preserve"> did </w:t>
      </w:r>
      <w:r w:rsidR="00E413ED" w:rsidRPr="00152D67">
        <w:rPr>
          <w:b/>
          <w:bCs/>
          <w:lang w:val="en-GB"/>
        </w:rPr>
        <w:t xml:space="preserve">not </w:t>
      </w:r>
      <w:r w:rsidR="00E413ED" w:rsidRPr="00152D67">
        <w:rPr>
          <w:lang w:val="en-GB"/>
        </w:rPr>
        <w:t xml:space="preserve">involve </w:t>
      </w:r>
      <w:r w:rsidR="000619C3" w:rsidRPr="00152D67">
        <w:rPr>
          <w:lang w:val="en-GB"/>
        </w:rPr>
        <w:t xml:space="preserve">making a complete assessment of how far the </w:t>
      </w:r>
      <w:r w:rsidR="00FB07E2" w:rsidRPr="00152D67">
        <w:rPr>
          <w:lang w:val="en-GB"/>
        </w:rPr>
        <w:t xml:space="preserve">programmes set out in the </w:t>
      </w:r>
      <w:r w:rsidR="000619C3" w:rsidRPr="00152D67">
        <w:rPr>
          <w:lang w:val="en-GB"/>
        </w:rPr>
        <w:t>documents were likely to respect, protect and fulfil the rights of persons with disabilities</w:t>
      </w:r>
      <w:r w:rsidR="00D55852" w:rsidRPr="00152D67">
        <w:rPr>
          <w:lang w:val="en-GB"/>
        </w:rPr>
        <w:t>. For example</w:t>
      </w:r>
      <w:r w:rsidR="0019700F" w:rsidRPr="00152D67">
        <w:rPr>
          <w:lang w:val="en-GB"/>
        </w:rPr>
        <w:t xml:space="preserve">, the review did not examine whether proposed measures were likely to benefit all persons with disabilities equally, or whether they might </w:t>
      </w:r>
      <w:proofErr w:type="spellStart"/>
      <w:r w:rsidR="0019700F" w:rsidRPr="00152D67">
        <w:rPr>
          <w:lang w:val="en-GB"/>
        </w:rPr>
        <w:t>sideline</w:t>
      </w:r>
      <w:proofErr w:type="spellEnd"/>
      <w:r w:rsidR="0019700F" w:rsidRPr="00152D67">
        <w:rPr>
          <w:lang w:val="en-GB"/>
        </w:rPr>
        <w:t xml:space="preserve"> some persons with disabilities experiencing intersecting or more extreme inequalit</w:t>
      </w:r>
      <w:r w:rsidR="00DB2720" w:rsidRPr="00152D67">
        <w:rPr>
          <w:lang w:val="en-GB"/>
        </w:rPr>
        <w:t>i</w:t>
      </w:r>
      <w:r w:rsidR="0019700F" w:rsidRPr="00152D67">
        <w:rPr>
          <w:lang w:val="en-GB"/>
        </w:rPr>
        <w:t xml:space="preserve">es. The review also did not consider whether any parts of the documents could be </w:t>
      </w:r>
      <w:r w:rsidR="0019700F" w:rsidRPr="00152D67">
        <w:rPr>
          <w:i/>
          <w:iCs/>
          <w:lang w:val="en-GB"/>
        </w:rPr>
        <w:t xml:space="preserve">detrimental </w:t>
      </w:r>
      <w:r w:rsidR="0019700F" w:rsidRPr="00152D67">
        <w:rPr>
          <w:lang w:val="en-GB"/>
        </w:rPr>
        <w:t xml:space="preserve">to the enjoyment of all rights by all persons with disabilities. </w:t>
      </w:r>
      <w:r w:rsidR="0019700F" w:rsidRPr="006F0B6F">
        <w:t xml:space="preserve">The </w:t>
      </w:r>
      <w:proofErr w:type="spellStart"/>
      <w:r w:rsidR="0019700F" w:rsidRPr="006F0B6F">
        <w:t>results</w:t>
      </w:r>
      <w:proofErr w:type="spellEnd"/>
      <w:r w:rsidR="0019700F" w:rsidRPr="006F0B6F">
        <w:t xml:space="preserve"> </w:t>
      </w:r>
      <w:proofErr w:type="spellStart"/>
      <w:r w:rsidR="0019700F" w:rsidRPr="006F0B6F">
        <w:t>should</w:t>
      </w:r>
      <w:proofErr w:type="spellEnd"/>
      <w:r w:rsidR="0019700F" w:rsidRPr="006F0B6F">
        <w:t xml:space="preserve"> </w:t>
      </w:r>
      <w:proofErr w:type="spellStart"/>
      <w:r w:rsidR="0019700F" w:rsidRPr="006F0B6F">
        <w:t>therefore</w:t>
      </w:r>
      <w:proofErr w:type="spellEnd"/>
      <w:r w:rsidR="0019700F" w:rsidRPr="006F0B6F">
        <w:t xml:space="preserve"> </w:t>
      </w:r>
      <w:proofErr w:type="spellStart"/>
      <w:r w:rsidR="0019700F" w:rsidRPr="006F0B6F">
        <w:t>be</w:t>
      </w:r>
      <w:proofErr w:type="spellEnd"/>
      <w:r w:rsidR="0019700F" w:rsidRPr="006F0B6F">
        <w:t xml:space="preserve"> </w:t>
      </w:r>
      <w:proofErr w:type="spellStart"/>
      <w:r w:rsidR="0019700F" w:rsidRPr="006F0B6F">
        <w:t>treated</w:t>
      </w:r>
      <w:proofErr w:type="spellEnd"/>
      <w:r w:rsidR="0019700F" w:rsidRPr="006F0B6F">
        <w:t xml:space="preserve"> </w:t>
      </w:r>
      <w:r w:rsidR="00F607C5" w:rsidRPr="006F0B6F">
        <w:t xml:space="preserve">as </w:t>
      </w:r>
      <w:proofErr w:type="spellStart"/>
      <w:r w:rsidR="00F607C5" w:rsidRPr="006F0B6F">
        <w:t>very</w:t>
      </w:r>
      <w:proofErr w:type="spellEnd"/>
      <w:r w:rsidR="00F607C5" w:rsidRPr="006F0B6F">
        <w:t xml:space="preserve"> tentative</w:t>
      </w:r>
      <w:r w:rsidR="0019700F" w:rsidRPr="006F0B6F">
        <w:t xml:space="preserve">. </w:t>
      </w:r>
    </w:p>
    <w:p w14:paraId="6520599A" w14:textId="772CAA11" w:rsidR="008D560D" w:rsidRPr="00152D67" w:rsidRDefault="0019700F" w:rsidP="008D560D">
      <w:pPr>
        <w:rPr>
          <w:lang w:val="en-GB"/>
        </w:rPr>
      </w:pPr>
      <w:r w:rsidRPr="00152D67">
        <w:rPr>
          <w:lang w:val="en-GB"/>
        </w:rPr>
        <w:lastRenderedPageBreak/>
        <w:t>But with th</w:t>
      </w:r>
      <w:r w:rsidR="00CC0326" w:rsidRPr="00152D67">
        <w:rPr>
          <w:lang w:val="en-GB"/>
        </w:rPr>
        <w:t>ese</w:t>
      </w:r>
      <w:r w:rsidRPr="00152D67">
        <w:rPr>
          <w:lang w:val="en-GB"/>
        </w:rPr>
        <w:t xml:space="preserve"> caveat</w:t>
      </w:r>
      <w:r w:rsidR="00CC0326" w:rsidRPr="00152D67">
        <w:rPr>
          <w:lang w:val="en-GB"/>
        </w:rPr>
        <w:t>s</w:t>
      </w:r>
      <w:r w:rsidRPr="00152D67">
        <w:rPr>
          <w:lang w:val="en-GB"/>
        </w:rPr>
        <w:t xml:space="preserve">, the key </w:t>
      </w:r>
      <w:r w:rsidR="00F607C5" w:rsidRPr="00152D67">
        <w:rPr>
          <w:lang w:val="en-GB"/>
        </w:rPr>
        <w:t>observations</w:t>
      </w:r>
      <w:r w:rsidRPr="00152D67">
        <w:rPr>
          <w:lang w:val="en-GB"/>
        </w:rPr>
        <w:t xml:space="preserve"> were that:</w:t>
      </w:r>
    </w:p>
    <w:p w14:paraId="29A0310B" w14:textId="3B93836F" w:rsidR="0019700F" w:rsidRPr="00152D67" w:rsidRDefault="00213541" w:rsidP="006104B1">
      <w:pPr>
        <w:pStyle w:val="ListParagraph"/>
        <w:numPr>
          <w:ilvl w:val="0"/>
          <w:numId w:val="4"/>
        </w:numPr>
        <w:rPr>
          <w:lang w:val="en-GB"/>
        </w:rPr>
      </w:pPr>
      <w:r w:rsidRPr="00152D67">
        <w:rPr>
          <w:lang w:val="en-GB"/>
        </w:rPr>
        <w:t xml:space="preserve">Positively, </w:t>
      </w:r>
      <w:proofErr w:type="gramStart"/>
      <w:r w:rsidRPr="00152D67">
        <w:rPr>
          <w:lang w:val="en-GB"/>
        </w:rPr>
        <w:t>t</w:t>
      </w:r>
      <w:r w:rsidR="000E6404" w:rsidRPr="00152D67">
        <w:rPr>
          <w:lang w:val="en-GB"/>
        </w:rPr>
        <w:t xml:space="preserve">he </w:t>
      </w:r>
      <w:r w:rsidR="000E6404" w:rsidRPr="00152D67">
        <w:rPr>
          <w:b/>
          <w:bCs/>
          <w:lang w:val="en-GB"/>
        </w:rPr>
        <w:t>majority of</w:t>
      </w:r>
      <w:proofErr w:type="gramEnd"/>
      <w:r w:rsidR="000E6404" w:rsidRPr="00152D67">
        <w:rPr>
          <w:b/>
          <w:bCs/>
          <w:lang w:val="en-GB"/>
        </w:rPr>
        <w:t xml:space="preserve"> </w:t>
      </w:r>
      <w:r w:rsidRPr="00152D67">
        <w:rPr>
          <w:b/>
          <w:bCs/>
          <w:lang w:val="en-GB"/>
        </w:rPr>
        <w:t>MIPs (around 7</w:t>
      </w:r>
      <w:r w:rsidR="007D4B17" w:rsidRPr="00152D67">
        <w:rPr>
          <w:b/>
          <w:bCs/>
          <w:lang w:val="en-GB"/>
        </w:rPr>
        <w:t>3</w:t>
      </w:r>
      <w:r w:rsidRPr="00152D67">
        <w:rPr>
          <w:b/>
          <w:bCs/>
          <w:lang w:val="en-GB"/>
        </w:rPr>
        <w:t>%)</w:t>
      </w:r>
      <w:r w:rsidR="000244DE" w:rsidRPr="006F0B6F">
        <w:rPr>
          <w:rStyle w:val="FootnoteReference"/>
          <w:b/>
          <w:bCs/>
        </w:rPr>
        <w:footnoteReference w:id="29"/>
      </w:r>
      <w:r w:rsidRPr="00152D67">
        <w:rPr>
          <w:lang w:val="en-GB"/>
        </w:rPr>
        <w:t xml:space="preserve"> expressed some intention to reach persons with disabilities</w:t>
      </w:r>
      <w:r w:rsidR="007D4B17" w:rsidRPr="00152D67">
        <w:rPr>
          <w:lang w:val="en-GB"/>
        </w:rPr>
        <w:t xml:space="preserve"> through programmatic work</w:t>
      </w:r>
      <w:r w:rsidRPr="00152D67">
        <w:rPr>
          <w:lang w:val="en-GB"/>
        </w:rPr>
        <w:t xml:space="preserve">. However, </w:t>
      </w:r>
      <w:r w:rsidR="007D4B17" w:rsidRPr="00152D67">
        <w:rPr>
          <w:lang w:val="en-GB"/>
        </w:rPr>
        <w:t xml:space="preserve">the remaining </w:t>
      </w:r>
      <w:r w:rsidRPr="00152D67">
        <w:rPr>
          <w:lang w:val="en-GB"/>
        </w:rPr>
        <w:t>2</w:t>
      </w:r>
      <w:r w:rsidR="007D4B17" w:rsidRPr="00152D67">
        <w:rPr>
          <w:lang w:val="en-GB"/>
        </w:rPr>
        <w:t>7</w:t>
      </w:r>
      <w:r w:rsidRPr="00152D67">
        <w:rPr>
          <w:lang w:val="en-GB"/>
        </w:rPr>
        <w:t xml:space="preserve">% of MIPs </w:t>
      </w:r>
      <w:r w:rsidR="002D7D1A" w:rsidRPr="00152D67">
        <w:rPr>
          <w:lang w:val="en-GB"/>
        </w:rPr>
        <w:t xml:space="preserve">either </w:t>
      </w:r>
      <w:r w:rsidRPr="00152D67">
        <w:rPr>
          <w:lang w:val="en-GB"/>
        </w:rPr>
        <w:t xml:space="preserve">made no reference to </w:t>
      </w:r>
      <w:r w:rsidR="007415B9" w:rsidRPr="00152D67">
        <w:rPr>
          <w:lang w:val="en-GB"/>
        </w:rPr>
        <w:t>the term « </w:t>
      </w:r>
      <w:r w:rsidRPr="00152D67">
        <w:rPr>
          <w:lang w:val="en-GB"/>
        </w:rPr>
        <w:t>disability</w:t>
      </w:r>
      <w:r w:rsidR="007415B9" w:rsidRPr="00152D67">
        <w:rPr>
          <w:lang w:val="en-GB"/>
        </w:rPr>
        <w:t> »</w:t>
      </w:r>
      <w:r w:rsidR="00337259" w:rsidRPr="00152D67">
        <w:rPr>
          <w:lang w:val="en-GB"/>
        </w:rPr>
        <w:t>;</w:t>
      </w:r>
      <w:r w:rsidRPr="00152D67">
        <w:rPr>
          <w:lang w:val="en-GB"/>
        </w:rPr>
        <w:t xml:space="preserve"> only </w:t>
      </w:r>
      <w:r w:rsidR="002D7D1A" w:rsidRPr="00152D67">
        <w:rPr>
          <w:lang w:val="en-GB"/>
        </w:rPr>
        <w:t xml:space="preserve">made </w:t>
      </w:r>
      <w:r w:rsidRPr="00152D67">
        <w:rPr>
          <w:lang w:val="en-GB"/>
        </w:rPr>
        <w:t>a very general descriptive reference to the inequalities experienced by persons with disabilities</w:t>
      </w:r>
      <w:r w:rsidR="00337259" w:rsidRPr="00152D67">
        <w:rPr>
          <w:lang w:val="en-GB"/>
        </w:rPr>
        <w:t>;</w:t>
      </w:r>
      <w:r w:rsidRPr="00152D67">
        <w:rPr>
          <w:lang w:val="en-GB"/>
        </w:rPr>
        <w:t xml:space="preserve"> </w:t>
      </w:r>
      <w:r w:rsidR="007D4B17" w:rsidRPr="00152D67">
        <w:rPr>
          <w:lang w:val="en-GB"/>
        </w:rPr>
        <w:t xml:space="preserve">or </w:t>
      </w:r>
      <w:r w:rsidR="002D7D1A" w:rsidRPr="00152D67">
        <w:rPr>
          <w:lang w:val="en-GB"/>
        </w:rPr>
        <w:t xml:space="preserve">only </w:t>
      </w:r>
      <w:r w:rsidR="007D4B17" w:rsidRPr="00152D67">
        <w:rPr>
          <w:lang w:val="en-GB"/>
        </w:rPr>
        <w:t>refer</w:t>
      </w:r>
      <w:r w:rsidR="002D7D1A" w:rsidRPr="00152D67">
        <w:rPr>
          <w:lang w:val="en-GB"/>
        </w:rPr>
        <w:t>red to disability in the context of p</w:t>
      </w:r>
      <w:r w:rsidR="007D4B17" w:rsidRPr="00152D67">
        <w:rPr>
          <w:lang w:val="en-GB"/>
        </w:rPr>
        <w:t>olicy dialogue as opposed to ODA programming</w:t>
      </w:r>
      <w:r w:rsidRPr="00152D67">
        <w:rPr>
          <w:lang w:val="en-GB"/>
        </w:rPr>
        <w:t>.</w:t>
      </w:r>
    </w:p>
    <w:p w14:paraId="344AA2D0" w14:textId="7EB68CD3" w:rsidR="00FD534C" w:rsidRPr="00152D67" w:rsidRDefault="00EF7368" w:rsidP="006104B1">
      <w:pPr>
        <w:pStyle w:val="ListParagraph"/>
        <w:numPr>
          <w:ilvl w:val="0"/>
          <w:numId w:val="4"/>
        </w:numPr>
        <w:rPr>
          <w:lang w:val="en-GB"/>
        </w:rPr>
      </w:pPr>
      <w:r w:rsidRPr="00152D67">
        <w:rPr>
          <w:lang w:val="en-GB"/>
        </w:rPr>
        <w:t xml:space="preserve">Where MIPs </w:t>
      </w:r>
      <w:r w:rsidRPr="00152D67">
        <w:rPr>
          <w:b/>
          <w:bCs/>
          <w:lang w:val="en-GB"/>
        </w:rPr>
        <w:t>did</w:t>
      </w:r>
      <w:r w:rsidRPr="00152D67">
        <w:rPr>
          <w:lang w:val="en-GB"/>
        </w:rPr>
        <w:t xml:space="preserve"> express an intention to reach persons with disabilities, it was not always clear how this intention would be translated into practice. Partly, this is because MIP documents are by their nature top-line: other sources would be needed to get a detailed picture of the EC’s programming plans </w:t>
      </w:r>
      <w:proofErr w:type="gramStart"/>
      <w:r w:rsidRPr="00152D67">
        <w:rPr>
          <w:lang w:val="en-GB"/>
        </w:rPr>
        <w:t>in particular localities</w:t>
      </w:r>
      <w:proofErr w:type="gramEnd"/>
      <w:r w:rsidRPr="00152D67">
        <w:rPr>
          <w:lang w:val="en-GB"/>
        </w:rPr>
        <w:t xml:space="preserve">. </w:t>
      </w:r>
      <w:r w:rsidR="00CF1A4F" w:rsidRPr="00152D67">
        <w:rPr>
          <w:lang w:val="en-GB"/>
        </w:rPr>
        <w:t xml:space="preserve">As a </w:t>
      </w:r>
      <w:r w:rsidRPr="00152D67">
        <w:rPr>
          <w:lang w:val="en-GB"/>
        </w:rPr>
        <w:t>proxy, to get some clues on whether MIPs were backed by more concrete plans for inclusion of persons with disabil</w:t>
      </w:r>
      <w:r w:rsidR="00D51542" w:rsidRPr="00152D67">
        <w:rPr>
          <w:lang w:val="en-GB"/>
        </w:rPr>
        <w:t>i</w:t>
      </w:r>
      <w:r w:rsidRPr="00152D67">
        <w:rPr>
          <w:lang w:val="en-GB"/>
        </w:rPr>
        <w:t xml:space="preserve">ties, </w:t>
      </w:r>
      <w:r w:rsidR="00CF1A4F" w:rsidRPr="00152D67">
        <w:rPr>
          <w:lang w:val="en-GB"/>
        </w:rPr>
        <w:t>a review was done on</w:t>
      </w:r>
      <w:r w:rsidRPr="00152D67">
        <w:rPr>
          <w:lang w:val="en-GB"/>
        </w:rPr>
        <w:t xml:space="preserve"> MIPs’ proposed indicators. Indicator frameworks were available for </w:t>
      </w:r>
      <w:r w:rsidR="0026700C" w:rsidRPr="00152D67">
        <w:rPr>
          <w:lang w:val="en-GB"/>
        </w:rPr>
        <w:t>8</w:t>
      </w:r>
      <w:r w:rsidR="00C81780" w:rsidRPr="00152D67">
        <w:rPr>
          <w:lang w:val="en-GB"/>
        </w:rPr>
        <w:t>2</w:t>
      </w:r>
      <w:r w:rsidR="0026700C" w:rsidRPr="00152D67">
        <w:rPr>
          <w:lang w:val="en-GB"/>
        </w:rPr>
        <w:t xml:space="preserve"> MIPs. Of these, </w:t>
      </w:r>
      <w:r w:rsidR="0026700C" w:rsidRPr="00152D67">
        <w:rPr>
          <w:b/>
          <w:bCs/>
          <w:lang w:val="en-GB"/>
        </w:rPr>
        <w:t>around 41%</w:t>
      </w:r>
      <w:r w:rsidR="0026700C" w:rsidRPr="00152D67">
        <w:rPr>
          <w:lang w:val="en-GB"/>
        </w:rPr>
        <w:t xml:space="preserve"> included some sort of </w:t>
      </w:r>
      <w:r w:rsidR="00CF345A" w:rsidRPr="00152D67">
        <w:rPr>
          <w:lang w:val="en-GB"/>
        </w:rPr>
        <w:t xml:space="preserve">plans for </w:t>
      </w:r>
      <w:r w:rsidR="0026700C" w:rsidRPr="00152D67">
        <w:rPr>
          <w:lang w:val="en-GB"/>
        </w:rPr>
        <w:t>monitoring the inclusion of persons with disabil</w:t>
      </w:r>
      <w:r w:rsidR="00FB07E2" w:rsidRPr="00152D67">
        <w:rPr>
          <w:lang w:val="en-GB"/>
        </w:rPr>
        <w:t>i</w:t>
      </w:r>
      <w:r w:rsidR="0026700C" w:rsidRPr="00152D67">
        <w:rPr>
          <w:lang w:val="en-GB"/>
        </w:rPr>
        <w:t>ties</w:t>
      </w:r>
      <w:r w:rsidR="0087024F" w:rsidRPr="00152D67">
        <w:rPr>
          <w:lang w:val="en-GB"/>
        </w:rPr>
        <w:t xml:space="preserve"> in at least some of their activities</w:t>
      </w:r>
      <w:r w:rsidR="00CF345A" w:rsidRPr="00152D67">
        <w:rPr>
          <w:lang w:val="en-GB"/>
        </w:rPr>
        <w:t>. However, the level of specificity of such plans varied – from concrete indicators explicitly related to disability, to a general intention to gather disability-disaggregated data « where possible »</w:t>
      </w:r>
      <w:r w:rsidR="0026700C" w:rsidRPr="00152D67">
        <w:rPr>
          <w:lang w:val="en-GB"/>
        </w:rPr>
        <w:t xml:space="preserve">. </w:t>
      </w:r>
    </w:p>
    <w:p w14:paraId="30BD8FF9" w14:textId="505B24CD" w:rsidR="00FB07E2" w:rsidRPr="00152D67" w:rsidRDefault="00FB07E2" w:rsidP="00FB07E2">
      <w:pPr>
        <w:pStyle w:val="ListParagraph"/>
        <w:numPr>
          <w:ilvl w:val="0"/>
          <w:numId w:val="4"/>
        </w:numPr>
        <w:rPr>
          <w:lang w:val="en-GB"/>
        </w:rPr>
      </w:pPr>
      <w:r w:rsidRPr="00152D67">
        <w:rPr>
          <w:lang w:val="en-GB"/>
        </w:rPr>
        <w:t xml:space="preserve">Even where MIPs stated an intention to reach persons with disabilities, </w:t>
      </w:r>
      <w:r w:rsidR="002D7D1A" w:rsidRPr="00152D67">
        <w:rPr>
          <w:lang w:val="en-GB"/>
        </w:rPr>
        <w:t xml:space="preserve">in </w:t>
      </w:r>
      <w:proofErr w:type="gramStart"/>
      <w:r w:rsidR="002D7D1A" w:rsidRPr="00152D67">
        <w:rPr>
          <w:lang w:val="en-GB"/>
        </w:rPr>
        <w:t>the vast majority of</w:t>
      </w:r>
      <w:proofErr w:type="gramEnd"/>
      <w:r w:rsidR="002D7D1A" w:rsidRPr="00152D67">
        <w:rPr>
          <w:lang w:val="en-GB"/>
        </w:rPr>
        <w:t xml:space="preserve"> </w:t>
      </w:r>
      <w:r w:rsidR="00E66424" w:rsidRPr="00152D67">
        <w:rPr>
          <w:lang w:val="en-GB"/>
        </w:rPr>
        <w:t>cases</w:t>
      </w:r>
      <w:r w:rsidR="002D7D1A" w:rsidRPr="00152D67">
        <w:rPr>
          <w:lang w:val="en-GB"/>
        </w:rPr>
        <w:t xml:space="preserve"> </w:t>
      </w:r>
      <w:r w:rsidR="007E0981" w:rsidRPr="00152D67">
        <w:rPr>
          <w:lang w:val="en-GB"/>
        </w:rPr>
        <w:t xml:space="preserve">there was little evidence that </w:t>
      </w:r>
      <w:r w:rsidRPr="00152D67">
        <w:rPr>
          <w:lang w:val="en-GB"/>
        </w:rPr>
        <w:t xml:space="preserve">this intention </w:t>
      </w:r>
      <w:r w:rsidR="007E0981" w:rsidRPr="00152D67">
        <w:rPr>
          <w:lang w:val="en-GB"/>
        </w:rPr>
        <w:t>had been</w:t>
      </w:r>
      <w:r w:rsidRPr="00152D67">
        <w:rPr>
          <w:lang w:val="en-GB"/>
        </w:rPr>
        <w:t xml:space="preserve"> mainstreamed right across the MIP. MIPs are built around a series of ‘specific objectives’: </w:t>
      </w:r>
      <w:r w:rsidR="00EF2D06" w:rsidRPr="00152D67">
        <w:rPr>
          <w:lang w:val="en-GB"/>
        </w:rPr>
        <w:t xml:space="preserve">only </w:t>
      </w:r>
      <w:r w:rsidR="00EF2D06" w:rsidRPr="00152D67">
        <w:rPr>
          <w:b/>
          <w:bCs/>
          <w:lang w:val="en-GB"/>
        </w:rPr>
        <w:t>two</w:t>
      </w:r>
      <w:r w:rsidR="00EF2D06" w:rsidRPr="00152D67">
        <w:rPr>
          <w:lang w:val="en-GB"/>
        </w:rPr>
        <w:t xml:space="preserve"> </w:t>
      </w:r>
      <w:r w:rsidRPr="00152D67">
        <w:rPr>
          <w:lang w:val="en-GB"/>
        </w:rPr>
        <w:t xml:space="preserve">of the </w:t>
      </w:r>
      <w:r w:rsidR="00EF2D06" w:rsidRPr="00152D67">
        <w:rPr>
          <w:lang w:val="en-GB"/>
        </w:rPr>
        <w:t xml:space="preserve">88 </w:t>
      </w:r>
      <w:r w:rsidRPr="00152D67">
        <w:rPr>
          <w:lang w:val="en-GB"/>
        </w:rPr>
        <w:t xml:space="preserve">MIPs reviewed </w:t>
      </w:r>
      <w:r w:rsidR="00930C8B" w:rsidRPr="00152D67">
        <w:rPr>
          <w:lang w:val="en-GB"/>
        </w:rPr>
        <w:t xml:space="preserve">explicitly </w:t>
      </w:r>
      <w:r w:rsidR="00C379F9" w:rsidRPr="00152D67">
        <w:rPr>
          <w:lang w:val="en-GB"/>
        </w:rPr>
        <w:t>mentioned that they intended</w:t>
      </w:r>
      <w:r w:rsidRPr="00152D67">
        <w:rPr>
          <w:lang w:val="en-GB"/>
        </w:rPr>
        <w:t xml:space="preserve"> to </w:t>
      </w:r>
      <w:r w:rsidR="00C379F9" w:rsidRPr="00152D67">
        <w:rPr>
          <w:lang w:val="en-GB"/>
        </w:rPr>
        <w:t>integrate considerations of</w:t>
      </w:r>
      <w:r w:rsidRPr="00152D67">
        <w:rPr>
          <w:lang w:val="en-GB"/>
        </w:rPr>
        <w:t xml:space="preserve"> </w:t>
      </w:r>
      <w:r w:rsidR="00963580" w:rsidRPr="00152D67">
        <w:rPr>
          <w:lang w:val="en-GB"/>
        </w:rPr>
        <w:t xml:space="preserve">« disability » / </w:t>
      </w:r>
      <w:r w:rsidRPr="00152D67">
        <w:rPr>
          <w:lang w:val="en-GB"/>
        </w:rPr>
        <w:t xml:space="preserve">persons with </w:t>
      </w:r>
      <w:r w:rsidR="00963580" w:rsidRPr="00152D67">
        <w:rPr>
          <w:lang w:val="en-GB"/>
        </w:rPr>
        <w:t>« </w:t>
      </w:r>
      <w:r w:rsidRPr="00152D67">
        <w:rPr>
          <w:lang w:val="en-GB"/>
        </w:rPr>
        <w:t>disabilities</w:t>
      </w:r>
      <w:r w:rsidR="00963580" w:rsidRPr="00152D67">
        <w:rPr>
          <w:lang w:val="en-GB"/>
        </w:rPr>
        <w:t> »</w:t>
      </w:r>
      <w:r w:rsidRPr="00152D67">
        <w:rPr>
          <w:lang w:val="en-GB"/>
        </w:rPr>
        <w:t xml:space="preserve"> across </w:t>
      </w:r>
      <w:r w:rsidR="007E0981" w:rsidRPr="00152D67">
        <w:rPr>
          <w:lang w:val="en-GB"/>
        </w:rPr>
        <w:t>every one</w:t>
      </w:r>
      <w:r w:rsidRPr="00152D67">
        <w:rPr>
          <w:b/>
          <w:bCs/>
          <w:lang w:val="en-GB"/>
        </w:rPr>
        <w:t xml:space="preserve"> </w:t>
      </w:r>
      <w:r w:rsidRPr="00152D67">
        <w:rPr>
          <w:lang w:val="en-GB"/>
        </w:rPr>
        <w:t>of their</w:t>
      </w:r>
      <w:r w:rsidR="00EF2D06" w:rsidRPr="00152D67">
        <w:rPr>
          <w:lang w:val="en-GB"/>
        </w:rPr>
        <w:t xml:space="preserve"> programme-related</w:t>
      </w:r>
      <w:r w:rsidR="008F5CB8" w:rsidRPr="006F0B6F">
        <w:rPr>
          <w:rStyle w:val="FootnoteReference"/>
        </w:rPr>
        <w:footnoteReference w:id="30"/>
      </w:r>
      <w:r w:rsidRPr="00152D67">
        <w:rPr>
          <w:lang w:val="en-GB"/>
        </w:rPr>
        <w:t xml:space="preserve"> specific objectives.</w:t>
      </w:r>
      <w:r w:rsidRPr="006F0B6F">
        <w:rPr>
          <w:rStyle w:val="FootnoteReference"/>
        </w:rPr>
        <w:footnoteReference w:id="31"/>
      </w:r>
    </w:p>
    <w:p w14:paraId="5CD53FD1" w14:textId="4317B588" w:rsidR="00640CA1" w:rsidRPr="00152D67" w:rsidRDefault="00640CA1" w:rsidP="006104B1">
      <w:pPr>
        <w:pStyle w:val="ListParagraph"/>
        <w:numPr>
          <w:ilvl w:val="0"/>
          <w:numId w:val="4"/>
        </w:numPr>
        <w:rPr>
          <w:lang w:val="en-GB"/>
        </w:rPr>
      </w:pPr>
      <w:r w:rsidRPr="00152D67">
        <w:rPr>
          <w:lang w:val="en-GB"/>
        </w:rPr>
        <w:t xml:space="preserve">Only </w:t>
      </w:r>
      <w:r w:rsidRPr="00152D67">
        <w:rPr>
          <w:b/>
          <w:bCs/>
          <w:lang w:val="en-GB"/>
        </w:rPr>
        <w:t xml:space="preserve">around </w:t>
      </w:r>
      <w:r w:rsidR="001A2D63" w:rsidRPr="00152D67">
        <w:rPr>
          <w:b/>
          <w:bCs/>
          <w:lang w:val="en-GB"/>
        </w:rPr>
        <w:t>2</w:t>
      </w:r>
      <w:r w:rsidRPr="00152D67">
        <w:rPr>
          <w:b/>
          <w:bCs/>
          <w:lang w:val="en-GB"/>
        </w:rPr>
        <w:t>0%</w:t>
      </w:r>
      <w:r w:rsidRPr="00152D67">
        <w:rPr>
          <w:lang w:val="en-GB"/>
        </w:rPr>
        <w:t xml:space="preserve"> of MIPs explicitly mentioned plans to </w:t>
      </w:r>
      <w:r w:rsidR="001A2D63" w:rsidRPr="00152D67">
        <w:rPr>
          <w:lang w:val="en-GB"/>
        </w:rPr>
        <w:t>support persons with disabilities and/or their representative organisations</w:t>
      </w:r>
      <w:r w:rsidR="00F31C5C">
        <w:rPr>
          <w:lang w:val="en-GB"/>
        </w:rPr>
        <w:t xml:space="preserve"> (DPOs)</w:t>
      </w:r>
      <w:r w:rsidR="001A2D63" w:rsidRPr="00152D67">
        <w:rPr>
          <w:lang w:val="en-GB"/>
        </w:rPr>
        <w:t xml:space="preserve"> to </w:t>
      </w:r>
      <w:r w:rsidR="002200D6" w:rsidRPr="00152D67">
        <w:rPr>
          <w:lang w:val="en-GB"/>
        </w:rPr>
        <w:t>speak up for</w:t>
      </w:r>
      <w:r w:rsidR="001A2D63" w:rsidRPr="00152D67">
        <w:rPr>
          <w:lang w:val="en-GB"/>
        </w:rPr>
        <w:t xml:space="preserve"> their rights. </w:t>
      </w:r>
    </w:p>
    <w:p w14:paraId="40D92D95" w14:textId="0A6E08E5" w:rsidR="002F6037" w:rsidRDefault="002F6037" w:rsidP="002F6037">
      <w:pPr>
        <w:rPr>
          <w:lang w:val="en-GB"/>
        </w:rPr>
      </w:pPr>
      <w:r w:rsidRPr="00152D67">
        <w:rPr>
          <w:lang w:val="en-GB"/>
        </w:rPr>
        <w:t>Overall, these observations suggest that some steps have been taken to consider persons with disabilities in many MIPs, but that the rights of persons with disabilities are not yet comprehensively integrated.</w:t>
      </w:r>
    </w:p>
    <w:p w14:paraId="4503B436" w14:textId="77777777" w:rsidR="00553DDD" w:rsidRPr="00152D67" w:rsidRDefault="00553DDD" w:rsidP="002F6037">
      <w:pPr>
        <w:rPr>
          <w:lang w:val="en-GB"/>
        </w:rPr>
      </w:pPr>
    </w:p>
    <w:p w14:paraId="7FD0B907" w14:textId="6C5B55A0" w:rsidR="008D560D" w:rsidRPr="00152D67" w:rsidRDefault="008D560D" w:rsidP="00C27660">
      <w:pPr>
        <w:pStyle w:val="Heading2"/>
        <w:rPr>
          <w:lang w:val="en-GB"/>
        </w:rPr>
      </w:pPr>
      <w:r w:rsidRPr="00152D67">
        <w:rPr>
          <w:lang w:val="en-GB"/>
        </w:rPr>
        <w:t xml:space="preserve">Annex </w:t>
      </w:r>
      <w:proofErr w:type="gramStart"/>
      <w:r w:rsidRPr="00152D67">
        <w:rPr>
          <w:lang w:val="en-GB"/>
        </w:rPr>
        <w:t>3 :</w:t>
      </w:r>
      <w:proofErr w:type="gramEnd"/>
      <w:r w:rsidRPr="00152D67">
        <w:rPr>
          <w:lang w:val="en-GB"/>
        </w:rPr>
        <w:t xml:space="preserve"> </w:t>
      </w:r>
      <w:r w:rsidR="00043B5E" w:rsidRPr="00152D67">
        <w:rPr>
          <w:lang w:val="en-GB"/>
        </w:rPr>
        <w:t>OECD-DAC disability inclusion policy marker data</w:t>
      </w:r>
    </w:p>
    <w:p w14:paraId="25602740" w14:textId="2A462D2F" w:rsidR="003628C0" w:rsidRPr="00152D67" w:rsidRDefault="007E2AAB" w:rsidP="005D3D6E">
      <w:pPr>
        <w:rPr>
          <w:lang w:val="en-GB"/>
        </w:rPr>
      </w:pPr>
      <w:r w:rsidRPr="00152D67">
        <w:rPr>
          <w:lang w:val="en-GB"/>
        </w:rPr>
        <w:t xml:space="preserve">In 2021 (the most recent year for which data are available, and the first year of the NDICI), just over 50% of </w:t>
      </w:r>
      <w:r w:rsidR="005D3D6E" w:rsidRPr="00152D67">
        <w:rPr>
          <w:lang w:val="en-GB"/>
        </w:rPr>
        <w:t>the EC’s</w:t>
      </w:r>
      <w:r w:rsidR="003628C0" w:rsidRPr="00152D67">
        <w:rPr>
          <w:lang w:val="en-GB"/>
        </w:rPr>
        <w:t xml:space="preserve"> </w:t>
      </w:r>
      <w:r w:rsidRPr="00152D67">
        <w:rPr>
          <w:lang w:val="en-GB"/>
        </w:rPr>
        <w:t>O</w:t>
      </w:r>
      <w:r w:rsidR="009C7D11" w:rsidRPr="00152D67">
        <w:rPr>
          <w:lang w:val="en-GB"/>
        </w:rPr>
        <w:t>DA</w:t>
      </w:r>
      <w:r w:rsidRPr="00152D67">
        <w:rPr>
          <w:lang w:val="en-GB"/>
        </w:rPr>
        <w:t xml:space="preserve"> spending commitments outside the humanitarian sector were reported to have </w:t>
      </w:r>
      <w:r w:rsidRPr="00152D67">
        <w:rPr>
          <w:lang w:val="en-GB"/>
        </w:rPr>
        <w:lastRenderedPageBreak/>
        <w:t>disability inclusion as either a significant or a principal objective</w:t>
      </w:r>
      <w:r w:rsidR="003628C0" w:rsidRPr="00152D67">
        <w:rPr>
          <w:lang w:val="en-GB"/>
        </w:rPr>
        <w:t xml:space="preserve"> (please note this result excludes core contribut</w:t>
      </w:r>
      <w:r w:rsidR="00E954DC" w:rsidRPr="00152D67">
        <w:rPr>
          <w:lang w:val="en-GB"/>
        </w:rPr>
        <w:t>i</w:t>
      </w:r>
      <w:r w:rsidR="003628C0" w:rsidRPr="00152D67">
        <w:rPr>
          <w:lang w:val="en-GB"/>
        </w:rPr>
        <w:t>ons to multilateral organisations, due to a lack of data)</w:t>
      </w:r>
      <w:r w:rsidRPr="00152D67">
        <w:rPr>
          <w:lang w:val="en-GB"/>
        </w:rPr>
        <w:t>.</w:t>
      </w:r>
      <w:r w:rsidR="00B8161C" w:rsidRPr="006F35DD">
        <w:rPr>
          <w:rStyle w:val="FootnoteReference"/>
        </w:rPr>
        <w:footnoteReference w:id="32"/>
      </w:r>
      <w:r w:rsidRPr="00152D67">
        <w:rPr>
          <w:lang w:val="en-GB"/>
        </w:rPr>
        <w:t xml:space="preserve"> </w:t>
      </w:r>
    </w:p>
    <w:p w14:paraId="2DBEB497" w14:textId="19A5C144" w:rsidR="00E954DC" w:rsidRPr="00152D67" w:rsidRDefault="007E2AAB" w:rsidP="00E954DC">
      <w:pPr>
        <w:rPr>
          <w:lang w:val="en-GB"/>
        </w:rPr>
      </w:pPr>
      <w:r w:rsidRPr="00152D67">
        <w:rPr>
          <w:lang w:val="en-GB"/>
        </w:rPr>
        <w:t>This is a</w:t>
      </w:r>
      <w:r w:rsidR="009B7646" w:rsidRPr="00152D67">
        <w:rPr>
          <w:lang w:val="en-GB"/>
        </w:rPr>
        <w:t xml:space="preserve"> substantial</w:t>
      </w:r>
      <w:r w:rsidRPr="00152D67">
        <w:rPr>
          <w:lang w:val="en-GB"/>
        </w:rPr>
        <w:t xml:space="preserve"> increase compared to the previous year</w:t>
      </w:r>
      <w:r w:rsidR="00EC6570" w:rsidRPr="00152D67">
        <w:rPr>
          <w:lang w:val="en-GB"/>
        </w:rPr>
        <w:t xml:space="preserve"> (16%)</w:t>
      </w:r>
      <w:r w:rsidR="005B698B" w:rsidRPr="00152D67">
        <w:rPr>
          <w:lang w:val="en-GB"/>
        </w:rPr>
        <w:t>,</w:t>
      </w:r>
      <w:r w:rsidR="005E4982" w:rsidRPr="006F35DD">
        <w:rPr>
          <w:rStyle w:val="FootnoteReference"/>
        </w:rPr>
        <w:footnoteReference w:id="33"/>
      </w:r>
      <w:r w:rsidR="005B698B" w:rsidRPr="00152D67">
        <w:rPr>
          <w:lang w:val="en-GB"/>
        </w:rPr>
        <w:t xml:space="preserve"> </w:t>
      </w:r>
      <w:r w:rsidR="00E954DC" w:rsidRPr="00152D67">
        <w:rPr>
          <w:lang w:val="en-GB"/>
        </w:rPr>
        <w:t xml:space="preserve">and </w:t>
      </w:r>
      <w:r w:rsidR="00AC0DDE" w:rsidRPr="00152D67">
        <w:rPr>
          <w:lang w:val="en-GB"/>
        </w:rPr>
        <w:t xml:space="preserve">is </w:t>
      </w:r>
      <w:r w:rsidR="00E954DC" w:rsidRPr="00152D67">
        <w:rPr>
          <w:lang w:val="en-GB"/>
        </w:rPr>
        <w:t xml:space="preserve">a </w:t>
      </w:r>
      <w:r w:rsidR="00AC0DDE" w:rsidRPr="00152D67">
        <w:rPr>
          <w:lang w:val="en-GB"/>
        </w:rPr>
        <w:t xml:space="preserve">very </w:t>
      </w:r>
      <w:r w:rsidR="009C7D11" w:rsidRPr="00152D67">
        <w:rPr>
          <w:lang w:val="en-GB"/>
        </w:rPr>
        <w:t>promis</w:t>
      </w:r>
      <w:r w:rsidR="00AC0DDE" w:rsidRPr="00152D67">
        <w:rPr>
          <w:lang w:val="en-GB"/>
        </w:rPr>
        <w:t>ing development</w:t>
      </w:r>
      <w:r w:rsidR="009C7D11" w:rsidRPr="00152D67">
        <w:rPr>
          <w:lang w:val="en-GB"/>
        </w:rPr>
        <w:t xml:space="preserve">. However, </w:t>
      </w:r>
      <w:r w:rsidR="00E02967" w:rsidRPr="00152D67">
        <w:rPr>
          <w:lang w:val="en-GB"/>
        </w:rPr>
        <w:t xml:space="preserve">these results still mean that in 2021, </w:t>
      </w:r>
      <w:r w:rsidR="005B698B" w:rsidRPr="00152D67">
        <w:rPr>
          <w:lang w:val="en-GB"/>
        </w:rPr>
        <w:t>a</w:t>
      </w:r>
      <w:r w:rsidRPr="00152D67">
        <w:rPr>
          <w:lang w:val="en-GB"/>
        </w:rPr>
        <w:t xml:space="preserve">lmost half of the spending analysed did </w:t>
      </w:r>
      <w:r w:rsidRPr="00152D67">
        <w:rPr>
          <w:b/>
          <w:bCs/>
          <w:lang w:val="en-GB"/>
        </w:rPr>
        <w:t xml:space="preserve">not </w:t>
      </w:r>
      <w:r w:rsidRPr="00152D67">
        <w:rPr>
          <w:lang w:val="en-GB"/>
        </w:rPr>
        <w:t>aim to include persons with disabilities in any significant way</w:t>
      </w:r>
      <w:r w:rsidR="005B698B" w:rsidRPr="00152D67">
        <w:rPr>
          <w:lang w:val="en-GB"/>
        </w:rPr>
        <w:t>.</w:t>
      </w:r>
      <w:r w:rsidR="00E02967" w:rsidRPr="00152D67">
        <w:rPr>
          <w:lang w:val="en-GB"/>
        </w:rPr>
        <w:t xml:space="preserve"> In other words, th</w:t>
      </w:r>
      <w:r w:rsidR="009C7D11" w:rsidRPr="00152D67">
        <w:rPr>
          <w:lang w:val="en-GB"/>
        </w:rPr>
        <w:t xml:space="preserve">ere remains significant room for improvement before </w:t>
      </w:r>
      <w:r w:rsidR="00E02967" w:rsidRPr="00152D67">
        <w:rPr>
          <w:lang w:val="en-GB"/>
        </w:rPr>
        <w:t xml:space="preserve">all </w:t>
      </w:r>
      <w:r w:rsidR="009C7D11" w:rsidRPr="00152D67">
        <w:rPr>
          <w:lang w:val="en-GB"/>
        </w:rPr>
        <w:t>EC</w:t>
      </w:r>
      <w:r w:rsidR="00E02967" w:rsidRPr="00152D67">
        <w:rPr>
          <w:lang w:val="en-GB"/>
        </w:rPr>
        <w:t xml:space="preserve"> ODA spending complies </w:t>
      </w:r>
      <w:r w:rsidR="005B698B" w:rsidRPr="00152D67">
        <w:rPr>
          <w:lang w:val="en-GB"/>
        </w:rPr>
        <w:t xml:space="preserve">with </w:t>
      </w:r>
      <w:r w:rsidR="00982A39" w:rsidRPr="00152D67">
        <w:rPr>
          <w:lang w:val="en-GB"/>
        </w:rPr>
        <w:t xml:space="preserve">the standard set by </w:t>
      </w:r>
      <w:r w:rsidRPr="00152D67">
        <w:rPr>
          <w:lang w:val="en-GB"/>
        </w:rPr>
        <w:t>CRPD Article 32</w:t>
      </w:r>
      <w:r w:rsidR="00982A39" w:rsidRPr="00152D67">
        <w:rPr>
          <w:lang w:val="en-GB"/>
        </w:rPr>
        <w:t>,</w:t>
      </w:r>
      <w:r w:rsidR="005B698B" w:rsidRPr="00152D67">
        <w:rPr>
          <w:lang w:val="en-GB"/>
        </w:rPr>
        <w:t xml:space="preserve"> that international cooperation should be inclusive of, and accessible to, persons with disabil</w:t>
      </w:r>
      <w:r w:rsidR="005C6D90" w:rsidRPr="00152D67">
        <w:rPr>
          <w:lang w:val="en-GB"/>
        </w:rPr>
        <w:t>it</w:t>
      </w:r>
      <w:r w:rsidR="005B698B" w:rsidRPr="00152D67">
        <w:rPr>
          <w:lang w:val="en-GB"/>
        </w:rPr>
        <w:t>ies.</w:t>
      </w:r>
      <w:r w:rsidR="00AF4840" w:rsidRPr="006F35DD">
        <w:rPr>
          <w:rStyle w:val="FootnoteReference"/>
        </w:rPr>
        <w:footnoteReference w:id="34"/>
      </w:r>
    </w:p>
    <w:p w14:paraId="21EC0BAB" w14:textId="6AF08618" w:rsidR="00AB20E4" w:rsidRPr="009C0EEE" w:rsidRDefault="00F408E8" w:rsidP="00F408E8">
      <w:pPr>
        <w:rPr>
          <w:lang w:val="en-GB"/>
        </w:rPr>
      </w:pPr>
      <w:r w:rsidRPr="00152D67">
        <w:rPr>
          <w:lang w:val="en-GB"/>
        </w:rPr>
        <w:t xml:space="preserve">What is more, </w:t>
      </w:r>
      <w:r w:rsidR="0032725C" w:rsidRPr="00152D67">
        <w:rPr>
          <w:lang w:val="en-GB"/>
        </w:rPr>
        <w:t xml:space="preserve">marker </w:t>
      </w:r>
      <w:r w:rsidR="003A5160" w:rsidRPr="00152D67">
        <w:rPr>
          <w:lang w:val="en-GB"/>
        </w:rPr>
        <w:t xml:space="preserve">data in the OECD-DAC database </w:t>
      </w:r>
      <w:r w:rsidR="00D70028" w:rsidRPr="00152D67">
        <w:rPr>
          <w:lang w:val="en-GB"/>
        </w:rPr>
        <w:t>are</w:t>
      </w:r>
      <w:r w:rsidR="003A5160" w:rsidRPr="00152D67">
        <w:rPr>
          <w:lang w:val="en-GB"/>
        </w:rPr>
        <w:t xml:space="preserve"> self-reporte</w:t>
      </w:r>
      <w:r w:rsidR="00746EAC" w:rsidRPr="00152D67">
        <w:rPr>
          <w:lang w:val="en-GB"/>
        </w:rPr>
        <w:t>d</w:t>
      </w:r>
      <w:r w:rsidR="0032725C" w:rsidRPr="00152D67">
        <w:rPr>
          <w:lang w:val="en-GB"/>
        </w:rPr>
        <w:t xml:space="preserve">, and previous research on the OECD-DAC </w:t>
      </w:r>
      <w:r w:rsidR="0032725C" w:rsidRPr="00152D67">
        <w:rPr>
          <w:b/>
          <w:bCs/>
          <w:lang w:val="en-GB"/>
        </w:rPr>
        <w:t xml:space="preserve">gender </w:t>
      </w:r>
      <w:r w:rsidR="0032725C" w:rsidRPr="00152D67">
        <w:rPr>
          <w:lang w:val="en-GB"/>
        </w:rPr>
        <w:t xml:space="preserve">marker has found that </w:t>
      </w:r>
      <w:r w:rsidR="00746EAC" w:rsidRPr="00152D67">
        <w:rPr>
          <w:lang w:val="en-GB"/>
        </w:rPr>
        <w:t xml:space="preserve">OECD-DAC members’ </w:t>
      </w:r>
      <w:r w:rsidR="0032725C" w:rsidRPr="00152D67">
        <w:rPr>
          <w:lang w:val="en-GB"/>
        </w:rPr>
        <w:t>reporting is not always reliable.</w:t>
      </w:r>
      <w:r w:rsidR="00746EAC" w:rsidRPr="006F35DD">
        <w:rPr>
          <w:rStyle w:val="FootnoteReference"/>
        </w:rPr>
        <w:footnoteReference w:id="35"/>
      </w:r>
      <w:r w:rsidR="0032725C" w:rsidRPr="00152D67">
        <w:rPr>
          <w:lang w:val="en-GB"/>
        </w:rPr>
        <w:t xml:space="preserve"> </w:t>
      </w:r>
      <w:r w:rsidR="00746EAC" w:rsidRPr="009C0EEE">
        <w:rPr>
          <w:lang w:val="en-GB"/>
        </w:rPr>
        <w:t>Ideally, similar research would be needed before placing complete reliance on the disability marker scores reported by the EC.</w:t>
      </w:r>
      <w:r w:rsidR="005E53F4" w:rsidRPr="009C0EEE">
        <w:rPr>
          <w:lang w:val="en-GB"/>
        </w:rPr>
        <w:t xml:space="preserve"> </w:t>
      </w:r>
      <w:r w:rsidR="005E53F4" w:rsidRPr="00152D67">
        <w:rPr>
          <w:lang w:val="en-GB"/>
        </w:rPr>
        <w:t>It was outside the scope of this analysis to conduct such research</w:t>
      </w:r>
      <w:r w:rsidR="007A0CB8" w:rsidRPr="00152D67">
        <w:rPr>
          <w:lang w:val="en-GB"/>
        </w:rPr>
        <w:t>.</w:t>
      </w:r>
      <w:r w:rsidR="005E53F4" w:rsidRPr="006F35DD">
        <w:rPr>
          <w:rStyle w:val="FootnoteReference"/>
        </w:rPr>
        <w:footnoteReference w:id="36"/>
      </w:r>
      <w:r w:rsidR="005E53F4" w:rsidRPr="00152D67">
        <w:rPr>
          <w:lang w:val="en-GB"/>
        </w:rPr>
        <w:t xml:space="preserve"> </w:t>
      </w:r>
      <w:r w:rsidR="00F9630F" w:rsidRPr="009C0EEE">
        <w:rPr>
          <w:lang w:val="en-GB"/>
        </w:rPr>
        <w:t>But to get some clues on the kinds of projects being reported as disability-inclusive, we reviewed the descriptive fields</w:t>
      </w:r>
      <w:r w:rsidR="003A13E2" w:rsidRPr="006F35DD">
        <w:rPr>
          <w:rStyle w:val="FootnoteReference"/>
        </w:rPr>
        <w:footnoteReference w:id="37"/>
      </w:r>
      <w:r w:rsidR="00F9630F" w:rsidRPr="009C0EEE">
        <w:rPr>
          <w:lang w:val="en-GB"/>
        </w:rPr>
        <w:t xml:space="preserve"> in the OECD-DAC database for a sample of projects. </w:t>
      </w:r>
    </w:p>
    <w:p w14:paraId="6C3F3774" w14:textId="5963C550" w:rsidR="00AB20E4" w:rsidRPr="00152D67" w:rsidRDefault="007E2AAB" w:rsidP="003A13E2">
      <w:pPr>
        <w:rPr>
          <w:lang w:val="en-GB"/>
        </w:rPr>
      </w:pPr>
      <w:r w:rsidRPr="00152D67">
        <w:rPr>
          <w:lang w:val="en-GB"/>
        </w:rPr>
        <w:t xml:space="preserve">The OECD-DAC’s guidance on </w:t>
      </w:r>
      <w:r w:rsidR="0001606C" w:rsidRPr="00152D67">
        <w:rPr>
          <w:lang w:val="en-GB"/>
        </w:rPr>
        <w:t xml:space="preserve">the disability policy marker says that, if projects are reported to be disability-inclusive using the policy marker, then </w:t>
      </w:r>
      <w:r w:rsidR="00504068" w:rsidRPr="00152D67">
        <w:rPr>
          <w:lang w:val="en-GB"/>
        </w:rPr>
        <w:t xml:space="preserve">this should if possible be supported by a reference to </w:t>
      </w:r>
      <w:r w:rsidR="0001606C" w:rsidRPr="00152D67">
        <w:rPr>
          <w:lang w:val="en-GB"/>
        </w:rPr>
        <w:t xml:space="preserve">disability inclusion in </w:t>
      </w:r>
      <w:r w:rsidR="007C39C4" w:rsidRPr="00152D67">
        <w:rPr>
          <w:lang w:val="en-GB"/>
        </w:rPr>
        <w:t xml:space="preserve">the descriptive fields </w:t>
      </w:r>
      <w:r w:rsidR="0001606C" w:rsidRPr="00152D67">
        <w:rPr>
          <w:lang w:val="en-GB"/>
        </w:rPr>
        <w:t>in the database</w:t>
      </w:r>
      <w:r w:rsidR="007C39C4" w:rsidRPr="00152D67">
        <w:rPr>
          <w:lang w:val="en-GB"/>
        </w:rPr>
        <w:t xml:space="preserve">. </w:t>
      </w:r>
      <w:r w:rsidR="003A13E2" w:rsidRPr="00152D67">
        <w:rPr>
          <w:lang w:val="en-GB"/>
        </w:rPr>
        <w:t>Even i</w:t>
      </w:r>
      <w:r w:rsidR="007C39C4" w:rsidRPr="00152D67">
        <w:rPr>
          <w:lang w:val="en-GB"/>
        </w:rPr>
        <w:t>f this is not feasible for all projects, the OECD-DAC guidance says it should, as a minimum, be done for p</w:t>
      </w:r>
      <w:r w:rsidR="0001606C" w:rsidRPr="00152D67">
        <w:rPr>
          <w:lang w:val="en-GB"/>
        </w:rPr>
        <w:t xml:space="preserve">rojects that are reported to have disability inclusion as their principal objective, </w:t>
      </w:r>
      <w:r w:rsidR="007C39C4" w:rsidRPr="00152D67">
        <w:rPr>
          <w:lang w:val="en-GB"/>
        </w:rPr>
        <w:t>or for projects that are very large</w:t>
      </w:r>
      <w:r w:rsidR="0001606C" w:rsidRPr="00152D67">
        <w:rPr>
          <w:lang w:val="en-GB"/>
        </w:rPr>
        <w:t>.</w:t>
      </w:r>
      <w:r w:rsidR="0053188F" w:rsidRPr="006F35DD">
        <w:rPr>
          <w:rStyle w:val="FootnoteReference"/>
        </w:rPr>
        <w:footnoteReference w:id="38"/>
      </w:r>
      <w:r w:rsidR="0001606C" w:rsidRPr="00152D67">
        <w:rPr>
          <w:lang w:val="en-GB"/>
        </w:rPr>
        <w:t xml:space="preserve"> </w:t>
      </w:r>
    </w:p>
    <w:p w14:paraId="1E7496EB" w14:textId="2595AE36" w:rsidR="00AB20E4" w:rsidRPr="006F35DD" w:rsidRDefault="00AB20E4" w:rsidP="003A13E2">
      <w:r w:rsidRPr="00152D67">
        <w:rPr>
          <w:lang w:val="en-GB"/>
        </w:rPr>
        <w:t>We therefore reviewed a sample comprising 100% of projects for which the EC had reported disability inclusion as the principal objective – a total of 13 projects; and the largest projects for which the EC had reported disability inclusion as a significant objective – a total of 17 projects, each over USD 100 million.</w:t>
      </w:r>
      <w:r w:rsidR="00097BB2" w:rsidRPr="006F35DD">
        <w:rPr>
          <w:rStyle w:val="FootnoteReference"/>
        </w:rPr>
        <w:footnoteReference w:id="39"/>
      </w:r>
      <w:r w:rsidRPr="00152D67">
        <w:rPr>
          <w:lang w:val="en-GB"/>
        </w:rPr>
        <w:t xml:space="preserve"> </w:t>
      </w:r>
      <w:proofErr w:type="spellStart"/>
      <w:r w:rsidRPr="006F35DD">
        <w:t>We</w:t>
      </w:r>
      <w:proofErr w:type="spellEnd"/>
      <w:r w:rsidRPr="006F35DD">
        <w:t xml:space="preserve"> </w:t>
      </w:r>
      <w:proofErr w:type="spellStart"/>
      <w:r w:rsidRPr="006F35DD">
        <w:t>found</w:t>
      </w:r>
      <w:proofErr w:type="spellEnd"/>
      <w:r w:rsidRPr="006F35DD">
        <w:t xml:space="preserve"> </w:t>
      </w:r>
      <w:proofErr w:type="spellStart"/>
      <w:proofErr w:type="gramStart"/>
      <w:r w:rsidRPr="006F35DD">
        <w:t>that</w:t>
      </w:r>
      <w:proofErr w:type="spellEnd"/>
      <w:r w:rsidRPr="006F35DD">
        <w:t> :</w:t>
      </w:r>
      <w:proofErr w:type="gramEnd"/>
    </w:p>
    <w:p w14:paraId="36BD8F51" w14:textId="4A97333E" w:rsidR="00AB20E4" w:rsidRPr="00152D67" w:rsidRDefault="00AB20E4" w:rsidP="009542FE">
      <w:pPr>
        <w:pStyle w:val="ListParagraph"/>
        <w:numPr>
          <w:ilvl w:val="0"/>
          <w:numId w:val="15"/>
        </w:numPr>
        <w:rPr>
          <w:lang w:val="en-GB"/>
        </w:rPr>
      </w:pPr>
      <w:r w:rsidRPr="00152D67">
        <w:rPr>
          <w:lang w:val="en-GB"/>
        </w:rPr>
        <w:t xml:space="preserve">Out of the </w:t>
      </w:r>
      <w:r w:rsidR="00D92D2E" w:rsidRPr="00152D67">
        <w:rPr>
          <w:lang w:val="en-GB"/>
        </w:rPr>
        <w:t>13 projects that were reported to have disability inclusion as a principal objective</w:t>
      </w:r>
      <w:r w:rsidRPr="00152D67">
        <w:rPr>
          <w:lang w:val="en-GB"/>
        </w:rPr>
        <w:t xml:space="preserve">, </w:t>
      </w:r>
      <w:r w:rsidR="00B1524C" w:rsidRPr="00152D67">
        <w:rPr>
          <w:lang w:val="en-GB"/>
        </w:rPr>
        <w:t xml:space="preserve">only 6 – </w:t>
      </w:r>
      <w:proofErr w:type="gramStart"/>
      <w:r w:rsidR="00B1524C" w:rsidRPr="00152D67">
        <w:rPr>
          <w:b/>
          <w:bCs/>
          <w:lang w:val="en-GB"/>
        </w:rPr>
        <w:t>i.e.</w:t>
      </w:r>
      <w:proofErr w:type="gramEnd"/>
      <w:r w:rsidR="00B1524C" w:rsidRPr="00152D67">
        <w:rPr>
          <w:b/>
          <w:bCs/>
          <w:lang w:val="en-GB"/>
        </w:rPr>
        <w:t xml:space="preserve"> </w:t>
      </w:r>
      <w:r w:rsidRPr="00152D67">
        <w:rPr>
          <w:b/>
          <w:bCs/>
          <w:lang w:val="en-GB"/>
        </w:rPr>
        <w:t xml:space="preserve">less than half </w:t>
      </w:r>
      <w:r w:rsidR="00B1524C" w:rsidRPr="00152D67">
        <w:rPr>
          <w:b/>
          <w:bCs/>
          <w:lang w:val="en-GB"/>
        </w:rPr>
        <w:t>–</w:t>
      </w:r>
      <w:r w:rsidRPr="00152D67">
        <w:rPr>
          <w:b/>
          <w:bCs/>
          <w:lang w:val="en-GB"/>
        </w:rPr>
        <w:t xml:space="preserve"> </w:t>
      </w:r>
      <w:r w:rsidR="00B1524C" w:rsidRPr="00152D67">
        <w:rPr>
          <w:b/>
          <w:bCs/>
          <w:lang w:val="en-GB"/>
        </w:rPr>
        <w:t xml:space="preserve">included </w:t>
      </w:r>
      <w:r w:rsidR="00D67525" w:rsidRPr="00152D67">
        <w:rPr>
          <w:b/>
          <w:bCs/>
          <w:lang w:val="en-GB"/>
        </w:rPr>
        <w:t xml:space="preserve">in their project descriptions </w:t>
      </w:r>
      <w:r w:rsidR="00B1524C" w:rsidRPr="00152D67">
        <w:rPr>
          <w:b/>
          <w:bCs/>
          <w:lang w:val="en-GB"/>
        </w:rPr>
        <w:t xml:space="preserve">any language related </w:t>
      </w:r>
      <w:r w:rsidRPr="00152D67">
        <w:rPr>
          <w:b/>
          <w:bCs/>
          <w:lang w:val="en-GB"/>
        </w:rPr>
        <w:t xml:space="preserve">to </w:t>
      </w:r>
      <w:r w:rsidR="00D67525" w:rsidRPr="00152D67">
        <w:rPr>
          <w:b/>
          <w:bCs/>
          <w:lang w:val="en-GB"/>
        </w:rPr>
        <w:t xml:space="preserve">any form of </w:t>
      </w:r>
      <w:r w:rsidRPr="00152D67">
        <w:rPr>
          <w:b/>
          <w:bCs/>
          <w:lang w:val="en-GB"/>
        </w:rPr>
        <w:t>disability</w:t>
      </w:r>
      <w:r w:rsidR="00B1524C" w:rsidRPr="00152D67">
        <w:rPr>
          <w:b/>
          <w:bCs/>
          <w:lang w:val="en-GB"/>
        </w:rPr>
        <w:t xml:space="preserve"> inclusion</w:t>
      </w:r>
      <w:r w:rsidR="00D92D2E" w:rsidRPr="00152D67">
        <w:rPr>
          <w:lang w:val="en-GB"/>
        </w:rPr>
        <w:t xml:space="preserve">. </w:t>
      </w:r>
      <w:r w:rsidR="00B1524C" w:rsidRPr="00152D67">
        <w:rPr>
          <w:lang w:val="en-GB"/>
        </w:rPr>
        <w:t xml:space="preserve">Even in the case of these six projects, the language was somewhat </w:t>
      </w:r>
      <w:r w:rsidR="00B1524C" w:rsidRPr="00152D67">
        <w:rPr>
          <w:lang w:val="en-GB"/>
        </w:rPr>
        <w:lastRenderedPageBreak/>
        <w:t>ambiguous,</w:t>
      </w:r>
      <w:r w:rsidR="005E1663" w:rsidRPr="006F35DD">
        <w:rPr>
          <w:rStyle w:val="FootnoteReference"/>
        </w:rPr>
        <w:footnoteReference w:id="40"/>
      </w:r>
      <w:r w:rsidR="00B1524C" w:rsidRPr="00152D67">
        <w:rPr>
          <w:lang w:val="en-GB"/>
        </w:rPr>
        <w:t xml:space="preserve"> and the projects appeared to involve many other parallel objectives that were </w:t>
      </w:r>
      <w:r w:rsidR="00B1524C" w:rsidRPr="00152D67">
        <w:rPr>
          <w:b/>
          <w:bCs/>
          <w:lang w:val="en-GB"/>
        </w:rPr>
        <w:t xml:space="preserve">not </w:t>
      </w:r>
      <w:r w:rsidR="00D67525" w:rsidRPr="00152D67">
        <w:rPr>
          <w:lang w:val="en-GB"/>
        </w:rPr>
        <w:t xml:space="preserve">explicitly </w:t>
      </w:r>
      <w:r w:rsidR="00B1524C" w:rsidRPr="00152D67">
        <w:rPr>
          <w:lang w:val="en-GB"/>
        </w:rPr>
        <w:t xml:space="preserve">related to disability </w:t>
      </w:r>
      <w:proofErr w:type="gramStart"/>
      <w:r w:rsidR="00B1524C" w:rsidRPr="00152D67">
        <w:rPr>
          <w:lang w:val="en-GB"/>
        </w:rPr>
        <w:t>inclusion :</w:t>
      </w:r>
      <w:proofErr w:type="gramEnd"/>
      <w:r w:rsidR="00B1524C" w:rsidRPr="00152D67">
        <w:rPr>
          <w:lang w:val="en-GB"/>
        </w:rPr>
        <w:t xml:space="preserve"> so it is not obvious from the project description that a score of ‘principal’ on the disability marker was appropriate. </w:t>
      </w:r>
    </w:p>
    <w:p w14:paraId="059DD9E2" w14:textId="61B279BD" w:rsidR="00D67525" w:rsidRPr="00152D67" w:rsidRDefault="00D67525" w:rsidP="00D92D2E">
      <w:pPr>
        <w:pStyle w:val="ListParagraph"/>
        <w:ind w:left="360"/>
        <w:rPr>
          <w:lang w:val="en-GB"/>
        </w:rPr>
      </w:pPr>
    </w:p>
    <w:p w14:paraId="3D258376" w14:textId="557A7884" w:rsidR="007E2AAB" w:rsidRPr="00152D67" w:rsidRDefault="00D67525" w:rsidP="00D67525">
      <w:pPr>
        <w:pStyle w:val="ListParagraph"/>
        <w:numPr>
          <w:ilvl w:val="0"/>
          <w:numId w:val="15"/>
        </w:numPr>
        <w:rPr>
          <w:lang w:val="en-GB"/>
        </w:rPr>
      </w:pPr>
      <w:r w:rsidRPr="00152D67">
        <w:rPr>
          <w:lang w:val="en-GB"/>
        </w:rPr>
        <w:t xml:space="preserve">Out of the </w:t>
      </w:r>
      <w:r w:rsidR="00D92D2E" w:rsidRPr="00152D67">
        <w:rPr>
          <w:lang w:val="en-GB"/>
        </w:rPr>
        <w:t>17 very large project</w:t>
      </w:r>
      <w:r w:rsidRPr="00152D67">
        <w:rPr>
          <w:lang w:val="en-GB"/>
        </w:rPr>
        <w:t>s</w:t>
      </w:r>
      <w:r w:rsidR="00D92D2E" w:rsidRPr="00152D67">
        <w:rPr>
          <w:lang w:val="en-GB"/>
        </w:rPr>
        <w:t xml:space="preserve"> that were reported to have disability inclusion as a significant objective, </w:t>
      </w:r>
      <w:r w:rsidR="00D92D2E" w:rsidRPr="00152D67">
        <w:rPr>
          <w:b/>
          <w:bCs/>
          <w:lang w:val="en-GB"/>
        </w:rPr>
        <w:t>only four refer to disability inclusion in their project descriptions</w:t>
      </w:r>
      <w:r w:rsidR="00D92D2E" w:rsidRPr="00152D67">
        <w:rPr>
          <w:lang w:val="en-GB"/>
        </w:rPr>
        <w:t xml:space="preserve"> (implicitly, through a reference to inclusive education</w:t>
      </w:r>
      <w:proofErr w:type="gramStart"/>
      <w:r w:rsidR="00D92D2E" w:rsidRPr="00152D67">
        <w:rPr>
          <w:lang w:val="en-GB"/>
        </w:rPr>
        <w:t>) ;</w:t>
      </w:r>
      <w:proofErr w:type="gramEnd"/>
      <w:r w:rsidR="00D92D2E" w:rsidRPr="00152D67">
        <w:rPr>
          <w:lang w:val="en-GB"/>
        </w:rPr>
        <w:t xml:space="preserve"> the remaining 13 do not refer to disability at all</w:t>
      </w:r>
      <w:r w:rsidR="004D29B2" w:rsidRPr="00152D67">
        <w:rPr>
          <w:lang w:val="en-GB"/>
        </w:rPr>
        <w:t>.</w:t>
      </w:r>
    </w:p>
    <w:p w14:paraId="0960EE6A" w14:textId="450926A5" w:rsidR="00D92D2E" w:rsidRPr="00152D67" w:rsidRDefault="00516335" w:rsidP="004D29B2">
      <w:pPr>
        <w:rPr>
          <w:lang w:val="en-GB"/>
        </w:rPr>
      </w:pPr>
      <w:r w:rsidRPr="00152D67">
        <w:rPr>
          <w:lang w:val="en-GB"/>
        </w:rPr>
        <w:t>T</w:t>
      </w:r>
      <w:r w:rsidR="00D92D2E" w:rsidRPr="00152D67">
        <w:rPr>
          <w:lang w:val="en-GB"/>
        </w:rPr>
        <w:t xml:space="preserve">he fact that </w:t>
      </w:r>
      <w:r w:rsidR="00D70028" w:rsidRPr="00152D67">
        <w:rPr>
          <w:lang w:val="en-GB"/>
        </w:rPr>
        <w:t xml:space="preserve">these </w:t>
      </w:r>
      <w:r w:rsidR="00D92D2E" w:rsidRPr="00152D67">
        <w:rPr>
          <w:lang w:val="en-GB"/>
        </w:rPr>
        <w:t xml:space="preserve">project descriptions do not </w:t>
      </w:r>
      <w:r w:rsidR="00D70028" w:rsidRPr="00152D67">
        <w:rPr>
          <w:lang w:val="en-GB"/>
        </w:rPr>
        <w:t xml:space="preserve">consistently </w:t>
      </w:r>
      <w:r w:rsidR="00D92D2E" w:rsidRPr="00152D67">
        <w:rPr>
          <w:lang w:val="en-GB"/>
        </w:rPr>
        <w:t xml:space="preserve">refer to disability inclusion does not </w:t>
      </w:r>
      <w:r w:rsidR="005921D7" w:rsidRPr="00152D67">
        <w:rPr>
          <w:lang w:val="en-GB"/>
        </w:rPr>
        <w:t>necess</w:t>
      </w:r>
      <w:r w:rsidR="009C598D" w:rsidRPr="00152D67">
        <w:rPr>
          <w:lang w:val="en-GB"/>
        </w:rPr>
        <w:t>a</w:t>
      </w:r>
      <w:r w:rsidR="005921D7" w:rsidRPr="00152D67">
        <w:rPr>
          <w:lang w:val="en-GB"/>
        </w:rPr>
        <w:t xml:space="preserve">rily </w:t>
      </w:r>
      <w:r w:rsidR="00D92D2E" w:rsidRPr="00152D67">
        <w:rPr>
          <w:lang w:val="en-GB"/>
        </w:rPr>
        <w:t xml:space="preserve">mean that the projects were not disability </w:t>
      </w:r>
      <w:proofErr w:type="gramStart"/>
      <w:r w:rsidR="00D92D2E" w:rsidRPr="00152D67">
        <w:rPr>
          <w:lang w:val="en-GB"/>
        </w:rPr>
        <w:t>inclusive</w:t>
      </w:r>
      <w:r w:rsidR="005921D7" w:rsidRPr="00152D67">
        <w:rPr>
          <w:lang w:val="en-GB"/>
        </w:rPr>
        <w:t> :</w:t>
      </w:r>
      <w:proofErr w:type="gramEnd"/>
      <w:r w:rsidR="005921D7" w:rsidRPr="00152D67">
        <w:rPr>
          <w:lang w:val="en-GB"/>
        </w:rPr>
        <w:t xml:space="preserve"> b</w:t>
      </w:r>
      <w:r w:rsidR="00D92D2E" w:rsidRPr="00152D67">
        <w:rPr>
          <w:lang w:val="en-GB"/>
        </w:rPr>
        <w:t xml:space="preserve">ut it does raise some doubt. </w:t>
      </w:r>
      <w:r w:rsidRPr="00152D67">
        <w:rPr>
          <w:lang w:val="en-GB"/>
        </w:rPr>
        <w:t xml:space="preserve">Our findings suggest that, until more extensive </w:t>
      </w:r>
      <w:r w:rsidR="00867DDE" w:rsidRPr="00152D67">
        <w:rPr>
          <w:lang w:val="en-GB"/>
        </w:rPr>
        <w:t xml:space="preserve">evidence </w:t>
      </w:r>
      <w:r w:rsidRPr="00152D67">
        <w:rPr>
          <w:lang w:val="en-GB"/>
        </w:rPr>
        <w:t xml:space="preserve">on the reliability of the EC’s disability marker data is </w:t>
      </w:r>
      <w:r w:rsidR="00867DDE" w:rsidRPr="00152D67">
        <w:rPr>
          <w:lang w:val="en-GB"/>
        </w:rPr>
        <w:t>availa</w:t>
      </w:r>
      <w:r w:rsidRPr="00152D67">
        <w:rPr>
          <w:lang w:val="en-GB"/>
        </w:rPr>
        <w:t xml:space="preserve">ble, </w:t>
      </w:r>
      <w:r w:rsidR="005921D7" w:rsidRPr="00152D67">
        <w:rPr>
          <w:lang w:val="en-GB"/>
        </w:rPr>
        <w:t>the EC’s reported marker results need to be treated with a degree of caution.</w:t>
      </w:r>
    </w:p>
    <w:sectPr w:rsidR="00D92D2E" w:rsidRPr="00152D67">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CC1E1" w14:textId="77777777" w:rsidR="00C84BF2" w:rsidRDefault="00C84BF2" w:rsidP="00982EF4">
      <w:pPr>
        <w:spacing w:after="0" w:line="240" w:lineRule="auto"/>
      </w:pPr>
      <w:r>
        <w:separator/>
      </w:r>
    </w:p>
  </w:endnote>
  <w:endnote w:type="continuationSeparator" w:id="0">
    <w:p w14:paraId="6C698DAD" w14:textId="77777777" w:rsidR="00C84BF2" w:rsidRDefault="00C84BF2" w:rsidP="00982EF4">
      <w:pPr>
        <w:spacing w:after="0" w:line="240" w:lineRule="auto"/>
      </w:pPr>
      <w:r>
        <w:continuationSeparator/>
      </w:r>
    </w:p>
  </w:endnote>
  <w:endnote w:type="continuationNotice" w:id="1">
    <w:p w14:paraId="7ED52CFB" w14:textId="77777777" w:rsidR="00C84BF2" w:rsidRDefault="00C84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29473"/>
      <w:docPartObj>
        <w:docPartGallery w:val="Page Numbers (Bottom of Page)"/>
        <w:docPartUnique/>
      </w:docPartObj>
    </w:sdtPr>
    <w:sdtEndPr>
      <w:rPr>
        <w:noProof/>
      </w:rPr>
    </w:sdtEndPr>
    <w:sdtContent>
      <w:p w14:paraId="5674F05F" w14:textId="75C17D44" w:rsidR="00496D75" w:rsidRDefault="00496D75">
        <w:pPr>
          <w:pStyle w:val="Footer"/>
        </w:pPr>
        <w:r>
          <w:fldChar w:fldCharType="begin"/>
        </w:r>
        <w:r>
          <w:instrText xml:space="preserve"> PAGE   \* MERGEFORMAT </w:instrText>
        </w:r>
        <w:r>
          <w:fldChar w:fldCharType="separate"/>
        </w:r>
        <w:r>
          <w:rPr>
            <w:noProof/>
          </w:rPr>
          <w:t>2</w:t>
        </w:r>
        <w:r>
          <w:rPr>
            <w:noProof/>
          </w:rPr>
          <w:fldChar w:fldCharType="end"/>
        </w:r>
      </w:p>
    </w:sdtContent>
  </w:sdt>
  <w:p w14:paraId="00B9F0CB" w14:textId="77777777" w:rsidR="00982EF4" w:rsidRDefault="0098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840B2" w14:textId="77777777" w:rsidR="00C84BF2" w:rsidRDefault="00C84BF2" w:rsidP="00982EF4">
      <w:pPr>
        <w:spacing w:after="0" w:line="240" w:lineRule="auto"/>
      </w:pPr>
      <w:r>
        <w:separator/>
      </w:r>
    </w:p>
  </w:footnote>
  <w:footnote w:type="continuationSeparator" w:id="0">
    <w:p w14:paraId="5DA34B7B" w14:textId="77777777" w:rsidR="00C84BF2" w:rsidRDefault="00C84BF2" w:rsidP="00982EF4">
      <w:pPr>
        <w:spacing w:after="0" w:line="240" w:lineRule="auto"/>
      </w:pPr>
      <w:r>
        <w:continuationSeparator/>
      </w:r>
    </w:p>
  </w:footnote>
  <w:footnote w:type="continuationNotice" w:id="1">
    <w:p w14:paraId="2574D251" w14:textId="77777777" w:rsidR="00C84BF2" w:rsidRDefault="00C84BF2">
      <w:pPr>
        <w:spacing w:after="0" w:line="240" w:lineRule="auto"/>
      </w:pPr>
    </w:p>
  </w:footnote>
  <w:footnote w:id="2">
    <w:p w14:paraId="71A564C0" w14:textId="3C0FB7EA" w:rsidR="003B4E3A" w:rsidRPr="003B4E3A" w:rsidRDefault="003B4E3A">
      <w:pPr>
        <w:pStyle w:val="FootnoteText"/>
        <w:rPr>
          <w:lang w:val="en-GB"/>
        </w:rPr>
      </w:pPr>
      <w:r>
        <w:rPr>
          <w:rStyle w:val="FootnoteReference"/>
        </w:rPr>
        <w:footnoteRef/>
      </w:r>
      <w:r w:rsidRPr="00152D67">
        <w:rPr>
          <w:lang w:val="en-GB"/>
        </w:rPr>
        <w:t xml:space="preserve"> </w:t>
      </w:r>
      <w:r>
        <w:rPr>
          <w:lang w:val="en-GB"/>
        </w:rPr>
        <w:t xml:space="preserve">Acknowledgement : the author of this submission benefitted from information and analysis included in EDF’s </w:t>
      </w:r>
      <w:hyperlink r:id="rId1" w:history="1">
        <w:r w:rsidRPr="003B4E3A">
          <w:rPr>
            <w:rStyle w:val="Hyperlink"/>
            <w:lang w:val="en-GB"/>
          </w:rPr>
          <w:t>Guidance note on Global Europe funding for DPOs</w:t>
        </w:r>
      </w:hyperlink>
      <w:r>
        <w:rPr>
          <w:lang w:val="en-GB"/>
        </w:rPr>
        <w:t xml:space="preserve"> (Martire / EDF, 2022).</w:t>
      </w:r>
    </w:p>
  </w:footnote>
  <w:footnote w:id="3">
    <w:p w14:paraId="182A52D9" w14:textId="128A8AE5" w:rsidR="00E41A65" w:rsidRPr="00E41A65" w:rsidRDefault="00E41A65">
      <w:pPr>
        <w:pStyle w:val="FootnoteText"/>
        <w:rPr>
          <w:lang w:val="en-GB"/>
        </w:rPr>
      </w:pPr>
      <w:r>
        <w:rPr>
          <w:rStyle w:val="FootnoteReference"/>
        </w:rPr>
        <w:footnoteRef/>
      </w:r>
      <w:r w:rsidRPr="00152D67">
        <w:rPr>
          <w:lang w:val="en-GB"/>
        </w:rPr>
        <w:t xml:space="preserve"> </w:t>
      </w:r>
      <w:r>
        <w:rPr>
          <w:lang w:val="en-GB"/>
        </w:rPr>
        <w:t xml:space="preserve">See for example UN Special Rapporteur on the Rights of Persons with Disabilities, </w:t>
      </w:r>
      <w:r w:rsidR="004105DC">
        <w:rPr>
          <w:lang w:val="en-GB"/>
        </w:rPr>
        <w:t xml:space="preserve">2020, </w:t>
      </w:r>
      <w:hyperlink r:id="rId2" w:history="1">
        <w:r w:rsidR="004105DC" w:rsidRPr="000B691E">
          <w:rPr>
            <w:rStyle w:val="Hyperlink"/>
            <w:lang w:val="en-GB"/>
          </w:rPr>
          <w:t>Disability-inclusive international cooperation</w:t>
        </w:r>
      </w:hyperlink>
      <w:r w:rsidR="004105DC">
        <w:rPr>
          <w:lang w:val="en-GB"/>
        </w:rPr>
        <w:t xml:space="preserve">, </w:t>
      </w:r>
      <w:r w:rsidR="000B691E">
        <w:rPr>
          <w:lang w:val="en-GB"/>
        </w:rPr>
        <w:t xml:space="preserve">A/75/186, </w:t>
      </w:r>
      <w:r w:rsidR="004105DC">
        <w:rPr>
          <w:lang w:val="en-GB"/>
        </w:rPr>
        <w:t xml:space="preserve">paragraph </w:t>
      </w:r>
      <w:r w:rsidR="00A6190A">
        <w:rPr>
          <w:lang w:val="en-GB"/>
        </w:rPr>
        <w:t>67</w:t>
      </w:r>
      <w:r w:rsidR="00EE59D9">
        <w:rPr>
          <w:lang w:val="en-GB"/>
        </w:rPr>
        <w:t xml:space="preserve"> on private sector instruments</w:t>
      </w:r>
    </w:p>
  </w:footnote>
  <w:footnote w:id="4">
    <w:p w14:paraId="519AC66F" w14:textId="29FF535C" w:rsidR="00821808" w:rsidRPr="00821808" w:rsidRDefault="00821808">
      <w:pPr>
        <w:pStyle w:val="FootnoteText"/>
        <w:rPr>
          <w:lang w:val="en-GB"/>
        </w:rPr>
      </w:pPr>
      <w:r>
        <w:rPr>
          <w:rStyle w:val="FootnoteReference"/>
        </w:rPr>
        <w:footnoteRef/>
      </w:r>
      <w:r w:rsidRPr="00152D67">
        <w:rPr>
          <w:lang w:val="en-GB"/>
        </w:rPr>
        <w:t xml:space="preserve"> </w:t>
      </w:r>
      <w:hyperlink r:id="rId3" w:history="1">
        <w:r w:rsidRPr="00B3048A">
          <w:rPr>
            <w:rStyle w:val="Hyperlink"/>
            <w:lang w:val="en-GB"/>
          </w:rPr>
          <w:t>UN CRPD</w:t>
        </w:r>
      </w:hyperlink>
      <w:r>
        <w:rPr>
          <w:lang w:val="en-GB"/>
        </w:rPr>
        <w:t>, Article 32</w:t>
      </w:r>
    </w:p>
  </w:footnote>
  <w:footnote w:id="5">
    <w:p w14:paraId="3FB33EAC" w14:textId="32E8A90E" w:rsidR="009B2B09" w:rsidRPr="009B2B09" w:rsidRDefault="009B2B09">
      <w:pPr>
        <w:pStyle w:val="FootnoteText"/>
        <w:rPr>
          <w:lang w:val="en-GB"/>
        </w:rPr>
      </w:pPr>
      <w:r>
        <w:rPr>
          <w:rStyle w:val="FootnoteReference"/>
        </w:rPr>
        <w:footnoteRef/>
      </w:r>
      <w:r w:rsidRPr="00152D67">
        <w:rPr>
          <w:lang w:val="en-GB"/>
        </w:rPr>
        <w:t xml:space="preserve"> </w:t>
      </w:r>
      <w:r>
        <w:rPr>
          <w:lang w:val="en-GB"/>
        </w:rPr>
        <w:t xml:space="preserve">UN, </w:t>
      </w:r>
      <w:hyperlink r:id="rId4" w:history="1">
        <w:r w:rsidRPr="009B2B09">
          <w:rPr>
            <w:rStyle w:val="Hyperlink"/>
            <w:lang w:val="en-GB"/>
          </w:rPr>
          <w:t>Transforming our world: the 2030 Agenda for Sustainable Development</w:t>
        </w:r>
      </w:hyperlink>
      <w:r>
        <w:rPr>
          <w:lang w:val="en-GB"/>
        </w:rPr>
        <w:t xml:space="preserve">. For a summary of references to disability in the 2030 Agenda, see Lockwood, </w:t>
      </w:r>
      <w:hyperlink r:id="rId5" w:history="1">
        <w:r w:rsidRPr="009B2B09">
          <w:rPr>
            <w:rStyle w:val="Hyperlink"/>
            <w:lang w:val="en-GB"/>
          </w:rPr>
          <w:t>“Nothing about us without us”: disability, the SDGs and the UNCRPD</w:t>
        </w:r>
      </w:hyperlink>
    </w:p>
  </w:footnote>
  <w:footnote w:id="6">
    <w:p w14:paraId="54F68564" w14:textId="0AF53F2F" w:rsidR="00833747" w:rsidRPr="00833747" w:rsidRDefault="00833747">
      <w:pPr>
        <w:pStyle w:val="FootnoteText"/>
        <w:rPr>
          <w:lang w:val="en-GB"/>
        </w:rPr>
      </w:pPr>
      <w:r>
        <w:rPr>
          <w:rStyle w:val="FootnoteReference"/>
        </w:rPr>
        <w:footnoteRef/>
      </w:r>
      <w:r w:rsidRPr="00152D67">
        <w:rPr>
          <w:lang w:val="en-GB"/>
        </w:rPr>
        <w:t xml:space="preserve"> </w:t>
      </w:r>
      <w:r>
        <w:rPr>
          <w:lang w:val="en-GB"/>
        </w:rPr>
        <w:t xml:space="preserve">World Health Organisation, 2022, </w:t>
      </w:r>
      <w:hyperlink r:id="rId6" w:history="1">
        <w:r w:rsidRPr="00833747">
          <w:rPr>
            <w:rStyle w:val="Hyperlink"/>
            <w:lang w:val="en-GB"/>
          </w:rPr>
          <w:t>Global report on health equity for persons with disabilities</w:t>
        </w:r>
      </w:hyperlink>
      <w:r>
        <w:rPr>
          <w:lang w:val="en-GB"/>
        </w:rPr>
        <w:t>, p.23</w:t>
      </w:r>
    </w:p>
  </w:footnote>
  <w:footnote w:id="7">
    <w:p w14:paraId="4B56320A" w14:textId="5647CAA7" w:rsidR="00410F06" w:rsidRPr="00410F06" w:rsidRDefault="00410F06">
      <w:pPr>
        <w:pStyle w:val="FootnoteText"/>
        <w:rPr>
          <w:lang w:val="en-GB"/>
        </w:rPr>
      </w:pPr>
      <w:r>
        <w:rPr>
          <w:rStyle w:val="FootnoteReference"/>
        </w:rPr>
        <w:footnoteRef/>
      </w:r>
      <w:r w:rsidRPr="00152D67">
        <w:rPr>
          <w:lang w:val="en-GB"/>
        </w:rPr>
        <w:t xml:space="preserve"> </w:t>
      </w:r>
      <w:r>
        <w:rPr>
          <w:lang w:val="en-GB"/>
        </w:rPr>
        <w:t xml:space="preserve">For example, </w:t>
      </w:r>
      <w:r w:rsidR="00E94205" w:rsidRPr="00152D67">
        <w:rPr>
          <w:lang w:val="en-GB"/>
        </w:rPr>
        <w:t>a 2011 study on 14 countries in the Global South 7 found that in 11 countries there was a significant association between disability and multi-dimensional poverty. (</w:t>
      </w:r>
      <w:proofErr w:type="gramStart"/>
      <w:r w:rsidR="00E94205" w:rsidRPr="00152D67">
        <w:rPr>
          <w:lang w:val="en-GB"/>
        </w:rPr>
        <w:t>Source :</w:t>
      </w:r>
      <w:proofErr w:type="gramEnd"/>
      <w:r w:rsidR="00E94205" w:rsidRPr="00152D67">
        <w:rPr>
          <w:lang w:val="en-GB"/>
        </w:rPr>
        <w:t xml:space="preserve"> </w:t>
      </w:r>
      <w:r w:rsidR="00A0604C" w:rsidRPr="00152D67">
        <w:rPr>
          <w:lang w:val="en-GB"/>
        </w:rPr>
        <w:t xml:space="preserve">Sophie Mitra, Aleksandra </w:t>
      </w:r>
      <w:proofErr w:type="spellStart"/>
      <w:r w:rsidR="00A0604C" w:rsidRPr="00152D67">
        <w:rPr>
          <w:lang w:val="en-GB"/>
        </w:rPr>
        <w:t>Posarac</w:t>
      </w:r>
      <w:proofErr w:type="spellEnd"/>
      <w:r w:rsidR="00A0604C" w:rsidRPr="00152D67">
        <w:rPr>
          <w:lang w:val="en-GB"/>
        </w:rPr>
        <w:t xml:space="preserve">, and Brandon Vick, 2011, </w:t>
      </w:r>
      <w:hyperlink r:id="rId7" w:history="1">
        <w:r w:rsidR="00A0604C" w:rsidRPr="00152D67">
          <w:rPr>
            <w:rStyle w:val="Hyperlink"/>
            <w:lang w:val="en-GB"/>
          </w:rPr>
          <w:t>Disability and Poverty in Developing Countries</w:t>
        </w:r>
      </w:hyperlink>
      <w:r w:rsidR="00A0604C" w:rsidRPr="00152D67">
        <w:rPr>
          <w:lang w:val="en-GB"/>
        </w:rPr>
        <w:t>, p.61)</w:t>
      </w:r>
    </w:p>
  </w:footnote>
  <w:footnote w:id="8">
    <w:p w14:paraId="2CDE9C2D" w14:textId="6F1366F3" w:rsidR="009555B3" w:rsidRPr="009555B3" w:rsidRDefault="009555B3">
      <w:pPr>
        <w:pStyle w:val="FootnoteText"/>
        <w:rPr>
          <w:lang w:val="en-GB"/>
        </w:rPr>
      </w:pPr>
      <w:r>
        <w:rPr>
          <w:rStyle w:val="FootnoteReference"/>
        </w:rPr>
        <w:footnoteRef/>
      </w:r>
      <w:r w:rsidRPr="00152D67">
        <w:rPr>
          <w:lang w:val="en-GB"/>
        </w:rPr>
        <w:t xml:space="preserve"> </w:t>
      </w:r>
      <w:r>
        <w:rPr>
          <w:lang w:val="en-GB"/>
        </w:rPr>
        <w:t xml:space="preserve">EC, 2021, </w:t>
      </w:r>
      <w:hyperlink r:id="rId8" w:history="1">
        <w:r w:rsidRPr="009555B3">
          <w:rPr>
            <w:rStyle w:val="Hyperlink"/>
            <w:lang w:val="en-GB"/>
          </w:rPr>
          <w:t>Union of Equality: Strategy for the Rights of Persons with Disabilities</w:t>
        </w:r>
      </w:hyperlink>
      <w:r>
        <w:rPr>
          <w:lang w:val="en-GB"/>
        </w:rPr>
        <w:t>, p.23</w:t>
      </w:r>
      <w:r w:rsidR="005014F5">
        <w:rPr>
          <w:lang w:val="en-GB"/>
        </w:rPr>
        <w:t xml:space="preserve">. </w:t>
      </w:r>
    </w:p>
  </w:footnote>
  <w:footnote w:id="9">
    <w:p w14:paraId="0C36EB64" w14:textId="42805F63" w:rsidR="000B0ED6" w:rsidRPr="000B0ED6" w:rsidRDefault="000B0ED6">
      <w:pPr>
        <w:pStyle w:val="FootnoteText"/>
        <w:rPr>
          <w:lang w:val="en-GB"/>
        </w:rPr>
      </w:pPr>
      <w:r>
        <w:rPr>
          <w:rStyle w:val="FootnoteReference"/>
        </w:rPr>
        <w:footnoteRef/>
      </w:r>
      <w:r w:rsidRPr="00152D67">
        <w:rPr>
          <w:lang w:val="en-GB"/>
        </w:rPr>
        <w:t xml:space="preserve"> </w:t>
      </w:r>
      <w:r>
        <w:rPr>
          <w:lang w:val="en-GB"/>
        </w:rPr>
        <w:t xml:space="preserve">For a summary, see </w:t>
      </w:r>
      <w:proofErr w:type="spellStart"/>
      <w:r w:rsidRPr="00152D67">
        <w:rPr>
          <w:lang w:val="en-GB"/>
        </w:rPr>
        <w:t>Lipponen</w:t>
      </w:r>
      <w:proofErr w:type="spellEnd"/>
      <w:r w:rsidRPr="00152D67">
        <w:rPr>
          <w:lang w:val="en-GB"/>
        </w:rPr>
        <w:t xml:space="preserve"> / </w:t>
      </w:r>
      <w:r>
        <w:rPr>
          <w:lang w:val="en-GB"/>
        </w:rPr>
        <w:t xml:space="preserve">European Commission DG-INTPA, 2023, </w:t>
      </w:r>
      <w:hyperlink r:id="rId9" w:history="1">
        <w:r w:rsidRPr="003302F1">
          <w:rPr>
            <w:rStyle w:val="Hyperlink"/>
            <w:lang w:val="en-GB"/>
          </w:rPr>
          <w:t>Guidance note: leaving no-one behind – disability inclusion in EU external action</w:t>
        </w:r>
      </w:hyperlink>
      <w:r w:rsidRPr="00152D67">
        <w:rPr>
          <w:lang w:val="en-GB"/>
        </w:rPr>
        <w:t xml:space="preserve">, section 3.1. (However please note that the documents in this summary cover </w:t>
      </w:r>
      <w:r w:rsidR="00C84909" w:rsidRPr="00152D67">
        <w:rPr>
          <w:lang w:val="en-GB"/>
        </w:rPr>
        <w:t xml:space="preserve">two related </w:t>
      </w:r>
      <w:proofErr w:type="gramStart"/>
      <w:r w:rsidR="00C84909" w:rsidRPr="00152D67">
        <w:rPr>
          <w:lang w:val="en-GB"/>
        </w:rPr>
        <w:t>themes :</w:t>
      </w:r>
      <w:proofErr w:type="gramEnd"/>
      <w:r w:rsidR="00C84909" w:rsidRPr="00152D67">
        <w:rPr>
          <w:lang w:val="en-GB"/>
        </w:rPr>
        <w:t xml:space="preserve"> (</w:t>
      </w:r>
      <w:proofErr w:type="spellStart"/>
      <w:r w:rsidR="00C84909" w:rsidRPr="00152D67">
        <w:rPr>
          <w:lang w:val="en-GB"/>
        </w:rPr>
        <w:t>i</w:t>
      </w:r>
      <w:proofErr w:type="spellEnd"/>
      <w:r w:rsidR="00C84909" w:rsidRPr="00152D67">
        <w:rPr>
          <w:lang w:val="en-GB"/>
        </w:rPr>
        <w:t>)</w:t>
      </w:r>
      <w:r w:rsidRPr="00152D67">
        <w:rPr>
          <w:lang w:val="en-GB"/>
        </w:rPr>
        <w:t xml:space="preserve"> inclusion of persons with disabilities in EC </w:t>
      </w:r>
      <w:r w:rsidR="005053E4" w:rsidRPr="00152D67">
        <w:rPr>
          <w:lang w:val="en-GB"/>
        </w:rPr>
        <w:t xml:space="preserve">international cooperation programmes, </w:t>
      </w:r>
      <w:r w:rsidR="00C84909" w:rsidRPr="00152D67">
        <w:rPr>
          <w:lang w:val="en-GB"/>
        </w:rPr>
        <w:t>and (ii)</w:t>
      </w:r>
      <w:r w:rsidR="005053E4" w:rsidRPr="00152D67">
        <w:rPr>
          <w:lang w:val="en-GB"/>
        </w:rPr>
        <w:t xml:space="preserve"> diplomatic efforts to encourage implementation of the UN CRPD </w:t>
      </w:r>
      <w:r w:rsidR="00C84909" w:rsidRPr="00152D67">
        <w:rPr>
          <w:lang w:val="en-GB"/>
        </w:rPr>
        <w:t>by the governments of Global South</w:t>
      </w:r>
      <w:r w:rsidR="005053E4" w:rsidRPr="00152D67">
        <w:rPr>
          <w:lang w:val="en-GB"/>
        </w:rPr>
        <w:t xml:space="preserve"> countries. The </w:t>
      </w:r>
      <w:r w:rsidR="00C84909" w:rsidRPr="00152D67">
        <w:rPr>
          <w:lang w:val="en-GB"/>
        </w:rPr>
        <w:t>L</w:t>
      </w:r>
      <w:r w:rsidR="005053E4" w:rsidRPr="00152D67">
        <w:rPr>
          <w:lang w:val="en-GB"/>
        </w:rPr>
        <w:t>atter</w:t>
      </w:r>
      <w:r w:rsidR="00C84909" w:rsidRPr="00152D67">
        <w:rPr>
          <w:lang w:val="en-GB"/>
        </w:rPr>
        <w:t xml:space="preserve"> theme</w:t>
      </w:r>
      <w:r w:rsidR="005053E4" w:rsidRPr="00152D67">
        <w:rPr>
          <w:lang w:val="en-GB"/>
        </w:rPr>
        <w:t xml:space="preserve"> is beyond the scope of the current submission)</w:t>
      </w:r>
      <w:r w:rsidR="00684CF5" w:rsidRPr="00152D67">
        <w:rPr>
          <w:lang w:val="en-GB"/>
        </w:rPr>
        <w:t>.</w:t>
      </w:r>
    </w:p>
  </w:footnote>
  <w:footnote w:id="10">
    <w:p w14:paraId="18EF64FD" w14:textId="3DF0D8B9" w:rsidR="00CB70A9" w:rsidRPr="00CB70A9" w:rsidRDefault="00CB70A9">
      <w:pPr>
        <w:pStyle w:val="FootnoteText"/>
        <w:rPr>
          <w:lang w:val="en-GB"/>
        </w:rPr>
      </w:pPr>
      <w:r>
        <w:rPr>
          <w:rStyle w:val="FootnoteReference"/>
        </w:rPr>
        <w:footnoteRef/>
      </w:r>
      <w:r w:rsidRPr="00152D67">
        <w:rPr>
          <w:lang w:val="en-GB"/>
        </w:rPr>
        <w:t xml:space="preserve"> </w:t>
      </w:r>
      <w:r>
        <w:rPr>
          <w:lang w:val="en-GB"/>
        </w:rPr>
        <w:t>Leenknecht / EDF, 2021, ‘</w:t>
      </w:r>
      <w:hyperlink r:id="rId10" w:history="1">
        <w:r w:rsidRPr="00CB70A9">
          <w:rPr>
            <w:rStyle w:val="Hyperlink"/>
            <w:lang w:val="en-GB"/>
          </w:rPr>
          <w:t>Success! Persons with disabilities are included in the EU’s new external action budget 2021-27</w:t>
        </w:r>
      </w:hyperlink>
      <w:r>
        <w:rPr>
          <w:lang w:val="en-GB"/>
        </w:rPr>
        <w:t>’</w:t>
      </w:r>
    </w:p>
  </w:footnote>
  <w:footnote w:id="11">
    <w:p w14:paraId="29173588" w14:textId="788154A0" w:rsidR="000A6B46" w:rsidRPr="000A6B46" w:rsidRDefault="000A6B46">
      <w:pPr>
        <w:pStyle w:val="FootnoteText"/>
        <w:rPr>
          <w:lang w:val="en-GB"/>
        </w:rPr>
      </w:pPr>
      <w:r>
        <w:rPr>
          <w:rStyle w:val="FootnoteReference"/>
        </w:rPr>
        <w:footnoteRef/>
      </w:r>
      <w:r w:rsidRPr="00152D67">
        <w:rPr>
          <w:lang w:val="en-GB"/>
        </w:rPr>
        <w:t xml:space="preserve"> </w:t>
      </w:r>
      <w:hyperlink r:id="rId11" w:history="1">
        <w:r w:rsidRPr="00152D67">
          <w:rPr>
            <w:rStyle w:val="Hyperlink"/>
            <w:lang w:val="en-GB"/>
          </w:rPr>
          <w:t xml:space="preserve">Regulation (EU) 2021/947 of the European Parliament and of The Council of 9 June 2021 establishing the Neighbourhood, </w:t>
        </w:r>
        <w:proofErr w:type="gramStart"/>
        <w:r w:rsidRPr="00152D67">
          <w:rPr>
            <w:rStyle w:val="Hyperlink"/>
            <w:lang w:val="en-GB"/>
          </w:rPr>
          <w:t>Development</w:t>
        </w:r>
        <w:proofErr w:type="gramEnd"/>
        <w:r w:rsidRPr="00152D67">
          <w:rPr>
            <w:rStyle w:val="Hyperlink"/>
            <w:lang w:val="en-GB"/>
          </w:rPr>
          <w:t xml:space="preserve"> and International Cooperation Instrument – Global Europe, amending and repealing Decision No 466/2014/EU and repealing Regulation (EU) 2017/1601 and Council Regulation (EC, Euratom) No 480/2009</w:t>
        </w:r>
      </w:hyperlink>
      <w:r w:rsidRPr="00152D67">
        <w:rPr>
          <w:lang w:val="en-GB"/>
        </w:rPr>
        <w:t>, Article 8, paragraph 2</w:t>
      </w:r>
      <w:r w:rsidR="000A349A" w:rsidRPr="00152D67">
        <w:rPr>
          <w:lang w:val="en-GB"/>
        </w:rPr>
        <w:t xml:space="preserve"> (emphasis added)</w:t>
      </w:r>
    </w:p>
  </w:footnote>
  <w:footnote w:id="12">
    <w:p w14:paraId="1E4290F6" w14:textId="40CB8A97" w:rsidR="00A450B3" w:rsidRPr="00A450B3" w:rsidRDefault="00A450B3">
      <w:pPr>
        <w:pStyle w:val="FootnoteText"/>
        <w:rPr>
          <w:lang w:val="en-GB"/>
        </w:rPr>
      </w:pPr>
      <w:r>
        <w:rPr>
          <w:rStyle w:val="FootnoteReference"/>
        </w:rPr>
        <w:footnoteRef/>
      </w:r>
      <w:r w:rsidRPr="00152D67">
        <w:rPr>
          <w:lang w:val="en-GB"/>
        </w:rPr>
        <w:t xml:space="preserve"> For more detail, please see </w:t>
      </w:r>
      <w:r>
        <w:rPr>
          <w:lang w:val="en-GB"/>
        </w:rPr>
        <w:t>Leenknecht / EDF, 2021, ‘</w:t>
      </w:r>
      <w:hyperlink r:id="rId12" w:history="1">
        <w:r w:rsidRPr="00CB70A9">
          <w:rPr>
            <w:rStyle w:val="Hyperlink"/>
            <w:lang w:val="en-GB"/>
          </w:rPr>
          <w:t>Success! Persons with disabilities are included in the EU’s new external action budget 2021-27</w:t>
        </w:r>
      </w:hyperlink>
      <w:r>
        <w:rPr>
          <w:lang w:val="en-GB"/>
        </w:rPr>
        <w:t>’</w:t>
      </w:r>
      <w:r w:rsidR="008D5139">
        <w:rPr>
          <w:lang w:val="en-GB"/>
        </w:rPr>
        <w:t>.</w:t>
      </w:r>
    </w:p>
  </w:footnote>
  <w:footnote w:id="13">
    <w:p w14:paraId="08D79F84" w14:textId="77777777" w:rsidR="003B4E3A" w:rsidRPr="000A5939" w:rsidRDefault="003B4E3A" w:rsidP="003B4E3A">
      <w:pPr>
        <w:pStyle w:val="FootnoteText"/>
        <w:rPr>
          <w:lang w:val="en-GB"/>
        </w:rPr>
      </w:pPr>
      <w:r>
        <w:rPr>
          <w:rStyle w:val="FootnoteReference"/>
        </w:rPr>
        <w:footnoteRef/>
      </w:r>
      <w:r w:rsidRPr="00152D67">
        <w:rPr>
          <w:lang w:val="en-GB"/>
        </w:rPr>
        <w:t xml:space="preserve"> </w:t>
      </w:r>
      <w:r>
        <w:rPr>
          <w:lang w:val="en-GB"/>
        </w:rPr>
        <w:t xml:space="preserve">For EDF’s analysis on the EC’s adoption of the marker, see EDF, 2022, </w:t>
      </w:r>
      <w:hyperlink r:id="rId13" w:history="1">
        <w:r w:rsidRPr="000E5167">
          <w:rPr>
            <w:rStyle w:val="Hyperlink"/>
            <w:lang w:val="en-GB"/>
          </w:rPr>
          <w:t>Annual report – EC spending on disability inclusion in global actions 2018-2020: analysis of data from the OECD-DAC disability policy marker</w:t>
        </w:r>
      </w:hyperlink>
      <w:r>
        <w:rPr>
          <w:lang w:val="en-GB"/>
        </w:rPr>
        <w:t>.</w:t>
      </w:r>
    </w:p>
  </w:footnote>
  <w:footnote w:id="14">
    <w:p w14:paraId="5E3735A8" w14:textId="34646B08" w:rsidR="00940F41" w:rsidRPr="00940F41" w:rsidRDefault="00940F41">
      <w:pPr>
        <w:pStyle w:val="FootnoteText"/>
        <w:rPr>
          <w:lang w:val="en-GB"/>
        </w:rPr>
      </w:pPr>
      <w:r>
        <w:rPr>
          <w:rStyle w:val="FootnoteReference"/>
        </w:rPr>
        <w:footnoteRef/>
      </w:r>
      <w:r w:rsidRPr="00152D67">
        <w:rPr>
          <w:lang w:val="en-GB"/>
        </w:rPr>
        <w:t xml:space="preserve"> </w:t>
      </w:r>
      <w:r>
        <w:rPr>
          <w:lang w:val="en-GB"/>
        </w:rPr>
        <w:t xml:space="preserve">European Commission, 2022, </w:t>
      </w:r>
      <w:hyperlink r:id="rId14" w:history="1">
        <w:r w:rsidRPr="00152D67">
          <w:rPr>
            <w:rStyle w:val="Hyperlink"/>
            <w:lang w:val="en-GB"/>
          </w:rPr>
          <w:t>Commission staff working document - Launching the Global Europe Performance Monitoring System containing a Revised Global Europe Results Framework</w:t>
        </w:r>
      </w:hyperlink>
      <w:r w:rsidRPr="00152D67">
        <w:rPr>
          <w:lang w:val="en-GB"/>
        </w:rPr>
        <w:t>, SWD(2022) 22 final, indicator 3.14 on p.23</w:t>
      </w:r>
    </w:p>
  </w:footnote>
  <w:footnote w:id="15">
    <w:p w14:paraId="3562CD12" w14:textId="79379BF6" w:rsidR="00FD132F" w:rsidRPr="00D66E99" w:rsidRDefault="00FD132F" w:rsidP="00FD132F">
      <w:pPr>
        <w:pStyle w:val="FootnoteText"/>
        <w:rPr>
          <w:lang w:val="en-GB"/>
        </w:rPr>
      </w:pPr>
      <w:r>
        <w:rPr>
          <w:rStyle w:val="FootnoteReference"/>
        </w:rPr>
        <w:footnoteRef/>
      </w:r>
      <w:r w:rsidRPr="00152D67">
        <w:rPr>
          <w:lang w:val="en-GB"/>
        </w:rPr>
        <w:t xml:space="preserve"> European Commission </w:t>
      </w:r>
      <w:r>
        <w:rPr>
          <w:lang w:val="en-GB"/>
        </w:rPr>
        <w:t xml:space="preserve">Directorate-General for International Partnerships (DG-INTPA), 2022, Practice note: making consultations and dialogues inclusive and accessible for all – available from DG-INTPA’s </w:t>
      </w:r>
      <w:hyperlink r:id="rId15" w:history="1">
        <w:r w:rsidRPr="008227DA">
          <w:rPr>
            <w:rStyle w:val="Hyperlink"/>
            <w:lang w:val="en-GB"/>
          </w:rPr>
          <w:t>EU International Partnerships Academy website</w:t>
        </w:r>
      </w:hyperlink>
      <w:r>
        <w:rPr>
          <w:lang w:val="en-GB"/>
        </w:rPr>
        <w:t xml:space="preserve">. </w:t>
      </w:r>
      <w:proofErr w:type="spellStart"/>
      <w:r w:rsidRPr="00152D67">
        <w:rPr>
          <w:lang w:val="en-GB"/>
        </w:rPr>
        <w:t>Lipponen</w:t>
      </w:r>
      <w:proofErr w:type="spellEnd"/>
      <w:r w:rsidRPr="00152D67">
        <w:rPr>
          <w:lang w:val="en-GB"/>
        </w:rPr>
        <w:t xml:space="preserve"> / </w:t>
      </w:r>
      <w:r>
        <w:rPr>
          <w:lang w:val="en-GB"/>
        </w:rPr>
        <w:t xml:space="preserve">European Commission DG-INTPA, 2023, </w:t>
      </w:r>
      <w:hyperlink r:id="rId16" w:history="1">
        <w:r w:rsidRPr="003302F1">
          <w:rPr>
            <w:rStyle w:val="Hyperlink"/>
            <w:lang w:val="en-GB"/>
          </w:rPr>
          <w:t>Guidance note: leaving no-one behind – disability inclusion in EU external action</w:t>
        </w:r>
      </w:hyperlink>
      <w:r>
        <w:rPr>
          <w:lang w:val="en-GB"/>
        </w:rPr>
        <w:t>. For EDF’s reaction to the guidance note on disability inclusion, see EDF, 2023, ‘</w:t>
      </w:r>
      <w:hyperlink r:id="rId17" w:history="1">
        <w:r w:rsidRPr="004750E3">
          <w:rPr>
            <w:rStyle w:val="Hyperlink"/>
            <w:lang w:val="en-GB"/>
          </w:rPr>
          <w:t>EU guidance note on inclusion of persons with disabilities in EU global actions – joint reaction by EDF and IDDC</w:t>
        </w:r>
      </w:hyperlink>
      <w:r>
        <w:rPr>
          <w:lang w:val="en-GB"/>
        </w:rPr>
        <w:t>’.</w:t>
      </w:r>
    </w:p>
  </w:footnote>
  <w:footnote w:id="16">
    <w:p w14:paraId="555C006C" w14:textId="07560CFF" w:rsidR="00323306" w:rsidRPr="00323306" w:rsidRDefault="00323306">
      <w:pPr>
        <w:pStyle w:val="FootnoteText"/>
        <w:rPr>
          <w:lang w:val="en-GB"/>
        </w:rPr>
      </w:pPr>
      <w:r>
        <w:rPr>
          <w:rStyle w:val="FootnoteReference"/>
        </w:rPr>
        <w:footnoteRef/>
      </w:r>
      <w:r w:rsidRPr="00152D67">
        <w:rPr>
          <w:lang w:val="en-GB"/>
        </w:rPr>
        <w:t xml:space="preserve"> </w:t>
      </w:r>
      <w:r>
        <w:rPr>
          <w:lang w:val="en-GB"/>
        </w:rPr>
        <w:t xml:space="preserve">See </w:t>
      </w:r>
      <w:r w:rsidR="002D7A45">
        <w:rPr>
          <w:lang w:val="en-GB"/>
        </w:rPr>
        <w:t xml:space="preserve">EDF/International Disability and Development Consortium, 2022, </w:t>
      </w:r>
      <w:hyperlink r:id="rId18" w:history="1">
        <w:r w:rsidR="002D7A45" w:rsidRPr="00152D67">
          <w:rPr>
            <w:rStyle w:val="Hyperlink"/>
            <w:lang w:val="en-GB"/>
          </w:rPr>
          <w:t>Input for the List of Issues Prior to Reporting for the second review of the EU by the CRPD Committee</w:t>
        </w:r>
      </w:hyperlink>
      <w:r w:rsidR="002D7A45" w:rsidRPr="00152D67">
        <w:rPr>
          <w:lang w:val="en-GB"/>
        </w:rPr>
        <w:t>, p.3 – section on Articles 4.3 and 33.3</w:t>
      </w:r>
    </w:p>
  </w:footnote>
  <w:footnote w:id="17">
    <w:p w14:paraId="2256F915" w14:textId="580D85D0" w:rsidR="00AD0BAD" w:rsidRPr="00AD0BAD" w:rsidRDefault="00AD0BAD">
      <w:pPr>
        <w:pStyle w:val="FootnoteText"/>
        <w:rPr>
          <w:lang w:val="en-GB"/>
        </w:rPr>
      </w:pPr>
      <w:r w:rsidRPr="00F31C5C">
        <w:rPr>
          <w:rStyle w:val="FootnoteReference"/>
        </w:rPr>
        <w:footnoteRef/>
      </w:r>
      <w:r w:rsidRPr="00F31C5C">
        <w:rPr>
          <w:lang w:val="en-GB"/>
        </w:rPr>
        <w:t xml:space="preserve"> This submission is not seeking to take a position on any wider questions related</w:t>
      </w:r>
      <w:r w:rsidR="00633DE0" w:rsidRPr="00F31C5C">
        <w:rPr>
          <w:lang w:val="en-GB"/>
        </w:rPr>
        <w:t xml:space="preserve"> to the concept or implementation of Human Rights Dialogues – but rather simply to argue that any such dialogues that take place</w:t>
      </w:r>
      <w:r w:rsidR="00C14105" w:rsidRPr="00F31C5C">
        <w:rPr>
          <w:lang w:val="en-GB"/>
        </w:rPr>
        <w:t xml:space="preserve"> must</w:t>
      </w:r>
      <w:r w:rsidR="00633DE0" w:rsidRPr="00F31C5C">
        <w:rPr>
          <w:lang w:val="en-GB"/>
        </w:rPr>
        <w:t xml:space="preserve"> meaningfully involve persons with disabilities and their representative organisations, in line with the </w:t>
      </w:r>
      <w:r w:rsidR="00135784" w:rsidRPr="00F31C5C">
        <w:rPr>
          <w:lang w:val="en-GB"/>
        </w:rPr>
        <w:t xml:space="preserve">UN </w:t>
      </w:r>
      <w:r w:rsidR="00633DE0" w:rsidRPr="00F31C5C">
        <w:rPr>
          <w:lang w:val="en-GB"/>
        </w:rPr>
        <w:t>CRPD.</w:t>
      </w:r>
    </w:p>
  </w:footnote>
  <w:footnote w:id="18">
    <w:p w14:paraId="74E3A6FB" w14:textId="1FE1B1EE" w:rsidR="00C931C4" w:rsidRPr="00C931C4" w:rsidRDefault="00C931C4">
      <w:pPr>
        <w:pStyle w:val="FootnoteText"/>
        <w:rPr>
          <w:lang w:val="en-GB"/>
        </w:rPr>
      </w:pPr>
      <w:r>
        <w:rPr>
          <w:rStyle w:val="FootnoteReference"/>
        </w:rPr>
        <w:footnoteRef/>
      </w:r>
      <w:r w:rsidRPr="00152D67">
        <w:rPr>
          <w:lang w:val="en-GB"/>
        </w:rPr>
        <w:t xml:space="preserve"> </w:t>
      </w:r>
      <w:r>
        <w:rPr>
          <w:lang w:val="en-GB"/>
        </w:rPr>
        <w:t xml:space="preserve">European Commission, 2020, </w:t>
      </w:r>
      <w:hyperlink r:id="rId19" w:history="1">
        <w:r w:rsidRPr="00F8421C">
          <w:rPr>
            <w:rStyle w:val="Hyperlink"/>
            <w:lang w:val="en-GB"/>
          </w:rPr>
          <w:t>Together towards a gender-equal world: EU Gender Action Plan III</w:t>
        </w:r>
      </w:hyperlink>
    </w:p>
  </w:footnote>
  <w:footnote w:id="19">
    <w:p w14:paraId="6DDB5262" w14:textId="48E74251" w:rsidR="00F8421C" w:rsidRPr="00F8421C" w:rsidRDefault="00F8421C">
      <w:pPr>
        <w:pStyle w:val="FootnoteText"/>
        <w:rPr>
          <w:lang w:val="en-GB"/>
        </w:rPr>
      </w:pPr>
      <w:r>
        <w:rPr>
          <w:rStyle w:val="FootnoteReference"/>
        </w:rPr>
        <w:footnoteRef/>
      </w:r>
      <w:r w:rsidRPr="00152D67">
        <w:rPr>
          <w:lang w:val="en-GB"/>
        </w:rPr>
        <w:t xml:space="preserve"> </w:t>
      </w:r>
      <w:r>
        <w:rPr>
          <w:lang w:val="en-GB"/>
        </w:rPr>
        <w:t xml:space="preserve">For more on the need for a disability action plan, see EDF/International Disability and Development Consortium, 2022, </w:t>
      </w:r>
      <w:hyperlink r:id="rId20" w:history="1">
        <w:r w:rsidRPr="00152D67">
          <w:rPr>
            <w:rStyle w:val="Hyperlink"/>
            <w:lang w:val="en-GB"/>
          </w:rPr>
          <w:t>Input for the List of Issues Prior to Reporting for the second review of the EU by the CRPD Committee</w:t>
        </w:r>
      </w:hyperlink>
      <w:r w:rsidRPr="00152D67">
        <w:rPr>
          <w:lang w:val="en-GB"/>
        </w:rPr>
        <w:t>, p.6 – section on Article 32</w:t>
      </w:r>
    </w:p>
  </w:footnote>
  <w:footnote w:id="20">
    <w:p w14:paraId="396906BC" w14:textId="215AEC98" w:rsidR="00DC3969" w:rsidRPr="00DC3969" w:rsidRDefault="00DC3969">
      <w:pPr>
        <w:pStyle w:val="FootnoteText"/>
        <w:rPr>
          <w:lang w:val="en-GB"/>
        </w:rPr>
      </w:pPr>
      <w:r>
        <w:rPr>
          <w:rStyle w:val="FootnoteReference"/>
        </w:rPr>
        <w:footnoteRef/>
      </w:r>
      <w:r w:rsidRPr="00152D67">
        <w:rPr>
          <w:lang w:val="en-GB"/>
        </w:rPr>
        <w:t xml:space="preserve"> </w:t>
      </w:r>
      <w:r>
        <w:rPr>
          <w:lang w:val="en-GB"/>
        </w:rPr>
        <w:t>European Commission</w:t>
      </w:r>
      <w:r w:rsidR="004D175E" w:rsidRPr="00152D67">
        <w:rPr>
          <w:sz w:val="22"/>
          <w:szCs w:val="22"/>
          <w:lang w:val="en-GB"/>
        </w:rPr>
        <w:t xml:space="preserve"> </w:t>
      </w:r>
      <w:r w:rsidR="004D175E" w:rsidRPr="00152D67">
        <w:rPr>
          <w:lang w:val="en-GB"/>
        </w:rPr>
        <w:t>and their representative organisations</w:t>
      </w:r>
      <w:r>
        <w:rPr>
          <w:lang w:val="en-GB"/>
        </w:rPr>
        <w:t xml:space="preserve">, 2022, </w:t>
      </w:r>
      <w:hyperlink r:id="rId21" w:history="1">
        <w:r w:rsidRPr="00152D67">
          <w:rPr>
            <w:rStyle w:val="Hyperlink"/>
            <w:lang w:val="en-GB"/>
          </w:rPr>
          <w:t>Commission staff working document - Launching the Global Europe Performance Monitoring System containing a Revised Global Europe Results Framework</w:t>
        </w:r>
      </w:hyperlink>
      <w:r w:rsidRPr="00152D67">
        <w:rPr>
          <w:lang w:val="en-GB"/>
        </w:rPr>
        <w:t xml:space="preserve">, SWD(2022) 22 final, indicator </w:t>
      </w:r>
      <w:r w:rsidR="005A79B7" w:rsidRPr="00152D67">
        <w:rPr>
          <w:lang w:val="en-GB"/>
        </w:rPr>
        <w:t>1.11</w:t>
      </w:r>
      <w:r w:rsidRPr="00152D67">
        <w:rPr>
          <w:lang w:val="en-GB"/>
        </w:rPr>
        <w:t xml:space="preserve"> on p.2</w:t>
      </w:r>
      <w:r w:rsidR="005A79B7" w:rsidRPr="00152D67">
        <w:rPr>
          <w:lang w:val="en-GB"/>
        </w:rPr>
        <w:t>5</w:t>
      </w:r>
      <w:r w:rsidR="002A0E1B" w:rsidRPr="00152D67">
        <w:rPr>
          <w:lang w:val="en-GB"/>
        </w:rPr>
        <w:t>. Please note this finding (that</w:t>
      </w:r>
      <w:r w:rsidR="00086558" w:rsidRPr="00152D67">
        <w:rPr>
          <w:lang w:val="en-GB"/>
        </w:rPr>
        <w:t xml:space="preserve"> disability is only mentioned explicitly in</w:t>
      </w:r>
      <w:r w:rsidR="002A0E1B" w:rsidRPr="00152D67">
        <w:rPr>
          <w:lang w:val="en-GB"/>
        </w:rPr>
        <w:t xml:space="preserve"> one indicator) is based on analysis of the main Global Europe Results Framework </w:t>
      </w:r>
      <w:proofErr w:type="gramStart"/>
      <w:r w:rsidR="002A0E1B" w:rsidRPr="00152D67">
        <w:rPr>
          <w:lang w:val="en-GB"/>
        </w:rPr>
        <w:t>indicators ;</w:t>
      </w:r>
      <w:proofErr w:type="gramEnd"/>
      <w:r w:rsidR="002A0E1B" w:rsidRPr="00152D67">
        <w:rPr>
          <w:lang w:val="en-GB"/>
        </w:rPr>
        <w:t xml:space="preserve"> it does not include supplementary thematic indicators.</w:t>
      </w:r>
    </w:p>
  </w:footnote>
  <w:footnote w:id="21">
    <w:p w14:paraId="12AC1A68" w14:textId="5D419F42" w:rsidR="000E49BA" w:rsidRPr="000E49BA" w:rsidRDefault="000E49BA">
      <w:pPr>
        <w:pStyle w:val="FootnoteText"/>
        <w:rPr>
          <w:lang w:val="en-GB"/>
        </w:rPr>
      </w:pPr>
      <w:r>
        <w:rPr>
          <w:rStyle w:val="FootnoteReference"/>
        </w:rPr>
        <w:footnoteRef/>
      </w:r>
      <w:r w:rsidRPr="00152D67">
        <w:rPr>
          <w:lang w:val="en-GB"/>
        </w:rPr>
        <w:t xml:space="preserve"> </w:t>
      </w:r>
      <w:r>
        <w:rPr>
          <w:lang w:val="en-GB"/>
        </w:rPr>
        <w:t xml:space="preserve">European Commission, 2022, </w:t>
      </w:r>
      <w:hyperlink r:id="rId22" w:history="1">
        <w:r w:rsidRPr="00152D67">
          <w:rPr>
            <w:rStyle w:val="Hyperlink"/>
            <w:lang w:val="en-GB"/>
          </w:rPr>
          <w:t>Commission staff working document - Launching the Global Europe Performance Monitoring System containing a Revised Global Europe Results Framework</w:t>
        </w:r>
      </w:hyperlink>
      <w:r w:rsidRPr="00152D67">
        <w:rPr>
          <w:lang w:val="en-GB"/>
        </w:rPr>
        <w:t xml:space="preserve">, SWD(2022) 22 final, p.12. </w:t>
      </w:r>
      <w:r w:rsidR="00152DFE" w:rsidRPr="00152D67">
        <w:rPr>
          <w:lang w:val="en-GB"/>
        </w:rPr>
        <w:t>In contrast, the results framework includes two dedicated ‘data quality indicators’ to monitor the availability of gender-disaggregated data (</w:t>
      </w:r>
      <w:proofErr w:type="gramStart"/>
      <w:r w:rsidR="00A431C2" w:rsidRPr="00152D67">
        <w:rPr>
          <w:lang w:val="en-GB"/>
        </w:rPr>
        <w:t>source :</w:t>
      </w:r>
      <w:proofErr w:type="gramEnd"/>
      <w:r w:rsidR="00A431C2" w:rsidRPr="00152D67">
        <w:rPr>
          <w:lang w:val="en-GB"/>
        </w:rPr>
        <w:t xml:space="preserve"> Commission staff working document as above, p. 29).</w:t>
      </w:r>
    </w:p>
  </w:footnote>
  <w:footnote w:id="22">
    <w:p w14:paraId="5479D3BD" w14:textId="7CCAC4E3" w:rsidR="00D85324" w:rsidRPr="00D85324" w:rsidRDefault="00D85324">
      <w:pPr>
        <w:pStyle w:val="FootnoteText"/>
        <w:rPr>
          <w:lang w:val="en-GB"/>
        </w:rPr>
      </w:pPr>
      <w:r>
        <w:rPr>
          <w:rStyle w:val="FootnoteReference"/>
        </w:rPr>
        <w:footnoteRef/>
      </w:r>
      <w:r w:rsidRPr="00152D67">
        <w:rPr>
          <w:lang w:val="en-GB"/>
        </w:rPr>
        <w:t xml:space="preserve"> </w:t>
      </w:r>
      <w:proofErr w:type="spellStart"/>
      <w:r w:rsidRPr="00152D67">
        <w:rPr>
          <w:lang w:val="en-GB"/>
        </w:rPr>
        <w:t>Bulić</w:t>
      </w:r>
      <w:proofErr w:type="spellEnd"/>
      <w:r w:rsidRPr="00152D67">
        <w:rPr>
          <w:lang w:val="en-GB"/>
        </w:rPr>
        <w:t xml:space="preserve"> </w:t>
      </w:r>
      <w:proofErr w:type="spellStart"/>
      <w:r w:rsidRPr="00152D67">
        <w:rPr>
          <w:lang w:val="en-GB"/>
        </w:rPr>
        <w:t>Cojocariu</w:t>
      </w:r>
      <w:proofErr w:type="spellEnd"/>
      <w:r w:rsidRPr="00152D67">
        <w:rPr>
          <w:lang w:val="en-GB"/>
        </w:rPr>
        <w:t xml:space="preserve"> / EDF and European Network on Independent Living, 2022, referenced in </w:t>
      </w:r>
      <w:r>
        <w:rPr>
          <w:lang w:val="en-GB"/>
        </w:rPr>
        <w:t xml:space="preserve">EDF/International Disability and Development Consortium, 2022, </w:t>
      </w:r>
      <w:hyperlink r:id="rId23" w:history="1">
        <w:r w:rsidRPr="00152D67">
          <w:rPr>
            <w:rStyle w:val="Hyperlink"/>
            <w:lang w:val="en-GB"/>
          </w:rPr>
          <w:t>Input for the List of Issues Prior to Reporting for the second review of the EU by the CRPD Committee</w:t>
        </w:r>
      </w:hyperlink>
      <w:r w:rsidRPr="00152D67">
        <w:rPr>
          <w:lang w:val="en-GB"/>
        </w:rPr>
        <w:t>, section on Article 19, pp.5-6</w:t>
      </w:r>
    </w:p>
  </w:footnote>
  <w:footnote w:id="23">
    <w:p w14:paraId="45612A54" w14:textId="36241729" w:rsidR="00EC4754" w:rsidRPr="00EC4754" w:rsidRDefault="00EC4754">
      <w:pPr>
        <w:pStyle w:val="FootnoteText"/>
        <w:rPr>
          <w:lang w:val="en-GB"/>
        </w:rPr>
      </w:pPr>
      <w:r>
        <w:rPr>
          <w:rStyle w:val="FootnoteReference"/>
        </w:rPr>
        <w:footnoteRef/>
      </w:r>
      <w:r w:rsidRPr="00152D67">
        <w:rPr>
          <w:lang w:val="en-GB"/>
        </w:rPr>
        <w:t xml:space="preserve"> </w:t>
      </w:r>
      <w:r>
        <w:rPr>
          <w:lang w:val="en-GB"/>
        </w:rPr>
        <w:t xml:space="preserve">See UN Committee on the Rights of Persons with Disabilities, </w:t>
      </w:r>
      <w:hyperlink r:id="rId24" w:history="1">
        <w:r w:rsidRPr="00346BD5">
          <w:rPr>
            <w:rStyle w:val="Hyperlink"/>
            <w:lang w:val="en-GB"/>
          </w:rPr>
          <w:t>General Comment no.7</w:t>
        </w:r>
      </w:hyperlink>
      <w:r>
        <w:rPr>
          <w:lang w:val="en-GB"/>
        </w:rPr>
        <w:t xml:space="preserve">, </w:t>
      </w:r>
      <w:r w:rsidRPr="00EC4754">
        <w:rPr>
          <w:lang w:val="en-GB"/>
        </w:rPr>
        <w:t>CRPD/C/GC/7</w:t>
      </w:r>
      <w:r>
        <w:rPr>
          <w:lang w:val="en-GB"/>
        </w:rPr>
        <w:t>, paragraph 91</w:t>
      </w:r>
    </w:p>
  </w:footnote>
  <w:footnote w:id="24">
    <w:p w14:paraId="7D47B6B1" w14:textId="50E5254A" w:rsidR="00E54815" w:rsidRPr="00E54815" w:rsidRDefault="00E54815">
      <w:pPr>
        <w:pStyle w:val="FootnoteText"/>
        <w:rPr>
          <w:lang w:val="en-GB"/>
        </w:rPr>
      </w:pPr>
      <w:r>
        <w:rPr>
          <w:rStyle w:val="FootnoteReference"/>
        </w:rPr>
        <w:footnoteRef/>
      </w:r>
      <w:r w:rsidRPr="00152D67">
        <w:rPr>
          <w:lang w:val="en-GB"/>
        </w:rPr>
        <w:t xml:space="preserve"> </w:t>
      </w:r>
      <w:r w:rsidR="00705306">
        <w:rPr>
          <w:lang w:val="en-GB"/>
        </w:rPr>
        <w:t xml:space="preserve">See EDF/International Disability and Development Consortium, 2022, </w:t>
      </w:r>
      <w:hyperlink r:id="rId25" w:history="1">
        <w:r w:rsidR="00705306" w:rsidRPr="00152D67">
          <w:rPr>
            <w:rStyle w:val="Hyperlink"/>
            <w:lang w:val="en-GB"/>
          </w:rPr>
          <w:t>Input for the List of Issues Prior to Reporting for the second review of the EU by the CRPD Committee</w:t>
        </w:r>
      </w:hyperlink>
      <w:r w:rsidR="00705306" w:rsidRPr="00152D67">
        <w:rPr>
          <w:lang w:val="en-GB"/>
        </w:rPr>
        <w:t>, section on Article 9, pp.4-5</w:t>
      </w:r>
    </w:p>
  </w:footnote>
  <w:footnote w:id="25">
    <w:p w14:paraId="748594C2" w14:textId="19A39964" w:rsidR="008C40A2" w:rsidRPr="008C40A2" w:rsidRDefault="008C40A2">
      <w:pPr>
        <w:pStyle w:val="FootnoteText"/>
        <w:rPr>
          <w:lang w:val="en-GB"/>
        </w:rPr>
      </w:pPr>
      <w:r>
        <w:rPr>
          <w:rStyle w:val="FootnoteReference"/>
        </w:rPr>
        <w:footnoteRef/>
      </w:r>
      <w:r w:rsidRPr="00152D67">
        <w:rPr>
          <w:lang w:val="en-GB"/>
        </w:rPr>
        <w:t xml:space="preserve"> </w:t>
      </w:r>
      <w:r>
        <w:rPr>
          <w:lang w:val="en-GB"/>
        </w:rPr>
        <w:t>CONCORD, inputs to the public consultation on European Commission financing instruments for external action, forthcoming</w:t>
      </w:r>
    </w:p>
  </w:footnote>
  <w:footnote w:id="26">
    <w:p w14:paraId="5EA4EBF8" w14:textId="36DA0AA2" w:rsidR="00F520B5" w:rsidRPr="00F520B5" w:rsidRDefault="00F520B5">
      <w:pPr>
        <w:pStyle w:val="FootnoteText"/>
        <w:rPr>
          <w:lang w:val="en-GB"/>
        </w:rPr>
      </w:pPr>
      <w:r>
        <w:rPr>
          <w:rStyle w:val="FootnoteReference"/>
        </w:rPr>
        <w:footnoteRef/>
      </w:r>
      <w:r w:rsidRPr="00152D67">
        <w:rPr>
          <w:lang w:val="en-GB"/>
        </w:rPr>
        <w:t xml:space="preserve"> </w:t>
      </w:r>
      <w:r>
        <w:rPr>
          <w:lang w:val="en-GB"/>
        </w:rPr>
        <w:t>Human Rights and Democracy Network – Working Group on funding for human rights and democracy, 2020, Inputs to the programming for the human rights and democracy pillar of the NDICI, paragraphs titled “proactively reaching out to grassroots organisations” and “support to unregistered actors”.</w:t>
      </w:r>
    </w:p>
  </w:footnote>
  <w:footnote w:id="27">
    <w:p w14:paraId="1212C0D3" w14:textId="241BDDED" w:rsidR="00B72C57" w:rsidRPr="00B72C57" w:rsidRDefault="00B72C57">
      <w:pPr>
        <w:pStyle w:val="FootnoteText"/>
        <w:rPr>
          <w:lang w:val="en-GB"/>
        </w:rPr>
      </w:pPr>
      <w:r>
        <w:rPr>
          <w:rStyle w:val="FootnoteReference"/>
        </w:rPr>
        <w:footnoteRef/>
      </w:r>
      <w:r w:rsidRPr="00152D67">
        <w:rPr>
          <w:lang w:val="en-GB"/>
        </w:rPr>
        <w:t xml:space="preserve"> </w:t>
      </w:r>
      <w:r>
        <w:rPr>
          <w:lang w:val="en-GB"/>
        </w:rPr>
        <w:t>Only ODA-eligible countries were included in the analysis, so the MIP for the Seychelles was excluded.</w:t>
      </w:r>
    </w:p>
  </w:footnote>
  <w:footnote w:id="28">
    <w:p w14:paraId="5E14534A" w14:textId="4ABA6C79" w:rsidR="002979AC" w:rsidRPr="002979AC" w:rsidRDefault="002979AC">
      <w:pPr>
        <w:pStyle w:val="FootnoteText"/>
        <w:rPr>
          <w:lang w:val="en-GB"/>
        </w:rPr>
      </w:pPr>
      <w:r>
        <w:rPr>
          <w:rStyle w:val="FootnoteReference"/>
        </w:rPr>
        <w:footnoteRef/>
      </w:r>
      <w:r w:rsidRPr="00152D67">
        <w:rPr>
          <w:lang w:val="en-GB"/>
        </w:rPr>
        <w:t xml:space="preserve"> </w:t>
      </w:r>
      <w:r>
        <w:rPr>
          <w:lang w:val="en-GB"/>
        </w:rPr>
        <w:t>Or “handicap” in the case of French-language documents</w:t>
      </w:r>
    </w:p>
  </w:footnote>
  <w:footnote w:id="29">
    <w:p w14:paraId="21151FE9" w14:textId="1FCC57C5" w:rsidR="000244DE" w:rsidRPr="000244DE" w:rsidRDefault="000244DE">
      <w:pPr>
        <w:pStyle w:val="FootnoteText"/>
        <w:rPr>
          <w:lang w:val="en-GB"/>
        </w:rPr>
      </w:pPr>
      <w:r>
        <w:rPr>
          <w:rStyle w:val="FootnoteReference"/>
        </w:rPr>
        <w:footnoteRef/>
      </w:r>
      <w:r w:rsidRPr="00152D67">
        <w:rPr>
          <w:lang w:val="en-GB"/>
        </w:rPr>
        <w:t xml:space="preserve"> Source of t</w:t>
      </w:r>
      <w:r>
        <w:rPr>
          <w:lang w:val="en-GB"/>
        </w:rPr>
        <w:t>his and other percentages in this section: author’s analysis of EC MIPs</w:t>
      </w:r>
      <w:r w:rsidR="00E228D5">
        <w:rPr>
          <w:lang w:val="en-GB"/>
        </w:rPr>
        <w:t>, accessed from the EC’s ‘</w:t>
      </w:r>
      <w:hyperlink r:id="rId26" w:history="1">
        <w:r w:rsidR="00E228D5" w:rsidRPr="009D1D60">
          <w:rPr>
            <w:rStyle w:val="Hyperlink"/>
            <w:lang w:val="en-GB"/>
          </w:rPr>
          <w:t>Global Europe – programming</w:t>
        </w:r>
      </w:hyperlink>
      <w:r w:rsidR="00E228D5">
        <w:rPr>
          <w:lang w:val="en-GB"/>
        </w:rPr>
        <w:t>’ website.</w:t>
      </w:r>
    </w:p>
  </w:footnote>
  <w:footnote w:id="30">
    <w:p w14:paraId="22C16E9A" w14:textId="58711471" w:rsidR="008F5CB8" w:rsidRPr="008F5CB8" w:rsidRDefault="008F5CB8">
      <w:pPr>
        <w:pStyle w:val="FootnoteText"/>
        <w:rPr>
          <w:lang w:val="en-GB"/>
        </w:rPr>
      </w:pPr>
      <w:r>
        <w:rPr>
          <w:rStyle w:val="FootnoteReference"/>
        </w:rPr>
        <w:footnoteRef/>
      </w:r>
      <w:r w:rsidRPr="00152D67">
        <w:rPr>
          <w:lang w:val="en-GB"/>
        </w:rPr>
        <w:t xml:space="preserve"> </w:t>
      </w:r>
      <w:r w:rsidR="00895F38" w:rsidRPr="00152D67">
        <w:rPr>
          <w:lang w:val="en-GB"/>
        </w:rPr>
        <w:t xml:space="preserve">Objectives that appear to relate to policy dialogue, rather than ODA programming, were scoped out of the analysis. Allowance was also made for the fact that </w:t>
      </w:r>
      <w:r w:rsidR="00592647" w:rsidRPr="00152D67">
        <w:rPr>
          <w:lang w:val="en-GB"/>
        </w:rPr>
        <w:t xml:space="preserve">some </w:t>
      </w:r>
      <w:r w:rsidR="00895F38" w:rsidRPr="00152D67">
        <w:rPr>
          <w:lang w:val="en-GB"/>
        </w:rPr>
        <w:t xml:space="preserve">MIPs may include a small number of activities that </w:t>
      </w:r>
      <w:r w:rsidR="00592647" w:rsidRPr="00152D67">
        <w:rPr>
          <w:lang w:val="en-GB"/>
        </w:rPr>
        <w:t xml:space="preserve">appeared not to be </w:t>
      </w:r>
      <w:r w:rsidR="00895F38" w:rsidRPr="00152D67">
        <w:rPr>
          <w:lang w:val="en-GB"/>
        </w:rPr>
        <w:t>people-based</w:t>
      </w:r>
      <w:r w:rsidR="00592647" w:rsidRPr="00152D67">
        <w:rPr>
          <w:lang w:val="en-GB"/>
        </w:rPr>
        <w:t xml:space="preserve"> – for example certain habitat conservation activities. This is a complex area, because even activities that appear not to be people-based can still have important indirect impacts for persons with disabilities, </w:t>
      </w:r>
      <w:r w:rsidR="00E66424" w:rsidRPr="00152D67">
        <w:rPr>
          <w:lang w:val="en-GB"/>
        </w:rPr>
        <w:t xml:space="preserve">but where this was unclear, such activities were scoped out of the analysis, to give the EC the benefit of the doubt. </w:t>
      </w:r>
    </w:p>
  </w:footnote>
  <w:footnote w:id="31">
    <w:p w14:paraId="547A7ADC" w14:textId="588057C1" w:rsidR="00FB07E2" w:rsidRPr="00152D67" w:rsidRDefault="00FB07E2" w:rsidP="00FB07E2">
      <w:pPr>
        <w:pStyle w:val="FootnoteText"/>
        <w:rPr>
          <w:lang w:val="en-GB"/>
        </w:rPr>
      </w:pPr>
      <w:r>
        <w:rPr>
          <w:rStyle w:val="FootnoteReference"/>
        </w:rPr>
        <w:footnoteRef/>
      </w:r>
      <w:r w:rsidRPr="00152D67">
        <w:rPr>
          <w:lang w:val="en-GB"/>
        </w:rPr>
        <w:t xml:space="preserve"> </w:t>
      </w:r>
      <w:r w:rsidR="0061247F" w:rsidRPr="00152D67">
        <w:rPr>
          <w:lang w:val="en-GB"/>
        </w:rPr>
        <w:t xml:space="preserve">These were Zambia and Mongolia. </w:t>
      </w:r>
      <w:r w:rsidR="003803B0" w:rsidRPr="00152D67">
        <w:rPr>
          <w:lang w:val="en-GB"/>
        </w:rPr>
        <w:t>(And i</w:t>
      </w:r>
      <w:r w:rsidR="0061247F" w:rsidRPr="00152D67">
        <w:rPr>
          <w:lang w:val="en-GB"/>
        </w:rPr>
        <w:t>n the case</w:t>
      </w:r>
      <w:r w:rsidR="002D75F5" w:rsidRPr="00152D67">
        <w:rPr>
          <w:lang w:val="en-GB"/>
        </w:rPr>
        <w:t xml:space="preserve"> of Mongolia</w:t>
      </w:r>
      <w:r w:rsidR="0061247F" w:rsidRPr="00152D67">
        <w:rPr>
          <w:lang w:val="en-GB"/>
        </w:rPr>
        <w:t xml:space="preserve">, </w:t>
      </w:r>
      <w:r w:rsidR="00291611" w:rsidRPr="00152D67">
        <w:rPr>
          <w:lang w:val="en-GB"/>
        </w:rPr>
        <w:t xml:space="preserve">the result </w:t>
      </w:r>
      <w:r w:rsidR="002D75F5" w:rsidRPr="00152D67">
        <w:rPr>
          <w:lang w:val="en-GB"/>
        </w:rPr>
        <w:t>part</w:t>
      </w:r>
      <w:r w:rsidR="00291611" w:rsidRPr="00152D67">
        <w:rPr>
          <w:lang w:val="en-GB"/>
        </w:rPr>
        <w:t>ly reflects that many objectives were scoped out of the analysis</w:t>
      </w:r>
      <w:r w:rsidR="002D75F5" w:rsidRPr="00152D67">
        <w:rPr>
          <w:lang w:val="en-GB"/>
        </w:rPr>
        <w:t xml:space="preserve"> altogether</w:t>
      </w:r>
      <w:r w:rsidR="00291611" w:rsidRPr="00152D67">
        <w:rPr>
          <w:lang w:val="en-GB"/>
        </w:rPr>
        <w:t>, for the reasons explained in the footnote above</w:t>
      </w:r>
      <w:r w:rsidR="003803B0" w:rsidRPr="00152D67">
        <w:rPr>
          <w:lang w:val="en-GB"/>
        </w:rPr>
        <w:t>)</w:t>
      </w:r>
      <w:r w:rsidR="00291611" w:rsidRPr="00152D67">
        <w:rPr>
          <w:lang w:val="en-GB"/>
        </w:rPr>
        <w:t>.</w:t>
      </w:r>
      <w:r w:rsidR="007D08D3" w:rsidRPr="00152D67">
        <w:rPr>
          <w:lang w:val="en-GB"/>
        </w:rPr>
        <w:t xml:space="preserve"> </w:t>
      </w:r>
      <w:r w:rsidR="002D75F5" w:rsidRPr="00152D67">
        <w:rPr>
          <w:lang w:val="en-GB"/>
        </w:rPr>
        <w:t xml:space="preserve">In contrast to the MIPs for Zambia and Mongolia, </w:t>
      </w:r>
      <w:r w:rsidR="00277B29" w:rsidRPr="00152D67">
        <w:rPr>
          <w:lang w:val="en-GB"/>
        </w:rPr>
        <w:t xml:space="preserve">MIPs that made </w:t>
      </w:r>
      <w:r w:rsidR="00AE41AE" w:rsidRPr="00152D67">
        <w:rPr>
          <w:lang w:val="en-GB"/>
        </w:rPr>
        <w:t xml:space="preserve">only </w:t>
      </w:r>
      <w:r w:rsidR="00277B29" w:rsidRPr="00152D67">
        <w:rPr>
          <w:lang w:val="en-GB"/>
        </w:rPr>
        <w:t xml:space="preserve">general statements about the intention to mainstream disability </w:t>
      </w:r>
      <w:r w:rsidR="005A437B" w:rsidRPr="00152D67">
        <w:rPr>
          <w:lang w:val="en-GB"/>
        </w:rPr>
        <w:t xml:space="preserve">throughout </w:t>
      </w:r>
      <w:r w:rsidR="00AE41AE" w:rsidRPr="00152D67">
        <w:rPr>
          <w:lang w:val="en-GB"/>
        </w:rPr>
        <w:t>their priorities</w:t>
      </w:r>
      <w:r w:rsidR="005A437B" w:rsidRPr="00152D67">
        <w:rPr>
          <w:lang w:val="en-GB"/>
        </w:rPr>
        <w:t xml:space="preserve"> (without linking this explicitly to objectives)</w:t>
      </w:r>
      <w:r w:rsidR="00AE41AE" w:rsidRPr="00152D67">
        <w:rPr>
          <w:lang w:val="en-GB"/>
        </w:rPr>
        <w:t xml:space="preserve">, or the intention </w:t>
      </w:r>
      <w:r w:rsidR="00277B29" w:rsidRPr="00152D67">
        <w:rPr>
          <w:lang w:val="en-GB"/>
        </w:rPr>
        <w:t>to gather disability-disaggregated data across all objectives « where possible »</w:t>
      </w:r>
      <w:r w:rsidR="002D75F5" w:rsidRPr="00152D67">
        <w:rPr>
          <w:lang w:val="en-GB"/>
        </w:rPr>
        <w:t xml:space="preserve">, </w:t>
      </w:r>
      <w:r w:rsidR="00277B29" w:rsidRPr="00152D67">
        <w:rPr>
          <w:lang w:val="en-GB"/>
        </w:rPr>
        <w:t>were not counted, as this was not considered specific enough to give assurance that disability inclusion</w:t>
      </w:r>
      <w:r w:rsidR="002D75F5" w:rsidRPr="00152D67">
        <w:rPr>
          <w:lang w:val="en-GB"/>
        </w:rPr>
        <w:t xml:space="preserve"> </w:t>
      </w:r>
      <w:r w:rsidR="00277B29" w:rsidRPr="00152D67">
        <w:rPr>
          <w:lang w:val="en-GB"/>
        </w:rPr>
        <w:t xml:space="preserve">would be </w:t>
      </w:r>
      <w:proofErr w:type="gramStart"/>
      <w:r w:rsidR="00277B29" w:rsidRPr="00152D67">
        <w:rPr>
          <w:lang w:val="en-GB"/>
        </w:rPr>
        <w:t>taken into account</w:t>
      </w:r>
      <w:proofErr w:type="gramEnd"/>
      <w:r w:rsidR="00277B29" w:rsidRPr="00152D67">
        <w:rPr>
          <w:lang w:val="en-GB"/>
        </w:rPr>
        <w:t xml:space="preserve"> consistently. </w:t>
      </w:r>
    </w:p>
  </w:footnote>
  <w:footnote w:id="32">
    <w:p w14:paraId="0BA43176" w14:textId="6CD9EFF2" w:rsidR="00B8161C" w:rsidRPr="00B53638" w:rsidRDefault="00B8161C">
      <w:pPr>
        <w:pStyle w:val="FootnoteText"/>
        <w:rPr>
          <w:lang w:val="en-GB"/>
        </w:rPr>
      </w:pPr>
      <w:r>
        <w:rPr>
          <w:rStyle w:val="FootnoteReference"/>
        </w:rPr>
        <w:footnoteRef/>
      </w:r>
      <w:r w:rsidRPr="00152D67">
        <w:rPr>
          <w:lang w:val="en-GB"/>
        </w:rPr>
        <w:t xml:space="preserve"> </w:t>
      </w:r>
      <w:r>
        <w:rPr>
          <w:lang w:val="en-GB"/>
        </w:rPr>
        <w:t xml:space="preserve">Source: author’s analysis of OECD-DAC </w:t>
      </w:r>
      <w:hyperlink r:id="rId27" w:history="1">
        <w:r w:rsidRPr="003628C0">
          <w:rPr>
            <w:rStyle w:val="Hyperlink"/>
            <w:lang w:val="en-GB"/>
          </w:rPr>
          <w:t>Creditor Reporting System</w:t>
        </w:r>
      </w:hyperlink>
      <w:r>
        <w:rPr>
          <w:lang w:val="en-GB"/>
        </w:rPr>
        <w:t xml:space="preserve"> data downloaded in June 2023.</w:t>
      </w:r>
      <w:r w:rsidR="003628C0">
        <w:rPr>
          <w:lang w:val="en-GB"/>
        </w:rPr>
        <w:t xml:space="preserve"> Analysis uses data in </w:t>
      </w:r>
      <w:r w:rsidR="00FE16DC">
        <w:rPr>
          <w:lang w:val="en-GB"/>
        </w:rPr>
        <w:t xml:space="preserve">constant </w:t>
      </w:r>
      <w:r w:rsidR="003628C0">
        <w:rPr>
          <w:lang w:val="en-GB"/>
        </w:rPr>
        <w:t xml:space="preserve">2021 prices, on a </w:t>
      </w:r>
      <w:proofErr w:type="gramStart"/>
      <w:r w:rsidR="003628C0">
        <w:rPr>
          <w:lang w:val="en-GB"/>
        </w:rPr>
        <w:t>commitments</w:t>
      </w:r>
      <w:proofErr w:type="gramEnd"/>
      <w:r w:rsidR="003628C0">
        <w:rPr>
          <w:lang w:val="en-GB"/>
        </w:rPr>
        <w:t xml:space="preserve"> basis. Core contributions to multilateral organisations were excluded from the analysis due to a lack of data; administrative costs were also excluded due to lower relevance. Commitments ‘outside the humanitarian sector’ were identified by filtering the ‘Sector2’ field in the database </w:t>
      </w:r>
      <w:proofErr w:type="gramStart"/>
      <w:r w:rsidR="003628C0">
        <w:rPr>
          <w:lang w:val="en-GB"/>
        </w:rPr>
        <w:t>so as to</w:t>
      </w:r>
      <w:proofErr w:type="gramEnd"/>
      <w:r w:rsidR="003628C0">
        <w:rPr>
          <w:lang w:val="en-GB"/>
        </w:rPr>
        <w:t xml:space="preserve"> remove ‘emergency response’, ‘reconstruction relief &amp; rehabilitation’, and ‘disaster prevention and preparedness’.</w:t>
      </w:r>
      <w:r w:rsidR="00B53638">
        <w:rPr>
          <w:lang w:val="en-GB"/>
        </w:rPr>
        <w:t xml:space="preserve"> The results of the analysis are presented in terms of the </w:t>
      </w:r>
      <w:r w:rsidR="00B53638">
        <w:rPr>
          <w:b/>
          <w:bCs/>
          <w:lang w:val="en-GB"/>
        </w:rPr>
        <w:t xml:space="preserve">value </w:t>
      </w:r>
      <w:r w:rsidR="00B53638">
        <w:rPr>
          <w:lang w:val="en-GB"/>
        </w:rPr>
        <w:t xml:space="preserve">of spending, as opposed to the </w:t>
      </w:r>
      <w:r w:rsidR="00B53638">
        <w:rPr>
          <w:b/>
          <w:bCs/>
          <w:lang w:val="en-GB"/>
        </w:rPr>
        <w:t xml:space="preserve">number </w:t>
      </w:r>
      <w:r w:rsidR="00B53638">
        <w:rPr>
          <w:lang w:val="en-GB"/>
        </w:rPr>
        <w:t>of commitments.</w:t>
      </w:r>
    </w:p>
  </w:footnote>
  <w:footnote w:id="33">
    <w:p w14:paraId="74DC5257" w14:textId="3AAB4DCD" w:rsidR="005E4982" w:rsidRPr="005E4982" w:rsidRDefault="005E4982">
      <w:pPr>
        <w:pStyle w:val="FootnoteText"/>
        <w:rPr>
          <w:lang w:val="en-GB"/>
        </w:rPr>
      </w:pPr>
      <w:r>
        <w:rPr>
          <w:rStyle w:val="FootnoteReference"/>
        </w:rPr>
        <w:footnoteRef/>
      </w:r>
      <w:r w:rsidRPr="00152D67">
        <w:rPr>
          <w:lang w:val="en-GB"/>
        </w:rPr>
        <w:t xml:space="preserve"> </w:t>
      </w:r>
      <w:r>
        <w:rPr>
          <w:lang w:val="en-GB"/>
        </w:rPr>
        <w:t>Source: as above.</w:t>
      </w:r>
      <w:r w:rsidR="00EC6570">
        <w:rPr>
          <w:lang w:val="en-GB"/>
        </w:rPr>
        <w:t xml:space="preserve"> </w:t>
      </w:r>
    </w:p>
  </w:footnote>
  <w:footnote w:id="34">
    <w:p w14:paraId="3AC441C6" w14:textId="1B0462F5" w:rsidR="00AF4840" w:rsidRPr="00AF4840" w:rsidRDefault="00AF4840">
      <w:pPr>
        <w:pStyle w:val="FootnoteText"/>
        <w:rPr>
          <w:lang w:val="en-GB"/>
        </w:rPr>
      </w:pPr>
      <w:r>
        <w:rPr>
          <w:rStyle w:val="FootnoteReference"/>
        </w:rPr>
        <w:footnoteRef/>
      </w:r>
      <w:r w:rsidRPr="00152D67">
        <w:rPr>
          <w:lang w:val="en-GB"/>
        </w:rPr>
        <w:t xml:space="preserve"> </w:t>
      </w:r>
      <w:hyperlink r:id="rId28" w:history="1">
        <w:r w:rsidRPr="0053188F">
          <w:rPr>
            <w:rStyle w:val="Hyperlink"/>
            <w:lang w:val="en-GB"/>
          </w:rPr>
          <w:t>UN CRPD</w:t>
        </w:r>
      </w:hyperlink>
      <w:r>
        <w:rPr>
          <w:lang w:val="en-GB"/>
        </w:rPr>
        <w:t>, Article 32</w:t>
      </w:r>
    </w:p>
  </w:footnote>
  <w:footnote w:id="35">
    <w:p w14:paraId="4C859C0B" w14:textId="65E4CE04" w:rsidR="00746EAC" w:rsidRPr="00746EAC" w:rsidRDefault="00746EAC">
      <w:pPr>
        <w:pStyle w:val="FootnoteText"/>
        <w:rPr>
          <w:lang w:val="en-GB"/>
        </w:rPr>
      </w:pPr>
      <w:r>
        <w:rPr>
          <w:rStyle w:val="FootnoteReference"/>
        </w:rPr>
        <w:footnoteRef/>
      </w:r>
      <w:r w:rsidRPr="00152D67">
        <w:rPr>
          <w:lang w:val="en-GB"/>
        </w:rPr>
        <w:t xml:space="preserve"> </w:t>
      </w:r>
      <w:r>
        <w:rPr>
          <w:lang w:val="en-GB"/>
        </w:rPr>
        <w:t xml:space="preserve">Grabowski and </w:t>
      </w:r>
      <w:proofErr w:type="spellStart"/>
      <w:r>
        <w:rPr>
          <w:lang w:val="en-GB"/>
        </w:rPr>
        <w:t>Essick</w:t>
      </w:r>
      <w:proofErr w:type="spellEnd"/>
      <w:r>
        <w:rPr>
          <w:lang w:val="en-GB"/>
        </w:rPr>
        <w:t xml:space="preserve">/Oxfam, 2020, </w:t>
      </w:r>
      <w:hyperlink r:id="rId29" w:history="1">
        <w:r>
          <w:rPr>
            <w:rStyle w:val="Hyperlink"/>
            <w:lang w:val="en-GB"/>
          </w:rPr>
          <w:t>Are they really gender equality projects? An examination of donors’ gender-mainstreamed and gender equality-focused projects to assess the quality of gender-marked projects</w:t>
        </w:r>
      </w:hyperlink>
    </w:p>
  </w:footnote>
  <w:footnote w:id="36">
    <w:p w14:paraId="457AEC51" w14:textId="23C15A47" w:rsidR="005E53F4" w:rsidRPr="005E53F4" w:rsidRDefault="005E53F4">
      <w:pPr>
        <w:pStyle w:val="FootnoteText"/>
        <w:rPr>
          <w:lang w:val="en-GB"/>
        </w:rPr>
      </w:pPr>
      <w:r>
        <w:rPr>
          <w:rStyle w:val="FootnoteReference"/>
        </w:rPr>
        <w:footnoteRef/>
      </w:r>
      <w:r w:rsidRPr="00152D67">
        <w:rPr>
          <w:lang w:val="en-GB"/>
        </w:rPr>
        <w:t xml:space="preserve"> </w:t>
      </w:r>
      <w:r>
        <w:rPr>
          <w:lang w:val="en-GB"/>
        </w:rPr>
        <w:t xml:space="preserve">An attempt to do such research, and some of the problems encountered, is documented in a forthcoming report by CBM Global and allies (see the chapter led by the European Network on Independent Living) </w:t>
      </w:r>
    </w:p>
  </w:footnote>
  <w:footnote w:id="37">
    <w:p w14:paraId="7DABB6AF" w14:textId="2385AF3C" w:rsidR="003A13E2" w:rsidRPr="003A13E2" w:rsidRDefault="003A13E2">
      <w:pPr>
        <w:pStyle w:val="FootnoteText"/>
        <w:rPr>
          <w:lang w:val="en-GB"/>
        </w:rPr>
      </w:pPr>
      <w:r>
        <w:rPr>
          <w:rStyle w:val="FootnoteReference"/>
        </w:rPr>
        <w:footnoteRef/>
      </w:r>
      <w:r w:rsidRPr="00152D67">
        <w:rPr>
          <w:lang w:val="en-GB"/>
        </w:rPr>
        <w:t xml:space="preserve"> </w:t>
      </w:r>
      <w:r>
        <w:rPr>
          <w:lang w:val="en-GB"/>
        </w:rPr>
        <w:t>The database has three descriptive fields where OECD-DAC members can enter free text to describe their projects: “project title”; “short description”; and “long description”.</w:t>
      </w:r>
    </w:p>
  </w:footnote>
  <w:footnote w:id="38">
    <w:p w14:paraId="62FD909F" w14:textId="2F9598A3" w:rsidR="00CB189A" w:rsidRPr="0053188F" w:rsidRDefault="0053188F">
      <w:pPr>
        <w:pStyle w:val="FootnoteText"/>
        <w:rPr>
          <w:lang w:val="en-GB"/>
        </w:rPr>
      </w:pPr>
      <w:r>
        <w:rPr>
          <w:rStyle w:val="FootnoteReference"/>
        </w:rPr>
        <w:footnoteRef/>
      </w:r>
      <w:r w:rsidRPr="00152D67">
        <w:rPr>
          <w:lang w:val="en-GB"/>
        </w:rPr>
        <w:t xml:space="preserve"> </w:t>
      </w:r>
      <w:r>
        <w:rPr>
          <w:lang w:val="en-GB"/>
        </w:rPr>
        <w:t xml:space="preserve">OECD-DAC, </w:t>
      </w:r>
      <w:r w:rsidR="00CB189A">
        <w:rPr>
          <w:lang w:val="en-GB"/>
        </w:rPr>
        <w:t xml:space="preserve">2020, </w:t>
      </w:r>
      <w:hyperlink r:id="rId30" w:history="1">
        <w:r w:rsidR="00CB189A" w:rsidRPr="00152D67">
          <w:rPr>
            <w:rStyle w:val="Hyperlink"/>
            <w:lang w:val="en-GB"/>
          </w:rPr>
          <w:t>The OECD-DAC policy marker on the inclusion and empowerment of persons with disabilities Handbook for data reporters and users</w:t>
        </w:r>
      </w:hyperlink>
      <w:r w:rsidR="00CB189A" w:rsidRPr="00152D67">
        <w:rPr>
          <w:lang w:val="en-GB"/>
        </w:rPr>
        <w:t>, DCD/DAC/STAT(2020)48, p.15</w:t>
      </w:r>
    </w:p>
  </w:footnote>
  <w:footnote w:id="39">
    <w:p w14:paraId="203A0EB5" w14:textId="3721E31B" w:rsidR="00097BB2" w:rsidRPr="00097BB2" w:rsidRDefault="00097BB2">
      <w:pPr>
        <w:pStyle w:val="FootnoteText"/>
        <w:rPr>
          <w:lang w:val="en-GB"/>
        </w:rPr>
      </w:pPr>
      <w:r>
        <w:rPr>
          <w:rStyle w:val="FootnoteReference"/>
        </w:rPr>
        <w:footnoteRef/>
      </w:r>
      <w:r w:rsidRPr="00152D67">
        <w:rPr>
          <w:lang w:val="en-GB"/>
        </w:rPr>
        <w:t xml:space="preserve"> </w:t>
      </w:r>
      <w:r>
        <w:rPr>
          <w:lang w:val="en-GB"/>
        </w:rPr>
        <w:t>Projects were identified through review of OECD-DAC Creditor Reporting System data downloaded using the approach described above.</w:t>
      </w:r>
    </w:p>
  </w:footnote>
  <w:footnote w:id="40">
    <w:p w14:paraId="385983C2" w14:textId="77777777" w:rsidR="005E1663" w:rsidRPr="008D73C8" w:rsidRDefault="005E1663" w:rsidP="005E1663">
      <w:pPr>
        <w:pStyle w:val="FootnoteText"/>
        <w:rPr>
          <w:lang w:val="en-GB"/>
        </w:rPr>
      </w:pPr>
      <w:r>
        <w:rPr>
          <w:rStyle w:val="FootnoteReference"/>
        </w:rPr>
        <w:footnoteRef/>
      </w:r>
      <w:r w:rsidRPr="00152D67">
        <w:rPr>
          <w:lang w:val="en-GB"/>
        </w:rPr>
        <w:t xml:space="preserve"> The projects all relate to a single programme in Lebanon - « EU programme in support of Primary Health care access and immunization for vulnerable population in Lebanon ». The project description mentions initiatives relating to mental health, but further information would be needed to understand how far these were designed to contribute to the inclusion of persons with psychosocial disabilities.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2985" w14:textId="6383FF34" w:rsidR="00982EF4" w:rsidRDefault="00982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1E39" w14:textId="59E25EBB" w:rsidR="00982EF4" w:rsidRDefault="00982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8CBD" w14:textId="572C8F58" w:rsidR="00982EF4" w:rsidRDefault="00982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E5F"/>
    <w:multiLevelType w:val="hybridMultilevel"/>
    <w:tmpl w:val="C68EE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80239"/>
    <w:multiLevelType w:val="hybridMultilevel"/>
    <w:tmpl w:val="232E2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083A9F"/>
    <w:multiLevelType w:val="hybridMultilevel"/>
    <w:tmpl w:val="5EDED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B921CE"/>
    <w:multiLevelType w:val="hybridMultilevel"/>
    <w:tmpl w:val="4B0A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65387"/>
    <w:multiLevelType w:val="hybridMultilevel"/>
    <w:tmpl w:val="7810A1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FC3B16"/>
    <w:multiLevelType w:val="hybridMultilevel"/>
    <w:tmpl w:val="DA32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D045C"/>
    <w:multiLevelType w:val="hybridMultilevel"/>
    <w:tmpl w:val="3FF03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B55C03"/>
    <w:multiLevelType w:val="multilevel"/>
    <w:tmpl w:val="59CA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B56FC3"/>
    <w:multiLevelType w:val="hybridMultilevel"/>
    <w:tmpl w:val="656AECB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B996A68"/>
    <w:multiLevelType w:val="hybridMultilevel"/>
    <w:tmpl w:val="4C048A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DD6198"/>
    <w:multiLevelType w:val="hybridMultilevel"/>
    <w:tmpl w:val="23668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555027"/>
    <w:multiLevelType w:val="hybridMultilevel"/>
    <w:tmpl w:val="FAC60870"/>
    <w:lvl w:ilvl="0" w:tplc="33BC0E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83D28C3"/>
    <w:multiLevelType w:val="hybridMultilevel"/>
    <w:tmpl w:val="1568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B31F6"/>
    <w:multiLevelType w:val="hybridMultilevel"/>
    <w:tmpl w:val="B28890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FF2E06"/>
    <w:multiLevelType w:val="hybridMultilevel"/>
    <w:tmpl w:val="CC2C28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611F3E"/>
    <w:multiLevelType w:val="hybridMultilevel"/>
    <w:tmpl w:val="A4280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5014">
    <w:abstractNumId w:val="0"/>
  </w:num>
  <w:num w:numId="2" w16cid:durableId="1302882724">
    <w:abstractNumId w:val="4"/>
  </w:num>
  <w:num w:numId="3" w16cid:durableId="160896898">
    <w:abstractNumId w:val="14"/>
  </w:num>
  <w:num w:numId="4" w16cid:durableId="1995913788">
    <w:abstractNumId w:val="9"/>
  </w:num>
  <w:num w:numId="5" w16cid:durableId="2040230101">
    <w:abstractNumId w:val="15"/>
  </w:num>
  <w:num w:numId="6" w16cid:durableId="1485506897">
    <w:abstractNumId w:val="6"/>
  </w:num>
  <w:num w:numId="7" w16cid:durableId="268393862">
    <w:abstractNumId w:val="11"/>
  </w:num>
  <w:num w:numId="8" w16cid:durableId="275719539">
    <w:abstractNumId w:val="13"/>
  </w:num>
  <w:num w:numId="9" w16cid:durableId="2033216113">
    <w:abstractNumId w:val="7"/>
  </w:num>
  <w:num w:numId="10" w16cid:durableId="1187982539">
    <w:abstractNumId w:val="3"/>
  </w:num>
  <w:num w:numId="11" w16cid:durableId="372270604">
    <w:abstractNumId w:val="8"/>
  </w:num>
  <w:num w:numId="12" w16cid:durableId="1799567440">
    <w:abstractNumId w:val="2"/>
  </w:num>
  <w:num w:numId="13" w16cid:durableId="344946182">
    <w:abstractNumId w:val="5"/>
  </w:num>
  <w:num w:numId="14" w16cid:durableId="277763770">
    <w:abstractNumId w:val="12"/>
  </w:num>
  <w:num w:numId="15" w16cid:durableId="613169318">
    <w:abstractNumId w:val="1"/>
  </w:num>
  <w:num w:numId="16" w16cid:durableId="1106000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87"/>
    <w:rsid w:val="00003D09"/>
    <w:rsid w:val="00013AA0"/>
    <w:rsid w:val="0001606C"/>
    <w:rsid w:val="00022927"/>
    <w:rsid w:val="000244D9"/>
    <w:rsid w:val="000244DE"/>
    <w:rsid w:val="00026414"/>
    <w:rsid w:val="000317FB"/>
    <w:rsid w:val="000407D2"/>
    <w:rsid w:val="00043B5E"/>
    <w:rsid w:val="00043FA6"/>
    <w:rsid w:val="000619C3"/>
    <w:rsid w:val="00084068"/>
    <w:rsid w:val="00086558"/>
    <w:rsid w:val="000945B5"/>
    <w:rsid w:val="00095CA7"/>
    <w:rsid w:val="00097BB2"/>
    <w:rsid w:val="000A05F6"/>
    <w:rsid w:val="000A3086"/>
    <w:rsid w:val="000A349A"/>
    <w:rsid w:val="000A3FB1"/>
    <w:rsid w:val="000A4D00"/>
    <w:rsid w:val="000A5939"/>
    <w:rsid w:val="000A6B46"/>
    <w:rsid w:val="000B0ED6"/>
    <w:rsid w:val="000B691E"/>
    <w:rsid w:val="000C1A6B"/>
    <w:rsid w:val="000D41F5"/>
    <w:rsid w:val="000E1A30"/>
    <w:rsid w:val="000E49BA"/>
    <w:rsid w:val="000E5167"/>
    <w:rsid w:val="000E6404"/>
    <w:rsid w:val="000F02FD"/>
    <w:rsid w:val="000F48CC"/>
    <w:rsid w:val="000F5D4E"/>
    <w:rsid w:val="00101F3A"/>
    <w:rsid w:val="001040A1"/>
    <w:rsid w:val="00111223"/>
    <w:rsid w:val="0012578C"/>
    <w:rsid w:val="00135784"/>
    <w:rsid w:val="00147B01"/>
    <w:rsid w:val="00152D67"/>
    <w:rsid w:val="00152DFE"/>
    <w:rsid w:val="001577DD"/>
    <w:rsid w:val="00176BC7"/>
    <w:rsid w:val="00190290"/>
    <w:rsid w:val="0019700F"/>
    <w:rsid w:val="00197841"/>
    <w:rsid w:val="001A22F7"/>
    <w:rsid w:val="001A2D63"/>
    <w:rsid w:val="001B4F59"/>
    <w:rsid w:val="001B7F56"/>
    <w:rsid w:val="001C75B9"/>
    <w:rsid w:val="001D2564"/>
    <w:rsid w:val="001E7187"/>
    <w:rsid w:val="0021098B"/>
    <w:rsid w:val="00211388"/>
    <w:rsid w:val="00213541"/>
    <w:rsid w:val="00214B01"/>
    <w:rsid w:val="002200D6"/>
    <w:rsid w:val="00224C1B"/>
    <w:rsid w:val="0022748B"/>
    <w:rsid w:val="00232F98"/>
    <w:rsid w:val="0023604A"/>
    <w:rsid w:val="0026242A"/>
    <w:rsid w:val="00265437"/>
    <w:rsid w:val="00266564"/>
    <w:rsid w:val="0026700C"/>
    <w:rsid w:val="00272096"/>
    <w:rsid w:val="00273E41"/>
    <w:rsid w:val="00274A16"/>
    <w:rsid w:val="00275A65"/>
    <w:rsid w:val="00277B29"/>
    <w:rsid w:val="00282699"/>
    <w:rsid w:val="00286E56"/>
    <w:rsid w:val="00291611"/>
    <w:rsid w:val="00291B91"/>
    <w:rsid w:val="002939E2"/>
    <w:rsid w:val="002979AC"/>
    <w:rsid w:val="002A0E1B"/>
    <w:rsid w:val="002A14B5"/>
    <w:rsid w:val="002A24F8"/>
    <w:rsid w:val="002A3094"/>
    <w:rsid w:val="002A76C1"/>
    <w:rsid w:val="002B1E8C"/>
    <w:rsid w:val="002C7BCF"/>
    <w:rsid w:val="002D733C"/>
    <w:rsid w:val="002D75F5"/>
    <w:rsid w:val="002D7A45"/>
    <w:rsid w:val="002D7D1A"/>
    <w:rsid w:val="002E329E"/>
    <w:rsid w:val="002E6C27"/>
    <w:rsid w:val="002E7292"/>
    <w:rsid w:val="002F51EB"/>
    <w:rsid w:val="002F6037"/>
    <w:rsid w:val="002F6DCC"/>
    <w:rsid w:val="00301EBF"/>
    <w:rsid w:val="00303C4C"/>
    <w:rsid w:val="00305845"/>
    <w:rsid w:val="00316E08"/>
    <w:rsid w:val="00323306"/>
    <w:rsid w:val="0032725C"/>
    <w:rsid w:val="003302F1"/>
    <w:rsid w:val="00335AE0"/>
    <w:rsid w:val="00337259"/>
    <w:rsid w:val="0034476D"/>
    <w:rsid w:val="003461E9"/>
    <w:rsid w:val="00346BD5"/>
    <w:rsid w:val="00347AA2"/>
    <w:rsid w:val="00362271"/>
    <w:rsid w:val="003628C0"/>
    <w:rsid w:val="003647AE"/>
    <w:rsid w:val="00364AD1"/>
    <w:rsid w:val="00371E8B"/>
    <w:rsid w:val="00372DD7"/>
    <w:rsid w:val="003803B0"/>
    <w:rsid w:val="00380DD9"/>
    <w:rsid w:val="003906BE"/>
    <w:rsid w:val="003948AB"/>
    <w:rsid w:val="003A0199"/>
    <w:rsid w:val="003A103F"/>
    <w:rsid w:val="003A13E2"/>
    <w:rsid w:val="003A5160"/>
    <w:rsid w:val="003B3EB5"/>
    <w:rsid w:val="003B4E3A"/>
    <w:rsid w:val="003B7D91"/>
    <w:rsid w:val="003D18B5"/>
    <w:rsid w:val="003D454A"/>
    <w:rsid w:val="003D65C2"/>
    <w:rsid w:val="003D79D1"/>
    <w:rsid w:val="003E2F42"/>
    <w:rsid w:val="003E6FD5"/>
    <w:rsid w:val="003E741B"/>
    <w:rsid w:val="003E7894"/>
    <w:rsid w:val="003F3A2F"/>
    <w:rsid w:val="004054E0"/>
    <w:rsid w:val="00406596"/>
    <w:rsid w:val="004105DC"/>
    <w:rsid w:val="00410F06"/>
    <w:rsid w:val="00424DB2"/>
    <w:rsid w:val="0044065D"/>
    <w:rsid w:val="004441E0"/>
    <w:rsid w:val="00444358"/>
    <w:rsid w:val="004446CB"/>
    <w:rsid w:val="0045122C"/>
    <w:rsid w:val="0045142B"/>
    <w:rsid w:val="004750E3"/>
    <w:rsid w:val="00485E71"/>
    <w:rsid w:val="00486B15"/>
    <w:rsid w:val="00492ED8"/>
    <w:rsid w:val="0049384E"/>
    <w:rsid w:val="00494E25"/>
    <w:rsid w:val="00496D75"/>
    <w:rsid w:val="004A4B47"/>
    <w:rsid w:val="004A4FB1"/>
    <w:rsid w:val="004D175E"/>
    <w:rsid w:val="004D29B2"/>
    <w:rsid w:val="004F4470"/>
    <w:rsid w:val="005014F5"/>
    <w:rsid w:val="00504068"/>
    <w:rsid w:val="005053E4"/>
    <w:rsid w:val="005063D5"/>
    <w:rsid w:val="00516335"/>
    <w:rsid w:val="005168F7"/>
    <w:rsid w:val="0053188F"/>
    <w:rsid w:val="00533DAC"/>
    <w:rsid w:val="00535638"/>
    <w:rsid w:val="005377BE"/>
    <w:rsid w:val="005459C3"/>
    <w:rsid w:val="00551AFE"/>
    <w:rsid w:val="00553DDD"/>
    <w:rsid w:val="00555C05"/>
    <w:rsid w:val="00555D21"/>
    <w:rsid w:val="0056092F"/>
    <w:rsid w:val="0056424C"/>
    <w:rsid w:val="005769E3"/>
    <w:rsid w:val="00577C78"/>
    <w:rsid w:val="00581CB1"/>
    <w:rsid w:val="00585A75"/>
    <w:rsid w:val="00587941"/>
    <w:rsid w:val="00590158"/>
    <w:rsid w:val="005921D7"/>
    <w:rsid w:val="00592647"/>
    <w:rsid w:val="00593BCA"/>
    <w:rsid w:val="00595881"/>
    <w:rsid w:val="005A437B"/>
    <w:rsid w:val="005A79B7"/>
    <w:rsid w:val="005A7C31"/>
    <w:rsid w:val="005B698B"/>
    <w:rsid w:val="005B79C8"/>
    <w:rsid w:val="005C0743"/>
    <w:rsid w:val="005C6D90"/>
    <w:rsid w:val="005D3D6E"/>
    <w:rsid w:val="005E1663"/>
    <w:rsid w:val="005E4982"/>
    <w:rsid w:val="005E53F4"/>
    <w:rsid w:val="005F7696"/>
    <w:rsid w:val="00600223"/>
    <w:rsid w:val="00603F05"/>
    <w:rsid w:val="00605B2E"/>
    <w:rsid w:val="00606A1F"/>
    <w:rsid w:val="006104B1"/>
    <w:rsid w:val="0061247F"/>
    <w:rsid w:val="00613427"/>
    <w:rsid w:val="006152D7"/>
    <w:rsid w:val="006210F0"/>
    <w:rsid w:val="00630830"/>
    <w:rsid w:val="00633DE0"/>
    <w:rsid w:val="00634B1A"/>
    <w:rsid w:val="00640CA1"/>
    <w:rsid w:val="00643D5B"/>
    <w:rsid w:val="00652673"/>
    <w:rsid w:val="00655C77"/>
    <w:rsid w:val="00655E63"/>
    <w:rsid w:val="006743FE"/>
    <w:rsid w:val="00674523"/>
    <w:rsid w:val="00684929"/>
    <w:rsid w:val="00684CF5"/>
    <w:rsid w:val="00691A73"/>
    <w:rsid w:val="00693C95"/>
    <w:rsid w:val="006947EC"/>
    <w:rsid w:val="006A55C9"/>
    <w:rsid w:val="006A58EC"/>
    <w:rsid w:val="006B5628"/>
    <w:rsid w:val="006B5DB1"/>
    <w:rsid w:val="006F0B6F"/>
    <w:rsid w:val="006F2E26"/>
    <w:rsid w:val="006F35DD"/>
    <w:rsid w:val="006F520A"/>
    <w:rsid w:val="00703AB4"/>
    <w:rsid w:val="00705306"/>
    <w:rsid w:val="0070716E"/>
    <w:rsid w:val="00710B29"/>
    <w:rsid w:val="007159B6"/>
    <w:rsid w:val="00716D86"/>
    <w:rsid w:val="00724D3F"/>
    <w:rsid w:val="007415B9"/>
    <w:rsid w:val="00746EAC"/>
    <w:rsid w:val="007544A3"/>
    <w:rsid w:val="0075499A"/>
    <w:rsid w:val="00756A32"/>
    <w:rsid w:val="00761ED5"/>
    <w:rsid w:val="00762225"/>
    <w:rsid w:val="00764E7C"/>
    <w:rsid w:val="00770C50"/>
    <w:rsid w:val="00772D0A"/>
    <w:rsid w:val="007814D7"/>
    <w:rsid w:val="00783F43"/>
    <w:rsid w:val="007A0CB8"/>
    <w:rsid w:val="007A76FE"/>
    <w:rsid w:val="007B3301"/>
    <w:rsid w:val="007C39C4"/>
    <w:rsid w:val="007C4BC2"/>
    <w:rsid w:val="007C5A15"/>
    <w:rsid w:val="007D08D3"/>
    <w:rsid w:val="007D4B17"/>
    <w:rsid w:val="007E092F"/>
    <w:rsid w:val="007E0981"/>
    <w:rsid w:val="007E2AAB"/>
    <w:rsid w:val="007E4FF9"/>
    <w:rsid w:val="00804A84"/>
    <w:rsid w:val="008051AD"/>
    <w:rsid w:val="0080530D"/>
    <w:rsid w:val="00811DE9"/>
    <w:rsid w:val="00821808"/>
    <w:rsid w:val="008227DA"/>
    <w:rsid w:val="008272ED"/>
    <w:rsid w:val="00833747"/>
    <w:rsid w:val="00852D98"/>
    <w:rsid w:val="0085604E"/>
    <w:rsid w:val="00867DDE"/>
    <w:rsid w:val="00870063"/>
    <w:rsid w:val="0087024F"/>
    <w:rsid w:val="00894D31"/>
    <w:rsid w:val="00895F38"/>
    <w:rsid w:val="008A641C"/>
    <w:rsid w:val="008B2805"/>
    <w:rsid w:val="008B31D8"/>
    <w:rsid w:val="008C40A2"/>
    <w:rsid w:val="008C7A44"/>
    <w:rsid w:val="008D119C"/>
    <w:rsid w:val="008D5139"/>
    <w:rsid w:val="008D560D"/>
    <w:rsid w:val="008D73C8"/>
    <w:rsid w:val="008E19A1"/>
    <w:rsid w:val="008E1AF3"/>
    <w:rsid w:val="008F1047"/>
    <w:rsid w:val="008F439D"/>
    <w:rsid w:val="008F5CB8"/>
    <w:rsid w:val="00900BAF"/>
    <w:rsid w:val="00902F9E"/>
    <w:rsid w:val="009055E0"/>
    <w:rsid w:val="009252A8"/>
    <w:rsid w:val="00926594"/>
    <w:rsid w:val="00930C8B"/>
    <w:rsid w:val="00933972"/>
    <w:rsid w:val="00935183"/>
    <w:rsid w:val="00940F41"/>
    <w:rsid w:val="009542FE"/>
    <w:rsid w:val="009555B3"/>
    <w:rsid w:val="0095594C"/>
    <w:rsid w:val="00963580"/>
    <w:rsid w:val="0096499C"/>
    <w:rsid w:val="00974EEA"/>
    <w:rsid w:val="00976DEC"/>
    <w:rsid w:val="00981079"/>
    <w:rsid w:val="00981086"/>
    <w:rsid w:val="00982406"/>
    <w:rsid w:val="0098288A"/>
    <w:rsid w:val="00982A39"/>
    <w:rsid w:val="00982EF4"/>
    <w:rsid w:val="00983378"/>
    <w:rsid w:val="00983EB5"/>
    <w:rsid w:val="00987D3E"/>
    <w:rsid w:val="00990FBE"/>
    <w:rsid w:val="00991F45"/>
    <w:rsid w:val="00995902"/>
    <w:rsid w:val="009A622D"/>
    <w:rsid w:val="009B2B09"/>
    <w:rsid w:val="009B4514"/>
    <w:rsid w:val="009B7646"/>
    <w:rsid w:val="009C0EEE"/>
    <w:rsid w:val="009C598D"/>
    <w:rsid w:val="009C6C4F"/>
    <w:rsid w:val="009C7D11"/>
    <w:rsid w:val="009D1D60"/>
    <w:rsid w:val="009E224E"/>
    <w:rsid w:val="009F0E4D"/>
    <w:rsid w:val="009F2687"/>
    <w:rsid w:val="009F54CC"/>
    <w:rsid w:val="00A0604C"/>
    <w:rsid w:val="00A20C76"/>
    <w:rsid w:val="00A20D57"/>
    <w:rsid w:val="00A229C5"/>
    <w:rsid w:val="00A2592B"/>
    <w:rsid w:val="00A26FC6"/>
    <w:rsid w:val="00A31083"/>
    <w:rsid w:val="00A333BB"/>
    <w:rsid w:val="00A431C2"/>
    <w:rsid w:val="00A450B3"/>
    <w:rsid w:val="00A50A8B"/>
    <w:rsid w:val="00A5138A"/>
    <w:rsid w:val="00A6190A"/>
    <w:rsid w:val="00A70F72"/>
    <w:rsid w:val="00A757DE"/>
    <w:rsid w:val="00A80083"/>
    <w:rsid w:val="00A84B7F"/>
    <w:rsid w:val="00A916A5"/>
    <w:rsid w:val="00A95DF7"/>
    <w:rsid w:val="00AA33B2"/>
    <w:rsid w:val="00AA3571"/>
    <w:rsid w:val="00AA70F6"/>
    <w:rsid w:val="00AA7581"/>
    <w:rsid w:val="00AB20E4"/>
    <w:rsid w:val="00AB2E27"/>
    <w:rsid w:val="00AB5253"/>
    <w:rsid w:val="00AB57A8"/>
    <w:rsid w:val="00AC05CD"/>
    <w:rsid w:val="00AC0DDE"/>
    <w:rsid w:val="00AC2641"/>
    <w:rsid w:val="00AC6A65"/>
    <w:rsid w:val="00AC6C1A"/>
    <w:rsid w:val="00AD0BAD"/>
    <w:rsid w:val="00AD2F03"/>
    <w:rsid w:val="00AE22DF"/>
    <w:rsid w:val="00AE41AE"/>
    <w:rsid w:val="00AF3B54"/>
    <w:rsid w:val="00AF4840"/>
    <w:rsid w:val="00AF6F5D"/>
    <w:rsid w:val="00B06FF0"/>
    <w:rsid w:val="00B1524C"/>
    <w:rsid w:val="00B178F2"/>
    <w:rsid w:val="00B270FA"/>
    <w:rsid w:val="00B3048A"/>
    <w:rsid w:val="00B32407"/>
    <w:rsid w:val="00B53638"/>
    <w:rsid w:val="00B609B4"/>
    <w:rsid w:val="00B62937"/>
    <w:rsid w:val="00B6412B"/>
    <w:rsid w:val="00B67AF4"/>
    <w:rsid w:val="00B71351"/>
    <w:rsid w:val="00B72C57"/>
    <w:rsid w:val="00B8161C"/>
    <w:rsid w:val="00B81824"/>
    <w:rsid w:val="00BA71BD"/>
    <w:rsid w:val="00BB5749"/>
    <w:rsid w:val="00BB62AE"/>
    <w:rsid w:val="00BC034D"/>
    <w:rsid w:val="00BC3D48"/>
    <w:rsid w:val="00BD22D8"/>
    <w:rsid w:val="00BE4839"/>
    <w:rsid w:val="00BE5C09"/>
    <w:rsid w:val="00BF4841"/>
    <w:rsid w:val="00C02E99"/>
    <w:rsid w:val="00C110A8"/>
    <w:rsid w:val="00C14105"/>
    <w:rsid w:val="00C26FC5"/>
    <w:rsid w:val="00C27660"/>
    <w:rsid w:val="00C379F9"/>
    <w:rsid w:val="00C45439"/>
    <w:rsid w:val="00C45A96"/>
    <w:rsid w:val="00C631DD"/>
    <w:rsid w:val="00C731D7"/>
    <w:rsid w:val="00C81780"/>
    <w:rsid w:val="00C81F81"/>
    <w:rsid w:val="00C839DC"/>
    <w:rsid w:val="00C84909"/>
    <w:rsid w:val="00C84BF2"/>
    <w:rsid w:val="00C87B69"/>
    <w:rsid w:val="00C931C4"/>
    <w:rsid w:val="00C939AF"/>
    <w:rsid w:val="00CA4443"/>
    <w:rsid w:val="00CA65A2"/>
    <w:rsid w:val="00CB189A"/>
    <w:rsid w:val="00CB2093"/>
    <w:rsid w:val="00CB502A"/>
    <w:rsid w:val="00CB70A9"/>
    <w:rsid w:val="00CC0326"/>
    <w:rsid w:val="00CD0206"/>
    <w:rsid w:val="00CD4E1A"/>
    <w:rsid w:val="00CE2717"/>
    <w:rsid w:val="00CF0113"/>
    <w:rsid w:val="00CF1A4F"/>
    <w:rsid w:val="00CF345A"/>
    <w:rsid w:val="00D020F1"/>
    <w:rsid w:val="00D021F1"/>
    <w:rsid w:val="00D04E20"/>
    <w:rsid w:val="00D13225"/>
    <w:rsid w:val="00D153FC"/>
    <w:rsid w:val="00D263DC"/>
    <w:rsid w:val="00D302E6"/>
    <w:rsid w:val="00D3560E"/>
    <w:rsid w:val="00D41F65"/>
    <w:rsid w:val="00D51542"/>
    <w:rsid w:val="00D5207A"/>
    <w:rsid w:val="00D531B3"/>
    <w:rsid w:val="00D55617"/>
    <w:rsid w:val="00D55852"/>
    <w:rsid w:val="00D57ED7"/>
    <w:rsid w:val="00D651F5"/>
    <w:rsid w:val="00D66E99"/>
    <w:rsid w:val="00D67525"/>
    <w:rsid w:val="00D70028"/>
    <w:rsid w:val="00D70492"/>
    <w:rsid w:val="00D71839"/>
    <w:rsid w:val="00D76AAB"/>
    <w:rsid w:val="00D80AFE"/>
    <w:rsid w:val="00D850A3"/>
    <w:rsid w:val="00D85324"/>
    <w:rsid w:val="00D9227C"/>
    <w:rsid w:val="00D92D2E"/>
    <w:rsid w:val="00DA059A"/>
    <w:rsid w:val="00DB1766"/>
    <w:rsid w:val="00DB2720"/>
    <w:rsid w:val="00DB5ECB"/>
    <w:rsid w:val="00DB6E70"/>
    <w:rsid w:val="00DC2C49"/>
    <w:rsid w:val="00DC3969"/>
    <w:rsid w:val="00DC702F"/>
    <w:rsid w:val="00DD0051"/>
    <w:rsid w:val="00DD0915"/>
    <w:rsid w:val="00DE190B"/>
    <w:rsid w:val="00DF497D"/>
    <w:rsid w:val="00DF4B9B"/>
    <w:rsid w:val="00E0047B"/>
    <w:rsid w:val="00E02967"/>
    <w:rsid w:val="00E02E0B"/>
    <w:rsid w:val="00E12590"/>
    <w:rsid w:val="00E13B70"/>
    <w:rsid w:val="00E228D5"/>
    <w:rsid w:val="00E3266C"/>
    <w:rsid w:val="00E34A72"/>
    <w:rsid w:val="00E413ED"/>
    <w:rsid w:val="00E41A65"/>
    <w:rsid w:val="00E44A8A"/>
    <w:rsid w:val="00E479DD"/>
    <w:rsid w:val="00E51390"/>
    <w:rsid w:val="00E51DED"/>
    <w:rsid w:val="00E53207"/>
    <w:rsid w:val="00E54815"/>
    <w:rsid w:val="00E62697"/>
    <w:rsid w:val="00E62782"/>
    <w:rsid w:val="00E66424"/>
    <w:rsid w:val="00E671B3"/>
    <w:rsid w:val="00E71A78"/>
    <w:rsid w:val="00E80A9F"/>
    <w:rsid w:val="00E94205"/>
    <w:rsid w:val="00E954DC"/>
    <w:rsid w:val="00EB03CE"/>
    <w:rsid w:val="00EB1D24"/>
    <w:rsid w:val="00EB226D"/>
    <w:rsid w:val="00EB33C7"/>
    <w:rsid w:val="00EB6287"/>
    <w:rsid w:val="00EC3944"/>
    <w:rsid w:val="00EC4754"/>
    <w:rsid w:val="00EC6570"/>
    <w:rsid w:val="00ED1C2E"/>
    <w:rsid w:val="00ED6223"/>
    <w:rsid w:val="00EE59D9"/>
    <w:rsid w:val="00EE5A67"/>
    <w:rsid w:val="00EF2D06"/>
    <w:rsid w:val="00EF7368"/>
    <w:rsid w:val="00F114F0"/>
    <w:rsid w:val="00F22042"/>
    <w:rsid w:val="00F25079"/>
    <w:rsid w:val="00F31C5C"/>
    <w:rsid w:val="00F408E8"/>
    <w:rsid w:val="00F4450F"/>
    <w:rsid w:val="00F51695"/>
    <w:rsid w:val="00F520B5"/>
    <w:rsid w:val="00F53EF5"/>
    <w:rsid w:val="00F54013"/>
    <w:rsid w:val="00F54A40"/>
    <w:rsid w:val="00F607C5"/>
    <w:rsid w:val="00F62121"/>
    <w:rsid w:val="00F72ADF"/>
    <w:rsid w:val="00F74861"/>
    <w:rsid w:val="00F81A93"/>
    <w:rsid w:val="00F8421C"/>
    <w:rsid w:val="00F8507C"/>
    <w:rsid w:val="00F93122"/>
    <w:rsid w:val="00F9422E"/>
    <w:rsid w:val="00F9630F"/>
    <w:rsid w:val="00FA7993"/>
    <w:rsid w:val="00FB0692"/>
    <w:rsid w:val="00FB07E2"/>
    <w:rsid w:val="00FC1131"/>
    <w:rsid w:val="00FC53E6"/>
    <w:rsid w:val="00FD132F"/>
    <w:rsid w:val="00FD1908"/>
    <w:rsid w:val="00FD534C"/>
    <w:rsid w:val="00FE16DC"/>
    <w:rsid w:val="00FF1150"/>
    <w:rsid w:val="00FF41E9"/>
    <w:rsid w:val="00FF5C0B"/>
    <w:rsid w:val="0F43189F"/>
    <w:rsid w:val="134B6AE0"/>
    <w:rsid w:val="16C6D3A1"/>
    <w:rsid w:val="2AAB6AC4"/>
    <w:rsid w:val="41A9E7C0"/>
    <w:rsid w:val="79836F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19C6E"/>
  <w15:chartTrackingRefBased/>
  <w15:docId w15:val="{4FDD137D-8F5C-4536-8BED-91526333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9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56424C"/>
    <w:pPr>
      <w:keepNext/>
      <w:keepLines/>
      <w:spacing w:before="40" w:after="0"/>
      <w:ind w:left="360" w:hanging="360"/>
      <w:outlineLvl w:val="1"/>
    </w:pPr>
    <w:rPr>
      <w:rFonts w:asciiTheme="majorHAnsi" w:eastAsiaTheme="majorEastAsia" w:hAnsiTheme="majorHAnsi" w:cstheme="majorBidi"/>
      <w:color w:val="4472C4" w:themeColor="accent1"/>
      <w:sz w:val="28"/>
      <w:szCs w:val="26"/>
    </w:rPr>
  </w:style>
  <w:style w:type="paragraph" w:styleId="Heading3">
    <w:name w:val="heading 3"/>
    <w:basedOn w:val="Normal"/>
    <w:next w:val="Normal"/>
    <w:link w:val="Heading3Char"/>
    <w:uiPriority w:val="9"/>
    <w:unhideWhenUsed/>
    <w:qFormat/>
    <w:rsid w:val="004065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424C"/>
    <w:rPr>
      <w:rFonts w:asciiTheme="majorHAnsi" w:eastAsiaTheme="majorEastAsia" w:hAnsiTheme="majorHAnsi" w:cstheme="majorBidi"/>
      <w:color w:val="4472C4" w:themeColor="accent1"/>
      <w:sz w:val="28"/>
      <w:szCs w:val="26"/>
    </w:rPr>
  </w:style>
  <w:style w:type="character" w:customStyle="1" w:styleId="Heading1Char">
    <w:name w:val="Heading 1 Char"/>
    <w:basedOn w:val="DefaultParagraphFont"/>
    <w:link w:val="Heading1"/>
    <w:uiPriority w:val="9"/>
    <w:rsid w:val="00A229C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82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EF4"/>
  </w:style>
  <w:style w:type="paragraph" w:styleId="Footer">
    <w:name w:val="footer"/>
    <w:basedOn w:val="Normal"/>
    <w:link w:val="FooterChar"/>
    <w:uiPriority w:val="99"/>
    <w:unhideWhenUsed/>
    <w:rsid w:val="00982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EF4"/>
  </w:style>
  <w:style w:type="paragraph" w:styleId="ListParagraph">
    <w:name w:val="List Paragraph"/>
    <w:basedOn w:val="Normal"/>
    <w:uiPriority w:val="34"/>
    <w:qFormat/>
    <w:rsid w:val="004A4FB1"/>
    <w:pPr>
      <w:ind w:left="720"/>
      <w:contextualSpacing/>
    </w:pPr>
  </w:style>
  <w:style w:type="character" w:styleId="Strong">
    <w:name w:val="Strong"/>
    <w:basedOn w:val="DefaultParagraphFont"/>
    <w:uiPriority w:val="22"/>
    <w:qFormat/>
    <w:rsid w:val="00E12590"/>
    <w:rPr>
      <w:b/>
      <w:bCs/>
    </w:rPr>
  </w:style>
  <w:style w:type="paragraph" w:styleId="FootnoteText">
    <w:name w:val="footnote text"/>
    <w:basedOn w:val="Normal"/>
    <w:link w:val="FootnoteTextChar"/>
    <w:uiPriority w:val="99"/>
    <w:unhideWhenUsed/>
    <w:rsid w:val="00CB70A9"/>
    <w:pPr>
      <w:spacing w:after="0" w:line="240" w:lineRule="auto"/>
    </w:pPr>
    <w:rPr>
      <w:sz w:val="20"/>
      <w:szCs w:val="20"/>
    </w:rPr>
  </w:style>
  <w:style w:type="character" w:customStyle="1" w:styleId="FootnoteTextChar">
    <w:name w:val="Footnote Text Char"/>
    <w:basedOn w:val="DefaultParagraphFont"/>
    <w:link w:val="FootnoteText"/>
    <w:uiPriority w:val="99"/>
    <w:rsid w:val="00CB70A9"/>
    <w:rPr>
      <w:sz w:val="20"/>
      <w:szCs w:val="20"/>
    </w:rPr>
  </w:style>
  <w:style w:type="character" w:styleId="FootnoteReference">
    <w:name w:val="footnote reference"/>
    <w:basedOn w:val="DefaultParagraphFont"/>
    <w:uiPriority w:val="99"/>
    <w:semiHidden/>
    <w:unhideWhenUsed/>
    <w:rsid w:val="00CB70A9"/>
    <w:rPr>
      <w:vertAlign w:val="superscript"/>
    </w:rPr>
  </w:style>
  <w:style w:type="character" w:styleId="Hyperlink">
    <w:name w:val="Hyperlink"/>
    <w:basedOn w:val="DefaultParagraphFont"/>
    <w:uiPriority w:val="99"/>
    <w:unhideWhenUsed/>
    <w:rsid w:val="00CB70A9"/>
    <w:rPr>
      <w:color w:val="0563C1" w:themeColor="hyperlink"/>
      <w:u w:val="single"/>
    </w:rPr>
  </w:style>
  <w:style w:type="character" w:styleId="UnresolvedMention">
    <w:name w:val="Unresolved Mention"/>
    <w:basedOn w:val="DefaultParagraphFont"/>
    <w:uiPriority w:val="99"/>
    <w:semiHidden/>
    <w:unhideWhenUsed/>
    <w:rsid w:val="00CB70A9"/>
    <w:rPr>
      <w:color w:val="605E5C"/>
      <w:shd w:val="clear" w:color="auto" w:fill="E1DFDD"/>
    </w:rPr>
  </w:style>
  <w:style w:type="character" w:customStyle="1" w:styleId="Heading3Char">
    <w:name w:val="Heading 3 Char"/>
    <w:basedOn w:val="DefaultParagraphFont"/>
    <w:link w:val="Heading3"/>
    <w:uiPriority w:val="9"/>
    <w:rsid w:val="00406596"/>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3B4E3A"/>
    <w:rPr>
      <w:color w:val="954F72" w:themeColor="followedHyperlink"/>
      <w:u w:val="single"/>
    </w:rPr>
  </w:style>
  <w:style w:type="paragraph" w:styleId="Title">
    <w:name w:val="Title"/>
    <w:basedOn w:val="Normal"/>
    <w:next w:val="Normal"/>
    <w:link w:val="TitleChar"/>
    <w:uiPriority w:val="10"/>
    <w:qFormat/>
    <w:rsid w:val="00F8421C"/>
    <w:pPr>
      <w:keepNext/>
      <w:keepLines/>
      <w:spacing w:before="240" w:after="240" w:line="276" w:lineRule="auto"/>
      <w:jc w:val="center"/>
      <w:outlineLvl w:val="0"/>
    </w:pPr>
    <w:rPr>
      <w:rFonts w:ascii="Arial" w:eastAsia="Arial" w:hAnsi="Arial" w:cs="Arial"/>
      <w:b/>
      <w:bCs/>
      <w:kern w:val="0"/>
      <w:sz w:val="32"/>
      <w:szCs w:val="32"/>
      <w:lang w:val="en-GB" w:eastAsia="de-AT"/>
      <w14:ligatures w14:val="none"/>
    </w:rPr>
  </w:style>
  <w:style w:type="character" w:customStyle="1" w:styleId="TitleChar">
    <w:name w:val="Title Char"/>
    <w:basedOn w:val="DefaultParagraphFont"/>
    <w:link w:val="Title"/>
    <w:uiPriority w:val="10"/>
    <w:rsid w:val="00F8421C"/>
    <w:rPr>
      <w:rFonts w:ascii="Arial" w:eastAsia="Arial" w:hAnsi="Arial" w:cs="Arial"/>
      <w:b/>
      <w:bCs/>
      <w:kern w:val="0"/>
      <w:sz w:val="32"/>
      <w:szCs w:val="32"/>
      <w:lang w:val="en-GB" w:eastAsia="de-AT"/>
      <w14:ligatures w14:val="none"/>
    </w:rPr>
  </w:style>
  <w:style w:type="character" w:styleId="CommentReference">
    <w:name w:val="annotation reference"/>
    <w:basedOn w:val="DefaultParagraphFont"/>
    <w:uiPriority w:val="99"/>
    <w:semiHidden/>
    <w:unhideWhenUsed/>
    <w:rsid w:val="00323306"/>
    <w:rPr>
      <w:sz w:val="16"/>
      <w:szCs w:val="16"/>
    </w:rPr>
  </w:style>
  <w:style w:type="paragraph" w:styleId="CommentText">
    <w:name w:val="annotation text"/>
    <w:basedOn w:val="Normal"/>
    <w:link w:val="CommentTextChar"/>
    <w:uiPriority w:val="99"/>
    <w:unhideWhenUsed/>
    <w:rsid w:val="00323306"/>
    <w:pPr>
      <w:spacing w:line="240" w:lineRule="auto"/>
    </w:pPr>
    <w:rPr>
      <w:sz w:val="20"/>
      <w:szCs w:val="20"/>
    </w:rPr>
  </w:style>
  <w:style w:type="character" w:customStyle="1" w:styleId="CommentTextChar">
    <w:name w:val="Comment Text Char"/>
    <w:basedOn w:val="DefaultParagraphFont"/>
    <w:link w:val="CommentText"/>
    <w:uiPriority w:val="99"/>
    <w:rsid w:val="00323306"/>
    <w:rPr>
      <w:sz w:val="20"/>
      <w:szCs w:val="20"/>
    </w:rPr>
  </w:style>
  <w:style w:type="paragraph" w:styleId="CommentSubject">
    <w:name w:val="annotation subject"/>
    <w:basedOn w:val="CommentText"/>
    <w:next w:val="CommentText"/>
    <w:link w:val="CommentSubjectChar"/>
    <w:uiPriority w:val="99"/>
    <w:semiHidden/>
    <w:unhideWhenUsed/>
    <w:rsid w:val="00323306"/>
    <w:rPr>
      <w:b/>
      <w:bCs/>
    </w:rPr>
  </w:style>
  <w:style w:type="character" w:customStyle="1" w:styleId="CommentSubjectChar">
    <w:name w:val="Comment Subject Char"/>
    <w:basedOn w:val="CommentTextChar"/>
    <w:link w:val="CommentSubject"/>
    <w:uiPriority w:val="99"/>
    <w:semiHidden/>
    <w:rsid w:val="00323306"/>
    <w:rPr>
      <w:b/>
      <w:bCs/>
      <w:sz w:val="20"/>
      <w:szCs w:val="20"/>
    </w:rPr>
  </w:style>
  <w:style w:type="paragraph" w:customStyle="1" w:styleId="m1167266527424966362msolistparagraph">
    <w:name w:val="m_1167266527424966362msolistparagraph"/>
    <w:basedOn w:val="Normal"/>
    <w:rsid w:val="00E34A7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Revision">
    <w:name w:val="Revision"/>
    <w:hidden/>
    <w:uiPriority w:val="99"/>
    <w:semiHidden/>
    <w:rsid w:val="00E954DC"/>
    <w:pPr>
      <w:spacing w:after="0" w:line="240" w:lineRule="auto"/>
    </w:pPr>
  </w:style>
  <w:style w:type="character" w:customStyle="1" w:styleId="normaltextrun">
    <w:name w:val="normaltextrun"/>
    <w:basedOn w:val="DefaultParagraphFont"/>
    <w:rsid w:val="00022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101">
      <w:bodyDiv w:val="1"/>
      <w:marLeft w:val="0"/>
      <w:marRight w:val="0"/>
      <w:marTop w:val="0"/>
      <w:marBottom w:val="0"/>
      <w:divBdr>
        <w:top w:val="none" w:sz="0" w:space="0" w:color="auto"/>
        <w:left w:val="none" w:sz="0" w:space="0" w:color="auto"/>
        <w:bottom w:val="none" w:sz="0" w:space="0" w:color="auto"/>
        <w:right w:val="none" w:sz="0" w:space="0" w:color="auto"/>
      </w:divBdr>
    </w:div>
    <w:div w:id="176238394">
      <w:bodyDiv w:val="1"/>
      <w:marLeft w:val="0"/>
      <w:marRight w:val="0"/>
      <w:marTop w:val="0"/>
      <w:marBottom w:val="0"/>
      <w:divBdr>
        <w:top w:val="none" w:sz="0" w:space="0" w:color="auto"/>
        <w:left w:val="none" w:sz="0" w:space="0" w:color="auto"/>
        <w:bottom w:val="none" w:sz="0" w:space="0" w:color="auto"/>
        <w:right w:val="none" w:sz="0" w:space="0" w:color="auto"/>
      </w:divBdr>
    </w:div>
    <w:div w:id="279995517">
      <w:bodyDiv w:val="1"/>
      <w:marLeft w:val="0"/>
      <w:marRight w:val="0"/>
      <w:marTop w:val="0"/>
      <w:marBottom w:val="0"/>
      <w:divBdr>
        <w:top w:val="none" w:sz="0" w:space="0" w:color="auto"/>
        <w:left w:val="none" w:sz="0" w:space="0" w:color="auto"/>
        <w:bottom w:val="none" w:sz="0" w:space="0" w:color="auto"/>
        <w:right w:val="none" w:sz="0" w:space="0" w:color="auto"/>
      </w:divBdr>
    </w:div>
    <w:div w:id="147340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on.steff@edf-feph.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f-feph.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social/main.jsp?catId=738&amp;langId=en&amp;pubId=8376&amp;furtherPubs=yes" TargetMode="External"/><Relationship Id="rId13" Type="http://schemas.openxmlformats.org/officeDocument/2006/relationships/hyperlink" Target="https://www.edf-feph.org/content/uploads/2022/11/EDF-EC-ODA-marker-2022.docx" TargetMode="External"/><Relationship Id="rId18" Type="http://schemas.openxmlformats.org/officeDocument/2006/relationships/hyperlink" Target="https://tbinternet.ohchr.org/_layouts/15/TreatyBodyExternal/DownloadDraft.aspx?key=TmEf2qU3ZBlnXcekZZTWE2Ff8Aqtxsx6S6oi+uiH1USVTnNA977cj5HbWT5W1kbrH0Xll/j6mPeZjwg/1mK4Sg==" TargetMode="External"/><Relationship Id="rId26" Type="http://schemas.openxmlformats.org/officeDocument/2006/relationships/hyperlink" Target="https://international-partnerships.ec.europa.eu/funding-and-technical-assistance/funding-instruments/global-europe-programming_en" TargetMode="External"/><Relationship Id="rId3" Type="http://schemas.openxmlformats.org/officeDocument/2006/relationships/hyperlink" Target="https://www.un.org/disabilities/documents/convention/convoptprot-e.pdf" TargetMode="External"/><Relationship Id="rId21" Type="http://schemas.openxmlformats.org/officeDocument/2006/relationships/hyperlink" Target="https://data.consilium.europa.eu/doc/document/ST-5697-2022-INIT/en/pdf" TargetMode="External"/><Relationship Id="rId7" Type="http://schemas.openxmlformats.org/officeDocument/2006/relationships/hyperlink" Target="https://papers.ssrn.com/sol3/papers.cfm?abstract_id=1908128" TargetMode="External"/><Relationship Id="rId12" Type="http://schemas.openxmlformats.org/officeDocument/2006/relationships/hyperlink" Target="https://www.edf-feph.org/success-persons-with-disabilities-are-included-in-the-eu-new-external-action-budget-2021-2027/" TargetMode="External"/><Relationship Id="rId17" Type="http://schemas.openxmlformats.org/officeDocument/2006/relationships/hyperlink" Target="https://www.edf-feph.org/publications/eu-guidance-note-on-inclusion-of-persons-with-disabilities-in-eu-global-actions-joint-reaction-by-edf-and-iddc/" TargetMode="External"/><Relationship Id="rId25" Type="http://schemas.openxmlformats.org/officeDocument/2006/relationships/hyperlink" Target="https://tbinternet.ohchr.org/_layouts/15/TreatyBodyExternal/DownloadDraft.aspx?key=TmEf2qU3ZBlnXcekZZTWE2Ff8Aqtxsx6S6oi+uiH1USVTnNA977cj5HbWT5W1kbrH0Xll/j6mPeZjwg/1mK4Sg==" TargetMode="External"/><Relationship Id="rId2" Type="http://schemas.openxmlformats.org/officeDocument/2006/relationships/hyperlink" Target="https://documents-dds-ny.un.org/doc/UNDOC/GEN/N20/188/61/PDF/N2018861.pdf?OpenElement" TargetMode="External"/><Relationship Id="rId16" Type="http://schemas.openxmlformats.org/officeDocument/2006/relationships/hyperlink" Target="https://capacity4dev.europa.eu/library/eu-guidance-note-leaving-noone-behind-disability-inclusion-eu-external-action" TargetMode="External"/><Relationship Id="rId20" Type="http://schemas.openxmlformats.org/officeDocument/2006/relationships/hyperlink" Target="https://tbinternet.ohchr.org/_layouts/15/TreatyBodyExternal/DownloadDraft.aspx?key=TmEf2qU3ZBlnXcekZZTWE2Ff8Aqtxsx6S6oi+uiH1USVTnNA977cj5HbWT5W1kbrH0Xll/j6mPeZjwg/1mK4Sg==" TargetMode="External"/><Relationship Id="rId29" Type="http://schemas.openxmlformats.org/officeDocument/2006/relationships/hyperlink" Target="https://oxfamilibrary.openrepository.com/bitstream/handle/10546/620945/rr-are-they-really-gender-equality-projects-donors-050220-en.pdf?sequence=1" TargetMode="External"/><Relationship Id="rId1" Type="http://schemas.openxmlformats.org/officeDocument/2006/relationships/hyperlink" Target="https://www.edf-feph.org/publications/global-europe-funding-for-dpos-guidance-note/" TargetMode="External"/><Relationship Id="rId6" Type="http://schemas.openxmlformats.org/officeDocument/2006/relationships/hyperlink" Target="https://apps.who.int/iris/rest/bitstreams/1481486/retrieve" TargetMode="External"/><Relationship Id="rId11" Type="http://schemas.openxmlformats.org/officeDocument/2006/relationships/hyperlink" Target="https://eur-lex.europa.eu/legal-content/EN/TXT/PDF/?uri=CELEX:32021R0947" TargetMode="External"/><Relationship Id="rId24" Type="http://schemas.openxmlformats.org/officeDocument/2006/relationships/hyperlink" Target="http://docstore.ohchr.org/SelfServices/FilesHandler.ashx?enc=6QkG1d%2FPPRiCAqhKb7yhsnbHatvuFkZ%2Bt93Y3D%2Baa2pjFYzWLBu0vA%2BBr7QovZhbuyqzjDN0plweYI46WXrJJ6aB3Mx4y%2FspT%2BQrY5K2mKse5zjo%2BfvBDVu%2B42R9iK1p" TargetMode="External"/><Relationship Id="rId5" Type="http://schemas.openxmlformats.org/officeDocument/2006/relationships/hyperlink" Target="https://www.futurelearn.com/info/courses/global-disability/0/steps/37575" TargetMode="External"/><Relationship Id="rId15" Type="http://schemas.openxmlformats.org/officeDocument/2006/relationships/hyperlink" Target="https://webgate.ec.europa.eu/intpa-academy/course/index.php?categoryid=52" TargetMode="External"/><Relationship Id="rId23" Type="http://schemas.openxmlformats.org/officeDocument/2006/relationships/hyperlink" Target="https://tbinternet.ohchr.org/_layouts/15/TreatyBodyExternal/DownloadDraft.aspx?key=TmEf2qU3ZBlnXcekZZTWE2Ff8Aqtxsx6S6oi+uiH1USVTnNA977cj5HbWT5W1kbrH0Xll/j6mPeZjwg/1mK4Sg==" TargetMode="External"/><Relationship Id="rId28" Type="http://schemas.openxmlformats.org/officeDocument/2006/relationships/hyperlink" Target="https://www.un.org/disabilities/documents/convention/convoptprot-e.pdf" TargetMode="External"/><Relationship Id="rId10" Type="http://schemas.openxmlformats.org/officeDocument/2006/relationships/hyperlink" Target="https://www.edf-feph.org/success-persons-with-disabilities-are-included-in-the-eu-new-external-action-budget-2021-2027/" TargetMode="External"/><Relationship Id="rId19" Type="http://schemas.openxmlformats.org/officeDocument/2006/relationships/hyperlink" Target="https://international-partnerships.ec.europa.eu/system/files/2021-01/join-2020-17-final_en.pdf" TargetMode="External"/><Relationship Id="rId4" Type="http://schemas.openxmlformats.org/officeDocument/2006/relationships/hyperlink" Target="https://sdgs.un.org/2030agenda" TargetMode="External"/><Relationship Id="rId9" Type="http://schemas.openxmlformats.org/officeDocument/2006/relationships/hyperlink" Target="https://capacity4dev.europa.eu/library/eu-guidance-note-leaving-noone-behind-disability-inclusion-eu-external-action" TargetMode="External"/><Relationship Id="rId14" Type="http://schemas.openxmlformats.org/officeDocument/2006/relationships/hyperlink" Target="https://data.consilium.europa.eu/doc/document/ST-5697-2022-INIT/en/pdf" TargetMode="External"/><Relationship Id="rId22" Type="http://schemas.openxmlformats.org/officeDocument/2006/relationships/hyperlink" Target="https://data.consilium.europa.eu/doc/document/ST-5697-2022-INIT/en/pdf" TargetMode="External"/><Relationship Id="rId27" Type="http://schemas.openxmlformats.org/officeDocument/2006/relationships/hyperlink" Target="https://stats.oecd.org/Index.aspx?DataSetCode=crs1" TargetMode="External"/><Relationship Id="rId30" Type="http://schemas.openxmlformats.org/officeDocument/2006/relationships/hyperlink" Target="https://one.oecd.org/document/DCD/DAC/STAT(2020)4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0" ma:contentTypeDescription="Create a new document." ma:contentTypeScope="" ma:versionID="ed8a74522e955ae8632cb6040cddcf3c">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7ae51ba9190967923f5e426bce1fae3e"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85CFD-4ECB-4377-AAF5-B485FCADB996}">
  <ds:schemaRefs>
    <ds:schemaRef ds:uri="http://schemas.openxmlformats.org/officeDocument/2006/bibliography"/>
  </ds:schemaRefs>
</ds:datastoreItem>
</file>

<file path=customXml/itemProps2.xml><?xml version="1.0" encoding="utf-8"?>
<ds:datastoreItem xmlns:ds="http://schemas.openxmlformats.org/officeDocument/2006/customXml" ds:itemID="{5BF648E6-9FEE-4D9C-97C8-2EAFBF18141D}">
  <ds:schemaRefs>
    <ds:schemaRef ds:uri="http://schemas.microsoft.com/sharepoint/v3/contenttype/forms"/>
  </ds:schemaRefs>
</ds:datastoreItem>
</file>

<file path=customXml/itemProps3.xml><?xml version="1.0" encoding="utf-8"?>
<ds:datastoreItem xmlns:ds="http://schemas.openxmlformats.org/officeDocument/2006/customXml" ds:itemID="{05FBE9D4-ECAD-43E1-B997-3DBEDFC91985}">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4.xml><?xml version="1.0" encoding="utf-8"?>
<ds:datastoreItem xmlns:ds="http://schemas.openxmlformats.org/officeDocument/2006/customXml" ds:itemID="{1FB37FDD-1969-41D7-A7DD-585FDF90BA31}"/>
</file>

<file path=docProps/app.xml><?xml version="1.0" encoding="utf-8"?>
<Properties xmlns="http://schemas.openxmlformats.org/officeDocument/2006/extended-properties" xmlns:vt="http://schemas.openxmlformats.org/officeDocument/2006/docPropsVTypes">
  <Template>Normal</Template>
  <TotalTime>0</TotalTime>
  <Pages>9</Pages>
  <Words>2933</Words>
  <Characters>16719</Characters>
  <Application>Microsoft Office Word</Application>
  <DocSecurity>0</DocSecurity>
  <Lines>139</Lines>
  <Paragraphs>39</Paragraphs>
  <ScaleCrop>false</ScaleCrop>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Meeks</dc:creator>
  <cp:keywords/>
  <dc:description/>
  <cp:lastModifiedBy>Marion Steff</cp:lastModifiedBy>
  <cp:revision>22</cp:revision>
  <dcterms:created xsi:type="dcterms:W3CDTF">2023-06-19T18:02:00Z</dcterms:created>
  <dcterms:modified xsi:type="dcterms:W3CDTF">2023-06-20T13:55:00Z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