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6C81D" w14:textId="5D669FE3" w:rsidR="00813B23" w:rsidRPr="00813B23" w:rsidRDefault="00813B23" w:rsidP="00B7291C">
      <w:pPr>
        <w:spacing w:line="256" w:lineRule="auto"/>
        <w:rPr>
          <w:rFonts w:eastAsia="Calibri" w:cs="Arial"/>
          <w:sz w:val="2"/>
          <w:szCs w:val="2"/>
        </w:rPr>
      </w:pPr>
    </w:p>
    <w:p w14:paraId="1B556C7C" w14:textId="46DD3B3F" w:rsidR="00900C5E" w:rsidRPr="00900C5E" w:rsidRDefault="00900C5E" w:rsidP="00B7291C">
      <w:pPr>
        <w:spacing w:line="256" w:lineRule="auto"/>
        <w:rPr>
          <w:rFonts w:eastAsia="Calibri" w:cs="Arial"/>
        </w:rPr>
      </w:pPr>
      <w:r w:rsidRPr="00900C5E">
        <w:rPr>
          <w:rFonts w:eastAsia="Calibri" w:cs="Arial"/>
        </w:rPr>
        <w:t>In June 2023, the EC’s Directorate-General for International Partnerships (DG-INTPA) officially launched an inequality marker (the I-marker).</w:t>
      </w:r>
      <w:r w:rsidRPr="00900C5E">
        <w:rPr>
          <w:rFonts w:eastAsia="Calibri" w:cs="Arial"/>
          <w:vertAlign w:val="superscript"/>
        </w:rPr>
        <w:footnoteReference w:id="2"/>
      </w:r>
      <w:r w:rsidRPr="00900C5E">
        <w:rPr>
          <w:rFonts w:eastAsia="Calibri" w:cs="Arial"/>
        </w:rPr>
        <w:t xml:space="preserve"> The I-marker assesses “whether, and to what extent, inequality reduction is an objective of a donor’s intervention and, therefore, how likely it will have an impact on reducing within country inequalitie</w:t>
      </w:r>
      <w:r w:rsidR="009C6542">
        <w:rPr>
          <w:rFonts w:eastAsia="Calibri" w:cs="Arial"/>
        </w:rPr>
        <w:t xml:space="preserve">s.” </w:t>
      </w:r>
      <w:r w:rsidRPr="00900C5E">
        <w:rPr>
          <w:rFonts w:eastAsia="Calibri" w:cs="Arial"/>
        </w:rPr>
        <w:t xml:space="preserve">The I-marker works in a broadly similar way to the </w:t>
      </w:r>
      <w:proofErr w:type="spellStart"/>
      <w:r w:rsidR="00B7291C" w:rsidRPr="00B7291C">
        <w:rPr>
          <w:rFonts w:eastAsia="Calibri" w:cs="Arial"/>
        </w:rPr>
        <w:t>Organisation</w:t>
      </w:r>
      <w:proofErr w:type="spellEnd"/>
      <w:r w:rsidR="00B7291C" w:rsidRPr="00B7291C">
        <w:rPr>
          <w:rFonts w:eastAsia="Calibri" w:cs="Arial"/>
        </w:rPr>
        <w:t xml:space="preserve"> for Economic Cooperation and Development-Development Assistance Committee (OECD-DAC) </w:t>
      </w:r>
      <w:r w:rsidRPr="00900C5E">
        <w:rPr>
          <w:rFonts w:eastAsia="Calibri" w:cs="Arial"/>
        </w:rPr>
        <w:t>disability policy marker, but there are also some important differences in how it was developed and how it is used (Table 1).</w:t>
      </w:r>
    </w:p>
    <w:p w14:paraId="372FA052" w14:textId="3E043C21" w:rsidR="00900C5E" w:rsidRPr="00900C5E" w:rsidRDefault="00900C5E" w:rsidP="00900C5E">
      <w:pPr>
        <w:spacing w:line="256" w:lineRule="auto"/>
        <w:rPr>
          <w:rFonts w:eastAsia="Calibri" w:cs="Arial"/>
          <w:b/>
          <w:bCs/>
        </w:rPr>
      </w:pPr>
      <w:r w:rsidRPr="00900C5E">
        <w:rPr>
          <w:rFonts w:eastAsia="Calibri" w:cs="Arial"/>
          <w:b/>
          <w:bCs/>
        </w:rPr>
        <w:t>Table 1: I-marker and the disability policy marker</w:t>
      </w:r>
    </w:p>
    <w:tbl>
      <w:tblPr>
        <w:tblStyle w:val="TableGrid1"/>
        <w:tblW w:w="9351" w:type="dxa"/>
        <w:tblInd w:w="0" w:type="dxa"/>
        <w:tblLook w:val="04A0" w:firstRow="1" w:lastRow="0" w:firstColumn="1" w:lastColumn="0" w:noHBand="0" w:noVBand="1"/>
      </w:tblPr>
      <w:tblGrid>
        <w:gridCol w:w="1980"/>
        <w:gridCol w:w="3260"/>
        <w:gridCol w:w="4111"/>
      </w:tblGrid>
      <w:tr w:rsidR="00900C5E" w:rsidRPr="00900C5E" w14:paraId="4B4987FE" w14:textId="77777777" w:rsidTr="00A6500E">
        <w:tc>
          <w:tcPr>
            <w:tcW w:w="1980" w:type="dxa"/>
            <w:tcBorders>
              <w:top w:val="single" w:sz="4" w:space="0" w:color="auto"/>
              <w:left w:val="single" w:sz="4" w:space="0" w:color="auto"/>
              <w:bottom w:val="single" w:sz="4" w:space="0" w:color="auto"/>
              <w:right w:val="single" w:sz="4" w:space="0" w:color="auto"/>
            </w:tcBorders>
          </w:tcPr>
          <w:p w14:paraId="39264A5F" w14:textId="77777777" w:rsidR="00900C5E" w:rsidRPr="00900C5E" w:rsidRDefault="00900C5E" w:rsidP="00900C5E">
            <w:pPr>
              <w:rPr>
                <w:b/>
                <w:bCs/>
              </w:rPr>
            </w:pPr>
          </w:p>
        </w:tc>
        <w:tc>
          <w:tcPr>
            <w:tcW w:w="3260" w:type="dxa"/>
            <w:tcBorders>
              <w:top w:val="single" w:sz="4" w:space="0" w:color="auto"/>
              <w:left w:val="single" w:sz="4" w:space="0" w:color="auto"/>
              <w:bottom w:val="single" w:sz="4" w:space="0" w:color="auto"/>
              <w:right w:val="single" w:sz="4" w:space="0" w:color="auto"/>
            </w:tcBorders>
            <w:hideMark/>
          </w:tcPr>
          <w:p w14:paraId="0CFFFD86" w14:textId="77777777" w:rsidR="00900C5E" w:rsidRPr="00900C5E" w:rsidRDefault="00900C5E" w:rsidP="00900C5E">
            <w:pPr>
              <w:rPr>
                <w:b/>
                <w:bCs/>
              </w:rPr>
            </w:pPr>
            <w:r w:rsidRPr="00900C5E">
              <w:rPr>
                <w:b/>
                <w:bCs/>
              </w:rPr>
              <w:t>I-marker</w:t>
            </w:r>
          </w:p>
        </w:tc>
        <w:tc>
          <w:tcPr>
            <w:tcW w:w="4111" w:type="dxa"/>
            <w:tcBorders>
              <w:top w:val="single" w:sz="4" w:space="0" w:color="auto"/>
              <w:left w:val="single" w:sz="4" w:space="0" w:color="auto"/>
              <w:bottom w:val="single" w:sz="4" w:space="0" w:color="auto"/>
              <w:right w:val="single" w:sz="4" w:space="0" w:color="auto"/>
            </w:tcBorders>
            <w:hideMark/>
          </w:tcPr>
          <w:p w14:paraId="53ADBD71" w14:textId="77777777" w:rsidR="00900C5E" w:rsidRPr="00900C5E" w:rsidRDefault="00900C5E" w:rsidP="00900C5E">
            <w:pPr>
              <w:rPr>
                <w:b/>
                <w:bCs/>
              </w:rPr>
            </w:pPr>
            <w:r w:rsidRPr="00900C5E">
              <w:rPr>
                <w:b/>
                <w:bCs/>
              </w:rPr>
              <w:t>Disability policy marker</w:t>
            </w:r>
          </w:p>
        </w:tc>
      </w:tr>
      <w:tr w:rsidR="00900C5E" w:rsidRPr="00900C5E" w14:paraId="55F533B1" w14:textId="77777777" w:rsidTr="00A6500E">
        <w:tc>
          <w:tcPr>
            <w:tcW w:w="1980" w:type="dxa"/>
            <w:tcBorders>
              <w:top w:val="single" w:sz="4" w:space="0" w:color="auto"/>
              <w:left w:val="single" w:sz="4" w:space="0" w:color="auto"/>
              <w:bottom w:val="single" w:sz="4" w:space="0" w:color="auto"/>
              <w:right w:val="single" w:sz="4" w:space="0" w:color="auto"/>
            </w:tcBorders>
            <w:hideMark/>
          </w:tcPr>
          <w:p w14:paraId="5EF30359" w14:textId="77777777" w:rsidR="00900C5E" w:rsidRPr="00900C5E" w:rsidRDefault="00900C5E" w:rsidP="00900C5E">
            <w:pPr>
              <w:rPr>
                <w:b/>
                <w:bCs/>
              </w:rPr>
            </w:pPr>
            <w:r w:rsidRPr="00900C5E">
              <w:rPr>
                <w:b/>
                <w:bCs/>
              </w:rPr>
              <w:t>Marker scoring system</w:t>
            </w:r>
            <w:r w:rsidRPr="00900C5E">
              <w:rPr>
                <w:b/>
                <w:bCs/>
                <w:vertAlign w:val="superscript"/>
              </w:rPr>
              <w:footnoteReference w:id="3"/>
            </w:r>
          </w:p>
        </w:tc>
        <w:tc>
          <w:tcPr>
            <w:tcW w:w="3260" w:type="dxa"/>
            <w:tcBorders>
              <w:top w:val="single" w:sz="4" w:space="0" w:color="auto"/>
              <w:left w:val="single" w:sz="4" w:space="0" w:color="auto"/>
              <w:bottom w:val="single" w:sz="4" w:space="0" w:color="auto"/>
              <w:right w:val="single" w:sz="4" w:space="0" w:color="auto"/>
            </w:tcBorders>
            <w:hideMark/>
          </w:tcPr>
          <w:p w14:paraId="2BD452A3" w14:textId="77777777" w:rsidR="00900C5E" w:rsidRPr="00900C5E" w:rsidRDefault="00900C5E" w:rsidP="00900C5E">
            <w:r w:rsidRPr="00900C5E">
              <w:t>3-point scale (principal objective/significant objective/not targeted)</w:t>
            </w:r>
            <w:r w:rsidRPr="00900C5E">
              <w:rPr>
                <w:vertAlign w:val="superscript"/>
              </w:rPr>
              <w:footnoteReference w:id="4"/>
            </w:r>
          </w:p>
        </w:tc>
        <w:tc>
          <w:tcPr>
            <w:tcW w:w="4111" w:type="dxa"/>
            <w:tcBorders>
              <w:top w:val="single" w:sz="4" w:space="0" w:color="auto"/>
              <w:left w:val="single" w:sz="4" w:space="0" w:color="auto"/>
              <w:bottom w:val="single" w:sz="4" w:space="0" w:color="auto"/>
              <w:right w:val="single" w:sz="4" w:space="0" w:color="auto"/>
            </w:tcBorders>
            <w:hideMark/>
          </w:tcPr>
          <w:p w14:paraId="0B7300DF" w14:textId="77777777" w:rsidR="00900C5E" w:rsidRPr="00900C5E" w:rsidRDefault="00900C5E" w:rsidP="00900C5E">
            <w:pPr>
              <w:rPr>
                <w:b/>
                <w:bCs/>
              </w:rPr>
            </w:pPr>
            <w:r w:rsidRPr="00900C5E">
              <w:t>3-point scale (principal objective/significant objective/not targeted)</w:t>
            </w:r>
          </w:p>
        </w:tc>
      </w:tr>
      <w:tr w:rsidR="00900C5E" w:rsidRPr="00900C5E" w14:paraId="06A4932E" w14:textId="77777777" w:rsidTr="00A6500E">
        <w:tc>
          <w:tcPr>
            <w:tcW w:w="1980" w:type="dxa"/>
            <w:tcBorders>
              <w:top w:val="single" w:sz="4" w:space="0" w:color="auto"/>
              <w:left w:val="single" w:sz="4" w:space="0" w:color="auto"/>
              <w:bottom w:val="single" w:sz="4" w:space="0" w:color="auto"/>
              <w:right w:val="single" w:sz="4" w:space="0" w:color="auto"/>
            </w:tcBorders>
            <w:hideMark/>
          </w:tcPr>
          <w:p w14:paraId="3ACCEE7C" w14:textId="77777777" w:rsidR="00900C5E" w:rsidRPr="00900C5E" w:rsidRDefault="00900C5E" w:rsidP="00900C5E">
            <w:pPr>
              <w:rPr>
                <w:b/>
                <w:bCs/>
              </w:rPr>
            </w:pPr>
            <w:r w:rsidRPr="00900C5E">
              <w:rPr>
                <w:b/>
                <w:bCs/>
              </w:rPr>
              <w:t>Marker created by…</w:t>
            </w:r>
          </w:p>
        </w:tc>
        <w:tc>
          <w:tcPr>
            <w:tcW w:w="3260" w:type="dxa"/>
            <w:tcBorders>
              <w:top w:val="single" w:sz="4" w:space="0" w:color="auto"/>
              <w:left w:val="single" w:sz="4" w:space="0" w:color="auto"/>
              <w:bottom w:val="single" w:sz="4" w:space="0" w:color="auto"/>
              <w:right w:val="single" w:sz="4" w:space="0" w:color="auto"/>
            </w:tcBorders>
            <w:hideMark/>
          </w:tcPr>
          <w:p w14:paraId="62E5D513" w14:textId="77777777" w:rsidR="00900C5E" w:rsidRPr="00900C5E" w:rsidRDefault="00900C5E" w:rsidP="00900C5E">
            <w:r w:rsidRPr="00900C5E">
              <w:t>DG-INTPA</w:t>
            </w:r>
          </w:p>
        </w:tc>
        <w:tc>
          <w:tcPr>
            <w:tcW w:w="4111" w:type="dxa"/>
            <w:tcBorders>
              <w:top w:val="single" w:sz="4" w:space="0" w:color="auto"/>
              <w:left w:val="single" w:sz="4" w:space="0" w:color="auto"/>
              <w:bottom w:val="single" w:sz="4" w:space="0" w:color="auto"/>
              <w:right w:val="single" w:sz="4" w:space="0" w:color="auto"/>
            </w:tcBorders>
            <w:hideMark/>
          </w:tcPr>
          <w:p w14:paraId="262C256D" w14:textId="77777777" w:rsidR="00900C5E" w:rsidRPr="00900C5E" w:rsidRDefault="00900C5E" w:rsidP="00900C5E">
            <w:pPr>
              <w:rPr>
                <w:b/>
                <w:bCs/>
              </w:rPr>
            </w:pPr>
            <w:r w:rsidRPr="00900C5E">
              <w:t>OECD-DAC</w:t>
            </w:r>
          </w:p>
        </w:tc>
      </w:tr>
      <w:tr w:rsidR="00900C5E" w:rsidRPr="00900C5E" w14:paraId="7A1371D2" w14:textId="77777777" w:rsidTr="00A6500E">
        <w:tc>
          <w:tcPr>
            <w:tcW w:w="1980" w:type="dxa"/>
            <w:tcBorders>
              <w:top w:val="single" w:sz="4" w:space="0" w:color="auto"/>
              <w:left w:val="single" w:sz="4" w:space="0" w:color="auto"/>
              <w:bottom w:val="single" w:sz="4" w:space="0" w:color="auto"/>
              <w:right w:val="single" w:sz="4" w:space="0" w:color="auto"/>
            </w:tcBorders>
            <w:hideMark/>
          </w:tcPr>
          <w:p w14:paraId="72AEF13F" w14:textId="77777777" w:rsidR="00900C5E" w:rsidRPr="00900C5E" w:rsidRDefault="00900C5E" w:rsidP="00900C5E">
            <w:pPr>
              <w:rPr>
                <w:b/>
                <w:bCs/>
              </w:rPr>
            </w:pPr>
            <w:r w:rsidRPr="00900C5E">
              <w:rPr>
                <w:b/>
                <w:bCs/>
              </w:rPr>
              <w:t>Marker used by…</w:t>
            </w:r>
          </w:p>
        </w:tc>
        <w:tc>
          <w:tcPr>
            <w:tcW w:w="3260" w:type="dxa"/>
            <w:tcBorders>
              <w:top w:val="single" w:sz="4" w:space="0" w:color="auto"/>
              <w:left w:val="single" w:sz="4" w:space="0" w:color="auto"/>
              <w:bottom w:val="single" w:sz="4" w:space="0" w:color="auto"/>
              <w:right w:val="single" w:sz="4" w:space="0" w:color="auto"/>
            </w:tcBorders>
            <w:hideMark/>
          </w:tcPr>
          <w:p w14:paraId="3C69FE2A" w14:textId="77777777" w:rsidR="00900C5E" w:rsidRPr="00900C5E" w:rsidRDefault="00900C5E" w:rsidP="00900C5E">
            <w:r w:rsidRPr="00900C5E">
              <w:t>DG-INTPA. Other parts of the EU institutions, EU Member States and other partners are encouraged to use the marker, but it is not yet clear how far they will do so.</w:t>
            </w:r>
            <w:r w:rsidRPr="00900C5E">
              <w:rPr>
                <w:vertAlign w:val="superscript"/>
              </w:rPr>
              <w:footnoteReference w:id="5"/>
            </w:r>
            <w:r w:rsidRPr="00900C5E">
              <w:t xml:space="preserve"> </w:t>
            </w:r>
          </w:p>
        </w:tc>
        <w:tc>
          <w:tcPr>
            <w:tcW w:w="4111" w:type="dxa"/>
            <w:tcBorders>
              <w:top w:val="single" w:sz="4" w:space="0" w:color="auto"/>
              <w:left w:val="single" w:sz="4" w:space="0" w:color="auto"/>
              <w:bottom w:val="single" w:sz="4" w:space="0" w:color="auto"/>
              <w:right w:val="single" w:sz="4" w:space="0" w:color="auto"/>
            </w:tcBorders>
            <w:hideMark/>
          </w:tcPr>
          <w:p w14:paraId="494869E6" w14:textId="77777777" w:rsidR="00900C5E" w:rsidRPr="00900C5E" w:rsidRDefault="00900C5E" w:rsidP="00900C5E">
            <w:r w:rsidRPr="00900C5E">
              <w:t>Used by 21 OECD-DAC members (including all DGs within the EC)</w:t>
            </w:r>
            <w:r w:rsidRPr="00900C5E">
              <w:rPr>
                <w:vertAlign w:val="superscript"/>
              </w:rPr>
              <w:footnoteReference w:id="6"/>
            </w:r>
          </w:p>
        </w:tc>
      </w:tr>
    </w:tbl>
    <w:p w14:paraId="57027A40" w14:textId="1FCB696F" w:rsidR="00900C5E" w:rsidRPr="00900C5E" w:rsidRDefault="00900C5E" w:rsidP="00900C5E">
      <w:pPr>
        <w:spacing w:line="256" w:lineRule="auto"/>
        <w:rPr>
          <w:rFonts w:eastAsia="Calibri" w:cs="Arial"/>
          <w:sz w:val="22"/>
        </w:rPr>
      </w:pPr>
      <w:r w:rsidRPr="00900C5E">
        <w:rPr>
          <w:rFonts w:eastAsia="Calibri" w:cs="Arial"/>
          <w:sz w:val="22"/>
        </w:rPr>
        <w:t>Source: author’s analysis. Please note the table does not seek to be exhaustive.</w:t>
      </w:r>
    </w:p>
    <w:p w14:paraId="68695558" w14:textId="77777777" w:rsidR="004D6E18" w:rsidRPr="004D6E18" w:rsidRDefault="004D6E18" w:rsidP="00891EDF">
      <w:pPr>
        <w:spacing w:line="256" w:lineRule="auto"/>
        <w:rPr>
          <w:rFonts w:eastAsia="Calibri" w:cs="Arial"/>
          <w:sz w:val="4"/>
          <w:szCs w:val="2"/>
        </w:rPr>
      </w:pPr>
    </w:p>
    <w:p w14:paraId="7C20C536" w14:textId="77777777" w:rsidR="004D6E18" w:rsidRPr="004D6E18" w:rsidRDefault="004D6E18" w:rsidP="00891EDF">
      <w:pPr>
        <w:spacing w:line="256" w:lineRule="auto"/>
        <w:rPr>
          <w:rFonts w:eastAsia="Calibri" w:cs="Arial"/>
          <w:sz w:val="6"/>
          <w:szCs w:val="4"/>
        </w:rPr>
      </w:pPr>
    </w:p>
    <w:p w14:paraId="75203712" w14:textId="2BFBF633" w:rsidR="00900C5E" w:rsidRPr="00900C5E" w:rsidRDefault="00900C5E" w:rsidP="00891EDF">
      <w:pPr>
        <w:spacing w:line="256" w:lineRule="auto"/>
        <w:rPr>
          <w:rFonts w:eastAsia="Calibri" w:cs="Arial"/>
          <w:i/>
          <w:iCs/>
          <w:color w:val="404040" w:themeColor="text1" w:themeTint="BF"/>
        </w:rPr>
      </w:pPr>
      <w:r w:rsidRPr="00900C5E">
        <w:rPr>
          <w:rFonts w:eastAsia="Calibri" w:cs="Arial"/>
        </w:rPr>
        <w:t xml:space="preserve">As Table 1 shows, the I-marker is not yet used widely outside DG-INTPA. But within DG-INTPA’s work, the I-marker is rapidly becoming a high-profile tool. </w:t>
      </w:r>
    </w:p>
    <w:p w14:paraId="6E292E25" w14:textId="77777777" w:rsidR="000B47EB" w:rsidRDefault="000B47EB" w:rsidP="000B47EB">
      <w:pPr>
        <w:pStyle w:val="Heading2"/>
      </w:pPr>
      <w:r>
        <w:t>Does the I-marker include inequalities based on disability?</w:t>
      </w:r>
    </w:p>
    <w:p w14:paraId="7B3881FF" w14:textId="051E9202" w:rsidR="00AE38A0" w:rsidRPr="00AE38A0" w:rsidRDefault="00AE38A0" w:rsidP="00AE38A0">
      <w:pPr>
        <w:spacing w:line="256" w:lineRule="auto"/>
        <w:rPr>
          <w:rFonts w:eastAsia="Calibri" w:cs="Arial"/>
        </w:rPr>
      </w:pPr>
      <w:r w:rsidRPr="00AE38A0">
        <w:rPr>
          <w:rFonts w:eastAsia="Calibri" w:cs="Arial"/>
          <w:shd w:val="clear" w:color="auto" w:fill="FFFFFF"/>
        </w:rPr>
        <w:t>The I-marker “</w:t>
      </w:r>
      <w:r w:rsidRPr="00AE38A0">
        <w:rPr>
          <w:rFonts w:eastAsia="Calibri" w:cs="Arial"/>
        </w:rPr>
        <w:t xml:space="preserve">focuses on the bottom (poorest) 40 per cent of the income/wealth distribution (or other socio-economic parameters) or socio-economically disadvantaged individuals, households or groups.” This very broad approach could potentially be interpreted in different ways. </w:t>
      </w:r>
    </w:p>
    <w:p w14:paraId="41E00A2C" w14:textId="77777777" w:rsidR="00AE38A0" w:rsidRPr="00AE38A0" w:rsidRDefault="00AE38A0" w:rsidP="00AE38A0">
      <w:pPr>
        <w:spacing w:line="256" w:lineRule="auto"/>
        <w:rPr>
          <w:rFonts w:eastAsia="Calibri" w:cs="Arial"/>
        </w:rPr>
      </w:pPr>
      <w:r w:rsidRPr="00AE38A0">
        <w:rPr>
          <w:rFonts w:eastAsia="Calibri" w:cs="Arial"/>
        </w:rPr>
        <w:t>In principle, the I-marker is designed to help capture the intersection between inequalities affecting individuals (or households) and inequalities affecting groups.</w:t>
      </w:r>
      <w:r w:rsidRPr="00AE38A0">
        <w:rPr>
          <w:rFonts w:eastAsia="Calibri" w:cs="Arial"/>
          <w:vertAlign w:val="superscript"/>
        </w:rPr>
        <w:footnoteReference w:id="7"/>
      </w:r>
      <w:r w:rsidRPr="00AE38A0">
        <w:rPr>
          <w:rFonts w:eastAsia="Calibri" w:cs="Arial"/>
        </w:rPr>
        <w:t xml:space="preserve"> So in theory, the answer is yes: the I-marker could sometimes include inequalities based on disability, alongside other forms of group-based inequalities. </w:t>
      </w:r>
    </w:p>
    <w:p w14:paraId="29A1D6B7" w14:textId="77777777" w:rsidR="00FF5A99" w:rsidRDefault="00AE38A0" w:rsidP="00AE38A0">
      <w:pPr>
        <w:spacing w:line="256" w:lineRule="auto"/>
        <w:rPr>
          <w:rFonts w:eastAsia="Calibri" w:cs="Arial"/>
        </w:rPr>
      </w:pPr>
      <w:r w:rsidRPr="00AE38A0">
        <w:rPr>
          <w:rFonts w:eastAsia="Calibri" w:cs="Arial"/>
        </w:rPr>
        <w:t xml:space="preserve">At the same time, it is not guaranteed that the I-marker would always include disability-based inequalities. In places, the I-marker guidance focuses on economic inequalities affecting the “bottom 40%” of individuals/households. </w:t>
      </w:r>
    </w:p>
    <w:p w14:paraId="4AF3219C" w14:textId="53ACDCDC" w:rsidR="00AE38A0" w:rsidRDefault="00AE38A0" w:rsidP="00AE38A0">
      <w:pPr>
        <w:spacing w:line="256" w:lineRule="auto"/>
        <w:rPr>
          <w:rFonts w:eastAsia="Calibri" w:cs="Arial"/>
        </w:rPr>
      </w:pPr>
      <w:r w:rsidRPr="00AE38A0">
        <w:rPr>
          <w:rFonts w:eastAsia="Calibri" w:cs="Arial"/>
        </w:rPr>
        <w:t>For example, one of the key approaches in the guidance – Distributional Impact Assessment based on an ’Equity Tool’ – looks mainly at wealth-based inequalities at individual/household level.</w:t>
      </w:r>
      <w:r w:rsidRPr="00AE38A0">
        <w:rPr>
          <w:rFonts w:eastAsia="Calibri" w:cs="Arial"/>
          <w:vertAlign w:val="superscript"/>
        </w:rPr>
        <w:footnoteReference w:id="8"/>
      </w:r>
      <w:r w:rsidRPr="00AE38A0">
        <w:rPr>
          <w:rFonts w:eastAsia="Calibri" w:cs="Arial"/>
        </w:rPr>
        <w:t xml:space="preserve"> It is true that the Equity Tool can be expanded to include group-based inequalities,</w:t>
      </w:r>
      <w:r w:rsidRPr="00AE38A0">
        <w:rPr>
          <w:rFonts w:eastAsia="Calibri" w:cs="Arial"/>
          <w:vertAlign w:val="superscript"/>
        </w:rPr>
        <w:footnoteReference w:id="9"/>
      </w:r>
      <w:r w:rsidRPr="00AE38A0">
        <w:rPr>
          <w:rFonts w:eastAsia="Calibri" w:cs="Arial"/>
        </w:rPr>
        <w:t xml:space="preserve"> however, this is an optional add-on. Against this background, staff </w:t>
      </w:r>
      <w:proofErr w:type="gramStart"/>
      <w:r w:rsidRPr="00AE38A0">
        <w:rPr>
          <w:rFonts w:eastAsia="Calibri" w:cs="Arial"/>
        </w:rPr>
        <w:t>applying</w:t>
      </w:r>
      <w:proofErr w:type="gramEnd"/>
      <w:r w:rsidRPr="00AE38A0">
        <w:rPr>
          <w:rFonts w:eastAsia="Calibri" w:cs="Arial"/>
        </w:rPr>
        <w:t xml:space="preserve"> the I-marker may decide to focus solely on economic inequalities affecting individuals/households. Please see more discussion on this challenge in the risks section below.</w:t>
      </w:r>
    </w:p>
    <w:p w14:paraId="246F5C31" w14:textId="6997CAB4" w:rsidR="00851FD4" w:rsidRDefault="009C6542" w:rsidP="00E35BCF">
      <w:pPr>
        <w:spacing w:line="256" w:lineRule="auto"/>
        <w:rPr>
          <w:rFonts w:eastAsia="Calibri" w:cs="Arial"/>
        </w:rPr>
      </w:pPr>
      <w:r>
        <w:rPr>
          <w:rFonts w:eastAsia="Calibri" w:cs="Arial"/>
        </w:rPr>
        <w:t>To learn more about the I-marker, check out EDF</w:t>
      </w:r>
      <w:r w:rsidR="00E35BCF">
        <w:rPr>
          <w:rFonts w:eastAsia="Calibri" w:cs="Arial"/>
        </w:rPr>
        <w:t>’s</w:t>
      </w:r>
      <w:r w:rsidR="00E35BCF" w:rsidRPr="00E35BCF">
        <w:t xml:space="preserve"> </w:t>
      </w:r>
      <w:hyperlink r:id="rId8" w:history="1">
        <w:r w:rsidR="00E35BCF" w:rsidRPr="00E35BCF">
          <w:rPr>
            <w:rStyle w:val="Hyperlink"/>
            <w:rFonts w:eastAsia="Calibri" w:cs="Arial"/>
          </w:rPr>
          <w:t xml:space="preserve">Annual report – Towards equality: assessing EC funding for disability inclusion worldwide: </w:t>
        </w:r>
        <w:proofErr w:type="spellStart"/>
        <w:r w:rsidR="00E35BCF" w:rsidRPr="00E35BCF">
          <w:rPr>
            <w:rStyle w:val="Hyperlink"/>
            <w:rFonts w:eastAsia="Calibri" w:cs="Arial"/>
          </w:rPr>
          <w:t>Ddata</w:t>
        </w:r>
        <w:proofErr w:type="spellEnd"/>
        <w:r w:rsidR="00E35BCF" w:rsidRPr="00E35BCF">
          <w:rPr>
            <w:rStyle w:val="Hyperlink"/>
            <w:rFonts w:eastAsia="Calibri" w:cs="Arial"/>
          </w:rPr>
          <w:t xml:space="preserve"> from the OECD-DAC disability policy marker</w:t>
        </w:r>
      </w:hyperlink>
      <w:r w:rsidR="00E35BCF" w:rsidRPr="00E35BCF">
        <w:rPr>
          <w:rFonts w:eastAsia="Calibri" w:cs="Arial"/>
        </w:rPr>
        <w:t> (December 2023)</w:t>
      </w:r>
      <w:r w:rsidR="00E35BCF">
        <w:rPr>
          <w:rFonts w:eastAsia="Calibri" w:cs="Arial"/>
        </w:rPr>
        <w:t>.</w:t>
      </w:r>
    </w:p>
    <w:p w14:paraId="41CC8849" w14:textId="0B26A56D" w:rsidR="00A453C0" w:rsidRDefault="00232B1A" w:rsidP="00E35BCF">
      <w:pPr>
        <w:spacing w:line="256" w:lineRule="auto"/>
        <w:rPr>
          <w:rFonts w:eastAsia="Calibri" w:cs="Arial"/>
        </w:rPr>
      </w:pPr>
      <w:r>
        <w:rPr>
          <w:rFonts w:eastAsia="Calibri" w:cs="Arial"/>
        </w:rPr>
        <w:t xml:space="preserve">For more information, contact Erika Hudson, EDF International Cooperation Policy Officer </w:t>
      </w:r>
      <w:r w:rsidR="00813B23">
        <w:rPr>
          <w:rFonts w:eastAsia="Calibri" w:cs="Arial"/>
        </w:rPr>
        <w:t xml:space="preserve">at </w:t>
      </w:r>
      <w:hyperlink r:id="rId9" w:history="1">
        <w:r w:rsidR="00813B23" w:rsidRPr="00162499">
          <w:rPr>
            <w:rStyle w:val="Hyperlink"/>
            <w:rFonts w:eastAsia="Calibri" w:cs="Arial"/>
          </w:rPr>
          <w:t>Erika.hudson@edf-feph.org</w:t>
        </w:r>
      </w:hyperlink>
      <w:r w:rsidR="00813B23">
        <w:rPr>
          <w:rFonts w:eastAsia="Calibri" w:cs="Arial"/>
        </w:rPr>
        <w:t>.</w:t>
      </w:r>
    </w:p>
    <w:p w14:paraId="12B491EB" w14:textId="0C92CF33" w:rsidR="00813B23" w:rsidRPr="00E35BCF" w:rsidRDefault="00813B23" w:rsidP="00E35BCF">
      <w:pPr>
        <w:spacing w:line="256" w:lineRule="auto"/>
        <w:rPr>
          <w:rFonts w:eastAsia="Calibri" w:cs="Arial"/>
        </w:rPr>
      </w:pPr>
      <w:r>
        <w:rPr>
          <w:rFonts w:eastAsia="Calibri" w:cs="Arial"/>
        </w:rPr>
        <w:t xml:space="preserve">Published: </w:t>
      </w:r>
      <w:r w:rsidRPr="006879E3">
        <w:rPr>
          <w:rFonts w:eastAsia="Calibri" w:cs="Arial"/>
          <w:b/>
          <w:bCs/>
        </w:rPr>
        <w:t>February 2024</w:t>
      </w:r>
    </w:p>
    <w:sectPr w:rsidR="00813B23" w:rsidRPr="00E35BCF" w:rsidSect="009E11F3">
      <w:headerReference w:type="default" r:id="rId10"/>
      <w:footerReference w:type="default" r:id="rId11"/>
      <w:headerReference w:type="first" r:id="rId12"/>
      <w:pgSz w:w="11906" w:h="16838" w:code="9"/>
      <w:pgMar w:top="1440" w:right="1440" w:bottom="1440" w:left="1440" w:header="720" w:footer="720" w:gutter="0"/>
      <w:pgBorders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98320" w14:textId="77777777" w:rsidR="009E11F3" w:rsidRDefault="009E11F3" w:rsidP="00E47FF5">
      <w:pPr>
        <w:spacing w:after="0" w:line="240" w:lineRule="auto"/>
      </w:pPr>
      <w:r>
        <w:separator/>
      </w:r>
    </w:p>
  </w:endnote>
  <w:endnote w:type="continuationSeparator" w:id="0">
    <w:p w14:paraId="170B0A4C" w14:textId="77777777" w:rsidR="009E11F3" w:rsidRDefault="009E11F3" w:rsidP="00E47FF5">
      <w:pPr>
        <w:spacing w:after="0" w:line="240" w:lineRule="auto"/>
      </w:pPr>
      <w:r>
        <w:continuationSeparator/>
      </w:r>
    </w:p>
  </w:endnote>
  <w:endnote w:type="continuationNotice" w:id="1">
    <w:p w14:paraId="3BC2C198" w14:textId="77777777" w:rsidR="009E11F3" w:rsidRDefault="009E11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0601"/>
      <w:docPartObj>
        <w:docPartGallery w:val="Page Numbers (Bottom of Page)"/>
        <w:docPartUnique/>
      </w:docPartObj>
    </w:sdtPr>
    <w:sdtEndPr/>
    <w:sdtContent>
      <w:p w14:paraId="63306FAB" w14:textId="270C9223" w:rsidR="007C7CD3" w:rsidRDefault="007C7CD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CAF3317" w14:textId="77777777" w:rsidR="00E47FF5" w:rsidRDefault="00E47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B53C5" w14:textId="77777777" w:rsidR="009E11F3" w:rsidRDefault="009E11F3" w:rsidP="00E47FF5">
      <w:pPr>
        <w:spacing w:after="0" w:line="240" w:lineRule="auto"/>
      </w:pPr>
      <w:r>
        <w:separator/>
      </w:r>
    </w:p>
  </w:footnote>
  <w:footnote w:type="continuationSeparator" w:id="0">
    <w:p w14:paraId="2E75B408" w14:textId="77777777" w:rsidR="009E11F3" w:rsidRDefault="009E11F3" w:rsidP="00E47FF5">
      <w:pPr>
        <w:spacing w:after="0" w:line="240" w:lineRule="auto"/>
      </w:pPr>
      <w:r>
        <w:continuationSeparator/>
      </w:r>
    </w:p>
  </w:footnote>
  <w:footnote w:type="continuationNotice" w:id="1">
    <w:p w14:paraId="303D8DDD" w14:textId="77777777" w:rsidR="009E11F3" w:rsidRDefault="009E11F3">
      <w:pPr>
        <w:spacing w:after="0" w:line="240" w:lineRule="auto"/>
      </w:pPr>
    </w:p>
  </w:footnote>
  <w:footnote w:id="2">
    <w:p w14:paraId="6FEDB289" w14:textId="5DD62FD2" w:rsidR="00900C5E" w:rsidRDefault="00900C5E" w:rsidP="00900C5E">
      <w:pPr>
        <w:pStyle w:val="FootnoteText"/>
        <w:contextualSpacing/>
        <w:rPr>
          <w:lang w:val="en-GB"/>
        </w:rPr>
      </w:pPr>
    </w:p>
  </w:footnote>
  <w:footnote w:id="3">
    <w:p w14:paraId="19169601" w14:textId="77777777" w:rsidR="00900C5E" w:rsidRPr="00232B1A" w:rsidRDefault="00900C5E" w:rsidP="00813B23">
      <w:pPr>
        <w:pStyle w:val="FootnoteText"/>
        <w:contextualSpacing/>
        <w:rPr>
          <w:lang w:val="en-GB"/>
        </w:rPr>
      </w:pPr>
      <w:r w:rsidRPr="00232B1A">
        <w:rPr>
          <w:rStyle w:val="FootnoteReference"/>
        </w:rPr>
        <w:footnoteRef/>
      </w:r>
      <w:r w:rsidRPr="00232B1A">
        <w:t xml:space="preserve"> </w:t>
      </w:r>
      <w:r w:rsidRPr="00232B1A">
        <w:rPr>
          <w:lang w:val="en-GB"/>
        </w:rPr>
        <w:t xml:space="preserve">Although the two markers follow the same overall scoring system, there are some differences in the details. The I-marker uses a four-part set of criteria to guide scoring (the criteria cover analysis; objectives/activities; indicators; and evaluation). This is arguably more ambitious than the scoring guidance for the disability inclusion marker, which does not explicitly include all these elements. (For more discussion on gaps in the disability marker scoring system, see </w:t>
      </w:r>
      <w:r w:rsidRPr="00232B1A">
        <w:t xml:space="preserve">Meeks/Atlas Alliance, 2023, </w:t>
      </w:r>
      <w:hyperlink r:id="rId1" w:history="1">
        <w:r w:rsidRPr="00232B1A">
          <w:rPr>
            <w:rStyle w:val="Hyperlink"/>
            <w:color w:val="auto"/>
          </w:rPr>
          <w:t>Tracking disability-inclusive development: making the most of the OECD-DAC disability inclusion policy marker to promote equality and inclusion in international development and humanitarian assistance</w:t>
        </w:r>
      </w:hyperlink>
      <w:r w:rsidRPr="00232B1A">
        <w:t>, pp.19-24).</w:t>
      </w:r>
    </w:p>
  </w:footnote>
  <w:footnote w:id="4">
    <w:p w14:paraId="1285670D" w14:textId="7555D02E" w:rsidR="00900C5E" w:rsidRPr="00A453C0" w:rsidRDefault="00900C5E" w:rsidP="00813B23">
      <w:pPr>
        <w:pStyle w:val="FootnoteText"/>
        <w:contextualSpacing/>
      </w:pPr>
      <w:r>
        <w:rPr>
          <w:rStyle w:val="FootnoteReference"/>
        </w:rPr>
        <w:footnoteRef/>
      </w:r>
      <w:r>
        <w:t xml:space="preserve"> Morabito and Niño-</w:t>
      </w:r>
      <w:proofErr w:type="spellStart"/>
      <w:r>
        <w:t>Zarazúa</w:t>
      </w:r>
      <w:proofErr w:type="spellEnd"/>
      <w:r>
        <w:t xml:space="preserve">/European Commission, 2023, </w:t>
      </w:r>
      <w:hyperlink r:id="rId2" w:history="1">
        <w:r>
          <w:rPr>
            <w:rStyle w:val="Hyperlink"/>
          </w:rPr>
          <w:t>The European Commission inequality marker: guidelines for the application and scoring of interventions</w:t>
        </w:r>
      </w:hyperlink>
      <w:r>
        <w:t>,</w:t>
      </w:r>
      <w:r w:rsidR="00A453C0">
        <w:t xml:space="preserve"> pg. 10</w:t>
      </w:r>
    </w:p>
  </w:footnote>
  <w:footnote w:id="5">
    <w:p w14:paraId="22CF2A87" w14:textId="206A6147" w:rsidR="00900C5E" w:rsidRPr="00A453C0" w:rsidRDefault="00900C5E" w:rsidP="00813B23">
      <w:pPr>
        <w:pStyle w:val="FootnoteText"/>
        <w:contextualSpacing/>
        <w:rPr>
          <w:sz w:val="2"/>
          <w:szCs w:val="2"/>
        </w:rPr>
      </w:pPr>
    </w:p>
  </w:footnote>
  <w:footnote w:id="6">
    <w:p w14:paraId="009F377E" w14:textId="77777777" w:rsidR="00900C5E" w:rsidRDefault="00900C5E" w:rsidP="00813B23">
      <w:pPr>
        <w:pStyle w:val="FootnoteText"/>
        <w:contextualSpacing/>
        <w:rPr>
          <w:lang w:val="en-GB"/>
        </w:rPr>
      </w:pPr>
      <w:r>
        <w:rPr>
          <w:rStyle w:val="FootnoteReference"/>
        </w:rPr>
        <w:footnoteRef/>
      </w:r>
      <w:r>
        <w:t xml:space="preserve"> </w:t>
      </w:r>
      <w:r>
        <w:rPr>
          <w:lang w:val="en-GB"/>
        </w:rPr>
        <w:t>Source: analysis of OECD-DAC Creditor Reporting System commitments data for 2021. Data downloaded in December 2023. Analysis excludes Estonia and Lithuania as they joined the OECD-DAC after 2021.</w:t>
      </w:r>
    </w:p>
  </w:footnote>
  <w:footnote w:id="7">
    <w:p w14:paraId="505B006C" w14:textId="77777777" w:rsidR="00AE38A0" w:rsidRDefault="00AE38A0" w:rsidP="00AE38A0">
      <w:pPr>
        <w:pStyle w:val="FootnoteText"/>
        <w:rPr>
          <w:lang w:val="en-GB"/>
        </w:rPr>
      </w:pPr>
      <w:r>
        <w:rPr>
          <w:rStyle w:val="FootnoteReference"/>
        </w:rPr>
        <w:footnoteRef/>
      </w:r>
      <w:r>
        <w:t xml:space="preserve"> </w:t>
      </w:r>
      <w:r>
        <w:rPr>
          <w:lang w:val="en-GB"/>
        </w:rPr>
        <w:t>Morabito, comments during European Parliament event on ‘</w:t>
      </w:r>
      <w:hyperlink r:id="rId3" w:history="1">
        <w:r>
          <w:rPr>
            <w:rStyle w:val="Hyperlink"/>
            <w:lang w:val="en-GB"/>
          </w:rPr>
          <w:t>Tackling inequalities: paving the way for a sustainable future</w:t>
        </w:r>
      </w:hyperlink>
      <w:r>
        <w:rPr>
          <w:lang w:val="en-GB"/>
        </w:rPr>
        <w:t>’ (event organised by S&amp;D Group in October 2023)</w:t>
      </w:r>
    </w:p>
  </w:footnote>
  <w:footnote w:id="8">
    <w:p w14:paraId="4E2C1C1B" w14:textId="77777777" w:rsidR="00AE38A0" w:rsidRDefault="00AE38A0" w:rsidP="00AE38A0">
      <w:pPr>
        <w:pStyle w:val="FootnoteText"/>
        <w:rPr>
          <w:lang w:val="en-GB"/>
        </w:rPr>
      </w:pPr>
      <w:r>
        <w:rPr>
          <w:rStyle w:val="FootnoteReference"/>
        </w:rPr>
        <w:footnoteRef/>
      </w:r>
      <w:r>
        <w:t xml:space="preserve"> Morabito and Niño-</w:t>
      </w:r>
      <w:proofErr w:type="spellStart"/>
      <w:r>
        <w:t>Zarazúa</w:t>
      </w:r>
      <w:proofErr w:type="spellEnd"/>
      <w:r>
        <w:t xml:space="preserve">/European Commission, 2023, </w:t>
      </w:r>
      <w:hyperlink r:id="rId4" w:history="1">
        <w:r>
          <w:rPr>
            <w:rStyle w:val="Hyperlink"/>
          </w:rPr>
          <w:t>The European Commission inequality marker: guidelines for the application and scoring of interventions</w:t>
        </w:r>
      </w:hyperlink>
      <w:r>
        <w:t>, p.17</w:t>
      </w:r>
    </w:p>
  </w:footnote>
  <w:footnote w:id="9">
    <w:p w14:paraId="0D3F0EBB" w14:textId="77777777" w:rsidR="00AE38A0" w:rsidRDefault="00AE38A0" w:rsidP="00AE38A0">
      <w:pPr>
        <w:pStyle w:val="FootnoteText"/>
        <w:rPr>
          <w:lang w:val="en-GB"/>
        </w:rPr>
      </w:pPr>
      <w:r>
        <w:rPr>
          <w:rStyle w:val="FootnoteReference"/>
        </w:rPr>
        <w:footnoteRef/>
      </w:r>
      <w:r>
        <w:t xml:space="preserve"> Morabito and Niño-</w:t>
      </w:r>
      <w:proofErr w:type="spellStart"/>
      <w:r>
        <w:t>Zarazúa</w:t>
      </w:r>
      <w:proofErr w:type="spellEnd"/>
      <w:r>
        <w:t xml:space="preserve">/European Commission, 2023, </w:t>
      </w:r>
      <w:hyperlink r:id="rId5" w:history="1">
        <w:r>
          <w:rPr>
            <w:rStyle w:val="Hyperlink"/>
          </w:rPr>
          <w:t>The European Commission inequality marker: guidelines for the application and scoring of interventions</w:t>
        </w:r>
      </w:hyperlink>
      <w:r>
        <w:t>, pp.18,20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18C7E" w14:textId="35957F79" w:rsidR="004D6E18" w:rsidRDefault="004D6E18" w:rsidP="004D6E18">
    <w:pPr>
      <w:pStyle w:val="Header"/>
      <w:jc w:val="center"/>
    </w:pPr>
    <w:r w:rsidRPr="004D6E18">
      <w:rPr>
        <w:noProof/>
      </w:rPr>
      <w:drawing>
        <wp:inline distT="0" distB="0" distL="0" distR="0" wp14:anchorId="43480446" wp14:editId="13DF3347">
          <wp:extent cx="476250" cy="526975"/>
          <wp:effectExtent l="0" t="0" r="0" b="6985"/>
          <wp:docPr id="6" name="Picture 5" descr="A blue circle with red and white stripes&#10;&#10;Description automatically generated">
            <a:extLst xmlns:a="http://schemas.openxmlformats.org/drawingml/2006/main">
              <a:ext uri="{FF2B5EF4-FFF2-40B4-BE49-F238E27FC236}">
                <a16:creationId xmlns:a16="http://schemas.microsoft.com/office/drawing/2014/main" id="{79785A2A-D192-FDE6-61E6-2EB8DB7075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blue circle with red and white stripes&#10;&#10;Description automatically generated">
                    <a:extLst>
                      <a:ext uri="{FF2B5EF4-FFF2-40B4-BE49-F238E27FC236}">
                        <a16:creationId xmlns:a16="http://schemas.microsoft.com/office/drawing/2014/main" id="{79785A2A-D192-FDE6-61E6-2EB8DB707504}"/>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85639" cy="53736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CCFC" w14:textId="77777777" w:rsidR="00942291" w:rsidRDefault="00942291">
    <w:pPr>
      <w:pStyle w:val="Header"/>
      <w:rPr>
        <w:noProof/>
      </w:rPr>
    </w:pPr>
  </w:p>
  <w:p w14:paraId="460AE39F" w14:textId="2E9186B6" w:rsidR="009E0409" w:rsidRDefault="00942291">
    <w:pPr>
      <w:pStyle w:val="Header"/>
    </w:pPr>
    <w:r>
      <w:rPr>
        <w:noProof/>
      </w:rPr>
      <w:drawing>
        <wp:inline distT="0" distB="0" distL="0" distR="0" wp14:anchorId="42BA056E" wp14:editId="358709B2">
          <wp:extent cx="5731510" cy="1228725"/>
          <wp:effectExtent l="0" t="0" r="2540" b="9525"/>
          <wp:docPr id="5732621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9545" b="31161"/>
                  <a:stretch/>
                </pic:blipFill>
                <pic:spPr bwMode="auto">
                  <a:xfrm>
                    <a:off x="0" y="0"/>
                    <a:ext cx="5731510" cy="12287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A71211"/>
    <w:multiLevelType w:val="hybridMultilevel"/>
    <w:tmpl w:val="6D943A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805780050">
    <w:abstractNumId w:val="0"/>
  </w:num>
  <w:num w:numId="2" w16cid:durableId="1482889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5"/>
    <w:rsid w:val="00054D5A"/>
    <w:rsid w:val="0008516E"/>
    <w:rsid w:val="000B47EB"/>
    <w:rsid w:val="000C1E9C"/>
    <w:rsid w:val="000D37E5"/>
    <w:rsid w:val="00187E62"/>
    <w:rsid w:val="001C0A33"/>
    <w:rsid w:val="001D155D"/>
    <w:rsid w:val="001D3405"/>
    <w:rsid w:val="001D45A7"/>
    <w:rsid w:val="001E0F08"/>
    <w:rsid w:val="00230045"/>
    <w:rsid w:val="00232B1A"/>
    <w:rsid w:val="00282B80"/>
    <w:rsid w:val="002E42BA"/>
    <w:rsid w:val="00355289"/>
    <w:rsid w:val="003C78D1"/>
    <w:rsid w:val="003D1BF3"/>
    <w:rsid w:val="003F25C9"/>
    <w:rsid w:val="004136FE"/>
    <w:rsid w:val="00436212"/>
    <w:rsid w:val="00487478"/>
    <w:rsid w:val="004D6E18"/>
    <w:rsid w:val="005251DD"/>
    <w:rsid w:val="00541EBA"/>
    <w:rsid w:val="00573E19"/>
    <w:rsid w:val="005B01F0"/>
    <w:rsid w:val="005D414D"/>
    <w:rsid w:val="005E7910"/>
    <w:rsid w:val="00606390"/>
    <w:rsid w:val="006879E3"/>
    <w:rsid w:val="006A6BD9"/>
    <w:rsid w:val="006C1A26"/>
    <w:rsid w:val="006D0B23"/>
    <w:rsid w:val="0073314E"/>
    <w:rsid w:val="007C7CD3"/>
    <w:rsid w:val="008054A7"/>
    <w:rsid w:val="008065A5"/>
    <w:rsid w:val="00813B23"/>
    <w:rsid w:val="00851FD4"/>
    <w:rsid w:val="00891EDF"/>
    <w:rsid w:val="008A0EA8"/>
    <w:rsid w:val="008C4E44"/>
    <w:rsid w:val="008D02D9"/>
    <w:rsid w:val="008D69AE"/>
    <w:rsid w:val="00900C5E"/>
    <w:rsid w:val="009277BC"/>
    <w:rsid w:val="00942291"/>
    <w:rsid w:val="0095558F"/>
    <w:rsid w:val="00963D1C"/>
    <w:rsid w:val="009714AD"/>
    <w:rsid w:val="009C6542"/>
    <w:rsid w:val="009E0409"/>
    <w:rsid w:val="009E11F3"/>
    <w:rsid w:val="00A453C0"/>
    <w:rsid w:val="00A5658C"/>
    <w:rsid w:val="00A6500E"/>
    <w:rsid w:val="00A65960"/>
    <w:rsid w:val="00A9576D"/>
    <w:rsid w:val="00AD55B8"/>
    <w:rsid w:val="00AE38A0"/>
    <w:rsid w:val="00AE5AF8"/>
    <w:rsid w:val="00B30927"/>
    <w:rsid w:val="00B515CD"/>
    <w:rsid w:val="00B7291C"/>
    <w:rsid w:val="00C921D2"/>
    <w:rsid w:val="00CC5778"/>
    <w:rsid w:val="00CD5C83"/>
    <w:rsid w:val="00D11DAB"/>
    <w:rsid w:val="00D71C17"/>
    <w:rsid w:val="00D82319"/>
    <w:rsid w:val="00DC74F6"/>
    <w:rsid w:val="00E35BCF"/>
    <w:rsid w:val="00E41423"/>
    <w:rsid w:val="00E47FF5"/>
    <w:rsid w:val="00E62CBF"/>
    <w:rsid w:val="00E87EAF"/>
    <w:rsid w:val="00EA0706"/>
    <w:rsid w:val="00EC688E"/>
    <w:rsid w:val="00F34A74"/>
    <w:rsid w:val="00F5051D"/>
    <w:rsid w:val="00F82D51"/>
    <w:rsid w:val="00F87208"/>
    <w:rsid w:val="00FF5A99"/>
    <w:rsid w:val="3B2336B2"/>
    <w:rsid w:val="50866C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196B5"/>
  <w15:chartTrackingRefBased/>
  <w15:docId w15:val="{8766031F-BB99-420D-94A4-42A2E7B6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0"/>
    <w:rPr>
      <w:rFonts w:ascii="Verdana" w:hAnsi="Verdana"/>
      <w:sz w:val="24"/>
    </w:rPr>
  </w:style>
  <w:style w:type="paragraph" w:styleId="Heading1">
    <w:name w:val="heading 1"/>
    <w:basedOn w:val="Normal"/>
    <w:next w:val="Normal"/>
    <w:link w:val="Heading1Ch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rsid w:val="00187E62"/>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Heading3">
    <w:name w:val="heading 3"/>
    <w:basedOn w:val="Normal"/>
    <w:next w:val="Normal"/>
    <w:link w:val="Heading3Char"/>
    <w:uiPriority w:val="9"/>
    <w:unhideWhenUsed/>
    <w:qFormat/>
    <w:rsid w:val="00187E62"/>
    <w:pPr>
      <w:keepNext/>
      <w:keepLines/>
      <w:spacing w:before="120" w:after="120"/>
      <w:outlineLvl w:val="2"/>
    </w:pPr>
    <w:rPr>
      <w:rFonts w:ascii="Arial" w:eastAsiaTheme="majorEastAsia" w:hAnsi="Arial" w:cstheme="majorBidi"/>
      <w:b/>
      <w:color w:val="A20000"/>
      <w:sz w:val="28"/>
      <w:szCs w:val="24"/>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6D0B23"/>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D0B23"/>
    <w:pPr>
      <w:spacing w:after="100"/>
    </w:pPr>
  </w:style>
  <w:style w:type="character" w:styleId="Hyperlink">
    <w:name w:val="Hyperlink"/>
    <w:basedOn w:val="DefaultParagraphFont"/>
    <w:uiPriority w:val="99"/>
    <w:unhideWhenUsed/>
    <w:rsid w:val="006D0B23"/>
    <w:rPr>
      <w:color w:val="0563C1" w:themeColor="hyperlink"/>
      <w:u w:val="single"/>
    </w:rPr>
  </w:style>
  <w:style w:type="character" w:styleId="UnresolvedMention">
    <w:name w:val="Unresolved Mention"/>
    <w:basedOn w:val="DefaultParagraphFont"/>
    <w:uiPriority w:val="99"/>
    <w:semiHidden/>
    <w:unhideWhenUsed/>
    <w:rsid w:val="00A9576D"/>
    <w:rPr>
      <w:color w:val="605E5C"/>
      <w:shd w:val="clear" w:color="auto" w:fill="E1DFDD"/>
    </w:rPr>
  </w:style>
  <w:style w:type="table" w:styleId="TableGrid">
    <w:name w:val="Table Grid"/>
    <w:basedOn w:val="TableNormal"/>
    <w:uiPriority w:val="3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7BC"/>
    <w:pPr>
      <w:ind w:left="720"/>
      <w:contextualSpacing/>
    </w:pPr>
  </w:style>
  <w:style w:type="character" w:customStyle="1" w:styleId="Heading2Char">
    <w:name w:val="Heading 2 Char"/>
    <w:basedOn w:val="DefaultParagraphFont"/>
    <w:link w:val="Heading2"/>
    <w:uiPriority w:val="9"/>
    <w:rsid w:val="00187E62"/>
    <w:rPr>
      <w:rFonts w:ascii="Arial" w:eastAsiaTheme="majorEastAsia" w:hAnsi="Arial" w:cstheme="majorBidi"/>
      <w:b/>
      <w:color w:val="FFFFFF" w:themeColor="background1"/>
      <w:sz w:val="28"/>
      <w:szCs w:val="26"/>
      <w:shd w:val="clear" w:color="auto" w:fill="C00000"/>
    </w:rPr>
  </w:style>
  <w:style w:type="character" w:customStyle="1" w:styleId="Heading3Char">
    <w:name w:val="Heading 3 Char"/>
    <w:basedOn w:val="DefaultParagraphFont"/>
    <w:link w:val="Heading3"/>
    <w:uiPriority w:val="9"/>
    <w:rsid w:val="00187E62"/>
    <w:rPr>
      <w:rFonts w:ascii="Arial" w:eastAsiaTheme="majorEastAsia" w:hAnsi="Arial" w:cstheme="majorBidi"/>
      <w:b/>
      <w:color w:val="A20000"/>
      <w:sz w:val="28"/>
      <w:szCs w:val="24"/>
    </w:rPr>
  </w:style>
  <w:style w:type="paragraph" w:styleId="TOC2">
    <w:name w:val="toc 2"/>
    <w:basedOn w:val="Normal"/>
    <w:next w:val="Normal"/>
    <w:autoRedefine/>
    <w:uiPriority w:val="39"/>
    <w:unhideWhenUsed/>
    <w:rsid w:val="00282B80"/>
    <w:pPr>
      <w:spacing w:after="100"/>
      <w:ind w:left="240"/>
    </w:pPr>
  </w:style>
  <w:style w:type="character" w:customStyle="1" w:styleId="Heading4Char">
    <w:name w:val="Heading 4 Char"/>
    <w:basedOn w:val="DefaultParagraphFont"/>
    <w:link w:val="Heading4"/>
    <w:uiPriority w:val="9"/>
    <w:rsid w:val="00187E62"/>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 w:type="paragraph" w:styleId="FootnoteText">
    <w:name w:val="footnote text"/>
    <w:basedOn w:val="Normal"/>
    <w:link w:val="FootnoteTextChar"/>
    <w:uiPriority w:val="99"/>
    <w:semiHidden/>
    <w:unhideWhenUsed/>
    <w:rsid w:val="008A0EA8"/>
    <w:pPr>
      <w:spacing w:after="0" w:line="240" w:lineRule="auto"/>
    </w:pPr>
    <w:rPr>
      <w:rFonts w:eastAsia="Calibri" w:cs="Arial"/>
      <w:sz w:val="20"/>
      <w:szCs w:val="20"/>
    </w:rPr>
  </w:style>
  <w:style w:type="character" w:customStyle="1" w:styleId="FootnoteTextChar">
    <w:name w:val="Footnote Text Char"/>
    <w:basedOn w:val="DefaultParagraphFont"/>
    <w:link w:val="FootnoteText"/>
    <w:uiPriority w:val="99"/>
    <w:semiHidden/>
    <w:rsid w:val="008A0EA8"/>
    <w:rPr>
      <w:rFonts w:ascii="Verdana" w:eastAsia="Calibri" w:hAnsi="Verdana" w:cs="Arial"/>
      <w:sz w:val="20"/>
      <w:szCs w:val="20"/>
    </w:rPr>
  </w:style>
  <w:style w:type="character" w:styleId="FootnoteReference">
    <w:name w:val="footnote reference"/>
    <w:basedOn w:val="DefaultParagraphFont"/>
    <w:uiPriority w:val="99"/>
    <w:semiHidden/>
    <w:unhideWhenUsed/>
    <w:rsid w:val="008A0EA8"/>
    <w:rPr>
      <w:vertAlign w:val="superscript"/>
    </w:rPr>
  </w:style>
  <w:style w:type="table" w:customStyle="1" w:styleId="TableGrid1">
    <w:name w:val="Table Grid1"/>
    <w:basedOn w:val="TableNormal"/>
    <w:next w:val="TableGrid"/>
    <w:uiPriority w:val="39"/>
    <w:rsid w:val="00900C5E"/>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6022">
      <w:bodyDiv w:val="1"/>
      <w:marLeft w:val="0"/>
      <w:marRight w:val="0"/>
      <w:marTop w:val="0"/>
      <w:marBottom w:val="0"/>
      <w:divBdr>
        <w:top w:val="none" w:sz="0" w:space="0" w:color="auto"/>
        <w:left w:val="none" w:sz="0" w:space="0" w:color="auto"/>
        <w:bottom w:val="none" w:sz="0" w:space="0" w:color="auto"/>
        <w:right w:val="none" w:sz="0" w:space="0" w:color="auto"/>
      </w:divBdr>
    </w:div>
    <w:div w:id="148521305">
      <w:bodyDiv w:val="1"/>
      <w:marLeft w:val="0"/>
      <w:marRight w:val="0"/>
      <w:marTop w:val="0"/>
      <w:marBottom w:val="0"/>
      <w:divBdr>
        <w:top w:val="none" w:sz="0" w:space="0" w:color="auto"/>
        <w:left w:val="none" w:sz="0" w:space="0" w:color="auto"/>
        <w:bottom w:val="none" w:sz="0" w:space="0" w:color="auto"/>
        <w:right w:val="none" w:sz="0" w:space="0" w:color="auto"/>
      </w:divBdr>
    </w:div>
    <w:div w:id="580024313">
      <w:bodyDiv w:val="1"/>
      <w:marLeft w:val="0"/>
      <w:marRight w:val="0"/>
      <w:marTop w:val="0"/>
      <w:marBottom w:val="0"/>
      <w:divBdr>
        <w:top w:val="none" w:sz="0" w:space="0" w:color="auto"/>
        <w:left w:val="none" w:sz="0" w:space="0" w:color="auto"/>
        <w:bottom w:val="none" w:sz="0" w:space="0" w:color="auto"/>
        <w:right w:val="none" w:sz="0" w:space="0" w:color="auto"/>
      </w:divBdr>
    </w:div>
    <w:div w:id="639116396">
      <w:bodyDiv w:val="1"/>
      <w:marLeft w:val="0"/>
      <w:marRight w:val="0"/>
      <w:marTop w:val="0"/>
      <w:marBottom w:val="0"/>
      <w:divBdr>
        <w:top w:val="none" w:sz="0" w:space="0" w:color="auto"/>
        <w:left w:val="none" w:sz="0" w:space="0" w:color="auto"/>
        <w:bottom w:val="none" w:sz="0" w:space="0" w:color="auto"/>
        <w:right w:val="none" w:sz="0" w:space="0" w:color="auto"/>
      </w:divBdr>
    </w:div>
    <w:div w:id="844787375">
      <w:bodyDiv w:val="1"/>
      <w:marLeft w:val="0"/>
      <w:marRight w:val="0"/>
      <w:marTop w:val="0"/>
      <w:marBottom w:val="0"/>
      <w:divBdr>
        <w:top w:val="none" w:sz="0" w:space="0" w:color="auto"/>
        <w:left w:val="none" w:sz="0" w:space="0" w:color="auto"/>
        <w:bottom w:val="none" w:sz="0" w:space="0" w:color="auto"/>
        <w:right w:val="none" w:sz="0" w:space="0" w:color="auto"/>
      </w:divBdr>
    </w:div>
    <w:div w:id="1196112242">
      <w:bodyDiv w:val="1"/>
      <w:marLeft w:val="0"/>
      <w:marRight w:val="0"/>
      <w:marTop w:val="0"/>
      <w:marBottom w:val="0"/>
      <w:divBdr>
        <w:top w:val="none" w:sz="0" w:space="0" w:color="auto"/>
        <w:left w:val="none" w:sz="0" w:space="0" w:color="auto"/>
        <w:bottom w:val="none" w:sz="0" w:space="0" w:color="auto"/>
        <w:right w:val="none" w:sz="0" w:space="0" w:color="auto"/>
      </w:divBdr>
    </w:div>
    <w:div w:id="202442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f-feph.org/content/uploads/2024/01/Marker-report-final.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rika.hudson@edf-feph.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ocialistsanddemocrats.eu/events/tackling-inequality-paving-way-sustainable-future" TargetMode="External"/><Relationship Id="rId2" Type="http://schemas.openxmlformats.org/officeDocument/2006/relationships/hyperlink" Target="https://op.europa.eu/en/publication-detail/-/publication/2faa22b4-a8fb-11ed-b508-01aa75ed71a1/language-en/format-PDF/source-280515442" TargetMode="External"/><Relationship Id="rId1" Type="http://schemas.openxmlformats.org/officeDocument/2006/relationships/hyperlink" Target="https://uploads-ssl.webflow.com/60fea532c3e33e5c5701d99a/6450f0a913cabf92e26b88d9_Report%20OECD-DAC%20FINAL.docx" TargetMode="External"/><Relationship Id="rId5" Type="http://schemas.openxmlformats.org/officeDocument/2006/relationships/hyperlink" Target="https://op.europa.eu/en/publication-detail/-/publication/2faa22b4-a8fb-11ed-b508-01aa75ed71a1/language-en/format-PDF/source-280515442" TargetMode="External"/><Relationship Id="rId4" Type="http://schemas.openxmlformats.org/officeDocument/2006/relationships/hyperlink" Target="https://op.europa.eu/en/publication-detail/-/publication/2faa22b4-a8fb-11ed-b508-01aa75ed71a1/language-en/format-PDF/source-28051544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41FD9-CC1E-43C6-9F50-396927224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Links>
    <vt:vector size="42" baseType="variant">
      <vt:variant>
        <vt:i4>6291548</vt:i4>
      </vt:variant>
      <vt:variant>
        <vt:i4>3</vt:i4>
      </vt:variant>
      <vt:variant>
        <vt:i4>0</vt:i4>
      </vt:variant>
      <vt:variant>
        <vt:i4>5</vt:i4>
      </vt:variant>
      <vt:variant>
        <vt:lpwstr>mailto:Erika.hudson@edf-feph.org</vt:lpwstr>
      </vt:variant>
      <vt:variant>
        <vt:lpwstr/>
      </vt:variant>
      <vt:variant>
        <vt:i4>4653151</vt:i4>
      </vt:variant>
      <vt:variant>
        <vt:i4>0</vt:i4>
      </vt:variant>
      <vt:variant>
        <vt:i4>0</vt:i4>
      </vt:variant>
      <vt:variant>
        <vt:i4>5</vt:i4>
      </vt:variant>
      <vt:variant>
        <vt:lpwstr>https://www.edf-feph.org/content/uploads/2024/01/Marker-report-final.docx</vt:lpwstr>
      </vt:variant>
      <vt:variant>
        <vt:lpwstr/>
      </vt:variant>
      <vt:variant>
        <vt:i4>1376331</vt:i4>
      </vt:variant>
      <vt:variant>
        <vt:i4>12</vt:i4>
      </vt:variant>
      <vt:variant>
        <vt:i4>0</vt:i4>
      </vt:variant>
      <vt:variant>
        <vt:i4>5</vt:i4>
      </vt:variant>
      <vt:variant>
        <vt:lpwstr>https://op.europa.eu/en/publication-detail/-/publication/2faa22b4-a8fb-11ed-b508-01aa75ed71a1/language-en/format-PDF/source-280515442</vt:lpwstr>
      </vt:variant>
      <vt:variant>
        <vt:lpwstr/>
      </vt:variant>
      <vt:variant>
        <vt:i4>1376331</vt:i4>
      </vt:variant>
      <vt:variant>
        <vt:i4>9</vt:i4>
      </vt:variant>
      <vt:variant>
        <vt:i4>0</vt:i4>
      </vt:variant>
      <vt:variant>
        <vt:i4>5</vt:i4>
      </vt:variant>
      <vt:variant>
        <vt:lpwstr>https://op.europa.eu/en/publication-detail/-/publication/2faa22b4-a8fb-11ed-b508-01aa75ed71a1/language-en/format-PDF/source-280515442</vt:lpwstr>
      </vt:variant>
      <vt:variant>
        <vt:lpwstr/>
      </vt:variant>
      <vt:variant>
        <vt:i4>6750308</vt:i4>
      </vt:variant>
      <vt:variant>
        <vt:i4>6</vt:i4>
      </vt:variant>
      <vt:variant>
        <vt:i4>0</vt:i4>
      </vt:variant>
      <vt:variant>
        <vt:i4>5</vt:i4>
      </vt:variant>
      <vt:variant>
        <vt:lpwstr>https://www.socialistsanddemocrats.eu/events/tackling-inequality-paving-way-sustainable-future</vt:lpwstr>
      </vt:variant>
      <vt:variant>
        <vt:lpwstr/>
      </vt:variant>
      <vt:variant>
        <vt:i4>1376331</vt:i4>
      </vt:variant>
      <vt:variant>
        <vt:i4>3</vt:i4>
      </vt:variant>
      <vt:variant>
        <vt:i4>0</vt:i4>
      </vt:variant>
      <vt:variant>
        <vt:i4>5</vt:i4>
      </vt:variant>
      <vt:variant>
        <vt:lpwstr>https://op.europa.eu/en/publication-detail/-/publication/2faa22b4-a8fb-11ed-b508-01aa75ed71a1/language-en/format-PDF/source-280515442</vt:lpwstr>
      </vt:variant>
      <vt:variant>
        <vt:lpwstr/>
      </vt:variant>
      <vt:variant>
        <vt:i4>6291534</vt:i4>
      </vt:variant>
      <vt:variant>
        <vt:i4>0</vt:i4>
      </vt:variant>
      <vt:variant>
        <vt:i4>0</vt:i4>
      </vt:variant>
      <vt:variant>
        <vt:i4>5</vt:i4>
      </vt:variant>
      <vt:variant>
        <vt:lpwstr>https://uploads-ssl.webflow.com/60fea532c3e33e5c5701d99a/6450f0a913cabf92e26b88d9_Report OECD-DAC FINAL.docx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Erika Hudson</cp:lastModifiedBy>
  <cp:revision>2</cp:revision>
  <dcterms:created xsi:type="dcterms:W3CDTF">2024-03-07T13:26:00Z</dcterms:created>
  <dcterms:modified xsi:type="dcterms:W3CDTF">2024-03-07T13:26:00Z</dcterms:modified>
</cp:coreProperties>
</file>