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0AD14" w14:textId="27685767" w:rsidR="00C40285" w:rsidRDefault="00E55227" w:rsidP="00C40285">
      <w:pPr>
        <w:rPr>
          <w:sz w:val="48"/>
          <w:szCs w:val="48"/>
          <w:lang w:val="en-US"/>
        </w:rPr>
      </w:pPr>
      <w:r w:rsidRPr="00C40285">
        <w:rPr>
          <w:noProof/>
          <w:sz w:val="48"/>
          <w:szCs w:val="48"/>
        </w:rPr>
        <w:drawing>
          <wp:anchor distT="0" distB="0" distL="114300" distR="114300" simplePos="0" relativeHeight="251659264" behindDoc="1" locked="0" layoutInCell="1" allowOverlap="1" wp14:anchorId="0FCAC17E" wp14:editId="7A1ECA43">
            <wp:simplePos x="0" y="0"/>
            <wp:positionH relativeFrom="margin">
              <wp:align>center</wp:align>
            </wp:positionH>
            <wp:positionV relativeFrom="paragraph">
              <wp:posOffset>-509270</wp:posOffset>
            </wp:positionV>
            <wp:extent cx="6943725" cy="9886950"/>
            <wp:effectExtent l="0" t="0" r="9525" b="0"/>
            <wp:wrapNone/>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943725" cy="9886950"/>
                    </a:xfrm>
                    <a:prstGeom prst="rect">
                      <a:avLst/>
                    </a:prstGeom>
                  </pic:spPr>
                </pic:pic>
              </a:graphicData>
            </a:graphic>
            <wp14:sizeRelH relativeFrom="margin">
              <wp14:pctWidth>0</wp14:pctWidth>
            </wp14:sizeRelH>
            <wp14:sizeRelV relativeFrom="margin">
              <wp14:pctHeight>0</wp14:pctHeight>
            </wp14:sizeRelV>
          </wp:anchor>
        </w:drawing>
      </w:r>
      <w:r w:rsidR="006804DA" w:rsidRPr="00C40285">
        <w:rPr>
          <w:rFonts w:cs="Times New Roman"/>
          <w:noProof/>
          <w:spacing w:val="-10"/>
          <w:kern w:val="28"/>
          <w:sz w:val="48"/>
          <w:szCs w:val="48"/>
          <w:lang w:val="en-US"/>
        </w:rPr>
        <w:drawing>
          <wp:anchor distT="0" distB="0" distL="114300" distR="114300" simplePos="0" relativeHeight="251658240" behindDoc="1" locked="0" layoutInCell="1" allowOverlap="1" wp14:anchorId="334E26D9" wp14:editId="2E1295AD">
            <wp:simplePos x="0" y="0"/>
            <wp:positionH relativeFrom="page">
              <wp:align>right</wp:align>
            </wp:positionH>
            <wp:positionV relativeFrom="paragraph">
              <wp:posOffset>-899795</wp:posOffset>
            </wp:positionV>
            <wp:extent cx="7610475" cy="11276257"/>
            <wp:effectExtent l="0" t="0" r="0" b="190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7610475" cy="11276257"/>
                    </a:xfrm>
                    <a:prstGeom prst="rect">
                      <a:avLst/>
                    </a:prstGeom>
                  </pic:spPr>
                </pic:pic>
              </a:graphicData>
            </a:graphic>
            <wp14:sizeRelH relativeFrom="page">
              <wp14:pctWidth>0</wp14:pctWidth>
            </wp14:sizeRelH>
            <wp14:sizeRelV relativeFrom="page">
              <wp14:pctHeight>0</wp14:pctHeight>
            </wp14:sizeRelV>
          </wp:anchor>
        </w:drawing>
      </w:r>
    </w:p>
    <w:p w14:paraId="2F3FD73E" w14:textId="77777777" w:rsidR="00E521A9" w:rsidRDefault="00E521A9" w:rsidP="00C40285">
      <w:pPr>
        <w:rPr>
          <w:rFonts w:eastAsiaTheme="minorEastAsia" w:cs="Times New Roman"/>
          <w:b/>
          <w:color w:val="FFFFFF" w:themeColor="background1"/>
          <w:spacing w:val="15"/>
          <w:sz w:val="52"/>
          <w:szCs w:val="32"/>
          <w:lang w:val="en-US"/>
        </w:rPr>
      </w:pPr>
    </w:p>
    <w:p w14:paraId="41590E17" w14:textId="045E4313" w:rsidR="00C40285" w:rsidRDefault="00E521A9" w:rsidP="00C40285">
      <w:pPr>
        <w:rPr>
          <w:rFonts w:eastAsiaTheme="minorEastAsia" w:cs="Times New Roman"/>
          <w:b/>
          <w:color w:val="FFFFFF" w:themeColor="background1"/>
          <w:spacing w:val="15"/>
          <w:sz w:val="52"/>
          <w:szCs w:val="32"/>
          <w:lang w:val="en-US"/>
        </w:rPr>
      </w:pPr>
      <w:r w:rsidRPr="00C40285">
        <w:rPr>
          <w:noProof/>
          <w:sz w:val="48"/>
          <w:szCs w:val="48"/>
        </w:rPr>
        <w:drawing>
          <wp:anchor distT="0" distB="0" distL="114300" distR="114300" simplePos="0" relativeHeight="251663360" behindDoc="1" locked="0" layoutInCell="1" allowOverlap="1" wp14:anchorId="359EAF9B" wp14:editId="4A5A7D8E">
            <wp:simplePos x="0" y="0"/>
            <wp:positionH relativeFrom="margin">
              <wp:posOffset>-327841</wp:posOffset>
            </wp:positionH>
            <wp:positionV relativeFrom="margin">
              <wp:posOffset>966651</wp:posOffset>
            </wp:positionV>
            <wp:extent cx="1816100" cy="1816100"/>
            <wp:effectExtent l="0" t="0" r="0"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6100" cy="1816100"/>
                    </a:xfrm>
                    <a:prstGeom prst="rect">
                      <a:avLst/>
                    </a:prstGeom>
                    <a:noFill/>
                  </pic:spPr>
                </pic:pic>
              </a:graphicData>
            </a:graphic>
            <wp14:sizeRelH relativeFrom="margin">
              <wp14:pctWidth>0</wp14:pctWidth>
            </wp14:sizeRelH>
            <wp14:sizeRelV relativeFrom="margin">
              <wp14:pctHeight>0</wp14:pctHeight>
            </wp14:sizeRelV>
          </wp:anchor>
        </w:drawing>
      </w:r>
      <w:r w:rsidR="00C40285" w:rsidRPr="00C40285">
        <w:rPr>
          <w:rFonts w:eastAsiaTheme="minorEastAsia" w:cs="Times New Roman"/>
          <w:b/>
          <w:color w:val="FFFFFF" w:themeColor="background1"/>
          <w:spacing w:val="15"/>
          <w:sz w:val="52"/>
          <w:szCs w:val="32"/>
          <w:lang w:val="en-US"/>
        </w:rPr>
        <w:t>Alternative report for the second review of the European Union by the CRPD Committee</w:t>
      </w:r>
    </w:p>
    <w:p w14:paraId="7F8EC9C3" w14:textId="77777777" w:rsidR="00C40285" w:rsidRPr="00C40285" w:rsidRDefault="00C40285" w:rsidP="00C40285">
      <w:pPr>
        <w:rPr>
          <w:sz w:val="72"/>
          <w:szCs w:val="72"/>
          <w:lang w:val="en-US"/>
        </w:rPr>
      </w:pPr>
    </w:p>
    <w:p w14:paraId="594B03B3" w14:textId="77777777" w:rsidR="00C40285" w:rsidRDefault="00C40285" w:rsidP="00E55227">
      <w:pPr>
        <w:numPr>
          <w:ilvl w:val="1"/>
          <w:numId w:val="0"/>
        </w:numPr>
        <w:spacing w:before="480" w:after="120" w:line="259" w:lineRule="auto"/>
        <w:rPr>
          <w:rFonts w:eastAsiaTheme="minorEastAsia" w:cs="Times New Roman"/>
          <w:b/>
          <w:color w:val="FFFFFF" w:themeColor="background1"/>
          <w:spacing w:val="15"/>
          <w:sz w:val="40"/>
          <w:lang w:val="en-US"/>
        </w:rPr>
      </w:pPr>
    </w:p>
    <w:p w14:paraId="1FCC5205" w14:textId="107E5336" w:rsidR="00E55227" w:rsidRPr="00E55227" w:rsidRDefault="00E55227" w:rsidP="00E55227">
      <w:pPr>
        <w:numPr>
          <w:ilvl w:val="1"/>
          <w:numId w:val="0"/>
        </w:numPr>
        <w:spacing w:before="480" w:after="120" w:line="259" w:lineRule="auto"/>
        <w:rPr>
          <w:rFonts w:eastAsiaTheme="minorEastAsia" w:cs="Times New Roman"/>
          <w:b/>
          <w:color w:val="FFFFFF" w:themeColor="background1"/>
          <w:spacing w:val="15"/>
          <w:sz w:val="40"/>
          <w:lang w:val="en-US"/>
        </w:rPr>
      </w:pPr>
      <w:r w:rsidRPr="00E55227">
        <w:rPr>
          <w:rFonts w:eastAsiaTheme="minorEastAsia" w:cs="Times New Roman"/>
          <w:b/>
          <w:color w:val="FFFFFF" w:themeColor="background1"/>
          <w:spacing w:val="15"/>
          <w:sz w:val="40"/>
          <w:lang w:val="en-US"/>
        </w:rPr>
        <w:t xml:space="preserve">European Disability Forum </w:t>
      </w:r>
    </w:p>
    <w:p w14:paraId="7C73574A" w14:textId="5F6A8F3F" w:rsidR="00E55227" w:rsidRPr="00E55227" w:rsidRDefault="00C40285" w:rsidP="00E55227">
      <w:pPr>
        <w:numPr>
          <w:ilvl w:val="1"/>
          <w:numId w:val="0"/>
        </w:numPr>
        <w:spacing w:before="120" w:after="360" w:line="259" w:lineRule="auto"/>
        <w:rPr>
          <w:rFonts w:eastAsiaTheme="minorEastAsia" w:cs="Times New Roman"/>
          <w:b/>
          <w:color w:val="FFFFFF" w:themeColor="background1"/>
          <w:spacing w:val="15"/>
          <w:sz w:val="40"/>
          <w:lang w:val="en-US"/>
        </w:rPr>
      </w:pPr>
      <w:r w:rsidRPr="00E55227">
        <w:rPr>
          <w:rFonts w:ascii="Verdana" w:eastAsia="Times New Roman" w:hAnsi="Verdana" w:cs="Times New Roman"/>
          <w:noProof/>
          <w:sz w:val="24"/>
          <w:lang w:val="en-US"/>
        </w:rPr>
        <mc:AlternateContent>
          <mc:Choice Requires="wps">
            <w:drawing>
              <wp:anchor distT="0" distB="0" distL="114300" distR="114300" simplePos="0" relativeHeight="251661312" behindDoc="1" locked="0" layoutInCell="1" allowOverlap="1" wp14:anchorId="2F3F05C0" wp14:editId="2BD6AE88">
                <wp:simplePos x="0" y="0"/>
                <wp:positionH relativeFrom="page">
                  <wp:align>right</wp:align>
                </wp:positionH>
                <wp:positionV relativeFrom="paragraph">
                  <wp:posOffset>458742</wp:posOffset>
                </wp:positionV>
                <wp:extent cx="7548880" cy="409575"/>
                <wp:effectExtent l="0" t="0" r="1397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8880" cy="409575"/>
                        </a:xfrm>
                        <a:prstGeom prst="rect">
                          <a:avLst/>
                        </a:prstGeom>
                        <a:solidFill>
                          <a:srgbClr val="A2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D28AD" id="Rectangle 4" o:spid="_x0000_s1026" style="position:absolute;margin-left:543.2pt;margin-top:36.1pt;width:594.4pt;height:32.25pt;z-index:-25165516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" fillcolor="#a20000" strokecolor="#2f528f" strokeweight="1pt">
                <v:path arrowok="t"/>
                <w10:wrap anchorx="page"/>
              </v:rect>
            </w:pict>
          </mc:Fallback>
        </mc:AlternateContent>
      </w:r>
      <w:r w:rsidR="00E55227" w:rsidRPr="00E55227">
        <w:rPr>
          <w:rFonts w:eastAsiaTheme="minorEastAsia" w:cs="Times New Roman"/>
          <w:b/>
          <w:color w:val="FFFFFF" w:themeColor="background1"/>
          <w:spacing w:val="15"/>
          <w:sz w:val="40"/>
          <w:lang w:val="en-US"/>
        </w:rPr>
        <w:t xml:space="preserve">Published in </w:t>
      </w:r>
      <w:r>
        <w:rPr>
          <w:rFonts w:eastAsiaTheme="minorEastAsia" w:cs="Times New Roman"/>
          <w:b/>
          <w:color w:val="FFFFFF" w:themeColor="background1"/>
          <w:spacing w:val="15"/>
          <w:sz w:val="40"/>
          <w:lang w:val="en-US"/>
        </w:rPr>
        <w:t>January 2025</w:t>
      </w:r>
    </w:p>
    <w:p w14:paraId="4DD03B75" w14:textId="25CF6490" w:rsidR="006804DA" w:rsidRPr="00C40285" w:rsidRDefault="00B702EB" w:rsidP="00E55227">
      <w:pPr>
        <w:spacing w:before="360" w:after="840" w:line="259" w:lineRule="auto"/>
        <w:rPr>
          <w:rFonts w:eastAsia="Times New Roman" w:cs="Arial"/>
          <w:b/>
          <w:bCs/>
          <w:color w:val="FFFFFF" w:themeColor="background1"/>
          <w:sz w:val="28"/>
          <w:szCs w:val="28"/>
        </w:rPr>
      </w:pPr>
      <w:r w:rsidRPr="00C40285">
        <w:rPr>
          <w:rFonts w:eastAsia="Times New Roman" w:cs="Arial"/>
          <w:b/>
          <w:bCs/>
          <w:color w:val="FFFFFF" w:themeColor="background1"/>
          <w:sz w:val="28"/>
          <w:szCs w:val="28"/>
        </w:rPr>
        <w:t>Submission for the</w:t>
      </w:r>
      <w:r w:rsidR="00E55227" w:rsidRPr="00C40285">
        <w:rPr>
          <w:rFonts w:eastAsia="Times New Roman" w:cs="Arial"/>
          <w:b/>
          <w:bCs/>
          <w:color w:val="FFFFFF" w:themeColor="background1"/>
          <w:sz w:val="28"/>
          <w:szCs w:val="28"/>
        </w:rPr>
        <w:t xml:space="preserve"> </w:t>
      </w:r>
      <w:r w:rsidR="00BD1E11" w:rsidRPr="00C40285">
        <w:rPr>
          <w:rFonts w:eastAsia="Times New Roman" w:cs="Arial"/>
          <w:b/>
          <w:bCs/>
          <w:color w:val="FFFFFF" w:themeColor="background1"/>
          <w:sz w:val="28"/>
          <w:szCs w:val="28"/>
        </w:rPr>
        <w:t xml:space="preserve">adoption of Concluding observations on the EU </w:t>
      </w:r>
    </w:p>
    <w:p w14:paraId="6E1477BE" w14:textId="2DDBAC37" w:rsidR="00C9050B" w:rsidRDefault="00C9050B" w:rsidP="00E55227">
      <w:pPr>
        <w:spacing w:before="360" w:after="840" w:line="259" w:lineRule="auto"/>
        <w:rPr>
          <w:color w:val="FFFFFF" w:themeColor="background1"/>
          <w:lang w:eastAsia="zh-CN" w:bidi="hi-IN"/>
        </w:rPr>
      </w:pPr>
    </w:p>
    <w:p w14:paraId="73622E51" w14:textId="267A9065" w:rsidR="00C9050B" w:rsidRDefault="00C9050B" w:rsidP="00E55227">
      <w:pPr>
        <w:spacing w:before="360" w:after="840" w:line="259" w:lineRule="auto"/>
        <w:rPr>
          <w:color w:val="FFFFFF" w:themeColor="background1"/>
          <w:lang w:eastAsia="zh-CN" w:bidi="hi-IN"/>
        </w:rPr>
      </w:pPr>
      <w:r w:rsidRPr="00C9050B">
        <w:rPr>
          <w:noProof/>
        </w:rPr>
        <w:drawing>
          <wp:anchor distT="0" distB="0" distL="114300" distR="114300" simplePos="0" relativeHeight="251662336" behindDoc="0" locked="0" layoutInCell="1" allowOverlap="1" wp14:anchorId="591318DC" wp14:editId="59344F4A">
            <wp:simplePos x="0" y="0"/>
            <wp:positionH relativeFrom="margin">
              <wp:align>left</wp:align>
            </wp:positionH>
            <wp:positionV relativeFrom="paragraph">
              <wp:posOffset>688340</wp:posOffset>
            </wp:positionV>
            <wp:extent cx="904875" cy="609600"/>
            <wp:effectExtent l="0" t="0" r="9525" b="0"/>
            <wp:wrapSquare wrapText="bothSides"/>
            <wp:docPr id="5" name="Picture 5" descr="A blue screen with yellow star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screen with yellow stars&#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904875" cy="609600"/>
                    </a:xfrm>
                    <a:prstGeom prst="rect">
                      <a:avLst/>
                    </a:prstGeom>
                  </pic:spPr>
                </pic:pic>
              </a:graphicData>
            </a:graphic>
          </wp:anchor>
        </w:drawing>
      </w:r>
    </w:p>
    <w:p w14:paraId="38BD7685" w14:textId="2242AFE2" w:rsidR="00C9050B" w:rsidRPr="00E55227" w:rsidRDefault="00C9050B" w:rsidP="00E55227">
      <w:pPr>
        <w:spacing w:before="360" w:after="840" w:line="259" w:lineRule="auto"/>
        <w:rPr>
          <w:rFonts w:ascii="Verdana" w:eastAsia="Times New Roman" w:hAnsi="Verdana" w:cs="Times New Roman"/>
          <w:b/>
          <w:bCs/>
          <w:color w:val="FFFFFF" w:themeColor="background1"/>
          <w:sz w:val="28"/>
          <w:szCs w:val="28"/>
          <w:lang w:val="en-US"/>
        </w:rPr>
      </w:pPr>
      <w:r w:rsidRPr="006C1A26">
        <w:rPr>
          <w:color w:val="FFFFFF" w:themeColor="background1"/>
          <w:lang w:eastAsia="zh-CN" w:bidi="hi-IN"/>
        </w:rPr>
        <w:t>This publication has received financial support from the European Union. The information contained in this publication does not necessarily reflect the official position of the European Commission</w:t>
      </w:r>
      <w:r>
        <w:rPr>
          <w:color w:val="FFFFFF" w:themeColor="background1"/>
          <w:lang w:eastAsia="zh-CN" w:bidi="hi-IN"/>
        </w:rPr>
        <w:t>.</w:t>
      </w:r>
    </w:p>
    <w:p w14:paraId="5C708D09" w14:textId="3A8FF668" w:rsidR="00C9050B" w:rsidRDefault="00C9050B" w:rsidP="00E55227">
      <w:pPr>
        <w:pStyle w:val="TOCHeading"/>
        <w:rPr>
          <w:lang w:val="en-GB"/>
        </w:rPr>
      </w:pPr>
      <w:r>
        <w:rPr>
          <w:lang w:val="en-GB"/>
        </w:rPr>
        <w:br w:type="column"/>
      </w:r>
    </w:p>
    <w:sdt>
      <w:sdtPr>
        <w:rPr>
          <w:rFonts w:ascii="Arial" w:eastAsiaTheme="minorHAnsi" w:hAnsi="Arial" w:cstheme="minorBidi"/>
          <w:color w:val="auto"/>
          <w:sz w:val="22"/>
          <w:szCs w:val="22"/>
          <w:lang w:val="en-GB"/>
        </w:rPr>
        <w:id w:val="-1019846436"/>
        <w:docPartObj>
          <w:docPartGallery w:val="Table of Contents"/>
          <w:docPartUnique/>
        </w:docPartObj>
      </w:sdtPr>
      <w:sdtEndPr>
        <w:rPr>
          <w:b/>
          <w:bCs/>
          <w:noProof/>
        </w:rPr>
      </w:sdtEndPr>
      <w:sdtContent>
        <w:p w14:paraId="3C28E405" w14:textId="72BD1F8E" w:rsidR="00E55227" w:rsidRPr="00E55227" w:rsidRDefault="00E55227" w:rsidP="00E55227">
          <w:pPr>
            <w:pStyle w:val="TOCHeading"/>
            <w:rPr>
              <w:rFonts w:ascii="Arial" w:eastAsiaTheme="minorHAnsi" w:hAnsi="Arial" w:cstheme="minorBidi"/>
              <w:color w:val="auto"/>
              <w:sz w:val="22"/>
              <w:szCs w:val="22"/>
              <w:lang w:val="en-GB"/>
            </w:rPr>
          </w:pPr>
          <w:r w:rsidRPr="00D404B4">
            <w:rPr>
              <w:lang w:val="en-GB"/>
            </w:rPr>
            <w:t>Contents</w:t>
          </w:r>
        </w:p>
        <w:p w14:paraId="4BC794F6" w14:textId="377AE486" w:rsidR="00C40285" w:rsidRDefault="00E55227">
          <w:pPr>
            <w:pStyle w:val="TOC1"/>
            <w:tabs>
              <w:tab w:val="right" w:leader="dot" w:pos="9062"/>
            </w:tabs>
            <w:rPr>
              <w:rFonts w:asciiTheme="minorHAnsi" w:eastAsiaTheme="minorEastAsia" w:hAnsiTheme="minorHAnsi"/>
              <w:noProof/>
              <w:kern w:val="2"/>
              <w:sz w:val="24"/>
              <w:szCs w:val="24"/>
              <w:lang/>
              <w14:ligatures w14:val="standardContextual"/>
            </w:rPr>
          </w:pPr>
          <w:r w:rsidRPr="00D404B4">
            <w:fldChar w:fldCharType="begin"/>
          </w:r>
          <w:r w:rsidRPr="00D404B4">
            <w:instrText xml:space="preserve"> TOC \o "1-2" \h \z \u </w:instrText>
          </w:r>
          <w:r w:rsidRPr="00D404B4">
            <w:fldChar w:fldCharType="separate"/>
          </w:r>
          <w:hyperlink w:anchor="_Toc179386628" w:history="1">
            <w:r w:rsidR="00C40285" w:rsidRPr="00370C3F">
              <w:rPr>
                <w:rStyle w:val="Hyperlink"/>
                <w:noProof/>
              </w:rPr>
              <w:t>European Disability Forum</w:t>
            </w:r>
            <w:r w:rsidR="00C40285">
              <w:rPr>
                <w:noProof/>
                <w:webHidden/>
              </w:rPr>
              <w:tab/>
            </w:r>
            <w:r w:rsidR="00C40285">
              <w:rPr>
                <w:noProof/>
                <w:webHidden/>
              </w:rPr>
              <w:fldChar w:fldCharType="begin"/>
            </w:r>
            <w:r w:rsidR="00C40285">
              <w:rPr>
                <w:noProof/>
                <w:webHidden/>
              </w:rPr>
              <w:instrText xml:space="preserve"> PAGEREF _Toc179386628 \h </w:instrText>
            </w:r>
            <w:r w:rsidR="00C40285">
              <w:rPr>
                <w:noProof/>
                <w:webHidden/>
              </w:rPr>
            </w:r>
            <w:r w:rsidR="00C40285">
              <w:rPr>
                <w:noProof/>
                <w:webHidden/>
              </w:rPr>
              <w:fldChar w:fldCharType="separate"/>
            </w:r>
            <w:r w:rsidR="00C40285">
              <w:rPr>
                <w:noProof/>
                <w:webHidden/>
              </w:rPr>
              <w:t>4</w:t>
            </w:r>
            <w:r w:rsidR="00C40285">
              <w:rPr>
                <w:noProof/>
                <w:webHidden/>
              </w:rPr>
              <w:fldChar w:fldCharType="end"/>
            </w:r>
          </w:hyperlink>
        </w:p>
        <w:p w14:paraId="42AA83F9" w14:textId="71273857" w:rsidR="00C40285" w:rsidRDefault="00C40285">
          <w:pPr>
            <w:pStyle w:val="TOC1"/>
            <w:tabs>
              <w:tab w:val="right" w:leader="dot" w:pos="9062"/>
            </w:tabs>
            <w:rPr>
              <w:rFonts w:asciiTheme="minorHAnsi" w:eastAsiaTheme="minorEastAsia" w:hAnsiTheme="minorHAnsi"/>
              <w:noProof/>
              <w:kern w:val="2"/>
              <w:sz w:val="24"/>
              <w:szCs w:val="24"/>
              <w:lang/>
              <w14:ligatures w14:val="standardContextual"/>
            </w:rPr>
          </w:pPr>
          <w:hyperlink w:anchor="_Toc179386629" w:history="1">
            <w:r w:rsidRPr="00370C3F">
              <w:rPr>
                <w:rStyle w:val="Hyperlink"/>
                <w:noProof/>
              </w:rPr>
              <w:t xml:space="preserve">Executive summary </w:t>
            </w:r>
            <w:r>
              <w:rPr>
                <w:noProof/>
                <w:webHidden/>
              </w:rPr>
              <w:tab/>
            </w:r>
            <w:r>
              <w:rPr>
                <w:noProof/>
                <w:webHidden/>
              </w:rPr>
              <w:fldChar w:fldCharType="begin"/>
            </w:r>
            <w:r>
              <w:rPr>
                <w:noProof/>
                <w:webHidden/>
              </w:rPr>
              <w:instrText xml:space="preserve"> PAGEREF _Toc179386629 \h </w:instrText>
            </w:r>
            <w:r>
              <w:rPr>
                <w:noProof/>
                <w:webHidden/>
              </w:rPr>
            </w:r>
            <w:r>
              <w:rPr>
                <w:noProof/>
                <w:webHidden/>
              </w:rPr>
              <w:fldChar w:fldCharType="separate"/>
            </w:r>
            <w:r>
              <w:rPr>
                <w:noProof/>
                <w:webHidden/>
              </w:rPr>
              <w:t>4</w:t>
            </w:r>
            <w:r>
              <w:rPr>
                <w:noProof/>
                <w:webHidden/>
              </w:rPr>
              <w:fldChar w:fldCharType="end"/>
            </w:r>
          </w:hyperlink>
        </w:p>
        <w:p w14:paraId="2295C2CC" w14:textId="03D4DFD9" w:rsidR="00C40285" w:rsidRDefault="00C40285">
          <w:pPr>
            <w:pStyle w:val="TOC1"/>
            <w:tabs>
              <w:tab w:val="right" w:leader="dot" w:pos="9062"/>
            </w:tabs>
            <w:rPr>
              <w:rFonts w:asciiTheme="minorHAnsi" w:eastAsiaTheme="minorEastAsia" w:hAnsiTheme="minorHAnsi"/>
              <w:noProof/>
              <w:kern w:val="2"/>
              <w:sz w:val="24"/>
              <w:szCs w:val="24"/>
              <w:lang/>
              <w14:ligatures w14:val="standardContextual"/>
            </w:rPr>
          </w:pPr>
          <w:hyperlink w:anchor="_Toc179386630" w:history="1">
            <w:r w:rsidRPr="00370C3F">
              <w:rPr>
                <w:rStyle w:val="Hyperlink"/>
                <w:noProof/>
              </w:rPr>
              <w:t>Context</w:t>
            </w:r>
            <w:r>
              <w:rPr>
                <w:noProof/>
                <w:webHidden/>
              </w:rPr>
              <w:tab/>
            </w:r>
            <w:r>
              <w:rPr>
                <w:noProof/>
                <w:webHidden/>
              </w:rPr>
              <w:fldChar w:fldCharType="begin"/>
            </w:r>
            <w:r>
              <w:rPr>
                <w:noProof/>
                <w:webHidden/>
              </w:rPr>
              <w:instrText xml:space="preserve"> PAGEREF _Toc179386630 \h </w:instrText>
            </w:r>
            <w:r>
              <w:rPr>
                <w:noProof/>
                <w:webHidden/>
              </w:rPr>
            </w:r>
            <w:r>
              <w:rPr>
                <w:noProof/>
                <w:webHidden/>
              </w:rPr>
              <w:fldChar w:fldCharType="separate"/>
            </w:r>
            <w:r>
              <w:rPr>
                <w:noProof/>
                <w:webHidden/>
              </w:rPr>
              <w:t>7</w:t>
            </w:r>
            <w:r>
              <w:rPr>
                <w:noProof/>
                <w:webHidden/>
              </w:rPr>
              <w:fldChar w:fldCharType="end"/>
            </w:r>
          </w:hyperlink>
        </w:p>
        <w:p w14:paraId="665ECFB1" w14:textId="39DD321D" w:rsidR="00C40285" w:rsidRDefault="00C40285">
          <w:pPr>
            <w:pStyle w:val="TOC1"/>
            <w:tabs>
              <w:tab w:val="right" w:leader="dot" w:pos="9062"/>
            </w:tabs>
            <w:rPr>
              <w:rFonts w:asciiTheme="minorHAnsi" w:eastAsiaTheme="minorEastAsia" w:hAnsiTheme="minorHAnsi"/>
              <w:noProof/>
              <w:kern w:val="2"/>
              <w:sz w:val="24"/>
              <w:szCs w:val="24"/>
              <w:lang/>
              <w14:ligatures w14:val="standardContextual"/>
            </w:rPr>
          </w:pPr>
          <w:hyperlink w:anchor="_Toc179386631" w:history="1">
            <w:r w:rsidRPr="00370C3F">
              <w:rPr>
                <w:rStyle w:val="Hyperlink"/>
                <w:noProof/>
              </w:rPr>
              <w:t>Methodology</w:t>
            </w:r>
            <w:r>
              <w:rPr>
                <w:noProof/>
                <w:webHidden/>
              </w:rPr>
              <w:tab/>
            </w:r>
            <w:r>
              <w:rPr>
                <w:noProof/>
                <w:webHidden/>
              </w:rPr>
              <w:fldChar w:fldCharType="begin"/>
            </w:r>
            <w:r>
              <w:rPr>
                <w:noProof/>
                <w:webHidden/>
              </w:rPr>
              <w:instrText xml:space="preserve"> PAGEREF _Toc179386631 \h </w:instrText>
            </w:r>
            <w:r>
              <w:rPr>
                <w:noProof/>
                <w:webHidden/>
              </w:rPr>
            </w:r>
            <w:r>
              <w:rPr>
                <w:noProof/>
                <w:webHidden/>
              </w:rPr>
              <w:fldChar w:fldCharType="separate"/>
            </w:r>
            <w:r>
              <w:rPr>
                <w:noProof/>
                <w:webHidden/>
              </w:rPr>
              <w:t>8</w:t>
            </w:r>
            <w:r>
              <w:rPr>
                <w:noProof/>
                <w:webHidden/>
              </w:rPr>
              <w:fldChar w:fldCharType="end"/>
            </w:r>
          </w:hyperlink>
        </w:p>
        <w:p w14:paraId="5E52B35C" w14:textId="62C02D5D" w:rsidR="00C40285" w:rsidRDefault="00C40285">
          <w:pPr>
            <w:pStyle w:val="TOC1"/>
            <w:tabs>
              <w:tab w:val="right" w:leader="dot" w:pos="9062"/>
            </w:tabs>
            <w:rPr>
              <w:rFonts w:asciiTheme="minorHAnsi" w:eastAsiaTheme="minorEastAsia" w:hAnsiTheme="minorHAnsi"/>
              <w:noProof/>
              <w:kern w:val="2"/>
              <w:sz w:val="24"/>
              <w:szCs w:val="24"/>
              <w:lang/>
              <w14:ligatures w14:val="standardContextual"/>
            </w:rPr>
          </w:pPr>
          <w:hyperlink w:anchor="_Toc179386632" w:history="1">
            <w:r w:rsidRPr="00370C3F">
              <w:rPr>
                <w:rStyle w:val="Hyperlink"/>
                <w:noProof/>
              </w:rPr>
              <w:t>Abbreviations and acronyms</w:t>
            </w:r>
            <w:r>
              <w:rPr>
                <w:noProof/>
                <w:webHidden/>
              </w:rPr>
              <w:tab/>
            </w:r>
            <w:r>
              <w:rPr>
                <w:noProof/>
                <w:webHidden/>
              </w:rPr>
              <w:fldChar w:fldCharType="begin"/>
            </w:r>
            <w:r>
              <w:rPr>
                <w:noProof/>
                <w:webHidden/>
              </w:rPr>
              <w:instrText xml:space="preserve"> PAGEREF _Toc179386632 \h </w:instrText>
            </w:r>
            <w:r>
              <w:rPr>
                <w:noProof/>
                <w:webHidden/>
              </w:rPr>
            </w:r>
            <w:r>
              <w:rPr>
                <w:noProof/>
                <w:webHidden/>
              </w:rPr>
              <w:fldChar w:fldCharType="separate"/>
            </w:r>
            <w:r>
              <w:rPr>
                <w:noProof/>
                <w:webHidden/>
              </w:rPr>
              <w:t>8</w:t>
            </w:r>
            <w:r>
              <w:rPr>
                <w:noProof/>
                <w:webHidden/>
              </w:rPr>
              <w:fldChar w:fldCharType="end"/>
            </w:r>
          </w:hyperlink>
        </w:p>
        <w:p w14:paraId="25B7A624" w14:textId="76B3E488" w:rsidR="00C40285" w:rsidRDefault="00C40285">
          <w:pPr>
            <w:pStyle w:val="TOC1"/>
            <w:tabs>
              <w:tab w:val="right" w:leader="dot" w:pos="9062"/>
            </w:tabs>
            <w:rPr>
              <w:rFonts w:asciiTheme="minorHAnsi" w:eastAsiaTheme="minorEastAsia" w:hAnsiTheme="minorHAnsi"/>
              <w:noProof/>
              <w:kern w:val="2"/>
              <w:sz w:val="24"/>
              <w:szCs w:val="24"/>
              <w:lang/>
              <w14:ligatures w14:val="standardContextual"/>
            </w:rPr>
          </w:pPr>
          <w:hyperlink w:anchor="_Toc179386633" w:history="1">
            <w:r w:rsidRPr="00370C3F">
              <w:rPr>
                <w:rStyle w:val="Hyperlink"/>
                <w:noProof/>
              </w:rPr>
              <w:t>Glossary</w:t>
            </w:r>
            <w:r>
              <w:rPr>
                <w:noProof/>
                <w:webHidden/>
              </w:rPr>
              <w:tab/>
            </w:r>
            <w:r>
              <w:rPr>
                <w:noProof/>
                <w:webHidden/>
              </w:rPr>
              <w:fldChar w:fldCharType="begin"/>
            </w:r>
            <w:r>
              <w:rPr>
                <w:noProof/>
                <w:webHidden/>
              </w:rPr>
              <w:instrText xml:space="preserve"> PAGEREF _Toc179386633 \h </w:instrText>
            </w:r>
            <w:r>
              <w:rPr>
                <w:noProof/>
                <w:webHidden/>
              </w:rPr>
            </w:r>
            <w:r>
              <w:rPr>
                <w:noProof/>
                <w:webHidden/>
              </w:rPr>
              <w:fldChar w:fldCharType="separate"/>
            </w:r>
            <w:r>
              <w:rPr>
                <w:noProof/>
                <w:webHidden/>
              </w:rPr>
              <w:t>8</w:t>
            </w:r>
            <w:r>
              <w:rPr>
                <w:noProof/>
                <w:webHidden/>
              </w:rPr>
              <w:fldChar w:fldCharType="end"/>
            </w:r>
          </w:hyperlink>
        </w:p>
        <w:p w14:paraId="116D8521" w14:textId="0B3A867C" w:rsidR="00C40285" w:rsidRDefault="00C40285">
          <w:pPr>
            <w:pStyle w:val="TOC1"/>
            <w:tabs>
              <w:tab w:val="right" w:leader="dot" w:pos="9062"/>
            </w:tabs>
            <w:rPr>
              <w:rFonts w:asciiTheme="minorHAnsi" w:eastAsiaTheme="minorEastAsia" w:hAnsiTheme="minorHAnsi"/>
              <w:noProof/>
              <w:kern w:val="2"/>
              <w:sz w:val="24"/>
              <w:szCs w:val="24"/>
              <w:lang/>
              <w14:ligatures w14:val="standardContextual"/>
            </w:rPr>
          </w:pPr>
          <w:hyperlink w:anchor="_Toc179386634" w:history="1">
            <w:r w:rsidRPr="00370C3F">
              <w:rPr>
                <w:rStyle w:val="Hyperlink"/>
                <w:noProof/>
              </w:rPr>
              <w:t>Part 1: Review of general provisions of the UN Convention on the Rights of Persons with Disabilities</w:t>
            </w:r>
            <w:r>
              <w:rPr>
                <w:noProof/>
                <w:webHidden/>
              </w:rPr>
              <w:tab/>
            </w:r>
            <w:r>
              <w:rPr>
                <w:noProof/>
                <w:webHidden/>
              </w:rPr>
              <w:fldChar w:fldCharType="begin"/>
            </w:r>
            <w:r>
              <w:rPr>
                <w:noProof/>
                <w:webHidden/>
              </w:rPr>
              <w:instrText xml:space="preserve"> PAGEREF _Toc179386634 \h </w:instrText>
            </w:r>
            <w:r>
              <w:rPr>
                <w:noProof/>
                <w:webHidden/>
              </w:rPr>
            </w:r>
            <w:r>
              <w:rPr>
                <w:noProof/>
                <w:webHidden/>
              </w:rPr>
              <w:fldChar w:fldCharType="separate"/>
            </w:r>
            <w:r>
              <w:rPr>
                <w:noProof/>
                <w:webHidden/>
              </w:rPr>
              <w:t>10</w:t>
            </w:r>
            <w:r>
              <w:rPr>
                <w:noProof/>
                <w:webHidden/>
              </w:rPr>
              <w:fldChar w:fldCharType="end"/>
            </w:r>
          </w:hyperlink>
        </w:p>
        <w:p w14:paraId="3198F27E" w14:textId="23782BD3" w:rsidR="00C40285" w:rsidRDefault="00C40285">
          <w:pPr>
            <w:pStyle w:val="TOC2"/>
            <w:tabs>
              <w:tab w:val="right" w:leader="dot" w:pos="9062"/>
            </w:tabs>
            <w:rPr>
              <w:rFonts w:asciiTheme="minorHAnsi" w:eastAsiaTheme="minorEastAsia" w:hAnsiTheme="minorHAnsi"/>
              <w:noProof/>
              <w:kern w:val="2"/>
              <w:sz w:val="24"/>
              <w:szCs w:val="24"/>
              <w:lang/>
              <w14:ligatures w14:val="standardContextual"/>
            </w:rPr>
          </w:pPr>
          <w:hyperlink w:anchor="_Toc179386635" w:history="1">
            <w:r w:rsidRPr="00370C3F">
              <w:rPr>
                <w:rStyle w:val="Hyperlink"/>
                <w:noProof/>
                <w:lang w:bidi="en-US"/>
              </w:rPr>
              <w:t>Articles 1 to 4: General principles and obligations</w:t>
            </w:r>
            <w:r>
              <w:rPr>
                <w:noProof/>
                <w:webHidden/>
              </w:rPr>
              <w:tab/>
            </w:r>
            <w:r>
              <w:rPr>
                <w:noProof/>
                <w:webHidden/>
              </w:rPr>
              <w:fldChar w:fldCharType="begin"/>
            </w:r>
            <w:r>
              <w:rPr>
                <w:noProof/>
                <w:webHidden/>
              </w:rPr>
              <w:instrText xml:space="preserve"> PAGEREF _Toc179386635 \h </w:instrText>
            </w:r>
            <w:r>
              <w:rPr>
                <w:noProof/>
                <w:webHidden/>
              </w:rPr>
            </w:r>
            <w:r>
              <w:rPr>
                <w:noProof/>
                <w:webHidden/>
              </w:rPr>
              <w:fldChar w:fldCharType="separate"/>
            </w:r>
            <w:r>
              <w:rPr>
                <w:noProof/>
                <w:webHidden/>
              </w:rPr>
              <w:t>10</w:t>
            </w:r>
            <w:r>
              <w:rPr>
                <w:noProof/>
                <w:webHidden/>
              </w:rPr>
              <w:fldChar w:fldCharType="end"/>
            </w:r>
          </w:hyperlink>
        </w:p>
        <w:p w14:paraId="539BABC1" w14:textId="0ED3C86A" w:rsidR="00C40285" w:rsidRDefault="00C40285">
          <w:pPr>
            <w:pStyle w:val="TOC2"/>
            <w:tabs>
              <w:tab w:val="right" w:leader="dot" w:pos="9062"/>
            </w:tabs>
            <w:rPr>
              <w:rFonts w:asciiTheme="minorHAnsi" w:eastAsiaTheme="minorEastAsia" w:hAnsiTheme="minorHAnsi"/>
              <w:noProof/>
              <w:kern w:val="2"/>
              <w:sz w:val="24"/>
              <w:szCs w:val="24"/>
              <w:lang/>
              <w14:ligatures w14:val="standardContextual"/>
            </w:rPr>
          </w:pPr>
          <w:hyperlink w:anchor="_Toc179386636" w:history="1">
            <w:r w:rsidRPr="00370C3F">
              <w:rPr>
                <w:rStyle w:val="Hyperlink"/>
                <w:noProof/>
                <w:lang w:bidi="en-US"/>
              </w:rPr>
              <w:t>Article 5: Equality and non-discrimination</w:t>
            </w:r>
            <w:r>
              <w:rPr>
                <w:noProof/>
                <w:webHidden/>
              </w:rPr>
              <w:tab/>
            </w:r>
            <w:r>
              <w:rPr>
                <w:noProof/>
                <w:webHidden/>
              </w:rPr>
              <w:fldChar w:fldCharType="begin"/>
            </w:r>
            <w:r>
              <w:rPr>
                <w:noProof/>
                <w:webHidden/>
              </w:rPr>
              <w:instrText xml:space="preserve"> PAGEREF _Toc179386636 \h </w:instrText>
            </w:r>
            <w:r>
              <w:rPr>
                <w:noProof/>
                <w:webHidden/>
              </w:rPr>
            </w:r>
            <w:r>
              <w:rPr>
                <w:noProof/>
                <w:webHidden/>
              </w:rPr>
              <w:fldChar w:fldCharType="separate"/>
            </w:r>
            <w:r>
              <w:rPr>
                <w:noProof/>
                <w:webHidden/>
              </w:rPr>
              <w:t>12</w:t>
            </w:r>
            <w:r>
              <w:rPr>
                <w:noProof/>
                <w:webHidden/>
              </w:rPr>
              <w:fldChar w:fldCharType="end"/>
            </w:r>
          </w:hyperlink>
        </w:p>
        <w:p w14:paraId="1618FF1B" w14:textId="05C8E0E4" w:rsidR="00C40285" w:rsidRDefault="00C40285">
          <w:pPr>
            <w:pStyle w:val="TOC2"/>
            <w:tabs>
              <w:tab w:val="right" w:leader="dot" w:pos="9062"/>
            </w:tabs>
            <w:rPr>
              <w:rFonts w:asciiTheme="minorHAnsi" w:eastAsiaTheme="minorEastAsia" w:hAnsiTheme="minorHAnsi"/>
              <w:noProof/>
              <w:kern w:val="2"/>
              <w:sz w:val="24"/>
              <w:szCs w:val="24"/>
              <w:lang/>
              <w14:ligatures w14:val="standardContextual"/>
            </w:rPr>
          </w:pPr>
          <w:hyperlink w:anchor="_Toc179386637" w:history="1">
            <w:r w:rsidRPr="00370C3F">
              <w:rPr>
                <w:rStyle w:val="Hyperlink"/>
                <w:noProof/>
                <w:lang w:bidi="en-US"/>
              </w:rPr>
              <w:t>Article 6: Women with disabilities</w:t>
            </w:r>
            <w:r>
              <w:rPr>
                <w:noProof/>
                <w:webHidden/>
              </w:rPr>
              <w:tab/>
            </w:r>
            <w:r>
              <w:rPr>
                <w:noProof/>
                <w:webHidden/>
              </w:rPr>
              <w:fldChar w:fldCharType="begin"/>
            </w:r>
            <w:r>
              <w:rPr>
                <w:noProof/>
                <w:webHidden/>
              </w:rPr>
              <w:instrText xml:space="preserve"> PAGEREF _Toc179386637 \h </w:instrText>
            </w:r>
            <w:r>
              <w:rPr>
                <w:noProof/>
                <w:webHidden/>
              </w:rPr>
            </w:r>
            <w:r>
              <w:rPr>
                <w:noProof/>
                <w:webHidden/>
              </w:rPr>
              <w:fldChar w:fldCharType="separate"/>
            </w:r>
            <w:r>
              <w:rPr>
                <w:noProof/>
                <w:webHidden/>
              </w:rPr>
              <w:t>14</w:t>
            </w:r>
            <w:r>
              <w:rPr>
                <w:noProof/>
                <w:webHidden/>
              </w:rPr>
              <w:fldChar w:fldCharType="end"/>
            </w:r>
          </w:hyperlink>
        </w:p>
        <w:p w14:paraId="57FF692D" w14:textId="0CB47A4C" w:rsidR="00C40285" w:rsidRDefault="00C40285">
          <w:pPr>
            <w:pStyle w:val="TOC2"/>
            <w:tabs>
              <w:tab w:val="right" w:leader="dot" w:pos="9062"/>
            </w:tabs>
            <w:rPr>
              <w:rFonts w:asciiTheme="minorHAnsi" w:eastAsiaTheme="minorEastAsia" w:hAnsiTheme="minorHAnsi"/>
              <w:noProof/>
              <w:kern w:val="2"/>
              <w:sz w:val="24"/>
              <w:szCs w:val="24"/>
              <w:lang/>
              <w14:ligatures w14:val="standardContextual"/>
            </w:rPr>
          </w:pPr>
          <w:hyperlink w:anchor="_Toc179386638" w:history="1">
            <w:r w:rsidRPr="00370C3F">
              <w:rPr>
                <w:rStyle w:val="Hyperlink"/>
                <w:noProof/>
                <w:lang w:bidi="en-US"/>
              </w:rPr>
              <w:t>Article 7: Children with disabilities</w:t>
            </w:r>
            <w:r>
              <w:rPr>
                <w:noProof/>
                <w:webHidden/>
              </w:rPr>
              <w:tab/>
            </w:r>
            <w:r>
              <w:rPr>
                <w:noProof/>
                <w:webHidden/>
              </w:rPr>
              <w:fldChar w:fldCharType="begin"/>
            </w:r>
            <w:r>
              <w:rPr>
                <w:noProof/>
                <w:webHidden/>
              </w:rPr>
              <w:instrText xml:space="preserve"> PAGEREF _Toc179386638 \h </w:instrText>
            </w:r>
            <w:r>
              <w:rPr>
                <w:noProof/>
                <w:webHidden/>
              </w:rPr>
            </w:r>
            <w:r>
              <w:rPr>
                <w:noProof/>
                <w:webHidden/>
              </w:rPr>
              <w:fldChar w:fldCharType="separate"/>
            </w:r>
            <w:r>
              <w:rPr>
                <w:noProof/>
                <w:webHidden/>
              </w:rPr>
              <w:t>15</w:t>
            </w:r>
            <w:r>
              <w:rPr>
                <w:noProof/>
                <w:webHidden/>
              </w:rPr>
              <w:fldChar w:fldCharType="end"/>
            </w:r>
          </w:hyperlink>
        </w:p>
        <w:p w14:paraId="7C72D04A" w14:textId="19BF84F8" w:rsidR="00C40285" w:rsidRDefault="00C40285">
          <w:pPr>
            <w:pStyle w:val="TOC2"/>
            <w:tabs>
              <w:tab w:val="right" w:leader="dot" w:pos="9062"/>
            </w:tabs>
            <w:rPr>
              <w:rFonts w:asciiTheme="minorHAnsi" w:eastAsiaTheme="minorEastAsia" w:hAnsiTheme="minorHAnsi"/>
              <w:noProof/>
              <w:kern w:val="2"/>
              <w:sz w:val="24"/>
              <w:szCs w:val="24"/>
              <w:lang/>
              <w14:ligatures w14:val="standardContextual"/>
            </w:rPr>
          </w:pPr>
          <w:hyperlink w:anchor="_Toc179386639" w:history="1">
            <w:r w:rsidRPr="00370C3F">
              <w:rPr>
                <w:rStyle w:val="Hyperlink"/>
                <w:noProof/>
                <w:lang w:bidi="en-US"/>
              </w:rPr>
              <w:t>Article 8: Awareness raising</w:t>
            </w:r>
            <w:r>
              <w:rPr>
                <w:noProof/>
                <w:webHidden/>
              </w:rPr>
              <w:tab/>
            </w:r>
            <w:r>
              <w:rPr>
                <w:noProof/>
                <w:webHidden/>
              </w:rPr>
              <w:fldChar w:fldCharType="begin"/>
            </w:r>
            <w:r>
              <w:rPr>
                <w:noProof/>
                <w:webHidden/>
              </w:rPr>
              <w:instrText xml:space="preserve"> PAGEREF _Toc179386639 \h </w:instrText>
            </w:r>
            <w:r>
              <w:rPr>
                <w:noProof/>
                <w:webHidden/>
              </w:rPr>
            </w:r>
            <w:r>
              <w:rPr>
                <w:noProof/>
                <w:webHidden/>
              </w:rPr>
              <w:fldChar w:fldCharType="separate"/>
            </w:r>
            <w:r>
              <w:rPr>
                <w:noProof/>
                <w:webHidden/>
              </w:rPr>
              <w:t>17</w:t>
            </w:r>
            <w:r>
              <w:rPr>
                <w:noProof/>
                <w:webHidden/>
              </w:rPr>
              <w:fldChar w:fldCharType="end"/>
            </w:r>
          </w:hyperlink>
        </w:p>
        <w:p w14:paraId="5BADAB21" w14:textId="46E110F5" w:rsidR="00C40285" w:rsidRDefault="00C40285">
          <w:pPr>
            <w:pStyle w:val="TOC2"/>
            <w:tabs>
              <w:tab w:val="right" w:leader="dot" w:pos="9062"/>
            </w:tabs>
            <w:rPr>
              <w:rFonts w:asciiTheme="minorHAnsi" w:eastAsiaTheme="minorEastAsia" w:hAnsiTheme="minorHAnsi"/>
              <w:noProof/>
              <w:kern w:val="2"/>
              <w:sz w:val="24"/>
              <w:szCs w:val="24"/>
              <w:lang/>
              <w14:ligatures w14:val="standardContextual"/>
            </w:rPr>
          </w:pPr>
          <w:hyperlink w:anchor="_Toc179386640" w:history="1">
            <w:r w:rsidRPr="00370C3F">
              <w:rPr>
                <w:rStyle w:val="Hyperlink"/>
                <w:noProof/>
                <w:lang w:bidi="en-US"/>
              </w:rPr>
              <w:t>Article 9: Accessibility</w:t>
            </w:r>
            <w:r>
              <w:rPr>
                <w:noProof/>
                <w:webHidden/>
              </w:rPr>
              <w:tab/>
            </w:r>
            <w:r>
              <w:rPr>
                <w:noProof/>
                <w:webHidden/>
              </w:rPr>
              <w:fldChar w:fldCharType="begin"/>
            </w:r>
            <w:r>
              <w:rPr>
                <w:noProof/>
                <w:webHidden/>
              </w:rPr>
              <w:instrText xml:space="preserve"> PAGEREF _Toc179386640 \h </w:instrText>
            </w:r>
            <w:r>
              <w:rPr>
                <w:noProof/>
                <w:webHidden/>
              </w:rPr>
            </w:r>
            <w:r>
              <w:rPr>
                <w:noProof/>
                <w:webHidden/>
              </w:rPr>
              <w:fldChar w:fldCharType="separate"/>
            </w:r>
            <w:r>
              <w:rPr>
                <w:noProof/>
                <w:webHidden/>
              </w:rPr>
              <w:t>18</w:t>
            </w:r>
            <w:r>
              <w:rPr>
                <w:noProof/>
                <w:webHidden/>
              </w:rPr>
              <w:fldChar w:fldCharType="end"/>
            </w:r>
          </w:hyperlink>
        </w:p>
        <w:p w14:paraId="308B01C2" w14:textId="6D7EEB81" w:rsidR="00C40285" w:rsidRDefault="00C40285">
          <w:pPr>
            <w:pStyle w:val="TOC2"/>
            <w:tabs>
              <w:tab w:val="right" w:leader="dot" w:pos="9062"/>
            </w:tabs>
            <w:rPr>
              <w:rFonts w:asciiTheme="minorHAnsi" w:eastAsiaTheme="minorEastAsia" w:hAnsiTheme="minorHAnsi"/>
              <w:noProof/>
              <w:kern w:val="2"/>
              <w:sz w:val="24"/>
              <w:szCs w:val="24"/>
              <w:lang/>
              <w14:ligatures w14:val="standardContextual"/>
            </w:rPr>
          </w:pPr>
          <w:hyperlink w:anchor="_Toc179386641" w:history="1">
            <w:r w:rsidRPr="00370C3F">
              <w:rPr>
                <w:rStyle w:val="Hyperlink"/>
                <w:noProof/>
                <w:lang w:bidi="en-US"/>
              </w:rPr>
              <w:t>Article 10: Right to life</w:t>
            </w:r>
            <w:r>
              <w:rPr>
                <w:noProof/>
                <w:webHidden/>
              </w:rPr>
              <w:tab/>
            </w:r>
            <w:r>
              <w:rPr>
                <w:noProof/>
                <w:webHidden/>
              </w:rPr>
              <w:fldChar w:fldCharType="begin"/>
            </w:r>
            <w:r>
              <w:rPr>
                <w:noProof/>
                <w:webHidden/>
              </w:rPr>
              <w:instrText xml:space="preserve"> PAGEREF _Toc179386641 \h </w:instrText>
            </w:r>
            <w:r>
              <w:rPr>
                <w:noProof/>
                <w:webHidden/>
              </w:rPr>
            </w:r>
            <w:r>
              <w:rPr>
                <w:noProof/>
                <w:webHidden/>
              </w:rPr>
              <w:fldChar w:fldCharType="separate"/>
            </w:r>
            <w:r>
              <w:rPr>
                <w:noProof/>
                <w:webHidden/>
              </w:rPr>
              <w:t>19</w:t>
            </w:r>
            <w:r>
              <w:rPr>
                <w:noProof/>
                <w:webHidden/>
              </w:rPr>
              <w:fldChar w:fldCharType="end"/>
            </w:r>
          </w:hyperlink>
        </w:p>
        <w:p w14:paraId="5FCF311D" w14:textId="3850DF11" w:rsidR="00C40285" w:rsidRDefault="00C40285">
          <w:pPr>
            <w:pStyle w:val="TOC2"/>
            <w:tabs>
              <w:tab w:val="right" w:leader="dot" w:pos="9062"/>
            </w:tabs>
            <w:rPr>
              <w:rFonts w:asciiTheme="minorHAnsi" w:eastAsiaTheme="minorEastAsia" w:hAnsiTheme="minorHAnsi"/>
              <w:noProof/>
              <w:kern w:val="2"/>
              <w:sz w:val="24"/>
              <w:szCs w:val="24"/>
              <w:lang/>
              <w14:ligatures w14:val="standardContextual"/>
            </w:rPr>
          </w:pPr>
          <w:hyperlink w:anchor="_Toc179386642" w:history="1">
            <w:r w:rsidRPr="00370C3F">
              <w:rPr>
                <w:rStyle w:val="Hyperlink"/>
                <w:noProof/>
                <w:lang w:bidi="en-US"/>
              </w:rPr>
              <w:t>Article 11: Situations of risk and humanitarian emergencies</w:t>
            </w:r>
            <w:r>
              <w:rPr>
                <w:noProof/>
                <w:webHidden/>
              </w:rPr>
              <w:tab/>
            </w:r>
            <w:r>
              <w:rPr>
                <w:noProof/>
                <w:webHidden/>
              </w:rPr>
              <w:fldChar w:fldCharType="begin"/>
            </w:r>
            <w:r>
              <w:rPr>
                <w:noProof/>
                <w:webHidden/>
              </w:rPr>
              <w:instrText xml:space="preserve"> PAGEREF _Toc179386642 \h </w:instrText>
            </w:r>
            <w:r>
              <w:rPr>
                <w:noProof/>
                <w:webHidden/>
              </w:rPr>
            </w:r>
            <w:r>
              <w:rPr>
                <w:noProof/>
                <w:webHidden/>
              </w:rPr>
              <w:fldChar w:fldCharType="separate"/>
            </w:r>
            <w:r>
              <w:rPr>
                <w:noProof/>
                <w:webHidden/>
              </w:rPr>
              <w:t>21</w:t>
            </w:r>
            <w:r>
              <w:rPr>
                <w:noProof/>
                <w:webHidden/>
              </w:rPr>
              <w:fldChar w:fldCharType="end"/>
            </w:r>
          </w:hyperlink>
        </w:p>
        <w:p w14:paraId="2A9C03DF" w14:textId="54601C8D" w:rsidR="00C40285" w:rsidRDefault="00C40285">
          <w:pPr>
            <w:pStyle w:val="TOC2"/>
            <w:tabs>
              <w:tab w:val="right" w:leader="dot" w:pos="9062"/>
            </w:tabs>
            <w:rPr>
              <w:rFonts w:asciiTheme="minorHAnsi" w:eastAsiaTheme="minorEastAsia" w:hAnsiTheme="minorHAnsi"/>
              <w:noProof/>
              <w:kern w:val="2"/>
              <w:sz w:val="24"/>
              <w:szCs w:val="24"/>
              <w:lang/>
              <w14:ligatures w14:val="standardContextual"/>
            </w:rPr>
          </w:pPr>
          <w:hyperlink w:anchor="_Toc179386643" w:history="1">
            <w:r w:rsidRPr="00370C3F">
              <w:rPr>
                <w:rStyle w:val="Hyperlink"/>
                <w:noProof/>
                <w:lang w:bidi="en-US"/>
              </w:rPr>
              <w:t>Article 12: Equal recognition before the law</w:t>
            </w:r>
            <w:r>
              <w:rPr>
                <w:noProof/>
                <w:webHidden/>
              </w:rPr>
              <w:tab/>
            </w:r>
            <w:r>
              <w:rPr>
                <w:noProof/>
                <w:webHidden/>
              </w:rPr>
              <w:fldChar w:fldCharType="begin"/>
            </w:r>
            <w:r>
              <w:rPr>
                <w:noProof/>
                <w:webHidden/>
              </w:rPr>
              <w:instrText xml:space="preserve"> PAGEREF _Toc179386643 \h </w:instrText>
            </w:r>
            <w:r>
              <w:rPr>
                <w:noProof/>
                <w:webHidden/>
              </w:rPr>
            </w:r>
            <w:r>
              <w:rPr>
                <w:noProof/>
                <w:webHidden/>
              </w:rPr>
              <w:fldChar w:fldCharType="separate"/>
            </w:r>
            <w:r>
              <w:rPr>
                <w:noProof/>
                <w:webHidden/>
              </w:rPr>
              <w:t>24</w:t>
            </w:r>
            <w:r>
              <w:rPr>
                <w:noProof/>
                <w:webHidden/>
              </w:rPr>
              <w:fldChar w:fldCharType="end"/>
            </w:r>
          </w:hyperlink>
        </w:p>
        <w:p w14:paraId="3E4D4FCA" w14:textId="61DFE90A" w:rsidR="00C40285" w:rsidRDefault="00C40285">
          <w:pPr>
            <w:pStyle w:val="TOC2"/>
            <w:tabs>
              <w:tab w:val="right" w:leader="dot" w:pos="9062"/>
            </w:tabs>
            <w:rPr>
              <w:rFonts w:asciiTheme="minorHAnsi" w:eastAsiaTheme="minorEastAsia" w:hAnsiTheme="minorHAnsi"/>
              <w:noProof/>
              <w:kern w:val="2"/>
              <w:sz w:val="24"/>
              <w:szCs w:val="24"/>
              <w:lang/>
              <w14:ligatures w14:val="standardContextual"/>
            </w:rPr>
          </w:pPr>
          <w:hyperlink w:anchor="_Toc179386644" w:history="1">
            <w:r w:rsidRPr="00370C3F">
              <w:rPr>
                <w:rStyle w:val="Hyperlink"/>
                <w:noProof/>
                <w:lang w:bidi="en-US"/>
              </w:rPr>
              <w:t>Article 13: Access to justice</w:t>
            </w:r>
            <w:r>
              <w:rPr>
                <w:noProof/>
                <w:webHidden/>
              </w:rPr>
              <w:tab/>
            </w:r>
            <w:r>
              <w:rPr>
                <w:noProof/>
                <w:webHidden/>
              </w:rPr>
              <w:fldChar w:fldCharType="begin"/>
            </w:r>
            <w:r>
              <w:rPr>
                <w:noProof/>
                <w:webHidden/>
              </w:rPr>
              <w:instrText xml:space="preserve"> PAGEREF _Toc179386644 \h </w:instrText>
            </w:r>
            <w:r>
              <w:rPr>
                <w:noProof/>
                <w:webHidden/>
              </w:rPr>
            </w:r>
            <w:r>
              <w:rPr>
                <w:noProof/>
                <w:webHidden/>
              </w:rPr>
              <w:fldChar w:fldCharType="separate"/>
            </w:r>
            <w:r>
              <w:rPr>
                <w:noProof/>
                <w:webHidden/>
              </w:rPr>
              <w:t>25</w:t>
            </w:r>
            <w:r>
              <w:rPr>
                <w:noProof/>
                <w:webHidden/>
              </w:rPr>
              <w:fldChar w:fldCharType="end"/>
            </w:r>
          </w:hyperlink>
        </w:p>
        <w:p w14:paraId="36FAC0B1" w14:textId="167484E5" w:rsidR="00C40285" w:rsidRDefault="00C40285">
          <w:pPr>
            <w:pStyle w:val="TOC2"/>
            <w:tabs>
              <w:tab w:val="right" w:leader="dot" w:pos="9062"/>
            </w:tabs>
            <w:rPr>
              <w:rFonts w:asciiTheme="minorHAnsi" w:eastAsiaTheme="minorEastAsia" w:hAnsiTheme="minorHAnsi"/>
              <w:noProof/>
              <w:kern w:val="2"/>
              <w:sz w:val="24"/>
              <w:szCs w:val="24"/>
              <w:lang/>
              <w14:ligatures w14:val="standardContextual"/>
            </w:rPr>
          </w:pPr>
          <w:hyperlink w:anchor="_Toc179386645" w:history="1">
            <w:r w:rsidRPr="00370C3F">
              <w:rPr>
                <w:rStyle w:val="Hyperlink"/>
                <w:noProof/>
                <w:lang w:bidi="en-US"/>
              </w:rPr>
              <w:t>Article 14: Liberty and security of the person</w:t>
            </w:r>
            <w:r>
              <w:rPr>
                <w:noProof/>
                <w:webHidden/>
              </w:rPr>
              <w:tab/>
            </w:r>
            <w:r>
              <w:rPr>
                <w:noProof/>
                <w:webHidden/>
              </w:rPr>
              <w:fldChar w:fldCharType="begin"/>
            </w:r>
            <w:r>
              <w:rPr>
                <w:noProof/>
                <w:webHidden/>
              </w:rPr>
              <w:instrText xml:space="preserve"> PAGEREF _Toc179386645 \h </w:instrText>
            </w:r>
            <w:r>
              <w:rPr>
                <w:noProof/>
                <w:webHidden/>
              </w:rPr>
            </w:r>
            <w:r>
              <w:rPr>
                <w:noProof/>
                <w:webHidden/>
              </w:rPr>
              <w:fldChar w:fldCharType="separate"/>
            </w:r>
            <w:r>
              <w:rPr>
                <w:noProof/>
                <w:webHidden/>
              </w:rPr>
              <w:t>27</w:t>
            </w:r>
            <w:r>
              <w:rPr>
                <w:noProof/>
                <w:webHidden/>
              </w:rPr>
              <w:fldChar w:fldCharType="end"/>
            </w:r>
          </w:hyperlink>
        </w:p>
        <w:p w14:paraId="4CBF04A4" w14:textId="1F29C31A" w:rsidR="00C40285" w:rsidRDefault="00C40285">
          <w:pPr>
            <w:pStyle w:val="TOC2"/>
            <w:tabs>
              <w:tab w:val="right" w:leader="dot" w:pos="9062"/>
            </w:tabs>
            <w:rPr>
              <w:rFonts w:asciiTheme="minorHAnsi" w:eastAsiaTheme="minorEastAsia" w:hAnsiTheme="minorHAnsi"/>
              <w:noProof/>
              <w:kern w:val="2"/>
              <w:sz w:val="24"/>
              <w:szCs w:val="24"/>
              <w:lang/>
              <w14:ligatures w14:val="standardContextual"/>
            </w:rPr>
          </w:pPr>
          <w:hyperlink w:anchor="_Toc179386646" w:history="1">
            <w:r w:rsidRPr="00370C3F">
              <w:rPr>
                <w:rStyle w:val="Hyperlink"/>
                <w:noProof/>
                <w:lang w:bidi="en-US"/>
              </w:rPr>
              <w:t>Article 15: Freedom from torture or cruel, inhuman, or degrading treatment or punishment</w:t>
            </w:r>
            <w:r>
              <w:rPr>
                <w:noProof/>
                <w:webHidden/>
              </w:rPr>
              <w:tab/>
            </w:r>
            <w:r>
              <w:rPr>
                <w:noProof/>
                <w:webHidden/>
              </w:rPr>
              <w:fldChar w:fldCharType="begin"/>
            </w:r>
            <w:r>
              <w:rPr>
                <w:noProof/>
                <w:webHidden/>
              </w:rPr>
              <w:instrText xml:space="preserve"> PAGEREF _Toc179386646 \h </w:instrText>
            </w:r>
            <w:r>
              <w:rPr>
                <w:noProof/>
                <w:webHidden/>
              </w:rPr>
            </w:r>
            <w:r>
              <w:rPr>
                <w:noProof/>
                <w:webHidden/>
              </w:rPr>
              <w:fldChar w:fldCharType="separate"/>
            </w:r>
            <w:r>
              <w:rPr>
                <w:noProof/>
                <w:webHidden/>
              </w:rPr>
              <w:t>30</w:t>
            </w:r>
            <w:r>
              <w:rPr>
                <w:noProof/>
                <w:webHidden/>
              </w:rPr>
              <w:fldChar w:fldCharType="end"/>
            </w:r>
          </w:hyperlink>
        </w:p>
        <w:p w14:paraId="5721E636" w14:textId="5AA598E3" w:rsidR="00C40285" w:rsidRDefault="00C40285">
          <w:pPr>
            <w:pStyle w:val="TOC2"/>
            <w:tabs>
              <w:tab w:val="right" w:leader="dot" w:pos="9062"/>
            </w:tabs>
            <w:rPr>
              <w:rFonts w:asciiTheme="minorHAnsi" w:eastAsiaTheme="minorEastAsia" w:hAnsiTheme="minorHAnsi"/>
              <w:noProof/>
              <w:kern w:val="2"/>
              <w:sz w:val="24"/>
              <w:szCs w:val="24"/>
              <w:lang/>
              <w14:ligatures w14:val="standardContextual"/>
            </w:rPr>
          </w:pPr>
          <w:hyperlink w:anchor="_Toc179386647" w:history="1">
            <w:r w:rsidRPr="00370C3F">
              <w:rPr>
                <w:rStyle w:val="Hyperlink"/>
                <w:noProof/>
                <w:lang w:bidi="en-US"/>
              </w:rPr>
              <w:t>Article 16: Freedom from exploitation, violence and abuse</w:t>
            </w:r>
            <w:r>
              <w:rPr>
                <w:noProof/>
                <w:webHidden/>
              </w:rPr>
              <w:tab/>
            </w:r>
            <w:r>
              <w:rPr>
                <w:noProof/>
                <w:webHidden/>
              </w:rPr>
              <w:fldChar w:fldCharType="begin"/>
            </w:r>
            <w:r>
              <w:rPr>
                <w:noProof/>
                <w:webHidden/>
              </w:rPr>
              <w:instrText xml:space="preserve"> PAGEREF _Toc179386647 \h </w:instrText>
            </w:r>
            <w:r>
              <w:rPr>
                <w:noProof/>
                <w:webHidden/>
              </w:rPr>
            </w:r>
            <w:r>
              <w:rPr>
                <w:noProof/>
                <w:webHidden/>
              </w:rPr>
              <w:fldChar w:fldCharType="separate"/>
            </w:r>
            <w:r>
              <w:rPr>
                <w:noProof/>
                <w:webHidden/>
              </w:rPr>
              <w:t>30</w:t>
            </w:r>
            <w:r>
              <w:rPr>
                <w:noProof/>
                <w:webHidden/>
              </w:rPr>
              <w:fldChar w:fldCharType="end"/>
            </w:r>
          </w:hyperlink>
        </w:p>
        <w:p w14:paraId="4A898F44" w14:textId="235DFFAC" w:rsidR="00C40285" w:rsidRDefault="00C40285">
          <w:pPr>
            <w:pStyle w:val="TOC2"/>
            <w:tabs>
              <w:tab w:val="right" w:leader="dot" w:pos="9062"/>
            </w:tabs>
            <w:rPr>
              <w:rFonts w:asciiTheme="minorHAnsi" w:eastAsiaTheme="minorEastAsia" w:hAnsiTheme="minorHAnsi"/>
              <w:noProof/>
              <w:kern w:val="2"/>
              <w:sz w:val="24"/>
              <w:szCs w:val="24"/>
              <w:lang/>
              <w14:ligatures w14:val="standardContextual"/>
            </w:rPr>
          </w:pPr>
          <w:hyperlink w:anchor="_Toc179386648" w:history="1">
            <w:r w:rsidRPr="00370C3F">
              <w:rPr>
                <w:rStyle w:val="Hyperlink"/>
                <w:noProof/>
                <w:lang w:bidi="en-US"/>
              </w:rPr>
              <w:t>Article 17: Protecting the integrity of the person</w:t>
            </w:r>
            <w:r>
              <w:rPr>
                <w:noProof/>
                <w:webHidden/>
              </w:rPr>
              <w:tab/>
            </w:r>
            <w:r>
              <w:rPr>
                <w:noProof/>
                <w:webHidden/>
              </w:rPr>
              <w:fldChar w:fldCharType="begin"/>
            </w:r>
            <w:r>
              <w:rPr>
                <w:noProof/>
                <w:webHidden/>
              </w:rPr>
              <w:instrText xml:space="preserve"> PAGEREF _Toc179386648 \h </w:instrText>
            </w:r>
            <w:r>
              <w:rPr>
                <w:noProof/>
                <w:webHidden/>
              </w:rPr>
            </w:r>
            <w:r>
              <w:rPr>
                <w:noProof/>
                <w:webHidden/>
              </w:rPr>
              <w:fldChar w:fldCharType="separate"/>
            </w:r>
            <w:r>
              <w:rPr>
                <w:noProof/>
                <w:webHidden/>
              </w:rPr>
              <w:t>32</w:t>
            </w:r>
            <w:r>
              <w:rPr>
                <w:noProof/>
                <w:webHidden/>
              </w:rPr>
              <w:fldChar w:fldCharType="end"/>
            </w:r>
          </w:hyperlink>
        </w:p>
        <w:p w14:paraId="1A4A01E4" w14:textId="1A63C2B9" w:rsidR="00C40285" w:rsidRDefault="00C40285">
          <w:pPr>
            <w:pStyle w:val="TOC2"/>
            <w:tabs>
              <w:tab w:val="right" w:leader="dot" w:pos="9062"/>
            </w:tabs>
            <w:rPr>
              <w:rFonts w:asciiTheme="minorHAnsi" w:eastAsiaTheme="minorEastAsia" w:hAnsiTheme="minorHAnsi"/>
              <w:noProof/>
              <w:kern w:val="2"/>
              <w:sz w:val="24"/>
              <w:szCs w:val="24"/>
              <w:lang/>
              <w14:ligatures w14:val="standardContextual"/>
            </w:rPr>
          </w:pPr>
          <w:hyperlink w:anchor="_Toc179386649" w:history="1">
            <w:r w:rsidRPr="00370C3F">
              <w:rPr>
                <w:rStyle w:val="Hyperlink"/>
                <w:noProof/>
                <w:lang w:bidi="en-US"/>
              </w:rPr>
              <w:t>Article 18: Liberty of movement and nationality</w:t>
            </w:r>
            <w:r>
              <w:rPr>
                <w:noProof/>
                <w:webHidden/>
              </w:rPr>
              <w:tab/>
            </w:r>
            <w:r>
              <w:rPr>
                <w:noProof/>
                <w:webHidden/>
              </w:rPr>
              <w:fldChar w:fldCharType="begin"/>
            </w:r>
            <w:r>
              <w:rPr>
                <w:noProof/>
                <w:webHidden/>
              </w:rPr>
              <w:instrText xml:space="preserve"> PAGEREF _Toc179386649 \h </w:instrText>
            </w:r>
            <w:r>
              <w:rPr>
                <w:noProof/>
                <w:webHidden/>
              </w:rPr>
            </w:r>
            <w:r>
              <w:rPr>
                <w:noProof/>
                <w:webHidden/>
              </w:rPr>
              <w:fldChar w:fldCharType="separate"/>
            </w:r>
            <w:r>
              <w:rPr>
                <w:noProof/>
                <w:webHidden/>
              </w:rPr>
              <w:t>34</w:t>
            </w:r>
            <w:r>
              <w:rPr>
                <w:noProof/>
                <w:webHidden/>
              </w:rPr>
              <w:fldChar w:fldCharType="end"/>
            </w:r>
          </w:hyperlink>
        </w:p>
        <w:p w14:paraId="243747AB" w14:textId="362B77AD" w:rsidR="00C40285" w:rsidRDefault="00C40285">
          <w:pPr>
            <w:pStyle w:val="TOC2"/>
            <w:tabs>
              <w:tab w:val="right" w:leader="dot" w:pos="9062"/>
            </w:tabs>
            <w:rPr>
              <w:rFonts w:asciiTheme="minorHAnsi" w:eastAsiaTheme="minorEastAsia" w:hAnsiTheme="minorHAnsi"/>
              <w:noProof/>
              <w:kern w:val="2"/>
              <w:sz w:val="24"/>
              <w:szCs w:val="24"/>
              <w:lang/>
              <w14:ligatures w14:val="standardContextual"/>
            </w:rPr>
          </w:pPr>
          <w:hyperlink w:anchor="_Toc179386650" w:history="1">
            <w:r w:rsidRPr="00370C3F">
              <w:rPr>
                <w:rStyle w:val="Hyperlink"/>
                <w:noProof/>
                <w:lang w:bidi="en-US"/>
              </w:rPr>
              <w:t>Article 19: Living independently and being included in the community</w:t>
            </w:r>
            <w:r>
              <w:rPr>
                <w:noProof/>
                <w:webHidden/>
              </w:rPr>
              <w:tab/>
            </w:r>
            <w:r>
              <w:rPr>
                <w:noProof/>
                <w:webHidden/>
              </w:rPr>
              <w:fldChar w:fldCharType="begin"/>
            </w:r>
            <w:r>
              <w:rPr>
                <w:noProof/>
                <w:webHidden/>
              </w:rPr>
              <w:instrText xml:space="preserve"> PAGEREF _Toc179386650 \h </w:instrText>
            </w:r>
            <w:r>
              <w:rPr>
                <w:noProof/>
                <w:webHidden/>
              </w:rPr>
            </w:r>
            <w:r>
              <w:rPr>
                <w:noProof/>
                <w:webHidden/>
              </w:rPr>
              <w:fldChar w:fldCharType="separate"/>
            </w:r>
            <w:r>
              <w:rPr>
                <w:noProof/>
                <w:webHidden/>
              </w:rPr>
              <w:t>36</w:t>
            </w:r>
            <w:r>
              <w:rPr>
                <w:noProof/>
                <w:webHidden/>
              </w:rPr>
              <w:fldChar w:fldCharType="end"/>
            </w:r>
          </w:hyperlink>
        </w:p>
        <w:p w14:paraId="77C53BAA" w14:textId="0C77A576" w:rsidR="00C40285" w:rsidRDefault="00C40285">
          <w:pPr>
            <w:pStyle w:val="TOC2"/>
            <w:tabs>
              <w:tab w:val="right" w:leader="dot" w:pos="9062"/>
            </w:tabs>
            <w:rPr>
              <w:rFonts w:asciiTheme="minorHAnsi" w:eastAsiaTheme="minorEastAsia" w:hAnsiTheme="minorHAnsi"/>
              <w:noProof/>
              <w:kern w:val="2"/>
              <w:sz w:val="24"/>
              <w:szCs w:val="24"/>
              <w:lang/>
              <w14:ligatures w14:val="standardContextual"/>
            </w:rPr>
          </w:pPr>
          <w:hyperlink w:anchor="_Toc179386651" w:history="1">
            <w:r w:rsidRPr="00370C3F">
              <w:rPr>
                <w:rStyle w:val="Hyperlink"/>
                <w:noProof/>
                <w:lang w:bidi="en-US"/>
              </w:rPr>
              <w:t>Article 20: Personal mobility</w:t>
            </w:r>
            <w:r>
              <w:rPr>
                <w:noProof/>
                <w:webHidden/>
              </w:rPr>
              <w:tab/>
            </w:r>
            <w:r>
              <w:rPr>
                <w:noProof/>
                <w:webHidden/>
              </w:rPr>
              <w:fldChar w:fldCharType="begin"/>
            </w:r>
            <w:r>
              <w:rPr>
                <w:noProof/>
                <w:webHidden/>
              </w:rPr>
              <w:instrText xml:space="preserve"> PAGEREF _Toc179386651 \h </w:instrText>
            </w:r>
            <w:r>
              <w:rPr>
                <w:noProof/>
                <w:webHidden/>
              </w:rPr>
            </w:r>
            <w:r>
              <w:rPr>
                <w:noProof/>
                <w:webHidden/>
              </w:rPr>
              <w:fldChar w:fldCharType="separate"/>
            </w:r>
            <w:r>
              <w:rPr>
                <w:noProof/>
                <w:webHidden/>
              </w:rPr>
              <w:t>38</w:t>
            </w:r>
            <w:r>
              <w:rPr>
                <w:noProof/>
                <w:webHidden/>
              </w:rPr>
              <w:fldChar w:fldCharType="end"/>
            </w:r>
          </w:hyperlink>
        </w:p>
        <w:p w14:paraId="648EF313" w14:textId="1A94D917" w:rsidR="00C40285" w:rsidRDefault="00C40285">
          <w:pPr>
            <w:pStyle w:val="TOC2"/>
            <w:tabs>
              <w:tab w:val="right" w:leader="dot" w:pos="9062"/>
            </w:tabs>
            <w:rPr>
              <w:rFonts w:asciiTheme="minorHAnsi" w:eastAsiaTheme="minorEastAsia" w:hAnsiTheme="minorHAnsi"/>
              <w:noProof/>
              <w:kern w:val="2"/>
              <w:sz w:val="24"/>
              <w:szCs w:val="24"/>
              <w:lang/>
              <w14:ligatures w14:val="standardContextual"/>
            </w:rPr>
          </w:pPr>
          <w:hyperlink w:anchor="_Toc179386652" w:history="1">
            <w:r w:rsidRPr="00370C3F">
              <w:rPr>
                <w:rStyle w:val="Hyperlink"/>
                <w:noProof/>
                <w:lang w:bidi="en-US"/>
              </w:rPr>
              <w:t>Articles 21: Freedom of expression and opinion, and access to information</w:t>
            </w:r>
            <w:r>
              <w:rPr>
                <w:noProof/>
                <w:webHidden/>
              </w:rPr>
              <w:tab/>
            </w:r>
            <w:r>
              <w:rPr>
                <w:noProof/>
                <w:webHidden/>
              </w:rPr>
              <w:fldChar w:fldCharType="begin"/>
            </w:r>
            <w:r>
              <w:rPr>
                <w:noProof/>
                <w:webHidden/>
              </w:rPr>
              <w:instrText xml:space="preserve"> PAGEREF _Toc179386652 \h </w:instrText>
            </w:r>
            <w:r>
              <w:rPr>
                <w:noProof/>
                <w:webHidden/>
              </w:rPr>
            </w:r>
            <w:r>
              <w:rPr>
                <w:noProof/>
                <w:webHidden/>
              </w:rPr>
              <w:fldChar w:fldCharType="separate"/>
            </w:r>
            <w:r>
              <w:rPr>
                <w:noProof/>
                <w:webHidden/>
              </w:rPr>
              <w:t>39</w:t>
            </w:r>
            <w:r>
              <w:rPr>
                <w:noProof/>
                <w:webHidden/>
              </w:rPr>
              <w:fldChar w:fldCharType="end"/>
            </w:r>
          </w:hyperlink>
        </w:p>
        <w:p w14:paraId="5B1005BB" w14:textId="15C4A6B1" w:rsidR="00C40285" w:rsidRDefault="00C40285">
          <w:pPr>
            <w:pStyle w:val="TOC2"/>
            <w:tabs>
              <w:tab w:val="right" w:leader="dot" w:pos="9062"/>
            </w:tabs>
            <w:rPr>
              <w:rFonts w:asciiTheme="minorHAnsi" w:eastAsiaTheme="minorEastAsia" w:hAnsiTheme="minorHAnsi"/>
              <w:noProof/>
              <w:kern w:val="2"/>
              <w:sz w:val="24"/>
              <w:szCs w:val="24"/>
              <w:lang/>
              <w14:ligatures w14:val="standardContextual"/>
            </w:rPr>
          </w:pPr>
          <w:hyperlink w:anchor="_Toc179386653" w:history="1">
            <w:r w:rsidRPr="00370C3F">
              <w:rPr>
                <w:rStyle w:val="Hyperlink"/>
                <w:noProof/>
                <w:lang w:bidi="en-US"/>
              </w:rPr>
              <w:t>Article 22: Respect for privacy</w:t>
            </w:r>
            <w:r>
              <w:rPr>
                <w:noProof/>
                <w:webHidden/>
              </w:rPr>
              <w:tab/>
            </w:r>
            <w:r>
              <w:rPr>
                <w:noProof/>
                <w:webHidden/>
              </w:rPr>
              <w:fldChar w:fldCharType="begin"/>
            </w:r>
            <w:r>
              <w:rPr>
                <w:noProof/>
                <w:webHidden/>
              </w:rPr>
              <w:instrText xml:space="preserve"> PAGEREF _Toc179386653 \h </w:instrText>
            </w:r>
            <w:r>
              <w:rPr>
                <w:noProof/>
                <w:webHidden/>
              </w:rPr>
            </w:r>
            <w:r>
              <w:rPr>
                <w:noProof/>
                <w:webHidden/>
              </w:rPr>
              <w:fldChar w:fldCharType="separate"/>
            </w:r>
            <w:r>
              <w:rPr>
                <w:noProof/>
                <w:webHidden/>
              </w:rPr>
              <w:t>41</w:t>
            </w:r>
            <w:r>
              <w:rPr>
                <w:noProof/>
                <w:webHidden/>
              </w:rPr>
              <w:fldChar w:fldCharType="end"/>
            </w:r>
          </w:hyperlink>
        </w:p>
        <w:p w14:paraId="10B8AB02" w14:textId="48E417C0" w:rsidR="00C40285" w:rsidRDefault="00C40285">
          <w:pPr>
            <w:pStyle w:val="TOC2"/>
            <w:tabs>
              <w:tab w:val="right" w:leader="dot" w:pos="9062"/>
            </w:tabs>
            <w:rPr>
              <w:rFonts w:asciiTheme="minorHAnsi" w:eastAsiaTheme="minorEastAsia" w:hAnsiTheme="minorHAnsi"/>
              <w:noProof/>
              <w:kern w:val="2"/>
              <w:sz w:val="24"/>
              <w:szCs w:val="24"/>
              <w:lang/>
              <w14:ligatures w14:val="standardContextual"/>
            </w:rPr>
          </w:pPr>
          <w:hyperlink w:anchor="_Toc179386654" w:history="1">
            <w:r w:rsidRPr="00370C3F">
              <w:rPr>
                <w:rStyle w:val="Hyperlink"/>
                <w:noProof/>
                <w:lang w:bidi="en-US"/>
              </w:rPr>
              <w:t>Article 23: Respect for home and the family</w:t>
            </w:r>
            <w:r>
              <w:rPr>
                <w:noProof/>
                <w:webHidden/>
              </w:rPr>
              <w:tab/>
            </w:r>
            <w:r>
              <w:rPr>
                <w:noProof/>
                <w:webHidden/>
              </w:rPr>
              <w:fldChar w:fldCharType="begin"/>
            </w:r>
            <w:r>
              <w:rPr>
                <w:noProof/>
                <w:webHidden/>
              </w:rPr>
              <w:instrText xml:space="preserve"> PAGEREF _Toc179386654 \h </w:instrText>
            </w:r>
            <w:r>
              <w:rPr>
                <w:noProof/>
                <w:webHidden/>
              </w:rPr>
            </w:r>
            <w:r>
              <w:rPr>
                <w:noProof/>
                <w:webHidden/>
              </w:rPr>
              <w:fldChar w:fldCharType="separate"/>
            </w:r>
            <w:r>
              <w:rPr>
                <w:noProof/>
                <w:webHidden/>
              </w:rPr>
              <w:t>42</w:t>
            </w:r>
            <w:r>
              <w:rPr>
                <w:noProof/>
                <w:webHidden/>
              </w:rPr>
              <w:fldChar w:fldCharType="end"/>
            </w:r>
          </w:hyperlink>
        </w:p>
        <w:p w14:paraId="17851790" w14:textId="18426466" w:rsidR="00C40285" w:rsidRDefault="00C40285">
          <w:pPr>
            <w:pStyle w:val="TOC2"/>
            <w:tabs>
              <w:tab w:val="right" w:leader="dot" w:pos="9062"/>
            </w:tabs>
            <w:rPr>
              <w:rFonts w:asciiTheme="minorHAnsi" w:eastAsiaTheme="minorEastAsia" w:hAnsiTheme="minorHAnsi"/>
              <w:noProof/>
              <w:kern w:val="2"/>
              <w:sz w:val="24"/>
              <w:szCs w:val="24"/>
              <w:lang/>
              <w14:ligatures w14:val="standardContextual"/>
            </w:rPr>
          </w:pPr>
          <w:hyperlink w:anchor="_Toc179386655" w:history="1">
            <w:r w:rsidRPr="00370C3F">
              <w:rPr>
                <w:rStyle w:val="Hyperlink"/>
                <w:noProof/>
                <w:lang w:bidi="en-US"/>
              </w:rPr>
              <w:t>Article 24: Education</w:t>
            </w:r>
            <w:r>
              <w:rPr>
                <w:noProof/>
                <w:webHidden/>
              </w:rPr>
              <w:tab/>
            </w:r>
            <w:r>
              <w:rPr>
                <w:noProof/>
                <w:webHidden/>
              </w:rPr>
              <w:fldChar w:fldCharType="begin"/>
            </w:r>
            <w:r>
              <w:rPr>
                <w:noProof/>
                <w:webHidden/>
              </w:rPr>
              <w:instrText xml:space="preserve"> PAGEREF _Toc179386655 \h </w:instrText>
            </w:r>
            <w:r>
              <w:rPr>
                <w:noProof/>
                <w:webHidden/>
              </w:rPr>
            </w:r>
            <w:r>
              <w:rPr>
                <w:noProof/>
                <w:webHidden/>
              </w:rPr>
              <w:fldChar w:fldCharType="separate"/>
            </w:r>
            <w:r>
              <w:rPr>
                <w:noProof/>
                <w:webHidden/>
              </w:rPr>
              <w:t>43</w:t>
            </w:r>
            <w:r>
              <w:rPr>
                <w:noProof/>
                <w:webHidden/>
              </w:rPr>
              <w:fldChar w:fldCharType="end"/>
            </w:r>
          </w:hyperlink>
        </w:p>
        <w:p w14:paraId="67E5ACC0" w14:textId="6BA41858" w:rsidR="00C40285" w:rsidRDefault="00C40285">
          <w:pPr>
            <w:pStyle w:val="TOC2"/>
            <w:tabs>
              <w:tab w:val="right" w:leader="dot" w:pos="9062"/>
            </w:tabs>
            <w:rPr>
              <w:rFonts w:asciiTheme="minorHAnsi" w:eastAsiaTheme="minorEastAsia" w:hAnsiTheme="minorHAnsi"/>
              <w:noProof/>
              <w:kern w:val="2"/>
              <w:sz w:val="24"/>
              <w:szCs w:val="24"/>
              <w:lang/>
              <w14:ligatures w14:val="standardContextual"/>
            </w:rPr>
          </w:pPr>
          <w:hyperlink w:anchor="_Toc179386656" w:history="1">
            <w:r w:rsidRPr="00370C3F">
              <w:rPr>
                <w:rStyle w:val="Hyperlink"/>
                <w:noProof/>
                <w:lang w:bidi="en-US"/>
              </w:rPr>
              <w:t>Articles 25-26: Health, habilitation and rehabilitation</w:t>
            </w:r>
            <w:r>
              <w:rPr>
                <w:noProof/>
                <w:webHidden/>
              </w:rPr>
              <w:tab/>
            </w:r>
            <w:r>
              <w:rPr>
                <w:noProof/>
                <w:webHidden/>
              </w:rPr>
              <w:fldChar w:fldCharType="begin"/>
            </w:r>
            <w:r>
              <w:rPr>
                <w:noProof/>
                <w:webHidden/>
              </w:rPr>
              <w:instrText xml:space="preserve"> PAGEREF _Toc179386656 \h </w:instrText>
            </w:r>
            <w:r>
              <w:rPr>
                <w:noProof/>
                <w:webHidden/>
              </w:rPr>
            </w:r>
            <w:r>
              <w:rPr>
                <w:noProof/>
                <w:webHidden/>
              </w:rPr>
              <w:fldChar w:fldCharType="separate"/>
            </w:r>
            <w:r>
              <w:rPr>
                <w:noProof/>
                <w:webHidden/>
              </w:rPr>
              <w:t>45</w:t>
            </w:r>
            <w:r>
              <w:rPr>
                <w:noProof/>
                <w:webHidden/>
              </w:rPr>
              <w:fldChar w:fldCharType="end"/>
            </w:r>
          </w:hyperlink>
        </w:p>
        <w:p w14:paraId="71213FDA" w14:textId="0BD0F9D1" w:rsidR="00C40285" w:rsidRDefault="00C40285">
          <w:pPr>
            <w:pStyle w:val="TOC2"/>
            <w:tabs>
              <w:tab w:val="right" w:leader="dot" w:pos="9062"/>
            </w:tabs>
            <w:rPr>
              <w:rFonts w:asciiTheme="minorHAnsi" w:eastAsiaTheme="minorEastAsia" w:hAnsiTheme="minorHAnsi"/>
              <w:noProof/>
              <w:kern w:val="2"/>
              <w:sz w:val="24"/>
              <w:szCs w:val="24"/>
              <w:lang/>
              <w14:ligatures w14:val="standardContextual"/>
            </w:rPr>
          </w:pPr>
          <w:hyperlink w:anchor="_Toc179386657" w:history="1">
            <w:r w:rsidRPr="00370C3F">
              <w:rPr>
                <w:rStyle w:val="Hyperlink"/>
                <w:noProof/>
                <w:lang w:bidi="en-US"/>
              </w:rPr>
              <w:t>Article 27: Work and employment</w:t>
            </w:r>
            <w:r>
              <w:rPr>
                <w:noProof/>
                <w:webHidden/>
              </w:rPr>
              <w:tab/>
            </w:r>
            <w:r>
              <w:rPr>
                <w:noProof/>
                <w:webHidden/>
              </w:rPr>
              <w:fldChar w:fldCharType="begin"/>
            </w:r>
            <w:r>
              <w:rPr>
                <w:noProof/>
                <w:webHidden/>
              </w:rPr>
              <w:instrText xml:space="preserve"> PAGEREF _Toc179386657 \h </w:instrText>
            </w:r>
            <w:r>
              <w:rPr>
                <w:noProof/>
                <w:webHidden/>
              </w:rPr>
            </w:r>
            <w:r>
              <w:rPr>
                <w:noProof/>
                <w:webHidden/>
              </w:rPr>
              <w:fldChar w:fldCharType="separate"/>
            </w:r>
            <w:r>
              <w:rPr>
                <w:noProof/>
                <w:webHidden/>
              </w:rPr>
              <w:t>48</w:t>
            </w:r>
            <w:r>
              <w:rPr>
                <w:noProof/>
                <w:webHidden/>
              </w:rPr>
              <w:fldChar w:fldCharType="end"/>
            </w:r>
          </w:hyperlink>
        </w:p>
        <w:p w14:paraId="239B82F0" w14:textId="3D97D5A7" w:rsidR="00C40285" w:rsidRDefault="00C40285">
          <w:pPr>
            <w:pStyle w:val="TOC2"/>
            <w:tabs>
              <w:tab w:val="right" w:leader="dot" w:pos="9062"/>
            </w:tabs>
            <w:rPr>
              <w:rFonts w:asciiTheme="minorHAnsi" w:eastAsiaTheme="minorEastAsia" w:hAnsiTheme="minorHAnsi"/>
              <w:noProof/>
              <w:kern w:val="2"/>
              <w:sz w:val="24"/>
              <w:szCs w:val="24"/>
              <w:lang/>
              <w14:ligatures w14:val="standardContextual"/>
            </w:rPr>
          </w:pPr>
          <w:hyperlink w:anchor="_Toc179386658" w:history="1">
            <w:r w:rsidRPr="00370C3F">
              <w:rPr>
                <w:rStyle w:val="Hyperlink"/>
                <w:noProof/>
                <w:lang w:bidi="en-US"/>
              </w:rPr>
              <w:t>Article 28: Adequate standard of living and social protection</w:t>
            </w:r>
            <w:r>
              <w:rPr>
                <w:noProof/>
                <w:webHidden/>
              </w:rPr>
              <w:tab/>
            </w:r>
            <w:r>
              <w:rPr>
                <w:noProof/>
                <w:webHidden/>
              </w:rPr>
              <w:fldChar w:fldCharType="begin"/>
            </w:r>
            <w:r>
              <w:rPr>
                <w:noProof/>
                <w:webHidden/>
              </w:rPr>
              <w:instrText xml:space="preserve"> PAGEREF _Toc179386658 \h </w:instrText>
            </w:r>
            <w:r>
              <w:rPr>
                <w:noProof/>
                <w:webHidden/>
              </w:rPr>
            </w:r>
            <w:r>
              <w:rPr>
                <w:noProof/>
                <w:webHidden/>
              </w:rPr>
              <w:fldChar w:fldCharType="separate"/>
            </w:r>
            <w:r>
              <w:rPr>
                <w:noProof/>
                <w:webHidden/>
              </w:rPr>
              <w:t>51</w:t>
            </w:r>
            <w:r>
              <w:rPr>
                <w:noProof/>
                <w:webHidden/>
              </w:rPr>
              <w:fldChar w:fldCharType="end"/>
            </w:r>
          </w:hyperlink>
        </w:p>
        <w:p w14:paraId="1FFAE4AA" w14:textId="4ECD876D" w:rsidR="00C40285" w:rsidRDefault="00C40285">
          <w:pPr>
            <w:pStyle w:val="TOC2"/>
            <w:tabs>
              <w:tab w:val="right" w:leader="dot" w:pos="9062"/>
            </w:tabs>
            <w:rPr>
              <w:rFonts w:asciiTheme="minorHAnsi" w:eastAsiaTheme="minorEastAsia" w:hAnsiTheme="minorHAnsi"/>
              <w:noProof/>
              <w:kern w:val="2"/>
              <w:sz w:val="24"/>
              <w:szCs w:val="24"/>
              <w:lang/>
              <w14:ligatures w14:val="standardContextual"/>
            </w:rPr>
          </w:pPr>
          <w:hyperlink w:anchor="_Toc179386659" w:history="1">
            <w:r w:rsidRPr="00370C3F">
              <w:rPr>
                <w:rStyle w:val="Hyperlink"/>
                <w:noProof/>
                <w:lang w:bidi="en-US"/>
              </w:rPr>
              <w:t>Article 29: Participation in political and public life</w:t>
            </w:r>
            <w:r>
              <w:rPr>
                <w:noProof/>
                <w:webHidden/>
              </w:rPr>
              <w:tab/>
            </w:r>
            <w:r>
              <w:rPr>
                <w:noProof/>
                <w:webHidden/>
              </w:rPr>
              <w:fldChar w:fldCharType="begin"/>
            </w:r>
            <w:r>
              <w:rPr>
                <w:noProof/>
                <w:webHidden/>
              </w:rPr>
              <w:instrText xml:space="preserve"> PAGEREF _Toc179386659 \h </w:instrText>
            </w:r>
            <w:r>
              <w:rPr>
                <w:noProof/>
                <w:webHidden/>
              </w:rPr>
            </w:r>
            <w:r>
              <w:rPr>
                <w:noProof/>
                <w:webHidden/>
              </w:rPr>
              <w:fldChar w:fldCharType="separate"/>
            </w:r>
            <w:r>
              <w:rPr>
                <w:noProof/>
                <w:webHidden/>
              </w:rPr>
              <w:t>52</w:t>
            </w:r>
            <w:r>
              <w:rPr>
                <w:noProof/>
                <w:webHidden/>
              </w:rPr>
              <w:fldChar w:fldCharType="end"/>
            </w:r>
          </w:hyperlink>
        </w:p>
        <w:p w14:paraId="77231F6D" w14:textId="429AA12E" w:rsidR="00C40285" w:rsidRDefault="00C40285">
          <w:pPr>
            <w:pStyle w:val="TOC2"/>
            <w:tabs>
              <w:tab w:val="right" w:leader="dot" w:pos="9062"/>
            </w:tabs>
            <w:rPr>
              <w:rFonts w:asciiTheme="minorHAnsi" w:eastAsiaTheme="minorEastAsia" w:hAnsiTheme="minorHAnsi"/>
              <w:noProof/>
              <w:kern w:val="2"/>
              <w:sz w:val="24"/>
              <w:szCs w:val="24"/>
              <w:lang/>
              <w14:ligatures w14:val="standardContextual"/>
            </w:rPr>
          </w:pPr>
          <w:hyperlink w:anchor="_Toc179386660" w:history="1">
            <w:r w:rsidRPr="00370C3F">
              <w:rPr>
                <w:rStyle w:val="Hyperlink"/>
                <w:noProof/>
                <w:lang w:bidi="en-US"/>
              </w:rPr>
              <w:t>Article 30: Participation in cultural life, recreation, leisure and sport</w:t>
            </w:r>
            <w:r>
              <w:rPr>
                <w:noProof/>
                <w:webHidden/>
              </w:rPr>
              <w:tab/>
            </w:r>
            <w:r>
              <w:rPr>
                <w:noProof/>
                <w:webHidden/>
              </w:rPr>
              <w:fldChar w:fldCharType="begin"/>
            </w:r>
            <w:r>
              <w:rPr>
                <w:noProof/>
                <w:webHidden/>
              </w:rPr>
              <w:instrText xml:space="preserve"> PAGEREF _Toc179386660 \h </w:instrText>
            </w:r>
            <w:r>
              <w:rPr>
                <w:noProof/>
                <w:webHidden/>
              </w:rPr>
            </w:r>
            <w:r>
              <w:rPr>
                <w:noProof/>
                <w:webHidden/>
              </w:rPr>
              <w:fldChar w:fldCharType="separate"/>
            </w:r>
            <w:r>
              <w:rPr>
                <w:noProof/>
                <w:webHidden/>
              </w:rPr>
              <w:t>53</w:t>
            </w:r>
            <w:r>
              <w:rPr>
                <w:noProof/>
                <w:webHidden/>
              </w:rPr>
              <w:fldChar w:fldCharType="end"/>
            </w:r>
          </w:hyperlink>
        </w:p>
        <w:p w14:paraId="1979985A" w14:textId="63FD6669" w:rsidR="00C40285" w:rsidRDefault="00C40285">
          <w:pPr>
            <w:pStyle w:val="TOC2"/>
            <w:tabs>
              <w:tab w:val="right" w:leader="dot" w:pos="9062"/>
            </w:tabs>
            <w:rPr>
              <w:rFonts w:asciiTheme="minorHAnsi" w:eastAsiaTheme="minorEastAsia" w:hAnsiTheme="minorHAnsi"/>
              <w:noProof/>
              <w:kern w:val="2"/>
              <w:sz w:val="24"/>
              <w:szCs w:val="24"/>
              <w:lang/>
              <w14:ligatures w14:val="standardContextual"/>
            </w:rPr>
          </w:pPr>
          <w:hyperlink w:anchor="_Toc179386661" w:history="1">
            <w:r w:rsidRPr="00370C3F">
              <w:rPr>
                <w:rStyle w:val="Hyperlink"/>
                <w:noProof/>
                <w:lang w:bidi="en-US"/>
              </w:rPr>
              <w:t>Article 31: Statistics and data collection</w:t>
            </w:r>
            <w:r>
              <w:rPr>
                <w:noProof/>
                <w:webHidden/>
              </w:rPr>
              <w:tab/>
            </w:r>
            <w:r>
              <w:rPr>
                <w:noProof/>
                <w:webHidden/>
              </w:rPr>
              <w:fldChar w:fldCharType="begin"/>
            </w:r>
            <w:r>
              <w:rPr>
                <w:noProof/>
                <w:webHidden/>
              </w:rPr>
              <w:instrText xml:space="preserve"> PAGEREF _Toc179386661 \h </w:instrText>
            </w:r>
            <w:r>
              <w:rPr>
                <w:noProof/>
                <w:webHidden/>
              </w:rPr>
            </w:r>
            <w:r>
              <w:rPr>
                <w:noProof/>
                <w:webHidden/>
              </w:rPr>
              <w:fldChar w:fldCharType="separate"/>
            </w:r>
            <w:r>
              <w:rPr>
                <w:noProof/>
                <w:webHidden/>
              </w:rPr>
              <w:t>54</w:t>
            </w:r>
            <w:r>
              <w:rPr>
                <w:noProof/>
                <w:webHidden/>
              </w:rPr>
              <w:fldChar w:fldCharType="end"/>
            </w:r>
          </w:hyperlink>
        </w:p>
        <w:p w14:paraId="68D682FE" w14:textId="18750A9C" w:rsidR="00C40285" w:rsidRDefault="00C40285">
          <w:pPr>
            <w:pStyle w:val="TOC2"/>
            <w:tabs>
              <w:tab w:val="right" w:leader="dot" w:pos="9062"/>
            </w:tabs>
            <w:rPr>
              <w:rFonts w:asciiTheme="minorHAnsi" w:eastAsiaTheme="minorEastAsia" w:hAnsiTheme="minorHAnsi"/>
              <w:noProof/>
              <w:kern w:val="2"/>
              <w:sz w:val="24"/>
              <w:szCs w:val="24"/>
              <w:lang/>
              <w14:ligatures w14:val="standardContextual"/>
            </w:rPr>
          </w:pPr>
          <w:hyperlink w:anchor="_Toc179386662" w:history="1">
            <w:r w:rsidRPr="00370C3F">
              <w:rPr>
                <w:rStyle w:val="Hyperlink"/>
                <w:noProof/>
                <w:lang w:bidi="en-US"/>
              </w:rPr>
              <w:t>Article 32: International cooperation</w:t>
            </w:r>
            <w:r>
              <w:rPr>
                <w:noProof/>
                <w:webHidden/>
              </w:rPr>
              <w:tab/>
            </w:r>
            <w:r>
              <w:rPr>
                <w:noProof/>
                <w:webHidden/>
              </w:rPr>
              <w:fldChar w:fldCharType="begin"/>
            </w:r>
            <w:r>
              <w:rPr>
                <w:noProof/>
                <w:webHidden/>
              </w:rPr>
              <w:instrText xml:space="preserve"> PAGEREF _Toc179386662 \h </w:instrText>
            </w:r>
            <w:r>
              <w:rPr>
                <w:noProof/>
                <w:webHidden/>
              </w:rPr>
            </w:r>
            <w:r>
              <w:rPr>
                <w:noProof/>
                <w:webHidden/>
              </w:rPr>
              <w:fldChar w:fldCharType="separate"/>
            </w:r>
            <w:r>
              <w:rPr>
                <w:noProof/>
                <w:webHidden/>
              </w:rPr>
              <w:t>56</w:t>
            </w:r>
            <w:r>
              <w:rPr>
                <w:noProof/>
                <w:webHidden/>
              </w:rPr>
              <w:fldChar w:fldCharType="end"/>
            </w:r>
          </w:hyperlink>
        </w:p>
        <w:p w14:paraId="086C435C" w14:textId="43ACBE0D" w:rsidR="00C40285" w:rsidRDefault="00C40285">
          <w:pPr>
            <w:pStyle w:val="TOC2"/>
            <w:tabs>
              <w:tab w:val="right" w:leader="dot" w:pos="9062"/>
            </w:tabs>
            <w:rPr>
              <w:rFonts w:asciiTheme="minorHAnsi" w:eastAsiaTheme="minorEastAsia" w:hAnsiTheme="minorHAnsi"/>
              <w:noProof/>
              <w:kern w:val="2"/>
              <w:sz w:val="24"/>
              <w:szCs w:val="24"/>
              <w:lang/>
              <w14:ligatures w14:val="standardContextual"/>
            </w:rPr>
          </w:pPr>
          <w:hyperlink w:anchor="_Toc179386663" w:history="1">
            <w:r w:rsidRPr="00370C3F">
              <w:rPr>
                <w:rStyle w:val="Hyperlink"/>
                <w:noProof/>
                <w:lang w:bidi="en-US"/>
              </w:rPr>
              <w:t>Article 33: Implementation and monitoring</w:t>
            </w:r>
            <w:r>
              <w:rPr>
                <w:noProof/>
                <w:webHidden/>
              </w:rPr>
              <w:tab/>
            </w:r>
            <w:r>
              <w:rPr>
                <w:noProof/>
                <w:webHidden/>
              </w:rPr>
              <w:fldChar w:fldCharType="begin"/>
            </w:r>
            <w:r>
              <w:rPr>
                <w:noProof/>
                <w:webHidden/>
              </w:rPr>
              <w:instrText xml:space="preserve"> PAGEREF _Toc179386663 \h </w:instrText>
            </w:r>
            <w:r>
              <w:rPr>
                <w:noProof/>
                <w:webHidden/>
              </w:rPr>
            </w:r>
            <w:r>
              <w:rPr>
                <w:noProof/>
                <w:webHidden/>
              </w:rPr>
              <w:fldChar w:fldCharType="separate"/>
            </w:r>
            <w:r>
              <w:rPr>
                <w:noProof/>
                <w:webHidden/>
              </w:rPr>
              <w:t>58</w:t>
            </w:r>
            <w:r>
              <w:rPr>
                <w:noProof/>
                <w:webHidden/>
              </w:rPr>
              <w:fldChar w:fldCharType="end"/>
            </w:r>
          </w:hyperlink>
        </w:p>
        <w:p w14:paraId="3C60E847" w14:textId="28915787" w:rsidR="00C40285" w:rsidRDefault="00C40285">
          <w:pPr>
            <w:pStyle w:val="TOC1"/>
            <w:tabs>
              <w:tab w:val="right" w:leader="dot" w:pos="9062"/>
            </w:tabs>
            <w:rPr>
              <w:rFonts w:asciiTheme="minorHAnsi" w:eastAsiaTheme="minorEastAsia" w:hAnsiTheme="minorHAnsi"/>
              <w:noProof/>
              <w:kern w:val="2"/>
              <w:sz w:val="24"/>
              <w:szCs w:val="24"/>
              <w:lang/>
              <w14:ligatures w14:val="standardContextual"/>
            </w:rPr>
          </w:pPr>
          <w:hyperlink w:anchor="_Toc179386664" w:history="1">
            <w:r w:rsidRPr="00370C3F">
              <w:rPr>
                <w:rStyle w:val="Hyperlink"/>
                <w:noProof/>
              </w:rPr>
              <w:t>Part 2: European Union institutions’ compliance with the Convention (as public administrations)</w:t>
            </w:r>
            <w:r>
              <w:rPr>
                <w:noProof/>
                <w:webHidden/>
              </w:rPr>
              <w:tab/>
            </w:r>
            <w:r>
              <w:rPr>
                <w:noProof/>
                <w:webHidden/>
              </w:rPr>
              <w:fldChar w:fldCharType="begin"/>
            </w:r>
            <w:r>
              <w:rPr>
                <w:noProof/>
                <w:webHidden/>
              </w:rPr>
              <w:instrText xml:space="preserve"> PAGEREF _Toc179386664 \h </w:instrText>
            </w:r>
            <w:r>
              <w:rPr>
                <w:noProof/>
                <w:webHidden/>
              </w:rPr>
            </w:r>
            <w:r>
              <w:rPr>
                <w:noProof/>
                <w:webHidden/>
              </w:rPr>
              <w:fldChar w:fldCharType="separate"/>
            </w:r>
            <w:r>
              <w:rPr>
                <w:noProof/>
                <w:webHidden/>
              </w:rPr>
              <w:t>60</w:t>
            </w:r>
            <w:r>
              <w:rPr>
                <w:noProof/>
                <w:webHidden/>
              </w:rPr>
              <w:fldChar w:fldCharType="end"/>
            </w:r>
          </w:hyperlink>
        </w:p>
        <w:p w14:paraId="6CBBCD0C" w14:textId="140FF050" w:rsidR="00C40285" w:rsidRDefault="00C40285">
          <w:pPr>
            <w:pStyle w:val="TOC2"/>
            <w:tabs>
              <w:tab w:val="right" w:leader="dot" w:pos="9062"/>
            </w:tabs>
            <w:rPr>
              <w:rFonts w:asciiTheme="minorHAnsi" w:eastAsiaTheme="minorEastAsia" w:hAnsiTheme="minorHAnsi"/>
              <w:noProof/>
              <w:kern w:val="2"/>
              <w:sz w:val="24"/>
              <w:szCs w:val="24"/>
              <w:lang/>
              <w14:ligatures w14:val="standardContextual"/>
            </w:rPr>
          </w:pPr>
          <w:hyperlink w:anchor="_Toc179386665" w:history="1">
            <w:r w:rsidRPr="00370C3F">
              <w:rPr>
                <w:rStyle w:val="Hyperlink"/>
                <w:noProof/>
                <w:lang w:bidi="en-US"/>
              </w:rPr>
              <w:t>Articles 1 and 2: purpose and definitions</w:t>
            </w:r>
            <w:r>
              <w:rPr>
                <w:noProof/>
                <w:webHidden/>
              </w:rPr>
              <w:tab/>
            </w:r>
            <w:r>
              <w:rPr>
                <w:noProof/>
                <w:webHidden/>
              </w:rPr>
              <w:fldChar w:fldCharType="begin"/>
            </w:r>
            <w:r>
              <w:rPr>
                <w:noProof/>
                <w:webHidden/>
              </w:rPr>
              <w:instrText xml:space="preserve"> PAGEREF _Toc179386665 \h </w:instrText>
            </w:r>
            <w:r>
              <w:rPr>
                <w:noProof/>
                <w:webHidden/>
              </w:rPr>
            </w:r>
            <w:r>
              <w:rPr>
                <w:noProof/>
                <w:webHidden/>
              </w:rPr>
              <w:fldChar w:fldCharType="separate"/>
            </w:r>
            <w:r>
              <w:rPr>
                <w:noProof/>
                <w:webHidden/>
              </w:rPr>
              <w:t>60</w:t>
            </w:r>
            <w:r>
              <w:rPr>
                <w:noProof/>
                <w:webHidden/>
              </w:rPr>
              <w:fldChar w:fldCharType="end"/>
            </w:r>
          </w:hyperlink>
        </w:p>
        <w:p w14:paraId="7BB63CB8" w14:textId="1E474483" w:rsidR="00C40285" w:rsidRDefault="00C40285">
          <w:pPr>
            <w:pStyle w:val="TOC2"/>
            <w:tabs>
              <w:tab w:val="right" w:leader="dot" w:pos="9062"/>
            </w:tabs>
            <w:rPr>
              <w:rFonts w:asciiTheme="minorHAnsi" w:eastAsiaTheme="minorEastAsia" w:hAnsiTheme="minorHAnsi"/>
              <w:noProof/>
              <w:kern w:val="2"/>
              <w:sz w:val="24"/>
              <w:szCs w:val="24"/>
              <w:lang/>
              <w14:ligatures w14:val="standardContextual"/>
            </w:rPr>
          </w:pPr>
          <w:hyperlink w:anchor="_Toc179386666" w:history="1">
            <w:r w:rsidRPr="00370C3F">
              <w:rPr>
                <w:rStyle w:val="Hyperlink"/>
                <w:noProof/>
                <w:lang w:bidi="en-US"/>
              </w:rPr>
              <w:t>Article 4: General obligations</w:t>
            </w:r>
            <w:r>
              <w:rPr>
                <w:noProof/>
                <w:webHidden/>
              </w:rPr>
              <w:tab/>
            </w:r>
            <w:r>
              <w:rPr>
                <w:noProof/>
                <w:webHidden/>
              </w:rPr>
              <w:fldChar w:fldCharType="begin"/>
            </w:r>
            <w:r>
              <w:rPr>
                <w:noProof/>
                <w:webHidden/>
              </w:rPr>
              <w:instrText xml:space="preserve"> PAGEREF _Toc179386666 \h </w:instrText>
            </w:r>
            <w:r>
              <w:rPr>
                <w:noProof/>
                <w:webHidden/>
              </w:rPr>
            </w:r>
            <w:r>
              <w:rPr>
                <w:noProof/>
                <w:webHidden/>
              </w:rPr>
              <w:fldChar w:fldCharType="separate"/>
            </w:r>
            <w:r>
              <w:rPr>
                <w:noProof/>
                <w:webHidden/>
              </w:rPr>
              <w:t>60</w:t>
            </w:r>
            <w:r>
              <w:rPr>
                <w:noProof/>
                <w:webHidden/>
              </w:rPr>
              <w:fldChar w:fldCharType="end"/>
            </w:r>
          </w:hyperlink>
        </w:p>
        <w:p w14:paraId="19444653" w14:textId="6C5CC997" w:rsidR="00C40285" w:rsidRDefault="00C40285">
          <w:pPr>
            <w:pStyle w:val="TOC2"/>
            <w:tabs>
              <w:tab w:val="right" w:leader="dot" w:pos="9062"/>
            </w:tabs>
            <w:rPr>
              <w:rFonts w:asciiTheme="minorHAnsi" w:eastAsiaTheme="minorEastAsia" w:hAnsiTheme="minorHAnsi"/>
              <w:noProof/>
              <w:kern w:val="2"/>
              <w:sz w:val="24"/>
              <w:szCs w:val="24"/>
              <w:lang/>
              <w14:ligatures w14:val="standardContextual"/>
            </w:rPr>
          </w:pPr>
          <w:hyperlink w:anchor="_Toc179386667" w:history="1">
            <w:r w:rsidRPr="00370C3F">
              <w:rPr>
                <w:rStyle w:val="Hyperlink"/>
                <w:noProof/>
                <w:lang w:bidi="en-US"/>
              </w:rPr>
              <w:t>Article 5: Equality and non-discrimination</w:t>
            </w:r>
            <w:r>
              <w:rPr>
                <w:noProof/>
                <w:webHidden/>
              </w:rPr>
              <w:tab/>
            </w:r>
            <w:r>
              <w:rPr>
                <w:noProof/>
                <w:webHidden/>
              </w:rPr>
              <w:fldChar w:fldCharType="begin"/>
            </w:r>
            <w:r>
              <w:rPr>
                <w:noProof/>
                <w:webHidden/>
              </w:rPr>
              <w:instrText xml:space="preserve"> PAGEREF _Toc179386667 \h </w:instrText>
            </w:r>
            <w:r>
              <w:rPr>
                <w:noProof/>
                <w:webHidden/>
              </w:rPr>
            </w:r>
            <w:r>
              <w:rPr>
                <w:noProof/>
                <w:webHidden/>
              </w:rPr>
              <w:fldChar w:fldCharType="separate"/>
            </w:r>
            <w:r>
              <w:rPr>
                <w:noProof/>
                <w:webHidden/>
              </w:rPr>
              <w:t>61</w:t>
            </w:r>
            <w:r>
              <w:rPr>
                <w:noProof/>
                <w:webHidden/>
              </w:rPr>
              <w:fldChar w:fldCharType="end"/>
            </w:r>
          </w:hyperlink>
        </w:p>
        <w:p w14:paraId="6B4A8BC8" w14:textId="495B4345" w:rsidR="00C40285" w:rsidRDefault="00C40285">
          <w:pPr>
            <w:pStyle w:val="TOC2"/>
            <w:tabs>
              <w:tab w:val="right" w:leader="dot" w:pos="9062"/>
            </w:tabs>
            <w:rPr>
              <w:rFonts w:asciiTheme="minorHAnsi" w:eastAsiaTheme="minorEastAsia" w:hAnsiTheme="minorHAnsi"/>
              <w:noProof/>
              <w:kern w:val="2"/>
              <w:sz w:val="24"/>
              <w:szCs w:val="24"/>
              <w:lang/>
              <w14:ligatures w14:val="standardContextual"/>
            </w:rPr>
          </w:pPr>
          <w:hyperlink w:anchor="_Toc179386668" w:history="1">
            <w:r w:rsidRPr="00370C3F">
              <w:rPr>
                <w:rStyle w:val="Hyperlink"/>
                <w:noProof/>
                <w:lang w:bidi="en-US"/>
              </w:rPr>
              <w:t>Article 9: Accessibility</w:t>
            </w:r>
            <w:r>
              <w:rPr>
                <w:noProof/>
                <w:webHidden/>
              </w:rPr>
              <w:tab/>
            </w:r>
            <w:r>
              <w:rPr>
                <w:noProof/>
                <w:webHidden/>
              </w:rPr>
              <w:fldChar w:fldCharType="begin"/>
            </w:r>
            <w:r>
              <w:rPr>
                <w:noProof/>
                <w:webHidden/>
              </w:rPr>
              <w:instrText xml:space="preserve"> PAGEREF _Toc179386668 \h </w:instrText>
            </w:r>
            <w:r>
              <w:rPr>
                <w:noProof/>
                <w:webHidden/>
              </w:rPr>
            </w:r>
            <w:r>
              <w:rPr>
                <w:noProof/>
                <w:webHidden/>
              </w:rPr>
              <w:fldChar w:fldCharType="separate"/>
            </w:r>
            <w:r>
              <w:rPr>
                <w:noProof/>
                <w:webHidden/>
              </w:rPr>
              <w:t>62</w:t>
            </w:r>
            <w:r>
              <w:rPr>
                <w:noProof/>
                <w:webHidden/>
              </w:rPr>
              <w:fldChar w:fldCharType="end"/>
            </w:r>
          </w:hyperlink>
        </w:p>
        <w:p w14:paraId="25E16940" w14:textId="546D5DC2" w:rsidR="00C40285" w:rsidRDefault="00C40285">
          <w:pPr>
            <w:pStyle w:val="TOC2"/>
            <w:tabs>
              <w:tab w:val="right" w:leader="dot" w:pos="9062"/>
            </w:tabs>
            <w:rPr>
              <w:rFonts w:asciiTheme="minorHAnsi" w:eastAsiaTheme="minorEastAsia" w:hAnsiTheme="minorHAnsi"/>
              <w:noProof/>
              <w:kern w:val="2"/>
              <w:sz w:val="24"/>
              <w:szCs w:val="24"/>
              <w:lang/>
              <w14:ligatures w14:val="standardContextual"/>
            </w:rPr>
          </w:pPr>
          <w:hyperlink w:anchor="_Toc179386669" w:history="1">
            <w:r w:rsidRPr="00370C3F">
              <w:rPr>
                <w:rStyle w:val="Hyperlink"/>
                <w:noProof/>
                <w:lang w:bidi="en-US"/>
              </w:rPr>
              <w:t>Article 13: Access to justice</w:t>
            </w:r>
            <w:r>
              <w:rPr>
                <w:noProof/>
                <w:webHidden/>
              </w:rPr>
              <w:tab/>
            </w:r>
            <w:r>
              <w:rPr>
                <w:noProof/>
                <w:webHidden/>
              </w:rPr>
              <w:fldChar w:fldCharType="begin"/>
            </w:r>
            <w:r>
              <w:rPr>
                <w:noProof/>
                <w:webHidden/>
              </w:rPr>
              <w:instrText xml:space="preserve"> PAGEREF _Toc179386669 \h </w:instrText>
            </w:r>
            <w:r>
              <w:rPr>
                <w:noProof/>
                <w:webHidden/>
              </w:rPr>
            </w:r>
            <w:r>
              <w:rPr>
                <w:noProof/>
                <w:webHidden/>
              </w:rPr>
              <w:fldChar w:fldCharType="separate"/>
            </w:r>
            <w:r>
              <w:rPr>
                <w:noProof/>
                <w:webHidden/>
              </w:rPr>
              <w:t>63</w:t>
            </w:r>
            <w:r>
              <w:rPr>
                <w:noProof/>
                <w:webHidden/>
              </w:rPr>
              <w:fldChar w:fldCharType="end"/>
            </w:r>
          </w:hyperlink>
        </w:p>
        <w:p w14:paraId="538F7DD0" w14:textId="07762C06" w:rsidR="00C40285" w:rsidRDefault="00C40285">
          <w:pPr>
            <w:pStyle w:val="TOC2"/>
            <w:tabs>
              <w:tab w:val="right" w:leader="dot" w:pos="9062"/>
            </w:tabs>
            <w:rPr>
              <w:rFonts w:asciiTheme="minorHAnsi" w:eastAsiaTheme="minorEastAsia" w:hAnsiTheme="minorHAnsi"/>
              <w:noProof/>
              <w:kern w:val="2"/>
              <w:sz w:val="24"/>
              <w:szCs w:val="24"/>
              <w:lang/>
              <w14:ligatures w14:val="standardContextual"/>
            </w:rPr>
          </w:pPr>
          <w:hyperlink w:anchor="_Toc179386670" w:history="1">
            <w:r w:rsidRPr="00370C3F">
              <w:rPr>
                <w:rStyle w:val="Hyperlink"/>
                <w:noProof/>
                <w:lang w:bidi="en-US"/>
              </w:rPr>
              <w:t>Article 21: Freedom of expression and opinion, and access to information</w:t>
            </w:r>
            <w:r>
              <w:rPr>
                <w:noProof/>
                <w:webHidden/>
              </w:rPr>
              <w:tab/>
            </w:r>
            <w:r>
              <w:rPr>
                <w:noProof/>
                <w:webHidden/>
              </w:rPr>
              <w:fldChar w:fldCharType="begin"/>
            </w:r>
            <w:r>
              <w:rPr>
                <w:noProof/>
                <w:webHidden/>
              </w:rPr>
              <w:instrText xml:space="preserve"> PAGEREF _Toc179386670 \h </w:instrText>
            </w:r>
            <w:r>
              <w:rPr>
                <w:noProof/>
                <w:webHidden/>
              </w:rPr>
            </w:r>
            <w:r>
              <w:rPr>
                <w:noProof/>
                <w:webHidden/>
              </w:rPr>
              <w:fldChar w:fldCharType="separate"/>
            </w:r>
            <w:r>
              <w:rPr>
                <w:noProof/>
                <w:webHidden/>
              </w:rPr>
              <w:t>64</w:t>
            </w:r>
            <w:r>
              <w:rPr>
                <w:noProof/>
                <w:webHidden/>
              </w:rPr>
              <w:fldChar w:fldCharType="end"/>
            </w:r>
          </w:hyperlink>
        </w:p>
        <w:p w14:paraId="42DA6BEE" w14:textId="22E440E2" w:rsidR="00C40285" w:rsidRDefault="00C40285">
          <w:pPr>
            <w:pStyle w:val="TOC2"/>
            <w:tabs>
              <w:tab w:val="right" w:leader="dot" w:pos="9062"/>
            </w:tabs>
            <w:rPr>
              <w:rFonts w:asciiTheme="minorHAnsi" w:eastAsiaTheme="minorEastAsia" w:hAnsiTheme="minorHAnsi"/>
              <w:noProof/>
              <w:kern w:val="2"/>
              <w:sz w:val="24"/>
              <w:szCs w:val="24"/>
              <w:lang/>
              <w14:ligatures w14:val="standardContextual"/>
            </w:rPr>
          </w:pPr>
          <w:hyperlink w:anchor="_Toc179386671" w:history="1">
            <w:r w:rsidRPr="00370C3F">
              <w:rPr>
                <w:rStyle w:val="Hyperlink"/>
                <w:noProof/>
                <w:lang w:bidi="en-US"/>
              </w:rPr>
              <w:t>Article 24: Education</w:t>
            </w:r>
            <w:r>
              <w:rPr>
                <w:noProof/>
                <w:webHidden/>
              </w:rPr>
              <w:tab/>
            </w:r>
            <w:r>
              <w:rPr>
                <w:noProof/>
                <w:webHidden/>
              </w:rPr>
              <w:fldChar w:fldCharType="begin"/>
            </w:r>
            <w:r>
              <w:rPr>
                <w:noProof/>
                <w:webHidden/>
              </w:rPr>
              <w:instrText xml:space="preserve"> PAGEREF _Toc179386671 \h </w:instrText>
            </w:r>
            <w:r>
              <w:rPr>
                <w:noProof/>
                <w:webHidden/>
              </w:rPr>
            </w:r>
            <w:r>
              <w:rPr>
                <w:noProof/>
                <w:webHidden/>
              </w:rPr>
              <w:fldChar w:fldCharType="separate"/>
            </w:r>
            <w:r>
              <w:rPr>
                <w:noProof/>
                <w:webHidden/>
              </w:rPr>
              <w:t>65</w:t>
            </w:r>
            <w:r>
              <w:rPr>
                <w:noProof/>
                <w:webHidden/>
              </w:rPr>
              <w:fldChar w:fldCharType="end"/>
            </w:r>
          </w:hyperlink>
        </w:p>
        <w:p w14:paraId="506B5B5B" w14:textId="032C7099" w:rsidR="00C40285" w:rsidRDefault="00C40285">
          <w:pPr>
            <w:pStyle w:val="TOC2"/>
            <w:tabs>
              <w:tab w:val="right" w:leader="dot" w:pos="9062"/>
            </w:tabs>
            <w:rPr>
              <w:rFonts w:asciiTheme="minorHAnsi" w:eastAsiaTheme="minorEastAsia" w:hAnsiTheme="minorHAnsi"/>
              <w:noProof/>
              <w:kern w:val="2"/>
              <w:sz w:val="24"/>
              <w:szCs w:val="24"/>
              <w:lang/>
              <w14:ligatures w14:val="standardContextual"/>
            </w:rPr>
          </w:pPr>
          <w:hyperlink w:anchor="_Toc179386672" w:history="1">
            <w:r w:rsidRPr="00370C3F">
              <w:rPr>
                <w:rStyle w:val="Hyperlink"/>
                <w:noProof/>
                <w:lang w:bidi="en-US"/>
              </w:rPr>
              <w:t>Article 25: Health</w:t>
            </w:r>
            <w:r>
              <w:rPr>
                <w:noProof/>
                <w:webHidden/>
              </w:rPr>
              <w:tab/>
            </w:r>
            <w:r>
              <w:rPr>
                <w:noProof/>
                <w:webHidden/>
              </w:rPr>
              <w:fldChar w:fldCharType="begin"/>
            </w:r>
            <w:r>
              <w:rPr>
                <w:noProof/>
                <w:webHidden/>
              </w:rPr>
              <w:instrText xml:space="preserve"> PAGEREF _Toc179386672 \h </w:instrText>
            </w:r>
            <w:r>
              <w:rPr>
                <w:noProof/>
                <w:webHidden/>
              </w:rPr>
            </w:r>
            <w:r>
              <w:rPr>
                <w:noProof/>
                <w:webHidden/>
              </w:rPr>
              <w:fldChar w:fldCharType="separate"/>
            </w:r>
            <w:r>
              <w:rPr>
                <w:noProof/>
                <w:webHidden/>
              </w:rPr>
              <w:t>66</w:t>
            </w:r>
            <w:r>
              <w:rPr>
                <w:noProof/>
                <w:webHidden/>
              </w:rPr>
              <w:fldChar w:fldCharType="end"/>
            </w:r>
          </w:hyperlink>
        </w:p>
        <w:p w14:paraId="419CA05A" w14:textId="03707B1B" w:rsidR="00C40285" w:rsidRDefault="00C40285">
          <w:pPr>
            <w:pStyle w:val="TOC2"/>
            <w:tabs>
              <w:tab w:val="right" w:leader="dot" w:pos="9062"/>
            </w:tabs>
            <w:rPr>
              <w:rFonts w:asciiTheme="minorHAnsi" w:eastAsiaTheme="minorEastAsia" w:hAnsiTheme="minorHAnsi"/>
              <w:noProof/>
              <w:kern w:val="2"/>
              <w:sz w:val="24"/>
              <w:szCs w:val="24"/>
              <w:lang/>
              <w14:ligatures w14:val="standardContextual"/>
            </w:rPr>
          </w:pPr>
          <w:hyperlink w:anchor="_Toc179386673" w:history="1">
            <w:r w:rsidRPr="00370C3F">
              <w:rPr>
                <w:rStyle w:val="Hyperlink"/>
                <w:noProof/>
                <w:lang w:bidi="en-US"/>
              </w:rPr>
              <w:t>Article 27: Work and employment</w:t>
            </w:r>
            <w:r>
              <w:rPr>
                <w:noProof/>
                <w:webHidden/>
              </w:rPr>
              <w:tab/>
            </w:r>
            <w:r>
              <w:rPr>
                <w:noProof/>
                <w:webHidden/>
              </w:rPr>
              <w:fldChar w:fldCharType="begin"/>
            </w:r>
            <w:r>
              <w:rPr>
                <w:noProof/>
                <w:webHidden/>
              </w:rPr>
              <w:instrText xml:space="preserve"> PAGEREF _Toc179386673 \h </w:instrText>
            </w:r>
            <w:r>
              <w:rPr>
                <w:noProof/>
                <w:webHidden/>
              </w:rPr>
            </w:r>
            <w:r>
              <w:rPr>
                <w:noProof/>
                <w:webHidden/>
              </w:rPr>
              <w:fldChar w:fldCharType="separate"/>
            </w:r>
            <w:r>
              <w:rPr>
                <w:noProof/>
                <w:webHidden/>
              </w:rPr>
              <w:t>67</w:t>
            </w:r>
            <w:r>
              <w:rPr>
                <w:noProof/>
                <w:webHidden/>
              </w:rPr>
              <w:fldChar w:fldCharType="end"/>
            </w:r>
          </w:hyperlink>
        </w:p>
        <w:p w14:paraId="30C084EC" w14:textId="348A0CA6" w:rsidR="00C40285" w:rsidRDefault="00C40285">
          <w:pPr>
            <w:pStyle w:val="TOC2"/>
            <w:tabs>
              <w:tab w:val="right" w:leader="dot" w:pos="9062"/>
            </w:tabs>
            <w:rPr>
              <w:rFonts w:asciiTheme="minorHAnsi" w:eastAsiaTheme="minorEastAsia" w:hAnsiTheme="minorHAnsi"/>
              <w:noProof/>
              <w:kern w:val="2"/>
              <w:sz w:val="24"/>
              <w:szCs w:val="24"/>
              <w:lang/>
              <w14:ligatures w14:val="standardContextual"/>
            </w:rPr>
          </w:pPr>
          <w:hyperlink w:anchor="_Toc179386674" w:history="1">
            <w:r w:rsidRPr="00370C3F">
              <w:rPr>
                <w:rStyle w:val="Hyperlink"/>
                <w:noProof/>
                <w:lang w:bidi="en-US"/>
              </w:rPr>
              <w:t>Article 29: Participation in political and public life</w:t>
            </w:r>
            <w:r>
              <w:rPr>
                <w:noProof/>
                <w:webHidden/>
              </w:rPr>
              <w:tab/>
            </w:r>
            <w:r>
              <w:rPr>
                <w:noProof/>
                <w:webHidden/>
              </w:rPr>
              <w:fldChar w:fldCharType="begin"/>
            </w:r>
            <w:r>
              <w:rPr>
                <w:noProof/>
                <w:webHidden/>
              </w:rPr>
              <w:instrText xml:space="preserve"> PAGEREF _Toc179386674 \h </w:instrText>
            </w:r>
            <w:r>
              <w:rPr>
                <w:noProof/>
                <w:webHidden/>
              </w:rPr>
            </w:r>
            <w:r>
              <w:rPr>
                <w:noProof/>
                <w:webHidden/>
              </w:rPr>
              <w:fldChar w:fldCharType="separate"/>
            </w:r>
            <w:r>
              <w:rPr>
                <w:noProof/>
                <w:webHidden/>
              </w:rPr>
              <w:t>68</w:t>
            </w:r>
            <w:r>
              <w:rPr>
                <w:noProof/>
                <w:webHidden/>
              </w:rPr>
              <w:fldChar w:fldCharType="end"/>
            </w:r>
          </w:hyperlink>
        </w:p>
        <w:p w14:paraId="64B81E9C" w14:textId="5F8E40EC" w:rsidR="00C40285" w:rsidRDefault="00C40285">
          <w:pPr>
            <w:pStyle w:val="TOC2"/>
            <w:tabs>
              <w:tab w:val="right" w:leader="dot" w:pos="9062"/>
            </w:tabs>
            <w:rPr>
              <w:rFonts w:asciiTheme="minorHAnsi" w:eastAsiaTheme="minorEastAsia" w:hAnsiTheme="minorHAnsi"/>
              <w:noProof/>
              <w:kern w:val="2"/>
              <w:sz w:val="24"/>
              <w:szCs w:val="24"/>
              <w:lang/>
              <w14:ligatures w14:val="standardContextual"/>
            </w:rPr>
          </w:pPr>
          <w:hyperlink w:anchor="_Toc179386675" w:history="1">
            <w:r w:rsidRPr="00370C3F">
              <w:rPr>
                <w:rStyle w:val="Hyperlink"/>
                <w:noProof/>
                <w:lang w:bidi="en-US"/>
              </w:rPr>
              <w:t>Article 31: Statistics and data collection</w:t>
            </w:r>
            <w:r>
              <w:rPr>
                <w:noProof/>
                <w:webHidden/>
              </w:rPr>
              <w:tab/>
            </w:r>
            <w:r>
              <w:rPr>
                <w:noProof/>
                <w:webHidden/>
              </w:rPr>
              <w:fldChar w:fldCharType="begin"/>
            </w:r>
            <w:r>
              <w:rPr>
                <w:noProof/>
                <w:webHidden/>
              </w:rPr>
              <w:instrText xml:space="preserve"> PAGEREF _Toc179386675 \h </w:instrText>
            </w:r>
            <w:r>
              <w:rPr>
                <w:noProof/>
                <w:webHidden/>
              </w:rPr>
            </w:r>
            <w:r>
              <w:rPr>
                <w:noProof/>
                <w:webHidden/>
              </w:rPr>
              <w:fldChar w:fldCharType="separate"/>
            </w:r>
            <w:r>
              <w:rPr>
                <w:noProof/>
                <w:webHidden/>
              </w:rPr>
              <w:t>68</w:t>
            </w:r>
            <w:r>
              <w:rPr>
                <w:noProof/>
                <w:webHidden/>
              </w:rPr>
              <w:fldChar w:fldCharType="end"/>
            </w:r>
          </w:hyperlink>
        </w:p>
        <w:p w14:paraId="4D1F3629" w14:textId="067B2E74" w:rsidR="00E55227" w:rsidRPr="00D404B4" w:rsidRDefault="00E55227" w:rsidP="00E55227">
          <w:r w:rsidRPr="00D404B4">
            <w:fldChar w:fldCharType="end"/>
          </w:r>
        </w:p>
      </w:sdtContent>
    </w:sdt>
    <w:p w14:paraId="0EC78E8F" w14:textId="4F897A55" w:rsidR="00004199" w:rsidRPr="00D404B4" w:rsidRDefault="00004199" w:rsidP="007409CD"/>
    <w:p w14:paraId="601537B8" w14:textId="74EDF1B4" w:rsidR="00505128" w:rsidRPr="00D404B4" w:rsidRDefault="005A29E6" w:rsidP="00AD2BBC">
      <w:pPr>
        <w:pStyle w:val="Heading1"/>
      </w:pPr>
      <w:r w:rsidRPr="00D404B4">
        <w:br w:type="column"/>
      </w:r>
      <w:bookmarkStart w:id="0" w:name="_Toc179386628"/>
      <w:r w:rsidR="00505128" w:rsidRPr="00D404B4">
        <w:lastRenderedPageBreak/>
        <w:t>European Disability Forum</w:t>
      </w:r>
      <w:bookmarkEnd w:id="0"/>
      <w:r w:rsidR="00505128" w:rsidRPr="00D404B4">
        <w:t xml:space="preserve"> </w:t>
      </w:r>
    </w:p>
    <w:p w14:paraId="2E027988" w14:textId="28A3B90A" w:rsidR="00924B06" w:rsidRPr="00D404B4" w:rsidRDefault="00924B06" w:rsidP="00AD2BBC">
      <w:r w:rsidRPr="00D404B4">
        <w:t xml:space="preserve">The European Disability Forum (EDF) is an umbrella organisation of persons with disabilities that defends the interests of over 100 million persons with disabilities in Europe. </w:t>
      </w:r>
    </w:p>
    <w:p w14:paraId="1E2DFE33" w14:textId="08ED5C5A" w:rsidR="00924B06" w:rsidRPr="00D404B4" w:rsidRDefault="00924B06" w:rsidP="00AD2BBC">
      <w:r w:rsidRPr="00D404B4">
        <w:t>We are an independent non-governmental organisation that brings together representative organisations of persons with disabilities</w:t>
      </w:r>
      <w:r w:rsidR="00481970">
        <w:t xml:space="preserve"> (DPOs)</w:t>
      </w:r>
      <w:r w:rsidRPr="00D404B4">
        <w:t xml:space="preserve"> from across Europe. We currently have </w:t>
      </w:r>
      <w:r w:rsidR="00C61869" w:rsidRPr="00D404B4">
        <w:t>10</w:t>
      </w:r>
      <w:r w:rsidR="004330E0">
        <w:t>8</w:t>
      </w:r>
      <w:r w:rsidRPr="00D404B4">
        <w:t xml:space="preserve"> members, including European-wide organisations representing various disability groups, and national council of persons with disabilities.</w:t>
      </w:r>
      <w:r w:rsidR="003F6E9A" w:rsidRPr="00D404B4">
        <w:t xml:space="preserve"> Taking in account our members’ memberships, we gather over 3000 organisations. </w:t>
      </w:r>
    </w:p>
    <w:p w14:paraId="3D79F868" w14:textId="657DB72D" w:rsidR="00505128" w:rsidRPr="00D404B4" w:rsidRDefault="00924B06" w:rsidP="00AD2BBC">
      <w:r w:rsidRPr="00D404B4">
        <w:t>We are run by persons with disabilities and their families. We are a strong united voice of persons with disabilities in Europe.</w:t>
      </w:r>
    </w:p>
    <w:p w14:paraId="7FF17C77" w14:textId="7206ED39" w:rsidR="00004199" w:rsidRPr="00D404B4" w:rsidRDefault="00004199" w:rsidP="00AD2BBC">
      <w:pPr>
        <w:pStyle w:val="Heading1"/>
      </w:pPr>
      <w:bookmarkStart w:id="1" w:name="_Toc179386630"/>
      <w:r w:rsidRPr="00D404B4">
        <w:t>Context</w:t>
      </w:r>
      <w:bookmarkEnd w:id="1"/>
      <w:r w:rsidRPr="00D404B4">
        <w:t xml:space="preserve"> </w:t>
      </w:r>
    </w:p>
    <w:p w14:paraId="191C3A11" w14:textId="1AC39E45" w:rsidR="0007074B" w:rsidRPr="00D404B4" w:rsidRDefault="0007074B" w:rsidP="00AD2BBC">
      <w:r w:rsidRPr="00D404B4">
        <w:t xml:space="preserve">The European Union (EU) is a unique economic and political union between </w:t>
      </w:r>
      <w:hyperlink r:id="rId12" w:history="1">
        <w:r w:rsidRPr="00D404B4">
          <w:rPr>
            <w:rStyle w:val="Hyperlink"/>
          </w:rPr>
          <w:t>27 EU countries</w:t>
        </w:r>
      </w:hyperlink>
      <w:r w:rsidRPr="00D404B4">
        <w:t xml:space="preserve"> that together cover much of the European continent. </w:t>
      </w:r>
    </w:p>
    <w:p w14:paraId="6833E353" w14:textId="63978912" w:rsidR="0007074B" w:rsidRPr="00D404B4" w:rsidRDefault="0008583C" w:rsidP="00AD2BBC">
      <w:r w:rsidRPr="00D404B4">
        <w:t>T</w:t>
      </w:r>
      <w:r w:rsidR="0007074B" w:rsidRPr="00D404B4">
        <w:t xml:space="preserve">he EU was the first regional organisation to ratify the UN Convention on the Rights of Persons with Disabilities </w:t>
      </w:r>
      <w:r w:rsidRPr="00D404B4">
        <w:t>in 2010</w:t>
      </w:r>
      <w:r w:rsidR="0007074B" w:rsidRPr="00D404B4">
        <w:t xml:space="preserve">. It was reviewed for the first time by the UN Committee on the Rights of Persons with Disabilities in 2015. Since then, the EU was marked by several events: </w:t>
      </w:r>
    </w:p>
    <w:p w14:paraId="756D1E6E" w14:textId="55B9A57E" w:rsidR="0007074B" w:rsidRPr="00D404B4" w:rsidRDefault="000163B6" w:rsidP="00AD2BBC">
      <w:pPr>
        <w:pStyle w:val="ListParagraph"/>
        <w:numPr>
          <w:ilvl w:val="0"/>
          <w:numId w:val="2"/>
        </w:numPr>
      </w:pPr>
      <w:r w:rsidRPr="00D404B4">
        <w:t>Since March</w:t>
      </w:r>
      <w:r w:rsidR="0007074B" w:rsidRPr="00D404B4">
        <w:t xml:space="preserve"> 201</w:t>
      </w:r>
      <w:r w:rsidR="00CB681F" w:rsidRPr="00D404B4">
        <w:t>8</w:t>
      </w:r>
      <w:r w:rsidR="0007074B" w:rsidRPr="00D404B4">
        <w:t xml:space="preserve">, all the EU member states </w:t>
      </w:r>
      <w:r w:rsidRPr="00D404B4">
        <w:t>have</w:t>
      </w:r>
      <w:r w:rsidR="0007074B" w:rsidRPr="00D404B4">
        <w:t xml:space="preserve"> ratified the </w:t>
      </w:r>
      <w:r w:rsidR="00CB681F" w:rsidRPr="00D404B4">
        <w:t>CRPD</w:t>
      </w:r>
      <w:r w:rsidR="0007074B" w:rsidRPr="00D404B4">
        <w:t>.</w:t>
      </w:r>
    </w:p>
    <w:p w14:paraId="39E68290" w14:textId="30331FD1" w:rsidR="0007074B" w:rsidRPr="00D404B4" w:rsidRDefault="0007074B" w:rsidP="00AD2BBC">
      <w:pPr>
        <w:pStyle w:val="ListParagraph"/>
        <w:numPr>
          <w:ilvl w:val="0"/>
          <w:numId w:val="2"/>
        </w:numPr>
      </w:pPr>
      <w:r w:rsidRPr="00D404B4">
        <w:t xml:space="preserve">On </w:t>
      </w:r>
      <w:r w:rsidR="001C0323" w:rsidRPr="00D404B4">
        <w:t>31 January 2020</w:t>
      </w:r>
      <w:r w:rsidRPr="00D404B4">
        <w:t>, the United Kingdom left the EU</w:t>
      </w:r>
      <w:r w:rsidR="00B64D3E" w:rsidRPr="00D404B4">
        <w:t>. P</w:t>
      </w:r>
      <w:r w:rsidR="0008583C" w:rsidRPr="00D404B4">
        <w:t>rior to that date there w</w:t>
      </w:r>
      <w:r w:rsidR="00C61869" w:rsidRPr="00D404B4">
        <w:t>ere</w:t>
      </w:r>
      <w:r w:rsidR="0008583C" w:rsidRPr="00D404B4">
        <w:t xml:space="preserve"> 28 member states</w:t>
      </w:r>
      <w:r w:rsidRPr="00D404B4">
        <w:t xml:space="preserve">. </w:t>
      </w:r>
    </w:p>
    <w:p w14:paraId="7935AD54" w14:textId="04ADD1A0" w:rsidR="00D16A7C" w:rsidRPr="00D404B4" w:rsidRDefault="0007074B" w:rsidP="00AD2BBC">
      <w:pPr>
        <w:pStyle w:val="ListParagraph"/>
        <w:numPr>
          <w:ilvl w:val="0"/>
          <w:numId w:val="2"/>
        </w:numPr>
      </w:pPr>
      <w:r w:rsidRPr="00D404B4">
        <w:t>Since 2015, two</w:t>
      </w:r>
      <w:r w:rsidR="00C61869" w:rsidRPr="00D404B4">
        <w:t xml:space="preserve"> consecutive</w:t>
      </w:r>
      <w:r w:rsidRPr="00D404B4">
        <w:t xml:space="preserve"> colle</w:t>
      </w:r>
      <w:r w:rsidR="00162FD1" w:rsidRPr="00D404B4">
        <w:t xml:space="preserve">ges of Commissioners </w:t>
      </w:r>
      <w:r w:rsidR="00541825">
        <w:t xml:space="preserve">have </w:t>
      </w:r>
      <w:r w:rsidR="006662DC">
        <w:t xml:space="preserve">already </w:t>
      </w:r>
      <w:r w:rsidR="0008583C" w:rsidRPr="00D404B4">
        <w:t xml:space="preserve">led the work of the European Commission (the </w:t>
      </w:r>
      <w:r w:rsidR="004A5B5E" w:rsidRPr="00D404B4">
        <w:t>executive</w:t>
      </w:r>
      <w:r w:rsidR="0008583C" w:rsidRPr="00D404B4">
        <w:t xml:space="preserve"> body of the EU)</w:t>
      </w:r>
      <w:r w:rsidR="006662DC">
        <w:t>. This is</w:t>
      </w:r>
      <w:r w:rsidR="00541825">
        <w:t xml:space="preserve"> soon to be followed by a</w:t>
      </w:r>
      <w:r w:rsidR="006662DC">
        <w:t xml:space="preserve"> third College of Commissioners for the new Commission</w:t>
      </w:r>
      <w:r w:rsidR="00541825">
        <w:t xml:space="preserve"> mandate </w:t>
      </w:r>
      <w:r w:rsidR="006662DC">
        <w:t>running from</w:t>
      </w:r>
      <w:r w:rsidR="00541825">
        <w:t xml:space="preserve"> 202</w:t>
      </w:r>
      <w:r w:rsidR="006662DC">
        <w:t xml:space="preserve">4 to </w:t>
      </w:r>
      <w:r w:rsidR="00541825">
        <w:t>20</w:t>
      </w:r>
      <w:r w:rsidR="006662DC">
        <w:t>29</w:t>
      </w:r>
      <w:r w:rsidR="0008583C" w:rsidRPr="00D404B4">
        <w:t>.</w:t>
      </w:r>
      <w:r w:rsidR="00162FD1" w:rsidRPr="00D404B4">
        <w:t xml:space="preserve"> </w:t>
      </w:r>
      <w:r w:rsidR="0008583C" w:rsidRPr="00D404B4">
        <w:t>T</w:t>
      </w:r>
      <w:r w:rsidR="00162FD1" w:rsidRPr="00D404B4">
        <w:t xml:space="preserve">he </w:t>
      </w:r>
      <w:r w:rsidR="0008583C" w:rsidRPr="00D404B4">
        <w:t xml:space="preserve">current </w:t>
      </w:r>
      <w:hyperlink r:id="rId13" w:history="1">
        <w:r w:rsidR="0008583C" w:rsidRPr="00D404B4">
          <w:rPr>
            <w:rStyle w:val="Hyperlink"/>
          </w:rPr>
          <w:t>college of Commissioners</w:t>
        </w:r>
      </w:hyperlink>
      <w:r w:rsidR="0008583C" w:rsidRPr="00D404B4">
        <w:t xml:space="preserve"> is led by President of the European Commission, Mrs.</w:t>
      </w:r>
      <w:r w:rsidR="0008583C" w:rsidRPr="00D404B4">
        <w:rPr>
          <w:rFonts w:cs="Arial"/>
          <w:color w:val="404040"/>
          <w:shd w:val="clear" w:color="auto" w:fill="FFFFFF"/>
        </w:rPr>
        <w:t xml:space="preserve"> </w:t>
      </w:r>
      <w:r w:rsidR="0008583C" w:rsidRPr="00D404B4">
        <w:t>Ursula von der Leyen, for a 5-years term (2019-2024)</w:t>
      </w:r>
      <w:r w:rsidR="006662DC">
        <w:t>. She has already been re</w:t>
      </w:r>
      <w:r w:rsidR="00DE3525">
        <w:t>-</w:t>
      </w:r>
      <w:r w:rsidR="006662DC">
        <w:t xml:space="preserve">elected to serve as Commission President for </w:t>
      </w:r>
      <w:r w:rsidR="00CD40FF">
        <w:t xml:space="preserve">the </w:t>
      </w:r>
      <w:r w:rsidR="006662DC">
        <w:t>upcoming mandate, however the remaining vice presidents and Commissioners are yet to all be named, approved by the Parliament and assigned their respective dossiers</w:t>
      </w:r>
      <w:r w:rsidR="0008583C" w:rsidRPr="00D404B4">
        <w:t xml:space="preserve">. </w:t>
      </w:r>
      <w:r w:rsidR="006662DC">
        <w:t>The College</w:t>
      </w:r>
      <w:r w:rsidR="001A503A" w:rsidRPr="00D404B4">
        <w:t xml:space="preserve"> is composed of 27 Commissioners from each EU member states who are assigned responsibility for specific policy areas</w:t>
      </w:r>
      <w:r w:rsidR="00D95031" w:rsidRPr="00D404B4">
        <w:t xml:space="preserve">, </w:t>
      </w:r>
      <w:r w:rsidR="001A503A" w:rsidRPr="00D404B4">
        <w:t>for instance</w:t>
      </w:r>
      <w:r w:rsidR="00D95031" w:rsidRPr="00D404B4">
        <w:t>:</w:t>
      </w:r>
      <w:r w:rsidR="001A503A" w:rsidRPr="00D404B4">
        <w:t xml:space="preserve"> equality, justice, </w:t>
      </w:r>
      <w:r w:rsidR="008640EF" w:rsidRPr="00D404B4">
        <w:t>jobs,</w:t>
      </w:r>
      <w:r w:rsidR="001A503A" w:rsidRPr="00D404B4">
        <w:t xml:space="preserve"> and social rights, </w:t>
      </w:r>
      <w:r w:rsidR="00731A8E" w:rsidRPr="00D404B4">
        <w:t>health,</w:t>
      </w:r>
      <w:r w:rsidR="001A503A" w:rsidRPr="00D404B4">
        <w:t xml:space="preserve"> and food safety, </w:t>
      </w:r>
      <w:r w:rsidR="00057EEF" w:rsidRPr="00D404B4">
        <w:t>democracy,</w:t>
      </w:r>
      <w:r w:rsidR="001A503A" w:rsidRPr="00D404B4">
        <w:t xml:space="preserve"> and demography, </w:t>
      </w:r>
      <w:r w:rsidR="00057EEF" w:rsidRPr="00D404B4">
        <w:t>values,</w:t>
      </w:r>
      <w:r w:rsidR="001A503A" w:rsidRPr="00D404B4">
        <w:t xml:space="preserve"> and transparency.</w:t>
      </w:r>
      <w:r w:rsidR="006662DC">
        <w:t xml:space="preserve"> The policy areas and mission statements of the Commissioners change moderately between each mandate in order to keep up with changing priorities.</w:t>
      </w:r>
      <w:r w:rsidR="001A503A" w:rsidRPr="00D404B4">
        <w:t xml:space="preserve"> </w:t>
      </w:r>
      <w:r w:rsidR="009D3FAA" w:rsidRPr="00D404B4">
        <w:t xml:space="preserve">The implementation of the CRPD is </w:t>
      </w:r>
      <w:r w:rsidR="006662DC">
        <w:t xml:space="preserve">currently </w:t>
      </w:r>
      <w:r w:rsidR="009D3FAA" w:rsidRPr="00D404B4">
        <w:t>under the mandate of the Commissioner for Equality, Ms. Helena Dalli</w:t>
      </w:r>
      <w:r w:rsidR="009D69E7">
        <w:t>.</w:t>
      </w:r>
      <w:r w:rsidR="009D3FAA" w:rsidRPr="00D404B4">
        <w:t xml:space="preserve"> </w:t>
      </w:r>
      <w:r w:rsidR="009D69E7">
        <w:t>On September 17</w:t>
      </w:r>
      <w:r w:rsidR="009D69E7" w:rsidRPr="00C70F9E">
        <w:rPr>
          <w:vertAlign w:val="superscript"/>
        </w:rPr>
        <w:t>th</w:t>
      </w:r>
      <w:r w:rsidR="009D69E7">
        <w:t xml:space="preserve"> 2024 President Von der Leyen announced </w:t>
      </w:r>
      <w:r w:rsidR="009D69E7" w:rsidRPr="00C70F9E">
        <w:rPr>
          <w:highlight w:val="yellow"/>
        </w:rPr>
        <w:t>which portfolio had been assigned to which Commissioner designate</w:t>
      </w:r>
      <w:r w:rsidR="009D69E7">
        <w:t xml:space="preserve">. The portfolio for equality saw a notable downgrade compared to the last Commission mandate. It is now planned to be assigned to the </w:t>
      </w:r>
      <w:r w:rsidR="009D69E7" w:rsidRPr="009D69E7">
        <w:t>Commissioner for Preparedness and Crisis Management</w:t>
      </w:r>
      <w:r w:rsidR="009D69E7">
        <w:t>, meaning that equality will be shadowed by</w:t>
      </w:r>
      <w:r w:rsidR="009D69E7" w:rsidRPr="009D69E7">
        <w:t xml:space="preserve"> </w:t>
      </w:r>
      <w:r w:rsidR="009D69E7">
        <w:t xml:space="preserve">these other large policy priorities and will not receive the same attention and human resources as was the case until now. </w:t>
      </w:r>
      <w:r w:rsidR="00541825">
        <w:t xml:space="preserve"> </w:t>
      </w:r>
    </w:p>
    <w:p w14:paraId="380BBB9E" w14:textId="675E7CB3" w:rsidR="00185CFC" w:rsidRPr="00D404B4" w:rsidRDefault="00185CFC" w:rsidP="00AD2BBC">
      <w:pPr>
        <w:pStyle w:val="Heading1"/>
      </w:pPr>
      <w:bookmarkStart w:id="2" w:name="_Toc179386631"/>
      <w:r w:rsidRPr="00D404B4">
        <w:lastRenderedPageBreak/>
        <w:t>Methodology</w:t>
      </w:r>
      <w:bookmarkEnd w:id="2"/>
      <w:r w:rsidRPr="00D404B4">
        <w:t xml:space="preserve"> </w:t>
      </w:r>
    </w:p>
    <w:p w14:paraId="512D1C25" w14:textId="77777777" w:rsidR="00811B01" w:rsidRDefault="000015CA" w:rsidP="00AD2BBC">
      <w:r w:rsidRPr="00D404B4">
        <w:t>This alternative report was prepared by the Secretariat of the European Disability Forum in close cooperation with, and guidance from its Executive</w:t>
      </w:r>
      <w:r w:rsidR="005A4F6F" w:rsidRPr="00D404B4">
        <w:t xml:space="preserve"> Committee</w:t>
      </w:r>
      <w:r w:rsidRPr="00D404B4">
        <w:t>, Board and Members. EDF Youth and Women’s Committees were also closely involved in the process.</w:t>
      </w:r>
      <w:r w:rsidR="00811B01">
        <w:t xml:space="preserve"> </w:t>
      </w:r>
    </w:p>
    <w:p w14:paraId="1AE0DD10" w14:textId="5EFC2DE8" w:rsidR="00811B01" w:rsidRDefault="00811B01" w:rsidP="00AD2BBC">
      <w:r>
        <w:t xml:space="preserve">This document is an update of the report submitted for the adoption of the list of issues on the EU submitted to the CRPD Committee in January 2022. </w:t>
      </w:r>
    </w:p>
    <w:p w14:paraId="2EE2D80A" w14:textId="5A219107" w:rsidR="005A29E6" w:rsidRPr="00D404B4" w:rsidRDefault="00811B01" w:rsidP="00AD2BBC">
      <w:r>
        <w:t>I</w:t>
      </w:r>
      <w:r w:rsidR="000015CA" w:rsidRPr="00D404B4">
        <w:t>nformation was collected through desk research and consultation with EDF national and European members</w:t>
      </w:r>
      <w:r w:rsidR="00013322" w:rsidRPr="00D404B4">
        <w:t xml:space="preserve"> between September 2021 and January 2022</w:t>
      </w:r>
      <w:r>
        <w:t>, and updated in 2024</w:t>
      </w:r>
      <w:r w:rsidR="000015CA" w:rsidRPr="00D404B4">
        <w:t>.</w:t>
      </w:r>
    </w:p>
    <w:p w14:paraId="14C7A23D" w14:textId="65961F91" w:rsidR="00777DEE" w:rsidRPr="00D404B4" w:rsidRDefault="00777DEE" w:rsidP="00777DEE">
      <w:r w:rsidRPr="00D404B4">
        <w:t xml:space="preserve">Substantive </w:t>
      </w:r>
      <w:r w:rsidR="00691FCF" w:rsidRPr="00D404B4">
        <w:t>contributions</w:t>
      </w:r>
      <w:r w:rsidRPr="00D404B4">
        <w:t xml:space="preserve"> were received from the following organisations: </w:t>
      </w:r>
      <w:r w:rsidR="004B585B" w:rsidRPr="004B585B">
        <w:rPr>
          <w:highlight w:val="yellow"/>
        </w:rPr>
        <w:t>XXX</w:t>
      </w:r>
      <w:r w:rsidR="00F57F7F" w:rsidRPr="00D404B4">
        <w:t xml:space="preserve"> </w:t>
      </w:r>
    </w:p>
    <w:p w14:paraId="393090EF" w14:textId="457C4EBD" w:rsidR="00777DEE" w:rsidRPr="00D404B4" w:rsidRDefault="00EB567E" w:rsidP="00AD2BBC">
      <w:r w:rsidRPr="00D404B4">
        <w:t xml:space="preserve">Part 2 of the report was informed thanks to the contribution of the </w:t>
      </w:r>
      <w:r w:rsidRPr="00E34485">
        <w:rPr>
          <w:highlight w:val="yellow"/>
        </w:rPr>
        <w:t>Disability Support Groups of the EU institutions and bodies, as well as through personal testimonials shared by employees and former employees of the Institutions</w:t>
      </w:r>
      <w:r w:rsidR="00C35A85" w:rsidRPr="00E34485">
        <w:rPr>
          <w:highlight w:val="yellow"/>
        </w:rPr>
        <w:t>, and parents of children registered or formerly registered in the European schools</w:t>
      </w:r>
      <w:r w:rsidRPr="00D404B4">
        <w:t xml:space="preserve">. </w:t>
      </w:r>
    </w:p>
    <w:p w14:paraId="23BDD79E" w14:textId="77777777" w:rsidR="002A49A7" w:rsidRPr="00D404B4" w:rsidRDefault="002A49A7" w:rsidP="00AD2BBC">
      <w:pPr>
        <w:pStyle w:val="Heading1"/>
      </w:pPr>
      <w:bookmarkStart w:id="3" w:name="_Toc179386632"/>
      <w:r w:rsidRPr="00D404B4">
        <w:t>Abbreviations and acronyms</w:t>
      </w:r>
      <w:bookmarkEnd w:id="3"/>
    </w:p>
    <w:tbl>
      <w:tblPr>
        <w:tblStyle w:val="TableGrid"/>
        <w:tblW w:w="0" w:type="auto"/>
        <w:tblLook w:val="04A0" w:firstRow="1" w:lastRow="0" w:firstColumn="1" w:lastColumn="0" w:noHBand="0" w:noVBand="1"/>
      </w:tblPr>
      <w:tblGrid>
        <w:gridCol w:w="1129"/>
        <w:gridCol w:w="7933"/>
      </w:tblGrid>
      <w:tr w:rsidR="002A49A7" w:rsidRPr="00D404B4" w14:paraId="5F7A1D8C" w14:textId="77777777" w:rsidTr="00EB4A5C">
        <w:tc>
          <w:tcPr>
            <w:tcW w:w="1129" w:type="dxa"/>
          </w:tcPr>
          <w:p w14:paraId="7796EBEF" w14:textId="77777777" w:rsidR="002A49A7" w:rsidRPr="00D404B4" w:rsidRDefault="002A49A7" w:rsidP="00AD2BBC">
            <w:pPr>
              <w:spacing w:line="276" w:lineRule="auto"/>
            </w:pPr>
            <w:r w:rsidRPr="00D404B4">
              <w:t>CRPD</w:t>
            </w:r>
          </w:p>
        </w:tc>
        <w:tc>
          <w:tcPr>
            <w:tcW w:w="7933" w:type="dxa"/>
          </w:tcPr>
          <w:p w14:paraId="73E6272F" w14:textId="77777777" w:rsidR="002A49A7" w:rsidRPr="00D404B4" w:rsidRDefault="002A49A7" w:rsidP="00AD2BBC">
            <w:pPr>
              <w:spacing w:line="276" w:lineRule="auto"/>
            </w:pPr>
            <w:r w:rsidRPr="00D404B4">
              <w:t>Convention on the Rights of Persons with Disabilities</w:t>
            </w:r>
          </w:p>
        </w:tc>
      </w:tr>
      <w:tr w:rsidR="00C83AA7" w:rsidRPr="00D404B4" w14:paraId="5E521067" w14:textId="77777777" w:rsidTr="00EB4A5C">
        <w:tc>
          <w:tcPr>
            <w:tcW w:w="1129" w:type="dxa"/>
          </w:tcPr>
          <w:p w14:paraId="7F829C9F" w14:textId="3ECD43FB" w:rsidR="00C83AA7" w:rsidRPr="00D404B4" w:rsidRDefault="00C83AA7" w:rsidP="00AD2BBC">
            <w:pPr>
              <w:spacing w:line="276" w:lineRule="auto"/>
            </w:pPr>
            <w:r w:rsidRPr="00D404B4">
              <w:t>DG</w:t>
            </w:r>
          </w:p>
        </w:tc>
        <w:tc>
          <w:tcPr>
            <w:tcW w:w="7933" w:type="dxa"/>
          </w:tcPr>
          <w:p w14:paraId="50BF84AF" w14:textId="1800ED0F" w:rsidR="00C83AA7" w:rsidRPr="00D404B4" w:rsidRDefault="00C83AA7" w:rsidP="00AD2BBC">
            <w:pPr>
              <w:spacing w:line="276" w:lineRule="auto"/>
            </w:pPr>
            <w:r w:rsidRPr="00D404B4">
              <w:t>Directorate-General (of the European Commission)</w:t>
            </w:r>
          </w:p>
        </w:tc>
      </w:tr>
      <w:tr w:rsidR="00481970" w:rsidRPr="00D404B4" w14:paraId="48112C40" w14:textId="77777777" w:rsidTr="00EB4A5C">
        <w:tc>
          <w:tcPr>
            <w:tcW w:w="1129" w:type="dxa"/>
          </w:tcPr>
          <w:p w14:paraId="7A53E20F" w14:textId="528BCE20" w:rsidR="00481970" w:rsidRPr="00D404B4" w:rsidRDefault="00481970" w:rsidP="00AD2BBC">
            <w:r>
              <w:t>DPO</w:t>
            </w:r>
          </w:p>
        </w:tc>
        <w:tc>
          <w:tcPr>
            <w:tcW w:w="7933" w:type="dxa"/>
          </w:tcPr>
          <w:p w14:paraId="7F1447BD" w14:textId="6893CF38" w:rsidR="00481970" w:rsidRPr="00D404B4" w:rsidRDefault="00481970" w:rsidP="00AD2BBC">
            <w:r>
              <w:t>Disabled People Organisation / Organisation of Persons with Disabilities</w:t>
            </w:r>
          </w:p>
        </w:tc>
      </w:tr>
      <w:tr w:rsidR="002A49A7" w:rsidRPr="00D404B4" w14:paraId="6C63C9F6" w14:textId="77777777" w:rsidTr="00EB4A5C">
        <w:tc>
          <w:tcPr>
            <w:tcW w:w="1129" w:type="dxa"/>
          </w:tcPr>
          <w:p w14:paraId="6ACC7E37" w14:textId="77777777" w:rsidR="002A49A7" w:rsidRPr="00D404B4" w:rsidRDefault="002A49A7" w:rsidP="00AD2BBC">
            <w:pPr>
              <w:spacing w:line="276" w:lineRule="auto"/>
            </w:pPr>
            <w:r w:rsidRPr="00D404B4">
              <w:t>EU</w:t>
            </w:r>
          </w:p>
        </w:tc>
        <w:tc>
          <w:tcPr>
            <w:tcW w:w="7933" w:type="dxa"/>
          </w:tcPr>
          <w:p w14:paraId="4212F592" w14:textId="77777777" w:rsidR="002A49A7" w:rsidRPr="00D404B4" w:rsidRDefault="002A49A7" w:rsidP="00AD2BBC">
            <w:pPr>
              <w:spacing w:line="276" w:lineRule="auto"/>
            </w:pPr>
            <w:r w:rsidRPr="00D404B4">
              <w:t>European Union</w:t>
            </w:r>
          </w:p>
        </w:tc>
      </w:tr>
      <w:tr w:rsidR="002A49A7" w:rsidRPr="00D404B4" w14:paraId="316B54DB" w14:textId="77777777" w:rsidTr="00EB4A5C">
        <w:tc>
          <w:tcPr>
            <w:tcW w:w="1129" w:type="dxa"/>
          </w:tcPr>
          <w:p w14:paraId="4B47E019" w14:textId="77777777" w:rsidR="002A49A7" w:rsidRPr="00D404B4" w:rsidRDefault="002A49A7" w:rsidP="00AD2BBC">
            <w:pPr>
              <w:spacing w:line="276" w:lineRule="auto"/>
            </w:pPr>
            <w:r w:rsidRPr="00D404B4">
              <w:t>FRA</w:t>
            </w:r>
          </w:p>
        </w:tc>
        <w:tc>
          <w:tcPr>
            <w:tcW w:w="7933" w:type="dxa"/>
          </w:tcPr>
          <w:p w14:paraId="1F6CF121" w14:textId="77777777" w:rsidR="002A49A7" w:rsidRPr="00D404B4" w:rsidRDefault="002A49A7" w:rsidP="00AD2BBC">
            <w:pPr>
              <w:spacing w:line="276" w:lineRule="auto"/>
            </w:pPr>
            <w:r w:rsidRPr="00D404B4">
              <w:t>Fundamental Rights Agency</w:t>
            </w:r>
          </w:p>
        </w:tc>
      </w:tr>
      <w:tr w:rsidR="002A49A7" w:rsidRPr="00D404B4" w14:paraId="229AFCFF" w14:textId="77777777" w:rsidTr="00EB4A5C">
        <w:tc>
          <w:tcPr>
            <w:tcW w:w="1129" w:type="dxa"/>
          </w:tcPr>
          <w:p w14:paraId="7DA3358A" w14:textId="77777777" w:rsidR="002A49A7" w:rsidRPr="00D404B4" w:rsidRDefault="002A49A7" w:rsidP="00AD2BBC">
            <w:pPr>
              <w:spacing w:line="276" w:lineRule="auto"/>
            </w:pPr>
            <w:r w:rsidRPr="00D404B4">
              <w:t>UN</w:t>
            </w:r>
          </w:p>
        </w:tc>
        <w:tc>
          <w:tcPr>
            <w:tcW w:w="7933" w:type="dxa"/>
          </w:tcPr>
          <w:p w14:paraId="7949E31E" w14:textId="77777777" w:rsidR="002A49A7" w:rsidRPr="00D404B4" w:rsidRDefault="002A49A7" w:rsidP="00AD2BBC">
            <w:pPr>
              <w:spacing w:line="276" w:lineRule="auto"/>
            </w:pPr>
            <w:r w:rsidRPr="00D404B4">
              <w:t>United Nations</w:t>
            </w:r>
          </w:p>
        </w:tc>
      </w:tr>
    </w:tbl>
    <w:p w14:paraId="42562060" w14:textId="7D24E4A7" w:rsidR="00A06565" w:rsidRPr="00D404B4" w:rsidRDefault="00A06565" w:rsidP="00AD2BBC"/>
    <w:p w14:paraId="0B64DC73" w14:textId="533793FF" w:rsidR="00A06565" w:rsidRPr="00D404B4" w:rsidRDefault="00A06565" w:rsidP="00AD2BBC">
      <w:pPr>
        <w:pStyle w:val="Heading1"/>
      </w:pPr>
      <w:bookmarkStart w:id="4" w:name="_Toc179386633"/>
      <w:r w:rsidRPr="00D404B4">
        <w:t>Glossary</w:t>
      </w:r>
      <w:bookmarkEnd w:id="4"/>
    </w:p>
    <w:p w14:paraId="4F577674" w14:textId="67607C50" w:rsidR="00D91643" w:rsidRDefault="00D91643" w:rsidP="00AD2BBC">
      <w:r w:rsidRPr="00D404B4">
        <w:rPr>
          <w:b/>
          <w:bCs/>
        </w:rPr>
        <w:t>Council of the European Union</w:t>
      </w:r>
      <w:r w:rsidR="00101D84" w:rsidRPr="00D404B4">
        <w:t>: the institution representing the</w:t>
      </w:r>
      <w:r w:rsidR="004E77E6">
        <w:t xml:space="preserve"> governments of EU</w:t>
      </w:r>
      <w:r w:rsidR="00101D84" w:rsidRPr="00D404B4">
        <w:t xml:space="preserve"> Member States</w:t>
      </w:r>
      <w:r w:rsidR="004E77E6">
        <w:t xml:space="preserve"> </w:t>
      </w:r>
      <w:r w:rsidR="00101D84" w:rsidRPr="00D404B4">
        <w:t>and where national ministers from each EU country meet to adopt laws</w:t>
      </w:r>
      <w:r w:rsidR="00DB1FA0" w:rsidRPr="00D404B4">
        <w:t xml:space="preserve"> in agreement with the European Parliament,</w:t>
      </w:r>
      <w:r w:rsidR="00101D84" w:rsidRPr="00D404B4">
        <w:t xml:space="preserve"> and coordinate policies.</w:t>
      </w:r>
    </w:p>
    <w:p w14:paraId="073493A9" w14:textId="6C9C1D3B" w:rsidR="001E3E60" w:rsidRPr="00D404B4" w:rsidRDefault="001E3E60" w:rsidP="00AD2BBC">
      <w:r w:rsidRPr="00535B86">
        <w:rPr>
          <w:b/>
          <w:bCs/>
        </w:rPr>
        <w:t>Council of Europe</w:t>
      </w:r>
      <w:r>
        <w:t xml:space="preserve">: </w:t>
      </w:r>
      <w:r w:rsidR="004E77E6">
        <w:t xml:space="preserve">an </w:t>
      </w:r>
      <w:r w:rsidR="007E4F93" w:rsidRPr="007E4F93">
        <w:t xml:space="preserve">international organisation founded in 1949 with the aim to uphold human rights, </w:t>
      </w:r>
      <w:r w:rsidR="00057EEF" w:rsidRPr="007E4F93">
        <w:t>democracy,</w:t>
      </w:r>
      <w:r w:rsidR="007E4F93" w:rsidRPr="007E4F93">
        <w:t xml:space="preserve"> and the rule of law in Europe. It has 47 member states which have ratified the European Convention of Human Rights and are therefore overseen by the European Court of Human Rights, an entity </w:t>
      </w:r>
      <w:r w:rsidR="00481970">
        <w:t>independent of</w:t>
      </w:r>
      <w:r w:rsidR="007E4F93" w:rsidRPr="007E4F93">
        <w:t xml:space="preserve"> the European Union.</w:t>
      </w:r>
    </w:p>
    <w:p w14:paraId="7B680CBD" w14:textId="29F334A5" w:rsidR="00A06565" w:rsidRPr="00D404B4" w:rsidRDefault="00101D84" w:rsidP="00AD2BBC">
      <w:r w:rsidRPr="00D404B4">
        <w:rPr>
          <w:b/>
          <w:bCs/>
        </w:rPr>
        <w:t xml:space="preserve">(EU) </w:t>
      </w:r>
      <w:r w:rsidR="00D91643" w:rsidRPr="00D404B4">
        <w:rPr>
          <w:b/>
          <w:bCs/>
        </w:rPr>
        <w:t>Directive</w:t>
      </w:r>
      <w:r w:rsidRPr="00D404B4">
        <w:t xml:space="preserve">: legislative act that sets out goals that all EU countries must achieve. The directive must be transposed at national level. It means that this is up to the individual countries to decide </w:t>
      </w:r>
      <w:r w:rsidR="00ED4863" w:rsidRPr="00D404B4">
        <w:t>based on</w:t>
      </w:r>
      <w:r w:rsidRPr="00D404B4">
        <w:t xml:space="preserve"> their own laws how to reach these goals</w:t>
      </w:r>
      <w:r w:rsidR="00DB1FA0" w:rsidRPr="00D404B4">
        <w:t xml:space="preserve"> (</w:t>
      </w:r>
      <w:r w:rsidR="004458F7" w:rsidRPr="00D404B4">
        <w:t>e.g.,</w:t>
      </w:r>
      <w:r w:rsidR="00DB1FA0" w:rsidRPr="00D404B4">
        <w:t xml:space="preserve"> it can be by amending existing national laws or introducing new ones)</w:t>
      </w:r>
      <w:r w:rsidRPr="00D404B4">
        <w:t>.</w:t>
      </w:r>
    </w:p>
    <w:p w14:paraId="6F2F3B48" w14:textId="00773F2F" w:rsidR="00D91643" w:rsidRDefault="00D91643" w:rsidP="00AD2BBC">
      <w:r w:rsidRPr="00D404B4">
        <w:rPr>
          <w:b/>
          <w:bCs/>
        </w:rPr>
        <w:t>European Commission</w:t>
      </w:r>
      <w:r w:rsidR="00101D84" w:rsidRPr="00D404B4">
        <w:t>: the EU’s politically independent executive arm. Its core responsibilities include proposing EU laws and policies and monitoring their implementation.</w:t>
      </w:r>
      <w:r w:rsidRPr="00D404B4">
        <w:t xml:space="preserve"> </w:t>
      </w:r>
    </w:p>
    <w:p w14:paraId="79BF921D" w14:textId="27C8D35F" w:rsidR="00AD54E5" w:rsidRPr="00D404B4" w:rsidRDefault="00AD54E5" w:rsidP="00AD2BBC">
      <w:r w:rsidRPr="00535B86">
        <w:rPr>
          <w:b/>
          <w:bCs/>
        </w:rPr>
        <w:t>European Council</w:t>
      </w:r>
      <w:r>
        <w:t xml:space="preserve">: </w:t>
      </w:r>
      <w:r w:rsidR="00535B86">
        <w:t>the body that</w:t>
      </w:r>
      <w:r w:rsidR="00535B86" w:rsidRPr="00535B86">
        <w:t xml:space="preserve"> brings together EU leaders to set the EU's political agenda. It represents the highest level of political cooperation between EU countries.</w:t>
      </w:r>
      <w:r w:rsidR="00535B86">
        <w:t xml:space="preserve"> It</w:t>
      </w:r>
      <w:r w:rsidR="00535B86" w:rsidRPr="00535B86">
        <w:t xml:space="preserve"> is </w:t>
      </w:r>
      <w:r w:rsidR="00535B86">
        <w:t>composed</w:t>
      </w:r>
      <w:r w:rsidR="00535B86" w:rsidRPr="00535B86">
        <w:t xml:space="preserve"> of the heads of state or government of all EU countries, the European Council President, and the European Commission President.</w:t>
      </w:r>
    </w:p>
    <w:p w14:paraId="5A06F834" w14:textId="46AB8867" w:rsidR="00D91643" w:rsidRDefault="00D91643" w:rsidP="00AD2BBC">
      <w:r w:rsidRPr="00D404B4">
        <w:rPr>
          <w:b/>
          <w:bCs/>
        </w:rPr>
        <w:lastRenderedPageBreak/>
        <w:t>European Parliament</w:t>
      </w:r>
      <w:r w:rsidR="00101D84" w:rsidRPr="00D404B4">
        <w:t>: the elected parliamentary institution of the European Union which has the role to adopt EU legislation</w:t>
      </w:r>
      <w:r w:rsidR="00DB1FA0" w:rsidRPr="00D404B4">
        <w:t xml:space="preserve"> in agreement with the Council of the European Union</w:t>
      </w:r>
      <w:r w:rsidR="00101D84" w:rsidRPr="00D404B4">
        <w:t>.</w:t>
      </w:r>
      <w:r w:rsidRPr="00D404B4">
        <w:t xml:space="preserve"> </w:t>
      </w:r>
    </w:p>
    <w:p w14:paraId="3D9CB1B5" w14:textId="07BE05CE" w:rsidR="00AD54E5" w:rsidRPr="00D404B4" w:rsidRDefault="00AD54E5" w:rsidP="00AD2BBC">
      <w:r w:rsidRPr="007E4F93">
        <w:rPr>
          <w:b/>
          <w:bCs/>
        </w:rPr>
        <w:t>European Semester</w:t>
      </w:r>
      <w:r>
        <w:t xml:space="preserve">: </w:t>
      </w:r>
      <w:r w:rsidR="007E4F93" w:rsidRPr="007E4F93">
        <w:t>the framework for integrated surveillance and coordination of economic and employment policies across the European Union. Since its introduction in 2011, it has become a well-established forum for discussing EU countries’ fiscal, economic and employment policy challenges under a common annual timeline.</w:t>
      </w:r>
    </w:p>
    <w:p w14:paraId="78660F2F" w14:textId="3093FA98" w:rsidR="00E8531C" w:rsidRDefault="00E8531C" w:rsidP="00AD2BBC">
      <w:r w:rsidRPr="00D404B4">
        <w:rPr>
          <w:b/>
          <w:bCs/>
        </w:rPr>
        <w:t>Member State</w:t>
      </w:r>
      <w:r w:rsidR="00101D84" w:rsidRPr="00D404B4">
        <w:rPr>
          <w:b/>
          <w:bCs/>
        </w:rPr>
        <w:t xml:space="preserve"> (of the European Union)</w:t>
      </w:r>
      <w:r w:rsidR="00101D84" w:rsidRPr="00D404B4">
        <w:t>: the EU consists of 27 countries, also called Member States. Each Member State is party to the founding treaties of the Union, and thereby subject to the privileges and obligations of membership. Unlike members of most international organisations, the Member States of the EU are subjected to binding laws</w:t>
      </w:r>
      <w:r w:rsidR="002A49A7" w:rsidRPr="00D404B4">
        <w:t>.</w:t>
      </w:r>
    </w:p>
    <w:p w14:paraId="3801783B" w14:textId="37AB34DD" w:rsidR="001D6372" w:rsidRPr="00E06CCA" w:rsidRDefault="00E06CCA" w:rsidP="00AD2BBC">
      <w:pPr>
        <w:rPr>
          <w:lang w:val="en-US"/>
        </w:rPr>
      </w:pPr>
      <w:r w:rsidRPr="00E06CCA">
        <w:rPr>
          <w:b/>
          <w:bCs/>
        </w:rPr>
        <w:t xml:space="preserve">(Legal) </w:t>
      </w:r>
      <w:r w:rsidR="001D6372" w:rsidRPr="00E06CCA">
        <w:rPr>
          <w:b/>
          <w:bCs/>
        </w:rPr>
        <w:t>Provision</w:t>
      </w:r>
      <w:r w:rsidR="001D6372">
        <w:t>:</w:t>
      </w:r>
      <w:r w:rsidR="00426A0E">
        <w:t xml:space="preserve"> </w:t>
      </w:r>
      <w:r>
        <w:t>it is a</w:t>
      </w:r>
      <w:r w:rsidRPr="00E06CCA">
        <w:t xml:space="preserve"> clause</w:t>
      </w:r>
      <w:r>
        <w:t>, an article,</w:t>
      </w:r>
      <w:r w:rsidRPr="00E06CCA">
        <w:t xml:space="preserve"> in a legal instrument, a law, etc., providing for a particular matter</w:t>
      </w:r>
      <w:r>
        <w:t xml:space="preserve">. </w:t>
      </w:r>
    </w:p>
    <w:p w14:paraId="2918AF15" w14:textId="43CA7D2C" w:rsidR="00E8531C" w:rsidRPr="00D404B4" w:rsidRDefault="00D13E7D" w:rsidP="00AD2BBC">
      <w:r w:rsidRPr="00D404B4">
        <w:rPr>
          <w:b/>
          <w:bCs/>
        </w:rPr>
        <w:t xml:space="preserve">(EU) </w:t>
      </w:r>
      <w:r w:rsidR="00E8531C" w:rsidRPr="00D404B4">
        <w:rPr>
          <w:b/>
          <w:bCs/>
        </w:rPr>
        <w:t>Regulation</w:t>
      </w:r>
      <w:r w:rsidR="00101D84" w:rsidRPr="00D404B4">
        <w:t xml:space="preserve">: </w:t>
      </w:r>
      <w:r w:rsidRPr="00D404B4">
        <w:t xml:space="preserve">legislative acts that </w:t>
      </w:r>
      <w:r w:rsidR="00ED4863" w:rsidRPr="00D404B4">
        <w:t>must be applied in its entirety across all EU countries (binding legislative act). Once adopted, t</w:t>
      </w:r>
      <w:r w:rsidRPr="00D404B4">
        <w:t>he regulation automatically become</w:t>
      </w:r>
      <w:r w:rsidR="00ED4863" w:rsidRPr="00D404B4">
        <w:t>s</w:t>
      </w:r>
      <w:r w:rsidRPr="00D404B4">
        <w:t xml:space="preserve"> national law (unlike the EU Directive).</w:t>
      </w:r>
    </w:p>
    <w:p w14:paraId="713AAB2C" w14:textId="2E4CF1B7" w:rsidR="002A49A7" w:rsidRPr="00D404B4" w:rsidRDefault="00D91643" w:rsidP="00AD2BBC">
      <w:r w:rsidRPr="00D404B4">
        <w:rPr>
          <w:b/>
          <w:bCs/>
        </w:rPr>
        <w:t>Resolution</w:t>
      </w:r>
      <w:r w:rsidR="0087579B" w:rsidRPr="00D404B4">
        <w:t xml:space="preserve">: </w:t>
      </w:r>
      <w:r w:rsidR="002A49A7" w:rsidRPr="00D404B4">
        <w:t>t</w:t>
      </w:r>
      <w:r w:rsidR="0087579B" w:rsidRPr="00D404B4">
        <w:t>ext</w:t>
      </w:r>
      <w:r w:rsidR="00ED4863" w:rsidRPr="00D404B4">
        <w:t xml:space="preserve"> adopted by the European Parliament in its plenary session and through which the Parliament expresses its position on a given area.</w:t>
      </w:r>
    </w:p>
    <w:p w14:paraId="58E1BAE4" w14:textId="447A614A" w:rsidR="002A49A7" w:rsidRPr="00D404B4" w:rsidRDefault="002A49A7" w:rsidP="00AD2BBC">
      <w:r w:rsidRPr="00D404B4">
        <w:rPr>
          <w:b/>
          <w:bCs/>
        </w:rPr>
        <w:t>Structural and Investments funds</w:t>
      </w:r>
      <w:r w:rsidRPr="00D404B4">
        <w:t xml:space="preserve">: EU funding that aim to support economic, </w:t>
      </w:r>
      <w:r w:rsidR="00057EEF" w:rsidRPr="00D404B4">
        <w:t>social,</w:t>
      </w:r>
      <w:r w:rsidRPr="00D404B4">
        <w:t xml:space="preserve"> and territorial cohesion and deliver the overarching policy EU objectives</w:t>
      </w:r>
      <w:r w:rsidR="00854F85" w:rsidRPr="00D404B4">
        <w:t xml:space="preserve">. </w:t>
      </w:r>
      <w:r w:rsidRPr="00D404B4">
        <w:t xml:space="preserve">Three main funds directly impact the living conditions of persons with disabilities: the European Regional Development Fund (ERDF), the European Social Fund (ESF), and the Cohesion Fund (CF). </w:t>
      </w:r>
    </w:p>
    <w:p w14:paraId="46B05199" w14:textId="405CAEA4" w:rsidR="00A06565" w:rsidRPr="00D404B4" w:rsidRDefault="00E8531C" w:rsidP="00AD2BBC">
      <w:r w:rsidRPr="00D404B4">
        <w:rPr>
          <w:b/>
          <w:bCs/>
        </w:rPr>
        <w:t>Transposition</w:t>
      </w:r>
      <w:r w:rsidR="0087579B" w:rsidRPr="00D404B4">
        <w:t>: process by which the EU’s Member States give force to a directive by passing appropriate implementation measures. Transposition is</w:t>
      </w:r>
      <w:r w:rsidR="00487EDA" w:rsidRPr="00D404B4">
        <w:t xml:space="preserve"> done by </w:t>
      </w:r>
      <w:r w:rsidR="00F06DFC" w:rsidRPr="00D404B4">
        <w:t>either primary</w:t>
      </w:r>
      <w:r w:rsidR="00487EDA" w:rsidRPr="00D404B4">
        <w:t xml:space="preserve"> or secondary legislation.</w:t>
      </w:r>
    </w:p>
    <w:p w14:paraId="6F679934" w14:textId="5B11AC01" w:rsidR="00733A2F" w:rsidRPr="00D248E3" w:rsidRDefault="00A6303D" w:rsidP="00AD2BBC">
      <w:pPr>
        <w:pStyle w:val="Heading1"/>
      </w:pPr>
      <w:r>
        <w:br w:type="column"/>
      </w:r>
      <w:bookmarkStart w:id="5" w:name="_Toc179386634"/>
      <w:r w:rsidR="00B9648A" w:rsidRPr="00D404B4">
        <w:lastRenderedPageBreak/>
        <w:t xml:space="preserve">Part 1: </w:t>
      </w:r>
      <w:r w:rsidR="00733A2F" w:rsidRPr="00D404B4">
        <w:t xml:space="preserve">Review of general provisions of the UN Convention on the Rights of </w:t>
      </w:r>
      <w:r w:rsidR="00733A2F" w:rsidRPr="00D248E3">
        <w:t>Persons with Disabilities</w:t>
      </w:r>
      <w:bookmarkEnd w:id="5"/>
      <w:r w:rsidR="00733A2F" w:rsidRPr="00D248E3">
        <w:t xml:space="preserve"> </w:t>
      </w:r>
    </w:p>
    <w:p w14:paraId="193D6BC9" w14:textId="6D999C51" w:rsidR="006601CD" w:rsidRPr="00D248E3" w:rsidRDefault="00055820" w:rsidP="00295AA8">
      <w:pPr>
        <w:pStyle w:val="Heading2"/>
        <w:spacing w:line="276" w:lineRule="auto"/>
        <w:rPr>
          <w:lang w:val="en-GB"/>
        </w:rPr>
      </w:pPr>
      <w:bookmarkStart w:id="6" w:name="_Toc179386635"/>
      <w:r w:rsidRPr="00D248E3">
        <w:rPr>
          <w:lang w:val="en-GB"/>
        </w:rPr>
        <w:t xml:space="preserve">Articles 1 to 4: </w:t>
      </w:r>
      <w:r w:rsidR="004A5B5E" w:rsidRPr="00D248E3">
        <w:rPr>
          <w:lang w:val="en-GB"/>
        </w:rPr>
        <w:t xml:space="preserve">General </w:t>
      </w:r>
      <w:r w:rsidR="00015E7D" w:rsidRPr="00D248E3">
        <w:rPr>
          <w:lang w:val="en-GB"/>
        </w:rPr>
        <w:t>p</w:t>
      </w:r>
      <w:r w:rsidR="00456DF9" w:rsidRPr="00D248E3">
        <w:rPr>
          <w:lang w:val="en-GB"/>
        </w:rPr>
        <w:t xml:space="preserve">rinciples and </w:t>
      </w:r>
      <w:r w:rsidR="00015E7D" w:rsidRPr="00D248E3">
        <w:rPr>
          <w:lang w:val="en-GB"/>
        </w:rPr>
        <w:t>o</w:t>
      </w:r>
      <w:r w:rsidR="00456DF9" w:rsidRPr="00D248E3">
        <w:rPr>
          <w:lang w:val="en-GB"/>
        </w:rPr>
        <w:t>bligations</w:t>
      </w:r>
      <w:bookmarkEnd w:id="6"/>
    </w:p>
    <w:p w14:paraId="547F3662" w14:textId="4D1E307F" w:rsidR="006601CD" w:rsidRPr="00D248E3" w:rsidRDefault="006601CD" w:rsidP="00295AA8">
      <w:pPr>
        <w:pStyle w:val="Heading3"/>
        <w:ind w:left="0"/>
      </w:pPr>
      <w:r w:rsidRPr="00D248E3">
        <w:t xml:space="preserve">Ratification of the Optional Protocol </w:t>
      </w:r>
    </w:p>
    <w:p w14:paraId="7D9FAC29" w14:textId="3FBCCA49" w:rsidR="00031197" w:rsidRPr="00D404B4" w:rsidRDefault="00303E34" w:rsidP="00295AA8">
      <w:r w:rsidRPr="00D248E3">
        <w:t xml:space="preserve">The EU has not ratified the Optional Protocol of the CRPD. Within its membership, </w:t>
      </w:r>
      <w:r w:rsidR="00031197" w:rsidRPr="00D248E3">
        <w:t>2</w:t>
      </w:r>
      <w:r w:rsidR="009E1C60" w:rsidRPr="00D248E3">
        <w:t>2</w:t>
      </w:r>
      <w:r w:rsidRPr="00D248E3">
        <w:t xml:space="preserve"> member states have ratified </w:t>
      </w:r>
      <w:r w:rsidR="0071599D" w:rsidRPr="00D248E3">
        <w:t>the protocol</w:t>
      </w:r>
      <w:r w:rsidRPr="00D404B4">
        <w:t>.</w:t>
      </w:r>
      <w:r w:rsidR="00031197" w:rsidRPr="00D404B4">
        <w:rPr>
          <w:rStyle w:val="FootnoteReference"/>
        </w:rPr>
        <w:footnoteReference w:id="1"/>
      </w:r>
      <w:r w:rsidR="00454672">
        <w:t xml:space="preserve"> The Commission has not informed of any concrete plan to examine the EU’s ratification in its reply to the List of Issues</w:t>
      </w:r>
      <w:r w:rsidR="003D1A63">
        <w:t xml:space="preserve"> Prior to Reporting (LOIPR)</w:t>
      </w:r>
      <w:r w:rsidR="00454672">
        <w:t>.</w:t>
      </w:r>
    </w:p>
    <w:p w14:paraId="1B753032" w14:textId="78F20262" w:rsidR="006601CD" w:rsidRDefault="0066090D" w:rsidP="00295AA8">
      <w:r>
        <w:rPr>
          <w:b/>
        </w:rPr>
        <w:t xml:space="preserve">We call for: </w:t>
      </w:r>
    </w:p>
    <w:p w14:paraId="20BEE4DD" w14:textId="3C3FE4FC" w:rsidR="00C5651A" w:rsidRPr="00D404B4" w:rsidRDefault="0066090D" w:rsidP="00C5651A">
      <w:pPr>
        <w:pStyle w:val="ListParagraph"/>
        <w:numPr>
          <w:ilvl w:val="0"/>
          <w:numId w:val="38"/>
        </w:numPr>
      </w:pPr>
      <w:r>
        <w:t xml:space="preserve">Swift ratification of the Optional Protocol by the EU. </w:t>
      </w:r>
    </w:p>
    <w:p w14:paraId="555F6BDD" w14:textId="3CA55042" w:rsidR="006601CD" w:rsidRPr="00D404B4" w:rsidRDefault="006601CD" w:rsidP="00295AA8">
      <w:pPr>
        <w:pStyle w:val="Heading3"/>
        <w:ind w:left="0"/>
      </w:pPr>
      <w:r w:rsidRPr="00D404B4">
        <w:t xml:space="preserve">Legal harmonisation with the CRPD </w:t>
      </w:r>
    </w:p>
    <w:p w14:paraId="09EE8837" w14:textId="045638FB" w:rsidR="00C369A5" w:rsidRDefault="00916B4B" w:rsidP="00C369A5">
      <w:r w:rsidRPr="00D404B4">
        <w:t>The</w:t>
      </w:r>
      <w:r w:rsidR="00034A8E" w:rsidRPr="00D404B4">
        <w:t xml:space="preserve"> review of legislation and policy</w:t>
      </w:r>
      <w:r w:rsidR="00685709" w:rsidRPr="00D404B4">
        <w:t xml:space="preserve">, and update of the </w:t>
      </w:r>
      <w:r w:rsidR="00685709" w:rsidRPr="00D404B4">
        <w:rPr>
          <w:b/>
          <w:bCs/>
        </w:rPr>
        <w:t>declaration of competences</w:t>
      </w:r>
      <w:r w:rsidR="004C4260" w:rsidRPr="00D404B4">
        <w:rPr>
          <w:rStyle w:val="FootnoteReference"/>
          <w:b/>
          <w:bCs/>
        </w:rPr>
        <w:footnoteReference w:id="2"/>
      </w:r>
      <w:r w:rsidR="00685709" w:rsidRPr="00D404B4">
        <w:rPr>
          <w:b/>
          <w:bCs/>
        </w:rPr>
        <w:t xml:space="preserve"> and its list of instruments</w:t>
      </w:r>
      <w:r w:rsidR="0006276B">
        <w:rPr>
          <w:rStyle w:val="FootnoteReference"/>
          <w:b/>
          <w:bCs/>
        </w:rPr>
        <w:footnoteReference w:id="3"/>
      </w:r>
      <w:r w:rsidR="00034A8E" w:rsidRPr="00D404B4">
        <w:t xml:space="preserve"> </w:t>
      </w:r>
      <w:r w:rsidRPr="00D404B4">
        <w:t xml:space="preserve">as recommended by the CRPD Committee </w:t>
      </w:r>
      <w:r w:rsidR="00034A8E" w:rsidRPr="00D404B4">
        <w:t>ha</w:t>
      </w:r>
      <w:r w:rsidR="00685709" w:rsidRPr="00D404B4">
        <w:t>ve</w:t>
      </w:r>
      <w:r w:rsidR="00034A8E" w:rsidRPr="00D404B4">
        <w:t xml:space="preserve"> not been undertaken.</w:t>
      </w:r>
      <w:r w:rsidRPr="00D404B4">
        <w:t xml:space="preserve"> </w:t>
      </w:r>
      <w:r w:rsidR="00F60745" w:rsidRPr="00D404B4">
        <w:t xml:space="preserve">The EU has not </w:t>
      </w:r>
      <w:r w:rsidR="003365C4" w:rsidRPr="00D404B4">
        <w:t xml:space="preserve">yet </w:t>
      </w:r>
      <w:r w:rsidR="00F60745" w:rsidRPr="00D404B4">
        <w:t xml:space="preserve">proposed a plan or strategy on how to ensure </w:t>
      </w:r>
      <w:r w:rsidR="00C369A5">
        <w:t xml:space="preserve">a comprehensive </w:t>
      </w:r>
      <w:r w:rsidR="00F60745" w:rsidRPr="00D404B4">
        <w:t>legal harmonisation with the CRPD.</w:t>
      </w:r>
    </w:p>
    <w:p w14:paraId="527623CC" w14:textId="77777777" w:rsidR="004561A2" w:rsidRDefault="001E03CD" w:rsidP="00295AA8">
      <w:r>
        <w:t>T</w:t>
      </w:r>
      <w:r w:rsidR="00D53AE4" w:rsidRPr="00D404B4">
        <w:t xml:space="preserve">he </w:t>
      </w:r>
      <w:r w:rsidR="00D53AE4" w:rsidRPr="00D404B4">
        <w:rPr>
          <w:b/>
          <w:bCs/>
        </w:rPr>
        <w:t>impact assessment guidelines</w:t>
      </w:r>
      <w:r w:rsidR="00900646">
        <w:rPr>
          <w:rStyle w:val="FootnoteReference"/>
        </w:rPr>
        <w:footnoteReference w:id="4"/>
      </w:r>
      <w:r w:rsidR="00D53AE4" w:rsidRPr="00D404B4">
        <w:t xml:space="preserve"> of the Commission pre-date</w:t>
      </w:r>
      <w:r w:rsidR="00601495">
        <w:t>d</w:t>
      </w:r>
      <w:r w:rsidR="00D53AE4" w:rsidRPr="00D404B4">
        <w:t xml:space="preserve"> the CRPD and d</w:t>
      </w:r>
      <w:r w:rsidR="00601495">
        <w:t xml:space="preserve">id </w:t>
      </w:r>
      <w:r w:rsidR="00D53AE4" w:rsidRPr="00D404B4">
        <w:t xml:space="preserve">not adequately assess if policies are CRPD compliant. </w:t>
      </w:r>
      <w:r w:rsidR="00601495">
        <w:t xml:space="preserve">In November 2021, the Commission published </w:t>
      </w:r>
      <w:hyperlink r:id="rId14" w:history="1">
        <w:r w:rsidR="00601495" w:rsidRPr="00601495">
          <w:rPr>
            <w:rStyle w:val="Hyperlink"/>
          </w:rPr>
          <w:t>“Better Regulations Guidelines” and a toolbox</w:t>
        </w:r>
      </w:hyperlink>
      <w:r w:rsidR="00601495">
        <w:t xml:space="preserve"> that makes reference to </w:t>
      </w:r>
      <w:r w:rsidR="00097714">
        <w:t>persons with disabilities and accessibility</w:t>
      </w:r>
      <w:r w:rsidR="00601495">
        <w:t>.</w:t>
      </w:r>
      <w:r w:rsidR="00097714">
        <w:t xml:space="preserve"> </w:t>
      </w:r>
    </w:p>
    <w:p w14:paraId="1F726F2D" w14:textId="1B10C430" w:rsidR="000F2DAF" w:rsidRDefault="0018449F" w:rsidP="00295AA8">
      <w:r>
        <w:t xml:space="preserve">While the guidelines are helpful in furthering the rights of persons with disabilities, </w:t>
      </w:r>
      <w:r w:rsidR="002668A4">
        <w:t>they</w:t>
      </w:r>
      <w:r>
        <w:t xml:space="preserve"> do not prevent the Commission </w:t>
      </w:r>
      <w:r w:rsidR="008C0219">
        <w:t>from adopting</w:t>
      </w:r>
      <w:r>
        <w:t xml:space="preserve"> legislative proposals that do not comply with the CRPD</w:t>
      </w:r>
      <w:r w:rsidR="000F2DAF">
        <w:t xml:space="preserve"> and do not mainstream disability rights</w:t>
      </w:r>
      <w:r>
        <w:t xml:space="preserve">. </w:t>
      </w:r>
      <w:r w:rsidR="000F2DAF">
        <w:t xml:space="preserve">For instance, the proposal for </w:t>
      </w:r>
      <w:r w:rsidR="000F2DAF" w:rsidRPr="00FE5F36">
        <w:t xml:space="preserve">a </w:t>
      </w:r>
      <w:hyperlink r:id="rId15" w:history="1">
        <w:r w:rsidR="000F2DAF" w:rsidRPr="00FE5F36">
          <w:rPr>
            <w:rStyle w:val="Hyperlink"/>
          </w:rPr>
          <w:t xml:space="preserve">Regulation </w:t>
        </w:r>
        <w:r w:rsidR="000F2DAF">
          <w:rPr>
            <w:rStyle w:val="Hyperlink"/>
          </w:rPr>
          <w:t>on</w:t>
        </w:r>
        <w:r w:rsidR="000F2DAF" w:rsidRPr="00FE5F36">
          <w:rPr>
            <w:rStyle w:val="Hyperlink"/>
          </w:rPr>
          <w:t xml:space="preserve"> cross-border protection of adults</w:t>
        </w:r>
      </w:hyperlink>
      <w:r w:rsidR="000F2DAF">
        <w:t xml:space="preserve"> introduced measures that are not aligned with the CRPD. Similarly, the proposed flagship initiative on Artificial Intelligence, the AI Act, did not include disability considerations, leading to disability organisations having to spend significant advocacy resources.</w:t>
      </w:r>
    </w:p>
    <w:p w14:paraId="77B7C89A" w14:textId="1C6001EB" w:rsidR="00601495" w:rsidRDefault="000F2DAF" w:rsidP="00295AA8">
      <w:r>
        <w:t>D</w:t>
      </w:r>
      <w:r w:rsidR="003D1A63">
        <w:t>espite the nomination of disability coordinat</w:t>
      </w:r>
      <w:r w:rsidR="003151EB">
        <w:t>ors</w:t>
      </w:r>
      <w:r w:rsidR="003D1A63">
        <w:t xml:space="preserve"> responsible for mainstreaming disability within the departments of the Commission</w:t>
      </w:r>
      <w:r w:rsidR="00536091">
        <w:t xml:space="preserve"> along with the </w:t>
      </w:r>
      <w:r w:rsidR="00536091" w:rsidRPr="00536091">
        <w:t>European External Action Service (EEAS</w:t>
      </w:r>
      <w:r w:rsidR="00536091">
        <w:t>) and the various EU delegations around the world</w:t>
      </w:r>
      <w:r>
        <w:t>, mainstreaming of the CRPD remain limited</w:t>
      </w:r>
      <w:r w:rsidR="003D1A63">
        <w:t xml:space="preserve">. </w:t>
      </w:r>
      <w:r w:rsidR="00BB73FB">
        <w:t>In addition, there</w:t>
      </w:r>
      <w:r w:rsidR="00AF2E6E">
        <w:t xml:space="preserve"> is no effective disability mainstreaming mechanism within the Council of the EU. In its replies to the LOIPR, the European Commission </w:t>
      </w:r>
      <w:r w:rsidR="00BC296E">
        <w:t>points to</w:t>
      </w:r>
      <w:r w:rsidR="00AF2E6E">
        <w:t xml:space="preserve"> the role of the </w:t>
      </w:r>
      <w:hyperlink r:id="rId16" w:history="1">
        <w:r w:rsidR="00AF2E6E" w:rsidRPr="00CE58F7">
          <w:rPr>
            <w:rStyle w:val="Hyperlink"/>
          </w:rPr>
          <w:t>Human Rights Working Party</w:t>
        </w:r>
        <w:r w:rsidR="00CE58F7" w:rsidRPr="00CE58F7">
          <w:rPr>
            <w:rStyle w:val="Hyperlink"/>
          </w:rPr>
          <w:t xml:space="preserve"> (COHOM)</w:t>
        </w:r>
      </w:hyperlink>
      <w:r w:rsidR="00AF2E6E">
        <w:t xml:space="preserve"> within the Council. However, this Working </w:t>
      </w:r>
      <w:r w:rsidR="00AF2E6E">
        <w:lastRenderedPageBreak/>
        <w:t xml:space="preserve">Party does not have a mainstreaming </w:t>
      </w:r>
      <w:r w:rsidR="009D2B5E">
        <w:t>mandate</w:t>
      </w:r>
      <w:r w:rsidR="00BB73FB">
        <w:t xml:space="preserve"> and</w:t>
      </w:r>
      <w:r w:rsidR="005713ED">
        <w:t xml:space="preserve"> it</w:t>
      </w:r>
      <w:r w:rsidR="00BB73FB">
        <w:t xml:space="preserve"> does not consult with representative organisations of persons with disabilities.</w:t>
      </w:r>
      <w:r w:rsidR="009D2B5E">
        <w:t xml:space="preserve"> </w:t>
      </w:r>
    </w:p>
    <w:p w14:paraId="371C4B59" w14:textId="7274C84D" w:rsidR="004C2DCF" w:rsidRDefault="00AF2E6E" w:rsidP="00295AA8">
      <w:r>
        <w:t>Finally, in</w:t>
      </w:r>
      <w:r w:rsidR="004C2DCF">
        <w:t xml:space="preserve"> its reply to the List of Issues, the European Commission says that “EU secondary law must, </w:t>
      </w:r>
      <w:r w:rsidR="004C2DCF" w:rsidRPr="0018449F">
        <w:rPr>
          <w:i/>
          <w:iCs/>
        </w:rPr>
        <w:t>as far as possible</w:t>
      </w:r>
      <w:r w:rsidR="004C2DCF">
        <w:t>, be interprete</w:t>
      </w:r>
      <w:r w:rsidR="00020FEA">
        <w:t>d</w:t>
      </w:r>
      <w:r w:rsidR="004C2DCF">
        <w:t xml:space="preserve"> in a manner that is consistent with the CRPD”. However, there seems to be no guarantee that it is the case.  </w:t>
      </w:r>
    </w:p>
    <w:p w14:paraId="7638123B" w14:textId="7FE09A9A" w:rsidR="006601CD" w:rsidRDefault="00502717" w:rsidP="00295AA8">
      <w:pPr>
        <w:rPr>
          <w:b/>
        </w:rPr>
      </w:pPr>
      <w:r>
        <w:rPr>
          <w:b/>
        </w:rPr>
        <w:t xml:space="preserve">We call for: </w:t>
      </w:r>
    </w:p>
    <w:p w14:paraId="2DB48627" w14:textId="7AAEF95D" w:rsidR="00AF2E6E" w:rsidRPr="00D404B4" w:rsidRDefault="00502717" w:rsidP="00AF2E6E">
      <w:pPr>
        <w:pStyle w:val="ListParagraph"/>
        <w:numPr>
          <w:ilvl w:val="0"/>
          <w:numId w:val="38"/>
        </w:numPr>
      </w:pPr>
      <w:r>
        <w:t>A comprehensive review of EU legislation and policies affecting the lives of persons with disabilities</w:t>
      </w:r>
      <w:r w:rsidR="004C2DCF">
        <w:t>,</w:t>
      </w:r>
      <w:r>
        <w:t xml:space="preserve"> leading to an update of the EU declaration of competences and its list of instrument</w:t>
      </w:r>
      <w:r w:rsidR="00654FFD">
        <w:t xml:space="preserve">s. </w:t>
      </w:r>
    </w:p>
    <w:p w14:paraId="30F85B7D" w14:textId="1B2E641A" w:rsidR="00CC7CF1" w:rsidRDefault="00502717" w:rsidP="00CC7CF1">
      <w:pPr>
        <w:pStyle w:val="ListParagraph"/>
        <w:numPr>
          <w:ilvl w:val="0"/>
          <w:numId w:val="4"/>
        </w:numPr>
        <w:spacing w:after="0"/>
        <w:contextualSpacing w:val="0"/>
      </w:pPr>
      <w:r>
        <w:t>Dedicated</w:t>
      </w:r>
      <w:r w:rsidR="004C2DCF">
        <w:t xml:space="preserve"> CRPD and mainstreaming</w:t>
      </w:r>
      <w:r>
        <w:t xml:space="preserve"> trainings for </w:t>
      </w:r>
      <w:r w:rsidR="0033609C">
        <w:t>EU staff, including staff in the EU institutions</w:t>
      </w:r>
      <w:r w:rsidR="004C2DCF">
        <w:t xml:space="preserve">, </w:t>
      </w:r>
      <w:r w:rsidR="0033609C">
        <w:t>t</w:t>
      </w:r>
      <w:r w:rsidR="004C2DCF">
        <w:t>he Court of Justice of the EU</w:t>
      </w:r>
      <w:r w:rsidR="0033609C">
        <w:t>, EU offices and EU delegations abroad</w:t>
      </w:r>
      <w:r w:rsidR="00CC7CF1">
        <w:t>.</w:t>
      </w:r>
      <w:r w:rsidR="0033609C">
        <w:t xml:space="preserve"> </w:t>
      </w:r>
      <w:r w:rsidR="004B1689">
        <w:t>Training</w:t>
      </w:r>
      <w:r w:rsidR="0033609C">
        <w:t xml:space="preserve"> must be mandatory for the disability coordinators in the Commission and the members of the Equality Task Force. </w:t>
      </w:r>
    </w:p>
    <w:p w14:paraId="60B8827C" w14:textId="4CEEE05C" w:rsidR="00CC7CF1" w:rsidRPr="00D404B4" w:rsidRDefault="00CC7CF1" w:rsidP="00CC7CF1">
      <w:pPr>
        <w:pStyle w:val="ListParagraph"/>
        <w:numPr>
          <w:ilvl w:val="0"/>
          <w:numId w:val="4"/>
        </w:numPr>
        <w:contextualSpacing w:val="0"/>
      </w:pPr>
      <w:r>
        <w:t xml:space="preserve">Establishment of a mainstreaming mechanism within the Council of the EU. </w:t>
      </w:r>
    </w:p>
    <w:p w14:paraId="5D532ADB" w14:textId="546CE532" w:rsidR="006601CD" w:rsidRPr="00D404B4" w:rsidRDefault="006601CD" w:rsidP="00295AA8">
      <w:pPr>
        <w:pStyle w:val="Heading3"/>
        <w:ind w:left="0"/>
      </w:pPr>
      <w:r w:rsidRPr="00D404B4">
        <w:t>Strategies for the implementation of the CRPD</w:t>
      </w:r>
    </w:p>
    <w:p w14:paraId="2C1D644B" w14:textId="38FDDE70" w:rsidR="004C5C94" w:rsidRPr="00D404B4" w:rsidRDefault="004C5C94" w:rsidP="00295AA8">
      <w:r w:rsidRPr="00D404B4">
        <w:t xml:space="preserve">The previous </w:t>
      </w:r>
      <w:r w:rsidR="00A02A9F" w:rsidRPr="00D404B4">
        <w:t xml:space="preserve">10-years </w:t>
      </w:r>
      <w:r w:rsidR="00BE26D2" w:rsidRPr="00D404B4">
        <w:t xml:space="preserve">European Disability Strategy ended in </w:t>
      </w:r>
      <w:r w:rsidR="009B34C0" w:rsidRPr="00D404B4">
        <w:t>2020</w:t>
      </w:r>
      <w:r w:rsidR="00BE26D2" w:rsidRPr="00D404B4">
        <w:t xml:space="preserve">. </w:t>
      </w:r>
      <w:r w:rsidRPr="00D404B4">
        <w:t xml:space="preserve">In March 2021, the European Commission adopted a new </w:t>
      </w:r>
      <w:hyperlink r:id="rId17" w:history="1">
        <w:r w:rsidR="009B34C0" w:rsidRPr="00D404B4">
          <w:rPr>
            <w:rStyle w:val="Hyperlink"/>
          </w:rPr>
          <w:t>Strategy for the Rights of Persons with Disabilities 2021-2030</w:t>
        </w:r>
      </w:hyperlink>
      <w:r w:rsidR="009B34C0" w:rsidRPr="00D404B4">
        <w:t> </w:t>
      </w:r>
      <w:r w:rsidR="009B34C0" w:rsidRPr="00D404B4">
        <w:rPr>
          <w:rStyle w:val="Hyperlink"/>
          <w:color w:val="auto"/>
          <w:u w:val="none"/>
        </w:rPr>
        <w:t>(“</w:t>
      </w:r>
      <w:r w:rsidR="009B34C0" w:rsidRPr="00D404B4">
        <w:t>Disability Rights Strategy”)</w:t>
      </w:r>
      <w:r w:rsidRPr="00D404B4">
        <w:t xml:space="preserve">, following consultations with organisations of persons with disabilities. </w:t>
      </w:r>
    </w:p>
    <w:p w14:paraId="197D56A5" w14:textId="77777777" w:rsidR="004415A1" w:rsidRDefault="004415A1" w:rsidP="00654FFD">
      <w:r w:rsidRPr="004415A1">
        <w:t>The Strategy is based on the CRPD and recalls the recommendations received by the EU from the CRPD Committee in 2015. However, while some actions are very concrete, with a clear timeframe; other objectives are more aspirational and must be further elaborated in the form of an action plan, giving dates for all actions to implement the Strategy in full. For example, the European Commission is planning to work with Member States to expand the scope of the mutual recognition of disability status in areas such as labour mobility and benefits related to conditions of service provision. The suggestion of the text was that this would be addressed through the flagship initiative on the EU Disability Car</w:t>
      </w:r>
      <w:r>
        <w:t>d</w:t>
      </w:r>
      <w:r w:rsidRPr="004415A1">
        <w:t>. However, the final agreement on the card did not achieve this goal. Despite an agreement by the co-legislators to continue working to address this issue, no clarity has been given on when or how this will be done.</w:t>
      </w:r>
      <w:r>
        <w:t xml:space="preserve"> </w:t>
      </w:r>
    </w:p>
    <w:p w14:paraId="697AEF50" w14:textId="175E58B2" w:rsidR="00654FFD" w:rsidRPr="00D404B4" w:rsidRDefault="00654FFD" w:rsidP="00654FFD">
      <w:r w:rsidRPr="00D404B4">
        <w:t>There is also a concern raised by some organisations that the Strategy, and the EU in general,</w:t>
      </w:r>
      <w:r w:rsidRPr="00D404B4">
        <w:rPr>
          <w:rStyle w:val="FootnoteReference"/>
        </w:rPr>
        <w:footnoteReference w:id="5"/>
      </w:r>
      <w:r w:rsidRPr="00D404B4">
        <w:t xml:space="preserve"> pay little to no attention to disability as a result of cognitive or neurological conditions, such as</w:t>
      </w:r>
      <w:r>
        <w:t>, autism,</w:t>
      </w:r>
      <w:r w:rsidRPr="00D404B4">
        <w:t xml:space="preserve"> dementia and Alzheimer. </w:t>
      </w:r>
    </w:p>
    <w:p w14:paraId="4A08C7F7" w14:textId="6785B8FF" w:rsidR="00406C6D" w:rsidRPr="00D404B4" w:rsidRDefault="00055EDA" w:rsidP="00295AA8">
      <w:r>
        <w:t>While the Strateg</w:t>
      </w:r>
      <w:r w:rsidR="00020FEA">
        <w:t>y</w:t>
      </w:r>
      <w:r>
        <w:t xml:space="preserve"> runs until 2030, the concrete actions and activities end in 2025. At the time of the report, the new activities have not yet been decided. </w:t>
      </w:r>
    </w:p>
    <w:p w14:paraId="635ADFCF" w14:textId="38AAE85D" w:rsidR="00225959" w:rsidRPr="00D404B4" w:rsidRDefault="00654FFD" w:rsidP="00295AA8">
      <w:r>
        <w:rPr>
          <w:b/>
        </w:rPr>
        <w:t xml:space="preserve">We call for: </w:t>
      </w:r>
    </w:p>
    <w:p w14:paraId="4B1E4571" w14:textId="6FF90893" w:rsidR="00225959" w:rsidRPr="00D404B4" w:rsidRDefault="00654FFD" w:rsidP="00295AA8">
      <w:pPr>
        <w:pStyle w:val="ListParagraph"/>
        <w:numPr>
          <w:ilvl w:val="0"/>
          <w:numId w:val="19"/>
        </w:numPr>
        <w:contextualSpacing w:val="0"/>
      </w:pPr>
      <w:r>
        <w:lastRenderedPageBreak/>
        <w:t>Adoption of legislative and polic</w:t>
      </w:r>
      <w:r w:rsidR="00020FEA">
        <w:t>y</w:t>
      </w:r>
      <w:r>
        <w:t xml:space="preserve"> actions in the Strategy on the rights of persons with disabilities running </w:t>
      </w:r>
      <w:r w:rsidR="00980497">
        <w:t>for</w:t>
      </w:r>
      <w:r>
        <w:t xml:space="preserve"> 2026 to 2030, covering all types of disability, and developed in close collaboration with representative organisations of persons with disabilities. </w:t>
      </w:r>
    </w:p>
    <w:p w14:paraId="440956C7" w14:textId="3BBBAE83" w:rsidR="00EA3971" w:rsidRPr="00D404B4" w:rsidRDefault="00EA3971" w:rsidP="00295AA8">
      <w:pPr>
        <w:pStyle w:val="Heading3"/>
        <w:ind w:left="0"/>
      </w:pPr>
      <w:r w:rsidRPr="00D404B4">
        <w:t xml:space="preserve">Active </w:t>
      </w:r>
      <w:r w:rsidR="00A572CC" w:rsidRPr="00D404B4">
        <w:t xml:space="preserve">involvement and </w:t>
      </w:r>
      <w:r w:rsidRPr="00D404B4">
        <w:t xml:space="preserve">participation of representative organisations of persons with disabilities </w:t>
      </w:r>
    </w:p>
    <w:p w14:paraId="48E4BD83" w14:textId="6D871299" w:rsidR="00E40715" w:rsidRPr="00E45FDC" w:rsidRDefault="004A5B5E" w:rsidP="00295AA8">
      <w:r w:rsidRPr="00D404B4">
        <w:t xml:space="preserve">There are no legal provisions establishing inclusive and accessible procedures and mechanisms for the involvement of persons with disabilities and their representative organisations across all disability constituencies in the development and implementation of EU </w:t>
      </w:r>
      <w:r w:rsidRPr="00E45FDC">
        <w:t xml:space="preserve">legislation and policies to </w:t>
      </w:r>
      <w:r w:rsidR="00BB7BF9" w:rsidRPr="00E45FDC">
        <w:t>meet the requirements of</w:t>
      </w:r>
      <w:r w:rsidRPr="00E45FDC">
        <w:t xml:space="preserve"> the Convention. Consultation continues to be ad hoc across all EU institutions.</w:t>
      </w:r>
      <w:r w:rsidR="003F273C" w:rsidRPr="00E45FDC">
        <w:t xml:space="preserve"> </w:t>
      </w:r>
    </w:p>
    <w:p w14:paraId="6BFA76AD" w14:textId="09FA0D4D" w:rsidR="00633BB2" w:rsidRDefault="005F491B" w:rsidP="00C7606C">
      <w:r w:rsidRPr="00E45FDC">
        <w:t>Organisations</w:t>
      </w:r>
      <w:r w:rsidR="003F273C" w:rsidRPr="00E45FDC">
        <w:t xml:space="preserve"> of persons with disabilities are not consulted and involved in the work of the Council of the </w:t>
      </w:r>
      <w:r w:rsidR="00D73A07">
        <w:t>EU</w:t>
      </w:r>
      <w:r w:rsidR="00E25FBC">
        <w:t xml:space="preserve"> (representing the EU Member States)</w:t>
      </w:r>
      <w:r w:rsidR="003F273C" w:rsidRPr="00E45FDC">
        <w:t xml:space="preserve">. </w:t>
      </w:r>
      <w:r w:rsidR="00894DFD" w:rsidRPr="00E45FDC">
        <w:t>This creates huge problems in the legislative process</w:t>
      </w:r>
      <w:r w:rsidR="00E45FDC" w:rsidRPr="00E45FDC">
        <w:t>.</w:t>
      </w:r>
      <w:r w:rsidR="00894DFD" w:rsidRPr="00E45FDC">
        <w:t xml:space="preserve"> </w:t>
      </w:r>
      <w:r w:rsidR="00E25FBC">
        <w:t xml:space="preserve">Although, the </w:t>
      </w:r>
      <w:r w:rsidR="00894DFD" w:rsidRPr="00E45FDC">
        <w:t>Commission and</w:t>
      </w:r>
      <w:r w:rsidR="00E25FBC">
        <w:t xml:space="preserve"> the </w:t>
      </w:r>
      <w:r w:rsidR="00894DFD" w:rsidRPr="00E45FDC">
        <w:t>Parliament are often willing to include</w:t>
      </w:r>
      <w:r w:rsidR="00E25FBC">
        <w:t xml:space="preserve"> the</w:t>
      </w:r>
      <w:r w:rsidR="00894DFD" w:rsidRPr="00E45FDC">
        <w:t xml:space="preserve"> CRPD, the Council often blocks (for example with the proposed Horizontal Non-Discrimination Directive</w:t>
      </w:r>
      <w:r w:rsidR="00894DFD" w:rsidRPr="00D404B4">
        <w:t>; or with the revision of the Rail Passengers’ Rights Regulation)</w:t>
      </w:r>
      <w:r w:rsidR="0033773F" w:rsidRPr="00D404B4">
        <w:t xml:space="preserve">. Since organisations of persons with disabilities do not have sufficient access to information about Council proceedings and decisions, decisions are taken de facto behind closed doors, against the </w:t>
      </w:r>
      <w:r w:rsidR="007D0FD9" w:rsidRPr="00D404B4">
        <w:t>rights</w:t>
      </w:r>
      <w:r w:rsidR="0033773F" w:rsidRPr="00D404B4">
        <w:t xml:space="preserve"> of persons with disabilities. </w:t>
      </w:r>
      <w:r w:rsidR="00C7606C">
        <w:t>T</w:t>
      </w:r>
      <w:r w:rsidR="003F273C" w:rsidRPr="00D404B4">
        <w:t>he disability movement</w:t>
      </w:r>
      <w:r w:rsidR="00C7606C">
        <w:t xml:space="preserve"> has been</w:t>
      </w:r>
      <w:r w:rsidR="003F273C" w:rsidRPr="00D404B4">
        <w:t xml:space="preserve"> advocat</w:t>
      </w:r>
      <w:r w:rsidR="00C7606C">
        <w:t>ing</w:t>
      </w:r>
      <w:r w:rsidR="003F273C" w:rsidRPr="00D404B4">
        <w:t xml:space="preserve"> for</w:t>
      </w:r>
      <w:r w:rsidR="00C7606C">
        <w:t xml:space="preserve"> a</w:t>
      </w:r>
      <w:r w:rsidR="0033773F" w:rsidRPr="00D404B4">
        <w:t xml:space="preserve">ccess to timely information on </w:t>
      </w:r>
      <w:r w:rsidR="008A5841" w:rsidRPr="00D404B4">
        <w:t>the work of the Council</w:t>
      </w:r>
      <w:r w:rsidR="00C7606C">
        <w:t xml:space="preserve"> (</w:t>
      </w:r>
      <w:r w:rsidR="008A5841" w:rsidRPr="00D404B4">
        <w:t xml:space="preserve">such as </w:t>
      </w:r>
      <w:r w:rsidR="0033773F" w:rsidRPr="00D404B4">
        <w:t>Council Working Groups’ meetings, including agendas, preparatory documents, minutes and recording of meetings in accessible formats</w:t>
      </w:r>
      <w:r w:rsidR="00C7606C">
        <w:t>) and consultation b</w:t>
      </w:r>
      <w:r w:rsidR="007E58F0">
        <w:t>y the Council (for example through EU Member States)</w:t>
      </w:r>
      <w:r w:rsidR="007E58F0" w:rsidRPr="00D404B4">
        <w:t xml:space="preserve"> on any file that directly concerns persons with disabilities such as transport, ICT, social policy, human rights, etc.</w:t>
      </w:r>
    </w:p>
    <w:p w14:paraId="1957D1A6" w14:textId="7ADB3E06" w:rsidR="00F85A7C" w:rsidRPr="00CB2011" w:rsidRDefault="00F85A7C" w:rsidP="00EF470E">
      <w:r w:rsidRPr="00D404B4">
        <w:t xml:space="preserve">More information about inaccessibility of consultation is available </w:t>
      </w:r>
      <w:r w:rsidR="00EF470E">
        <w:t>u</w:t>
      </w:r>
      <w:r w:rsidR="00EF470E" w:rsidRPr="00CB2011">
        <w:t>nde</w:t>
      </w:r>
      <w:r w:rsidR="00E00244">
        <w:t xml:space="preserve">r </w:t>
      </w:r>
      <w:hyperlink w:anchor="_Article_9:_Accessibility" w:history="1">
        <w:r w:rsidR="00E00244" w:rsidRPr="00E00244">
          <w:rPr>
            <w:rStyle w:val="Hyperlink"/>
          </w:rPr>
          <w:t>Article 9: Accessibility</w:t>
        </w:r>
      </w:hyperlink>
      <w:r w:rsidR="00E00244" w:rsidRPr="00E00244">
        <w:t xml:space="preserve">. </w:t>
      </w:r>
      <w:r w:rsidRPr="00D404B4">
        <w:t xml:space="preserve">It is also important to note that the EU should provide more accommodating and suitable timeframes, especially when </w:t>
      </w:r>
      <w:r w:rsidRPr="00CB2011">
        <w:t xml:space="preserve">seeking to involve disability organisations to allow for more meaningful </w:t>
      </w:r>
      <w:r w:rsidRPr="00CB2011">
        <w:t>involvement.</w:t>
      </w:r>
      <w:r w:rsidR="007B4678" w:rsidRPr="00CB2011">
        <w:t xml:space="preserve"> Some consultations are organised under very short timeframes and/or in holiday period</w:t>
      </w:r>
      <w:r w:rsidR="00BB7BF9" w:rsidRPr="00CB2011">
        <w:t>s</w:t>
      </w:r>
      <w:r w:rsidR="007B4678" w:rsidRPr="00CB2011">
        <w:t xml:space="preserve"> during which not all stakeholders </w:t>
      </w:r>
      <w:r w:rsidR="001B2A22" w:rsidRPr="00CB2011">
        <w:t xml:space="preserve">have the capacity to </w:t>
      </w:r>
      <w:r w:rsidR="007B4678" w:rsidRPr="00CB2011">
        <w:t>participate meaningfully</w:t>
      </w:r>
      <w:r w:rsidR="001B2A22" w:rsidRPr="00CB2011">
        <w:t>, including by involving their constituency</w:t>
      </w:r>
      <w:r w:rsidR="007B4678" w:rsidRPr="00CB2011">
        <w:t>.</w:t>
      </w:r>
    </w:p>
    <w:p w14:paraId="26B7369D" w14:textId="38251C00" w:rsidR="00225959" w:rsidRPr="00C20C7F" w:rsidRDefault="00F125EB" w:rsidP="00295AA8">
      <w:r w:rsidRPr="00C20C7F">
        <w:rPr>
          <w:b/>
        </w:rPr>
        <w:t>We call for</w:t>
      </w:r>
      <w:r w:rsidR="00225959" w:rsidRPr="00C20C7F">
        <w:t xml:space="preserve">: </w:t>
      </w:r>
    </w:p>
    <w:p w14:paraId="1E346314" w14:textId="77777777" w:rsidR="00C20C7F" w:rsidRDefault="00F125EB" w:rsidP="00C20C7F">
      <w:pPr>
        <w:pStyle w:val="ListParagraph"/>
        <w:numPr>
          <w:ilvl w:val="0"/>
          <w:numId w:val="72"/>
        </w:numPr>
      </w:pPr>
      <w:r w:rsidRPr="00C20C7F">
        <w:t xml:space="preserve">Enhancing the consultation and involvement of representative organisations of persons with disabilities, including through more transparent and accessible consultation processes. </w:t>
      </w:r>
      <w:bookmarkStart w:id="7" w:name="See_article_5"/>
    </w:p>
    <w:p w14:paraId="430701DB" w14:textId="48C3E4FC" w:rsidR="005241CA" w:rsidRPr="00C20C7F" w:rsidRDefault="008F3387" w:rsidP="00295AA8">
      <w:pPr>
        <w:pStyle w:val="Heading2"/>
        <w:spacing w:line="276" w:lineRule="auto"/>
        <w:rPr>
          <w:lang w:val="en-GB"/>
        </w:rPr>
      </w:pPr>
      <w:bookmarkStart w:id="8" w:name="_Toc179386636"/>
      <w:r w:rsidRPr="00C20C7F">
        <w:rPr>
          <w:lang w:val="en-GB"/>
        </w:rPr>
        <w:t xml:space="preserve">Article </w:t>
      </w:r>
      <w:r w:rsidR="002C74B5" w:rsidRPr="00C20C7F">
        <w:rPr>
          <w:lang w:val="en-GB"/>
        </w:rPr>
        <w:t>5</w:t>
      </w:r>
      <w:bookmarkEnd w:id="7"/>
      <w:r w:rsidRPr="00C20C7F">
        <w:rPr>
          <w:lang w:val="en-GB"/>
        </w:rPr>
        <w:t xml:space="preserve">: </w:t>
      </w:r>
      <w:r w:rsidR="005241CA" w:rsidRPr="00C20C7F">
        <w:rPr>
          <w:lang w:val="en-GB"/>
        </w:rPr>
        <w:t>Equality and non-</w:t>
      </w:r>
      <w:r w:rsidR="00950A67" w:rsidRPr="00C20C7F">
        <w:rPr>
          <w:lang w:val="en-GB"/>
        </w:rPr>
        <w:t>discrimination</w:t>
      </w:r>
      <w:bookmarkEnd w:id="8"/>
    </w:p>
    <w:p w14:paraId="48D13EDE" w14:textId="2A7E50DE" w:rsidR="006C2035" w:rsidRDefault="006C2035" w:rsidP="00295AA8">
      <w:pPr>
        <w:spacing w:afterLines="120" w:after="288"/>
        <w:ind w:firstLine="2"/>
      </w:pPr>
      <w:r w:rsidRPr="00C20C7F">
        <w:t xml:space="preserve">Persons with disabilities living in the </w:t>
      </w:r>
      <w:r w:rsidR="00C226A0" w:rsidRPr="00C20C7F">
        <w:t>EU</w:t>
      </w:r>
      <w:r w:rsidRPr="00C20C7F">
        <w:t xml:space="preserve"> continue to face discrimination, including denial of reasonable accommodation</w:t>
      </w:r>
      <w:r w:rsidRPr="00D404B4">
        <w:t>, harassment</w:t>
      </w:r>
      <w:r w:rsidR="006C38E5" w:rsidRPr="00D404B4">
        <w:rPr>
          <w:rStyle w:val="FootnoteReference"/>
        </w:rPr>
        <w:footnoteReference w:id="6"/>
      </w:r>
      <w:r w:rsidRPr="00D404B4">
        <w:t xml:space="preserve"> and multiple and intersectional forms of discrimination in all areas of their lives.</w:t>
      </w:r>
      <w:r w:rsidR="00C226A0" w:rsidRPr="00D404B4">
        <w:t xml:space="preserve"> Despite this situation the EU has failed to adopt </w:t>
      </w:r>
      <w:r w:rsidR="00C226A0" w:rsidRPr="00D404B4">
        <w:lastRenderedPageBreak/>
        <w:t xml:space="preserve">strong and effective actions to protect persons with disabilities against discrimination in all areas of life. </w:t>
      </w:r>
    </w:p>
    <w:p w14:paraId="36582B9A" w14:textId="0C383B04" w:rsidR="003B5EC2" w:rsidRPr="00D404B4" w:rsidRDefault="00754F5C" w:rsidP="003B5EC2">
      <w:pPr>
        <w:pStyle w:val="Heading3"/>
      </w:pPr>
      <w:r>
        <w:t>Anti-discrimination l</w:t>
      </w:r>
      <w:r w:rsidR="003B5EC2">
        <w:t xml:space="preserve">egislation </w:t>
      </w:r>
    </w:p>
    <w:p w14:paraId="1A5B68C3" w14:textId="19987346" w:rsidR="00656530" w:rsidRPr="00CB2011" w:rsidRDefault="00D43BE0" w:rsidP="00295AA8">
      <w:pPr>
        <w:spacing w:afterLines="120" w:after="288"/>
        <w:ind w:firstLine="2"/>
      </w:pPr>
      <w:r>
        <w:t>P</w:t>
      </w:r>
      <w:r w:rsidR="00656530" w:rsidRPr="00D404B4">
        <w:t xml:space="preserve">ersons with disabilities are </w:t>
      </w:r>
      <w:r w:rsidR="00656530" w:rsidRPr="00D404B4">
        <w:rPr>
          <w:b/>
          <w:bCs/>
        </w:rPr>
        <w:t xml:space="preserve">only protected </w:t>
      </w:r>
      <w:r>
        <w:rPr>
          <w:b/>
          <w:bCs/>
        </w:rPr>
        <w:t xml:space="preserve">under EU law </w:t>
      </w:r>
      <w:r w:rsidR="00656530" w:rsidRPr="00D404B4">
        <w:rPr>
          <w:b/>
          <w:bCs/>
        </w:rPr>
        <w:t>against discrimination in the field of employment and vocational training</w:t>
      </w:r>
      <w:r w:rsidR="00656530" w:rsidRPr="00D404B4">
        <w:t>.</w:t>
      </w:r>
      <w:r w:rsidR="00656530" w:rsidRPr="00D404B4">
        <w:rPr>
          <w:rStyle w:val="FootnoteReference"/>
        </w:rPr>
        <w:footnoteReference w:id="7"/>
      </w:r>
      <w:r w:rsidR="00656530" w:rsidRPr="00D404B4">
        <w:t xml:space="preserve"> Existing legislation </w:t>
      </w:r>
      <w:r w:rsidR="0025295F" w:rsidRPr="00D404B4">
        <w:t>includes</w:t>
      </w:r>
      <w:r w:rsidR="00656530" w:rsidRPr="00D404B4">
        <w:t xml:space="preserve"> an obligation to provide reasonable accommodation for </w:t>
      </w:r>
      <w:r w:rsidR="00656530" w:rsidRPr="00821EDA">
        <w:t>employer</w:t>
      </w:r>
      <w:r w:rsidR="00E74431" w:rsidRPr="00821EDA">
        <w:t>s</w:t>
      </w:r>
      <w:r w:rsidR="004707C1" w:rsidRPr="00821EDA">
        <w:t>,</w:t>
      </w:r>
      <w:r w:rsidR="00656530" w:rsidRPr="00821EDA">
        <w:t xml:space="preserve"> but </w:t>
      </w:r>
      <w:r w:rsidR="00656530" w:rsidRPr="00D404B4">
        <w:t>does not explicitly recognise the denial of reasonable accommodation as a form of discrimination</w:t>
      </w:r>
      <w:r w:rsidR="00AC0B61" w:rsidRPr="00D404B4">
        <w:t>.</w:t>
      </w:r>
      <w:r w:rsidR="00E74431" w:rsidRPr="00D404B4">
        <w:rPr>
          <w:rStyle w:val="FootnoteReference"/>
        </w:rPr>
        <w:footnoteReference w:id="8"/>
      </w:r>
      <w:r w:rsidR="00656530" w:rsidRPr="00D404B4">
        <w:t xml:space="preserve"> </w:t>
      </w:r>
      <w:r w:rsidR="00AC0B61" w:rsidRPr="00D404B4">
        <w:t>In addition</w:t>
      </w:r>
      <w:r w:rsidR="0083796A">
        <w:t>,</w:t>
      </w:r>
      <w:r w:rsidR="00AC0B61" w:rsidRPr="00D404B4">
        <w:t xml:space="preserve"> it </w:t>
      </w:r>
      <w:r w:rsidR="00656530" w:rsidRPr="00D404B4">
        <w:t xml:space="preserve">does not </w:t>
      </w:r>
      <w:r w:rsidR="00686FBD" w:rsidRPr="00D404B4">
        <w:t>explicitly recognise discrimination by association</w:t>
      </w:r>
      <w:r w:rsidR="00686FBD" w:rsidRPr="00D404B4">
        <w:rPr>
          <w:rStyle w:val="FootnoteReference"/>
        </w:rPr>
        <w:footnoteReference w:id="9"/>
      </w:r>
      <w:r w:rsidR="00686FBD" w:rsidRPr="00D404B4">
        <w:t xml:space="preserve"> and does </w:t>
      </w:r>
      <w:r w:rsidR="006F64D1" w:rsidRPr="00D404B4">
        <w:t xml:space="preserve">neither </w:t>
      </w:r>
      <w:r w:rsidR="00552CDE" w:rsidRPr="00D404B4">
        <w:t xml:space="preserve">recognise </w:t>
      </w:r>
      <w:r w:rsidR="006F64D1" w:rsidRPr="00D404B4">
        <w:t xml:space="preserve">nor </w:t>
      </w:r>
      <w:r w:rsidR="00656530" w:rsidRPr="00D404B4">
        <w:t xml:space="preserve">address multiple and </w:t>
      </w:r>
      <w:r w:rsidR="00656530" w:rsidRPr="00CB2011">
        <w:t xml:space="preserve">intersectional forms of discrimination. </w:t>
      </w:r>
      <w:r w:rsidR="001B4915" w:rsidRPr="00CB2011">
        <w:t xml:space="preserve">Consequently, some groups of persons with disabilities </w:t>
      </w:r>
      <w:r w:rsidR="00E776AC">
        <w:t>face</w:t>
      </w:r>
      <w:r w:rsidR="001B4915" w:rsidRPr="00CB2011">
        <w:t xml:space="preserve"> </w:t>
      </w:r>
      <w:r w:rsidR="004707C1" w:rsidRPr="00CB2011">
        <w:t xml:space="preserve">a </w:t>
      </w:r>
      <w:r w:rsidR="001B4915" w:rsidRPr="00CB2011">
        <w:t xml:space="preserve">higher </w:t>
      </w:r>
      <w:r w:rsidR="00552CDE" w:rsidRPr="00CB2011">
        <w:t>degree</w:t>
      </w:r>
      <w:r w:rsidR="001B4915" w:rsidRPr="00CB2011">
        <w:t xml:space="preserve"> of discrimination with no or limited </w:t>
      </w:r>
      <w:r w:rsidR="006C58D3" w:rsidRPr="00CB2011">
        <w:t xml:space="preserve">access to legal </w:t>
      </w:r>
      <w:r w:rsidR="001B4915" w:rsidRPr="00CB2011">
        <w:t>remedy</w:t>
      </w:r>
      <w:r w:rsidR="00552CDE" w:rsidRPr="00CB2011">
        <w:t>.</w:t>
      </w:r>
      <w:r w:rsidR="004C66AD" w:rsidRPr="00CB2011">
        <w:t xml:space="preserve"> This affect</w:t>
      </w:r>
      <w:r w:rsidR="006C58D3" w:rsidRPr="00CB2011">
        <w:t>s</w:t>
      </w:r>
      <w:r w:rsidR="004C66AD" w:rsidRPr="00CB2011">
        <w:t xml:space="preserve"> for instance women with disabilities, young and older persons with disabilities, migrants and refugees with disabilities,</w:t>
      </w:r>
      <w:r w:rsidR="00492645" w:rsidRPr="00CB2011">
        <w:t xml:space="preserve"> persons with disabilities from ethnic minorities, including Roma with disabilities</w:t>
      </w:r>
      <w:r w:rsidR="00331E1B" w:rsidRPr="00CB2011">
        <w:t>,</w:t>
      </w:r>
      <w:r w:rsidR="004C66AD" w:rsidRPr="00CB2011">
        <w:t xml:space="preserve"> and LGBTI</w:t>
      </w:r>
      <w:r w:rsidR="007903EE" w:rsidRPr="00CB2011">
        <w:t>Q+</w:t>
      </w:r>
      <w:r w:rsidR="004C66AD" w:rsidRPr="00CB2011">
        <w:t xml:space="preserve"> </w:t>
      </w:r>
      <w:r w:rsidR="00DF0F04" w:rsidRPr="00CB2011">
        <w:t>persons</w:t>
      </w:r>
      <w:r w:rsidR="004C66AD" w:rsidRPr="00CB2011">
        <w:t xml:space="preserve"> with disabilities. </w:t>
      </w:r>
    </w:p>
    <w:p w14:paraId="78167EB4" w14:textId="0A68FC96" w:rsidR="00CE6019" w:rsidRPr="00CB2011" w:rsidRDefault="00AA1D5E" w:rsidP="00295AA8">
      <w:pPr>
        <w:spacing w:afterLines="120" w:after="288"/>
      </w:pPr>
      <w:r w:rsidRPr="00CB2011">
        <w:t>Contrary to disability</w:t>
      </w:r>
      <w:r w:rsidR="008E7873" w:rsidRPr="00CB2011">
        <w:t>-based discrimination</w:t>
      </w:r>
      <w:r w:rsidRPr="00CB2011">
        <w:t>, discrimination on the grounds of sex and race is prohibited</w:t>
      </w:r>
      <w:r w:rsidR="0035005E" w:rsidRPr="00CB2011">
        <w:t xml:space="preserve"> in employment and</w:t>
      </w:r>
      <w:r w:rsidRPr="00CB2011">
        <w:t xml:space="preserve"> in other areas of life</w:t>
      </w:r>
      <w:r w:rsidR="009E4983" w:rsidRPr="00CB2011">
        <w:t xml:space="preserve">, such as social protection including social security and healthcare, social advantage, </w:t>
      </w:r>
      <w:r w:rsidR="00057EEF" w:rsidRPr="00CB2011">
        <w:t>education,</w:t>
      </w:r>
      <w:r w:rsidR="009E4983" w:rsidRPr="00CB2011">
        <w:t xml:space="preserve"> and access to and supply of good</w:t>
      </w:r>
      <w:r w:rsidR="006F64D1" w:rsidRPr="00CB2011">
        <w:t>s</w:t>
      </w:r>
      <w:r w:rsidR="009E4983" w:rsidRPr="00CB2011">
        <w:t xml:space="preserve"> and services</w:t>
      </w:r>
      <w:r w:rsidRPr="00CB2011">
        <w:t xml:space="preserve">. Therefore, </w:t>
      </w:r>
      <w:r w:rsidR="00603B28" w:rsidRPr="00CB2011">
        <w:rPr>
          <w:b/>
        </w:rPr>
        <w:t>EU anti-discrimination legislation remains inconsistent in its scope and creates a hierarchy between the different grounds for discrimination</w:t>
      </w:r>
      <w:r w:rsidRPr="00CB2011">
        <w:t xml:space="preserve">. </w:t>
      </w:r>
    </w:p>
    <w:p w14:paraId="644E5E0B" w14:textId="7E6F4107" w:rsidR="00D228E7" w:rsidRDefault="003A3C15" w:rsidP="00295AA8">
      <w:pPr>
        <w:spacing w:afterLines="120" w:after="288"/>
      </w:pPr>
      <w:r w:rsidRPr="00CB2011">
        <w:t>For more than 1</w:t>
      </w:r>
      <w:r w:rsidR="00EE2B84">
        <w:t>5</w:t>
      </w:r>
      <w:r w:rsidRPr="00CB2011">
        <w:t xml:space="preserve"> years the EU has been discussing </w:t>
      </w:r>
      <w:r w:rsidR="00630DD8" w:rsidRPr="00CB2011">
        <w:t xml:space="preserve">a </w:t>
      </w:r>
      <w:r w:rsidR="00603B28" w:rsidRPr="00D60E0A">
        <w:rPr>
          <w:b/>
          <w:bCs/>
        </w:rPr>
        <w:t>proposed horizontal equal treatment directive</w:t>
      </w:r>
      <w:r w:rsidR="004B460F" w:rsidRPr="00D60E0A">
        <w:rPr>
          <w:b/>
          <w:bCs/>
        </w:rPr>
        <w:t xml:space="preserve"> </w:t>
      </w:r>
      <w:r w:rsidR="004B460F" w:rsidRPr="00CB2011">
        <w:t>covering discrimination on the grounds of disability, age</w:t>
      </w:r>
      <w:r w:rsidR="001B4915" w:rsidRPr="00CB2011">
        <w:t>, religion or belief,</w:t>
      </w:r>
      <w:r w:rsidR="004B460F" w:rsidRPr="00CB2011">
        <w:t xml:space="preserve"> and sexual orientation in the areas of social protection, healthcare, (re)</w:t>
      </w:r>
      <w:r w:rsidR="001D6372" w:rsidRPr="00CB2011">
        <w:t>habitation</w:t>
      </w:r>
      <w:r w:rsidR="004B460F" w:rsidRPr="00CB2011">
        <w:t>, education and the provision of goods and service</w:t>
      </w:r>
      <w:r w:rsidR="00630DD8" w:rsidRPr="00CB2011">
        <w:t>.</w:t>
      </w:r>
      <w:r w:rsidR="001802CE" w:rsidRPr="00CB2011">
        <w:rPr>
          <w:rStyle w:val="FootnoteReference"/>
        </w:rPr>
        <w:footnoteReference w:id="10"/>
      </w:r>
      <w:r w:rsidR="00603B28" w:rsidRPr="00CB2011">
        <w:t xml:space="preserve"> </w:t>
      </w:r>
      <w:r w:rsidR="00E40FA3" w:rsidRPr="00CB2011">
        <w:t>R</w:t>
      </w:r>
      <w:r w:rsidR="00603B28" w:rsidRPr="00CB2011">
        <w:t>esistance</w:t>
      </w:r>
      <w:r w:rsidR="000568A1" w:rsidRPr="00CB2011">
        <w:t xml:space="preserve"> </w:t>
      </w:r>
      <w:r w:rsidR="00C00A97" w:rsidRPr="00CB2011">
        <w:t>remains</w:t>
      </w:r>
      <w:r w:rsidR="00603B28" w:rsidRPr="00CB2011">
        <w:t xml:space="preserve"> from the member states in the Council of the EU to adopt this piece of legislation.</w:t>
      </w:r>
      <w:r w:rsidR="00CE6019" w:rsidRPr="00CB2011">
        <w:t xml:space="preserve"> </w:t>
      </w:r>
    </w:p>
    <w:p w14:paraId="6DE62768" w14:textId="3D51A45A" w:rsidR="00C00A97" w:rsidRDefault="0083796A" w:rsidP="00295AA8">
      <w:pPr>
        <w:spacing w:afterLines="120" w:after="288"/>
      </w:pPr>
      <w:r w:rsidRPr="0083796A">
        <w:t>In 2024, the</w:t>
      </w:r>
      <w:r w:rsidR="00C00A97" w:rsidRPr="0083796A">
        <w:t xml:space="preserve"> </w:t>
      </w:r>
      <w:hyperlink r:id="rId18" w:history="1">
        <w:r w:rsidR="00C00A97" w:rsidRPr="0083796A">
          <w:rPr>
            <w:rStyle w:val="Hyperlink"/>
          </w:rPr>
          <w:t>EU adopted standards for equality bodies</w:t>
        </w:r>
      </w:hyperlink>
      <w:r w:rsidRPr="0083796A">
        <w:t>. It</w:t>
      </w:r>
      <w:r w:rsidR="00C00A97" w:rsidRPr="0083796A">
        <w:t xml:space="preserve"> is a positive development to ensure </w:t>
      </w:r>
      <w:r w:rsidRPr="0083796A">
        <w:t>that information and</w:t>
      </w:r>
      <w:r w:rsidR="003F0EBD">
        <w:t xml:space="preserve"> reporting</w:t>
      </w:r>
      <w:r w:rsidRPr="0083796A">
        <w:t xml:space="preserve"> mechanisms </w:t>
      </w:r>
      <w:r w:rsidR="003F0EBD">
        <w:t xml:space="preserve">provided by these bodies </w:t>
      </w:r>
      <w:r w:rsidRPr="0083796A">
        <w:t xml:space="preserve">are accessible to persons with disabilities. </w:t>
      </w:r>
      <w:r w:rsidR="00C00A97" w:rsidRPr="0083796A">
        <w:t xml:space="preserve">However, </w:t>
      </w:r>
      <w:r w:rsidRPr="0083796A">
        <w:t>the standards do not create additional protection when it comes to the gaps described above. Member States can continue to have various degrees of protection (or lack of protection)</w:t>
      </w:r>
      <w:r w:rsidR="003F0EBD">
        <w:t xml:space="preserve"> against disability-based discrimination</w:t>
      </w:r>
      <w:r w:rsidRPr="0083796A">
        <w:t xml:space="preserve"> in various areas of life.</w:t>
      </w:r>
      <w:r>
        <w:t xml:space="preserve"> </w:t>
      </w:r>
    </w:p>
    <w:p w14:paraId="4BEC03C3" w14:textId="3B0935DE" w:rsidR="003B5EC2" w:rsidRPr="00CB2011" w:rsidRDefault="00754F5C" w:rsidP="003B5EC2">
      <w:pPr>
        <w:pStyle w:val="Heading3"/>
      </w:pPr>
      <w:r>
        <w:t>Equality p</w:t>
      </w:r>
      <w:r w:rsidR="003B5EC2">
        <w:t>olicy</w:t>
      </w:r>
    </w:p>
    <w:p w14:paraId="4FC0CDEE" w14:textId="66523AB1" w:rsidR="00044BF2" w:rsidRDefault="00044BF2" w:rsidP="00295AA8">
      <w:pPr>
        <w:spacing w:afterLines="120" w:after="288"/>
      </w:pPr>
      <w:r w:rsidRPr="00D404B4">
        <w:t>In 2020</w:t>
      </w:r>
      <w:r w:rsidR="00B5242D" w:rsidRPr="00D404B4">
        <w:t xml:space="preserve"> and 2021</w:t>
      </w:r>
      <w:r w:rsidRPr="00D404B4">
        <w:t>, the European Commission adopted a series of policy initiatives and strategies that could contribute to a better inclusion of disadvantaged groups</w:t>
      </w:r>
      <w:r w:rsidR="004F3F8D" w:rsidRPr="00D404B4">
        <w:t>, namely</w:t>
      </w:r>
      <w:r w:rsidRPr="00D404B4">
        <w:t xml:space="preserve"> the </w:t>
      </w:r>
      <w:hyperlink r:id="rId19" w:history="1">
        <w:r w:rsidRPr="00D404B4">
          <w:rPr>
            <w:rStyle w:val="Hyperlink"/>
          </w:rPr>
          <w:t>Gender Equality Strategy 2020-2025</w:t>
        </w:r>
      </w:hyperlink>
      <w:r w:rsidRPr="00D404B4">
        <w:t xml:space="preserve">, the </w:t>
      </w:r>
      <w:hyperlink r:id="rId20" w:history="1">
        <w:r w:rsidRPr="00D404B4">
          <w:rPr>
            <w:rStyle w:val="Hyperlink"/>
          </w:rPr>
          <w:t>LGBTIQ Equality Strategy 2020-2025</w:t>
        </w:r>
      </w:hyperlink>
      <w:r w:rsidRPr="00D404B4">
        <w:t xml:space="preserve">, the </w:t>
      </w:r>
      <w:hyperlink r:id="rId21" w:history="1">
        <w:r w:rsidRPr="00D404B4">
          <w:rPr>
            <w:rStyle w:val="Hyperlink"/>
          </w:rPr>
          <w:t>EU anti-racism action plan 2020-2025</w:t>
        </w:r>
      </w:hyperlink>
      <w:r w:rsidRPr="00D404B4">
        <w:t xml:space="preserve">, the </w:t>
      </w:r>
      <w:hyperlink r:id="rId22" w:history="1">
        <w:r w:rsidRPr="00D404B4">
          <w:rPr>
            <w:rStyle w:val="Hyperlink"/>
          </w:rPr>
          <w:t xml:space="preserve">Roma strategic framework for equality, inclusion and </w:t>
        </w:r>
        <w:r w:rsidRPr="00D404B4">
          <w:rPr>
            <w:rStyle w:val="Hyperlink"/>
          </w:rPr>
          <w:lastRenderedPageBreak/>
          <w:t>participation 2020-2030</w:t>
        </w:r>
      </w:hyperlink>
      <w:r w:rsidRPr="00D404B4">
        <w:t xml:space="preserve">, the </w:t>
      </w:r>
      <w:hyperlink r:id="rId23" w:history="1">
        <w:r w:rsidRPr="00D404B4">
          <w:rPr>
            <w:rStyle w:val="Hyperlink"/>
          </w:rPr>
          <w:t>Action plan on the integration and inclusion 2021-2027</w:t>
        </w:r>
      </w:hyperlink>
      <w:r w:rsidRPr="00D404B4">
        <w:t xml:space="preserve">, and the </w:t>
      </w:r>
      <w:hyperlink r:id="rId24" w:history="1">
        <w:r w:rsidRPr="00D404B4">
          <w:rPr>
            <w:rStyle w:val="Hyperlink"/>
          </w:rPr>
          <w:t>Green paper on Ageing</w:t>
        </w:r>
      </w:hyperlink>
      <w:r w:rsidRPr="00D404B4">
        <w:t>.</w:t>
      </w:r>
      <w:r w:rsidR="001F100D">
        <w:rPr>
          <w:rStyle w:val="FootnoteReference"/>
        </w:rPr>
        <w:footnoteReference w:id="11"/>
      </w:r>
      <w:r w:rsidR="00ED2812" w:rsidRPr="00D404B4">
        <w:t xml:space="preserve"> A </w:t>
      </w:r>
      <w:hyperlink r:id="rId25" w:history="1">
        <w:r w:rsidR="00ED2812" w:rsidRPr="00D404B4">
          <w:rPr>
            <w:rStyle w:val="Hyperlink"/>
          </w:rPr>
          <w:t>EU Youth Strategy for 2019-2027</w:t>
        </w:r>
      </w:hyperlink>
      <w:r w:rsidR="00ED2812" w:rsidRPr="00D404B4">
        <w:t xml:space="preserve"> with 11 European Youth Goals was adopted in 2018.</w:t>
      </w:r>
      <w:r w:rsidRPr="00D404B4">
        <w:t xml:space="preserve"> Disability-based discrimination and persons with disabilities are mentioned in</w:t>
      </w:r>
      <w:r w:rsidR="00ED2812" w:rsidRPr="00D404B4">
        <w:t xml:space="preserve"> most of</w:t>
      </w:r>
      <w:r w:rsidRPr="00D404B4">
        <w:t xml:space="preserve"> the</w:t>
      </w:r>
      <w:r w:rsidR="00B5242D" w:rsidRPr="00D404B4">
        <w:t>se</w:t>
      </w:r>
      <w:r w:rsidRPr="00D404B4">
        <w:t xml:space="preserve"> initiatives</w:t>
      </w:r>
      <w:r w:rsidR="00B92E05">
        <w:t>,</w:t>
      </w:r>
      <w:r w:rsidR="00ED2812" w:rsidRPr="00D404B4">
        <w:rPr>
          <w:rStyle w:val="FootnoteReference"/>
        </w:rPr>
        <w:footnoteReference w:id="12"/>
      </w:r>
      <w:r w:rsidR="00B92E05">
        <w:t xml:space="preserve"> but we have seen very limited intersectional actions developed in the implementation of the strategies.</w:t>
      </w:r>
      <w:r w:rsidR="00F36106">
        <w:rPr>
          <w:rStyle w:val="FootnoteReference"/>
        </w:rPr>
        <w:footnoteReference w:id="13"/>
      </w:r>
      <w:r w:rsidR="00B92E05">
        <w:t xml:space="preserve"> It is not clear whether </w:t>
      </w:r>
      <w:r w:rsidR="003A001D">
        <w:t>all the strategies ending in 2025 will be renewed by the new Commission</w:t>
      </w:r>
      <w:r w:rsidR="00E775EC">
        <w:t xml:space="preserve">, and if so, how inclusive they will be of persons with disabilities. </w:t>
      </w:r>
    </w:p>
    <w:p w14:paraId="54516708" w14:textId="4D7F7457" w:rsidR="003453CB" w:rsidRPr="00D404B4" w:rsidRDefault="003453CB" w:rsidP="003453CB">
      <w:pPr>
        <w:pStyle w:val="Heading3"/>
      </w:pPr>
      <w:bookmarkStart w:id="9" w:name="_Hlk178342436"/>
      <w:r>
        <w:t xml:space="preserve">Risks </w:t>
      </w:r>
      <w:r w:rsidR="008E1CD8">
        <w:t xml:space="preserve">created by </w:t>
      </w:r>
      <w:r>
        <w:t xml:space="preserve">artificial intelligence </w:t>
      </w:r>
    </w:p>
    <w:p w14:paraId="141E951B" w14:textId="77777777" w:rsidR="007D1254" w:rsidRDefault="00CD676C" w:rsidP="00CD676C">
      <w:r w:rsidRPr="00C97F25">
        <w:t>Another important concern relates to the increasing use and impact of Artificial Intelligence (AI) on disadvantaged</w:t>
      </w:r>
      <w:r>
        <w:t xml:space="preserve"> or maginalised</w:t>
      </w:r>
      <w:r w:rsidRPr="00C97F25">
        <w:t xml:space="preserve"> groups, including persons with disabilities. </w:t>
      </w:r>
      <w:hyperlink r:id="rId26" w:history="1">
        <w:r w:rsidRPr="00C97F25">
          <w:rPr>
            <w:rStyle w:val="Hyperlink"/>
          </w:rPr>
          <w:t>In the summer of 2024, the European Union adopted the AI Act to regulate artificial intelligence within its member states.</w:t>
        </w:r>
      </w:hyperlink>
      <w:r w:rsidRPr="00C97F25">
        <w:t xml:space="preserve"> </w:t>
      </w:r>
    </w:p>
    <w:p w14:paraId="7DBF110C" w14:textId="64075C6A" w:rsidR="00CD676C" w:rsidRDefault="00CD676C" w:rsidP="00CD676C">
      <w:r w:rsidRPr="005A5FCE">
        <w:t>Throughout the AI Act negotiations, civil society organisations, including EDF, have raised concerns about fundamental rights and increasing inequalities. Despite</w:t>
      </w:r>
      <w:r>
        <w:t xml:space="preserve"> some positive achievements</w:t>
      </w:r>
      <w:r w:rsidRPr="005A5FCE">
        <w:t xml:space="preserve">, such as mandatory accessibility for high-risk AI, the Act </w:t>
      </w:r>
      <w:r>
        <w:t>fails to set a global gold standard on regulation of AI</w:t>
      </w:r>
      <w:r w:rsidRPr="005A5FCE">
        <w:t>.</w:t>
      </w:r>
      <w:r>
        <w:rPr>
          <w:rStyle w:val="FootnoteReference"/>
        </w:rPr>
        <w:footnoteReference w:id="14"/>
      </w:r>
      <w:r w:rsidR="00FB00BA">
        <w:t xml:space="preserve"> There is the risk that people with disabilities may be discriminated against through the use of AI, but also excluded because of inaccessible or biased AI.</w:t>
      </w:r>
    </w:p>
    <w:p w14:paraId="2F892A30" w14:textId="35BEE1A2" w:rsidR="005241CA" w:rsidRPr="00D404B4" w:rsidRDefault="001F100D" w:rsidP="00295AA8">
      <w:pPr>
        <w:spacing w:afterLines="120" w:after="288"/>
      </w:pPr>
      <w:r>
        <w:rPr>
          <w:b/>
        </w:rPr>
        <w:t>We call for</w:t>
      </w:r>
      <w:r w:rsidR="00950A67" w:rsidRPr="00D404B4">
        <w:t xml:space="preserve">: </w:t>
      </w:r>
    </w:p>
    <w:p w14:paraId="64260B68" w14:textId="4215816E" w:rsidR="00225959" w:rsidRDefault="003C3870" w:rsidP="009D5657">
      <w:pPr>
        <w:pStyle w:val="ListParagraph"/>
        <w:numPr>
          <w:ilvl w:val="0"/>
          <w:numId w:val="5"/>
        </w:numPr>
        <w:spacing w:afterLines="120" w:after="288"/>
        <w:ind w:left="714" w:hanging="357"/>
      </w:pPr>
      <w:r>
        <w:t>EU</w:t>
      </w:r>
      <w:r w:rsidR="00BF4F90">
        <w:t xml:space="preserve">-wide </w:t>
      </w:r>
      <w:r w:rsidR="00155D48">
        <w:t xml:space="preserve">prohibition of discrimination based on disability, age and sexual orientation, in all areas of life, including the recognition of </w:t>
      </w:r>
      <w:r w:rsidR="00155D48" w:rsidRPr="00D404B4">
        <w:t>the denial of reasonable accommodation as a form of discrimination</w:t>
      </w:r>
      <w:r w:rsidR="00155D48">
        <w:t xml:space="preserve">, and </w:t>
      </w:r>
      <w:r w:rsidR="00155D48" w:rsidRPr="00D404B4">
        <w:t>multiple and intersectional forms of discrimination and discrimination by association</w:t>
      </w:r>
      <w:r>
        <w:t>.</w:t>
      </w:r>
    </w:p>
    <w:p w14:paraId="2736D588" w14:textId="3474EE95" w:rsidR="00155D48" w:rsidRDefault="00155D48" w:rsidP="009D5657">
      <w:pPr>
        <w:pStyle w:val="ListParagraph"/>
        <w:numPr>
          <w:ilvl w:val="0"/>
          <w:numId w:val="5"/>
        </w:numPr>
        <w:spacing w:afterLines="120" w:after="288"/>
        <w:ind w:left="714" w:hanging="357"/>
      </w:pPr>
      <w:r>
        <w:t>The adoption of equality strategies post-2025, addressing intersectionality and intersectional discrimination with concrete actions that will protect the rights of persons with disabilities</w:t>
      </w:r>
      <w:r w:rsidR="009D5657">
        <w:t xml:space="preserve"> in all their diversity</w:t>
      </w:r>
      <w:r w:rsidR="003C3870">
        <w:t xml:space="preserve">. </w:t>
      </w:r>
    </w:p>
    <w:p w14:paraId="6C5845A6" w14:textId="2E8F14E7" w:rsidR="00D76832" w:rsidRPr="00C20C7F" w:rsidRDefault="00BE5250" w:rsidP="009D5657">
      <w:pPr>
        <w:pStyle w:val="ListParagraph"/>
        <w:numPr>
          <w:ilvl w:val="0"/>
          <w:numId w:val="5"/>
        </w:numPr>
        <w:spacing w:afterLines="120" w:after="288"/>
        <w:ind w:left="714" w:hanging="357"/>
      </w:pPr>
      <w:r>
        <w:t>Specific attention</w:t>
      </w:r>
      <w:r w:rsidR="00BF4F90">
        <w:t xml:space="preserve"> and targeted actions addressing t</w:t>
      </w:r>
      <w:r>
        <w:t>he</w:t>
      </w:r>
      <w:r w:rsidR="00D76832" w:rsidRPr="00D404B4">
        <w:t xml:space="preserve"> potential discriminatory impact of </w:t>
      </w:r>
      <w:r w:rsidR="00D76832" w:rsidRPr="00C20C7F">
        <w:t>artificial intelligence on persons with disabilities</w:t>
      </w:r>
      <w:r w:rsidRPr="00C20C7F">
        <w:t>, including through research and study on the topic</w:t>
      </w:r>
      <w:r w:rsidR="009D5657" w:rsidRPr="00C20C7F">
        <w:t xml:space="preserve">. </w:t>
      </w:r>
    </w:p>
    <w:p w14:paraId="41726996" w14:textId="26AF9BF7" w:rsidR="003C6997" w:rsidRPr="00C20C7F" w:rsidRDefault="008F3387" w:rsidP="00295AA8">
      <w:pPr>
        <w:pStyle w:val="Heading2"/>
        <w:spacing w:before="0" w:afterLines="120" w:after="288" w:line="276" w:lineRule="auto"/>
        <w:rPr>
          <w:lang w:val="en-GB"/>
        </w:rPr>
      </w:pPr>
      <w:bookmarkStart w:id="10" w:name="See_article_6"/>
      <w:bookmarkStart w:id="11" w:name="_Toc179386637"/>
      <w:bookmarkEnd w:id="9"/>
      <w:r w:rsidRPr="00C20C7F">
        <w:rPr>
          <w:lang w:val="en-GB"/>
        </w:rPr>
        <w:t>Article 6</w:t>
      </w:r>
      <w:bookmarkEnd w:id="10"/>
      <w:r w:rsidRPr="00C20C7F">
        <w:rPr>
          <w:lang w:val="en-GB"/>
        </w:rPr>
        <w:t xml:space="preserve">: </w:t>
      </w:r>
      <w:r w:rsidR="003C6997" w:rsidRPr="00C20C7F">
        <w:rPr>
          <w:lang w:val="en-GB"/>
        </w:rPr>
        <w:t>Women with disabilities</w:t>
      </w:r>
      <w:bookmarkEnd w:id="11"/>
    </w:p>
    <w:p w14:paraId="0D0887F7" w14:textId="64FBE6FA" w:rsidR="00284A9A" w:rsidRPr="00D404B4" w:rsidRDefault="00284A9A" w:rsidP="00295AA8">
      <w:pPr>
        <w:spacing w:afterLines="120" w:after="288"/>
        <w:rPr>
          <w:bCs/>
        </w:rPr>
      </w:pPr>
      <w:r w:rsidRPr="00C20C7F">
        <w:rPr>
          <w:bCs/>
        </w:rPr>
        <w:t>Women with disabilities</w:t>
      </w:r>
      <w:r w:rsidRPr="00D404B4">
        <w:rPr>
          <w:bCs/>
        </w:rPr>
        <w:t xml:space="preserve"> constitute </w:t>
      </w:r>
      <w:r w:rsidR="004E6A3C">
        <w:rPr>
          <w:bCs/>
        </w:rPr>
        <w:t>25,9</w:t>
      </w:r>
      <w:r w:rsidRPr="00D404B4">
        <w:rPr>
          <w:bCs/>
        </w:rPr>
        <w:t xml:space="preserve">% of the total population of women in the </w:t>
      </w:r>
      <w:r w:rsidR="00A66372" w:rsidRPr="00D404B4">
        <w:rPr>
          <w:bCs/>
        </w:rPr>
        <w:t>EU</w:t>
      </w:r>
      <w:r w:rsidRPr="00D404B4">
        <w:rPr>
          <w:bCs/>
        </w:rPr>
        <w:t xml:space="preserve"> and 60% of the overall population of 100 million persons with disabilities.</w:t>
      </w:r>
      <w:r w:rsidR="008279B9" w:rsidRPr="00D404B4">
        <w:rPr>
          <w:rStyle w:val="FootnoteReference"/>
          <w:bCs/>
        </w:rPr>
        <w:footnoteReference w:id="15"/>
      </w:r>
      <w:r w:rsidRPr="00D404B4">
        <w:rPr>
          <w:bCs/>
        </w:rPr>
        <w:t xml:space="preserve"> </w:t>
      </w:r>
      <w:r w:rsidR="00DD10EE">
        <w:rPr>
          <w:bCs/>
        </w:rPr>
        <w:t xml:space="preserve">They continue to face high </w:t>
      </w:r>
      <w:r w:rsidR="00DD10EE">
        <w:rPr>
          <w:bCs/>
        </w:rPr>
        <w:lastRenderedPageBreak/>
        <w:t>level of discrimination</w:t>
      </w:r>
      <w:r w:rsidR="00D627EF">
        <w:rPr>
          <w:bCs/>
        </w:rPr>
        <w:t xml:space="preserve"> and barriers,</w:t>
      </w:r>
      <w:r w:rsidR="00DD10EE">
        <w:rPr>
          <w:bCs/>
        </w:rPr>
        <w:t xml:space="preserve"> comparing to both women without disabilities, and men with disabilities.</w:t>
      </w:r>
      <w:r w:rsidR="00DD10EE">
        <w:rPr>
          <w:rStyle w:val="FootnoteReference"/>
          <w:bCs/>
        </w:rPr>
        <w:footnoteReference w:id="16"/>
      </w:r>
    </w:p>
    <w:p w14:paraId="6C98B295" w14:textId="7D8246BD" w:rsidR="00DA0ECF" w:rsidRPr="00D404B4" w:rsidRDefault="003D2EF4" w:rsidP="00295AA8">
      <w:pPr>
        <w:spacing w:afterLines="120" w:after="288"/>
        <w:rPr>
          <w:bCs/>
        </w:rPr>
      </w:pPr>
      <w:r w:rsidRPr="00D404B4">
        <w:rPr>
          <w:bCs/>
        </w:rPr>
        <w:t xml:space="preserve">In 2020, the new European Commission adopted a </w:t>
      </w:r>
      <w:hyperlink r:id="rId27" w:history="1">
        <w:r w:rsidRPr="00D404B4">
          <w:rPr>
            <w:rStyle w:val="Hyperlink"/>
            <w:bCs/>
          </w:rPr>
          <w:t>Gender Equality Strategy</w:t>
        </w:r>
        <w:r w:rsidR="008A0A09" w:rsidRPr="00D404B4">
          <w:rPr>
            <w:rStyle w:val="Hyperlink"/>
            <w:bCs/>
          </w:rPr>
          <w:t xml:space="preserve"> for</w:t>
        </w:r>
        <w:r w:rsidRPr="00D404B4">
          <w:rPr>
            <w:rStyle w:val="Hyperlink"/>
            <w:bCs/>
          </w:rPr>
          <w:t xml:space="preserve"> 2020-2025</w:t>
        </w:r>
      </w:hyperlink>
      <w:r w:rsidRPr="00D404B4">
        <w:rPr>
          <w:bCs/>
        </w:rPr>
        <w:t xml:space="preserve"> which </w:t>
      </w:r>
      <w:r w:rsidR="0020377A" w:rsidRPr="00D404B4">
        <w:rPr>
          <w:bCs/>
        </w:rPr>
        <w:t>encompasses</w:t>
      </w:r>
      <w:r w:rsidRPr="00D404B4">
        <w:rPr>
          <w:bCs/>
        </w:rPr>
        <w:t xml:space="preserve"> some of </w:t>
      </w:r>
      <w:r w:rsidR="008A0A09" w:rsidRPr="00D404B4">
        <w:rPr>
          <w:bCs/>
        </w:rPr>
        <w:t>the</w:t>
      </w:r>
      <w:r w:rsidRPr="00D404B4">
        <w:rPr>
          <w:bCs/>
        </w:rPr>
        <w:t xml:space="preserve"> concerns </w:t>
      </w:r>
      <w:r w:rsidR="008A0A09" w:rsidRPr="00D404B4">
        <w:rPr>
          <w:bCs/>
        </w:rPr>
        <w:t xml:space="preserve">of women with disabilities </w:t>
      </w:r>
      <w:r w:rsidRPr="00D404B4">
        <w:rPr>
          <w:bCs/>
        </w:rPr>
        <w:t xml:space="preserve">such as violence and harmful practices (e.g. forced sterilisation). </w:t>
      </w:r>
      <w:r w:rsidRPr="00EB2F16">
        <w:rPr>
          <w:bCs/>
        </w:rPr>
        <w:t xml:space="preserve">However, </w:t>
      </w:r>
      <w:r w:rsidR="00D627EF" w:rsidRPr="00EB2F16">
        <w:rPr>
          <w:bCs/>
        </w:rPr>
        <w:t>they remained</w:t>
      </w:r>
      <w:r w:rsidR="00545672" w:rsidRPr="00EB2F16">
        <w:rPr>
          <w:bCs/>
        </w:rPr>
        <w:t xml:space="preserve"> invisible in the parts of the strategy on work and employment, political </w:t>
      </w:r>
      <w:r w:rsidR="00057EEF" w:rsidRPr="00EB2F16">
        <w:rPr>
          <w:bCs/>
        </w:rPr>
        <w:t>participation,</w:t>
      </w:r>
      <w:r w:rsidR="00545672" w:rsidRPr="00EB2F16">
        <w:rPr>
          <w:bCs/>
        </w:rPr>
        <w:t xml:space="preserve"> and leadership.</w:t>
      </w:r>
      <w:r w:rsidR="00D627EF" w:rsidRPr="00EB2F16">
        <w:rPr>
          <w:bCs/>
        </w:rPr>
        <w:t xml:space="preserve"> </w:t>
      </w:r>
      <w:r w:rsidR="00DA5919" w:rsidRPr="00D404B4">
        <w:rPr>
          <w:bCs/>
        </w:rPr>
        <w:t>The 2021</w:t>
      </w:r>
      <w:r w:rsidR="00280CD6" w:rsidRPr="00D404B4">
        <w:rPr>
          <w:bCs/>
        </w:rPr>
        <w:t xml:space="preserve">-2030 </w:t>
      </w:r>
      <w:r w:rsidR="001962A0" w:rsidRPr="00D404B4">
        <w:rPr>
          <w:bCs/>
        </w:rPr>
        <w:t>S</w:t>
      </w:r>
      <w:r w:rsidR="00DA5919" w:rsidRPr="00D404B4">
        <w:rPr>
          <w:bCs/>
        </w:rPr>
        <w:t>trategy</w:t>
      </w:r>
      <w:r w:rsidR="00D627EF">
        <w:rPr>
          <w:bCs/>
        </w:rPr>
        <w:t xml:space="preserve"> on the rights of persons with disabilities</w:t>
      </w:r>
      <w:r w:rsidR="00DA5919" w:rsidRPr="00D404B4">
        <w:rPr>
          <w:bCs/>
        </w:rPr>
        <w:t xml:space="preserve"> mainstreams the</w:t>
      </w:r>
      <w:r w:rsidR="00280CD6" w:rsidRPr="00D404B4">
        <w:rPr>
          <w:bCs/>
        </w:rPr>
        <w:t xml:space="preserve"> gender</w:t>
      </w:r>
      <w:r w:rsidR="00DA5919" w:rsidRPr="00D404B4">
        <w:rPr>
          <w:bCs/>
        </w:rPr>
        <w:t xml:space="preserve"> </w:t>
      </w:r>
      <w:r w:rsidR="00A9314C" w:rsidRPr="00D404B4">
        <w:rPr>
          <w:bCs/>
        </w:rPr>
        <w:t>perspective</w:t>
      </w:r>
      <w:r w:rsidR="00DA5919" w:rsidRPr="00D404B4">
        <w:rPr>
          <w:bCs/>
        </w:rPr>
        <w:t xml:space="preserve"> in its different </w:t>
      </w:r>
      <w:r w:rsidR="00A9314C" w:rsidRPr="00100C96">
        <w:rPr>
          <w:bCs/>
        </w:rPr>
        <w:t>sections</w:t>
      </w:r>
      <w:r w:rsidR="00495FCA" w:rsidRPr="00100C96">
        <w:rPr>
          <w:bCs/>
        </w:rPr>
        <w:t>,</w:t>
      </w:r>
      <w:r w:rsidR="00DA5919" w:rsidRPr="00100C96">
        <w:rPr>
          <w:bCs/>
        </w:rPr>
        <w:t xml:space="preserve"> but </w:t>
      </w:r>
      <w:r w:rsidR="00DA5919" w:rsidRPr="00D404B4">
        <w:rPr>
          <w:bCs/>
        </w:rPr>
        <w:t>lacks</w:t>
      </w:r>
      <w:r w:rsidR="00DA5919" w:rsidRPr="00D404B4">
        <w:rPr>
          <w:rFonts w:cs="Arial"/>
        </w:rPr>
        <w:t xml:space="preserve"> specific actions </w:t>
      </w:r>
      <w:r w:rsidR="00A9314C" w:rsidRPr="00D404B4">
        <w:rPr>
          <w:rFonts w:cs="Arial"/>
        </w:rPr>
        <w:t>and measures on issues such as employment and political participation</w:t>
      </w:r>
      <w:r w:rsidR="00DA5919" w:rsidRPr="00D404B4">
        <w:rPr>
          <w:rFonts w:cs="Arial"/>
        </w:rPr>
        <w:t>.</w:t>
      </w:r>
      <w:r w:rsidR="00D627EF">
        <w:rPr>
          <w:rFonts w:cs="Arial"/>
        </w:rPr>
        <w:t xml:space="preserve"> This shows that women with disabilities are mostly seen and addressed as object of care and/or victims, instead of as active actor of society. </w:t>
      </w:r>
    </w:p>
    <w:p w14:paraId="05F87796" w14:textId="24E902FD" w:rsidR="0057758E" w:rsidRPr="00D404B4" w:rsidRDefault="0057758E" w:rsidP="00295AA8">
      <w:pPr>
        <w:spacing w:before="240" w:afterLines="120" w:after="288"/>
      </w:pPr>
      <w:bookmarkStart w:id="12" w:name="_Hlk80173737"/>
      <w:r w:rsidRPr="00D404B4">
        <w:t xml:space="preserve">The sexual and reproductive rights of girls and women with disabilities are not sufficiently taken into account in EU Member States: they are most often treated for their disability, but have </w:t>
      </w:r>
      <w:r w:rsidRPr="00CB2011">
        <w:t xml:space="preserve">difficulties in accessing care and information, </w:t>
      </w:r>
      <w:r w:rsidR="00320B88" w:rsidRPr="00CB2011">
        <w:t xml:space="preserve">especially </w:t>
      </w:r>
      <w:r w:rsidRPr="00CB2011">
        <w:t>on contraception, abortion, sexual education, which leads to a lack of prevention, in particular gynaecological smears</w:t>
      </w:r>
      <w:r w:rsidR="00220080" w:rsidRPr="00CB2011">
        <w:t xml:space="preserve"> and</w:t>
      </w:r>
      <w:r w:rsidRPr="00CB2011">
        <w:t xml:space="preserve"> mammography. Women in institutions are poorly included in prevention policies. They are sometimes subjected to forced and non-personalised contraception. </w:t>
      </w:r>
      <w:r w:rsidR="00227E5D">
        <w:t>T</w:t>
      </w:r>
      <w:r w:rsidRPr="00CB2011">
        <w:t xml:space="preserve">hey are often dissuaded from becoming mothers. The European Commission has not taken specific actions to ensure the sexual </w:t>
      </w:r>
      <w:r w:rsidRPr="00D404B4">
        <w:t xml:space="preserve">and reproductive health and rights of women and girls with disabilities, including in its gender and health policies. </w:t>
      </w:r>
      <w:hyperlink w:anchor="_Article_25:_Health" w:history="1">
        <w:r w:rsidR="008D5705" w:rsidRPr="0055398A">
          <w:rPr>
            <w:rStyle w:val="Hyperlink"/>
          </w:rPr>
          <w:t>See article 25.</w:t>
        </w:r>
        <w:r w:rsidR="008D5705" w:rsidRPr="008D5705">
          <w:rPr>
            <w:rStyle w:val="Hyperlink"/>
            <w:b/>
            <w:bCs/>
          </w:rPr>
          <w:t xml:space="preserve"> </w:t>
        </w:r>
      </w:hyperlink>
      <w:r w:rsidRPr="00D404B4">
        <w:t xml:space="preserve"> </w:t>
      </w:r>
    </w:p>
    <w:p w14:paraId="47FF41C4" w14:textId="0F41D9C4" w:rsidR="002544E0" w:rsidRDefault="00C26BA0" w:rsidP="00295AA8">
      <w:pPr>
        <w:spacing w:afterLines="120" w:after="288"/>
        <w:rPr>
          <w:rFonts w:eastAsia="Times New Roman" w:cs="Arial"/>
        </w:rPr>
      </w:pPr>
      <w:bookmarkStart w:id="13" w:name="_Hlk80174458"/>
      <w:bookmarkStart w:id="14" w:name="_Hlk80954429"/>
      <w:r w:rsidRPr="00D404B4">
        <w:t xml:space="preserve">The </w:t>
      </w:r>
      <w:hyperlink r:id="rId28" w:history="1">
        <w:r w:rsidRPr="00D404B4">
          <w:rPr>
            <w:rStyle w:val="Hyperlink"/>
          </w:rPr>
          <w:t>Gender Equality Action Plan</w:t>
        </w:r>
      </w:hyperlink>
      <w:r w:rsidRPr="00D404B4">
        <w:t xml:space="preserve"> </w:t>
      </w:r>
      <w:r w:rsidR="00C37C80" w:rsidRPr="00D404B4">
        <w:rPr>
          <w:rFonts w:eastAsia="Times New Roman" w:cs="Arial"/>
        </w:rPr>
        <w:t>(GAP III)</w:t>
      </w:r>
      <w:r w:rsidR="00C37C80">
        <w:rPr>
          <w:rFonts w:eastAsia="Times New Roman" w:cs="Arial"/>
        </w:rPr>
        <w:t xml:space="preserve"> </w:t>
      </w:r>
      <w:r w:rsidR="00C37C80">
        <w:t>aim</w:t>
      </w:r>
      <w:r w:rsidR="00C94815">
        <w:t xml:space="preserve">s </w:t>
      </w:r>
      <w:r w:rsidR="00C37C80">
        <w:t xml:space="preserve">to </w:t>
      </w:r>
      <w:r w:rsidRPr="00D404B4">
        <w:rPr>
          <w:rFonts w:eastAsia="Times New Roman" w:cs="Arial"/>
        </w:rPr>
        <w:t xml:space="preserve">promote gender equality and women's empowerment </w:t>
      </w:r>
      <w:r w:rsidR="00C94815">
        <w:rPr>
          <w:rFonts w:eastAsia="Times New Roman" w:cs="Arial"/>
        </w:rPr>
        <w:t>across</w:t>
      </w:r>
      <w:r w:rsidRPr="00D404B4">
        <w:rPr>
          <w:rFonts w:eastAsia="Times New Roman" w:cs="Arial"/>
        </w:rPr>
        <w:t xml:space="preserve"> all</w:t>
      </w:r>
      <w:r w:rsidR="00C94815">
        <w:rPr>
          <w:rFonts w:eastAsia="Times New Roman" w:cs="Arial"/>
        </w:rPr>
        <w:t xml:space="preserve"> of the</w:t>
      </w:r>
      <w:r w:rsidRPr="00D404B4">
        <w:rPr>
          <w:rFonts w:eastAsia="Times New Roman" w:cs="Arial"/>
        </w:rPr>
        <w:t xml:space="preserve"> EU</w:t>
      </w:r>
      <w:r w:rsidR="006C14AF" w:rsidRPr="00D404B4">
        <w:rPr>
          <w:rFonts w:eastAsia="Times New Roman" w:cs="Arial"/>
        </w:rPr>
        <w:t>’</w:t>
      </w:r>
      <w:r w:rsidRPr="00D404B4">
        <w:rPr>
          <w:rFonts w:eastAsia="Times New Roman" w:cs="Arial"/>
        </w:rPr>
        <w:t>s external action</w:t>
      </w:r>
      <w:r w:rsidR="00C94815">
        <w:rPr>
          <w:rFonts w:eastAsia="Times New Roman" w:cs="Arial"/>
        </w:rPr>
        <w:t>s</w:t>
      </w:r>
      <w:r w:rsidRPr="00D404B4">
        <w:rPr>
          <w:rFonts w:eastAsia="Times New Roman" w:cs="Arial"/>
        </w:rPr>
        <w:t xml:space="preserve"> from 2021-2025</w:t>
      </w:r>
      <w:r w:rsidR="00C94815">
        <w:rPr>
          <w:rFonts w:eastAsia="Times New Roman" w:cs="Arial"/>
        </w:rPr>
        <w:t>. It</w:t>
      </w:r>
      <w:r w:rsidR="00882F00">
        <w:rPr>
          <w:rFonts w:eastAsia="Times New Roman" w:cs="Arial"/>
        </w:rPr>
        <w:t xml:space="preserve"> </w:t>
      </w:r>
      <w:r w:rsidRPr="00D404B4">
        <w:rPr>
          <w:rFonts w:eastAsia="Times New Roman" w:cs="Arial"/>
        </w:rPr>
        <w:t>include</w:t>
      </w:r>
      <w:r w:rsidR="00C37C80">
        <w:rPr>
          <w:rFonts w:eastAsia="Times New Roman" w:cs="Arial"/>
        </w:rPr>
        <w:t>s</w:t>
      </w:r>
      <w:r w:rsidRPr="00D404B4">
        <w:rPr>
          <w:rFonts w:eastAsia="Times New Roman" w:cs="Arial"/>
        </w:rPr>
        <w:t xml:space="preserve"> the perspectives of women and girls with disabilities</w:t>
      </w:r>
      <w:r w:rsidR="00024A52" w:rsidRPr="00D404B4">
        <w:rPr>
          <w:rFonts w:eastAsia="Times New Roman" w:cs="Arial"/>
        </w:rPr>
        <w:t xml:space="preserve"> and </w:t>
      </w:r>
      <w:r w:rsidR="00C94815">
        <w:rPr>
          <w:rFonts w:eastAsia="Times New Roman" w:cs="Arial"/>
        </w:rPr>
        <w:t xml:space="preserve">emphasises </w:t>
      </w:r>
      <w:r w:rsidR="00024A52" w:rsidRPr="00D404B4">
        <w:rPr>
          <w:rFonts w:eastAsia="Times New Roman" w:cs="Arial"/>
        </w:rPr>
        <w:t>intersectionality as a core principle</w:t>
      </w:r>
      <w:r w:rsidRPr="00D404B4">
        <w:rPr>
          <w:rFonts w:eastAsia="Times New Roman" w:cs="Arial"/>
        </w:rPr>
        <w:t>.</w:t>
      </w:r>
      <w:r w:rsidR="00C94815">
        <w:rPr>
          <w:rFonts w:eastAsia="Times New Roman" w:cs="Arial"/>
        </w:rPr>
        <w:t xml:space="preserve"> However, the implementation plans for </w:t>
      </w:r>
      <w:r w:rsidR="00024A52" w:rsidRPr="00D404B4">
        <w:rPr>
          <w:rFonts w:eastAsia="Times New Roman" w:cs="Arial"/>
        </w:rPr>
        <w:t xml:space="preserve">GAP III </w:t>
      </w:r>
      <w:r w:rsidR="00C94815">
        <w:rPr>
          <w:rFonts w:eastAsia="Times New Roman" w:cs="Arial"/>
        </w:rPr>
        <w:t xml:space="preserve">at the </w:t>
      </w:r>
      <w:r w:rsidR="00024A52" w:rsidRPr="00D404B4">
        <w:rPr>
          <w:rFonts w:eastAsia="Times New Roman" w:cs="Arial"/>
        </w:rPr>
        <w:t xml:space="preserve">country level </w:t>
      </w:r>
      <w:r w:rsidR="00882F00">
        <w:rPr>
          <w:rFonts w:eastAsia="Times New Roman" w:cs="Arial"/>
        </w:rPr>
        <w:t xml:space="preserve">do </w:t>
      </w:r>
      <w:r w:rsidR="00024A52" w:rsidRPr="00D404B4">
        <w:rPr>
          <w:rFonts w:eastAsia="Times New Roman" w:cs="Arial"/>
        </w:rPr>
        <w:t xml:space="preserve">not </w:t>
      </w:r>
      <w:r w:rsidR="00733EE3" w:rsidRPr="00D404B4">
        <w:rPr>
          <w:rFonts w:eastAsia="Times New Roman" w:cs="Arial"/>
        </w:rPr>
        <w:t>systematically</w:t>
      </w:r>
      <w:r w:rsidR="00C94815">
        <w:rPr>
          <w:rFonts w:eastAsia="Times New Roman" w:cs="Arial"/>
        </w:rPr>
        <w:t xml:space="preserve"> </w:t>
      </w:r>
      <w:r w:rsidR="00EB2F16">
        <w:rPr>
          <w:rFonts w:eastAsia="Times New Roman" w:cs="Arial"/>
        </w:rPr>
        <w:t>adopt</w:t>
      </w:r>
      <w:r w:rsidR="00024A52" w:rsidRPr="00D404B4">
        <w:rPr>
          <w:rFonts w:eastAsia="Times New Roman" w:cs="Arial"/>
        </w:rPr>
        <w:t xml:space="preserve"> </w:t>
      </w:r>
      <w:r w:rsidR="00072308" w:rsidRPr="00D404B4">
        <w:rPr>
          <w:rFonts w:eastAsia="Times New Roman" w:cs="Arial"/>
        </w:rPr>
        <w:t xml:space="preserve">an intersectional </w:t>
      </w:r>
      <w:r w:rsidR="00BB135A" w:rsidRPr="00D404B4">
        <w:rPr>
          <w:rFonts w:eastAsia="Times New Roman" w:cs="Arial"/>
        </w:rPr>
        <w:t>approach. Country</w:t>
      </w:r>
      <w:r w:rsidR="00C94815">
        <w:rPr>
          <w:rFonts w:eastAsia="Times New Roman" w:cs="Arial"/>
        </w:rPr>
        <w:t>-</w:t>
      </w:r>
      <w:r w:rsidR="00BB135A" w:rsidRPr="00D404B4">
        <w:rPr>
          <w:rFonts w:eastAsia="Times New Roman" w:cs="Arial"/>
        </w:rPr>
        <w:t xml:space="preserve">level </w:t>
      </w:r>
      <w:r w:rsidR="00733EE3" w:rsidRPr="00D404B4">
        <w:rPr>
          <w:rFonts w:eastAsia="Times New Roman" w:cs="Arial"/>
        </w:rPr>
        <w:t>consultations</w:t>
      </w:r>
      <w:r w:rsidR="00BB135A" w:rsidRPr="00D404B4">
        <w:rPr>
          <w:rFonts w:eastAsia="Times New Roman" w:cs="Arial"/>
        </w:rPr>
        <w:t xml:space="preserve"> with civil society </w:t>
      </w:r>
      <w:r w:rsidR="00C94815">
        <w:rPr>
          <w:rFonts w:eastAsia="Times New Roman" w:cs="Arial"/>
        </w:rPr>
        <w:t>regarding</w:t>
      </w:r>
      <w:r w:rsidR="00BB135A" w:rsidRPr="00D404B4">
        <w:rPr>
          <w:rFonts w:eastAsia="Times New Roman" w:cs="Arial"/>
        </w:rPr>
        <w:t xml:space="preserve"> GAP III implementation </w:t>
      </w:r>
      <w:r w:rsidR="00C94815">
        <w:rPr>
          <w:rFonts w:eastAsia="Times New Roman" w:cs="Arial"/>
        </w:rPr>
        <w:t xml:space="preserve">frequently exclude </w:t>
      </w:r>
      <w:r w:rsidR="00BB135A" w:rsidRPr="00D404B4">
        <w:rPr>
          <w:rFonts w:eastAsia="Times New Roman" w:cs="Arial"/>
        </w:rPr>
        <w:t xml:space="preserve">the voices of women and girls with disabilities, including </w:t>
      </w:r>
      <w:r w:rsidR="00CE243F">
        <w:rPr>
          <w:rFonts w:eastAsia="Times New Roman" w:cs="Arial"/>
        </w:rPr>
        <w:t>by not</w:t>
      </w:r>
      <w:r w:rsidR="00BB135A" w:rsidRPr="00D404B4">
        <w:rPr>
          <w:rFonts w:eastAsia="Times New Roman" w:cs="Arial"/>
        </w:rPr>
        <w:t xml:space="preserve"> providing accessibility and reasonable </w:t>
      </w:r>
      <w:r w:rsidR="00955437" w:rsidRPr="00D404B4">
        <w:rPr>
          <w:rFonts w:eastAsia="Times New Roman" w:cs="Arial"/>
        </w:rPr>
        <w:t>accommodation</w:t>
      </w:r>
      <w:r w:rsidR="00CE243F">
        <w:rPr>
          <w:rFonts w:eastAsia="Times New Roman" w:cs="Arial"/>
        </w:rPr>
        <w:t>s</w:t>
      </w:r>
      <w:r w:rsidR="00CD35B5" w:rsidRPr="00D404B4">
        <w:rPr>
          <w:rFonts w:eastAsia="Times New Roman" w:cs="Arial"/>
        </w:rPr>
        <w:t>, and by</w:t>
      </w:r>
      <w:r w:rsidR="00CE243F">
        <w:rPr>
          <w:rFonts w:eastAsia="Times New Roman" w:cs="Arial"/>
        </w:rPr>
        <w:t xml:space="preserve"> failing to</w:t>
      </w:r>
      <w:r w:rsidR="00CD35B5" w:rsidRPr="00D404B4">
        <w:rPr>
          <w:rFonts w:eastAsia="Times New Roman" w:cs="Arial"/>
        </w:rPr>
        <w:t xml:space="preserve"> involv</w:t>
      </w:r>
      <w:r w:rsidR="00CE243F">
        <w:rPr>
          <w:rFonts w:eastAsia="Times New Roman" w:cs="Arial"/>
        </w:rPr>
        <w:t>e</w:t>
      </w:r>
      <w:r w:rsidR="00CD35B5" w:rsidRPr="00D404B4">
        <w:rPr>
          <w:rFonts w:eastAsia="Times New Roman" w:cs="Arial"/>
        </w:rPr>
        <w:t xml:space="preserve"> </w:t>
      </w:r>
      <w:r w:rsidR="00CE243F">
        <w:rPr>
          <w:rFonts w:eastAsia="Times New Roman" w:cs="Arial"/>
        </w:rPr>
        <w:t>OPDs</w:t>
      </w:r>
      <w:r w:rsidR="00024A52" w:rsidRPr="00D404B4">
        <w:rPr>
          <w:rFonts w:eastAsia="Times New Roman" w:cs="Arial"/>
        </w:rPr>
        <w:t xml:space="preserve">. </w:t>
      </w:r>
    </w:p>
    <w:bookmarkEnd w:id="12"/>
    <w:bookmarkEnd w:id="13"/>
    <w:bookmarkEnd w:id="14"/>
    <w:p w14:paraId="2482542A" w14:textId="0E241457" w:rsidR="0085106F" w:rsidRPr="00D404B4" w:rsidRDefault="00CD4874" w:rsidP="00295AA8">
      <w:pPr>
        <w:spacing w:afterLines="120" w:after="288"/>
      </w:pPr>
      <w:r>
        <w:rPr>
          <w:b/>
        </w:rPr>
        <w:t>We call for</w:t>
      </w:r>
      <w:r w:rsidR="001E3D2C" w:rsidRPr="00D404B4">
        <w:t xml:space="preserve">: </w:t>
      </w:r>
    </w:p>
    <w:p w14:paraId="04A304FF" w14:textId="3A99C4A2" w:rsidR="00CE243F" w:rsidRPr="00C20C7F" w:rsidRDefault="00CE243F" w:rsidP="00CE243F">
      <w:pPr>
        <w:pStyle w:val="ListParagraph"/>
        <w:numPr>
          <w:ilvl w:val="0"/>
          <w:numId w:val="6"/>
        </w:numPr>
        <w:spacing w:afterLines="120" w:after="288"/>
        <w:ind w:left="714" w:hanging="357"/>
      </w:pPr>
      <w:r>
        <w:t>The m</w:t>
      </w:r>
      <w:r w:rsidR="00311698">
        <w:t>ainstreaming of the perspective</w:t>
      </w:r>
      <w:r w:rsidR="007528B0">
        <w:t>s</w:t>
      </w:r>
      <w:r w:rsidR="00311698">
        <w:t>, rights and needs of women and girls with disabilities in the</w:t>
      </w:r>
      <w:r w:rsidR="007528B0">
        <w:t xml:space="preserve"> initiatives and</w:t>
      </w:r>
      <w:r w:rsidR="00311698">
        <w:t xml:space="preserve"> actions </w:t>
      </w:r>
      <w:r w:rsidR="007528B0">
        <w:t>under</w:t>
      </w:r>
      <w:r w:rsidR="00311698">
        <w:t xml:space="preserve"> the Disability Rights Strategy 2021-2030</w:t>
      </w:r>
      <w:r>
        <w:t xml:space="preserve">, as well as in </w:t>
      </w:r>
      <w:r w:rsidR="00311698">
        <w:t>future Gender Equality Strateg</w:t>
      </w:r>
      <w:r>
        <w:t>ies</w:t>
      </w:r>
      <w:r w:rsidR="00311698">
        <w:t xml:space="preserve"> and Gender Action Plans to be </w:t>
      </w:r>
      <w:r w:rsidR="00311698" w:rsidRPr="00C20C7F">
        <w:t>adopted by the Commission</w:t>
      </w:r>
      <w:r w:rsidRPr="00C20C7F">
        <w:t xml:space="preserve">. This should </w:t>
      </w:r>
      <w:r w:rsidR="007528B0" w:rsidRPr="00C20C7F">
        <w:t>includ</w:t>
      </w:r>
      <w:r w:rsidRPr="00C20C7F">
        <w:t>e</w:t>
      </w:r>
      <w:r w:rsidR="007528B0" w:rsidRPr="00C20C7F">
        <w:t xml:space="preserve"> a European awareness</w:t>
      </w:r>
      <w:r w:rsidRPr="00C20C7F">
        <w:t>-</w:t>
      </w:r>
      <w:r w:rsidR="007528B0" w:rsidRPr="00C20C7F">
        <w:t xml:space="preserve">raising campaign </w:t>
      </w:r>
      <w:r w:rsidRPr="00C20C7F">
        <w:t xml:space="preserve">focused </w:t>
      </w:r>
      <w:r w:rsidR="007528B0" w:rsidRPr="00C20C7F">
        <w:t xml:space="preserve">on women with disabilities. </w:t>
      </w:r>
    </w:p>
    <w:p w14:paraId="3AA773A2" w14:textId="285401CC" w:rsidR="007456F8" w:rsidRPr="00C20C7F" w:rsidRDefault="008F3387" w:rsidP="00295AA8">
      <w:pPr>
        <w:pStyle w:val="Heading2"/>
        <w:spacing w:afterLines="120" w:after="288" w:line="240" w:lineRule="auto"/>
        <w:rPr>
          <w:lang w:val="en-GB"/>
        </w:rPr>
      </w:pPr>
      <w:bookmarkStart w:id="15" w:name="_Toc179386638"/>
      <w:r w:rsidRPr="00C20C7F">
        <w:rPr>
          <w:lang w:val="en-GB"/>
        </w:rPr>
        <w:t xml:space="preserve">Article 7: </w:t>
      </w:r>
      <w:r w:rsidR="001E3D2C" w:rsidRPr="00C20C7F">
        <w:rPr>
          <w:lang w:val="en-GB"/>
        </w:rPr>
        <w:t>Children with disabilities</w:t>
      </w:r>
      <w:bookmarkEnd w:id="15"/>
    </w:p>
    <w:p w14:paraId="4D40F88A" w14:textId="0A06BAFC" w:rsidR="006013E7" w:rsidRPr="00CB2011" w:rsidRDefault="006013E7" w:rsidP="00295AA8">
      <w:pPr>
        <w:spacing w:afterLines="120" w:after="288"/>
        <w:rPr>
          <w:bCs/>
        </w:rPr>
      </w:pPr>
      <w:r w:rsidRPr="00C20C7F">
        <w:rPr>
          <w:bCs/>
        </w:rPr>
        <w:t>There are around 68</w:t>
      </w:r>
      <w:r w:rsidRPr="00D404B4">
        <w:rPr>
          <w:bCs/>
        </w:rPr>
        <w:t xml:space="preserve"> million children below the age of 15 in the EU</w:t>
      </w:r>
      <w:r w:rsidRPr="00D404B4">
        <w:rPr>
          <w:rStyle w:val="FootnoteReference"/>
          <w:bCs/>
        </w:rPr>
        <w:footnoteReference w:id="17"/>
      </w:r>
      <w:r w:rsidRPr="00D404B4">
        <w:rPr>
          <w:bCs/>
        </w:rPr>
        <w:t>. According to Eurostat, about 5% of EU families with children had a child or children with disabilities</w:t>
      </w:r>
      <w:r w:rsidRPr="00D404B4">
        <w:rPr>
          <w:rStyle w:val="FootnoteReference"/>
          <w:bCs/>
        </w:rPr>
        <w:footnoteReference w:id="18"/>
      </w:r>
      <w:r w:rsidRPr="00D404B4">
        <w:rPr>
          <w:bCs/>
        </w:rPr>
        <w:t xml:space="preserve"> and 9.4% of </w:t>
      </w:r>
      <w:r w:rsidRPr="00D404B4">
        <w:rPr>
          <w:bCs/>
        </w:rPr>
        <w:lastRenderedPageBreak/>
        <w:t xml:space="preserve">girls and young women and 7.5% </w:t>
      </w:r>
      <w:r w:rsidRPr="00CB2011">
        <w:rPr>
          <w:bCs/>
        </w:rPr>
        <w:t>of boys and young men (ages 16-24) had a disability.</w:t>
      </w:r>
      <w:r w:rsidRPr="00CB2011">
        <w:rPr>
          <w:rStyle w:val="FootnoteReference"/>
          <w:bCs/>
        </w:rPr>
        <w:footnoteReference w:id="19"/>
      </w:r>
      <w:r w:rsidR="003A70D7">
        <w:rPr>
          <w:bCs/>
        </w:rPr>
        <w:t xml:space="preserve"> As mentioned in the response to the </w:t>
      </w:r>
      <w:r w:rsidR="00010E2F">
        <w:rPr>
          <w:bCs/>
        </w:rPr>
        <w:t>LOIPR</w:t>
      </w:r>
      <w:r w:rsidR="003A70D7">
        <w:rPr>
          <w:bCs/>
        </w:rPr>
        <w:t xml:space="preserve">, since 2021 Eurostat collects data on children disaggregated by disability every 3 years, although not disaggregated by type of disability and not including children living in institutions. </w:t>
      </w:r>
    </w:p>
    <w:p w14:paraId="38967FC2" w14:textId="77777777" w:rsidR="00B07B55" w:rsidRDefault="006013E7" w:rsidP="00295AA8">
      <w:pPr>
        <w:spacing w:afterLines="120" w:after="288"/>
        <w:rPr>
          <w:bCs/>
        </w:rPr>
      </w:pPr>
      <w:r w:rsidRPr="00CB2011">
        <w:rPr>
          <w:bCs/>
        </w:rPr>
        <w:t>Despite</w:t>
      </w:r>
      <w:r w:rsidR="00AC4D87" w:rsidRPr="00CB2011">
        <w:rPr>
          <w:bCs/>
        </w:rPr>
        <w:t xml:space="preserve"> of</w:t>
      </w:r>
      <w:r w:rsidRPr="00CB2011">
        <w:rPr>
          <w:bCs/>
        </w:rPr>
        <w:t xml:space="preserve"> the disproportionate risk they face, children with disabilities are given little to no consideration in national or European child rights legislation</w:t>
      </w:r>
      <w:r w:rsidR="00DE5980" w:rsidRPr="00CB2011">
        <w:rPr>
          <w:bCs/>
        </w:rPr>
        <w:t xml:space="preserve"> and/or when they are included in legislation, those are not effectively implemented</w:t>
      </w:r>
      <w:r w:rsidRPr="00CB2011">
        <w:rPr>
          <w:bCs/>
        </w:rPr>
        <w:t xml:space="preserve">. In many EU countries children with disabilities are institutionalised, segregated </w:t>
      </w:r>
      <w:r w:rsidRPr="00D404B4">
        <w:rPr>
          <w:bCs/>
        </w:rPr>
        <w:t>in special schools and are victims of violence and abuse, in and outside their family setting</w:t>
      </w:r>
      <w:r w:rsidR="007C0371" w:rsidRPr="00D404B4">
        <w:rPr>
          <w:bCs/>
        </w:rPr>
        <w:t xml:space="preserve"> (including </w:t>
      </w:r>
      <w:r w:rsidR="007E403E" w:rsidRPr="00D404B4">
        <w:rPr>
          <w:bCs/>
        </w:rPr>
        <w:t>incest</w:t>
      </w:r>
      <w:r w:rsidR="007C0371" w:rsidRPr="00D404B4">
        <w:rPr>
          <w:bCs/>
        </w:rPr>
        <w:t>)</w:t>
      </w:r>
      <w:r w:rsidRPr="00D404B4">
        <w:rPr>
          <w:bCs/>
        </w:rPr>
        <w:t>.</w:t>
      </w:r>
      <w:r w:rsidR="007E403E" w:rsidRPr="00D404B4">
        <w:rPr>
          <w:rStyle w:val="FootnoteReference"/>
          <w:bCs/>
        </w:rPr>
        <w:footnoteReference w:id="20"/>
      </w:r>
      <w:r w:rsidR="00B07B55">
        <w:rPr>
          <w:bCs/>
        </w:rPr>
        <w:t xml:space="preserve"> </w:t>
      </w:r>
    </w:p>
    <w:p w14:paraId="2E380D90" w14:textId="77777777" w:rsidR="00B07B55" w:rsidRDefault="00F6426A" w:rsidP="00295AA8">
      <w:pPr>
        <w:spacing w:afterLines="120" w:after="288"/>
        <w:rPr>
          <w:bCs/>
        </w:rPr>
      </w:pPr>
      <w:r w:rsidRPr="00D404B4">
        <w:rPr>
          <w:bCs/>
        </w:rPr>
        <w:t xml:space="preserve">In </w:t>
      </w:r>
      <w:r w:rsidR="0022250B" w:rsidRPr="00D404B4">
        <w:rPr>
          <w:bCs/>
        </w:rPr>
        <w:t>2021</w:t>
      </w:r>
      <w:r w:rsidR="00010E2F">
        <w:rPr>
          <w:bCs/>
        </w:rPr>
        <w:t>,</w:t>
      </w:r>
      <w:r w:rsidR="0022250B" w:rsidRPr="00D404B4">
        <w:rPr>
          <w:bCs/>
        </w:rPr>
        <w:t xml:space="preserve"> </w:t>
      </w:r>
      <w:r w:rsidRPr="00D404B4">
        <w:rPr>
          <w:bCs/>
        </w:rPr>
        <w:t xml:space="preserve">the EU adopted its new </w:t>
      </w:r>
      <w:hyperlink r:id="rId29" w:history="1">
        <w:r w:rsidRPr="00D404B4">
          <w:rPr>
            <w:rStyle w:val="Hyperlink"/>
            <w:bCs/>
          </w:rPr>
          <w:t>Strategy on the Rights of the Child</w:t>
        </w:r>
      </w:hyperlink>
      <w:r w:rsidRPr="00D404B4">
        <w:rPr>
          <w:bCs/>
        </w:rPr>
        <w:t>. It better acknowledges the rights of children with disabilities than the 2011-14 Agenda.</w:t>
      </w:r>
      <w:r w:rsidR="00617EA0" w:rsidRPr="00D404B4">
        <w:rPr>
          <w:rStyle w:val="FootnoteReference"/>
          <w:bCs/>
        </w:rPr>
        <w:footnoteReference w:id="21"/>
      </w:r>
      <w:r w:rsidR="00A25DF6" w:rsidRPr="00D404B4">
        <w:rPr>
          <w:bCs/>
        </w:rPr>
        <w:t xml:space="preserve"> It is explicitly mentioned that the Strategy is anchored to the CRPD.</w:t>
      </w:r>
      <w:r w:rsidRPr="00D404B4">
        <w:rPr>
          <w:bCs/>
        </w:rPr>
        <w:t xml:space="preserve"> </w:t>
      </w:r>
      <w:r w:rsidR="00320B88" w:rsidRPr="00D404B4">
        <w:rPr>
          <w:bCs/>
        </w:rPr>
        <w:t>It</w:t>
      </w:r>
      <w:r w:rsidRPr="00D404B4">
        <w:rPr>
          <w:bCs/>
        </w:rPr>
        <w:t xml:space="preserve"> mentions the right of children </w:t>
      </w:r>
      <w:r w:rsidR="00A25DF6" w:rsidRPr="00D404B4">
        <w:rPr>
          <w:bCs/>
        </w:rPr>
        <w:t>w</w:t>
      </w:r>
      <w:r w:rsidRPr="00D404B4">
        <w:rPr>
          <w:bCs/>
        </w:rPr>
        <w:t>ith disabilities to live with their families and in a communit</w:t>
      </w:r>
      <w:r w:rsidR="00A25DF6" w:rsidRPr="00D404B4">
        <w:rPr>
          <w:bCs/>
        </w:rPr>
        <w:t>y, the need for specific responses to their mental and physical health, inclusive education and support for completing education,</w:t>
      </w:r>
      <w:r w:rsidR="001F56C7" w:rsidRPr="00D404B4">
        <w:rPr>
          <w:bCs/>
        </w:rPr>
        <w:t xml:space="preserve"> as well as</w:t>
      </w:r>
      <w:r w:rsidR="00A25DF6" w:rsidRPr="00D404B4">
        <w:rPr>
          <w:bCs/>
        </w:rPr>
        <w:t xml:space="preserve"> the importance of accessible </w:t>
      </w:r>
      <w:r w:rsidR="001F56C7" w:rsidRPr="00D404B4">
        <w:rPr>
          <w:bCs/>
        </w:rPr>
        <w:t xml:space="preserve">ICT and assistive </w:t>
      </w:r>
      <w:r w:rsidR="00A25DF6" w:rsidRPr="00D404B4">
        <w:rPr>
          <w:bCs/>
        </w:rPr>
        <w:t>technology</w:t>
      </w:r>
      <w:r w:rsidR="001F56C7" w:rsidRPr="00D404B4">
        <w:rPr>
          <w:bCs/>
        </w:rPr>
        <w:t xml:space="preserve">. </w:t>
      </w:r>
    </w:p>
    <w:p w14:paraId="4D0759D0" w14:textId="5F1470CB" w:rsidR="00FB3798" w:rsidRPr="00D404B4" w:rsidRDefault="001F56C7" w:rsidP="00295AA8">
      <w:pPr>
        <w:spacing w:afterLines="120" w:after="288"/>
        <w:rPr>
          <w:bCs/>
        </w:rPr>
      </w:pPr>
      <w:r w:rsidRPr="00D404B4">
        <w:rPr>
          <w:bCs/>
        </w:rPr>
        <w:t xml:space="preserve">In </w:t>
      </w:r>
      <w:r w:rsidR="00945C92" w:rsidRPr="00D404B4">
        <w:rPr>
          <w:bCs/>
        </w:rPr>
        <w:t>June 2021</w:t>
      </w:r>
      <w:r w:rsidR="00FB3798" w:rsidRPr="00D404B4">
        <w:rPr>
          <w:bCs/>
        </w:rPr>
        <w:t>, as part of this overall Strategy,</w:t>
      </w:r>
      <w:r w:rsidRPr="00D404B4">
        <w:rPr>
          <w:bCs/>
        </w:rPr>
        <w:t xml:space="preserve"> the EU also adopted its </w:t>
      </w:r>
      <w:hyperlink r:id="rId30" w:history="1">
        <w:r w:rsidRPr="00D404B4">
          <w:rPr>
            <w:rStyle w:val="Hyperlink"/>
            <w:bCs/>
          </w:rPr>
          <w:t>Renewed Child Guarantee for Vulnerable Children (or Child Guarantee)</w:t>
        </w:r>
      </w:hyperlink>
      <w:r w:rsidRPr="00D404B4">
        <w:rPr>
          <w:bCs/>
        </w:rPr>
        <w:t>,</w:t>
      </w:r>
      <w:r w:rsidR="00945C92" w:rsidRPr="00D404B4">
        <w:rPr>
          <w:bCs/>
        </w:rPr>
        <w:t xml:space="preserve"> which aims to prevent and combat social exclusion by guaranteeing the access of children in need to a set of key services including early childhood education and care, education (including school-based activities), healthcare, nutrition and housing.</w:t>
      </w:r>
      <w:r w:rsidRPr="00D404B4">
        <w:rPr>
          <w:bCs/>
        </w:rPr>
        <w:t xml:space="preserve"> </w:t>
      </w:r>
      <w:r w:rsidR="00617EA0" w:rsidRPr="00D404B4">
        <w:rPr>
          <w:bCs/>
        </w:rPr>
        <w:t>T</w:t>
      </w:r>
      <w:r w:rsidRPr="00D404B4">
        <w:rPr>
          <w:bCs/>
        </w:rPr>
        <w:t>he Child Guarantee lacks a strong commitment to end the institutionalisation of children across the EU</w:t>
      </w:r>
      <w:r w:rsidR="006B5CD6" w:rsidRPr="00D404B4">
        <w:rPr>
          <w:bCs/>
        </w:rPr>
        <w:t>. It is</w:t>
      </w:r>
      <w:r w:rsidRPr="00D404B4">
        <w:rPr>
          <w:bCs/>
        </w:rPr>
        <w:t xml:space="preserve"> a missed opportunity and a particularly pressing issue for children with disabilities who are more likely to be institutionalised, and to </w:t>
      </w:r>
      <w:r w:rsidR="0053534C" w:rsidRPr="00D404B4">
        <w:rPr>
          <w:bCs/>
        </w:rPr>
        <w:t>remain in institutions on a long-term or permanent basis.</w:t>
      </w:r>
    </w:p>
    <w:p w14:paraId="676BD367" w14:textId="77777777" w:rsidR="008C6FE0" w:rsidRPr="00D404B4" w:rsidRDefault="00073FF1" w:rsidP="00295AA8">
      <w:pPr>
        <w:rPr>
          <w:rFonts w:cs="Arial"/>
        </w:rPr>
      </w:pPr>
      <w:r w:rsidRPr="00D404B4">
        <w:rPr>
          <w:rFonts w:cs="Arial"/>
        </w:rPr>
        <w:t xml:space="preserve">Participation and inclusion of the perspectives of children in EU policies is </w:t>
      </w:r>
      <w:r w:rsidR="00F5499A" w:rsidRPr="00D404B4">
        <w:rPr>
          <w:rFonts w:cs="Arial"/>
        </w:rPr>
        <w:t>at its very early stages</w:t>
      </w:r>
      <w:r w:rsidR="001E3689" w:rsidRPr="00D404B4">
        <w:rPr>
          <w:rFonts w:cs="Arial"/>
        </w:rPr>
        <w:t xml:space="preserve"> and is not systematic. “Children in vulnerable situations have fewer opportunities to contribute to decision making and the most marginalised and excluded children [such as children with disabilities] have even fewer opportunities to participate in decision making processes.”</w:t>
      </w:r>
      <w:r w:rsidR="001E3689" w:rsidRPr="00D404B4">
        <w:rPr>
          <w:rStyle w:val="FootnoteReference"/>
          <w:rFonts w:cs="Arial"/>
        </w:rPr>
        <w:footnoteReference w:id="22"/>
      </w:r>
      <w:r w:rsidR="00A61B20" w:rsidRPr="00D404B4">
        <w:rPr>
          <w:rFonts w:cs="Arial"/>
        </w:rPr>
        <w:t xml:space="preserve"> </w:t>
      </w:r>
    </w:p>
    <w:p w14:paraId="3CBBDC1D" w14:textId="7FE4DB94" w:rsidR="00970CD4" w:rsidRPr="00D404B4" w:rsidRDefault="00010E2F" w:rsidP="00295AA8">
      <w:pPr>
        <w:spacing w:afterLines="120" w:after="288"/>
      </w:pPr>
      <w:r>
        <w:rPr>
          <w:b/>
        </w:rPr>
        <w:t>We call for</w:t>
      </w:r>
      <w:r w:rsidR="00970CD4" w:rsidRPr="00D404B4">
        <w:t xml:space="preserve">: </w:t>
      </w:r>
    </w:p>
    <w:p w14:paraId="5EF97360" w14:textId="73AA0DD6" w:rsidR="005F673F" w:rsidRDefault="005F673F" w:rsidP="00010E2F">
      <w:pPr>
        <w:pStyle w:val="ListParagraph"/>
        <w:numPr>
          <w:ilvl w:val="0"/>
          <w:numId w:val="6"/>
        </w:numPr>
        <w:spacing w:afterLines="120" w:after="288"/>
        <w:ind w:left="714" w:hanging="357"/>
      </w:pPr>
      <w:r>
        <w:t>Ensu</w:t>
      </w:r>
      <w:r w:rsidR="00010E2F">
        <w:t>ring</w:t>
      </w:r>
      <w:r>
        <w:t xml:space="preserve"> that initiatives linked to the rights of children, such as the Child Rights Strategy and the Child Guarantee, commit to ending the institutionalisation of children in the EU and that no EU money goes towards placements in institutions either in or beyond the EU. </w:t>
      </w:r>
    </w:p>
    <w:p w14:paraId="6FE92597" w14:textId="5EF63A32" w:rsidR="005F673F" w:rsidRDefault="00010E2F" w:rsidP="00010E2F">
      <w:pPr>
        <w:pStyle w:val="ListParagraph"/>
        <w:numPr>
          <w:ilvl w:val="0"/>
          <w:numId w:val="6"/>
        </w:numPr>
        <w:spacing w:afterLines="120" w:after="288"/>
        <w:ind w:left="714" w:hanging="357"/>
      </w:pPr>
      <w:r>
        <w:t>C</w:t>
      </w:r>
      <w:r w:rsidR="005F673F">
        <w:t>ollecti</w:t>
      </w:r>
      <w:r>
        <w:t>on of</w:t>
      </w:r>
      <w:r w:rsidR="005F673F">
        <w:t xml:space="preserve"> disaggregated data on children living in institutions across the EU</w:t>
      </w:r>
      <w:r w:rsidR="00541825">
        <w:t xml:space="preserve">. </w:t>
      </w:r>
    </w:p>
    <w:p w14:paraId="308937C0" w14:textId="4E13CA84" w:rsidR="002B7EAE" w:rsidRPr="00C20C7F" w:rsidRDefault="008F3387" w:rsidP="00295AA8">
      <w:pPr>
        <w:pStyle w:val="Heading2"/>
        <w:spacing w:afterLines="120" w:after="288" w:line="276" w:lineRule="auto"/>
        <w:rPr>
          <w:lang w:val="en-GB"/>
        </w:rPr>
      </w:pPr>
      <w:bookmarkStart w:id="16" w:name="_Article_8:_Awareness"/>
      <w:bookmarkStart w:id="17" w:name="See_under_article_8"/>
      <w:bookmarkStart w:id="18" w:name="_Toc179386639"/>
      <w:bookmarkEnd w:id="16"/>
      <w:r w:rsidRPr="00C20C7F">
        <w:rPr>
          <w:lang w:val="en-GB"/>
        </w:rPr>
        <w:lastRenderedPageBreak/>
        <w:t xml:space="preserve">Article 8: </w:t>
      </w:r>
      <w:r w:rsidR="002B7EAE" w:rsidRPr="00C20C7F">
        <w:rPr>
          <w:lang w:val="en-GB"/>
        </w:rPr>
        <w:t>Awareness raising</w:t>
      </w:r>
      <w:bookmarkEnd w:id="18"/>
    </w:p>
    <w:bookmarkEnd w:id="17"/>
    <w:p w14:paraId="611BCD73" w14:textId="44BE563A" w:rsidR="008818EF" w:rsidRDefault="00B1698C" w:rsidP="00295AA8">
      <w:pPr>
        <w:spacing w:afterLines="120" w:after="288"/>
      </w:pPr>
      <w:r w:rsidRPr="00C20C7F">
        <w:t>T</w:t>
      </w:r>
      <w:r w:rsidR="00837829" w:rsidRPr="00C20C7F">
        <w:t>he E</w:t>
      </w:r>
      <w:r w:rsidR="00936434" w:rsidRPr="00C20C7F">
        <w:t>U</w:t>
      </w:r>
      <w:r w:rsidR="00837829" w:rsidRPr="00C20C7F">
        <w:t xml:space="preserve"> </w:t>
      </w:r>
      <w:r w:rsidR="008818EF" w:rsidRPr="00C20C7F">
        <w:t>efforts on</w:t>
      </w:r>
      <w:r w:rsidR="00837829" w:rsidRPr="00C20C7F">
        <w:t xml:space="preserve"> awareness raising on the CRPD and the human </w:t>
      </w:r>
      <w:r w:rsidR="00DC238B" w:rsidRPr="00C20C7F">
        <w:t>rights-based</w:t>
      </w:r>
      <w:r w:rsidR="00837829" w:rsidRPr="00C20C7F">
        <w:t xml:space="preserve"> approach to persons with disabilities</w:t>
      </w:r>
      <w:r w:rsidR="008818EF">
        <w:t xml:space="preserve"> have improved since the last review but are still limited</w:t>
      </w:r>
      <w:r w:rsidR="00837829" w:rsidRPr="00D404B4">
        <w:t xml:space="preserve">. </w:t>
      </w:r>
    </w:p>
    <w:p w14:paraId="2DACDC08" w14:textId="52AA86B0" w:rsidR="00FE5F36" w:rsidRDefault="00FE5F36" w:rsidP="00295AA8">
      <w:pPr>
        <w:spacing w:afterLines="120" w:after="288"/>
      </w:pPr>
      <w:r>
        <w:t>The</w:t>
      </w:r>
      <w:r w:rsidR="008818EF">
        <w:t xml:space="preserve"> European Commission</w:t>
      </w:r>
      <w:r>
        <w:t xml:space="preserve">’s </w:t>
      </w:r>
      <w:r w:rsidR="008818EF">
        <w:t>“</w:t>
      </w:r>
      <w:hyperlink r:id="rId31" w:history="1">
        <w:r w:rsidR="008818EF" w:rsidRPr="008818EF">
          <w:rPr>
            <w:rStyle w:val="Hyperlink"/>
          </w:rPr>
          <w:t>Together for Rights</w:t>
        </w:r>
      </w:hyperlink>
      <w:r w:rsidR="008818EF">
        <w:t xml:space="preserve">” campaign, </w:t>
      </w:r>
      <w:r>
        <w:t>which included online actions and use of influences, seems to have stopped in 2023</w:t>
      </w:r>
      <w:r w:rsidR="008818EF">
        <w:t xml:space="preserve">. </w:t>
      </w:r>
      <w:r>
        <w:t>No</w:t>
      </w:r>
      <w:r w:rsidR="008818EF">
        <w:t xml:space="preserve"> records o</w:t>
      </w:r>
      <w:r>
        <w:t>f</w:t>
      </w:r>
      <w:r w:rsidR="008818EF">
        <w:t xml:space="preserve"> its impact are publicly available.</w:t>
      </w:r>
      <w:r>
        <w:t xml:space="preserve"> Organisations of persons with disabilities were involved, albeit in a limited capacity. </w:t>
      </w:r>
    </w:p>
    <w:p w14:paraId="1F2DB164" w14:textId="6776FEEB" w:rsidR="00837829" w:rsidRDefault="000225F1" w:rsidP="00295AA8">
      <w:pPr>
        <w:spacing w:afterLines="120" w:after="288"/>
      </w:pPr>
      <w:r>
        <w:t>T</w:t>
      </w:r>
      <w:r w:rsidR="008818EF">
        <w:t xml:space="preserve">he </w:t>
      </w:r>
      <w:r>
        <w:t>launch</w:t>
      </w:r>
      <w:r w:rsidR="008818EF">
        <w:t xml:space="preserve"> of the first European Parliament’s Disability Rights Week </w:t>
      </w:r>
      <w:r w:rsidR="00FE5F36">
        <w:t>was</w:t>
      </w:r>
      <w:r>
        <w:t xml:space="preserve"> </w:t>
      </w:r>
      <w:r w:rsidR="008818EF">
        <w:t xml:space="preserve">promising, but, like other </w:t>
      </w:r>
      <w:r w:rsidR="00837829" w:rsidRPr="00D404B4">
        <w:t xml:space="preserve">annual events such as the European Day of </w:t>
      </w:r>
      <w:r w:rsidR="00837829" w:rsidRPr="00CB2011">
        <w:t>Persons with Disabilities conference,</w:t>
      </w:r>
      <w:r w:rsidR="008818EF">
        <w:t xml:space="preserve"> and</w:t>
      </w:r>
      <w:r w:rsidR="00837829" w:rsidRPr="00CB2011">
        <w:t xml:space="preserve"> the Access City Award (rewarding accessible cities), </w:t>
      </w:r>
      <w:r w:rsidR="008818EF">
        <w:t>it</w:t>
      </w:r>
      <w:r w:rsidR="008818EF" w:rsidRPr="00CB2011">
        <w:t xml:space="preserve"> </w:t>
      </w:r>
      <w:r w:rsidR="00837829" w:rsidRPr="00CB2011">
        <w:t xml:space="preserve">only </w:t>
      </w:r>
      <w:r w:rsidR="00125017" w:rsidRPr="00CB2011">
        <w:t>reach</w:t>
      </w:r>
      <w:r w:rsidR="00125017">
        <w:t>es</w:t>
      </w:r>
      <w:r w:rsidR="00125017" w:rsidRPr="00CB2011">
        <w:t xml:space="preserve"> a</w:t>
      </w:r>
      <w:r w:rsidR="00837829" w:rsidRPr="00CB2011">
        <w:t xml:space="preserve"> limited number of participants. Knowledge on the CRPD and EU’s obligations to implement it, </w:t>
      </w:r>
      <w:r w:rsidR="007B08EF">
        <w:t xml:space="preserve">is </w:t>
      </w:r>
      <w:r w:rsidR="008818EF">
        <w:t xml:space="preserve">therefore </w:t>
      </w:r>
      <w:r w:rsidR="007B08EF">
        <w:t>still</w:t>
      </w:r>
      <w:r w:rsidR="007B08EF" w:rsidRPr="00CB2011">
        <w:t xml:space="preserve"> </w:t>
      </w:r>
      <w:r w:rsidR="00837829" w:rsidRPr="00CB2011">
        <w:t xml:space="preserve">very limited on the ground. </w:t>
      </w:r>
    </w:p>
    <w:p w14:paraId="3D6BC604" w14:textId="3F85AF44" w:rsidR="00FE5F36" w:rsidRPr="00CB2011" w:rsidRDefault="00FE5F36" w:rsidP="00295AA8">
      <w:pPr>
        <w:spacing w:afterLines="120" w:after="288"/>
      </w:pPr>
      <w:r>
        <w:t xml:space="preserve">Furthermore, the European Commission does not provide funding for civil society organisations (either disability-related or not) to create awareness raising campaigns on disability rights.  </w:t>
      </w:r>
    </w:p>
    <w:p w14:paraId="3DA2AC26" w14:textId="570381F9" w:rsidR="00136166" w:rsidRDefault="00936434" w:rsidP="00295AA8">
      <w:pPr>
        <w:spacing w:afterLines="120" w:after="288"/>
      </w:pPr>
      <w:r w:rsidRPr="00CB2011">
        <w:t xml:space="preserve">In </w:t>
      </w:r>
      <w:r w:rsidR="00B83578" w:rsidRPr="00CB2011">
        <w:t>general,</w:t>
      </w:r>
      <w:r w:rsidRPr="00CB2011">
        <w:t xml:space="preserve"> </w:t>
      </w:r>
      <w:r w:rsidR="00FE5F36">
        <w:t>awareness raising campaigns do not seem to systematically include a disability angle.</w:t>
      </w:r>
      <w:r w:rsidR="00837829" w:rsidRPr="00CB2011">
        <w:t xml:space="preserve"> </w:t>
      </w:r>
      <w:r w:rsidR="00FE5F36">
        <w:t>This is especially true for s</w:t>
      </w:r>
      <w:r w:rsidR="00837829" w:rsidRPr="00CB2011">
        <w:t xml:space="preserve">pecific groups of persons with disabilities, including women and girls with disabilities, older persons with disabilities, </w:t>
      </w:r>
      <w:r w:rsidR="006764B7" w:rsidRPr="00CB2011">
        <w:t xml:space="preserve">young persons with disabilities </w:t>
      </w:r>
      <w:r w:rsidR="00837829" w:rsidRPr="00CB2011">
        <w:t>and people with intellectual</w:t>
      </w:r>
      <w:r w:rsidR="00DF7FA9" w:rsidRPr="00CB2011">
        <w:t xml:space="preserve">, </w:t>
      </w:r>
      <w:r w:rsidR="00837829" w:rsidRPr="00CB2011">
        <w:t xml:space="preserve">psychosocial disabilities </w:t>
      </w:r>
      <w:r w:rsidR="00DF7FA9" w:rsidRPr="00CB2011">
        <w:t xml:space="preserve">or autism </w:t>
      </w:r>
      <w:r w:rsidR="00837829" w:rsidRPr="00CB2011">
        <w:t xml:space="preserve">are often excluded or not represented in awareness-raising campaigns and initiatives. </w:t>
      </w:r>
      <w:r w:rsidR="00136166" w:rsidRPr="00CB2011">
        <w:t>An example was the crisis communication around COVID-19 response</w:t>
      </w:r>
      <w:r w:rsidR="00136166" w:rsidRPr="00CB2011">
        <w:rPr>
          <w:rStyle w:val="FootnoteReference"/>
        </w:rPr>
        <w:footnoteReference w:id="23"/>
      </w:r>
      <w:r w:rsidR="00307458">
        <w:t xml:space="preserve"> as well as the </w:t>
      </w:r>
      <w:hyperlink r:id="rId32" w:history="1">
        <w:r w:rsidR="00307458" w:rsidRPr="00D300E1">
          <w:rPr>
            <w:rStyle w:val="Hyperlink"/>
          </w:rPr>
          <w:t>“I will keep my eyes open” campaign</w:t>
        </w:r>
      </w:hyperlink>
      <w:r w:rsidR="00307458">
        <w:t xml:space="preserve"> focusing on victims’ rights</w:t>
      </w:r>
      <w:r w:rsidR="00D300E1">
        <w:t>.</w:t>
      </w:r>
      <w:r w:rsidR="00136166" w:rsidRPr="00CB2011">
        <w:t xml:space="preserve"> </w:t>
      </w:r>
    </w:p>
    <w:p w14:paraId="045F265E" w14:textId="16EA5DFC" w:rsidR="00837829" w:rsidRDefault="003A3E4F" w:rsidP="00295AA8">
      <w:pPr>
        <w:spacing w:afterLines="120" w:after="288"/>
      </w:pPr>
      <w:r w:rsidRPr="00CB2011">
        <w:t xml:space="preserve">People with disabilities and </w:t>
      </w:r>
      <w:r w:rsidRPr="00D404B4">
        <w:t>disability rights are also not visible in key research programmes and funding advertised by the European Commission. For example, the “</w:t>
      </w:r>
      <w:hyperlink r:id="rId33" w:history="1">
        <w:r w:rsidRPr="00D404B4">
          <w:rPr>
            <w:rStyle w:val="Hyperlink"/>
          </w:rPr>
          <w:t>EU Missions”</w:t>
        </w:r>
      </w:hyperlink>
      <w:r w:rsidRPr="00D404B4">
        <w:t xml:space="preserve"> aimed to tackle big challenges in health, climate and the environment, and to achieve ambitious and inspiring goals in these areas, do not include persons with disabilities.</w:t>
      </w:r>
    </w:p>
    <w:p w14:paraId="509DECAF" w14:textId="73DC6DED" w:rsidR="003F10E9" w:rsidRPr="00D404B4" w:rsidRDefault="00FB502C" w:rsidP="00295AA8">
      <w:pPr>
        <w:spacing w:afterLines="120" w:after="288"/>
      </w:pPr>
      <w:r>
        <w:t>Finally, the</w:t>
      </w:r>
      <w:r w:rsidR="003F10E9" w:rsidRPr="00D404B4">
        <w:t xml:space="preserve"> EU continues to use language that is not compliant with the CRPD. For instance a summary of legislation on “Judicial co-operation in criminal matters: mutual recognition of final decisions in criminal matters” uses the term “mentally disabled.”</w:t>
      </w:r>
      <w:r w:rsidR="003F10E9" w:rsidRPr="00D404B4">
        <w:rPr>
          <w:rStyle w:val="FootnoteReference"/>
        </w:rPr>
        <w:footnoteReference w:id="24"/>
      </w:r>
      <w:r w:rsidR="003F10E9" w:rsidRPr="00D404B4">
        <w:t xml:space="preserve"> </w:t>
      </w:r>
      <w:r w:rsidR="003F10E9" w:rsidRPr="00D404B4">
        <w:rPr>
          <w:rFonts w:cs="Arial"/>
        </w:rPr>
        <w:t xml:space="preserve">The </w:t>
      </w:r>
      <w:hyperlink r:id="rId34" w:history="1">
        <w:r w:rsidR="003F10E9" w:rsidRPr="00D404B4">
          <w:rPr>
            <w:rStyle w:val="Hyperlink"/>
            <w:rFonts w:cs="Arial"/>
          </w:rPr>
          <w:t>Statistical Classification of Economic Activities in the European Community of the Eurostat Reference and Management of Nomenclatures</w:t>
        </w:r>
      </w:hyperlink>
      <w:r w:rsidR="003F10E9" w:rsidRPr="00D404B4">
        <w:rPr>
          <w:rFonts w:cs="Arial"/>
        </w:rPr>
        <w:t xml:space="preserve"> include concepts, such as “the disabled”, and “mental retardation”.</w:t>
      </w:r>
      <w:r w:rsidR="003F10E9" w:rsidRPr="00D404B4">
        <w:rPr>
          <w:rFonts w:ascii="Times New Roman" w:hAnsi="Times New Roman" w:cs="Times New Roman"/>
          <w:sz w:val="24"/>
          <w:szCs w:val="24"/>
          <w:lang w:eastAsia="en-GB"/>
        </w:rPr>
        <w:t xml:space="preserve"> </w:t>
      </w:r>
      <w:r w:rsidR="003F10E9" w:rsidRPr="00D404B4">
        <w:t>In consumer affairs persons with disabilities are often called “vulnerable groups” while in the context of EU transport policy the term most commonly used is “persons with reduced mobility”. The latter also includes other disabilities in its definition but can be confusing at first sight and is, in fact, much broader.</w:t>
      </w:r>
    </w:p>
    <w:p w14:paraId="514F8770" w14:textId="5F5C96B9" w:rsidR="00837829" w:rsidRPr="00D404B4" w:rsidRDefault="00610EDE" w:rsidP="00295AA8">
      <w:pPr>
        <w:spacing w:afterLines="120" w:after="288"/>
      </w:pPr>
      <w:r>
        <w:rPr>
          <w:b/>
        </w:rPr>
        <w:lastRenderedPageBreak/>
        <w:t xml:space="preserve">We call for: </w:t>
      </w:r>
    </w:p>
    <w:p w14:paraId="64F4455A" w14:textId="7A179150" w:rsidR="00747774" w:rsidRPr="00D404B4" w:rsidRDefault="00747774" w:rsidP="00610EDE">
      <w:pPr>
        <w:pStyle w:val="ListParagraph"/>
        <w:numPr>
          <w:ilvl w:val="0"/>
          <w:numId w:val="7"/>
        </w:numPr>
        <w:spacing w:afterLines="120" w:after="288"/>
        <w:ind w:left="714" w:hanging="357"/>
      </w:pPr>
      <w:r>
        <w:t>Partner</w:t>
      </w:r>
      <w:r w:rsidR="00610EDE">
        <w:t>ship</w:t>
      </w:r>
      <w:r>
        <w:t xml:space="preserve"> with national and local authorities, as well as stakeholders such as media and social media organisations to create a comprehensive, pan-European awareness raising campaign. Ensure that reporting on the impact of this campaign is available to the public.</w:t>
      </w:r>
    </w:p>
    <w:p w14:paraId="730BC2BA" w14:textId="585F5947" w:rsidR="00837829" w:rsidRPr="00C20C7F" w:rsidRDefault="00110D85" w:rsidP="00610EDE">
      <w:pPr>
        <w:pStyle w:val="ListParagraph"/>
        <w:numPr>
          <w:ilvl w:val="0"/>
          <w:numId w:val="7"/>
        </w:numPr>
        <w:spacing w:afterLines="120" w:after="288"/>
        <w:ind w:left="714" w:hanging="357"/>
      </w:pPr>
      <w:r>
        <w:t>Establish</w:t>
      </w:r>
      <w:r w:rsidR="00610EDE">
        <w:t>ment</w:t>
      </w:r>
      <w:r>
        <w:t xml:space="preserve"> a specific funding line for organisations of persons with disabilities and other organisat</w:t>
      </w:r>
      <w:r w:rsidRPr="00C20C7F">
        <w:t>ions to promote awareness raising of disability rights.</w:t>
      </w:r>
    </w:p>
    <w:p w14:paraId="591B355A" w14:textId="4217AFC1" w:rsidR="0029732C" w:rsidRPr="00C20C7F" w:rsidRDefault="008F3387" w:rsidP="00295AA8">
      <w:pPr>
        <w:pStyle w:val="Heading2"/>
        <w:spacing w:afterLines="120" w:after="288" w:line="240" w:lineRule="auto"/>
        <w:rPr>
          <w:lang w:val="en-GB"/>
        </w:rPr>
      </w:pPr>
      <w:bookmarkStart w:id="19" w:name="_Article_9:_Accessibility"/>
      <w:bookmarkStart w:id="20" w:name="Part_1_Article_9"/>
      <w:bookmarkStart w:id="21" w:name="_Toc179386640"/>
      <w:bookmarkEnd w:id="19"/>
      <w:r w:rsidRPr="00C20C7F">
        <w:rPr>
          <w:lang w:val="en-GB"/>
        </w:rPr>
        <w:t>Article 9</w:t>
      </w:r>
      <w:bookmarkEnd w:id="20"/>
      <w:r w:rsidRPr="00C20C7F">
        <w:rPr>
          <w:lang w:val="en-GB"/>
        </w:rPr>
        <w:t xml:space="preserve">: </w:t>
      </w:r>
      <w:r w:rsidR="0029732C" w:rsidRPr="00C20C7F">
        <w:rPr>
          <w:lang w:val="en-GB"/>
        </w:rPr>
        <w:t>Accessibility</w:t>
      </w:r>
      <w:bookmarkEnd w:id="21"/>
    </w:p>
    <w:p w14:paraId="532B3AD2" w14:textId="6091066B" w:rsidR="00956ED8" w:rsidRPr="00D404B4" w:rsidRDefault="008A0AA0" w:rsidP="00295AA8">
      <w:pPr>
        <w:spacing w:afterLines="120" w:after="288"/>
      </w:pPr>
      <w:r w:rsidRPr="00C20C7F">
        <w:t>T</w:t>
      </w:r>
      <w:r w:rsidR="00837829" w:rsidRPr="00C20C7F">
        <w:t xml:space="preserve">he </w:t>
      </w:r>
      <w:hyperlink r:id="rId35" w:history="1">
        <w:r w:rsidR="00837829" w:rsidRPr="00C20C7F">
          <w:rPr>
            <w:rStyle w:val="Hyperlink"/>
          </w:rPr>
          <w:t>European Accessibility Act</w:t>
        </w:r>
      </w:hyperlink>
      <w:r w:rsidR="00837829" w:rsidRPr="00D404B4">
        <w:rPr>
          <w:rStyle w:val="FootnoteReference"/>
        </w:rPr>
        <w:footnoteReference w:id="25"/>
      </w:r>
      <w:r w:rsidR="00837829" w:rsidRPr="00D404B4">
        <w:t xml:space="preserve"> </w:t>
      </w:r>
      <w:r w:rsidRPr="00D404B4">
        <w:t>was adopted on 17 April 2019</w:t>
      </w:r>
      <w:r w:rsidR="00837829" w:rsidRPr="00D404B4">
        <w:t>.</w:t>
      </w:r>
      <w:r w:rsidR="00E502BC" w:rsidRPr="00D404B4">
        <w:t xml:space="preserve"> It </w:t>
      </w:r>
      <w:r w:rsidR="00E83B46">
        <w:t>had to</w:t>
      </w:r>
      <w:r w:rsidR="00E502BC" w:rsidRPr="00D404B4">
        <w:t xml:space="preserve"> be transposed by Member States by 28 June 2022</w:t>
      </w:r>
      <w:r w:rsidR="003013E0">
        <w:rPr>
          <w:rStyle w:val="FootnoteReference"/>
        </w:rPr>
        <w:footnoteReference w:id="26"/>
      </w:r>
      <w:r w:rsidR="00E502BC" w:rsidRPr="00D404B4">
        <w:t xml:space="preserve"> and</w:t>
      </w:r>
      <w:r w:rsidR="00E83B46">
        <w:t xml:space="preserve"> will have to be</w:t>
      </w:r>
      <w:r w:rsidR="00E502BC" w:rsidRPr="00D404B4">
        <w:t xml:space="preserve"> applied from 28 June 2025 in </w:t>
      </w:r>
      <w:r w:rsidR="00E502BC" w:rsidRPr="00B21568">
        <w:t>most part</w:t>
      </w:r>
      <w:r w:rsidR="0071653F" w:rsidRPr="00B21568">
        <w:t>s</w:t>
      </w:r>
      <w:r w:rsidR="00E502BC" w:rsidRPr="00B21568">
        <w:t>.</w:t>
      </w:r>
      <w:r w:rsidR="00837829" w:rsidRPr="00B21568">
        <w:t xml:space="preserve"> </w:t>
      </w:r>
      <w:r w:rsidR="00837829" w:rsidRPr="00D404B4">
        <w:t xml:space="preserve">The Act sets new EU-wide minimum accessibility requirements for a limited range of products and services. </w:t>
      </w:r>
    </w:p>
    <w:p w14:paraId="479FCDC1" w14:textId="75FE1261" w:rsidR="00586F46" w:rsidRPr="00CB2011" w:rsidRDefault="00837829" w:rsidP="00295AA8">
      <w:pPr>
        <w:spacing w:afterLines="120" w:after="288"/>
      </w:pPr>
      <w:r w:rsidRPr="00D404B4">
        <w:t>The Act is a significant step in the journey of making the EU fully accessible for persons with disabilities</w:t>
      </w:r>
      <w:r w:rsidR="00956ED8" w:rsidRPr="00D404B4">
        <w:t>, h</w:t>
      </w:r>
      <w:r w:rsidR="00056396" w:rsidRPr="00D404B4">
        <w:t xml:space="preserve">owever, </w:t>
      </w:r>
      <w:r w:rsidR="005364DA" w:rsidRPr="00D404B4">
        <w:t xml:space="preserve">it falls short of being the horizontal act announced, as it essentially concerns the digital world. </w:t>
      </w:r>
      <w:r w:rsidR="00B83578" w:rsidRPr="00776FA0">
        <w:rPr>
          <w:b/>
          <w:bCs/>
        </w:rPr>
        <w:t>It</w:t>
      </w:r>
      <w:r w:rsidR="00056396" w:rsidRPr="00776FA0">
        <w:rPr>
          <w:b/>
          <w:bCs/>
        </w:rPr>
        <w:t xml:space="preserve"> </w:t>
      </w:r>
      <w:r w:rsidR="00056396" w:rsidRPr="00D404B4">
        <w:rPr>
          <w:b/>
          <w:bCs/>
        </w:rPr>
        <w:t>fails to address accessibility of transport</w:t>
      </w:r>
      <w:r w:rsidR="008A0AA0" w:rsidRPr="00D404B4">
        <w:rPr>
          <w:b/>
          <w:bCs/>
        </w:rPr>
        <w:t xml:space="preserve"> vehicles and infrastructure</w:t>
      </w:r>
      <w:r w:rsidR="00861AD5" w:rsidRPr="00D404B4">
        <w:rPr>
          <w:b/>
          <w:bCs/>
        </w:rPr>
        <w:t xml:space="preserve"> especially in urban transport</w:t>
      </w:r>
      <w:r w:rsidR="00681A54" w:rsidRPr="00D404B4">
        <w:t>.</w:t>
      </w:r>
      <w:r w:rsidR="005364DA" w:rsidRPr="00D404B4">
        <w:rPr>
          <w:rStyle w:val="FootnoteReference"/>
        </w:rPr>
        <w:footnoteReference w:id="27"/>
      </w:r>
      <w:r w:rsidR="00681A54" w:rsidRPr="00D404B4">
        <w:t xml:space="preserve"> The built environment was included only as a voluntary clause for Member States, and</w:t>
      </w:r>
      <w:r w:rsidR="008A0AA0" w:rsidRPr="00D404B4">
        <w:t xml:space="preserve"> </w:t>
      </w:r>
      <w:r w:rsidR="008A0AA0" w:rsidRPr="00CB2011">
        <w:t>other essential products and services such as household appliances</w:t>
      </w:r>
      <w:r w:rsidR="00681A54" w:rsidRPr="00CB2011">
        <w:t xml:space="preserve"> were not covered at all</w:t>
      </w:r>
      <w:r w:rsidR="003A748E" w:rsidRPr="00CB2011">
        <w:t>.</w:t>
      </w:r>
      <w:r w:rsidR="00CC7252" w:rsidRPr="00CB2011">
        <w:rPr>
          <w:rStyle w:val="FootnoteReference"/>
        </w:rPr>
        <w:footnoteReference w:id="28"/>
      </w:r>
      <w:r w:rsidR="003A748E" w:rsidRPr="00CB2011">
        <w:t xml:space="preserve"> </w:t>
      </w:r>
      <w:r w:rsidR="00861AD5" w:rsidRPr="00CB2011">
        <w:t xml:space="preserve">This means </w:t>
      </w:r>
      <w:r w:rsidR="0071653F" w:rsidRPr="00CB2011">
        <w:t xml:space="preserve">that </w:t>
      </w:r>
      <w:r w:rsidR="00861AD5" w:rsidRPr="00CB2011">
        <w:t xml:space="preserve">persons with disabilities still face significant barriers to accessing </w:t>
      </w:r>
      <w:r w:rsidR="00061A9F" w:rsidRPr="00CB2011">
        <w:t xml:space="preserve">the built environment, </w:t>
      </w:r>
      <w:r w:rsidR="00861AD5" w:rsidRPr="00CB2011">
        <w:t>products and services</w:t>
      </w:r>
      <w:r w:rsidR="00061A9F" w:rsidRPr="00CB2011">
        <w:t xml:space="preserve"> on daily basis. </w:t>
      </w:r>
      <w:r w:rsidR="00E502BC" w:rsidRPr="00CB2011">
        <w:t xml:space="preserve">The Act allows derogations in terms of application deadlines for </w:t>
      </w:r>
      <w:r w:rsidR="00B24C89" w:rsidRPr="00CB2011">
        <w:t>several</w:t>
      </w:r>
      <w:r w:rsidR="00E502BC" w:rsidRPr="00CB2011">
        <w:t xml:space="preserve"> provisions, allowing the single European </w:t>
      </w:r>
      <w:r w:rsidR="00702822" w:rsidRPr="00CB2011">
        <w:t xml:space="preserve">emergency </w:t>
      </w:r>
      <w:r w:rsidR="00E502BC" w:rsidRPr="00CB2011">
        <w:t>number ’112’ to remain inaccess</w:t>
      </w:r>
      <w:r w:rsidR="00681A54" w:rsidRPr="00CB2011">
        <w:t>i</w:t>
      </w:r>
      <w:r w:rsidR="00E502BC" w:rsidRPr="00CB2011">
        <w:t xml:space="preserve">ble until 2027 and </w:t>
      </w:r>
      <w:r w:rsidR="006E1960" w:rsidRPr="00CB2011">
        <w:t xml:space="preserve">in certain cases </w:t>
      </w:r>
      <w:r w:rsidR="00E502BC" w:rsidRPr="00CB2011">
        <w:t xml:space="preserve">self-service terminals </w:t>
      </w:r>
      <w:r w:rsidR="006E1960" w:rsidRPr="00CB2011">
        <w:t>un</w:t>
      </w:r>
      <w:r w:rsidR="00F33FCE" w:rsidRPr="00CB2011">
        <w:t>ti</w:t>
      </w:r>
      <w:r w:rsidR="006E1960" w:rsidRPr="00CB2011">
        <w:t>l 2045</w:t>
      </w:r>
      <w:r w:rsidR="00A64E80" w:rsidRPr="00CB2011">
        <w:t>.</w:t>
      </w:r>
      <w:r w:rsidR="00980E22">
        <w:t xml:space="preserve"> </w:t>
      </w:r>
    </w:p>
    <w:p w14:paraId="0CAF7C28" w14:textId="7CE42B6D" w:rsidR="002A0AF4" w:rsidRPr="00D404B4" w:rsidRDefault="00972E53" w:rsidP="00295AA8">
      <w:pPr>
        <w:spacing w:afterLines="120" w:after="288"/>
      </w:pPr>
      <w:r>
        <w:t>I</w:t>
      </w:r>
      <w:r w:rsidR="00C74817">
        <w:t xml:space="preserve">n September 2022, the Commission </w:t>
      </w:r>
      <w:r w:rsidR="003E2C71">
        <w:t>requested</w:t>
      </w:r>
      <w:r w:rsidR="00C74817">
        <w:t xml:space="preserve"> the revision and </w:t>
      </w:r>
      <w:r w:rsidR="005B7DEF" w:rsidRPr="00CB2011">
        <w:t xml:space="preserve">development of harmonised </w:t>
      </w:r>
      <w:r w:rsidR="005B7DEF" w:rsidRPr="00CB2011">
        <w:rPr>
          <w:b/>
          <w:bCs/>
        </w:rPr>
        <w:t>European standards</w:t>
      </w:r>
      <w:r w:rsidR="00C74817">
        <w:rPr>
          <w:b/>
          <w:bCs/>
        </w:rPr>
        <w:t xml:space="preserve"> (Mandate 587) </w:t>
      </w:r>
      <w:r w:rsidR="005B7DEF" w:rsidRPr="00CB2011">
        <w:t xml:space="preserve">which will help providers and procurers of services and products </w:t>
      </w:r>
      <w:r w:rsidR="00D10C6A" w:rsidRPr="00CB2011">
        <w:t xml:space="preserve">to </w:t>
      </w:r>
      <w:r w:rsidR="005B7DEF" w:rsidRPr="00CB2011">
        <w:t xml:space="preserve">meet </w:t>
      </w:r>
      <w:r w:rsidR="00D10C6A" w:rsidRPr="00CB2011">
        <w:t>the</w:t>
      </w:r>
      <w:r w:rsidR="005B7DEF" w:rsidRPr="00CB2011">
        <w:t xml:space="preserve"> legal requirements</w:t>
      </w:r>
      <w:r w:rsidR="00D10C6A" w:rsidRPr="00CB2011">
        <w:t xml:space="preserve"> of the Act</w:t>
      </w:r>
      <w:r w:rsidR="005B7DEF" w:rsidRPr="00CB2011">
        <w:t xml:space="preserve">. </w:t>
      </w:r>
      <w:r w:rsidR="00C74817">
        <w:t xml:space="preserve">The standards should be ready between 2025 and 2027. </w:t>
      </w:r>
      <w:r w:rsidR="005B7DEF" w:rsidRPr="00CB2011">
        <w:t>Harmonised standards therefore will be essential to ensure that persons with disabilities benefit from accessible services and products</w:t>
      </w:r>
      <w:r w:rsidR="00D10C6A" w:rsidRPr="00CB2011">
        <w:t xml:space="preserve"> and they should be fully involved in their development</w:t>
      </w:r>
      <w:r w:rsidR="005B7DEF" w:rsidRPr="00CB2011">
        <w:t xml:space="preserve">. However, </w:t>
      </w:r>
      <w:r w:rsidR="00980E22">
        <w:t>organisations of persons with disabilities</w:t>
      </w:r>
      <w:r w:rsidR="005B7DEF" w:rsidRPr="00CB2011">
        <w:t xml:space="preserve"> and other consumer organisations</w:t>
      </w:r>
      <w:r w:rsidR="00823033" w:rsidRPr="00CB2011">
        <w:rPr>
          <w:rStyle w:val="FootnoteReference"/>
        </w:rPr>
        <w:footnoteReference w:id="29"/>
      </w:r>
      <w:r w:rsidR="005B7DEF" w:rsidRPr="00CB2011">
        <w:t xml:space="preserve"> have raised </w:t>
      </w:r>
      <w:r w:rsidR="00D10C6A" w:rsidRPr="00CB2011">
        <w:t>concerns</w:t>
      </w:r>
      <w:r w:rsidR="005B7DEF" w:rsidRPr="00CB2011">
        <w:t xml:space="preserve"> about the </w:t>
      </w:r>
      <w:r w:rsidR="008728D2" w:rsidRPr="00CB2011">
        <w:t>inclusiveness</w:t>
      </w:r>
      <w:r w:rsidR="005B7DEF" w:rsidRPr="00CB2011">
        <w:t xml:space="preserve">, </w:t>
      </w:r>
      <w:r w:rsidR="00057EEF" w:rsidRPr="00CB2011">
        <w:t>accessibility,</w:t>
      </w:r>
      <w:r w:rsidR="005B7DEF" w:rsidRPr="00CB2011">
        <w:t xml:space="preserve"> and transparency of the European Standardisation system</w:t>
      </w:r>
      <w:r w:rsidR="00F33FCE" w:rsidRPr="00CB2011">
        <w:t>.</w:t>
      </w:r>
      <w:r w:rsidR="005E5773" w:rsidRPr="00CB2011">
        <w:rPr>
          <w:rStyle w:val="FootnoteReference"/>
        </w:rPr>
        <w:footnoteReference w:id="30"/>
      </w:r>
      <w:r w:rsidR="005B7DEF" w:rsidRPr="00CB2011">
        <w:t xml:space="preserve"> This hinders equal participation </w:t>
      </w:r>
      <w:r w:rsidR="005B7DEF" w:rsidRPr="00D404B4">
        <w:t xml:space="preserve">of </w:t>
      </w:r>
      <w:r w:rsidR="005B7DEF" w:rsidRPr="00D404B4">
        <w:lastRenderedPageBreak/>
        <w:t xml:space="preserve">organisations of persons with disabilities in </w:t>
      </w:r>
      <w:r w:rsidR="00D10C6A" w:rsidRPr="00D404B4">
        <w:t>the development of standards that will affect their daily access to essential services and products.</w:t>
      </w:r>
      <w:r w:rsidR="005E5773" w:rsidRPr="00D404B4">
        <w:t xml:space="preserve"> </w:t>
      </w:r>
      <w:r w:rsidR="00C74817">
        <w:t xml:space="preserve">In 2023, the Commission started an </w:t>
      </w:r>
      <w:hyperlink r:id="rId36" w:history="1">
        <w:r w:rsidR="00C74817" w:rsidRPr="008A1997">
          <w:rPr>
            <w:rStyle w:val="Hyperlink"/>
          </w:rPr>
          <w:t>evaluation</w:t>
        </w:r>
      </w:hyperlink>
      <w:r w:rsidR="00C74817">
        <w:t xml:space="preserve"> of </w:t>
      </w:r>
      <w:hyperlink r:id="rId37" w:history="1">
        <w:r w:rsidR="00C74817" w:rsidRPr="008A1997">
          <w:rPr>
            <w:rStyle w:val="Hyperlink"/>
          </w:rPr>
          <w:t>Regulation 1025</w:t>
        </w:r>
        <w:r w:rsidR="008A1997">
          <w:rPr>
            <w:rStyle w:val="Hyperlink"/>
          </w:rPr>
          <w:t xml:space="preserve"> / 2012</w:t>
        </w:r>
        <w:r w:rsidR="00C74817" w:rsidRPr="008A1997">
          <w:rPr>
            <w:rStyle w:val="Hyperlink"/>
          </w:rPr>
          <w:t xml:space="preserve"> on </w:t>
        </w:r>
        <w:r w:rsidR="008A1997" w:rsidRPr="008A1997">
          <w:rPr>
            <w:rStyle w:val="Hyperlink"/>
          </w:rPr>
          <w:t>Standardi</w:t>
        </w:r>
        <w:r w:rsidR="00980E22">
          <w:rPr>
            <w:rStyle w:val="Hyperlink"/>
          </w:rPr>
          <w:t>s</w:t>
        </w:r>
        <w:r w:rsidR="008A1997" w:rsidRPr="008A1997">
          <w:rPr>
            <w:rStyle w:val="Hyperlink"/>
          </w:rPr>
          <w:t>ation</w:t>
        </w:r>
      </w:hyperlink>
      <w:r w:rsidR="00C74817">
        <w:t xml:space="preserve"> to see if the legal framework is still fit for purpose. </w:t>
      </w:r>
    </w:p>
    <w:p w14:paraId="3C1E4EED" w14:textId="2CE95B29" w:rsidR="00681A54" w:rsidRPr="00D404B4" w:rsidRDefault="00681A54" w:rsidP="00295AA8">
      <w:pPr>
        <w:spacing w:afterLines="120" w:after="288"/>
        <w:rPr>
          <w:bCs/>
        </w:rPr>
      </w:pPr>
      <w:r w:rsidRPr="00D404B4">
        <w:rPr>
          <w:bCs/>
        </w:rPr>
        <w:t xml:space="preserve">The </w:t>
      </w:r>
      <w:hyperlink r:id="rId38" w:history="1">
        <w:r w:rsidRPr="00D404B4">
          <w:rPr>
            <w:rStyle w:val="Hyperlink"/>
            <w:bCs/>
          </w:rPr>
          <w:t>Public Procurement Directive</w:t>
        </w:r>
      </w:hyperlink>
      <w:r w:rsidRPr="00D404B4">
        <w:rPr>
          <w:bCs/>
        </w:rPr>
        <w:t xml:space="preserve"> does include provisions requiring accessibility to be taken into consideration in drafting technical specification, as well as to be considered as an award and selection criteria. However, these provisions are not systematically used by public procurers and citizens do not have any remedial mechanism to challenge the purchasing decisions of public authorities when these are not accessible to them.</w:t>
      </w:r>
      <w:r w:rsidR="00C05770">
        <w:rPr>
          <w:bCs/>
        </w:rPr>
        <w:t xml:space="preserve"> </w:t>
      </w:r>
    </w:p>
    <w:p w14:paraId="456A6823" w14:textId="2AAFC36E" w:rsidR="007C390A" w:rsidRDefault="008A1997" w:rsidP="00295AA8">
      <w:pPr>
        <w:spacing w:afterLines="120" w:after="288"/>
        <w:rPr>
          <w:bCs/>
        </w:rPr>
      </w:pPr>
      <w:r>
        <w:rPr>
          <w:bCs/>
        </w:rPr>
        <w:t xml:space="preserve">In recent years, the EU has adopted </w:t>
      </w:r>
      <w:r w:rsidR="00701CC2" w:rsidRPr="00D404B4">
        <w:rPr>
          <w:bCs/>
        </w:rPr>
        <w:t>important legislation to regulate digital platforms and services such as internet access providers, cloud services, online marketplaces, app stores, and social media (</w:t>
      </w:r>
      <w:hyperlink r:id="rId39" w:history="1">
        <w:r w:rsidR="00701CC2" w:rsidRPr="00D404B4">
          <w:rPr>
            <w:rStyle w:val="Hyperlink"/>
            <w:bCs/>
          </w:rPr>
          <w:t>Digital Services Act</w:t>
        </w:r>
      </w:hyperlink>
      <w:r w:rsidR="00701CC2" w:rsidRPr="00D404B4">
        <w:rPr>
          <w:bCs/>
        </w:rPr>
        <w:t xml:space="preserve"> and </w:t>
      </w:r>
      <w:hyperlink r:id="rId40" w:history="1">
        <w:r w:rsidR="00701CC2" w:rsidRPr="00D404B4">
          <w:rPr>
            <w:rStyle w:val="Hyperlink"/>
            <w:bCs/>
          </w:rPr>
          <w:t>Digital Markets Act</w:t>
        </w:r>
      </w:hyperlink>
      <w:r w:rsidR="00701CC2" w:rsidRPr="00D404B4">
        <w:rPr>
          <w:bCs/>
        </w:rPr>
        <w:t>), and Artificial Intelligence (</w:t>
      </w:r>
      <w:hyperlink r:id="rId41" w:history="1">
        <w:r w:rsidR="00701CC2" w:rsidRPr="00D404B4">
          <w:rPr>
            <w:rStyle w:val="Hyperlink"/>
            <w:bCs/>
          </w:rPr>
          <w:t>AI Regulation</w:t>
        </w:r>
      </w:hyperlink>
      <w:r w:rsidR="00701CC2" w:rsidRPr="00D404B4">
        <w:rPr>
          <w:bCs/>
        </w:rPr>
        <w:t>).</w:t>
      </w:r>
      <w:r w:rsidR="009A6319" w:rsidRPr="00D404B4">
        <w:rPr>
          <w:bCs/>
        </w:rPr>
        <w:t xml:space="preserve"> </w:t>
      </w:r>
      <w:r w:rsidR="00CC437E" w:rsidRPr="00CC437E">
        <w:rPr>
          <w:bCs/>
        </w:rPr>
        <w:t xml:space="preserve">While accessibility was not present in the original proposals, the active advocacy of disability and digital rights organisations managed to include some requirements in the Digital Markets Act and the AI Act (only </w:t>
      </w:r>
      <w:hyperlink r:id="rId42" w:anchor="impact-accessibility" w:history="1">
        <w:r w:rsidR="00CC437E" w:rsidRPr="00CC437E">
          <w:rPr>
            <w:rStyle w:val="Hyperlink"/>
            <w:bCs/>
          </w:rPr>
          <w:t>for high-risk AI systems</w:t>
        </w:r>
      </w:hyperlink>
      <w:r w:rsidR="00CC437E" w:rsidRPr="00CC437E">
        <w:rPr>
          <w:bCs/>
        </w:rPr>
        <w:t xml:space="preserve">). However, the </w:t>
      </w:r>
      <w:hyperlink r:id="rId43" w:history="1">
        <w:r w:rsidR="00CC437E" w:rsidRPr="00CC437E">
          <w:rPr>
            <w:rStyle w:val="Hyperlink"/>
            <w:bCs/>
          </w:rPr>
          <w:t>Digital Services Act</w:t>
        </w:r>
      </w:hyperlink>
      <w:r w:rsidR="00CC437E" w:rsidRPr="00CC437E">
        <w:rPr>
          <w:bCs/>
        </w:rPr>
        <w:t xml:space="preserve"> only considers accessibility as a voluntary good practice.</w:t>
      </w:r>
      <w:r w:rsidR="004E2D04">
        <w:rPr>
          <w:bCs/>
        </w:rPr>
        <w:t xml:space="preserve"> </w:t>
      </w:r>
      <w:r w:rsidR="004E2D04" w:rsidRPr="004E2D04">
        <w:rPr>
          <w:bCs/>
        </w:rPr>
        <w:t>This legal gap will  mean that certain digital service providers not covered by the European Accessibility Act overlook accessibility for persons with disabilities.</w:t>
      </w:r>
    </w:p>
    <w:p w14:paraId="264F5391" w14:textId="697754DC" w:rsidR="00701CC2" w:rsidRPr="00D404B4" w:rsidRDefault="007C390A" w:rsidP="00295AA8">
      <w:pPr>
        <w:spacing w:afterLines="120" w:after="288"/>
        <w:rPr>
          <w:bCs/>
        </w:rPr>
      </w:pPr>
      <w:r>
        <w:rPr>
          <w:bCs/>
        </w:rPr>
        <w:t xml:space="preserve">The </w:t>
      </w:r>
      <w:r w:rsidR="00701CC2" w:rsidRPr="00D404B4">
        <w:rPr>
          <w:bCs/>
        </w:rPr>
        <w:t xml:space="preserve">general objectives for digitalisation </w:t>
      </w:r>
      <w:r>
        <w:rPr>
          <w:bCs/>
        </w:rPr>
        <w:t xml:space="preserve">set by the EU, under the </w:t>
      </w:r>
      <w:hyperlink r:id="rId44" w:history="1">
        <w:r w:rsidR="00701CC2" w:rsidRPr="00D404B4">
          <w:rPr>
            <w:rStyle w:val="Hyperlink"/>
            <w:bCs/>
          </w:rPr>
          <w:t>Digital Decade – targets for 2030</w:t>
        </w:r>
      </w:hyperlink>
      <w:r>
        <w:rPr>
          <w:bCs/>
        </w:rPr>
        <w:t xml:space="preserve">, </w:t>
      </w:r>
      <w:r w:rsidR="009A6319" w:rsidRPr="00D404B4">
        <w:rPr>
          <w:bCs/>
        </w:rPr>
        <w:t>do not sufficiently address accessibility for persons with disabilities</w:t>
      </w:r>
      <w:r>
        <w:rPr>
          <w:bCs/>
        </w:rPr>
        <w:t>. F</w:t>
      </w:r>
      <w:r w:rsidR="009A6319" w:rsidRPr="00D404B4">
        <w:rPr>
          <w:bCs/>
        </w:rPr>
        <w:t xml:space="preserve">or </w:t>
      </w:r>
      <w:r w:rsidR="00DA05CB" w:rsidRPr="00D404B4">
        <w:rPr>
          <w:bCs/>
        </w:rPr>
        <w:t>example,</w:t>
      </w:r>
      <w:r w:rsidR="009A6319" w:rsidRPr="00D404B4">
        <w:rPr>
          <w:bCs/>
        </w:rPr>
        <w:t xml:space="preserve"> </w:t>
      </w:r>
      <w:r w:rsidR="00456606" w:rsidRPr="00D404B4">
        <w:rPr>
          <w:bCs/>
        </w:rPr>
        <w:t xml:space="preserve">only </w:t>
      </w:r>
      <w:r w:rsidR="009A6319" w:rsidRPr="00D404B4">
        <w:rPr>
          <w:bCs/>
        </w:rPr>
        <w:t xml:space="preserve">accessibility of public online services are </w:t>
      </w:r>
      <w:r w:rsidR="00456606" w:rsidRPr="00D404B4">
        <w:rPr>
          <w:bCs/>
        </w:rPr>
        <w:t>mentioned, leaving out private services.</w:t>
      </w:r>
      <w:r>
        <w:rPr>
          <w:bCs/>
        </w:rPr>
        <w:t xml:space="preserve"> </w:t>
      </w:r>
      <w:r w:rsidR="00456606" w:rsidRPr="00D404B4">
        <w:rPr>
          <w:bCs/>
        </w:rPr>
        <w:t xml:space="preserve">Accessibility is also not mentioned in relation to digital skill-building and development of ICT expertise in the EU. </w:t>
      </w:r>
      <w:r w:rsidR="00352828" w:rsidRPr="00D404B4">
        <w:rPr>
          <w:bCs/>
        </w:rPr>
        <w:t>This may particularly impact people with disabilities who are not trained on digital technology, including women and older persons with disabilities.</w:t>
      </w:r>
    </w:p>
    <w:p w14:paraId="67584108" w14:textId="224E39DB" w:rsidR="005D737B" w:rsidRPr="00D404B4" w:rsidRDefault="00980E22" w:rsidP="00295AA8">
      <w:pPr>
        <w:spacing w:afterLines="120" w:after="288"/>
      </w:pPr>
      <w:r>
        <w:rPr>
          <w:b/>
        </w:rPr>
        <w:t>We call for:</w:t>
      </w:r>
    </w:p>
    <w:p w14:paraId="465C075B" w14:textId="2444B663" w:rsidR="00980E22" w:rsidRDefault="00292F42" w:rsidP="00E3556C">
      <w:pPr>
        <w:pStyle w:val="ListParagraph"/>
        <w:numPr>
          <w:ilvl w:val="0"/>
          <w:numId w:val="3"/>
        </w:numPr>
        <w:spacing w:after="0"/>
        <w:ind w:left="714" w:hanging="357"/>
        <w:contextualSpacing w:val="0"/>
      </w:pPr>
      <w:r>
        <w:t>Adopt</w:t>
      </w:r>
      <w:r w:rsidR="00980E22">
        <w:t xml:space="preserve">ion of </w:t>
      </w:r>
      <w:r>
        <w:t>specific legislation to address accessibility of the built environment, transport infrastructure</w:t>
      </w:r>
      <w:r w:rsidR="005C7DB8">
        <w:t xml:space="preserve"> and</w:t>
      </w:r>
      <w:r>
        <w:t xml:space="preserve"> vehicles</w:t>
      </w:r>
      <w:r w:rsidR="005C7DB8">
        <w:t xml:space="preserve"> as well as</w:t>
      </w:r>
      <w:r w:rsidR="002E32C4">
        <w:t xml:space="preserve"> </w:t>
      </w:r>
      <w:r>
        <w:t xml:space="preserve">home appliances. </w:t>
      </w:r>
    </w:p>
    <w:p w14:paraId="1A393063" w14:textId="77777777" w:rsidR="00980E22" w:rsidRDefault="00292F42" w:rsidP="00E3556C">
      <w:pPr>
        <w:pStyle w:val="ListParagraph"/>
        <w:numPr>
          <w:ilvl w:val="0"/>
          <w:numId w:val="3"/>
        </w:numPr>
        <w:spacing w:after="0"/>
        <w:ind w:left="714" w:hanging="357"/>
        <w:contextualSpacing w:val="0"/>
      </w:pPr>
      <w:r w:rsidRPr="00292F42">
        <w:t>Revis</w:t>
      </w:r>
      <w:r w:rsidR="00980E22">
        <w:t>ion of the</w:t>
      </w:r>
      <w:r w:rsidRPr="00292F42">
        <w:t xml:space="preserve"> Regulation 1025/2012 on standardisation to ensure the meaningful participation of persons with disabilities in standardisation processes. Such revision should</w:t>
      </w:r>
      <w:r w:rsidR="00830CBF">
        <w:t xml:space="preserve"> ensure</w:t>
      </w:r>
      <w:r w:rsidRPr="00292F42">
        <w:t xml:space="preserve"> equal voting rights, accessibility and financial measures to ensure a balanced representation of civil society vis-à-vis industry. </w:t>
      </w:r>
    </w:p>
    <w:p w14:paraId="51A659DD" w14:textId="65D4ED92" w:rsidR="00980E22" w:rsidRPr="00C20C7F" w:rsidRDefault="00E11482" w:rsidP="00E3556C">
      <w:pPr>
        <w:pStyle w:val="ListParagraph"/>
        <w:numPr>
          <w:ilvl w:val="0"/>
          <w:numId w:val="3"/>
        </w:numPr>
        <w:spacing w:after="0"/>
        <w:ind w:left="714" w:hanging="357"/>
      </w:pPr>
      <w:r w:rsidRPr="00E11482">
        <w:t>Mainstream</w:t>
      </w:r>
      <w:r w:rsidR="00980E22">
        <w:t>ing of</w:t>
      </w:r>
      <w:r w:rsidRPr="00E11482">
        <w:t xml:space="preserve"> accessibility in all new digital legislation to ensure that persons with disabilities enjoy the same benefits from digitalisation and legal protection of their right of equal access to digital technologies. When doing so, legislation should always refer to </w:t>
      </w:r>
      <w:r w:rsidRPr="00C20C7F">
        <w:t>the accessibility requirements set out in the Annexes of the European Accessibility Act (Directive 2019 / 882).</w:t>
      </w:r>
    </w:p>
    <w:p w14:paraId="58BCDC80" w14:textId="58611BC5" w:rsidR="00837829" w:rsidRPr="00C20C7F" w:rsidRDefault="00DB01D9" w:rsidP="00295AA8">
      <w:pPr>
        <w:pStyle w:val="Heading2"/>
        <w:rPr>
          <w:lang w:val="en-GB"/>
        </w:rPr>
      </w:pPr>
      <w:bookmarkStart w:id="22" w:name="_Toc179386641"/>
      <w:r w:rsidRPr="00C20C7F">
        <w:rPr>
          <w:lang w:val="en-GB"/>
        </w:rPr>
        <w:t xml:space="preserve">Article 10: </w:t>
      </w:r>
      <w:r w:rsidR="00837829" w:rsidRPr="00C20C7F">
        <w:rPr>
          <w:lang w:val="en-GB"/>
        </w:rPr>
        <w:t>Right to life</w:t>
      </w:r>
      <w:bookmarkEnd w:id="22"/>
    </w:p>
    <w:p w14:paraId="74AA4A65" w14:textId="6C6D0871" w:rsidR="00837829" w:rsidRPr="00D404B4" w:rsidRDefault="00837829" w:rsidP="00295AA8">
      <w:pPr>
        <w:spacing w:afterLines="120" w:after="288"/>
      </w:pPr>
      <w:r w:rsidRPr="00C20C7F">
        <w:t>Persons with disabilities, in particular women, and persons with intellectual</w:t>
      </w:r>
      <w:r w:rsidR="008116B2" w:rsidRPr="00C20C7F">
        <w:t xml:space="preserve">, </w:t>
      </w:r>
      <w:r w:rsidRPr="00C20C7F">
        <w:t>psychosocial disabilities</w:t>
      </w:r>
      <w:r w:rsidR="008116B2" w:rsidRPr="00C20C7F">
        <w:t xml:space="preserve"> and autism,</w:t>
      </w:r>
      <w:r w:rsidRPr="00C20C7F">
        <w:t xml:space="preserve"> are at high risk of human rights abuse, including violations of the right to life. When</w:t>
      </w:r>
      <w:r w:rsidR="00801028" w:rsidRPr="00C20C7F">
        <w:t xml:space="preserve"> </w:t>
      </w:r>
      <w:r w:rsidRPr="00C20C7F">
        <w:t>placed</w:t>
      </w:r>
      <w:r w:rsidR="0053666B" w:rsidRPr="00C20C7F">
        <w:t xml:space="preserve"> </w:t>
      </w:r>
      <w:r w:rsidRPr="00C20C7F">
        <w:t>against their will in institutions, they may be subject to forced treatment, violence, unhygienic conditions</w:t>
      </w:r>
      <w:r w:rsidRPr="00D404B4">
        <w:t xml:space="preserve">, use of physical constraints, lack of food, </w:t>
      </w:r>
      <w:r w:rsidR="00057EEF" w:rsidRPr="00D404B4">
        <w:t>water,</w:t>
      </w:r>
      <w:r w:rsidRPr="00D404B4">
        <w:t xml:space="preserve"> and appropriate health care, all of which put their life in danger. </w:t>
      </w:r>
      <w:r w:rsidR="006A443B" w:rsidRPr="00D404B4">
        <w:t>For example, in</w:t>
      </w:r>
      <w:r w:rsidRPr="00D404B4">
        <w:t xml:space="preserve"> January 2020</w:t>
      </w:r>
      <w:r w:rsidR="006A443B" w:rsidRPr="00D404B4">
        <w:t xml:space="preserve">, </w:t>
      </w:r>
      <w:hyperlink r:id="rId45" w:history="1">
        <w:r w:rsidRPr="00D404B4">
          <w:rPr>
            <w:rStyle w:val="Hyperlink"/>
          </w:rPr>
          <w:t xml:space="preserve">8 </w:t>
        </w:r>
        <w:r w:rsidRPr="00D404B4">
          <w:rPr>
            <w:rStyle w:val="Hyperlink"/>
          </w:rPr>
          <w:lastRenderedPageBreak/>
          <w:t>persons with disabilities died during a fire in a residential institution in Czechia</w:t>
        </w:r>
      </w:hyperlink>
      <w:r w:rsidR="00EE05A6">
        <w:rPr>
          <w:rStyle w:val="Hyperlink"/>
          <w:color w:val="auto"/>
          <w:u w:val="none"/>
        </w:rPr>
        <w:t xml:space="preserve"> and in December 2021, </w:t>
      </w:r>
      <w:hyperlink r:id="rId46" w:history="1">
        <w:r w:rsidR="00EE05A6" w:rsidRPr="00EE05A6">
          <w:rPr>
            <w:rStyle w:val="Hyperlink"/>
          </w:rPr>
          <w:t>4 people with disabilities in a fire in a residential institution in Slovakia</w:t>
        </w:r>
      </w:hyperlink>
      <w:r w:rsidRPr="00D404B4">
        <w:t>. Segregating persons with disabilities in residential institutions leaves them isolated and exposed to all kinds of risks, including death.</w:t>
      </w:r>
      <w:r w:rsidR="001755AE" w:rsidRPr="00D404B4">
        <w:rPr>
          <w:rStyle w:val="FootnoteReference"/>
        </w:rPr>
        <w:footnoteReference w:id="31"/>
      </w:r>
      <w:r w:rsidR="006A443B" w:rsidRPr="00D404B4">
        <w:t xml:space="preserve"> </w:t>
      </w:r>
    </w:p>
    <w:p w14:paraId="5F94E827" w14:textId="40C44DF6" w:rsidR="003F3191" w:rsidRPr="00D404B4" w:rsidRDefault="007A2B82" w:rsidP="00295AA8">
      <w:pPr>
        <w:spacing w:afterLines="120" w:after="288"/>
      </w:pPr>
      <w:r w:rsidRPr="00D404B4">
        <w:t>Such segregation and isolation</w:t>
      </w:r>
      <w:r w:rsidR="008F1983" w:rsidRPr="00D404B4">
        <w:t>, in combination with ineffective disaster risk reduction and emergency preparedness plans</w:t>
      </w:r>
      <w:r w:rsidR="00067B6B" w:rsidRPr="00D404B4">
        <w:t>,</w:t>
      </w:r>
      <w:r w:rsidR="00067B6B" w:rsidRPr="00D404B4">
        <w:rPr>
          <w:rStyle w:val="FootnoteReference"/>
        </w:rPr>
        <w:footnoteReference w:id="32"/>
      </w:r>
      <w:r w:rsidR="008F1983" w:rsidRPr="00D404B4">
        <w:t xml:space="preserve"> </w:t>
      </w:r>
      <w:r w:rsidRPr="00D404B4">
        <w:t>also expose persons with</w:t>
      </w:r>
      <w:r w:rsidR="008F1983" w:rsidRPr="00D404B4">
        <w:t xml:space="preserve"> disabilities </w:t>
      </w:r>
      <w:r w:rsidRPr="00D404B4">
        <w:t xml:space="preserve">to increased risk of death during </w:t>
      </w:r>
      <w:r w:rsidR="008F1983" w:rsidRPr="00D404B4">
        <w:t>natural disasters</w:t>
      </w:r>
      <w:r w:rsidR="003F3191" w:rsidRPr="00D404B4">
        <w:t>. In July 2021,</w:t>
      </w:r>
      <w:hyperlink r:id="rId47" w:history="1">
        <w:r w:rsidR="003F3191" w:rsidRPr="00D404B4">
          <w:rPr>
            <w:rStyle w:val="Hyperlink"/>
          </w:rPr>
          <w:t>12 persons with disabilities living in an institution in Germany lost their lives because they were not evacuated on time during flooding after heavy rainfall</w:t>
        </w:r>
      </w:hyperlink>
      <w:r w:rsidR="003F3191" w:rsidRPr="00D404B4">
        <w:t xml:space="preserve">. </w:t>
      </w:r>
    </w:p>
    <w:p w14:paraId="517882D7" w14:textId="77777777" w:rsidR="00272650" w:rsidRDefault="00837829" w:rsidP="00295AA8">
      <w:pPr>
        <w:spacing w:afterLines="120" w:after="288"/>
      </w:pPr>
      <w:r w:rsidRPr="00D404B4">
        <w:t>In times of humanitarian emergencies, such as the pandemic of COVID</w:t>
      </w:r>
      <w:r w:rsidR="006A443B" w:rsidRPr="00D404B4">
        <w:t>-</w:t>
      </w:r>
      <w:r w:rsidRPr="00D404B4">
        <w:t>19, healthcare professionals</w:t>
      </w:r>
      <w:r w:rsidR="00A81B39">
        <w:t xml:space="preserve"> in some countries</w:t>
      </w:r>
      <w:r w:rsidRPr="00D404B4">
        <w:t xml:space="preserve"> </w:t>
      </w:r>
      <w:r w:rsidR="006A443B" w:rsidRPr="00D404B4">
        <w:t>were not</w:t>
      </w:r>
      <w:r w:rsidRPr="00D404B4">
        <w:t xml:space="preserve"> able to provide the same level of care to everyone due to lack of equipment and underfunding of the healthcare sector</w:t>
      </w:r>
      <w:r w:rsidR="00BA2405" w:rsidRPr="00D404B4">
        <w:t>.</w:t>
      </w:r>
      <w:r w:rsidRPr="00D404B4">
        <w:t xml:space="preserve"> </w:t>
      </w:r>
      <w:r w:rsidR="008116B2" w:rsidRPr="00D404B4">
        <w:t xml:space="preserve">COVID-19 testing, outpatients and inpatients </w:t>
      </w:r>
      <w:r w:rsidR="008116B2" w:rsidRPr="00CB2011">
        <w:t>services were often inaccessible and ICU triage protocols in many European countries (directly or indirectly) resulted in discriminatory exclusions of persons with disabilities from lifesaving treatments.</w:t>
      </w:r>
      <w:r w:rsidR="008116B2" w:rsidRPr="00CB2011">
        <w:rPr>
          <w:rStyle w:val="FootnoteReference"/>
        </w:rPr>
        <w:footnoteReference w:id="33"/>
      </w:r>
      <w:r w:rsidR="008116B2" w:rsidRPr="00CB2011">
        <w:t xml:space="preserve"> </w:t>
      </w:r>
      <w:r w:rsidR="00033B69" w:rsidRPr="00CB2011">
        <w:t xml:space="preserve">This </w:t>
      </w:r>
      <w:r w:rsidR="00A81B39" w:rsidRPr="00CB2011">
        <w:t>led</w:t>
      </w:r>
      <w:r w:rsidR="006551E2" w:rsidRPr="00CB2011">
        <w:t xml:space="preserve"> to </w:t>
      </w:r>
      <w:r w:rsidR="00033B69" w:rsidRPr="00CB2011">
        <w:t>people in institutional settings fac</w:t>
      </w:r>
      <w:r w:rsidR="00A81B39">
        <w:t>ing</w:t>
      </w:r>
      <w:r w:rsidR="00033B69" w:rsidRPr="00CB2011">
        <w:t xml:space="preserve"> the highest rates of infection and mortality from COVID-19. In Slovenia, for instance, 81% of the COVID-19 deaths were among care home residents</w:t>
      </w:r>
      <w:r w:rsidR="005E13BE" w:rsidRPr="00CB2011">
        <w:t>.</w:t>
      </w:r>
      <w:r w:rsidR="007754B5" w:rsidRPr="00CB2011">
        <w:rPr>
          <w:rStyle w:val="FootnoteReference"/>
        </w:rPr>
        <w:footnoteReference w:id="34"/>
      </w:r>
      <w:r w:rsidR="00F4180A" w:rsidRPr="00CB2011">
        <w:t xml:space="preserve"> That situation also particularly affected older persons</w:t>
      </w:r>
      <w:r w:rsidR="00F4180A" w:rsidRPr="00D404B4">
        <w:t>, with a significant number of</w:t>
      </w:r>
      <w:r w:rsidR="005F246F" w:rsidRPr="00D404B4">
        <w:t xml:space="preserve"> older</w:t>
      </w:r>
      <w:r w:rsidR="00F4180A" w:rsidRPr="00D404B4">
        <w:t xml:space="preserve"> persons with disabilities</w:t>
      </w:r>
      <w:r w:rsidR="005F246F" w:rsidRPr="00D404B4">
        <w:t xml:space="preserve">, such as </w:t>
      </w:r>
      <w:r w:rsidR="00F4180A" w:rsidRPr="00D404B4">
        <w:t>with dementia</w:t>
      </w:r>
      <w:r w:rsidR="005F246F" w:rsidRPr="00D404B4">
        <w:t>,</w:t>
      </w:r>
      <w:r w:rsidR="00F4180A" w:rsidRPr="00D404B4">
        <w:t xml:space="preserve"> being impacted by the COVID-19 pandemic.</w:t>
      </w:r>
      <w:r w:rsidR="00F4180A" w:rsidRPr="00D404B4">
        <w:rPr>
          <w:rStyle w:val="FootnoteReference"/>
        </w:rPr>
        <w:footnoteReference w:id="35"/>
      </w:r>
      <w:r w:rsidR="00F4180A" w:rsidRPr="00D404B4">
        <w:t xml:space="preserve"> </w:t>
      </w:r>
    </w:p>
    <w:p w14:paraId="43F50D96" w14:textId="5F8A099C" w:rsidR="00837829" w:rsidRDefault="002709C7" w:rsidP="00295AA8">
      <w:pPr>
        <w:spacing w:afterLines="120" w:after="288"/>
      </w:pPr>
      <w:r w:rsidRPr="002709C7">
        <w:t>In response to some of these challenges, the European Centre for Disease Prevention and Control (ECDC) issued “</w:t>
      </w:r>
      <w:hyperlink r:id="rId48" w:history="1">
        <w:r w:rsidRPr="008D3D9F">
          <w:rPr>
            <w:rStyle w:val="Hyperlink"/>
          </w:rPr>
          <w:t>Guidance on the provision of support for medically and socially vulnerable populations</w:t>
        </w:r>
      </w:hyperlink>
      <w:r w:rsidRPr="002709C7">
        <w:t>” including persons with disabilities, detailing recommendations to promote equity and human rights</w:t>
      </w:r>
      <w:r w:rsidRPr="002709C7">
        <w:rPr>
          <w:vertAlign w:val="superscript"/>
        </w:rPr>
        <w:footnoteReference w:id="36"/>
      </w:r>
      <w:r w:rsidRPr="002709C7">
        <w:t>. Recommendations included ensuring legal protection for all populations at risk of discrimination and ensuring that health services critical to populations at risk of discrimination are not deprioritised on a discriminatory basis, where resources are limited due to public health crisis. It is unclear what the EU has done to support the implementation and further development of these recommendations to protect against indirect</w:t>
      </w:r>
      <w:r w:rsidRPr="002709C7">
        <w:rPr>
          <w:vertAlign w:val="superscript"/>
        </w:rPr>
        <w:footnoteReference w:id="37"/>
      </w:r>
      <w:r w:rsidRPr="002709C7">
        <w:t xml:space="preserve"> and direct threats to the right to life of persons with disabilities in ongoing and future health crisis and emergencies. In the meantime, Member States have continued to implement practices and policies that discriminate, directly or indirectly against persons with disabilities’ right to life on an equal basis with others</w:t>
      </w:r>
      <w:r w:rsidR="008D3D9F">
        <w:t>.</w:t>
      </w:r>
      <w:r w:rsidRPr="002709C7">
        <w:rPr>
          <w:vertAlign w:val="superscript"/>
        </w:rPr>
        <w:footnoteReference w:id="38"/>
      </w:r>
    </w:p>
    <w:p w14:paraId="12319B97" w14:textId="6FDE3A64" w:rsidR="005F1FA1" w:rsidRDefault="00F61BFB" w:rsidP="005F1FA1">
      <w:pPr>
        <w:spacing w:afterLines="120" w:after="288"/>
      </w:pPr>
      <w:r>
        <w:t>In addition, p</w:t>
      </w:r>
      <w:r w:rsidR="005F1FA1">
        <w:t>ersons</w:t>
      </w:r>
      <w:r w:rsidR="005F1FA1" w:rsidRPr="005F1FA1">
        <w:t xml:space="preserve"> with disabilities </w:t>
      </w:r>
      <w:r w:rsidR="00E30F53">
        <w:t>face</w:t>
      </w:r>
      <w:r w:rsidR="005F1FA1" w:rsidRPr="005F1FA1">
        <w:t xml:space="preserve"> heightened </w:t>
      </w:r>
      <w:r w:rsidR="00E30F53">
        <w:t>challenges</w:t>
      </w:r>
      <w:r w:rsidR="005F1FA1" w:rsidRPr="005F1FA1">
        <w:t xml:space="preserve"> during armed conflicts, particularly </w:t>
      </w:r>
      <w:r w:rsidR="00E30F53">
        <w:t>in accessing</w:t>
      </w:r>
      <w:r w:rsidR="005F1FA1" w:rsidRPr="005F1FA1">
        <w:t xml:space="preserve"> critical medical care, assistive devices, essential medicines, food and water. </w:t>
      </w:r>
      <w:r w:rsidR="005369D5">
        <w:t>Th</w:t>
      </w:r>
      <w:r w:rsidR="00E30F53">
        <w:t xml:space="preserve">e </w:t>
      </w:r>
      <w:r>
        <w:t>said</w:t>
      </w:r>
      <w:r w:rsidR="00E30F53">
        <w:t xml:space="preserve"> difficulties</w:t>
      </w:r>
      <w:r w:rsidR="005369D5">
        <w:t xml:space="preserve"> </w:t>
      </w:r>
      <w:r w:rsidR="00E30F53">
        <w:t>are evident</w:t>
      </w:r>
      <w:r w:rsidR="005369D5">
        <w:t xml:space="preserve"> in humanitarian emergencies</w:t>
      </w:r>
      <w:r w:rsidR="00E30F53">
        <w:t>,</w:t>
      </w:r>
      <w:r w:rsidR="005369D5">
        <w:t xml:space="preserve"> such as </w:t>
      </w:r>
      <w:r w:rsidR="00E30F53">
        <w:t>those in</w:t>
      </w:r>
      <w:r w:rsidR="005369D5">
        <w:t xml:space="preserve"> </w:t>
      </w:r>
      <w:r w:rsidR="005369D5">
        <w:lastRenderedPageBreak/>
        <w:t xml:space="preserve">Ukraine and Gaza. </w:t>
      </w:r>
      <w:r w:rsidR="005F1FA1" w:rsidRPr="005F1FA1">
        <w:t xml:space="preserve">In Gaza, it is estimated that more than 15% of the displaced population consists of persons with disabilities. Of the 36 hospitals in the region, only four remain undamaged, </w:t>
      </w:r>
      <w:r w:rsidRPr="005F1FA1">
        <w:t>raided</w:t>
      </w:r>
      <w:r w:rsidR="005F1FA1" w:rsidRPr="005F1FA1">
        <w:t xml:space="preserve"> by Israeli forces, or operational. Among the 79,562 people injured, at least 5,000 are individuals with disabilities</w:t>
      </w:r>
      <w:r w:rsidR="005F1FA1">
        <w:t>.</w:t>
      </w:r>
      <w:r>
        <w:rPr>
          <w:rStyle w:val="FootnoteReference"/>
        </w:rPr>
        <w:footnoteReference w:id="39"/>
      </w:r>
      <w:r w:rsidR="00952F50">
        <w:t xml:space="preserve"> The EU has not taken concrete and effective actions to sufficiently protect the lives of persons with disabilities in its response to these armed conflicts and regarding the provision of humanitarian aids.</w:t>
      </w:r>
    </w:p>
    <w:p w14:paraId="2B1707F0" w14:textId="3B163D5E" w:rsidR="00837829" w:rsidRPr="00D404B4" w:rsidRDefault="00947B11" w:rsidP="00295AA8">
      <w:pPr>
        <w:spacing w:afterLines="120" w:after="288"/>
      </w:pPr>
      <w:r>
        <w:rPr>
          <w:b/>
        </w:rPr>
        <w:t xml:space="preserve">We call for: </w:t>
      </w:r>
    </w:p>
    <w:p w14:paraId="48CBF5A8" w14:textId="14B9D3F4" w:rsidR="002A5941" w:rsidRDefault="00D81D2C" w:rsidP="002A5941">
      <w:pPr>
        <w:pStyle w:val="ListParagraph"/>
        <w:numPr>
          <w:ilvl w:val="0"/>
          <w:numId w:val="13"/>
        </w:numPr>
        <w:spacing w:afterLines="120" w:after="288" w:line="240" w:lineRule="auto"/>
        <w:ind w:left="714" w:hanging="357"/>
      </w:pPr>
      <w:r>
        <w:t>R</w:t>
      </w:r>
      <w:r w:rsidR="00837829" w:rsidRPr="00D404B4">
        <w:t>esearch into deaths</w:t>
      </w:r>
      <w:r w:rsidR="00A572CB">
        <w:t xml:space="preserve"> occurring</w:t>
      </w:r>
      <w:r w:rsidR="00837829" w:rsidRPr="00D404B4">
        <w:t xml:space="preserve"> in institutions</w:t>
      </w:r>
      <w:r w:rsidR="00DC0DB3" w:rsidRPr="00D404B4">
        <w:t>, particular</w:t>
      </w:r>
      <w:r w:rsidR="00A572CB">
        <w:t>ly those funded by the</w:t>
      </w:r>
      <w:r w:rsidR="00DC0DB3" w:rsidRPr="00D404B4">
        <w:t xml:space="preserve"> </w:t>
      </w:r>
      <w:r w:rsidR="00A572CB">
        <w:t>EU,</w:t>
      </w:r>
      <w:r w:rsidR="00837829" w:rsidRPr="00D404B4">
        <w:t xml:space="preserve"> and </w:t>
      </w:r>
      <w:r w:rsidR="00A572CB">
        <w:t>initiation of</w:t>
      </w:r>
      <w:r w:rsidR="00837829" w:rsidRPr="00D404B4">
        <w:t xml:space="preserve"> investigations with effective sanctions for perpetrators (both state and non-state</w:t>
      </w:r>
      <w:r w:rsidR="00A572CB">
        <w:t xml:space="preserve"> actors</w:t>
      </w:r>
      <w:r w:rsidR="00917CDD">
        <w:t>)</w:t>
      </w:r>
      <w:r w:rsidR="00A572CB">
        <w:t xml:space="preserve">. </w:t>
      </w:r>
    </w:p>
    <w:p w14:paraId="6DAA39A3" w14:textId="2C760092" w:rsidR="002A5941" w:rsidRPr="00D404B4" w:rsidRDefault="002A5941" w:rsidP="002A5941">
      <w:pPr>
        <w:pStyle w:val="ListParagraph"/>
        <w:numPr>
          <w:ilvl w:val="0"/>
          <w:numId w:val="13"/>
        </w:numPr>
        <w:spacing w:afterLines="120" w:after="288" w:line="240" w:lineRule="auto"/>
        <w:ind w:left="714" w:hanging="357"/>
      </w:pPr>
      <w:r>
        <w:t xml:space="preserve">Ensuring </w:t>
      </w:r>
      <w:r w:rsidRPr="00CB2011">
        <w:t xml:space="preserve">that medical guidelines for healthcare professionals </w:t>
      </w:r>
      <w:r>
        <w:t>are non-</w:t>
      </w:r>
      <w:r w:rsidRPr="00CB2011">
        <w:t>discriminat</w:t>
      </w:r>
      <w:r>
        <w:t>ory</w:t>
      </w:r>
      <w:r w:rsidRPr="00CB2011">
        <w:t xml:space="preserve"> </w:t>
      </w:r>
      <w:r>
        <w:t>towards</w:t>
      </w:r>
      <w:r w:rsidRPr="00CB2011">
        <w:t xml:space="preserve"> persons with disabilities</w:t>
      </w:r>
      <w:r>
        <w:t xml:space="preserve">, safeguarding </w:t>
      </w:r>
      <w:r w:rsidRPr="00CB2011">
        <w:t xml:space="preserve">their right </w:t>
      </w:r>
      <w:r w:rsidRPr="00D404B4">
        <w:t>to life on an equal basis with others</w:t>
      </w:r>
      <w:r>
        <w:t>, including during public health emergencies.</w:t>
      </w:r>
    </w:p>
    <w:p w14:paraId="5142D83A" w14:textId="4600BA47" w:rsidR="00D81D2C" w:rsidRPr="00C20C7F" w:rsidRDefault="002A5941" w:rsidP="002A5941">
      <w:pPr>
        <w:pStyle w:val="ListParagraph"/>
        <w:numPr>
          <w:ilvl w:val="0"/>
          <w:numId w:val="13"/>
        </w:numPr>
        <w:spacing w:afterLines="120" w:after="288" w:line="240" w:lineRule="auto"/>
        <w:ind w:left="714" w:hanging="357"/>
      </w:pPr>
      <w:r>
        <w:t>I</w:t>
      </w:r>
      <w:r w:rsidR="00D81D2C">
        <w:t>nclusion of persons with disabilities and their rights in protocols and decision</w:t>
      </w:r>
      <w:r w:rsidR="00A572CB">
        <w:t>-making</w:t>
      </w:r>
      <w:r w:rsidR="00D81D2C">
        <w:t xml:space="preserve"> related to humanitarian emergencies, pandemics and natural </w:t>
      </w:r>
      <w:r w:rsidR="00A572CB">
        <w:t>disasters</w:t>
      </w:r>
      <w:r w:rsidR="00D81D2C">
        <w:t>, to foster disabilit</w:t>
      </w:r>
      <w:r w:rsidR="00A572CB">
        <w:t>y-</w:t>
      </w:r>
      <w:r w:rsidR="00D81D2C">
        <w:t>inclusive response</w:t>
      </w:r>
      <w:r w:rsidR="00A572CB">
        <w:t>s</w:t>
      </w:r>
      <w:r w:rsidR="00D81D2C">
        <w:t xml:space="preserve"> by EU countries and prevent the death of persons with </w:t>
      </w:r>
      <w:r w:rsidR="00D81D2C" w:rsidRPr="00C20C7F">
        <w:t>disabilities.</w:t>
      </w:r>
    </w:p>
    <w:p w14:paraId="64C0F1BA" w14:textId="550664D1" w:rsidR="00707D40" w:rsidRPr="00C20C7F" w:rsidRDefault="00F61343" w:rsidP="00295AA8">
      <w:pPr>
        <w:pStyle w:val="Heading2"/>
        <w:rPr>
          <w:lang w:val="en-GB"/>
        </w:rPr>
      </w:pPr>
      <w:bookmarkStart w:id="23" w:name="_Toc179386642"/>
      <w:r w:rsidRPr="00C20C7F">
        <w:rPr>
          <w:lang w:val="en-GB"/>
        </w:rPr>
        <w:t xml:space="preserve">Article 11: </w:t>
      </w:r>
      <w:r w:rsidR="00707D40" w:rsidRPr="00C20C7F">
        <w:rPr>
          <w:lang w:val="en-GB"/>
        </w:rPr>
        <w:t>Situations of risk and humanitarian emergencies</w:t>
      </w:r>
      <w:bookmarkEnd w:id="23"/>
      <w:r w:rsidR="00707D40" w:rsidRPr="00C20C7F">
        <w:rPr>
          <w:lang w:val="en-GB"/>
        </w:rPr>
        <w:t xml:space="preserve"> </w:t>
      </w:r>
    </w:p>
    <w:p w14:paraId="509827E3" w14:textId="4E303747" w:rsidR="007F0C5E" w:rsidRPr="00D404B4" w:rsidRDefault="007F0C5E" w:rsidP="00295AA8">
      <w:pPr>
        <w:pStyle w:val="Heading3"/>
      </w:pPr>
      <w:r w:rsidRPr="00C20C7F">
        <w:t>Work of</w:t>
      </w:r>
      <w:r w:rsidR="00E05376" w:rsidRPr="00C20C7F">
        <w:t xml:space="preserve"> the Directorate-General for European Civil Protection and Humanitarian Aid Operations</w:t>
      </w:r>
      <w:r w:rsidRPr="00C20C7F">
        <w:t xml:space="preserve"> </w:t>
      </w:r>
      <w:r w:rsidR="00E05376" w:rsidRPr="00C20C7F">
        <w:t>(</w:t>
      </w:r>
      <w:r w:rsidRPr="00C20C7F">
        <w:t>DG</w:t>
      </w:r>
      <w:r w:rsidRPr="00D404B4">
        <w:t xml:space="preserve"> ECHO</w:t>
      </w:r>
      <w:r w:rsidR="00E05376">
        <w:t>)</w:t>
      </w:r>
    </w:p>
    <w:p w14:paraId="37B40FD3" w14:textId="1D50847B" w:rsidR="006E1DD2" w:rsidRPr="00D404B4" w:rsidRDefault="00BE4E23" w:rsidP="00295AA8">
      <w:r>
        <w:t xml:space="preserve">In 2019, </w:t>
      </w:r>
      <w:r w:rsidR="00DF0358" w:rsidRPr="00D404B4">
        <w:t xml:space="preserve">DG ECHO published a </w:t>
      </w:r>
      <w:hyperlink r:id="rId49" w:history="1">
        <w:r w:rsidR="00DF0358" w:rsidRPr="00D404B4">
          <w:rPr>
            <w:rStyle w:val="Hyperlink"/>
          </w:rPr>
          <w:t>Guidance Note on the Inclusion of Persons with Disabilities in EU-funded Humanitarian Aid Operations</w:t>
        </w:r>
      </w:hyperlink>
      <w:r w:rsidR="00DF0358" w:rsidRPr="00D404B4">
        <w:t>.</w:t>
      </w:r>
      <w:r>
        <w:t xml:space="preserve"> This is a </w:t>
      </w:r>
      <w:r w:rsidR="006E1DD2">
        <w:t>positive</w:t>
      </w:r>
      <w:r>
        <w:t xml:space="preserve"> achievement</w:t>
      </w:r>
      <w:r w:rsidR="006E1DD2">
        <w:t>. H</w:t>
      </w:r>
      <w:r>
        <w:t>owever</w:t>
      </w:r>
      <w:r w:rsidR="006E1DD2">
        <w:t>, as of</w:t>
      </w:r>
      <w:r w:rsidR="00E05376">
        <w:t xml:space="preserve"> 2024, at the time of </w:t>
      </w:r>
      <w:r w:rsidR="0048387C">
        <w:t>preparing</w:t>
      </w:r>
      <w:r w:rsidR="00E05376">
        <w:t xml:space="preserve"> this report, </w:t>
      </w:r>
      <w:r w:rsidR="006E1DD2">
        <w:t xml:space="preserve">there is still no clear information on </w:t>
      </w:r>
      <w:r w:rsidR="00E05376">
        <w:t xml:space="preserve">how </w:t>
      </w:r>
      <w:r w:rsidR="004F6185" w:rsidRPr="00D404B4">
        <w:t xml:space="preserve">this Guidance Note </w:t>
      </w:r>
      <w:r w:rsidR="006E1DD2">
        <w:t>is being</w:t>
      </w:r>
      <w:r w:rsidR="004F6185" w:rsidRPr="00D404B4">
        <w:t xml:space="preserve"> implemented</w:t>
      </w:r>
      <w:r w:rsidR="006E1DD2">
        <w:t>. Additionally, there is</w:t>
      </w:r>
      <w:r w:rsidR="004F6185" w:rsidRPr="00D404B4">
        <w:t xml:space="preserve"> no </w:t>
      </w:r>
      <w:r w:rsidR="006E1DD2">
        <w:t>reference</w:t>
      </w:r>
      <w:r w:rsidR="004F6185" w:rsidRPr="00D404B4">
        <w:t xml:space="preserve"> </w:t>
      </w:r>
      <w:r w:rsidR="006E1DD2">
        <w:t>to</w:t>
      </w:r>
      <w:r w:rsidR="004F6185" w:rsidRPr="00D404B4">
        <w:t xml:space="preserve"> how the EU plans to align its practical humanitarian guidance </w:t>
      </w:r>
      <w:r w:rsidR="006E1DD2">
        <w:t>with</w:t>
      </w:r>
      <w:r w:rsidR="004F6185" w:rsidRPr="00D404B4">
        <w:t xml:space="preserve"> the </w:t>
      </w:r>
      <w:hyperlink r:id="rId50" w:history="1">
        <w:r w:rsidR="004F6185" w:rsidRPr="00D404B4">
          <w:rPr>
            <w:rStyle w:val="Hyperlink"/>
          </w:rPr>
          <w:t>IASC Guidelines on Inclusion of Persons with Disabilities in Humanitarian Action</w:t>
        </w:r>
      </w:hyperlink>
      <w:r w:rsidR="004F6185" w:rsidRPr="00D404B4">
        <w:t xml:space="preserve"> (2019). </w:t>
      </w:r>
    </w:p>
    <w:p w14:paraId="2C78B94D" w14:textId="7EF10D7E" w:rsidR="00713792" w:rsidRDefault="00F6669B" w:rsidP="00295AA8">
      <w:r>
        <w:t>T</w:t>
      </w:r>
      <w:r w:rsidR="00DF0358" w:rsidRPr="00D404B4">
        <w:t xml:space="preserve">he </w:t>
      </w:r>
      <w:r w:rsidR="006E1DD2">
        <w:t>most recent</w:t>
      </w:r>
      <w:r w:rsidR="00DF0358" w:rsidRPr="00D404B4">
        <w:t xml:space="preserve"> version of </w:t>
      </w:r>
      <w:hyperlink r:id="rId51" w:history="1">
        <w:r w:rsidR="00DF0358" w:rsidRPr="00D404B4">
          <w:rPr>
            <w:rStyle w:val="Hyperlink"/>
          </w:rPr>
          <w:t>DG ECHO partners’ reporting guidelines</w:t>
        </w:r>
      </w:hyperlink>
      <w:r w:rsidR="00DF0358" w:rsidRPr="00D404B4">
        <w:t xml:space="preserve"> </w:t>
      </w:r>
      <w:r w:rsidR="004F6185" w:rsidRPr="00D404B4">
        <w:t xml:space="preserve">(the ‘Single Form’, updated in May 2021) advises </w:t>
      </w:r>
      <w:r w:rsidR="004F6185" w:rsidRPr="00CB2011">
        <w:t xml:space="preserve">prioritising </w:t>
      </w:r>
      <w:r w:rsidR="002F136D" w:rsidRPr="00CB2011">
        <w:t xml:space="preserve">the </w:t>
      </w:r>
      <w:r w:rsidR="00DF0358" w:rsidRPr="00CB2011">
        <w:t>involvement of persons with disabilities</w:t>
      </w:r>
      <w:r w:rsidR="004F6185" w:rsidRPr="00CB2011">
        <w:t xml:space="preserve"> (among other ‘diverse groups’)</w:t>
      </w:r>
      <w:r w:rsidR="00DF0358" w:rsidRPr="00CB2011">
        <w:t xml:space="preserve"> in project implementation</w:t>
      </w:r>
      <w:r w:rsidR="004F6185" w:rsidRPr="00CB2011">
        <w:t xml:space="preserve">. It also encourages the use of the Washington Group Short Set of questions </w:t>
      </w:r>
      <w:r w:rsidR="006E1DD2">
        <w:t>for</w:t>
      </w:r>
      <w:r w:rsidR="004F6185" w:rsidRPr="00CB2011">
        <w:t xml:space="preserve"> data disaggregation</w:t>
      </w:r>
      <w:r w:rsidR="008E49BD" w:rsidRPr="00CB2011">
        <w:t xml:space="preserve"> and mentions </w:t>
      </w:r>
      <w:r w:rsidR="006E1DD2">
        <w:t xml:space="preserve">disability </w:t>
      </w:r>
      <w:r w:rsidR="008E49BD" w:rsidRPr="00CB2011">
        <w:t xml:space="preserve">mainstreaming at various </w:t>
      </w:r>
      <w:r w:rsidR="006E1DD2">
        <w:t>stages</w:t>
      </w:r>
      <w:r w:rsidR="008E49BD" w:rsidRPr="00CB2011">
        <w:t xml:space="preserve"> of the programme cycle</w:t>
      </w:r>
      <w:r w:rsidR="00DF0358" w:rsidRPr="00CB2011">
        <w:t>.</w:t>
      </w:r>
      <w:r w:rsidR="004F6185" w:rsidRPr="00CB2011">
        <w:t xml:space="preserve"> </w:t>
      </w:r>
      <w:r w:rsidR="00713792" w:rsidRPr="003379B0">
        <w:t>However</w:t>
      </w:r>
      <w:r w:rsidR="00027DEA" w:rsidRPr="006E1DD2">
        <w:t>, these requirements are not</w:t>
      </w:r>
      <w:r w:rsidR="00027DEA" w:rsidRPr="006E1DD2">
        <w:rPr>
          <w:b/>
          <w:bCs/>
        </w:rPr>
        <w:t xml:space="preserve"> </w:t>
      </w:r>
      <w:r w:rsidR="00027DEA" w:rsidRPr="006E1DD2">
        <w:t xml:space="preserve">binding, meaning ECHO partners </w:t>
      </w:r>
      <w:r w:rsidR="006E1DD2">
        <w:t>are under no obligation to ensure they r</w:t>
      </w:r>
      <w:r w:rsidR="00027DEA" w:rsidRPr="006E1DD2">
        <w:t>each all persons with disabilities in affected populations</w:t>
      </w:r>
      <w:r w:rsidR="00027DEA" w:rsidRPr="003379B0">
        <w:t>.</w:t>
      </w:r>
      <w:r w:rsidR="00027DEA">
        <w:t xml:space="preserve"> </w:t>
      </w:r>
      <w:r w:rsidR="006E1DD2">
        <w:t>Furthermore, t</w:t>
      </w:r>
      <w:r w:rsidR="00027DEA">
        <w:t xml:space="preserve">here is no obligation </w:t>
      </w:r>
      <w:r w:rsidR="006E1DD2">
        <w:t>for</w:t>
      </w:r>
      <w:r w:rsidR="00027DEA">
        <w:t xml:space="preserve"> EU partners to have indicators that count </w:t>
      </w:r>
      <w:r w:rsidR="006E1DD2">
        <w:t xml:space="preserve">the number of </w:t>
      </w:r>
      <w:r w:rsidR="00027DEA">
        <w:t xml:space="preserve">persons with disabilities reached </w:t>
      </w:r>
      <w:r w:rsidR="006E1DD2">
        <w:t>or to involve</w:t>
      </w:r>
      <w:r w:rsidR="00027DEA">
        <w:t xml:space="preserve"> </w:t>
      </w:r>
      <w:r w:rsidR="006E1DD2">
        <w:t>OPDs</w:t>
      </w:r>
      <w:r w:rsidR="00027DEA">
        <w:t xml:space="preserve"> involved in planning and monitoring. </w:t>
      </w:r>
      <w:r w:rsidR="00B11DDD">
        <w:t>For th</w:t>
      </w:r>
      <w:r w:rsidR="00470A1F">
        <w:t>ese efforts</w:t>
      </w:r>
      <w:r w:rsidR="00B11DDD">
        <w:t xml:space="preserve"> to be effective, such indicators must be explicit and unambiguous, ensuring that disability inclusion is </w:t>
      </w:r>
      <w:r w:rsidR="00470A1F">
        <w:t xml:space="preserve">not only acknowledged but </w:t>
      </w:r>
      <w:r w:rsidR="00B11DDD">
        <w:t xml:space="preserve">reported </w:t>
      </w:r>
      <w:r w:rsidR="00470A1F">
        <w:t>accurately</w:t>
      </w:r>
      <w:r w:rsidR="00B11DDD">
        <w:t>.</w:t>
      </w:r>
    </w:p>
    <w:p w14:paraId="41208B3E" w14:textId="5E1C55A5" w:rsidR="003379B0" w:rsidRDefault="003379B0" w:rsidP="00295AA8">
      <w:r w:rsidRPr="003379B0">
        <w:t xml:space="preserve">We remind the EU that the mortality rate of persons with disabilities in humanitarian crises is two to four times higher than </w:t>
      </w:r>
      <w:r w:rsidR="00470A1F">
        <w:t>for</w:t>
      </w:r>
      <w:r w:rsidRPr="003379B0">
        <w:t xml:space="preserve"> persons without disabilities</w:t>
      </w:r>
      <w:r w:rsidR="00C738A7">
        <w:t>.</w:t>
      </w:r>
      <w:r>
        <w:rPr>
          <w:rStyle w:val="FootnoteReference"/>
        </w:rPr>
        <w:footnoteReference w:id="40"/>
      </w:r>
      <w:r w:rsidRPr="003379B0">
        <w:t xml:space="preserve"> </w:t>
      </w:r>
      <w:r w:rsidR="009D2FCE">
        <w:t xml:space="preserve">This </w:t>
      </w:r>
      <w:r w:rsidR="00470A1F">
        <w:t>underlines the urgent need to</w:t>
      </w:r>
      <w:r w:rsidR="009D2FCE">
        <w:t xml:space="preserve"> address the</w:t>
      </w:r>
      <w:r w:rsidRPr="003379B0">
        <w:t xml:space="preserve"> lack of </w:t>
      </w:r>
      <w:r w:rsidR="00470A1F">
        <w:t xml:space="preserve">disability-specific </w:t>
      </w:r>
      <w:r w:rsidRPr="003379B0">
        <w:t>data</w:t>
      </w:r>
      <w:r w:rsidR="00470A1F">
        <w:t xml:space="preserve">, particularly </w:t>
      </w:r>
      <w:r w:rsidRPr="003379B0">
        <w:t xml:space="preserve">regarding recent global events </w:t>
      </w:r>
      <w:r w:rsidRPr="003379B0">
        <w:lastRenderedPageBreak/>
        <w:t xml:space="preserve">where the EU is </w:t>
      </w:r>
      <w:r w:rsidR="00470A1F">
        <w:t>actively involved such as the war in Ukraine and the</w:t>
      </w:r>
      <w:r w:rsidR="00C738A7">
        <w:t xml:space="preserve"> war and</w:t>
      </w:r>
      <w:r w:rsidR="00470A1F">
        <w:t xml:space="preserve"> humanitarian crisis </w:t>
      </w:r>
      <w:r>
        <w:t xml:space="preserve">in </w:t>
      </w:r>
      <w:r w:rsidRPr="003379B0">
        <w:t>Gaz</w:t>
      </w:r>
      <w:r w:rsidR="00C738A7">
        <w:t>a and Lebanon</w:t>
      </w:r>
      <w:r w:rsidR="00470A1F">
        <w:t xml:space="preserve">. </w:t>
      </w:r>
    </w:p>
    <w:p w14:paraId="58BDEDFE" w14:textId="0A2F24E7" w:rsidR="00470A1F" w:rsidRPr="00470A1F" w:rsidRDefault="00470A1F" w:rsidP="00295AA8">
      <w:r>
        <w:t>Lastly</w:t>
      </w:r>
      <w:r w:rsidR="00D063C3">
        <w:t>, t</w:t>
      </w:r>
      <w:r w:rsidR="00DF0358" w:rsidRPr="00D404B4">
        <w:t xml:space="preserve">here is </w:t>
      </w:r>
      <w:r>
        <w:t xml:space="preserve">also </w:t>
      </w:r>
      <w:r w:rsidR="00DF0358" w:rsidRPr="00D404B4">
        <w:t xml:space="preserve">no routine training </w:t>
      </w:r>
      <w:r>
        <w:t>for</w:t>
      </w:r>
      <w:r w:rsidR="00DF0358" w:rsidRPr="00D404B4">
        <w:t xml:space="preserve"> </w:t>
      </w:r>
      <w:r w:rsidR="004528A3">
        <w:t xml:space="preserve">ECHO </w:t>
      </w:r>
      <w:r w:rsidR="00DF0358" w:rsidRPr="00D404B4">
        <w:t xml:space="preserve">partners on disability inclusion, </w:t>
      </w:r>
      <w:r>
        <w:t>whether</w:t>
      </w:r>
      <w:r w:rsidR="00DF0358" w:rsidRPr="00D404B4">
        <w:t xml:space="preserve"> as </w:t>
      </w:r>
      <w:r>
        <w:t xml:space="preserve">standalone </w:t>
      </w:r>
      <w:r w:rsidR="008F1983" w:rsidRPr="00D404B4">
        <w:t>disability-</w:t>
      </w:r>
      <w:r w:rsidR="00DF0358" w:rsidRPr="00D404B4">
        <w:t xml:space="preserve">specific modules or </w:t>
      </w:r>
      <w:r>
        <w:t>included</w:t>
      </w:r>
      <w:r w:rsidR="00DF0358" w:rsidRPr="00D404B4">
        <w:t xml:space="preserve"> in</w:t>
      </w:r>
      <w:r>
        <w:t>to</w:t>
      </w:r>
      <w:r w:rsidR="00DF0358" w:rsidRPr="00D404B4">
        <w:t xml:space="preserve"> ongoing mainstream training.</w:t>
      </w:r>
      <w:r w:rsidR="00DF0358" w:rsidRPr="00D404B4" w:rsidDel="00DF0358">
        <w:t xml:space="preserve"> </w:t>
      </w:r>
    </w:p>
    <w:p w14:paraId="74374E8B" w14:textId="2DBC7904" w:rsidR="007F0C5E" w:rsidRPr="00D404B4" w:rsidRDefault="007A2B82" w:rsidP="00295AA8">
      <w:pPr>
        <w:pStyle w:val="Heading3"/>
      </w:pPr>
      <w:r w:rsidRPr="00D404B4">
        <w:t xml:space="preserve">Disaster Risk Reduction (DRR) </w:t>
      </w:r>
    </w:p>
    <w:p w14:paraId="6D6BAB03" w14:textId="77777777" w:rsidR="005542F6" w:rsidRDefault="007F0C5E" w:rsidP="00295AA8">
      <w:r w:rsidRPr="00D404B4">
        <w:t>T</w:t>
      </w:r>
      <w:r w:rsidR="007A2B82" w:rsidRPr="00D404B4">
        <w:t xml:space="preserve">he EU developed an </w:t>
      </w:r>
      <w:hyperlink r:id="rId52" w:history="1">
        <w:r w:rsidR="00470A1F">
          <w:rPr>
            <w:rStyle w:val="Hyperlink"/>
          </w:rPr>
          <w:t>A</w:t>
        </w:r>
        <w:r w:rsidR="007A2B82" w:rsidRPr="00D404B4">
          <w:rPr>
            <w:rStyle w:val="Hyperlink"/>
          </w:rPr>
          <w:t xml:space="preserve">ction </w:t>
        </w:r>
        <w:r w:rsidR="00470A1F">
          <w:rPr>
            <w:rStyle w:val="Hyperlink"/>
          </w:rPr>
          <w:t>P</w:t>
        </w:r>
        <w:r w:rsidR="007A2B82" w:rsidRPr="00D404B4">
          <w:rPr>
            <w:rStyle w:val="Hyperlink"/>
          </w:rPr>
          <w:t xml:space="preserve">lan on Sendai </w:t>
        </w:r>
        <w:r w:rsidR="00470A1F">
          <w:rPr>
            <w:rStyle w:val="Hyperlink"/>
          </w:rPr>
          <w:t>Framework I</w:t>
        </w:r>
        <w:r w:rsidR="007A2B82" w:rsidRPr="00D404B4">
          <w:rPr>
            <w:rStyle w:val="Hyperlink"/>
          </w:rPr>
          <w:t>mplementation</w:t>
        </w:r>
      </w:hyperlink>
      <w:r w:rsidR="007A2B82" w:rsidRPr="00D404B4">
        <w:rPr>
          <w:rStyle w:val="Hyperlink"/>
          <w:u w:val="none"/>
        </w:rPr>
        <w:t xml:space="preserve"> </w:t>
      </w:r>
      <w:r w:rsidR="007A2B82" w:rsidRPr="00D404B4">
        <w:rPr>
          <w:rStyle w:val="Hyperlink"/>
          <w:color w:val="auto"/>
          <w:u w:val="none"/>
        </w:rPr>
        <w:t>in 2016</w:t>
      </w:r>
      <w:r w:rsidR="007A2B82" w:rsidRPr="00D404B4">
        <w:t xml:space="preserve">. </w:t>
      </w:r>
      <w:r w:rsidR="00470A1F">
        <w:t>While t</w:t>
      </w:r>
      <w:r w:rsidR="007A2B82" w:rsidRPr="00D404B4">
        <w:t xml:space="preserve">his action plan does include persons with disabilities among ‘stakeholders to work with’, </w:t>
      </w:r>
      <w:r w:rsidR="00470A1F">
        <w:t xml:space="preserve">it falls short in </w:t>
      </w:r>
      <w:r w:rsidR="007A2B82" w:rsidRPr="00D404B4">
        <w:t>adher</w:t>
      </w:r>
      <w:r w:rsidR="00470A1F">
        <w:t>ing</w:t>
      </w:r>
      <w:r w:rsidR="007A2B82" w:rsidRPr="00D404B4">
        <w:t xml:space="preserve"> to the disability-inclusive aspects of the </w:t>
      </w:r>
      <w:hyperlink r:id="rId53" w:history="1">
        <w:r w:rsidR="007A2B82" w:rsidRPr="00D404B4">
          <w:rPr>
            <w:rStyle w:val="Hyperlink"/>
          </w:rPr>
          <w:t>Sendai framework</w:t>
        </w:r>
      </w:hyperlink>
      <w:r w:rsidR="002B6FCA" w:rsidRPr="00D404B4">
        <w:t xml:space="preserve"> or the </w:t>
      </w:r>
      <w:hyperlink r:id="rId54" w:history="1">
        <w:r w:rsidR="002B6FCA" w:rsidRPr="00D404B4">
          <w:rPr>
            <w:rStyle w:val="Hyperlink"/>
          </w:rPr>
          <w:t>European Forum for DRR roadmap 2021-2030</w:t>
        </w:r>
      </w:hyperlink>
      <w:r w:rsidR="007A2B82" w:rsidRPr="00D404B4">
        <w:t xml:space="preserve">. Specifically, </w:t>
      </w:r>
      <w:r w:rsidR="00470A1F">
        <w:t>the action plan makes n</w:t>
      </w:r>
      <w:r w:rsidR="007A2B82" w:rsidRPr="00D404B4">
        <w:t xml:space="preserve">o mention of </w:t>
      </w:r>
      <w:r w:rsidR="00470A1F">
        <w:t xml:space="preserve">key elements such as the </w:t>
      </w:r>
      <w:r w:rsidR="007A2B82" w:rsidRPr="00D404B4">
        <w:t xml:space="preserve">accessibility of early warning systems and risk information, </w:t>
      </w:r>
      <w:r w:rsidR="00470A1F">
        <w:t xml:space="preserve">the </w:t>
      </w:r>
      <w:r w:rsidR="007A2B82" w:rsidRPr="00D404B4">
        <w:t>empowerment and leadership of persons with disabilities (</w:t>
      </w:r>
      <w:r w:rsidR="00470A1F">
        <w:t>particularly</w:t>
      </w:r>
      <w:r w:rsidR="007A2B82" w:rsidRPr="00D404B4">
        <w:t xml:space="preserve"> women with disabilities), universal design in critical infrastructure, and the disaggregation of data by disability. </w:t>
      </w:r>
    </w:p>
    <w:p w14:paraId="64A6ADB1" w14:textId="044BDD0B" w:rsidR="007A2B82" w:rsidRDefault="007A2B82" w:rsidP="00295AA8">
      <w:r w:rsidRPr="00D404B4">
        <w:t xml:space="preserve">Since 2016, EDF has been unable to obtain any </w:t>
      </w:r>
      <w:r w:rsidR="00470A1F">
        <w:t>updates regarding</w:t>
      </w:r>
      <w:r w:rsidRPr="00D404B4">
        <w:t xml:space="preserve"> improvements to this action plan in the field of disability inclusion</w:t>
      </w:r>
      <w:r w:rsidR="00470A1F">
        <w:t xml:space="preserve">. There is also no evidence of </w:t>
      </w:r>
      <w:r w:rsidRPr="00D404B4">
        <w:t xml:space="preserve">implementation </w:t>
      </w:r>
      <w:r w:rsidR="00470A1F">
        <w:t xml:space="preserve">efforts </w:t>
      </w:r>
      <w:r w:rsidRPr="00D404B4">
        <w:t xml:space="preserve">that </w:t>
      </w:r>
      <w:r w:rsidR="00470A1F">
        <w:t>involve</w:t>
      </w:r>
      <w:r w:rsidRPr="00D404B4">
        <w:t xml:space="preserve"> persons with disabilities, either as end users or </w:t>
      </w:r>
      <w:r w:rsidR="00470A1F">
        <w:t>through the</w:t>
      </w:r>
      <w:r w:rsidRPr="00D404B4">
        <w:t xml:space="preserve"> participation of </w:t>
      </w:r>
      <w:r w:rsidRPr="00FD3EF6">
        <w:t>their representative organisations.</w:t>
      </w:r>
    </w:p>
    <w:p w14:paraId="76727FD4" w14:textId="7643060B" w:rsidR="00FD3EF6" w:rsidRDefault="00470A1F" w:rsidP="00FD3EF6">
      <w:r>
        <w:t>Furthermore, t</w:t>
      </w:r>
      <w:r w:rsidR="00BB78E0">
        <w:t>he</w:t>
      </w:r>
      <w:r w:rsidR="00FD3EF6" w:rsidRPr="00FD3EF6">
        <w:t xml:space="preserve"> </w:t>
      </w:r>
      <w:hyperlink r:id="rId55" w:tgtFrame="_blank" w:history="1">
        <w:r w:rsidR="00FD3EF6" w:rsidRPr="00FD3EF6">
          <w:rPr>
            <w:rStyle w:val="Hyperlink"/>
          </w:rPr>
          <w:t>EU midterm review of the Sendai Framework</w:t>
        </w:r>
      </w:hyperlink>
      <w:r w:rsidR="00BB78E0">
        <w:t xml:space="preserve"> (2023) </w:t>
      </w:r>
      <w:r>
        <w:t>entirely</w:t>
      </w:r>
      <w:r w:rsidR="00BB78E0">
        <w:t xml:space="preserve"> omits</w:t>
      </w:r>
      <w:r w:rsidR="007945DD">
        <w:t xml:space="preserve"> </w:t>
      </w:r>
      <w:r>
        <w:t xml:space="preserve">references to </w:t>
      </w:r>
      <w:r w:rsidR="00FD3EF6">
        <w:t>persons with disabilities</w:t>
      </w:r>
      <w:r>
        <w:t xml:space="preserve">, representing a missed opportunity to address </w:t>
      </w:r>
      <w:r w:rsidR="005542F6">
        <w:t xml:space="preserve">their rights in disaster risk reduction strategies. </w:t>
      </w:r>
    </w:p>
    <w:p w14:paraId="64E16535" w14:textId="7054FDC6" w:rsidR="00BB78E0" w:rsidRDefault="00BB78E0" w:rsidP="00FD3EF6">
      <w:r>
        <w:t xml:space="preserve">In 2023, the EU adopted the </w:t>
      </w:r>
      <w:hyperlink r:id="rId56" w:history="1">
        <w:r w:rsidRPr="00E05376">
          <w:rPr>
            <w:rStyle w:val="Hyperlink"/>
          </w:rPr>
          <w:t>Union Resilience Goals</w:t>
        </w:r>
      </w:hyperlink>
      <w:r w:rsidR="00E05376">
        <w:rPr>
          <w:rStyle w:val="CommentReference"/>
        </w:rPr>
        <w:t xml:space="preserve"> </w:t>
      </w:r>
      <w:r w:rsidR="00E05376" w:rsidRPr="00E05376">
        <w:t xml:space="preserve">to </w:t>
      </w:r>
      <w:r w:rsidR="005542F6">
        <w:t>enhance</w:t>
      </w:r>
      <w:r w:rsidR="00E05376" w:rsidRPr="00E05376">
        <w:t xml:space="preserve"> disaster resilience in civil protection</w:t>
      </w:r>
      <w:r w:rsidR="00E05376">
        <w:t xml:space="preserve">. </w:t>
      </w:r>
      <w:r w:rsidR="005542F6">
        <w:t>While t</w:t>
      </w:r>
      <w:r w:rsidR="00E05376">
        <w:t>he</w:t>
      </w:r>
      <w:r w:rsidR="005542F6">
        <w:t>se</w:t>
      </w:r>
      <w:r w:rsidR="00E05376">
        <w:t xml:space="preserve"> goals </w:t>
      </w:r>
      <w:r w:rsidR="005542F6">
        <w:t>outline</w:t>
      </w:r>
      <w:r w:rsidR="00E05376" w:rsidRPr="00E05376">
        <w:t xml:space="preserve"> ways to better prepare European countries for natural hazards </w:t>
      </w:r>
      <w:r w:rsidR="005542F6">
        <w:t>such as</w:t>
      </w:r>
      <w:r w:rsidR="00E05376" w:rsidRPr="00E05376">
        <w:t xml:space="preserve"> earthquakes, floods, and</w:t>
      </w:r>
      <w:r w:rsidR="00E05376">
        <w:t xml:space="preserve"> wildfires</w:t>
      </w:r>
      <w:r w:rsidR="005542F6">
        <w:t xml:space="preserve">, they include only minimal references to </w:t>
      </w:r>
      <w:r w:rsidR="00E05376">
        <w:t>persons with disabilities</w:t>
      </w:r>
      <w:r w:rsidR="005542F6">
        <w:t>. Additionally, OPDs were consulted late in the drafting process, limiting their input on these important measures.</w:t>
      </w:r>
    </w:p>
    <w:p w14:paraId="4196AB5A" w14:textId="5E5E7E23" w:rsidR="007F0C5E" w:rsidRPr="00D404B4" w:rsidRDefault="007F0C5E" w:rsidP="00295AA8">
      <w:pPr>
        <w:pStyle w:val="Heading3"/>
      </w:pPr>
      <w:r w:rsidRPr="00D404B4">
        <w:t xml:space="preserve">Climate action </w:t>
      </w:r>
    </w:p>
    <w:p w14:paraId="4A9AF371" w14:textId="3BAA15F1" w:rsidR="00DF0358" w:rsidRDefault="007F0C5E" w:rsidP="00295AA8">
      <w:r w:rsidRPr="00D404B4">
        <w:t>A</w:t>
      </w:r>
      <w:r w:rsidR="007A2B82" w:rsidRPr="00D404B4">
        <w:t xml:space="preserve">lthough </w:t>
      </w:r>
      <w:r w:rsidR="00DF0358" w:rsidRPr="00D404B4">
        <w:t xml:space="preserve">the </w:t>
      </w:r>
      <w:r w:rsidR="00A64E80" w:rsidRPr="00D404B4">
        <w:t>EU</w:t>
      </w:r>
      <w:r w:rsidR="00DF0358" w:rsidRPr="00D404B4">
        <w:t xml:space="preserve"> Disability Rights Strategy (section 5.6) </w:t>
      </w:r>
      <w:r w:rsidR="005542F6" w:rsidRPr="005542F6">
        <w:t xml:space="preserve">acknowledges </w:t>
      </w:r>
      <w:r w:rsidR="00DF0358" w:rsidRPr="00D404B4">
        <w:t xml:space="preserve">the impact of climate change on persons with disabilities and </w:t>
      </w:r>
      <w:r w:rsidR="005542F6">
        <w:t xml:space="preserve">emphasises </w:t>
      </w:r>
      <w:r w:rsidR="00DF0358" w:rsidRPr="00D404B4">
        <w:t xml:space="preserve">the need </w:t>
      </w:r>
      <w:r w:rsidR="005542F6">
        <w:t>for a fully inclusive</w:t>
      </w:r>
      <w:r w:rsidR="00DF0358" w:rsidRPr="00D404B4">
        <w:t xml:space="preserve"> green transition, there is no explicit mention of this </w:t>
      </w:r>
      <w:r w:rsidR="005542F6">
        <w:t>within the context of</w:t>
      </w:r>
      <w:r w:rsidR="00DF0358" w:rsidRPr="00D404B4">
        <w:t xml:space="preserve"> EU external action in</w:t>
      </w:r>
      <w:r w:rsidR="005542F6">
        <w:t xml:space="preserve"> Section 6 of</w:t>
      </w:r>
      <w:r w:rsidR="00DF0358" w:rsidRPr="00D404B4">
        <w:t xml:space="preserve"> the European </w:t>
      </w:r>
      <w:r w:rsidR="007A2B82" w:rsidRPr="00D404B4">
        <w:t>Disability Strategy</w:t>
      </w:r>
      <w:r w:rsidR="00DF0358" w:rsidRPr="00D404B4">
        <w:t xml:space="preserve">. Similarly, the </w:t>
      </w:r>
      <w:hyperlink r:id="rId57" w:history="1">
        <w:r w:rsidR="00DF0358" w:rsidRPr="00D404B4">
          <w:rPr>
            <w:rStyle w:val="Hyperlink"/>
          </w:rPr>
          <w:t>EU Strategy on Adapting to Climate Change</w:t>
        </w:r>
      </w:hyperlink>
      <w:r w:rsidR="00DF0358" w:rsidRPr="00D404B4">
        <w:t xml:space="preserve"> (2021) </w:t>
      </w:r>
      <w:r w:rsidR="00246A00">
        <w:t>highlights</w:t>
      </w:r>
      <w:r w:rsidR="003E2352">
        <w:t xml:space="preserve"> the </w:t>
      </w:r>
      <w:r w:rsidR="005542F6">
        <w:t xml:space="preserve">disproportionate </w:t>
      </w:r>
      <w:r w:rsidR="003E2352">
        <w:t>impact on persons with disabilities</w:t>
      </w:r>
      <w:r w:rsidR="005542F6">
        <w:t>,</w:t>
      </w:r>
      <w:r w:rsidR="003E2352">
        <w:t xml:space="preserve"> but </w:t>
      </w:r>
      <w:r w:rsidR="005542F6">
        <w:t>it does not address their</w:t>
      </w:r>
      <w:r w:rsidR="00DF0358" w:rsidRPr="00D404B4">
        <w:t xml:space="preserve"> participation through representative organisations,</w:t>
      </w:r>
      <w:r w:rsidR="003E2352">
        <w:t xml:space="preserve"> </w:t>
      </w:r>
      <w:r w:rsidR="005542F6">
        <w:t>nor is</w:t>
      </w:r>
      <w:r w:rsidR="003E2352">
        <w:t xml:space="preserve"> there</w:t>
      </w:r>
      <w:r w:rsidR="005542F6">
        <w:t xml:space="preserve"> </w:t>
      </w:r>
      <w:r w:rsidR="003E2352">
        <w:t xml:space="preserve">evidence of practical </w:t>
      </w:r>
      <w:r w:rsidR="00DF0358" w:rsidRPr="00D404B4">
        <w:t>implementation</w:t>
      </w:r>
      <w:r w:rsidR="003E2352">
        <w:t xml:space="preserve"> ensur</w:t>
      </w:r>
      <w:r w:rsidR="009F1654">
        <w:t>ing</w:t>
      </w:r>
      <w:r w:rsidR="003E2352">
        <w:t xml:space="preserve"> that EU adaptation policies are disability</w:t>
      </w:r>
      <w:r w:rsidR="005542F6">
        <w:t>-</w:t>
      </w:r>
      <w:r w:rsidR="003E2352">
        <w:t>inclusive.</w:t>
      </w:r>
    </w:p>
    <w:p w14:paraId="620267D3" w14:textId="453624CF" w:rsidR="004528A3" w:rsidRDefault="003065AE" w:rsidP="00295AA8">
      <w:r w:rsidRPr="00D404B4">
        <w:t xml:space="preserve">Overall, the “Green revolution” has </w:t>
      </w:r>
      <w:r w:rsidR="005542F6">
        <w:t>largely bypassed</w:t>
      </w:r>
      <w:r w:rsidRPr="00D404B4">
        <w:t xml:space="preserve"> person with disabilities</w:t>
      </w:r>
      <w:r w:rsidR="000404B9" w:rsidRPr="00D404B4">
        <w:t>, including women and girls with disabilities</w:t>
      </w:r>
      <w:r w:rsidR="005542F6">
        <w:t>,</w:t>
      </w:r>
      <w:r w:rsidR="000404B9" w:rsidRPr="00D404B4">
        <w:t xml:space="preserve"> and young persons with disabilities</w:t>
      </w:r>
      <w:r w:rsidRPr="00D404B4">
        <w:t xml:space="preserve">. Many of them </w:t>
      </w:r>
      <w:r w:rsidR="005542F6">
        <w:t>express a desire to engage, yet they lack the</w:t>
      </w:r>
      <w:r w:rsidRPr="00D404B4">
        <w:t xml:space="preserve"> means </w:t>
      </w:r>
      <w:r w:rsidR="005542F6">
        <w:t>to take</w:t>
      </w:r>
      <w:r w:rsidRPr="00D404B4">
        <w:t xml:space="preserve"> action</w:t>
      </w:r>
      <w:r w:rsidR="005542F6">
        <w:t>. Furthermore, a significant number remain</w:t>
      </w:r>
      <w:r w:rsidRPr="00D404B4">
        <w:t xml:space="preserve"> unaware </w:t>
      </w:r>
      <w:r w:rsidR="005542F6">
        <w:t>or poorly informed about these critical issues</w:t>
      </w:r>
      <w:r w:rsidRPr="00D404B4">
        <w:t>.</w:t>
      </w:r>
    </w:p>
    <w:p w14:paraId="51FDADEC" w14:textId="363C4DAF" w:rsidR="00A52242" w:rsidRDefault="005542F6" w:rsidP="00295AA8">
      <w:r>
        <w:t>Currently, t</w:t>
      </w:r>
      <w:r w:rsidR="00A52242" w:rsidRPr="00780AAB">
        <w:t xml:space="preserve">he EU </w:t>
      </w:r>
      <w:r w:rsidR="00780AAB" w:rsidRPr="005F24AF">
        <w:t xml:space="preserve">does not </w:t>
      </w:r>
      <w:r>
        <w:t xml:space="preserve">provide adequate </w:t>
      </w:r>
      <w:r w:rsidR="00D1776E">
        <w:t>s</w:t>
      </w:r>
      <w:r w:rsidR="00A52242" w:rsidRPr="00780AAB">
        <w:t xml:space="preserve">upport </w:t>
      </w:r>
      <w:r>
        <w:t xml:space="preserve">for </w:t>
      </w:r>
      <w:r w:rsidR="00A52242" w:rsidRPr="00780AAB">
        <w:t xml:space="preserve">persons with disabilities to </w:t>
      </w:r>
      <w:r>
        <w:t>play</w:t>
      </w:r>
      <w:r w:rsidR="00A52242" w:rsidRPr="00780AAB">
        <w:t xml:space="preserve"> an active role as stakeholders in global</w:t>
      </w:r>
      <w:r w:rsidR="0063662A" w:rsidRPr="00780AAB">
        <w:t>, regional,</w:t>
      </w:r>
      <w:r w:rsidR="00A52242" w:rsidRPr="00780AAB">
        <w:t xml:space="preserve"> and national climate negotiations</w:t>
      </w:r>
      <w:r>
        <w:t xml:space="preserve">. There is a need to </w:t>
      </w:r>
      <w:r w:rsidR="00A52242" w:rsidRPr="00780AAB">
        <w:t xml:space="preserve">ensure disability inclusion in </w:t>
      </w:r>
      <w:r>
        <w:t>the n</w:t>
      </w:r>
      <w:r w:rsidR="00A042C6">
        <w:t xml:space="preserve">egotiations and outcomes of </w:t>
      </w:r>
      <w:r w:rsidR="00A52242" w:rsidRPr="00780AAB">
        <w:t xml:space="preserve">COPs </w:t>
      </w:r>
      <w:r w:rsidR="00A042C6">
        <w:t>conferences</w:t>
      </w:r>
      <w:r w:rsidR="00A52242" w:rsidRPr="00780AAB">
        <w:t>,</w:t>
      </w:r>
      <w:r w:rsidR="00A042C6">
        <w:t xml:space="preserve"> </w:t>
      </w:r>
      <w:r w:rsidR="00266A81" w:rsidRPr="00780AAB">
        <w:lastRenderedPageBreak/>
        <w:t>as well as in Parties</w:t>
      </w:r>
      <w:r w:rsidR="00A042C6">
        <w:t>’</w:t>
      </w:r>
      <w:r w:rsidR="00266A81" w:rsidRPr="00780AAB">
        <w:t xml:space="preserve"> commitments. </w:t>
      </w:r>
      <w:r w:rsidR="00A042C6">
        <w:t>For</w:t>
      </w:r>
      <w:r w:rsidR="00266A81" w:rsidRPr="00780AAB">
        <w:t xml:space="preserve"> example, the </w:t>
      </w:r>
      <w:hyperlink r:id="rId58" w:history="1">
        <w:r w:rsidR="00266A81" w:rsidRPr="00C738A7">
          <w:rPr>
            <w:rStyle w:val="Hyperlink"/>
          </w:rPr>
          <w:t>EU N</w:t>
        </w:r>
        <w:r w:rsidR="00A042C6" w:rsidRPr="00C738A7">
          <w:rPr>
            <w:rStyle w:val="Hyperlink"/>
          </w:rPr>
          <w:t xml:space="preserve">ationally </w:t>
        </w:r>
        <w:r w:rsidR="00266A81" w:rsidRPr="00C738A7">
          <w:rPr>
            <w:rStyle w:val="Hyperlink"/>
          </w:rPr>
          <w:t>D</w:t>
        </w:r>
        <w:r w:rsidR="00A042C6" w:rsidRPr="00C738A7">
          <w:rPr>
            <w:rStyle w:val="Hyperlink"/>
          </w:rPr>
          <w:t>etermined Contributions</w:t>
        </w:r>
      </w:hyperlink>
      <w:r w:rsidR="00266A81" w:rsidRPr="00780AAB">
        <w:t xml:space="preserve"> </w:t>
      </w:r>
      <w:r w:rsidR="00A042C6">
        <w:t>make</w:t>
      </w:r>
      <w:r w:rsidR="00780AAB" w:rsidRPr="005F24AF">
        <w:t xml:space="preserve"> no</w:t>
      </w:r>
      <w:r w:rsidR="00266A81" w:rsidRPr="00780AAB">
        <w:t xml:space="preserve"> mention</w:t>
      </w:r>
      <w:r w:rsidR="00A042C6">
        <w:t xml:space="preserve"> of</w:t>
      </w:r>
      <w:r w:rsidR="00266A81" w:rsidRPr="00780AAB">
        <w:t xml:space="preserve"> persons with disabilities and </w:t>
      </w:r>
      <w:r w:rsidR="00A042C6">
        <w:t>fail to</w:t>
      </w:r>
      <w:r w:rsidR="00780AAB" w:rsidRPr="005F24AF">
        <w:t xml:space="preserve"> </w:t>
      </w:r>
      <w:r w:rsidR="00266A81" w:rsidRPr="00780AAB">
        <w:t>include concrete measures for their inclusion.</w:t>
      </w:r>
    </w:p>
    <w:p w14:paraId="38B89BEA" w14:textId="41EB10B8" w:rsidR="007F0C5E" w:rsidRDefault="007F0C5E" w:rsidP="00295AA8">
      <w:pPr>
        <w:pStyle w:val="Heading3"/>
      </w:pPr>
      <w:r w:rsidRPr="00D404B4">
        <w:t>M</w:t>
      </w:r>
      <w:r w:rsidR="007A2B82" w:rsidRPr="00D404B4">
        <w:t>igration</w:t>
      </w:r>
    </w:p>
    <w:p w14:paraId="52D38A6A" w14:textId="11C4FB91" w:rsidR="00752533" w:rsidRPr="00752533" w:rsidRDefault="008625CB" w:rsidP="00752533">
      <w:r>
        <w:t xml:space="preserve">Refugees and asylum seekers with disabilities continue to face many challenges </w:t>
      </w:r>
      <w:r w:rsidR="00C77CD3">
        <w:t>upon</w:t>
      </w:r>
      <w:r>
        <w:t xml:space="preserve"> arriv</w:t>
      </w:r>
      <w:r w:rsidR="00C77CD3">
        <w:t>al</w:t>
      </w:r>
      <w:r>
        <w:t xml:space="preserve"> at the EU border, </w:t>
      </w:r>
      <w:r w:rsidR="00C77CD3">
        <w:t xml:space="preserve">particularly due a lack of </w:t>
      </w:r>
      <w:r>
        <w:t>reasonable accommodation and support during reception processes.</w:t>
      </w:r>
    </w:p>
    <w:p w14:paraId="60F0B562" w14:textId="0CA9EFEB" w:rsidR="00A31041" w:rsidRDefault="00A31041" w:rsidP="00A31041">
      <w:r w:rsidRPr="00A31041">
        <w:t xml:space="preserve">The </w:t>
      </w:r>
      <w:hyperlink r:id="rId59" w:history="1">
        <w:r w:rsidRPr="00A31041">
          <w:rPr>
            <w:rStyle w:val="Hyperlink"/>
          </w:rPr>
          <w:t>New Pact on Migration and Asylum</w:t>
        </w:r>
      </w:hyperlink>
      <w:r w:rsidRPr="00A31041">
        <w:t xml:space="preserve"> was adopted by the European Parliament on the 10</w:t>
      </w:r>
      <w:r w:rsidRPr="00A31041">
        <w:rPr>
          <w:vertAlign w:val="superscript"/>
        </w:rPr>
        <w:t>th</w:t>
      </w:r>
      <w:r w:rsidRPr="00A31041">
        <w:t xml:space="preserve"> April 2024</w:t>
      </w:r>
      <w:r w:rsidRPr="00A31041">
        <w:rPr>
          <w:lang w:val="en-US"/>
        </w:rPr>
        <w:t xml:space="preserve">. </w:t>
      </w:r>
      <w:r w:rsidR="00C77CD3">
        <w:rPr>
          <w:lang w:val="en-US"/>
        </w:rPr>
        <w:t>However, t</w:t>
      </w:r>
      <w:r w:rsidRPr="00A31041">
        <w:t xml:space="preserve">he Pact does not </w:t>
      </w:r>
      <w:r w:rsidR="00C77CD3">
        <w:t xml:space="preserve">sufficiently </w:t>
      </w:r>
      <w:r w:rsidRPr="00A31041">
        <w:t xml:space="preserve">address the EU's and Member States’ obligations under the </w:t>
      </w:r>
      <w:r w:rsidR="00F76F44">
        <w:t>CRPD</w:t>
      </w:r>
      <w:r w:rsidRPr="00A31041">
        <w:t>. Despite ongoing criticism from EDF and other human rights organi</w:t>
      </w:r>
      <w:r w:rsidR="00AB01CB">
        <w:t>s</w:t>
      </w:r>
      <w:r w:rsidRPr="00A31041">
        <w:t xml:space="preserve">ations, and </w:t>
      </w:r>
      <w:r w:rsidR="00C77CD3">
        <w:t xml:space="preserve">despite </w:t>
      </w:r>
      <w:r w:rsidRPr="00A31041">
        <w:t xml:space="preserve">opportunities to </w:t>
      </w:r>
      <w:r w:rsidR="00062CDA">
        <w:t>strengthen</w:t>
      </w:r>
      <w:r w:rsidRPr="00A31041">
        <w:t xml:space="preserve"> the rights of refugees and asylum seekers with disabilities through the Recast Directives</w:t>
      </w:r>
      <w:r w:rsidR="00AB01CB">
        <w:t>,</w:t>
      </w:r>
      <w:r w:rsidR="00F76F44">
        <w:rPr>
          <w:rStyle w:val="FootnoteReference"/>
        </w:rPr>
        <w:footnoteReference w:id="41"/>
      </w:r>
      <w:r w:rsidRPr="00A31041">
        <w:t xml:space="preserve"> the EU has only made minor adjustments to the Pact. </w:t>
      </w:r>
    </w:p>
    <w:p w14:paraId="1917D2D7" w14:textId="7698258F" w:rsidR="00083FB2" w:rsidRDefault="00A31041" w:rsidP="00295AA8">
      <w:r w:rsidRPr="00A31041">
        <w:t xml:space="preserve">Persons with disabilities are subject to assessments of their 'special reception needs,' yet </w:t>
      </w:r>
      <w:r w:rsidR="00C77CD3">
        <w:t xml:space="preserve">process for </w:t>
      </w:r>
      <w:r w:rsidRPr="00A31041">
        <w:t>identif</w:t>
      </w:r>
      <w:r w:rsidR="00C77CD3">
        <w:t>ying these needs</w:t>
      </w:r>
      <w:r w:rsidRPr="00A31041">
        <w:t xml:space="preserve"> remains largely unclear, </w:t>
      </w:r>
      <w:r w:rsidR="00BD0C16">
        <w:t>particularly</w:t>
      </w:r>
      <w:r w:rsidRPr="00A31041">
        <w:t xml:space="preserve"> for persons with invisible disabilities. </w:t>
      </w:r>
      <w:r w:rsidR="00C77CD3">
        <w:t>Moreover,</w:t>
      </w:r>
      <w:r w:rsidRPr="00A31041">
        <w:t xml:space="preserve"> the language of the Directives </w:t>
      </w:r>
      <w:r w:rsidR="00C77CD3">
        <w:t>continues to</w:t>
      </w:r>
      <w:r w:rsidRPr="00A31041">
        <w:t xml:space="preserve"> stereotype persons with disabilities as 'vulnerable,' which </w:t>
      </w:r>
      <w:r w:rsidR="00BD0C16">
        <w:t>contradicts</w:t>
      </w:r>
      <w:r w:rsidRPr="00A31041">
        <w:t xml:space="preserve"> a rights-based approach to disability. For example, </w:t>
      </w:r>
      <w:r w:rsidR="00C77CD3">
        <w:t xml:space="preserve">Article 25 of </w:t>
      </w:r>
      <w:r w:rsidRPr="00A31041">
        <w:t>the recast Reception Conditions Directive</w:t>
      </w:r>
      <w:r w:rsidR="00C77CD3">
        <w:t xml:space="preserve"> </w:t>
      </w:r>
      <w:r w:rsidRPr="00A31041">
        <w:t xml:space="preserve">suggests that an individual assessment </w:t>
      </w:r>
      <w:r w:rsidR="00C77CD3">
        <w:t>should be</w:t>
      </w:r>
      <w:r w:rsidRPr="00A31041">
        <w:t xml:space="preserve"> </w:t>
      </w:r>
      <w:r w:rsidR="00C77CD3">
        <w:t>conducted</w:t>
      </w:r>
      <w:r w:rsidRPr="00A31041">
        <w:t xml:space="preserve"> by a medical practitioner or psychologist</w:t>
      </w:r>
      <w:r w:rsidR="00BD0C16">
        <w:t xml:space="preserve">. </w:t>
      </w:r>
      <w:r w:rsidRPr="00A31041">
        <w:t xml:space="preserve">The Directives leave too much room for interpretation, </w:t>
      </w:r>
      <w:r w:rsidR="00BD0C16">
        <w:t>placing the</w:t>
      </w:r>
      <w:r w:rsidRPr="00A31041">
        <w:t xml:space="preserve"> responsibility of each Member State to ensure their migration legislation aligns with the CRPD</w:t>
      </w:r>
      <w:r w:rsidR="002A5BE1">
        <w:t>, and that refugees and asylum seekers</w:t>
      </w:r>
      <w:r w:rsidR="002A5BE1" w:rsidRPr="00491D7F">
        <w:rPr>
          <w:lang w:val="en-US"/>
        </w:rPr>
        <w:t xml:space="preserve"> with disabilities</w:t>
      </w:r>
      <w:r w:rsidR="002A5BE1">
        <w:rPr>
          <w:lang w:val="en-US"/>
        </w:rPr>
        <w:t xml:space="preserve"> </w:t>
      </w:r>
      <w:r w:rsidR="00BD0C16">
        <w:rPr>
          <w:lang w:val="en-US"/>
        </w:rPr>
        <w:t xml:space="preserve">receive adequate </w:t>
      </w:r>
      <w:r w:rsidR="002A5BE1">
        <w:rPr>
          <w:lang w:val="en-US"/>
        </w:rPr>
        <w:t>support</w:t>
      </w:r>
      <w:r w:rsidR="002A5BE1" w:rsidRPr="00491D7F">
        <w:rPr>
          <w:lang w:val="en-US"/>
        </w:rPr>
        <w:t xml:space="preserve"> through reasonable accommodation</w:t>
      </w:r>
      <w:r w:rsidR="00BD0C16">
        <w:rPr>
          <w:lang w:val="en-US"/>
        </w:rPr>
        <w:t xml:space="preserve">, </w:t>
      </w:r>
      <w:r w:rsidR="002A5BE1" w:rsidRPr="00491D7F">
        <w:rPr>
          <w:lang w:val="en-US"/>
        </w:rPr>
        <w:t>accessibility</w:t>
      </w:r>
      <w:r w:rsidR="00BD0C16">
        <w:rPr>
          <w:lang w:val="en-US"/>
        </w:rPr>
        <w:t xml:space="preserve"> measures</w:t>
      </w:r>
      <w:r w:rsidR="002A5BE1" w:rsidRPr="00491D7F">
        <w:rPr>
          <w:lang w:val="en-US"/>
        </w:rPr>
        <w:t xml:space="preserve"> </w:t>
      </w:r>
      <w:r w:rsidR="00BD0C16">
        <w:rPr>
          <w:lang w:val="en-US"/>
        </w:rPr>
        <w:t>and</w:t>
      </w:r>
      <w:r w:rsidR="002A5BE1" w:rsidRPr="00491D7F">
        <w:rPr>
          <w:lang w:val="en-US"/>
        </w:rPr>
        <w:t xml:space="preserve"> disability-specific medical care</w:t>
      </w:r>
      <w:r w:rsidRPr="00A31041">
        <w:t>.</w:t>
      </w:r>
    </w:p>
    <w:p w14:paraId="325558BE" w14:textId="056EEA18" w:rsidR="007F0C5E" w:rsidRPr="00D404B4" w:rsidRDefault="007F0C5E" w:rsidP="00295AA8">
      <w:pPr>
        <w:pStyle w:val="Heading3"/>
      </w:pPr>
      <w:r w:rsidRPr="00D404B4">
        <w:t>Crisis communication</w:t>
      </w:r>
    </w:p>
    <w:p w14:paraId="2599B387" w14:textId="150F3343" w:rsidR="00101A71" w:rsidRPr="00D404B4" w:rsidRDefault="0085238C" w:rsidP="00295AA8">
      <w:r>
        <w:t xml:space="preserve">To ensure </w:t>
      </w:r>
      <w:r w:rsidR="00101A71" w:rsidRPr="00D404B4">
        <w:t xml:space="preserve">access for persons with disabilities to the single European emergency number ‘112’, the EU has adopted the revised </w:t>
      </w:r>
      <w:hyperlink r:id="rId60" w:history="1">
        <w:r w:rsidR="00101A71" w:rsidRPr="00D404B4">
          <w:rPr>
            <w:rStyle w:val="Hyperlink"/>
          </w:rPr>
          <w:t>European Electronic Communications Code</w:t>
        </w:r>
      </w:hyperlink>
      <w:r w:rsidR="00101A71" w:rsidRPr="00D404B4">
        <w:t xml:space="preserve">. However, the </w:t>
      </w:r>
      <w:r w:rsidR="00101A71" w:rsidRPr="00CB2011">
        <w:t xml:space="preserve">Code only sets </w:t>
      </w:r>
      <w:r w:rsidR="00A55E96" w:rsidRPr="00CB2011">
        <w:t xml:space="preserve">a </w:t>
      </w:r>
      <w:r w:rsidR="00101A71" w:rsidRPr="00CB2011">
        <w:t xml:space="preserve">general obligation for ensuring accessibility of emergency communications to EU </w:t>
      </w:r>
      <w:r w:rsidR="008257FE" w:rsidRPr="00CB2011">
        <w:t xml:space="preserve">governments </w:t>
      </w:r>
      <w:r w:rsidR="008257FE" w:rsidRPr="00D404B4">
        <w:t>and</w:t>
      </w:r>
      <w:r w:rsidR="00101A71" w:rsidRPr="00D404B4">
        <w:t xml:space="preserve"> refers to the European Accessibility Act to achieve this in practice. Designated call centres for handling and answering emergency communications will only be able to ensure accessible communications for persons with disabilities, including </w:t>
      </w:r>
      <w:r w:rsidR="00A64E80" w:rsidRPr="00D404B4">
        <w:t>D</w:t>
      </w:r>
      <w:r w:rsidR="00101A71" w:rsidRPr="00D404B4">
        <w:t xml:space="preserve">eaf, hard of hearing, deafblind </w:t>
      </w:r>
      <w:r w:rsidR="00731A8E" w:rsidRPr="00D404B4">
        <w:t>persons,</w:t>
      </w:r>
      <w:r w:rsidR="00101A71" w:rsidRPr="00D404B4">
        <w:t xml:space="preserve"> and persons with speech disabilities, once they comply with the accessibility requirements set in the European Accessibility Act. Given that the Act allows EU governments to delay the application of provisions related to 112 until 2027, EU will largely fail to meet its obligation to ensure protection of persons with disabilities in emergency situations until then.</w:t>
      </w:r>
      <w:r w:rsidR="00AC60DC">
        <w:rPr>
          <w:rStyle w:val="FootnoteReference"/>
        </w:rPr>
        <w:footnoteReference w:id="42"/>
      </w:r>
    </w:p>
    <w:p w14:paraId="107EA7A0" w14:textId="1DE9632E" w:rsidR="00101A71" w:rsidRPr="00D404B4" w:rsidRDefault="00101A71" w:rsidP="00295AA8">
      <w:r w:rsidRPr="00D404B4">
        <w:lastRenderedPageBreak/>
        <w:t xml:space="preserve">The </w:t>
      </w:r>
      <w:hyperlink r:id="rId61" w:history="1">
        <w:r w:rsidRPr="00D404B4">
          <w:rPr>
            <w:rStyle w:val="Hyperlink"/>
          </w:rPr>
          <w:t>European Audiovisual Media Services Directive</w:t>
        </w:r>
      </w:hyperlink>
      <w:r w:rsidR="00AE2410" w:rsidRPr="00D404B4">
        <w:rPr>
          <w:rStyle w:val="FootnoteReference"/>
        </w:rPr>
        <w:footnoteReference w:id="43"/>
      </w:r>
      <w:r w:rsidRPr="00D404B4">
        <w:t xml:space="preserve"> also sets obligations to ensure accessible emergency information, including public communications and announcements in natural disaster situations, which is made available to the public through audiovisual media services. It does not specify however how this should be ensured, what should be minimum accessibility requirements, nor foresees timelines to put measures in place.</w:t>
      </w:r>
    </w:p>
    <w:p w14:paraId="0DE185F3" w14:textId="21FF3BED" w:rsidR="00E00D09" w:rsidRPr="00D404B4" w:rsidRDefault="00D83A58" w:rsidP="00295AA8">
      <w:r>
        <w:rPr>
          <w:b/>
        </w:rPr>
        <w:t>We call for:</w:t>
      </w:r>
    </w:p>
    <w:p w14:paraId="52EC48C2" w14:textId="330475F1" w:rsidR="001B7244" w:rsidRPr="001B7244" w:rsidRDefault="001B7244" w:rsidP="00266A81">
      <w:pPr>
        <w:pStyle w:val="paragraph"/>
        <w:numPr>
          <w:ilvl w:val="0"/>
          <w:numId w:val="8"/>
        </w:numPr>
        <w:spacing w:line="276" w:lineRule="auto"/>
        <w:ind w:left="714" w:hanging="357"/>
        <w:textAlignment w:val="baseline"/>
        <w:rPr>
          <w:rFonts w:ascii="Arial" w:eastAsiaTheme="minorHAnsi" w:hAnsi="Arial" w:cstheme="minorBidi"/>
          <w:sz w:val="22"/>
          <w:szCs w:val="22"/>
          <w:lang w:val="en-GB" w:eastAsia="en-US"/>
        </w:rPr>
      </w:pPr>
      <w:bookmarkStart w:id="24" w:name="_Hlk176786985"/>
      <w:r w:rsidRPr="001B7244">
        <w:rPr>
          <w:rFonts w:ascii="Arial" w:eastAsiaTheme="minorHAnsi" w:hAnsi="Arial" w:cstheme="minorBidi"/>
          <w:sz w:val="22"/>
          <w:szCs w:val="22"/>
          <w:lang w:val="en-GB" w:eastAsia="en-US"/>
        </w:rPr>
        <w:t xml:space="preserve">Develop a </w:t>
      </w:r>
      <w:r w:rsidRPr="00A8053A">
        <w:rPr>
          <w:rFonts w:ascii="Arial" w:eastAsiaTheme="minorHAnsi" w:hAnsi="Arial" w:cstheme="minorBidi"/>
          <w:sz w:val="22"/>
          <w:szCs w:val="22"/>
          <w:lang w:val="en-GB" w:eastAsia="en-US"/>
        </w:rPr>
        <w:t>Disability Action Plan</w:t>
      </w:r>
      <w:r w:rsidRPr="001B7244">
        <w:rPr>
          <w:rFonts w:ascii="Arial" w:eastAsiaTheme="minorHAnsi" w:hAnsi="Arial" w:cstheme="minorBidi"/>
          <w:sz w:val="22"/>
          <w:szCs w:val="22"/>
          <w:lang w:val="en-GB" w:eastAsia="en-US"/>
        </w:rPr>
        <w:t xml:space="preserve"> within EU External Action, similar to the </w:t>
      </w:r>
      <w:hyperlink r:id="rId62" w:history="1">
        <w:r w:rsidRPr="00BD0C16">
          <w:rPr>
            <w:rStyle w:val="Hyperlink"/>
            <w:rFonts w:ascii="Arial" w:eastAsiaTheme="minorHAnsi" w:hAnsi="Arial" w:cstheme="minorBidi"/>
            <w:sz w:val="22"/>
            <w:szCs w:val="22"/>
            <w:lang w:val="en-GB" w:eastAsia="en-US"/>
          </w:rPr>
          <w:t>Youth Action Plan</w:t>
        </w:r>
      </w:hyperlink>
      <w:r w:rsidRPr="001B7244">
        <w:rPr>
          <w:rFonts w:ascii="Arial" w:eastAsiaTheme="minorHAnsi" w:hAnsi="Arial" w:cstheme="minorBidi"/>
          <w:sz w:val="22"/>
          <w:szCs w:val="22"/>
          <w:lang w:val="en-GB" w:eastAsia="en-US"/>
        </w:rPr>
        <w:t xml:space="preserve">, </w:t>
      </w:r>
      <w:r w:rsidR="00BD0C16">
        <w:rPr>
          <w:rFonts w:ascii="Arial" w:eastAsiaTheme="minorHAnsi" w:hAnsi="Arial" w:cstheme="minorBidi"/>
          <w:sz w:val="22"/>
          <w:szCs w:val="22"/>
          <w:lang w:val="en-GB" w:eastAsia="en-US"/>
        </w:rPr>
        <w:t>to provide</w:t>
      </w:r>
      <w:r w:rsidRPr="001B7244">
        <w:rPr>
          <w:rFonts w:ascii="Arial" w:eastAsiaTheme="minorHAnsi" w:hAnsi="Arial" w:cstheme="minorBidi"/>
          <w:sz w:val="22"/>
          <w:szCs w:val="22"/>
          <w:lang w:val="en-GB" w:eastAsia="en-US"/>
        </w:rPr>
        <w:t xml:space="preserve"> a comprehensive framework for European institutions and Member States to approach disability-inclusive international cooperation and humanitarian aid. </w:t>
      </w:r>
    </w:p>
    <w:bookmarkEnd w:id="24"/>
    <w:p w14:paraId="785A9DE5" w14:textId="0C6E82AD" w:rsidR="00266A81" w:rsidRPr="00266A81" w:rsidRDefault="00C26BF2" w:rsidP="00266A81">
      <w:pPr>
        <w:pStyle w:val="paragraph"/>
        <w:numPr>
          <w:ilvl w:val="0"/>
          <w:numId w:val="8"/>
        </w:numPr>
        <w:spacing w:line="276" w:lineRule="auto"/>
        <w:ind w:left="714" w:hanging="357"/>
        <w:textAlignment w:val="baseline"/>
        <w:rPr>
          <w:rStyle w:val="eop"/>
          <w:rFonts w:ascii="Arial" w:hAnsi="Arial" w:cs="Arial"/>
          <w:sz w:val="22"/>
          <w:szCs w:val="22"/>
          <w:lang w:val="en-US"/>
        </w:rPr>
      </w:pPr>
      <w:r>
        <w:rPr>
          <w:rStyle w:val="normaltextrun"/>
          <w:rFonts w:ascii="Arial" w:eastAsiaTheme="majorEastAsia" w:hAnsi="Arial" w:cs="Arial"/>
          <w:sz w:val="22"/>
          <w:szCs w:val="22"/>
          <w:lang w:val="en-GB"/>
        </w:rPr>
        <w:t xml:space="preserve">Strengthen </w:t>
      </w:r>
      <w:hyperlink r:id="rId63" w:tgtFrame="_blank" w:history="1">
        <w:r w:rsidR="00423A29" w:rsidRPr="00266A81">
          <w:rPr>
            <w:rStyle w:val="normaltextrun"/>
            <w:rFonts w:ascii="Arial" w:eastAsiaTheme="majorEastAsia" w:hAnsi="Arial" w:cs="Arial"/>
            <w:color w:val="0000FF"/>
            <w:sz w:val="22"/>
            <w:szCs w:val="22"/>
            <w:u w:val="single"/>
            <w:lang w:val="en-US"/>
          </w:rPr>
          <w:t>DG ECHO Operational Guidance</w:t>
        </w:r>
      </w:hyperlink>
      <w:r w:rsidR="00423A29" w:rsidRPr="00266A81">
        <w:rPr>
          <w:rStyle w:val="normaltextrun"/>
          <w:rFonts w:ascii="Arial" w:eastAsiaTheme="majorEastAsia" w:hAnsi="Arial" w:cs="Arial"/>
          <w:sz w:val="22"/>
          <w:szCs w:val="22"/>
          <w:lang w:val="en-US"/>
        </w:rPr>
        <w:t xml:space="preserve"> </w:t>
      </w:r>
      <w:r>
        <w:rPr>
          <w:rStyle w:val="normaltextrun"/>
          <w:rFonts w:ascii="Arial" w:eastAsiaTheme="majorEastAsia" w:hAnsi="Arial" w:cs="Arial"/>
          <w:sz w:val="22"/>
          <w:szCs w:val="22"/>
          <w:lang w:val="en-US"/>
        </w:rPr>
        <w:t xml:space="preserve">and reporting mechanisms by </w:t>
      </w:r>
      <w:r w:rsidR="00BD0C16">
        <w:rPr>
          <w:rStyle w:val="normaltextrun"/>
          <w:rFonts w:ascii="Arial" w:eastAsiaTheme="majorEastAsia" w:hAnsi="Arial" w:cs="Arial"/>
          <w:sz w:val="22"/>
          <w:szCs w:val="22"/>
          <w:lang w:val="en-US"/>
        </w:rPr>
        <w:t>requiring</w:t>
      </w:r>
      <w:r>
        <w:rPr>
          <w:rStyle w:val="normaltextrun"/>
          <w:rFonts w:ascii="Arial" w:eastAsiaTheme="majorEastAsia" w:hAnsi="Arial" w:cs="Arial"/>
          <w:sz w:val="22"/>
          <w:szCs w:val="22"/>
          <w:lang w:val="en-US"/>
        </w:rPr>
        <w:t xml:space="preserve"> partners to use explicit and unambiguous indicators that </w:t>
      </w:r>
      <w:r w:rsidR="00BD0C16">
        <w:rPr>
          <w:rStyle w:val="normaltextrun"/>
          <w:rFonts w:ascii="Arial" w:eastAsiaTheme="majorEastAsia" w:hAnsi="Arial" w:cs="Arial"/>
          <w:sz w:val="22"/>
          <w:szCs w:val="22"/>
          <w:lang w:val="en-US"/>
        </w:rPr>
        <w:t>track the number of</w:t>
      </w:r>
      <w:r>
        <w:rPr>
          <w:rStyle w:val="normaltextrun"/>
          <w:rFonts w:ascii="Arial" w:eastAsiaTheme="majorEastAsia" w:hAnsi="Arial" w:cs="Arial"/>
          <w:sz w:val="22"/>
          <w:szCs w:val="22"/>
          <w:lang w:val="en-US"/>
        </w:rPr>
        <w:t xml:space="preserve"> persons with disabilities reached</w:t>
      </w:r>
      <w:r w:rsidR="00D31BC7">
        <w:rPr>
          <w:rStyle w:val="normaltextrun"/>
          <w:rFonts w:ascii="Arial" w:eastAsiaTheme="majorEastAsia" w:hAnsi="Arial" w:cs="Arial"/>
          <w:sz w:val="22"/>
          <w:szCs w:val="22"/>
          <w:lang w:val="en-US"/>
        </w:rPr>
        <w:t xml:space="preserve"> in </w:t>
      </w:r>
      <w:r w:rsidR="00BD0C16">
        <w:rPr>
          <w:rStyle w:val="normaltextrun"/>
          <w:rFonts w:ascii="Arial" w:eastAsiaTheme="majorEastAsia" w:hAnsi="Arial" w:cs="Arial"/>
          <w:sz w:val="22"/>
          <w:szCs w:val="22"/>
          <w:lang w:val="en-US"/>
        </w:rPr>
        <w:t xml:space="preserve">humanitarian </w:t>
      </w:r>
      <w:r w:rsidR="00D31BC7">
        <w:rPr>
          <w:rStyle w:val="normaltextrun"/>
          <w:rFonts w:ascii="Arial" w:eastAsiaTheme="majorEastAsia" w:hAnsi="Arial" w:cs="Arial"/>
          <w:sz w:val="22"/>
          <w:szCs w:val="22"/>
          <w:lang w:val="en-US"/>
        </w:rPr>
        <w:t>response</w:t>
      </w:r>
      <w:r w:rsidR="00BD0C16">
        <w:rPr>
          <w:rStyle w:val="normaltextrun"/>
          <w:rFonts w:ascii="Arial" w:eastAsiaTheme="majorEastAsia" w:hAnsi="Arial" w:cs="Arial"/>
          <w:sz w:val="22"/>
          <w:szCs w:val="22"/>
          <w:lang w:val="en-US"/>
        </w:rPr>
        <w:t>s</w:t>
      </w:r>
      <w:r w:rsidR="00D31BC7">
        <w:rPr>
          <w:rStyle w:val="normaltextrun"/>
          <w:rFonts w:ascii="Arial" w:eastAsiaTheme="majorEastAsia" w:hAnsi="Arial" w:cs="Arial"/>
          <w:sz w:val="22"/>
          <w:szCs w:val="22"/>
          <w:lang w:val="en-US"/>
        </w:rPr>
        <w:t>,</w:t>
      </w:r>
      <w:r>
        <w:rPr>
          <w:rStyle w:val="normaltextrun"/>
          <w:rFonts w:ascii="Arial" w:eastAsiaTheme="majorEastAsia" w:hAnsi="Arial" w:cs="Arial"/>
          <w:sz w:val="22"/>
          <w:szCs w:val="22"/>
          <w:lang w:val="en-US"/>
        </w:rPr>
        <w:t xml:space="preserve"> and</w:t>
      </w:r>
      <w:r w:rsidR="00BD0C16">
        <w:rPr>
          <w:rStyle w:val="normaltextrun"/>
          <w:rFonts w:ascii="Arial" w:eastAsiaTheme="majorEastAsia" w:hAnsi="Arial" w:cs="Arial"/>
          <w:sz w:val="22"/>
          <w:szCs w:val="22"/>
          <w:lang w:val="en-US"/>
        </w:rPr>
        <w:t xml:space="preserve"> to</w:t>
      </w:r>
      <w:r>
        <w:rPr>
          <w:rStyle w:val="normaltextrun"/>
          <w:rFonts w:ascii="Arial" w:eastAsiaTheme="majorEastAsia" w:hAnsi="Arial" w:cs="Arial"/>
          <w:sz w:val="22"/>
          <w:szCs w:val="22"/>
          <w:lang w:val="en-US"/>
        </w:rPr>
        <w:t xml:space="preserve"> measure </w:t>
      </w:r>
      <w:r w:rsidR="00D31BC7">
        <w:rPr>
          <w:rStyle w:val="normaltextrun"/>
          <w:rFonts w:ascii="Arial" w:eastAsiaTheme="majorEastAsia" w:hAnsi="Arial" w:cs="Arial"/>
          <w:sz w:val="22"/>
          <w:szCs w:val="22"/>
          <w:lang w:val="en-US"/>
        </w:rPr>
        <w:t xml:space="preserve">the </w:t>
      </w:r>
      <w:r>
        <w:rPr>
          <w:rStyle w:val="normaltextrun"/>
          <w:rFonts w:ascii="Arial" w:eastAsiaTheme="majorEastAsia" w:hAnsi="Arial" w:cs="Arial"/>
          <w:sz w:val="22"/>
          <w:szCs w:val="22"/>
          <w:lang w:val="en-US"/>
        </w:rPr>
        <w:t xml:space="preserve">participation of </w:t>
      </w:r>
      <w:r w:rsidR="00BD0C16">
        <w:rPr>
          <w:rStyle w:val="normaltextrun"/>
          <w:rFonts w:ascii="Arial" w:eastAsiaTheme="majorEastAsia" w:hAnsi="Arial" w:cs="Arial"/>
          <w:sz w:val="22"/>
          <w:szCs w:val="22"/>
          <w:lang w:val="en-US"/>
        </w:rPr>
        <w:t>OPDs</w:t>
      </w:r>
      <w:r w:rsidR="00D31BC7">
        <w:rPr>
          <w:rStyle w:val="normaltextrun"/>
          <w:rFonts w:ascii="Arial" w:eastAsiaTheme="majorEastAsia" w:hAnsi="Arial" w:cs="Arial"/>
          <w:sz w:val="22"/>
          <w:szCs w:val="22"/>
          <w:lang w:val="en-US"/>
        </w:rPr>
        <w:t xml:space="preserve"> in planning, implementing and monitoring</w:t>
      </w:r>
      <w:r w:rsidR="00BD0C16">
        <w:rPr>
          <w:rStyle w:val="normaltextrun"/>
          <w:rFonts w:ascii="Arial" w:eastAsiaTheme="majorEastAsia" w:hAnsi="Arial" w:cs="Arial"/>
          <w:sz w:val="22"/>
          <w:szCs w:val="22"/>
          <w:lang w:val="en-US"/>
        </w:rPr>
        <w:t xml:space="preserve"> processes</w:t>
      </w:r>
      <w:r w:rsidR="00D31BC7">
        <w:rPr>
          <w:rStyle w:val="normaltextrun"/>
          <w:rFonts w:ascii="Arial" w:eastAsiaTheme="majorEastAsia" w:hAnsi="Arial" w:cs="Arial"/>
          <w:sz w:val="22"/>
          <w:szCs w:val="22"/>
          <w:lang w:val="en-US"/>
        </w:rPr>
        <w:t>.</w:t>
      </w:r>
    </w:p>
    <w:p w14:paraId="155762DD" w14:textId="67604154" w:rsidR="00C53696" w:rsidRPr="00C20C7F" w:rsidRDefault="00253970" w:rsidP="00BD0C16">
      <w:pPr>
        <w:numPr>
          <w:ilvl w:val="0"/>
          <w:numId w:val="8"/>
        </w:numPr>
        <w:spacing w:after="160" w:line="259" w:lineRule="auto"/>
        <w:contextualSpacing/>
        <w:rPr>
          <w:rFonts w:cs="Arial"/>
          <w:lang w:val="en-US"/>
        </w:rPr>
      </w:pPr>
      <w:r>
        <w:rPr>
          <w:rFonts w:cs="Arial"/>
        </w:rPr>
        <w:t>Align</w:t>
      </w:r>
      <w:r w:rsidRPr="00253970">
        <w:rPr>
          <w:rFonts w:cs="Arial"/>
        </w:rPr>
        <w:t xml:space="preserve"> the </w:t>
      </w:r>
      <w:hyperlink r:id="rId64" w:history="1">
        <w:r w:rsidRPr="00523F74">
          <w:rPr>
            <w:rStyle w:val="Hyperlink"/>
            <w:rFonts w:cs="Arial"/>
          </w:rPr>
          <w:t>Pact on Migration and Asylum</w:t>
        </w:r>
      </w:hyperlink>
      <w:r w:rsidRPr="00253970">
        <w:rPr>
          <w:rFonts w:cs="Arial"/>
        </w:rPr>
        <w:t xml:space="preserve"> with </w:t>
      </w:r>
      <w:r>
        <w:rPr>
          <w:rFonts w:cs="Arial"/>
        </w:rPr>
        <w:t xml:space="preserve">CRPD </w:t>
      </w:r>
      <w:r w:rsidRPr="00253970">
        <w:rPr>
          <w:rFonts w:cs="Arial"/>
        </w:rPr>
        <w:t>obligations by adopting a rights-based approach to disability, clearly defining how 'special reception needs' will be identified—</w:t>
      </w:r>
      <w:r w:rsidR="00BD0C16">
        <w:rPr>
          <w:rFonts w:cs="Arial"/>
        </w:rPr>
        <w:t>particularly</w:t>
      </w:r>
      <w:r w:rsidRPr="00253970">
        <w:rPr>
          <w:rFonts w:cs="Arial"/>
        </w:rPr>
        <w:t xml:space="preserve"> for </w:t>
      </w:r>
      <w:r>
        <w:rPr>
          <w:rFonts w:cs="Arial"/>
        </w:rPr>
        <w:t>persons</w:t>
      </w:r>
      <w:r w:rsidRPr="00253970">
        <w:rPr>
          <w:rFonts w:cs="Arial"/>
        </w:rPr>
        <w:t xml:space="preserve"> with invisible disabilities—and </w:t>
      </w:r>
      <w:r w:rsidR="00BD0C16">
        <w:rPr>
          <w:rFonts w:cs="Arial"/>
        </w:rPr>
        <w:t>ensuring</w:t>
      </w:r>
      <w:r w:rsidRPr="00253970">
        <w:rPr>
          <w:rFonts w:cs="Arial"/>
        </w:rPr>
        <w:t xml:space="preserve"> that </w:t>
      </w:r>
      <w:r w:rsidRPr="00C20C7F">
        <w:rPr>
          <w:rFonts w:cs="Arial"/>
        </w:rPr>
        <w:t>refugees and asylum seekers with disabilities receive reasonable accommodations, accessibility, and disability-specific medical care</w:t>
      </w:r>
      <w:r w:rsidR="00BD0C16" w:rsidRPr="00C20C7F">
        <w:rPr>
          <w:rFonts w:cs="Arial"/>
        </w:rPr>
        <w:t xml:space="preserve">. </w:t>
      </w:r>
    </w:p>
    <w:p w14:paraId="42D3C8B5" w14:textId="54E6D41E" w:rsidR="001E3BAD" w:rsidRPr="00C20C7F" w:rsidRDefault="00523F74" w:rsidP="00295AA8">
      <w:pPr>
        <w:pStyle w:val="Heading2"/>
        <w:rPr>
          <w:lang w:val="en-GB"/>
        </w:rPr>
      </w:pPr>
      <w:bookmarkStart w:id="25" w:name="_Article_12:_Equal"/>
      <w:bookmarkStart w:id="26" w:name="_Toc179386643"/>
      <w:bookmarkEnd w:id="25"/>
      <w:r w:rsidRPr="00C20C7F">
        <w:rPr>
          <w:lang w:val="en-GB"/>
        </w:rPr>
        <w:t>A</w:t>
      </w:r>
      <w:r w:rsidR="00A540DD" w:rsidRPr="00C20C7F">
        <w:rPr>
          <w:lang w:val="en-GB"/>
        </w:rPr>
        <w:t xml:space="preserve">rticle 12: </w:t>
      </w:r>
      <w:r w:rsidR="001E3BAD" w:rsidRPr="00C20C7F">
        <w:rPr>
          <w:lang w:val="en-GB"/>
        </w:rPr>
        <w:t>Equal recognition before the law</w:t>
      </w:r>
      <w:bookmarkEnd w:id="26"/>
    </w:p>
    <w:p w14:paraId="5F604CDF" w14:textId="73B5782F" w:rsidR="00467A85" w:rsidRDefault="00B87974" w:rsidP="00295AA8">
      <w:r w:rsidRPr="00C20C7F">
        <w:t>L</w:t>
      </w:r>
      <w:r w:rsidR="007424CE" w:rsidRPr="00C20C7F">
        <w:t>egal capacity</w:t>
      </w:r>
      <w:r w:rsidRPr="00C20C7F">
        <w:t xml:space="preserve"> can</w:t>
      </w:r>
      <w:r w:rsidR="007424CE" w:rsidRPr="00C20C7F">
        <w:t xml:space="preserve"> still </w:t>
      </w:r>
      <w:r w:rsidRPr="00C20C7F">
        <w:t xml:space="preserve">be </w:t>
      </w:r>
      <w:r w:rsidR="007424CE" w:rsidRPr="00C20C7F">
        <w:t xml:space="preserve">restricted across the </w:t>
      </w:r>
      <w:r w:rsidRPr="00C20C7F">
        <w:t>EU</w:t>
      </w:r>
      <w:r w:rsidR="007424CE" w:rsidRPr="00C20C7F">
        <w:t xml:space="preserve">. </w:t>
      </w:r>
      <w:r w:rsidR="00B753D4" w:rsidRPr="00C20C7F">
        <w:t>Persons with disabilities, whose legal capacity has been denied or limited, are unable to enjoy and exercise an array of rights that come from EU law, such</w:t>
      </w:r>
      <w:r w:rsidR="00B753D4" w:rsidRPr="00D404B4">
        <w:t xml:space="preserve"> as the right to decide where to live, </w:t>
      </w:r>
      <w:r w:rsidR="00DC4355" w:rsidRPr="00D404B4">
        <w:t xml:space="preserve">to get married, </w:t>
      </w:r>
      <w:r w:rsidR="00B753D4" w:rsidRPr="00D404B4">
        <w:t xml:space="preserve">to sign employment or commercial contracts, to make financial transactions, </w:t>
      </w:r>
      <w:r w:rsidR="00DC4355" w:rsidRPr="00D404B4">
        <w:t xml:space="preserve">to </w:t>
      </w:r>
      <w:r w:rsidR="00CE37DC" w:rsidRPr="00D404B4">
        <w:t xml:space="preserve">get </w:t>
      </w:r>
      <w:r w:rsidR="00DC4355" w:rsidRPr="00D404B4">
        <w:t xml:space="preserve">a fair trial </w:t>
      </w:r>
      <w:r w:rsidR="00B753D4" w:rsidRPr="00D404B4">
        <w:t>or to vote</w:t>
      </w:r>
      <w:r w:rsidR="00A05829" w:rsidRPr="00D404B4">
        <w:t xml:space="preserve"> and stand as candidates</w:t>
      </w:r>
      <w:r w:rsidR="00B753D4" w:rsidRPr="00D404B4">
        <w:t xml:space="preserve"> in European and </w:t>
      </w:r>
      <w:r w:rsidR="00CE37DC" w:rsidRPr="00D404B4">
        <w:t>national</w:t>
      </w:r>
      <w:r w:rsidR="00B753D4" w:rsidRPr="00D404B4">
        <w:t xml:space="preserve"> elections.</w:t>
      </w:r>
      <w:r w:rsidR="00A05829" w:rsidRPr="00D404B4">
        <w:rPr>
          <w:rStyle w:val="FootnoteReference"/>
        </w:rPr>
        <w:footnoteReference w:id="44"/>
      </w:r>
    </w:p>
    <w:p w14:paraId="66444506" w14:textId="3F8D2839" w:rsidR="00B87974" w:rsidRPr="00D404B4" w:rsidRDefault="00B87974" w:rsidP="00295AA8">
      <w:r>
        <w:t xml:space="preserve">In 2024, EDF published a </w:t>
      </w:r>
      <w:hyperlink r:id="rId65" w:history="1">
        <w:r w:rsidRPr="00B87974">
          <w:rPr>
            <w:rStyle w:val="Hyperlink"/>
          </w:rPr>
          <w:t>report on legal capacity</w:t>
        </w:r>
      </w:hyperlink>
      <w:r w:rsidR="009E4EC3">
        <w:t xml:space="preserve"> which </w:t>
      </w:r>
      <w:r>
        <w:t xml:space="preserve">findings show that </w:t>
      </w:r>
      <w:r w:rsidRPr="00B87974">
        <w:t>no EU country fully protects persons with disabilities from losing their right to make decisions</w:t>
      </w:r>
      <w:r w:rsidR="009E4EC3">
        <w:t xml:space="preserve">. </w:t>
      </w:r>
      <w:r w:rsidRPr="009E4EC3">
        <w:rPr>
          <w:b/>
          <w:bCs/>
        </w:rPr>
        <w:t>12 EU member states allow full deprivation of legal capacity</w:t>
      </w:r>
      <w:r w:rsidRPr="009E4EC3">
        <w:rPr>
          <w:rStyle w:val="FootnoteReference"/>
          <w:b/>
          <w:bCs/>
        </w:rPr>
        <w:footnoteReference w:id="45"/>
      </w:r>
      <w:r w:rsidRPr="009E4EC3">
        <w:rPr>
          <w:b/>
          <w:bCs/>
        </w:rPr>
        <w:t xml:space="preserve"> and 8 permit partial removal</w:t>
      </w:r>
      <w:r>
        <w:t>.</w:t>
      </w:r>
      <w:r>
        <w:rPr>
          <w:rStyle w:val="FootnoteReference"/>
        </w:rPr>
        <w:footnoteReference w:id="46"/>
      </w:r>
      <w:r>
        <w:t xml:space="preserve"> Only 6 EU member states have </w:t>
      </w:r>
      <w:r w:rsidRPr="00B87974">
        <w:t>nearly abolished any type of deprivation of legal capacity but still allow exceptions</w:t>
      </w:r>
      <w:r>
        <w:t>.</w:t>
      </w:r>
      <w:r>
        <w:rPr>
          <w:rStyle w:val="FootnoteReference"/>
        </w:rPr>
        <w:footnoteReference w:id="47"/>
      </w:r>
      <w:r>
        <w:t xml:space="preserve"> The report also finds that even in countries that reformed their legal system, judges may still apply old concept of deprivation of legal capacity, instead of supported decision-making systems. </w:t>
      </w:r>
    </w:p>
    <w:p w14:paraId="554AFFF9" w14:textId="4CFE441F" w:rsidR="007F4A11" w:rsidRPr="00D404B4" w:rsidRDefault="00480268" w:rsidP="00295AA8">
      <w:r w:rsidRPr="00776FA0">
        <w:t>Despite the now well</w:t>
      </w:r>
      <w:r w:rsidR="002709C7">
        <w:t>-</w:t>
      </w:r>
      <w:r w:rsidRPr="00776FA0">
        <w:t>evidenced breaches of the right to make decision of persons with disabilities</w:t>
      </w:r>
      <w:r w:rsidR="002709C7">
        <w:t>,</w:t>
      </w:r>
      <w:r w:rsidRPr="00776FA0">
        <w:t xml:space="preserve"> the </w:t>
      </w:r>
      <w:r w:rsidRPr="00D404B4">
        <w:t>EU has not taken measures to foster research, data collection and exchange of good practices on supported decision-making, in consultation with representative organi</w:t>
      </w:r>
      <w:r w:rsidR="00A05829" w:rsidRPr="00D404B4">
        <w:t>s</w:t>
      </w:r>
      <w:r w:rsidRPr="00D404B4">
        <w:t xml:space="preserve">ations of persons with disabilities, as requested by the CRPD Committee in its </w:t>
      </w:r>
      <w:r w:rsidR="00F83822" w:rsidRPr="00D404B4">
        <w:t>2015 C</w:t>
      </w:r>
      <w:r w:rsidRPr="00D404B4">
        <w:t>oncluding observations to the EU.</w:t>
      </w:r>
    </w:p>
    <w:p w14:paraId="25B57124" w14:textId="48AEC708" w:rsidR="009E4EC3" w:rsidRDefault="00737CC9" w:rsidP="00295AA8">
      <w:r>
        <w:lastRenderedPageBreak/>
        <w:t>Instead</w:t>
      </w:r>
      <w:r w:rsidR="007B5F49" w:rsidRPr="00D404B4">
        <w:t>, the Commission</w:t>
      </w:r>
      <w:r w:rsidR="009E4EC3">
        <w:t xml:space="preserve"> </w:t>
      </w:r>
      <w:r w:rsidR="00D02E88">
        <w:t>is</w:t>
      </w:r>
      <w:r w:rsidR="009E4EC3">
        <w:t xml:space="preserve"> supporting the ratification of the </w:t>
      </w:r>
      <w:r w:rsidR="009E4EC3" w:rsidRPr="00D404B4">
        <w:rPr>
          <w:b/>
          <w:bCs/>
        </w:rPr>
        <w:t>2000 Hague Convention on the international protection of vulnerable adults</w:t>
      </w:r>
      <w:r w:rsidR="009E4EC3" w:rsidRPr="009E4EC3">
        <w:rPr>
          <w:rStyle w:val="FootnoteReference"/>
        </w:rPr>
        <w:footnoteReference w:id="48"/>
      </w:r>
      <w:r w:rsidR="009E4EC3">
        <w:rPr>
          <w:b/>
          <w:bCs/>
        </w:rPr>
        <w:t xml:space="preserve"> </w:t>
      </w:r>
      <w:r w:rsidR="009E4EC3" w:rsidRPr="009E4EC3">
        <w:t xml:space="preserve">and proposed the adoption of a </w:t>
      </w:r>
      <w:hyperlink r:id="rId66" w:history="1">
        <w:r w:rsidR="009E4EC3" w:rsidRPr="00737CC9">
          <w:rPr>
            <w:rStyle w:val="Hyperlink"/>
            <w:b/>
            <w:bCs/>
          </w:rPr>
          <w:t>Regulation governing the cross-border protection of adults</w:t>
        </w:r>
      </w:hyperlink>
      <w:r w:rsidR="009E4EC3" w:rsidRPr="009E4EC3">
        <w:t xml:space="preserve"> that </w:t>
      </w:r>
      <w:r>
        <w:t>does not comply with the CRPD. Instead of using this opportunity to focus on autonomy and supported decision-making, the proposed regulation mirrors the text of the 2000 Hague Convention, focusing in its scope on substituted decision-making</w:t>
      </w:r>
      <w:r>
        <w:rPr>
          <w:rStyle w:val="FootnoteReference"/>
        </w:rPr>
        <w:footnoteReference w:id="49"/>
      </w:r>
      <w:r>
        <w:t xml:space="preserve"> </w:t>
      </w:r>
      <w:r w:rsidR="00D02E88">
        <w:t xml:space="preserve">mechanisms (such as guardianship) </w:t>
      </w:r>
      <w:r>
        <w:t>and allowing placement in institutions.</w:t>
      </w:r>
      <w:r>
        <w:rPr>
          <w:rStyle w:val="FootnoteReference"/>
        </w:rPr>
        <w:footnoteReference w:id="50"/>
      </w:r>
      <w:r>
        <w:t xml:space="preserve"> The </w:t>
      </w:r>
      <w:r w:rsidR="00D02E88">
        <w:t>proposal was presented</w:t>
      </w:r>
      <w:r>
        <w:t xml:space="preserve"> by the Commission in 2023</w:t>
      </w:r>
      <w:r w:rsidR="00D02E88">
        <w:t>,</w:t>
      </w:r>
      <w:r>
        <w:t xml:space="preserve"> and it is now being </w:t>
      </w:r>
      <w:r w:rsidR="00D02E88">
        <w:t>negotiated</w:t>
      </w:r>
      <w:r>
        <w:t xml:space="preserve"> in the Parliament and the Council of the EU. The </w:t>
      </w:r>
      <w:hyperlink r:id="rId67" w:history="1">
        <w:r w:rsidRPr="00D02E88">
          <w:rPr>
            <w:rStyle w:val="Hyperlink"/>
          </w:rPr>
          <w:t xml:space="preserve">text </w:t>
        </w:r>
        <w:r w:rsidR="00D02E88" w:rsidRPr="00D02E88">
          <w:rPr>
            <w:rStyle w:val="Hyperlink"/>
          </w:rPr>
          <w:t>has been</w:t>
        </w:r>
        <w:r w:rsidRPr="00D02E88">
          <w:rPr>
            <w:rStyle w:val="Hyperlink"/>
          </w:rPr>
          <w:t xml:space="preserve"> criticised by the UN Special Rapporteur on </w:t>
        </w:r>
        <w:r w:rsidR="00D02E88" w:rsidRPr="00D02E88">
          <w:rPr>
            <w:rStyle w:val="Hyperlink"/>
          </w:rPr>
          <w:t>p</w:t>
        </w:r>
        <w:r w:rsidRPr="00D02E88">
          <w:rPr>
            <w:rStyle w:val="Hyperlink"/>
          </w:rPr>
          <w:t xml:space="preserve">ersons with </w:t>
        </w:r>
        <w:r w:rsidR="00D02E88" w:rsidRPr="00D02E88">
          <w:rPr>
            <w:rStyle w:val="Hyperlink"/>
          </w:rPr>
          <w:t>d</w:t>
        </w:r>
        <w:r w:rsidRPr="00D02E88">
          <w:rPr>
            <w:rStyle w:val="Hyperlink"/>
          </w:rPr>
          <w:t>isabilities and the Independent Expert</w:t>
        </w:r>
        <w:r w:rsidR="00D02E88" w:rsidRPr="00D02E88">
          <w:rPr>
            <w:rStyle w:val="Hyperlink"/>
          </w:rPr>
          <w:t xml:space="preserve"> on the enjoyment of all human rights by older persons</w:t>
        </w:r>
      </w:hyperlink>
      <w:r>
        <w:t>.</w:t>
      </w:r>
      <w:r w:rsidR="00D02E88">
        <w:rPr>
          <w:rStyle w:val="FootnoteReference"/>
        </w:rPr>
        <w:footnoteReference w:id="51"/>
      </w:r>
      <w:r>
        <w:t xml:space="preserve"> </w:t>
      </w:r>
    </w:p>
    <w:p w14:paraId="78148634" w14:textId="57B4AE55" w:rsidR="005D737B" w:rsidRDefault="00480318" w:rsidP="00295AA8">
      <w:pPr>
        <w:rPr>
          <w:b/>
        </w:rPr>
      </w:pPr>
      <w:r>
        <w:rPr>
          <w:b/>
        </w:rPr>
        <w:t xml:space="preserve">We call for: </w:t>
      </w:r>
    </w:p>
    <w:p w14:paraId="0CB859C5" w14:textId="77777777" w:rsidR="00480318" w:rsidRDefault="00480318" w:rsidP="0029002A">
      <w:pPr>
        <w:pStyle w:val="ListParagraph"/>
        <w:numPr>
          <w:ilvl w:val="0"/>
          <w:numId w:val="9"/>
        </w:numPr>
        <w:spacing w:afterLines="120" w:after="288"/>
        <w:ind w:left="714" w:hanging="357"/>
      </w:pPr>
      <w:r>
        <w:t xml:space="preserve">Redraft of the proposed Regulation on protection of adults in cross-border situation, to focus on autonomy and supported-decision making. </w:t>
      </w:r>
    </w:p>
    <w:p w14:paraId="0ACA0C80" w14:textId="053CB406" w:rsidR="00480318" w:rsidRPr="00C20C7F" w:rsidRDefault="00480318" w:rsidP="0029002A">
      <w:pPr>
        <w:pStyle w:val="ListParagraph"/>
        <w:numPr>
          <w:ilvl w:val="0"/>
          <w:numId w:val="9"/>
        </w:numPr>
        <w:spacing w:afterLines="120" w:after="288"/>
        <w:ind w:left="714" w:hanging="357"/>
      </w:pPr>
      <w:r w:rsidRPr="00D9243C">
        <w:t xml:space="preserve">Adoption of </w:t>
      </w:r>
      <w:r w:rsidR="00D9243C" w:rsidRPr="00D9243C">
        <w:t xml:space="preserve">recommendations and guidelines </w:t>
      </w:r>
      <w:r w:rsidR="00C558B4" w:rsidRPr="00D9243C">
        <w:t>for member states</w:t>
      </w:r>
      <w:r w:rsidRPr="00D9243C">
        <w:t xml:space="preserve"> on</w:t>
      </w:r>
      <w:r w:rsidR="00C558B4" w:rsidRPr="00D9243C">
        <w:t xml:space="preserve"> moving from substitute decision-making to supported decision-making systems and facilitation of exchange between members states on ensuring the respect of choice and autonomy </w:t>
      </w:r>
      <w:r w:rsidR="00C558B4" w:rsidRPr="00C20C7F">
        <w:t>of persons with disabilities and older people.</w:t>
      </w:r>
    </w:p>
    <w:p w14:paraId="04139226" w14:textId="50BBB74E" w:rsidR="00314048" w:rsidRPr="00C20C7F" w:rsidRDefault="00BD6285" w:rsidP="00FA4F3F">
      <w:pPr>
        <w:pStyle w:val="Heading2"/>
        <w:rPr>
          <w:lang w:val="en-GB"/>
        </w:rPr>
      </w:pPr>
      <w:bookmarkStart w:id="27" w:name="_Toc179386644"/>
      <w:r w:rsidRPr="00C20C7F">
        <w:rPr>
          <w:lang w:val="en-GB"/>
        </w:rPr>
        <w:t xml:space="preserve">Article 13: </w:t>
      </w:r>
      <w:r w:rsidR="00314048" w:rsidRPr="00C20C7F">
        <w:rPr>
          <w:lang w:val="en-GB"/>
        </w:rPr>
        <w:t>Access to j</w:t>
      </w:r>
      <w:r w:rsidR="00F47203" w:rsidRPr="00C20C7F">
        <w:rPr>
          <w:lang w:val="en-GB"/>
        </w:rPr>
        <w:t>ustice</w:t>
      </w:r>
      <w:bookmarkEnd w:id="27"/>
    </w:p>
    <w:p w14:paraId="309B1DF2" w14:textId="684D376D" w:rsidR="00DF6062" w:rsidRPr="00C20C7F" w:rsidRDefault="00DF6062" w:rsidP="00295AA8">
      <w:pPr>
        <w:pStyle w:val="Heading3"/>
      </w:pPr>
      <w:r w:rsidRPr="00C20C7F">
        <w:t>Criminal matters</w:t>
      </w:r>
    </w:p>
    <w:p w14:paraId="5E3A32C0" w14:textId="3A064530" w:rsidR="00A127AC" w:rsidRPr="00D404B4" w:rsidRDefault="00314048" w:rsidP="00295AA8">
      <w:pPr>
        <w:rPr>
          <w:bCs/>
          <w:iCs/>
        </w:rPr>
      </w:pPr>
      <w:r w:rsidRPr="00C20C7F">
        <w:t>The EU guarantees the rights</w:t>
      </w:r>
      <w:r w:rsidRPr="00D404B4">
        <w:t xml:space="preserve"> of </w:t>
      </w:r>
      <w:r w:rsidRPr="00E22685">
        <w:rPr>
          <w:b/>
          <w:bCs/>
        </w:rPr>
        <w:t>victims of crimes</w:t>
      </w:r>
      <w:r w:rsidRPr="00D404B4">
        <w:t xml:space="preserve"> and </w:t>
      </w:r>
      <w:r w:rsidRPr="00E22685">
        <w:rPr>
          <w:b/>
          <w:bCs/>
        </w:rPr>
        <w:t>people suspected or accused</w:t>
      </w:r>
      <w:r w:rsidR="00AD6F5A">
        <w:rPr>
          <w:b/>
          <w:bCs/>
        </w:rPr>
        <w:t xml:space="preserve"> of crimes</w:t>
      </w:r>
      <w:r w:rsidRPr="00D404B4">
        <w:t xml:space="preserve"> under several directives.</w:t>
      </w:r>
      <w:r w:rsidR="006A3DBA" w:rsidRPr="00D404B4">
        <w:rPr>
          <w:rStyle w:val="FootnoteReference"/>
        </w:rPr>
        <w:footnoteReference w:id="52"/>
      </w:r>
      <w:r w:rsidRPr="00D404B4">
        <w:t xml:space="preserve"> </w:t>
      </w:r>
      <w:r w:rsidR="00EF262A" w:rsidRPr="00D404B4">
        <w:rPr>
          <w:bCs/>
          <w:iCs/>
        </w:rPr>
        <w:t xml:space="preserve">This framework specifically considers the rights of victims with disabilities in access to justice, </w:t>
      </w:r>
      <w:r w:rsidR="00E70579">
        <w:rPr>
          <w:bCs/>
          <w:iCs/>
        </w:rPr>
        <w:t>including</w:t>
      </w:r>
      <w:r w:rsidR="00EF262A" w:rsidRPr="00D404B4">
        <w:rPr>
          <w:bCs/>
          <w:iCs/>
        </w:rPr>
        <w:t xml:space="preserve"> accessibility of premises, communication and information.</w:t>
      </w:r>
      <w:r w:rsidR="009C3AAE" w:rsidRPr="00D404B4">
        <w:rPr>
          <w:rStyle w:val="FootnoteReference"/>
          <w:bCs/>
          <w:iCs/>
        </w:rPr>
        <w:footnoteReference w:id="53"/>
      </w:r>
      <w:r w:rsidR="00EF262A" w:rsidRPr="00D404B4">
        <w:rPr>
          <w:bCs/>
          <w:iCs/>
        </w:rPr>
        <w:t xml:space="preserve"> </w:t>
      </w:r>
      <w:r w:rsidRPr="00D404B4">
        <w:t xml:space="preserve">However, </w:t>
      </w:r>
      <w:r w:rsidR="00A127AC" w:rsidRPr="00D404B4">
        <w:t>the existing directives</w:t>
      </w:r>
      <w:r w:rsidR="009538E0" w:rsidRPr="00D404B4">
        <w:t xml:space="preserve"> </w:t>
      </w:r>
      <w:r w:rsidRPr="00D404B4">
        <w:t>are often not fully transposed and implemented by member states.</w:t>
      </w:r>
      <w:r w:rsidR="00EF262A" w:rsidRPr="00D404B4">
        <w:rPr>
          <w:bCs/>
          <w:iCs/>
        </w:rPr>
        <w:t xml:space="preserve"> </w:t>
      </w:r>
    </w:p>
    <w:p w14:paraId="76E44913" w14:textId="673CD261" w:rsidR="00E70579" w:rsidRDefault="00EF262A" w:rsidP="00295AA8">
      <w:pPr>
        <w:rPr>
          <w:bCs/>
          <w:iCs/>
        </w:rPr>
      </w:pPr>
      <w:r w:rsidRPr="00D404B4">
        <w:rPr>
          <w:bCs/>
          <w:iCs/>
        </w:rPr>
        <w:t xml:space="preserve">Despite </w:t>
      </w:r>
      <w:r w:rsidR="00A127AC" w:rsidRPr="00D404B4">
        <w:rPr>
          <w:bCs/>
          <w:iCs/>
        </w:rPr>
        <w:t>the existing legislation</w:t>
      </w:r>
      <w:r w:rsidRPr="00D404B4">
        <w:rPr>
          <w:bCs/>
          <w:iCs/>
        </w:rPr>
        <w:t>, many victims</w:t>
      </w:r>
      <w:r w:rsidR="00D33830" w:rsidRPr="00D404B4">
        <w:rPr>
          <w:bCs/>
          <w:iCs/>
        </w:rPr>
        <w:t xml:space="preserve"> with disabilities</w:t>
      </w:r>
      <w:r w:rsidR="003444EA" w:rsidRPr="00D404B4">
        <w:rPr>
          <w:bCs/>
          <w:iCs/>
        </w:rPr>
        <w:t xml:space="preserve"> and people </w:t>
      </w:r>
      <w:r w:rsidR="00D33830" w:rsidRPr="00D404B4">
        <w:rPr>
          <w:bCs/>
          <w:iCs/>
        </w:rPr>
        <w:t xml:space="preserve">with disabilities </w:t>
      </w:r>
      <w:r w:rsidR="003444EA" w:rsidRPr="00D404B4">
        <w:rPr>
          <w:bCs/>
          <w:iCs/>
        </w:rPr>
        <w:t>suspected or accused of</w:t>
      </w:r>
      <w:r w:rsidR="00D33830" w:rsidRPr="00D404B4">
        <w:rPr>
          <w:bCs/>
          <w:iCs/>
        </w:rPr>
        <w:t xml:space="preserve"> crimes</w:t>
      </w:r>
      <w:r w:rsidR="00921EFA" w:rsidRPr="00D404B4">
        <w:rPr>
          <w:bCs/>
          <w:iCs/>
        </w:rPr>
        <w:t xml:space="preserve"> (including children)</w:t>
      </w:r>
      <w:r w:rsidRPr="00D404B4">
        <w:rPr>
          <w:bCs/>
          <w:iCs/>
        </w:rPr>
        <w:t>, are not granted their rights. Even when measures are available, they are often not accessible to victims</w:t>
      </w:r>
      <w:r w:rsidR="00FF1C92" w:rsidRPr="00D404B4">
        <w:rPr>
          <w:bCs/>
          <w:iCs/>
        </w:rPr>
        <w:t>, suspects and accused</w:t>
      </w:r>
      <w:r w:rsidRPr="00D404B4">
        <w:rPr>
          <w:bCs/>
          <w:iCs/>
        </w:rPr>
        <w:t xml:space="preserve"> with disabilities due to inaccessibility or the lack of provision of accommodation. </w:t>
      </w:r>
      <w:r w:rsidR="00993E83" w:rsidRPr="00D404B4">
        <w:rPr>
          <w:bCs/>
          <w:iCs/>
        </w:rPr>
        <w:t>Often women and girls with disabilities</w:t>
      </w:r>
      <w:r w:rsidR="00014120" w:rsidRPr="00CB2011">
        <w:rPr>
          <w:bCs/>
          <w:iCs/>
        </w:rPr>
        <w:t xml:space="preserve">, </w:t>
      </w:r>
      <w:r w:rsidR="00993E83" w:rsidRPr="00CB2011">
        <w:rPr>
          <w:bCs/>
          <w:iCs/>
        </w:rPr>
        <w:t>especially women with intellectual or psychosocial disabilities</w:t>
      </w:r>
      <w:r w:rsidR="000C24A4" w:rsidRPr="00CB2011">
        <w:rPr>
          <w:bCs/>
          <w:iCs/>
        </w:rPr>
        <w:t>, are not believed when they report violence</w:t>
      </w:r>
      <w:r w:rsidR="00014120" w:rsidRPr="00CB2011">
        <w:rPr>
          <w:bCs/>
          <w:iCs/>
        </w:rPr>
        <w:t>.</w:t>
      </w:r>
      <w:r w:rsidR="00993E83" w:rsidRPr="00CB2011">
        <w:rPr>
          <w:bCs/>
          <w:iCs/>
        </w:rPr>
        <w:t xml:space="preserve"> </w:t>
      </w:r>
      <w:r w:rsidRPr="00CB2011">
        <w:rPr>
          <w:bCs/>
          <w:iCs/>
        </w:rPr>
        <w:t xml:space="preserve">Persons </w:t>
      </w:r>
      <w:r w:rsidR="00971A59" w:rsidRPr="00CB2011">
        <w:rPr>
          <w:bCs/>
          <w:iCs/>
        </w:rPr>
        <w:t xml:space="preserve">on the </w:t>
      </w:r>
      <w:r w:rsidRPr="00CB2011">
        <w:rPr>
          <w:bCs/>
          <w:iCs/>
        </w:rPr>
        <w:t>autism</w:t>
      </w:r>
      <w:r w:rsidR="00971A59" w:rsidRPr="00CB2011">
        <w:rPr>
          <w:bCs/>
          <w:iCs/>
        </w:rPr>
        <w:t xml:space="preserve"> spectrum</w:t>
      </w:r>
      <w:r w:rsidRPr="00CB2011">
        <w:rPr>
          <w:bCs/>
          <w:iCs/>
        </w:rPr>
        <w:t xml:space="preserve">, </w:t>
      </w:r>
      <w:r w:rsidR="00971A59" w:rsidRPr="00CB2011">
        <w:rPr>
          <w:bCs/>
          <w:iCs/>
        </w:rPr>
        <w:t xml:space="preserve">and with </w:t>
      </w:r>
      <w:r w:rsidRPr="00CB2011">
        <w:rPr>
          <w:bCs/>
          <w:iCs/>
        </w:rPr>
        <w:lastRenderedPageBreak/>
        <w:t xml:space="preserve">intellectual </w:t>
      </w:r>
      <w:r w:rsidR="00971A59" w:rsidRPr="00CB2011">
        <w:rPr>
          <w:bCs/>
          <w:iCs/>
        </w:rPr>
        <w:t xml:space="preserve">or </w:t>
      </w:r>
      <w:r w:rsidRPr="00CB2011">
        <w:rPr>
          <w:bCs/>
          <w:iCs/>
        </w:rPr>
        <w:t xml:space="preserve">psychosocial disabilities, and more particularly, victims who have had their legal capacity removed, are often denied </w:t>
      </w:r>
      <w:r w:rsidRPr="00D404B4">
        <w:rPr>
          <w:bCs/>
          <w:iCs/>
        </w:rPr>
        <w:t>participation in criminal proceedings.</w:t>
      </w:r>
      <w:r w:rsidR="00064ECF">
        <w:rPr>
          <w:bCs/>
          <w:iCs/>
        </w:rPr>
        <w:t xml:space="preserve"> </w:t>
      </w:r>
    </w:p>
    <w:p w14:paraId="4B6EE8A8" w14:textId="0932A4AD" w:rsidR="00837829" w:rsidRPr="00D404B4" w:rsidRDefault="00837829" w:rsidP="00295AA8">
      <w:pPr>
        <w:rPr>
          <w:bCs/>
          <w:iCs/>
        </w:rPr>
      </w:pPr>
      <w:r w:rsidRPr="00D404B4">
        <w:rPr>
          <w:bCs/>
          <w:iCs/>
        </w:rPr>
        <w:t>In addition, inaccessible victim support services are a significant barrier for many victims with disabilities. Mechanisms for reporting abuse and bullying do not take into consideration the needs of women and children with disabilities since their testimonies are either discredited or they require the ability to use certain forms of communication and to have access to them.</w:t>
      </w:r>
      <w:r w:rsidRPr="00D404B4">
        <w:rPr>
          <w:rStyle w:val="FootnoteReference"/>
          <w:bCs/>
          <w:iCs/>
        </w:rPr>
        <w:footnoteReference w:id="54"/>
      </w:r>
    </w:p>
    <w:p w14:paraId="50570299" w14:textId="77777777" w:rsidR="00C9284F" w:rsidRDefault="00344AFB" w:rsidP="00295AA8">
      <w:pPr>
        <w:rPr>
          <w:rStyle w:val="Hyperlink"/>
          <w:bCs/>
          <w:iCs/>
          <w:color w:val="auto"/>
          <w:u w:val="none"/>
        </w:rPr>
      </w:pPr>
      <w:r w:rsidRPr="00D404B4">
        <w:rPr>
          <w:bCs/>
          <w:iCs/>
        </w:rPr>
        <w:t xml:space="preserve">The rights of victims with disabilities and children with disabilities in the criminal justice system are included in the </w:t>
      </w:r>
      <w:hyperlink r:id="rId68" w:history="1">
        <w:r w:rsidRPr="00D404B4">
          <w:rPr>
            <w:rStyle w:val="Hyperlink"/>
            <w:bCs/>
            <w:iCs/>
          </w:rPr>
          <w:t>Strategy on victims’ rights 2020-2025</w:t>
        </w:r>
      </w:hyperlink>
      <w:r w:rsidRPr="00D404B4">
        <w:rPr>
          <w:rStyle w:val="Hyperlink"/>
          <w:bCs/>
          <w:iCs/>
          <w:u w:val="none"/>
        </w:rPr>
        <w:t xml:space="preserve"> </w:t>
      </w:r>
      <w:r w:rsidRPr="00D404B4">
        <w:rPr>
          <w:rStyle w:val="Hyperlink"/>
          <w:bCs/>
          <w:iCs/>
          <w:color w:val="auto"/>
          <w:u w:val="none"/>
        </w:rPr>
        <w:t xml:space="preserve">and the </w:t>
      </w:r>
      <w:hyperlink r:id="rId69" w:anchor="documents" w:history="1">
        <w:r w:rsidR="00E70579">
          <w:rPr>
            <w:rStyle w:val="Hyperlink"/>
            <w:bCs/>
            <w:iCs/>
          </w:rPr>
          <w:t>EU Strategy on the rights of the child 2022-2027</w:t>
        </w:r>
      </w:hyperlink>
      <w:r w:rsidRPr="00D404B4">
        <w:rPr>
          <w:rStyle w:val="Hyperlink"/>
          <w:bCs/>
          <w:iCs/>
          <w:color w:val="auto"/>
          <w:u w:val="none"/>
        </w:rPr>
        <w:t xml:space="preserve">. </w:t>
      </w:r>
      <w:r w:rsidR="00203A6F">
        <w:rPr>
          <w:rStyle w:val="Hyperlink"/>
          <w:bCs/>
          <w:iCs/>
          <w:color w:val="auto"/>
          <w:u w:val="none"/>
        </w:rPr>
        <w:t>The Victims’ Rights Strategy included the creation of a Victims’ Rights Platform of which EDF is a member.</w:t>
      </w:r>
      <w:r w:rsidR="00C9284F">
        <w:rPr>
          <w:rStyle w:val="Hyperlink"/>
          <w:bCs/>
          <w:iCs/>
          <w:color w:val="auto"/>
          <w:u w:val="none"/>
        </w:rPr>
        <w:t xml:space="preserve"> It is however not clear whether the Platform will continue to exist after 2025 and whether the Commission will adopt a new strategy.</w:t>
      </w:r>
    </w:p>
    <w:p w14:paraId="6FACF44D" w14:textId="56B36382" w:rsidR="00E70579" w:rsidRDefault="00C9284F" w:rsidP="00295AA8">
      <w:pPr>
        <w:rPr>
          <w:bCs/>
          <w:iCs/>
        </w:rPr>
      </w:pPr>
      <w:r>
        <w:rPr>
          <w:rStyle w:val="Hyperlink"/>
          <w:bCs/>
          <w:iCs/>
          <w:color w:val="auto"/>
          <w:u w:val="none"/>
        </w:rPr>
        <w:t>In 2023, the Commission proposed a</w:t>
      </w:r>
      <w:r w:rsidR="00203A6F">
        <w:rPr>
          <w:bCs/>
          <w:iCs/>
        </w:rPr>
        <w:t xml:space="preserve"> </w:t>
      </w:r>
      <w:hyperlink r:id="rId70" w:history="1">
        <w:r w:rsidR="00203A6F" w:rsidRPr="00203A6F">
          <w:rPr>
            <w:rStyle w:val="Hyperlink"/>
            <w:bCs/>
            <w:iCs/>
          </w:rPr>
          <w:t>revision of the victims’ rights directive</w:t>
        </w:r>
      </w:hyperlink>
      <w:r>
        <w:rPr>
          <w:bCs/>
          <w:iCs/>
        </w:rPr>
        <w:t xml:space="preserve"> which </w:t>
      </w:r>
      <w:r w:rsidR="00203A6F">
        <w:rPr>
          <w:bCs/>
          <w:iCs/>
        </w:rPr>
        <w:t>includes a specific provision on the rights of victims with disabilities</w:t>
      </w:r>
      <w:r>
        <w:rPr>
          <w:bCs/>
          <w:iCs/>
        </w:rPr>
        <w:t>, requiring member states to provide accessibility and reasonable accommodation in victims’ rights services and access to justice</w:t>
      </w:r>
      <w:r w:rsidR="00203A6F">
        <w:rPr>
          <w:bCs/>
          <w:iCs/>
        </w:rPr>
        <w:t>.</w:t>
      </w:r>
      <w:r w:rsidR="00203A6F">
        <w:rPr>
          <w:rStyle w:val="FootnoteReference"/>
          <w:bCs/>
          <w:iCs/>
        </w:rPr>
        <w:footnoteReference w:id="55"/>
      </w:r>
      <w:r w:rsidR="00203A6F">
        <w:rPr>
          <w:bCs/>
          <w:iCs/>
        </w:rPr>
        <w:t xml:space="preserve"> </w:t>
      </w:r>
      <w:r>
        <w:rPr>
          <w:bCs/>
          <w:iCs/>
        </w:rPr>
        <w:t>The proposed revised text is</w:t>
      </w:r>
      <w:r w:rsidR="00203A6F">
        <w:rPr>
          <w:bCs/>
          <w:iCs/>
        </w:rPr>
        <w:t xml:space="preserve"> currently negotiated by the Parliament and the Council. </w:t>
      </w:r>
    </w:p>
    <w:p w14:paraId="3E649F3C" w14:textId="12C8986E" w:rsidR="007319F9" w:rsidRPr="00203A6F" w:rsidRDefault="007319F9" w:rsidP="00295AA8">
      <w:pPr>
        <w:rPr>
          <w:bCs/>
          <w:iCs/>
        </w:rPr>
      </w:pPr>
      <w:r>
        <w:rPr>
          <w:bCs/>
          <w:iCs/>
        </w:rPr>
        <w:t>In its reply to the LOIPR, the Commission mentions the Together for Rights Campaign that aims to fight against stereotypes. However the campaign does not have a specific angle on access to justice.</w:t>
      </w:r>
    </w:p>
    <w:p w14:paraId="2D81BF9F" w14:textId="33B3BB3F" w:rsidR="00DF6062" w:rsidRPr="00D404B4" w:rsidRDefault="00DF6062" w:rsidP="00295AA8">
      <w:pPr>
        <w:pStyle w:val="Heading3"/>
      </w:pPr>
      <w:r w:rsidRPr="00D404B4">
        <w:t>Civil and commercial matters</w:t>
      </w:r>
    </w:p>
    <w:p w14:paraId="2BAD042C" w14:textId="3CF1F1AA" w:rsidR="00AF16ED" w:rsidRPr="00D404B4" w:rsidRDefault="00AF16ED" w:rsidP="00295AA8">
      <w:r w:rsidRPr="00D404B4">
        <w:t>In 2003, the EU adopted a directive to establish common rule</w:t>
      </w:r>
      <w:r w:rsidR="0001528E" w:rsidRPr="00D404B4">
        <w:t>s</w:t>
      </w:r>
      <w:r w:rsidRPr="00D404B4">
        <w:t xml:space="preserve"> on </w:t>
      </w:r>
      <w:r w:rsidRPr="00D404B4">
        <w:rPr>
          <w:b/>
        </w:rPr>
        <w:t>legal aid ava</w:t>
      </w:r>
      <w:r w:rsidR="0001528E" w:rsidRPr="00D404B4">
        <w:rPr>
          <w:b/>
        </w:rPr>
        <w:t>ilable in cross-border disputes</w:t>
      </w:r>
      <w:r w:rsidRPr="00D404B4">
        <w:rPr>
          <w:rStyle w:val="FootnoteReference"/>
        </w:rPr>
        <w:footnoteReference w:id="56"/>
      </w:r>
      <w:r w:rsidR="0001528E" w:rsidRPr="00D404B4">
        <w:t xml:space="preserve"> applicable to civil</w:t>
      </w:r>
      <w:r w:rsidR="007E5084" w:rsidRPr="00D404B4">
        <w:t xml:space="preserve"> and commercial</w:t>
      </w:r>
      <w:r w:rsidR="0001528E" w:rsidRPr="00D404B4">
        <w:t xml:space="preserve"> proceedings. </w:t>
      </w:r>
      <w:r w:rsidR="00A449B7" w:rsidRPr="00D404B4">
        <w:t xml:space="preserve">While the costs covered by the legal aid include interpretation, translation of documents and travel costs, it is not clear whether it also covers the specific needs of persons with disabilities facing cross-border disputes, including sign language interpretation, translation of documents in easy-to-read or braille, and travel costs of a personal assistant. </w:t>
      </w:r>
    </w:p>
    <w:p w14:paraId="28D0CEB1" w14:textId="216E5212" w:rsidR="00E50A86" w:rsidRPr="00D404B4" w:rsidRDefault="00E50A86" w:rsidP="00295AA8">
      <w:pPr>
        <w:pStyle w:val="Heading3"/>
      </w:pPr>
      <w:r w:rsidRPr="00D404B4">
        <w:t xml:space="preserve">Digitalisation of justice </w:t>
      </w:r>
    </w:p>
    <w:p w14:paraId="3179C98C" w14:textId="77777777" w:rsidR="007364E6" w:rsidRDefault="0064494A" w:rsidP="00295AA8">
      <w:r w:rsidRPr="00D404B4">
        <w:t xml:space="preserve">In 2020, the Commission launched a </w:t>
      </w:r>
      <w:r w:rsidRPr="00BE28C6">
        <w:rPr>
          <w:b/>
          <w:bCs/>
        </w:rPr>
        <w:t>package on digitalisation of justice</w:t>
      </w:r>
      <w:r w:rsidRPr="00D404B4">
        <w:t xml:space="preserve"> in the EU, including regarding cross-border judicial cooperation. The </w:t>
      </w:r>
      <w:hyperlink r:id="rId71" w:history="1">
        <w:r w:rsidRPr="00D404B4">
          <w:rPr>
            <w:rStyle w:val="Hyperlink"/>
          </w:rPr>
          <w:t>Communication on Digitalisation of justice in the EU</w:t>
        </w:r>
      </w:hyperlink>
      <w:r w:rsidRPr="00D404B4">
        <w:t xml:space="preserve"> announced that further proposal</w:t>
      </w:r>
      <w:r w:rsidR="007364E6">
        <w:t>s</w:t>
      </w:r>
      <w:r w:rsidRPr="00D404B4">
        <w:t xml:space="preserve"> could “ensure that any electronic access points established for use by the general public cater for persons with disabilities” and that IT tools should be accessible to users with disabilities. </w:t>
      </w:r>
    </w:p>
    <w:p w14:paraId="326A102E" w14:textId="51E3F6A4" w:rsidR="007364E6" w:rsidRDefault="007364E6" w:rsidP="00295AA8">
      <w:r>
        <w:t xml:space="preserve">In 2023, the EU adopted a </w:t>
      </w:r>
      <w:hyperlink r:id="rId72" w:history="1">
        <w:r w:rsidRPr="007364E6">
          <w:rPr>
            <w:rStyle w:val="Hyperlink"/>
          </w:rPr>
          <w:t>regulation on digitalisation of judicial cooperation and access to justice in cross-border civil, commercial and criminal matters</w:t>
        </w:r>
      </w:hyperlink>
      <w:r>
        <w:t xml:space="preserve"> which includes a requirement to ensure that hearing through video-conferencing and other distance communication technologies are accessible to persons with disabilities. </w:t>
      </w:r>
    </w:p>
    <w:p w14:paraId="204F522F" w14:textId="509FBB16" w:rsidR="00943621" w:rsidRPr="00D404B4" w:rsidRDefault="007364E6" w:rsidP="00295AA8">
      <w:r>
        <w:lastRenderedPageBreak/>
        <w:t>EDF is not aware of other initiatives from the EU addressing</w:t>
      </w:r>
      <w:r w:rsidR="00145CB1" w:rsidRPr="00D404B4">
        <w:t xml:space="preserve"> </w:t>
      </w:r>
      <w:r>
        <w:t xml:space="preserve">the </w:t>
      </w:r>
      <w:r w:rsidR="00145CB1" w:rsidRPr="00D404B4">
        <w:t>barriers faced by persons with disabilities</w:t>
      </w:r>
      <w:r>
        <w:t xml:space="preserve"> in digitalisation,</w:t>
      </w:r>
      <w:r w:rsidR="00145CB1" w:rsidRPr="00D404B4">
        <w:t xml:space="preserve"> such as lower access to the internet and digital tools</w:t>
      </w:r>
      <w:r w:rsidR="005E1F82" w:rsidRPr="00D404B4">
        <w:t>, affordability of relevant digital services and products,</w:t>
      </w:r>
      <w:r w:rsidR="00145CB1" w:rsidRPr="00D404B4">
        <w:t xml:space="preserve"> </w:t>
      </w:r>
      <w:r w:rsidR="00221D63" w:rsidRPr="00D404B4">
        <w:t>and lower digital skills.</w:t>
      </w:r>
      <w:r w:rsidR="00221D63" w:rsidRPr="00D404B4">
        <w:rPr>
          <w:rStyle w:val="FootnoteReference"/>
        </w:rPr>
        <w:footnoteReference w:id="57"/>
      </w:r>
      <w:r w:rsidR="007C231D" w:rsidRPr="00D404B4">
        <w:t xml:space="preserve"> It is also not clear how the impact on persons with disabilities </w:t>
      </w:r>
      <w:r>
        <w:t>has been</w:t>
      </w:r>
      <w:r w:rsidR="007C231D" w:rsidRPr="00D404B4">
        <w:t xml:space="preserve"> assessed and monitored. </w:t>
      </w:r>
    </w:p>
    <w:p w14:paraId="6AEA6D98" w14:textId="510C015B" w:rsidR="00E50A86" w:rsidRPr="00D404B4" w:rsidRDefault="00943621" w:rsidP="00295AA8">
      <w:pPr>
        <w:pStyle w:val="Heading3"/>
      </w:pPr>
      <w:r w:rsidRPr="00D404B4">
        <w:t xml:space="preserve">EU Justice Scoreboard </w:t>
      </w:r>
    </w:p>
    <w:p w14:paraId="549CE0F1" w14:textId="33D6BC04" w:rsidR="00943621" w:rsidRPr="00D404B4" w:rsidRDefault="00943621" w:rsidP="00295AA8">
      <w:r w:rsidRPr="00D404B4">
        <w:t xml:space="preserve">Launched in 2013 the </w:t>
      </w:r>
      <w:hyperlink r:id="rId73" w:history="1">
        <w:r w:rsidRPr="00D404B4">
          <w:rPr>
            <w:rStyle w:val="Hyperlink"/>
          </w:rPr>
          <w:t>EU Justice Scoreboard</w:t>
        </w:r>
      </w:hyperlink>
      <w:r w:rsidRPr="00D404B4">
        <w:t xml:space="preserve"> is </w:t>
      </w:r>
      <w:r w:rsidR="00230186" w:rsidRPr="00D404B4">
        <w:t>a</w:t>
      </w:r>
      <w:r w:rsidRPr="00D404B4">
        <w:t xml:space="preserve"> tool used by the Commission to monitor justice reforms in </w:t>
      </w:r>
      <w:r w:rsidR="0093523F">
        <w:t>m</w:t>
      </w:r>
      <w:r w:rsidRPr="00D404B4">
        <w:t xml:space="preserve">ember </w:t>
      </w:r>
      <w:r w:rsidR="0093523F">
        <w:t>s</w:t>
      </w:r>
      <w:r w:rsidRPr="00D404B4">
        <w:t>tates.</w:t>
      </w:r>
      <w:r w:rsidR="0093523F">
        <w:t xml:space="preserve"> The Scoreboard used to provide </w:t>
      </w:r>
      <w:r w:rsidRPr="00A66CA7">
        <w:t>limited information on effective access by persons with disabilities.</w:t>
      </w:r>
      <w:r w:rsidRPr="00A66CA7">
        <w:rPr>
          <w:rStyle w:val="FootnoteReference"/>
        </w:rPr>
        <w:footnoteReference w:id="58"/>
      </w:r>
      <w:r w:rsidR="005403AB">
        <w:t xml:space="preserve"> The </w:t>
      </w:r>
      <w:hyperlink r:id="rId74" w:history="1">
        <w:r w:rsidR="005403AB" w:rsidRPr="005403AB">
          <w:rPr>
            <w:rStyle w:val="Hyperlink"/>
          </w:rPr>
          <w:t>2022 Scoreboard</w:t>
        </w:r>
      </w:hyperlink>
      <w:r w:rsidR="005403AB">
        <w:t xml:space="preserve"> included for the first time more comprehensive indicators on specific arrangements in place to support persons with disabilities. The </w:t>
      </w:r>
      <w:hyperlink r:id="rId75" w:history="1">
        <w:r w:rsidR="005403AB" w:rsidRPr="005403AB">
          <w:rPr>
            <w:rStyle w:val="Hyperlink"/>
          </w:rPr>
          <w:t>2024 Scoreboard</w:t>
        </w:r>
      </w:hyperlink>
      <w:r w:rsidR="005403AB">
        <w:t xml:space="preserve"> provided information on </w:t>
      </w:r>
      <w:r w:rsidR="005403AB" w:rsidRPr="005403AB">
        <w:t>specific arrangements for supporting the participation of persons with disabilities as professionals in the justice system</w:t>
      </w:r>
      <w:r w:rsidR="005403AB">
        <w:t>.</w:t>
      </w:r>
      <w:r w:rsidR="005B00AE">
        <w:t xml:space="preserve"> </w:t>
      </w:r>
      <w:r w:rsidRPr="00A66CA7">
        <w:t xml:space="preserve">EDF </w:t>
      </w:r>
      <w:r w:rsidR="005B00AE">
        <w:t xml:space="preserve">welcomed these positive steps and continues to </w:t>
      </w:r>
      <w:r w:rsidRPr="00A66CA7">
        <w:t>recommend</w:t>
      </w:r>
      <w:r w:rsidR="0002253B" w:rsidRPr="00A66CA7">
        <w:t xml:space="preserve"> that</w:t>
      </w:r>
      <w:r w:rsidRPr="00A66CA7">
        <w:t xml:space="preserve"> the Commission</w:t>
      </w:r>
      <w:r w:rsidR="0002253B" w:rsidRPr="00A66CA7">
        <w:t xml:space="preserve"> </w:t>
      </w:r>
      <w:r w:rsidR="005B00AE">
        <w:t>includes</w:t>
      </w:r>
      <w:r w:rsidR="0002253B" w:rsidRPr="00A66CA7">
        <w:t xml:space="preserve"> “CRPD </w:t>
      </w:r>
      <w:r w:rsidR="00497967" w:rsidRPr="00D404B4">
        <w:t>compliant justice</w:t>
      </w:r>
      <w:r w:rsidR="0002253B" w:rsidRPr="00D404B4">
        <w:t xml:space="preserve"> indicator</w:t>
      </w:r>
      <w:r w:rsidR="00497967">
        <w:t>”</w:t>
      </w:r>
      <w:r w:rsidR="0002253B" w:rsidRPr="00D404B4">
        <w:t xml:space="preserve"> </w:t>
      </w:r>
      <w:r w:rsidR="005B00AE">
        <w:t xml:space="preserve">in its future Scoreboard. </w:t>
      </w:r>
    </w:p>
    <w:p w14:paraId="71374296" w14:textId="4A264CE9" w:rsidR="00837829" w:rsidRDefault="00497967" w:rsidP="00295AA8">
      <w:pPr>
        <w:rPr>
          <w:b/>
          <w:lang w:bidi="en-US"/>
        </w:rPr>
      </w:pPr>
      <w:bookmarkStart w:id="28" w:name="_Hlk35995741"/>
      <w:r>
        <w:rPr>
          <w:b/>
          <w:lang w:bidi="en-US"/>
        </w:rPr>
        <w:t xml:space="preserve">We call for: </w:t>
      </w:r>
    </w:p>
    <w:p w14:paraId="7E506909" w14:textId="709A6A8C" w:rsidR="00497967" w:rsidRDefault="00497967" w:rsidP="00497967">
      <w:pPr>
        <w:pStyle w:val="ListParagraph"/>
        <w:numPr>
          <w:ilvl w:val="0"/>
          <w:numId w:val="54"/>
        </w:numPr>
        <w:rPr>
          <w:lang w:bidi="en-US"/>
        </w:rPr>
      </w:pPr>
      <w:r>
        <w:rPr>
          <w:lang w:bidi="en-US"/>
        </w:rPr>
        <w:t xml:space="preserve">Measures to monitor the implementation of the EU legislation related to access to justice, including by the way of a study on access to justice by persons with disabilities in the EU, and sanction for member states who incorrectly transposed the EU directives. </w:t>
      </w:r>
    </w:p>
    <w:p w14:paraId="71FC2503" w14:textId="0952D63A" w:rsidR="0099262F" w:rsidRPr="00D404B4" w:rsidRDefault="0099262F" w:rsidP="00497967">
      <w:pPr>
        <w:pStyle w:val="ListParagraph"/>
        <w:numPr>
          <w:ilvl w:val="0"/>
          <w:numId w:val="54"/>
        </w:numPr>
        <w:rPr>
          <w:lang w:bidi="en-US"/>
        </w:rPr>
      </w:pPr>
      <w:r>
        <w:rPr>
          <w:lang w:bidi="en-US"/>
        </w:rPr>
        <w:t xml:space="preserve">Measures to ensure persons with disabilities benefits from the digitalisation of justice on an equal basis with others. </w:t>
      </w:r>
    </w:p>
    <w:bookmarkEnd w:id="28"/>
    <w:p w14:paraId="38BEA943" w14:textId="20C36244" w:rsidR="000025B5" w:rsidRPr="00C20C7F" w:rsidRDefault="0099262F" w:rsidP="00295AA8">
      <w:pPr>
        <w:pStyle w:val="ListParagraph"/>
        <w:numPr>
          <w:ilvl w:val="0"/>
          <w:numId w:val="10"/>
        </w:numPr>
        <w:contextualSpacing w:val="0"/>
        <w:rPr>
          <w:lang w:bidi="en-US"/>
        </w:rPr>
      </w:pPr>
      <w:r>
        <w:rPr>
          <w:lang w:bidi="en-US"/>
        </w:rPr>
        <w:t xml:space="preserve">Strengthening of the EU Justice Scoreboard by consistently gathering information on </w:t>
      </w:r>
      <w:r w:rsidRPr="00C20C7F">
        <w:rPr>
          <w:lang w:bidi="en-US"/>
        </w:rPr>
        <w:t>justice and persons with disabilities.</w:t>
      </w:r>
    </w:p>
    <w:p w14:paraId="2D5DB11A" w14:textId="0C1BC13E" w:rsidR="001C0A83" w:rsidRPr="00C20C7F" w:rsidRDefault="00314048" w:rsidP="00295AA8">
      <w:pPr>
        <w:pStyle w:val="Heading2"/>
        <w:rPr>
          <w:lang w:val="en-GB"/>
        </w:rPr>
      </w:pPr>
      <w:bookmarkStart w:id="29" w:name="_Article_14:_Liberty"/>
      <w:bookmarkStart w:id="30" w:name="Article_14"/>
      <w:bookmarkStart w:id="31" w:name="_Toc179386645"/>
      <w:bookmarkEnd w:id="29"/>
      <w:r w:rsidRPr="00C20C7F">
        <w:rPr>
          <w:lang w:val="en-GB"/>
        </w:rPr>
        <w:t>Article 14</w:t>
      </w:r>
      <w:bookmarkEnd w:id="30"/>
      <w:r w:rsidRPr="00C20C7F">
        <w:rPr>
          <w:lang w:val="en-GB"/>
        </w:rPr>
        <w:t xml:space="preserve">: </w:t>
      </w:r>
      <w:r w:rsidR="006D4285" w:rsidRPr="00C20C7F">
        <w:rPr>
          <w:lang w:val="en-GB"/>
        </w:rPr>
        <w:t>L</w:t>
      </w:r>
      <w:r w:rsidR="00F47203" w:rsidRPr="00C20C7F">
        <w:rPr>
          <w:lang w:val="en-GB"/>
        </w:rPr>
        <w:t>iberty and security</w:t>
      </w:r>
      <w:r w:rsidR="006D4285" w:rsidRPr="00C20C7F">
        <w:rPr>
          <w:lang w:val="en-GB"/>
        </w:rPr>
        <w:t xml:space="preserve"> of the person</w:t>
      </w:r>
      <w:bookmarkEnd w:id="31"/>
      <w:r w:rsidR="006D4285" w:rsidRPr="00C20C7F">
        <w:rPr>
          <w:lang w:val="en-GB"/>
        </w:rPr>
        <w:t xml:space="preserve"> </w:t>
      </w:r>
    </w:p>
    <w:p w14:paraId="3C573FAD" w14:textId="471C903F" w:rsidR="00447659" w:rsidRPr="00C20C7F" w:rsidRDefault="00447659" w:rsidP="00295AA8">
      <w:pPr>
        <w:pStyle w:val="Heading3"/>
        <w:rPr>
          <w:lang w:bidi="en-US"/>
        </w:rPr>
      </w:pPr>
      <w:r w:rsidRPr="00C20C7F">
        <w:rPr>
          <w:lang w:bidi="en-US"/>
        </w:rPr>
        <w:t xml:space="preserve">Involuntary treatment and placement </w:t>
      </w:r>
    </w:p>
    <w:p w14:paraId="094CC08A" w14:textId="3C64459B" w:rsidR="001C0A83" w:rsidRPr="00D404B4" w:rsidRDefault="005712F4" w:rsidP="00295AA8">
      <w:pPr>
        <w:rPr>
          <w:lang w:bidi="en-US"/>
        </w:rPr>
      </w:pPr>
      <w:r w:rsidRPr="00C20C7F">
        <w:rPr>
          <w:lang w:bidi="en-US"/>
        </w:rPr>
        <w:t>M</w:t>
      </w:r>
      <w:r w:rsidR="001C0A83" w:rsidRPr="00C20C7F">
        <w:rPr>
          <w:lang w:bidi="en-US"/>
        </w:rPr>
        <w:t>any persons with disabilities</w:t>
      </w:r>
      <w:r w:rsidR="001C0A83" w:rsidRPr="00D404B4">
        <w:rPr>
          <w:lang w:bidi="en-US"/>
        </w:rPr>
        <w:t xml:space="preserve"> </w:t>
      </w:r>
      <w:r w:rsidRPr="00D404B4">
        <w:rPr>
          <w:lang w:bidi="en-US"/>
        </w:rPr>
        <w:t xml:space="preserve">living in the EU </w:t>
      </w:r>
      <w:r w:rsidR="001C0A83" w:rsidRPr="00D404B4">
        <w:rPr>
          <w:lang w:bidi="en-US"/>
        </w:rPr>
        <w:t xml:space="preserve">continue to be involuntary detained and treated in psychiatric hospitals and other institutions </w:t>
      </w:r>
      <w:r w:rsidR="00B24C89" w:rsidRPr="00D404B4">
        <w:rPr>
          <w:lang w:bidi="en-US"/>
        </w:rPr>
        <w:t>based on</w:t>
      </w:r>
      <w:r w:rsidR="001C0A83" w:rsidRPr="00D404B4">
        <w:rPr>
          <w:lang w:bidi="en-US"/>
        </w:rPr>
        <w:t xml:space="preserve"> actual or perceived </w:t>
      </w:r>
      <w:r w:rsidR="008C1C5E" w:rsidRPr="00D404B4">
        <w:rPr>
          <w:lang w:bidi="en-US"/>
        </w:rPr>
        <w:t>disability</w:t>
      </w:r>
      <w:r w:rsidR="001C0A83" w:rsidRPr="00D404B4">
        <w:rPr>
          <w:lang w:bidi="en-US"/>
        </w:rPr>
        <w:t>.</w:t>
      </w:r>
      <w:r w:rsidR="00C450CE" w:rsidRPr="00D404B4">
        <w:rPr>
          <w:rStyle w:val="FootnoteReference"/>
          <w:lang w:bidi="en-US"/>
        </w:rPr>
        <w:footnoteReference w:id="59"/>
      </w:r>
    </w:p>
    <w:p w14:paraId="36805ABD" w14:textId="3329A107" w:rsidR="00837829" w:rsidRDefault="00B95F47" w:rsidP="00295AA8">
      <w:pPr>
        <w:rPr>
          <w:lang w:bidi="en-US"/>
        </w:rPr>
      </w:pPr>
      <w:r w:rsidRPr="00D404B4">
        <w:rPr>
          <w:lang w:bidi="en-US"/>
        </w:rPr>
        <w:t>T</w:t>
      </w:r>
      <w:r w:rsidR="00677B6B" w:rsidRPr="00D404B4">
        <w:rPr>
          <w:lang w:bidi="en-US"/>
        </w:rPr>
        <w:t>he EU is</w:t>
      </w:r>
      <w:r w:rsidRPr="00D404B4">
        <w:rPr>
          <w:lang w:bidi="en-US"/>
        </w:rPr>
        <w:t xml:space="preserve"> </w:t>
      </w:r>
      <w:r w:rsidR="008C1C5E" w:rsidRPr="00D404B4">
        <w:rPr>
          <w:lang w:bidi="en-US"/>
        </w:rPr>
        <w:t xml:space="preserve">considered as </w:t>
      </w:r>
      <w:r w:rsidRPr="00D404B4">
        <w:rPr>
          <w:lang w:bidi="en-US"/>
        </w:rPr>
        <w:t xml:space="preserve">“the </w:t>
      </w:r>
      <w:hyperlink r:id="rId76" w:history="1">
        <w:r w:rsidRPr="00D404B4">
          <w:rPr>
            <w:rStyle w:val="Hyperlink"/>
            <w:lang w:bidi="en-US"/>
          </w:rPr>
          <w:t>Council of Europe</w:t>
        </w:r>
      </w:hyperlink>
      <w:r w:rsidR="00C67CC5" w:rsidRPr="00D404B4">
        <w:rPr>
          <w:rStyle w:val="FootnoteReference"/>
          <w:lang w:bidi="en-US"/>
        </w:rPr>
        <w:footnoteReference w:id="60"/>
      </w:r>
      <w:r w:rsidRPr="00D404B4">
        <w:rPr>
          <w:lang w:bidi="en-US"/>
        </w:rPr>
        <w:t>’s most important institutional partner at both political and technical levels”</w:t>
      </w:r>
      <w:r w:rsidR="00112434" w:rsidRPr="00D404B4">
        <w:rPr>
          <w:lang w:bidi="en-US"/>
        </w:rPr>
        <w:t xml:space="preserve"> and the relationship between the two organisations are </w:t>
      </w:r>
      <w:r w:rsidR="00112434" w:rsidRPr="00CB2011">
        <w:rPr>
          <w:lang w:bidi="en-US"/>
        </w:rPr>
        <w:t xml:space="preserve">based </w:t>
      </w:r>
      <w:r w:rsidR="001F121A" w:rsidRPr="00CB2011">
        <w:rPr>
          <w:lang w:bidi="en-US"/>
        </w:rPr>
        <w:t>in</w:t>
      </w:r>
      <w:r w:rsidR="00112434" w:rsidRPr="00CB2011">
        <w:rPr>
          <w:lang w:bidi="en-US"/>
        </w:rPr>
        <w:t xml:space="preserve"> </w:t>
      </w:r>
      <w:r w:rsidR="00112434" w:rsidRPr="00D404B4">
        <w:rPr>
          <w:lang w:bidi="en-US"/>
        </w:rPr>
        <w:t xml:space="preserve">a </w:t>
      </w:r>
      <w:hyperlink r:id="rId77" w:history="1">
        <w:r w:rsidR="00112434" w:rsidRPr="00D404B4">
          <w:rPr>
            <w:rStyle w:val="Hyperlink"/>
            <w:lang w:bidi="en-US"/>
          </w:rPr>
          <w:t>Memorandum of Understanding</w:t>
        </w:r>
      </w:hyperlink>
      <w:r w:rsidR="00112434" w:rsidRPr="00D404B4">
        <w:rPr>
          <w:lang w:bidi="en-US"/>
        </w:rPr>
        <w:t>.</w:t>
      </w:r>
      <w:r w:rsidRPr="00D404B4">
        <w:rPr>
          <w:lang w:bidi="en-US"/>
        </w:rPr>
        <w:t xml:space="preserve"> </w:t>
      </w:r>
      <w:r w:rsidR="00246A61" w:rsidRPr="00D404B4">
        <w:rPr>
          <w:lang w:bidi="en-US"/>
        </w:rPr>
        <w:t>All EU</w:t>
      </w:r>
      <w:r w:rsidRPr="00D404B4">
        <w:rPr>
          <w:lang w:bidi="en-US"/>
        </w:rPr>
        <w:t xml:space="preserve"> </w:t>
      </w:r>
      <w:r w:rsidR="00C67CC5" w:rsidRPr="00D404B4">
        <w:rPr>
          <w:lang w:bidi="en-US"/>
        </w:rPr>
        <w:t>M</w:t>
      </w:r>
      <w:r w:rsidR="00677B6B" w:rsidRPr="00D404B4">
        <w:rPr>
          <w:lang w:bidi="en-US"/>
        </w:rPr>
        <w:t>ember</w:t>
      </w:r>
      <w:r w:rsidRPr="00D404B4">
        <w:rPr>
          <w:lang w:bidi="en-US"/>
        </w:rPr>
        <w:t xml:space="preserve"> </w:t>
      </w:r>
      <w:r w:rsidR="00C67CC5" w:rsidRPr="00D404B4">
        <w:rPr>
          <w:lang w:bidi="en-US"/>
        </w:rPr>
        <w:t>S</w:t>
      </w:r>
      <w:r w:rsidRPr="00D404B4">
        <w:rPr>
          <w:lang w:bidi="en-US"/>
        </w:rPr>
        <w:t>tates are members</w:t>
      </w:r>
      <w:r w:rsidR="00677B6B" w:rsidRPr="00D404B4">
        <w:rPr>
          <w:lang w:bidi="en-US"/>
        </w:rPr>
        <w:t xml:space="preserve"> of the </w:t>
      </w:r>
      <w:r w:rsidR="00677B6B" w:rsidRPr="00D404B4">
        <w:rPr>
          <w:lang w:bidi="en-US"/>
        </w:rPr>
        <w:lastRenderedPageBreak/>
        <w:t>Council of Europe</w:t>
      </w:r>
      <w:r w:rsidRPr="00D404B4">
        <w:rPr>
          <w:lang w:bidi="en-US"/>
        </w:rPr>
        <w:t xml:space="preserve">. However, </w:t>
      </w:r>
      <w:r w:rsidR="00246A61" w:rsidRPr="00D404B4">
        <w:rPr>
          <w:lang w:bidi="en-US"/>
        </w:rPr>
        <w:t>the EU</w:t>
      </w:r>
      <w:r w:rsidR="00677B6B" w:rsidRPr="00D404B4">
        <w:rPr>
          <w:lang w:bidi="en-US"/>
        </w:rPr>
        <w:t xml:space="preserve"> </w:t>
      </w:r>
      <w:hyperlink r:id="rId78" w:history="1">
        <w:r w:rsidR="00677B6B" w:rsidRPr="00D404B4">
          <w:rPr>
            <w:rStyle w:val="Hyperlink"/>
            <w:lang w:bidi="en-US"/>
          </w:rPr>
          <w:t>fail</w:t>
        </w:r>
        <w:r w:rsidR="00246A61" w:rsidRPr="00D404B4">
          <w:rPr>
            <w:rStyle w:val="Hyperlink"/>
            <w:lang w:bidi="en-US"/>
          </w:rPr>
          <w:t>s</w:t>
        </w:r>
        <w:r w:rsidR="00677B6B" w:rsidRPr="00D404B4">
          <w:rPr>
            <w:rStyle w:val="Hyperlink"/>
            <w:lang w:bidi="en-US"/>
          </w:rPr>
          <w:t xml:space="preserve"> to take</w:t>
        </w:r>
        <w:r w:rsidR="002709C7">
          <w:rPr>
            <w:rStyle w:val="Hyperlink"/>
            <w:lang w:bidi="en-US"/>
          </w:rPr>
          <w:t xml:space="preserve"> a public and coherent</w:t>
        </w:r>
        <w:r w:rsidR="00677B6B" w:rsidRPr="00D404B4">
          <w:rPr>
            <w:rStyle w:val="Hyperlink"/>
            <w:lang w:bidi="en-US"/>
          </w:rPr>
          <w:t xml:space="preserve"> position against </w:t>
        </w:r>
        <w:r w:rsidR="002709C7">
          <w:rPr>
            <w:rStyle w:val="Hyperlink"/>
            <w:lang w:bidi="en-US"/>
          </w:rPr>
          <w:t>the</w:t>
        </w:r>
        <w:r w:rsidR="00677B6B" w:rsidRPr="00D404B4">
          <w:rPr>
            <w:rStyle w:val="Hyperlink"/>
            <w:lang w:bidi="en-US"/>
          </w:rPr>
          <w:t xml:space="preserve"> Council of Europe’s draft additional protocol concerning the “protection of human rights and dignity of persons with mental disorder with regard to involuntary placement and involuntary treatment”</w:t>
        </w:r>
      </w:hyperlink>
      <w:r w:rsidR="005712F4" w:rsidRPr="00D404B4">
        <w:rPr>
          <w:rStyle w:val="Hyperlink"/>
          <w:color w:val="auto"/>
          <w:u w:val="none"/>
          <w:lang w:bidi="en-US"/>
        </w:rPr>
        <w:t>.</w:t>
      </w:r>
      <w:r w:rsidR="00974C3D" w:rsidRPr="00D404B4">
        <w:rPr>
          <w:rStyle w:val="FootnoteReference"/>
          <w:lang w:bidi="en-US"/>
        </w:rPr>
        <w:footnoteReference w:id="61"/>
      </w:r>
      <w:r w:rsidR="00D55D72" w:rsidRPr="00D404B4">
        <w:rPr>
          <w:lang w:bidi="en-US"/>
        </w:rPr>
        <w:t xml:space="preserve"> </w:t>
      </w:r>
    </w:p>
    <w:p w14:paraId="6E1A0076" w14:textId="50ABE804" w:rsidR="005D2C8B" w:rsidRDefault="005D2C8B" w:rsidP="005D2C8B">
      <w:pPr>
        <w:rPr>
          <w:lang w:bidi="en-US"/>
        </w:rPr>
      </w:pPr>
      <w:r>
        <w:rPr>
          <w:lang w:bidi="en-US"/>
        </w:rPr>
        <w:t xml:space="preserve">A lack of data on how often coercive practices are used, what types are involved, and the </w:t>
      </w:r>
      <w:r w:rsidRPr="005D2C8B">
        <w:rPr>
          <w:lang w:bidi="en-US"/>
        </w:rPr>
        <w:t>factors that influence them, as well as differences in how they are monitored across Member States,</w:t>
      </w:r>
      <w:r w:rsidR="003F6A8D">
        <w:rPr>
          <w:lang w:bidi="en-US"/>
        </w:rPr>
        <w:t xml:space="preserve"> </w:t>
      </w:r>
      <w:r w:rsidRPr="005D2C8B">
        <w:rPr>
          <w:lang w:bidi="en-US"/>
        </w:rPr>
        <w:t>makes it hard to understand the current situation of involuntary treatment and placement. This, in turn, prevents creating policies based on evidence to protect the human rights of people with disabilities and support Member States in following the Council of Europe’s recommendations on</w:t>
      </w:r>
      <w:r>
        <w:rPr>
          <w:lang w:bidi="en-US"/>
        </w:rPr>
        <w:t xml:space="preserve"> respecting autonomy in mental healthcare.</w:t>
      </w:r>
    </w:p>
    <w:p w14:paraId="007A79B8" w14:textId="023C1BEC" w:rsidR="002709C7" w:rsidRPr="00D404B4" w:rsidRDefault="005D2C8B" w:rsidP="00295AA8">
      <w:pPr>
        <w:rPr>
          <w:lang w:bidi="en-US"/>
        </w:rPr>
      </w:pPr>
      <w:r>
        <w:rPr>
          <w:lang w:bidi="en-US"/>
        </w:rPr>
        <w:t>EU-funded research and projects continue to focus on using the least restrictive measures and reducing, rather than eliminating, involuntary treatment and placement in mental healthcare.</w:t>
      </w:r>
      <w:r>
        <w:rPr>
          <w:rStyle w:val="FootnoteReference"/>
          <w:lang w:bidi="en-US"/>
        </w:rPr>
        <w:footnoteReference w:id="62"/>
      </w:r>
      <w:r w:rsidRPr="005D2C8B">
        <w:rPr>
          <w:vertAlign w:val="superscript"/>
          <w:lang w:bidi="en-US"/>
        </w:rPr>
        <w:t>,</w:t>
      </w:r>
      <w:r>
        <w:rPr>
          <w:rStyle w:val="FootnoteReference"/>
          <w:lang w:bidi="en-US"/>
        </w:rPr>
        <w:footnoteReference w:id="63"/>
      </w:r>
      <w:r>
        <w:rPr>
          <w:lang w:bidi="en-US"/>
        </w:rPr>
        <w:t xml:space="preserve"> This contrasts with the EU’s </w:t>
      </w:r>
      <w:r w:rsidR="003F6A8D">
        <w:rPr>
          <w:lang w:bidi="en-US"/>
        </w:rPr>
        <w:t>reply to</w:t>
      </w:r>
      <w:r>
        <w:rPr>
          <w:lang w:bidi="en-US"/>
        </w:rPr>
        <w:t xml:space="preserve"> the LOIPR, where they stated support for initiatives that align with the Convention.</w:t>
      </w:r>
    </w:p>
    <w:p w14:paraId="2DC35408" w14:textId="5897196F" w:rsidR="00777774" w:rsidRPr="00D404B4" w:rsidRDefault="00777774" w:rsidP="00295AA8">
      <w:pPr>
        <w:pStyle w:val="Heading3"/>
        <w:rPr>
          <w:lang w:bidi="en-US"/>
        </w:rPr>
      </w:pPr>
      <w:r w:rsidRPr="00D404B4">
        <w:rPr>
          <w:lang w:bidi="en-US"/>
        </w:rPr>
        <w:t>Pre</w:t>
      </w:r>
      <w:r w:rsidR="0029258D" w:rsidRPr="00D404B4">
        <w:rPr>
          <w:lang w:bidi="en-US"/>
        </w:rPr>
        <w:t>-</w:t>
      </w:r>
      <w:r w:rsidRPr="00D404B4">
        <w:rPr>
          <w:lang w:bidi="en-US"/>
        </w:rPr>
        <w:t xml:space="preserve">trial detention and convicted persons </w:t>
      </w:r>
    </w:p>
    <w:p w14:paraId="00695C55" w14:textId="7E76CB2D" w:rsidR="00E43287" w:rsidRPr="00D404B4" w:rsidRDefault="00777774" w:rsidP="00295AA8">
      <w:pPr>
        <w:rPr>
          <w:lang w:bidi="en-US"/>
        </w:rPr>
      </w:pPr>
      <w:r w:rsidRPr="00D404B4">
        <w:rPr>
          <w:lang w:bidi="en-US"/>
        </w:rPr>
        <w:t xml:space="preserve">Detainees with disabilities continue to face many violations of their rights in EU </w:t>
      </w:r>
      <w:r w:rsidR="0022652F">
        <w:rPr>
          <w:lang w:bidi="en-US"/>
        </w:rPr>
        <w:t>m</w:t>
      </w:r>
      <w:r w:rsidRPr="00D404B4">
        <w:rPr>
          <w:lang w:bidi="en-US"/>
        </w:rPr>
        <w:t xml:space="preserve">ember </w:t>
      </w:r>
      <w:r w:rsidR="0022652F">
        <w:rPr>
          <w:lang w:bidi="en-US"/>
        </w:rPr>
        <w:t>s</w:t>
      </w:r>
      <w:r w:rsidRPr="00D404B4">
        <w:rPr>
          <w:lang w:bidi="en-US"/>
        </w:rPr>
        <w:t xml:space="preserve">tates. </w:t>
      </w:r>
      <w:r w:rsidR="008264BE" w:rsidRPr="00D404B4">
        <w:rPr>
          <w:lang w:bidi="en-US"/>
        </w:rPr>
        <w:t>Such violations are described in a</w:t>
      </w:r>
      <w:r w:rsidR="0022652F">
        <w:rPr>
          <w:lang w:bidi="en-US"/>
        </w:rPr>
        <w:t xml:space="preserve"> 2017 European Parliament’s </w:t>
      </w:r>
      <w:hyperlink r:id="rId79" w:history="1">
        <w:r w:rsidR="0022652F" w:rsidRPr="00D404B4">
          <w:rPr>
            <w:rStyle w:val="Hyperlink"/>
            <w:lang w:bidi="en-US"/>
          </w:rPr>
          <w:t>resolution on prison systems and conditions</w:t>
        </w:r>
      </w:hyperlink>
      <w:r w:rsidR="008264BE" w:rsidRPr="00D404B4">
        <w:rPr>
          <w:lang w:bidi="en-US"/>
        </w:rPr>
        <w:t xml:space="preserve"> </w:t>
      </w:r>
      <w:r w:rsidR="0022652F">
        <w:rPr>
          <w:lang w:bidi="en-US"/>
        </w:rPr>
        <w:t xml:space="preserve">and a 2018 </w:t>
      </w:r>
      <w:r w:rsidR="008264BE" w:rsidRPr="00D404B4">
        <w:rPr>
          <w:lang w:bidi="en-US"/>
        </w:rPr>
        <w:t xml:space="preserve">report of the Council of Europe on </w:t>
      </w:r>
      <w:hyperlink r:id="rId80" w:history="1">
        <w:r w:rsidR="008264BE" w:rsidRPr="00D404B4">
          <w:rPr>
            <w:rStyle w:val="Hyperlink"/>
            <w:lang w:bidi="en-US"/>
          </w:rPr>
          <w:t>Detainees with disabilities in Europe</w:t>
        </w:r>
      </w:hyperlink>
      <w:r w:rsidR="008264BE" w:rsidRPr="00D404B4">
        <w:rPr>
          <w:lang w:bidi="en-US"/>
        </w:rPr>
        <w:t xml:space="preserve">. They range from the non-recognition of their disability, to lack of access to treatment, failure to provide assistance and support and even ill-treatment and torture. </w:t>
      </w:r>
      <w:r w:rsidR="00E43287" w:rsidRPr="00D404B4">
        <w:rPr>
          <w:lang w:bidi="en-US"/>
        </w:rPr>
        <w:t>There is also a disproportionate number of</w:t>
      </w:r>
      <w:r w:rsidR="0029258D" w:rsidRPr="00D404B4">
        <w:rPr>
          <w:lang w:bidi="en-US"/>
        </w:rPr>
        <w:t xml:space="preserve"> persons on the autism spectrum and</w:t>
      </w:r>
      <w:r w:rsidR="00E43287" w:rsidRPr="00D404B4">
        <w:rPr>
          <w:lang w:bidi="en-US"/>
        </w:rPr>
        <w:t xml:space="preserve"> persons with intellectual and psychosocial disabilities in prison.</w:t>
      </w:r>
      <w:r w:rsidR="00E43287" w:rsidRPr="00D404B4">
        <w:rPr>
          <w:rStyle w:val="FootnoteReference"/>
          <w:lang w:bidi="en-US"/>
        </w:rPr>
        <w:footnoteReference w:id="64"/>
      </w:r>
    </w:p>
    <w:p w14:paraId="7EE91B5B" w14:textId="5FB1042F" w:rsidR="00294D2F" w:rsidRPr="00D404B4" w:rsidRDefault="008264BE" w:rsidP="00295AA8">
      <w:pPr>
        <w:rPr>
          <w:lang w:bidi="en-US"/>
        </w:rPr>
      </w:pPr>
      <w:r w:rsidRPr="00D404B4">
        <w:rPr>
          <w:lang w:bidi="en-US"/>
        </w:rPr>
        <w:t xml:space="preserve">So far, there </w:t>
      </w:r>
      <w:r w:rsidR="00F74D15">
        <w:rPr>
          <w:lang w:bidi="en-US"/>
        </w:rPr>
        <w:t>is</w:t>
      </w:r>
      <w:r w:rsidR="00EB5DEF" w:rsidRPr="00D404B4">
        <w:rPr>
          <w:lang w:bidi="en-US"/>
        </w:rPr>
        <w:t xml:space="preserve"> </w:t>
      </w:r>
      <w:r w:rsidRPr="00D404B4">
        <w:rPr>
          <w:lang w:bidi="en-US"/>
        </w:rPr>
        <w:t xml:space="preserve">no </w:t>
      </w:r>
      <w:r w:rsidR="0022652F">
        <w:rPr>
          <w:lang w:bidi="en-US"/>
        </w:rPr>
        <w:t>binding EU</w:t>
      </w:r>
      <w:r w:rsidRPr="00D404B4">
        <w:rPr>
          <w:lang w:bidi="en-US"/>
        </w:rPr>
        <w:t xml:space="preserve"> rule on detention. </w:t>
      </w:r>
      <w:r w:rsidR="0022652F">
        <w:rPr>
          <w:lang w:bidi="en-US"/>
        </w:rPr>
        <w:t>In 202</w:t>
      </w:r>
      <w:r w:rsidR="00F74D15">
        <w:rPr>
          <w:lang w:bidi="en-US"/>
        </w:rPr>
        <w:t>2</w:t>
      </w:r>
      <w:r w:rsidR="0022652F">
        <w:rPr>
          <w:lang w:bidi="en-US"/>
        </w:rPr>
        <w:t xml:space="preserve">, the Commission adopted </w:t>
      </w:r>
      <w:r w:rsidR="00F74D15">
        <w:rPr>
          <w:lang w:bidi="en-US"/>
        </w:rPr>
        <w:t xml:space="preserve">a </w:t>
      </w:r>
      <w:hyperlink r:id="rId81" w:history="1">
        <w:r w:rsidR="0022652F" w:rsidRPr="0022652F">
          <w:rPr>
            <w:rStyle w:val="Hyperlink"/>
            <w:lang w:bidi="en-US"/>
          </w:rPr>
          <w:t>Recommendation on procedural rights of suspects and accused people subject to pre-trial detention and on material detention conditions</w:t>
        </w:r>
      </w:hyperlink>
      <w:r w:rsidR="0022652F">
        <w:rPr>
          <w:lang w:bidi="en-US"/>
        </w:rPr>
        <w:t>.</w:t>
      </w:r>
      <w:r w:rsidR="00F74D15">
        <w:rPr>
          <w:lang w:bidi="en-US"/>
        </w:rPr>
        <w:t xml:space="preserve"> The document refers to the CRPD and the necessity to address the rights and needs of persons with disabilities in detention, with specific mentions in the sections on nutrition and contact with the outside world. It also includes a specific section regarding “special measures to persons with disabilities or serious medical conditions”, covering access to health services including mental health. </w:t>
      </w:r>
      <w:r w:rsidR="009D64DC">
        <w:rPr>
          <w:lang w:bidi="en-US"/>
        </w:rPr>
        <w:t xml:space="preserve">It is not clear how the Commission has been monitoring the implementation of the Recommendation by member states since its adoption. </w:t>
      </w:r>
    </w:p>
    <w:p w14:paraId="32574BE3" w14:textId="3A47CEA7" w:rsidR="00447659" w:rsidRPr="00D404B4" w:rsidRDefault="00197B33" w:rsidP="00295AA8">
      <w:pPr>
        <w:pStyle w:val="Heading3"/>
        <w:rPr>
          <w:rStyle w:val="Hyperlink"/>
          <w:color w:val="243F60" w:themeColor="accent1" w:themeShade="7F"/>
          <w:u w:val="none"/>
        </w:rPr>
      </w:pPr>
      <w:r w:rsidRPr="00D404B4">
        <w:rPr>
          <w:rStyle w:val="Hyperlink"/>
          <w:color w:val="243F60" w:themeColor="accent1" w:themeShade="7F"/>
          <w:u w:val="none"/>
        </w:rPr>
        <w:lastRenderedPageBreak/>
        <w:t xml:space="preserve">Detention based on migratory status </w:t>
      </w:r>
    </w:p>
    <w:p w14:paraId="7AA4DB61" w14:textId="5C0E8C02" w:rsidR="00A73B93" w:rsidRDefault="00C1599D" w:rsidP="00D10CE8">
      <w:pPr>
        <w:suppressAutoHyphens/>
        <w:spacing w:before="120" w:after="120"/>
        <w:rPr>
          <w:lang w:bidi="en-US"/>
        </w:rPr>
      </w:pPr>
      <w:r>
        <w:rPr>
          <w:lang w:bidi="en-US"/>
        </w:rPr>
        <w:t xml:space="preserve">The </w:t>
      </w:r>
      <w:hyperlink r:id="rId82" w:history="1">
        <w:r w:rsidRPr="009F5575">
          <w:rPr>
            <w:rStyle w:val="Hyperlink"/>
            <w:lang w:bidi="en-US"/>
          </w:rPr>
          <w:t>recast Reception Conditions Directive</w:t>
        </w:r>
      </w:hyperlink>
      <w:r w:rsidR="00FE0029">
        <w:rPr>
          <w:rStyle w:val="FootnoteReference"/>
          <w:lang w:bidi="en-US"/>
        </w:rPr>
        <w:footnoteReference w:id="65"/>
      </w:r>
      <w:r>
        <w:rPr>
          <w:lang w:bidi="en-US"/>
        </w:rPr>
        <w:t xml:space="preserve"> </w:t>
      </w:r>
      <w:r w:rsidR="00A73B93">
        <w:rPr>
          <w:lang w:bidi="en-US"/>
        </w:rPr>
        <w:t>requires member states to prioriti</w:t>
      </w:r>
      <w:r w:rsidR="009F5575">
        <w:rPr>
          <w:lang w:bidi="en-US"/>
        </w:rPr>
        <w:t>s</w:t>
      </w:r>
      <w:r w:rsidR="00A73B93">
        <w:rPr>
          <w:lang w:bidi="en-US"/>
        </w:rPr>
        <w:t>e t</w:t>
      </w:r>
      <w:r w:rsidR="00A73B93" w:rsidRPr="00A73B93">
        <w:rPr>
          <w:lang w:bidi="en-US"/>
        </w:rPr>
        <w:t xml:space="preserve">he health, particularly the mental health, of detained applicants with special reception needs. If detaining these individuals would seriously harm their physical or mental health, they should not be detained. If they are detained, </w:t>
      </w:r>
      <w:r w:rsidR="009F5575">
        <w:rPr>
          <w:lang w:bidi="en-US"/>
        </w:rPr>
        <w:t>m</w:t>
      </w:r>
      <w:r w:rsidR="00A73B93" w:rsidRPr="00A73B93">
        <w:rPr>
          <w:lang w:bidi="en-US"/>
        </w:rPr>
        <w:t xml:space="preserve">ember </w:t>
      </w:r>
      <w:r w:rsidR="009F5575">
        <w:rPr>
          <w:lang w:bidi="en-US"/>
        </w:rPr>
        <w:t>s</w:t>
      </w:r>
      <w:r w:rsidR="00A73B93" w:rsidRPr="00A73B93">
        <w:rPr>
          <w:lang w:bidi="en-US"/>
        </w:rPr>
        <w:t>tates must regularly monitor their condition and provide timely and appropriate support, considering their specific needs and health situation</w:t>
      </w:r>
      <w:r w:rsidR="00A73B93">
        <w:rPr>
          <w:lang w:bidi="en-US"/>
        </w:rPr>
        <w:t xml:space="preserve"> (</w:t>
      </w:r>
      <w:r w:rsidR="00062CDA">
        <w:rPr>
          <w:lang w:bidi="en-US"/>
        </w:rPr>
        <w:t>A</w:t>
      </w:r>
      <w:r w:rsidR="00A73B93">
        <w:rPr>
          <w:lang w:bidi="en-US"/>
        </w:rPr>
        <w:t>rticle 13)</w:t>
      </w:r>
      <w:r w:rsidR="00A73B93" w:rsidRPr="00A73B93">
        <w:rPr>
          <w:lang w:bidi="en-US"/>
        </w:rPr>
        <w:t>.</w:t>
      </w:r>
      <w:r w:rsidR="00EC6EB0">
        <w:rPr>
          <w:lang w:bidi="en-US"/>
        </w:rPr>
        <w:t xml:space="preserve"> The </w:t>
      </w:r>
      <w:r w:rsidR="00062CDA">
        <w:rPr>
          <w:lang w:bidi="en-US"/>
        </w:rPr>
        <w:t>preamble</w:t>
      </w:r>
      <w:r w:rsidR="00EC6EB0">
        <w:rPr>
          <w:lang w:bidi="en-US"/>
        </w:rPr>
        <w:t xml:space="preserve"> of the Directive also clarifies that d</w:t>
      </w:r>
      <w:r w:rsidR="00EC6EB0" w:rsidRPr="00EC6EB0">
        <w:rPr>
          <w:lang w:bidi="en-US"/>
        </w:rPr>
        <w:t xml:space="preserve">etention should be a measure of last resort and should only </w:t>
      </w:r>
      <w:r w:rsidR="00062CDA">
        <w:rPr>
          <w:lang w:bidi="en-US"/>
        </w:rPr>
        <w:t xml:space="preserve">occur </w:t>
      </w:r>
      <w:r w:rsidR="00EC6EB0" w:rsidRPr="00EC6EB0">
        <w:rPr>
          <w:lang w:bidi="en-US"/>
        </w:rPr>
        <w:t>after all non-custodial alternative</w:t>
      </w:r>
      <w:r w:rsidR="00062CDA">
        <w:rPr>
          <w:lang w:bidi="en-US"/>
        </w:rPr>
        <w:t>s</w:t>
      </w:r>
      <w:r w:rsidR="00EC6EB0" w:rsidRPr="00EC6EB0">
        <w:rPr>
          <w:lang w:bidi="en-US"/>
        </w:rPr>
        <w:t xml:space="preserve"> to detention have been </w:t>
      </w:r>
      <w:r w:rsidR="00062CDA">
        <w:rPr>
          <w:lang w:bidi="en-US"/>
        </w:rPr>
        <w:t>thoroughly</w:t>
      </w:r>
      <w:r w:rsidR="00EC6EB0" w:rsidRPr="00EC6EB0">
        <w:rPr>
          <w:lang w:bidi="en-US"/>
        </w:rPr>
        <w:t xml:space="preserve"> examined.</w:t>
      </w:r>
    </w:p>
    <w:p w14:paraId="7525D535" w14:textId="0E4DC5C0" w:rsidR="00837829" w:rsidRDefault="00A73B93" w:rsidP="00D10CE8">
      <w:pPr>
        <w:suppressAutoHyphens/>
        <w:spacing w:before="120" w:after="120"/>
        <w:rPr>
          <w:lang w:bidi="en-US"/>
        </w:rPr>
      </w:pPr>
      <w:r>
        <w:rPr>
          <w:lang w:bidi="en-US"/>
        </w:rPr>
        <w:t>However, in practice, m</w:t>
      </w:r>
      <w:r w:rsidR="00837829" w:rsidRPr="00D404B4">
        <w:rPr>
          <w:lang w:bidi="en-US"/>
        </w:rPr>
        <w:t xml:space="preserve">igrants and asylum-seekers, </w:t>
      </w:r>
      <w:r w:rsidR="00837829" w:rsidRPr="00CB2011">
        <w:rPr>
          <w:lang w:bidi="en-US"/>
        </w:rPr>
        <w:t>including those with disabilities</w:t>
      </w:r>
      <w:r w:rsidR="00A77542" w:rsidRPr="00CB2011">
        <w:rPr>
          <w:lang w:bidi="en-US"/>
        </w:rPr>
        <w:t>,</w:t>
      </w:r>
      <w:r w:rsidR="00837829" w:rsidRPr="00CB2011">
        <w:rPr>
          <w:lang w:bidi="en-US"/>
        </w:rPr>
        <w:t xml:space="preserve"> continue to be detained throughout Europe</w:t>
      </w:r>
      <w:r w:rsidR="00C820EE" w:rsidRPr="00CB2011">
        <w:rPr>
          <w:lang w:bidi="en-US"/>
        </w:rPr>
        <w:t xml:space="preserve">. </w:t>
      </w:r>
      <w:r w:rsidR="00137E92" w:rsidRPr="00CB2011">
        <w:rPr>
          <w:lang w:bidi="en-US"/>
        </w:rPr>
        <w:t>Often, t</w:t>
      </w:r>
      <w:r w:rsidR="00C820EE" w:rsidRPr="00CB2011">
        <w:rPr>
          <w:lang w:bidi="en-US"/>
        </w:rPr>
        <w:t xml:space="preserve">hey are </w:t>
      </w:r>
      <w:r w:rsidR="00062CDA">
        <w:rPr>
          <w:lang w:bidi="en-US"/>
        </w:rPr>
        <w:t>held</w:t>
      </w:r>
      <w:r w:rsidR="007276B9" w:rsidRPr="00CB2011">
        <w:rPr>
          <w:lang w:bidi="en-US"/>
        </w:rPr>
        <w:t xml:space="preserve"> </w:t>
      </w:r>
      <w:r w:rsidR="00A77542" w:rsidRPr="00CB2011">
        <w:rPr>
          <w:lang w:bidi="en-US"/>
        </w:rPr>
        <w:t>under</w:t>
      </w:r>
      <w:r w:rsidR="00837829" w:rsidRPr="00CB2011">
        <w:rPr>
          <w:lang w:bidi="en-US"/>
        </w:rPr>
        <w:t xml:space="preserve"> conditions </w:t>
      </w:r>
      <w:r w:rsidR="00062CDA">
        <w:rPr>
          <w:lang w:bidi="en-US"/>
        </w:rPr>
        <w:t>that</w:t>
      </w:r>
      <w:r w:rsidR="00837829" w:rsidRPr="00CB2011">
        <w:rPr>
          <w:lang w:bidi="en-US"/>
        </w:rPr>
        <w:t xml:space="preserve"> do not </w:t>
      </w:r>
      <w:r w:rsidR="00062CDA">
        <w:rPr>
          <w:lang w:bidi="en-US"/>
        </w:rPr>
        <w:t>consider</w:t>
      </w:r>
      <w:r w:rsidR="00837829" w:rsidRPr="00CB2011">
        <w:rPr>
          <w:lang w:bidi="en-US"/>
        </w:rPr>
        <w:t xml:space="preserve"> the necessary support and reasonable accommodations they </w:t>
      </w:r>
      <w:r w:rsidR="00062CDA">
        <w:rPr>
          <w:lang w:bidi="en-US"/>
        </w:rPr>
        <w:t>require</w:t>
      </w:r>
      <w:r w:rsidR="009C24CB" w:rsidRPr="00CB2011">
        <w:rPr>
          <w:lang w:bidi="en-US"/>
        </w:rPr>
        <w:t xml:space="preserve">, as they </w:t>
      </w:r>
      <w:r w:rsidR="00062CDA">
        <w:rPr>
          <w:lang w:bidi="en-US"/>
        </w:rPr>
        <w:t>may</w:t>
      </w:r>
      <w:r w:rsidR="009C24CB" w:rsidRPr="00CB2011">
        <w:rPr>
          <w:lang w:bidi="en-US"/>
        </w:rPr>
        <w:t xml:space="preserve"> not </w:t>
      </w:r>
      <w:r w:rsidR="00062CDA">
        <w:rPr>
          <w:lang w:bidi="en-US"/>
        </w:rPr>
        <w:t xml:space="preserve">be </w:t>
      </w:r>
      <w:r w:rsidR="009C24CB" w:rsidRPr="00CB2011">
        <w:rPr>
          <w:lang w:bidi="en-US"/>
        </w:rPr>
        <w:t xml:space="preserve">identified as persons with disabilities upon their arrival </w:t>
      </w:r>
      <w:r w:rsidR="00062CDA">
        <w:rPr>
          <w:lang w:bidi="en-US"/>
        </w:rPr>
        <w:t>in</w:t>
      </w:r>
      <w:r w:rsidR="009C24CB" w:rsidRPr="00D404B4">
        <w:rPr>
          <w:lang w:bidi="en-US"/>
        </w:rPr>
        <w:t xml:space="preserve"> Europe</w:t>
      </w:r>
      <w:r w:rsidR="00837829" w:rsidRPr="00D404B4">
        <w:rPr>
          <w:lang w:bidi="en-US"/>
        </w:rPr>
        <w:t xml:space="preserve">. </w:t>
      </w:r>
      <w:r w:rsidR="009C24CB" w:rsidRPr="00D404B4">
        <w:rPr>
          <w:lang w:bidi="en-US"/>
        </w:rPr>
        <w:t xml:space="preserve">They </w:t>
      </w:r>
      <w:r w:rsidR="00062CDA">
        <w:rPr>
          <w:lang w:bidi="en-US"/>
        </w:rPr>
        <w:t>encounter</w:t>
      </w:r>
      <w:r w:rsidR="009C24CB" w:rsidRPr="00D404B4">
        <w:rPr>
          <w:lang w:bidi="en-US"/>
        </w:rPr>
        <w:t xml:space="preserve"> inaccessible services (including assistance programmes) and facilities, lack of access to medical care</w:t>
      </w:r>
      <w:r w:rsidR="00062CDA">
        <w:rPr>
          <w:lang w:bidi="en-US"/>
        </w:rPr>
        <w:t xml:space="preserve"> and</w:t>
      </w:r>
      <w:r w:rsidR="00C820EE" w:rsidRPr="00D404B4">
        <w:rPr>
          <w:lang w:bidi="en-US"/>
        </w:rPr>
        <w:t xml:space="preserve"> </w:t>
      </w:r>
      <w:r w:rsidR="009C24CB" w:rsidRPr="00D404B4">
        <w:rPr>
          <w:lang w:bidi="en-US"/>
        </w:rPr>
        <w:t xml:space="preserve">assistive </w:t>
      </w:r>
      <w:r w:rsidR="00731A8E" w:rsidRPr="00D404B4">
        <w:rPr>
          <w:lang w:bidi="en-US"/>
        </w:rPr>
        <w:t>technologies,</w:t>
      </w:r>
      <w:r w:rsidR="009C24CB" w:rsidRPr="00D404B4">
        <w:rPr>
          <w:lang w:bidi="en-US"/>
        </w:rPr>
        <w:t xml:space="preserve"> and </w:t>
      </w:r>
      <w:r w:rsidR="00062CDA">
        <w:rPr>
          <w:lang w:bidi="en-US"/>
        </w:rPr>
        <w:t xml:space="preserve">are denied </w:t>
      </w:r>
      <w:r w:rsidR="009C24CB" w:rsidRPr="00D404B4">
        <w:rPr>
          <w:lang w:bidi="en-US"/>
        </w:rPr>
        <w:t>other disability</w:t>
      </w:r>
      <w:r w:rsidR="00062CDA">
        <w:rPr>
          <w:lang w:bidi="en-US"/>
        </w:rPr>
        <w:t>-</w:t>
      </w:r>
      <w:r w:rsidR="009C24CB" w:rsidRPr="00D404B4">
        <w:rPr>
          <w:lang w:bidi="en-US"/>
        </w:rPr>
        <w:t>related services</w:t>
      </w:r>
      <w:r w:rsidR="00062CDA">
        <w:rPr>
          <w:lang w:bidi="en-US"/>
        </w:rPr>
        <w:t xml:space="preserve">, </w:t>
      </w:r>
      <w:r w:rsidR="009C24CB" w:rsidRPr="00D404B4">
        <w:rPr>
          <w:lang w:bidi="en-US"/>
        </w:rPr>
        <w:t xml:space="preserve">such as sign language interpretation and </w:t>
      </w:r>
      <w:r w:rsidR="00062CDA">
        <w:rPr>
          <w:lang w:bidi="en-US"/>
        </w:rPr>
        <w:t>supported decision-making</w:t>
      </w:r>
      <w:r w:rsidR="009C24CB" w:rsidRPr="00D404B4">
        <w:rPr>
          <w:lang w:bidi="en-US"/>
        </w:rPr>
        <w:t>.</w:t>
      </w:r>
      <w:r w:rsidR="009C24CB" w:rsidRPr="00D404B4">
        <w:rPr>
          <w:rStyle w:val="FootnoteReference"/>
          <w:lang w:bidi="en-US"/>
        </w:rPr>
        <w:footnoteReference w:id="66"/>
      </w:r>
      <w:r w:rsidR="009C24CB" w:rsidRPr="00D404B4">
        <w:rPr>
          <w:lang w:bidi="en-US"/>
        </w:rPr>
        <w:t xml:space="preserve"> </w:t>
      </w:r>
      <w:r w:rsidR="00062CDA">
        <w:rPr>
          <w:lang w:bidi="en-US"/>
        </w:rPr>
        <w:t>Furthermore, t</w:t>
      </w:r>
      <w:r w:rsidR="00837829" w:rsidRPr="00D404B4">
        <w:rPr>
          <w:lang w:bidi="en-US"/>
        </w:rPr>
        <w:t xml:space="preserve">he migration decision-making </w:t>
      </w:r>
      <w:r w:rsidR="00062CDA">
        <w:rPr>
          <w:lang w:bidi="en-US"/>
        </w:rPr>
        <w:t>process</w:t>
      </w:r>
      <w:r w:rsidR="00837829" w:rsidRPr="00D404B4">
        <w:rPr>
          <w:lang w:bidi="en-US"/>
        </w:rPr>
        <w:t xml:space="preserve"> is </w:t>
      </w:r>
      <w:r>
        <w:rPr>
          <w:lang w:bidi="en-US"/>
        </w:rPr>
        <w:t xml:space="preserve">often not </w:t>
      </w:r>
      <w:r w:rsidR="00837829" w:rsidRPr="00D404B4">
        <w:rPr>
          <w:lang w:bidi="en-US"/>
        </w:rPr>
        <w:t xml:space="preserve">accessible </w:t>
      </w:r>
      <w:r w:rsidR="00062CDA">
        <w:rPr>
          <w:lang w:bidi="en-US"/>
        </w:rPr>
        <w:t>to</w:t>
      </w:r>
      <w:r w:rsidR="00837829" w:rsidRPr="00D404B4">
        <w:rPr>
          <w:lang w:bidi="en-US"/>
        </w:rPr>
        <w:t xml:space="preserve"> all persons with disabilities</w:t>
      </w:r>
      <w:r w:rsidR="00062CDA">
        <w:rPr>
          <w:lang w:bidi="en-US"/>
        </w:rPr>
        <w:t>,</w:t>
      </w:r>
      <w:r w:rsidR="00837829" w:rsidRPr="00D404B4">
        <w:rPr>
          <w:lang w:bidi="en-US"/>
        </w:rPr>
        <w:t xml:space="preserve"> and information and communication </w:t>
      </w:r>
      <w:r w:rsidR="00062CDA">
        <w:rPr>
          <w:lang w:bidi="en-US"/>
        </w:rPr>
        <w:t>are frequently not</w:t>
      </w:r>
      <w:r w:rsidR="00837829" w:rsidRPr="00D404B4">
        <w:rPr>
          <w:lang w:bidi="en-US"/>
        </w:rPr>
        <w:t xml:space="preserve"> provided in accessible formats.</w:t>
      </w:r>
      <w:r w:rsidR="00E91A39" w:rsidRPr="00D404B4">
        <w:rPr>
          <w:lang w:bidi="en-US"/>
        </w:rPr>
        <w:t xml:space="preserve"> </w:t>
      </w:r>
    </w:p>
    <w:p w14:paraId="5D397514" w14:textId="1B5E772F" w:rsidR="00837829" w:rsidRPr="00574A7D" w:rsidRDefault="00373454" w:rsidP="00295AA8">
      <w:pPr>
        <w:rPr>
          <w:lang w:bidi="en-US"/>
        </w:rPr>
      </w:pPr>
      <w:r w:rsidRPr="00574A7D">
        <w:rPr>
          <w:b/>
          <w:lang w:bidi="en-US"/>
        </w:rPr>
        <w:t>We call for</w:t>
      </w:r>
      <w:r w:rsidR="00837829" w:rsidRPr="00574A7D">
        <w:rPr>
          <w:b/>
          <w:lang w:bidi="en-US"/>
        </w:rPr>
        <w:t>:</w:t>
      </w:r>
      <w:r w:rsidR="00837829" w:rsidRPr="00574A7D">
        <w:rPr>
          <w:lang w:bidi="en-US"/>
        </w:rPr>
        <w:t xml:space="preserve"> </w:t>
      </w:r>
    </w:p>
    <w:p w14:paraId="5F855E84" w14:textId="594C945B" w:rsidR="002709C7" w:rsidRPr="00574A7D" w:rsidRDefault="002709C7" w:rsidP="002709C7">
      <w:pPr>
        <w:pStyle w:val="ListParagraph"/>
        <w:numPr>
          <w:ilvl w:val="0"/>
          <w:numId w:val="14"/>
        </w:numPr>
        <w:spacing w:after="0"/>
        <w:rPr>
          <w:lang w:bidi="en-US"/>
        </w:rPr>
      </w:pPr>
      <w:r w:rsidRPr="00574A7D">
        <w:rPr>
          <w:lang w:bidi="en-US"/>
        </w:rPr>
        <w:t>Guidelines for Member States on monitoring of involuntary psychiatric treatment and placement, informed by WHO Mental Health Atlas criteria and emerging research</w:t>
      </w:r>
      <w:r w:rsidRPr="00574A7D">
        <w:rPr>
          <w:rStyle w:val="FootnoteReference"/>
          <w:lang w:bidi="en-US"/>
        </w:rPr>
        <w:footnoteReference w:id="67"/>
      </w:r>
      <w:r w:rsidRPr="00574A7D">
        <w:rPr>
          <w:lang w:bidi="en-US"/>
        </w:rPr>
        <w:t xml:space="preserve"> </w:t>
      </w:r>
      <w:r w:rsidRPr="00574A7D">
        <w:rPr>
          <w:rStyle w:val="FootnoteReference"/>
          <w:lang w:bidi="en-US"/>
        </w:rPr>
        <w:footnoteReference w:id="68"/>
      </w:r>
      <w:r w:rsidRPr="00574A7D">
        <w:rPr>
          <w:lang w:bidi="en-US"/>
        </w:rPr>
        <w:t xml:space="preserve">, </w:t>
      </w:r>
      <w:r w:rsidR="009F5575" w:rsidRPr="00574A7D">
        <w:rPr>
          <w:lang w:bidi="en-US"/>
        </w:rPr>
        <w:t>to help create policies aimed at reducing and eventually ending coercion in mental healthcare.</w:t>
      </w:r>
    </w:p>
    <w:p w14:paraId="29DEF98B" w14:textId="6A0085F3" w:rsidR="00BF55C0" w:rsidRPr="002E3BB4" w:rsidRDefault="00FA0093" w:rsidP="00B50B32">
      <w:pPr>
        <w:pStyle w:val="ListParagraph"/>
        <w:numPr>
          <w:ilvl w:val="0"/>
          <w:numId w:val="14"/>
        </w:numPr>
        <w:spacing w:after="0"/>
        <w:rPr>
          <w:lang w:bidi="en-US"/>
        </w:rPr>
      </w:pPr>
      <w:r w:rsidRPr="00574A7D">
        <w:rPr>
          <w:lang w:bidi="en-US"/>
        </w:rPr>
        <w:t>Guidelines and practices for member states to implement the recast Reception Conditions Directive</w:t>
      </w:r>
      <w:r w:rsidR="002E3BB4" w:rsidRPr="00574A7D">
        <w:rPr>
          <w:lang w:bidi="en-US"/>
        </w:rPr>
        <w:t>’s</w:t>
      </w:r>
      <w:r w:rsidRPr="00574A7D">
        <w:rPr>
          <w:lang w:bidi="en-US"/>
        </w:rPr>
        <w:t xml:space="preserve"> requirement to use detention strictly as a measure of last resort for persons with disabilities. Member States must exhaust all non-custodial alternatives, such as community</w:t>
      </w:r>
      <w:r w:rsidRPr="002E3BB4">
        <w:rPr>
          <w:lang w:bidi="en-US"/>
        </w:rPr>
        <w:t>-based housing or supervised residence, before resorting to detention.</w:t>
      </w:r>
    </w:p>
    <w:p w14:paraId="2DA6DF93" w14:textId="0542E21E" w:rsidR="00837829" w:rsidRPr="00C20C7F" w:rsidRDefault="00837829" w:rsidP="00295AA8">
      <w:pPr>
        <w:pStyle w:val="Heading2"/>
        <w:rPr>
          <w:lang w:val="en-GB"/>
        </w:rPr>
      </w:pPr>
      <w:bookmarkStart w:id="32" w:name="_Toc36001155"/>
      <w:bookmarkStart w:id="33" w:name="_Toc179386646"/>
      <w:r w:rsidRPr="00C20C7F">
        <w:rPr>
          <w:lang w:val="en-GB"/>
        </w:rPr>
        <w:lastRenderedPageBreak/>
        <w:t xml:space="preserve">Article 15: Freedom from torture or cruel, </w:t>
      </w:r>
      <w:r w:rsidR="00731A8E" w:rsidRPr="00C20C7F">
        <w:rPr>
          <w:lang w:val="en-GB"/>
        </w:rPr>
        <w:t>inhuman,</w:t>
      </w:r>
      <w:r w:rsidRPr="00C20C7F">
        <w:rPr>
          <w:lang w:val="en-GB"/>
        </w:rPr>
        <w:t xml:space="preserve"> or degrading treatment or punishment</w:t>
      </w:r>
      <w:bookmarkEnd w:id="32"/>
      <w:bookmarkEnd w:id="33"/>
    </w:p>
    <w:p w14:paraId="09B4228C" w14:textId="2325AB79" w:rsidR="0029269C" w:rsidRPr="0029269C" w:rsidRDefault="00010CE1" w:rsidP="0029269C">
      <w:r w:rsidRPr="00C20C7F">
        <w:t xml:space="preserve">The EU prohibits trade in certain goods </w:t>
      </w:r>
      <w:r w:rsidR="0029269C" w:rsidRPr="00C20C7F">
        <w:t>that</w:t>
      </w:r>
      <w:r w:rsidRPr="00C20C7F">
        <w:t xml:space="preserve"> could be used for capital punishment, torture or other cruel, inhuman</w:t>
      </w:r>
      <w:r w:rsidRPr="00D404B4">
        <w:t xml:space="preserve"> or degrading treatment or punishment</w:t>
      </w:r>
      <w:r w:rsidR="007276B9" w:rsidRPr="00D404B4">
        <w:t>.</w:t>
      </w:r>
      <w:r w:rsidRPr="00D404B4">
        <w:rPr>
          <w:rStyle w:val="FootnoteReference"/>
        </w:rPr>
        <w:footnoteReference w:id="69"/>
      </w:r>
      <w:r w:rsidRPr="00D404B4">
        <w:t xml:space="preserve"> In 2019</w:t>
      </w:r>
      <w:r w:rsidR="0029269C">
        <w:t>,</w:t>
      </w:r>
      <w:r w:rsidRPr="00D404B4">
        <w:t xml:space="preserve"> </w:t>
      </w:r>
      <w:r w:rsidRPr="00A6034D">
        <w:t>guidelines</w:t>
      </w:r>
      <w:r w:rsidRPr="00D404B4">
        <w:t xml:space="preserve"> were adopted</w:t>
      </w:r>
      <w:r w:rsidR="00CC383B" w:rsidRPr="00D404B4">
        <w:t xml:space="preserve"> by the Council of the EU</w:t>
      </w:r>
      <w:r w:rsidRPr="00D404B4">
        <w:t xml:space="preserve"> to </w:t>
      </w:r>
      <w:r w:rsidR="0029269C">
        <w:t xml:space="preserve">outline </w:t>
      </w:r>
      <w:hyperlink r:id="rId83" w:history="1">
        <w:r w:rsidR="0029269C" w:rsidRPr="00A6034D">
          <w:rPr>
            <w:rStyle w:val="Hyperlink"/>
          </w:rPr>
          <w:t>actions related to</w:t>
        </w:r>
        <w:r w:rsidRPr="00A6034D">
          <w:rPr>
            <w:rStyle w:val="Hyperlink"/>
          </w:rPr>
          <w:t xml:space="preserve"> third countries on torture and other </w:t>
        </w:r>
        <w:r w:rsidR="0029269C" w:rsidRPr="00A6034D">
          <w:rPr>
            <w:rStyle w:val="Hyperlink"/>
          </w:rPr>
          <w:t>forms of ill-treatment</w:t>
        </w:r>
      </w:hyperlink>
      <w:r w:rsidRPr="00D404B4">
        <w:t>. The</w:t>
      </w:r>
      <w:r w:rsidR="0029269C">
        <w:t>se</w:t>
      </w:r>
      <w:r w:rsidRPr="00D404B4">
        <w:t xml:space="preserve"> guidelines call for special protection and attention to the vulnerable situation of persons with disabilities</w:t>
      </w:r>
      <w:r w:rsidR="00961739" w:rsidRPr="00D404B4">
        <w:t>, amongst other groups</w:t>
      </w:r>
      <w:r w:rsidR="0029269C">
        <w:t xml:space="preserve">, </w:t>
      </w:r>
      <w:r w:rsidRPr="00D404B4">
        <w:t>in all EU</w:t>
      </w:r>
      <w:r w:rsidR="007276B9" w:rsidRPr="00D404B4">
        <w:t>’</w:t>
      </w:r>
      <w:r w:rsidRPr="00D404B4">
        <w:t xml:space="preserve">s actions </w:t>
      </w:r>
      <w:r w:rsidR="0029269C">
        <w:t>aimed at preventing</w:t>
      </w:r>
      <w:r w:rsidR="00EB5DEF" w:rsidRPr="00D404B4">
        <w:t xml:space="preserve"> </w:t>
      </w:r>
      <w:r w:rsidRPr="00D404B4">
        <w:t>torture and ill-treatment.</w:t>
      </w:r>
      <w:r w:rsidR="00961739" w:rsidRPr="00D404B4">
        <w:t xml:space="preserve"> </w:t>
      </w:r>
      <w:r w:rsidR="0029269C">
        <w:t>However, n</w:t>
      </w:r>
      <w:r w:rsidR="00BB253D" w:rsidRPr="00D404B4">
        <w:t xml:space="preserve">o </w:t>
      </w:r>
      <w:r w:rsidR="00062CDA">
        <w:t xml:space="preserve">specific </w:t>
      </w:r>
      <w:r w:rsidR="00BB253D" w:rsidRPr="00D404B4">
        <w:t xml:space="preserve">details are </w:t>
      </w:r>
      <w:r w:rsidR="00062CDA">
        <w:t>provided</w:t>
      </w:r>
      <w:r w:rsidR="00BB253D" w:rsidRPr="00D404B4">
        <w:t xml:space="preserve"> </w:t>
      </w:r>
      <w:r w:rsidR="00062CDA">
        <w:t>regarding the unique</w:t>
      </w:r>
      <w:r w:rsidR="00961739" w:rsidRPr="00D404B4">
        <w:t xml:space="preserve"> needs and rights of persons with disabilities, </w:t>
      </w:r>
      <w:r w:rsidR="00062CDA">
        <w:t>particularly</w:t>
      </w:r>
      <w:r w:rsidR="00961739" w:rsidRPr="00CB2011">
        <w:t xml:space="preserve"> those living in closed settings. </w:t>
      </w:r>
      <w:r w:rsidR="00062CDA" w:rsidRPr="00062CDA">
        <w:t>However, no specific details are provided regarding the unique needs and rights of persons with disabilities, particularly those living in closed settings. Furthermore, similar guidelines to prevent torture and ill-treatment within the EU are absent, leaving a significant gap in protection.</w:t>
      </w:r>
    </w:p>
    <w:p w14:paraId="572F30A5" w14:textId="5F1C4276" w:rsidR="0029269C" w:rsidRPr="00CB2011" w:rsidRDefault="00E16121" w:rsidP="00295AA8">
      <w:r>
        <w:t>T</w:t>
      </w:r>
      <w:r w:rsidR="0029269C" w:rsidRPr="0029269C">
        <w:t xml:space="preserve">he </w:t>
      </w:r>
      <w:r w:rsidR="0029269C">
        <w:t>situations of</w:t>
      </w:r>
      <w:r w:rsidR="0029269C" w:rsidRPr="0029269C">
        <w:t xml:space="preserve"> persons with disabilities in conflict-affected regions, including Palestine</w:t>
      </w:r>
      <w:r w:rsidR="0029269C">
        <w:t xml:space="preserve"> and</w:t>
      </w:r>
      <w:r w:rsidR="0029269C" w:rsidRPr="0029269C">
        <w:t xml:space="preserve"> Ukraine, requires urgent attention. In these contexts, individuals with disabilities often face heightened risks of torture and ill-treatment, exacerbated by inadequate access to healthcare, rehabilitation services, and protection from violence.</w:t>
      </w:r>
      <w:r w:rsidR="0029269C">
        <w:t xml:space="preserve"> </w:t>
      </w:r>
      <w:r w:rsidR="0029269C" w:rsidRPr="0029269C">
        <w:t>Reports indicate that individuals with disabilities often face heightened risks of torture and ill-treatment in conflict situations, including inadequate access to healthcare, rehabilitation, and protection from violence. The EU’s actions and policies towards third countries should explicitly address these issues, ensuring that the rights of persons with disabilities are prioriti</w:t>
      </w:r>
      <w:r w:rsidR="0029269C">
        <w:t>s</w:t>
      </w:r>
      <w:r w:rsidR="0029269C" w:rsidRPr="0029269C">
        <w:t>ed.</w:t>
      </w:r>
    </w:p>
    <w:p w14:paraId="6C7B8D6C" w14:textId="63D952DC" w:rsidR="00981484" w:rsidRPr="00CB2011" w:rsidRDefault="00A23BDE" w:rsidP="00295AA8">
      <w:pPr>
        <w:rPr>
          <w:lang w:bidi="en-US"/>
        </w:rPr>
      </w:pPr>
      <w:r>
        <w:rPr>
          <w:b/>
          <w:lang w:bidi="en-US"/>
        </w:rPr>
        <w:t xml:space="preserve">We call for: </w:t>
      </w:r>
    </w:p>
    <w:p w14:paraId="2ED4C4C1" w14:textId="1CD1812F" w:rsidR="00AB739B" w:rsidRDefault="001A35FF" w:rsidP="00E16121">
      <w:pPr>
        <w:pStyle w:val="ListParagraph"/>
        <w:numPr>
          <w:ilvl w:val="0"/>
          <w:numId w:val="15"/>
        </w:numPr>
        <w:spacing w:line="240" w:lineRule="auto"/>
        <w:ind w:left="714" w:hanging="357"/>
        <w:rPr>
          <w:lang w:bidi="en-US"/>
        </w:rPr>
      </w:pPr>
      <w:r>
        <w:rPr>
          <w:lang w:bidi="en-US"/>
        </w:rPr>
        <w:t>Measures to en</w:t>
      </w:r>
      <w:r w:rsidR="00AB739B" w:rsidRPr="00CB2011">
        <w:rPr>
          <w:lang w:bidi="en-US"/>
        </w:rPr>
        <w:t xml:space="preserve">sure that the rights </w:t>
      </w:r>
      <w:r w:rsidR="00AB739B" w:rsidRPr="00D404B4">
        <w:rPr>
          <w:lang w:bidi="en-US"/>
        </w:rPr>
        <w:t>of all persons with disabilities are included in EU</w:t>
      </w:r>
      <w:r w:rsidR="00176D03" w:rsidRPr="00D404B4">
        <w:rPr>
          <w:lang w:bidi="en-US"/>
        </w:rPr>
        <w:t>’</w:t>
      </w:r>
      <w:r w:rsidR="00AB739B" w:rsidRPr="00D404B4">
        <w:rPr>
          <w:lang w:bidi="en-US"/>
        </w:rPr>
        <w:t>s actions to prevent torture and other forms of ill-treatment</w:t>
      </w:r>
      <w:r w:rsidR="0029269C">
        <w:rPr>
          <w:lang w:bidi="en-US"/>
        </w:rPr>
        <w:t xml:space="preserve"> both</w:t>
      </w:r>
      <w:r w:rsidR="00AB739B" w:rsidRPr="00D404B4">
        <w:rPr>
          <w:lang w:bidi="en-US"/>
        </w:rPr>
        <w:t xml:space="preserve"> inside and outside the EU</w:t>
      </w:r>
      <w:r>
        <w:rPr>
          <w:lang w:bidi="en-US"/>
        </w:rPr>
        <w:t xml:space="preserve">. </w:t>
      </w:r>
    </w:p>
    <w:p w14:paraId="15E9D298" w14:textId="2C2B1FAA" w:rsidR="0029269C" w:rsidRPr="00C20C7F" w:rsidRDefault="0029269C" w:rsidP="00E16121">
      <w:pPr>
        <w:pStyle w:val="ListParagraph"/>
        <w:numPr>
          <w:ilvl w:val="0"/>
          <w:numId w:val="15"/>
        </w:numPr>
        <w:spacing w:line="240" w:lineRule="auto"/>
        <w:ind w:left="714" w:hanging="357"/>
        <w:rPr>
          <w:lang w:bidi="en-US"/>
        </w:rPr>
      </w:pPr>
      <w:r w:rsidRPr="00C20C7F">
        <w:rPr>
          <w:lang w:bidi="en-US"/>
        </w:rPr>
        <w:t>Establishing effective monitoring and reporting mechanisms to track and assess the treatment of persons with disabilities in conflict situations, ensuring accountability for violations of their rights.</w:t>
      </w:r>
    </w:p>
    <w:p w14:paraId="60103A77" w14:textId="569B63A2" w:rsidR="00837829" w:rsidRPr="00C20C7F" w:rsidRDefault="00837829" w:rsidP="00CB2011">
      <w:pPr>
        <w:pStyle w:val="Heading2"/>
      </w:pPr>
      <w:bookmarkStart w:id="34" w:name="_Article_16:_Freedom"/>
      <w:bookmarkStart w:id="35" w:name="See_article_16"/>
      <w:bookmarkStart w:id="36" w:name="_Toc36001156"/>
      <w:bookmarkStart w:id="37" w:name="_Toc179386647"/>
      <w:bookmarkEnd w:id="34"/>
      <w:r w:rsidRPr="00C20C7F">
        <w:t>Article 16</w:t>
      </w:r>
      <w:bookmarkEnd w:id="35"/>
      <w:r w:rsidRPr="00C20C7F">
        <w:t xml:space="preserve">: Freedom from </w:t>
      </w:r>
      <w:r w:rsidR="001D3C67" w:rsidRPr="00C20C7F">
        <w:t xml:space="preserve">exploitation, </w:t>
      </w:r>
      <w:r w:rsidRPr="00C20C7F">
        <w:t>violence</w:t>
      </w:r>
      <w:bookmarkEnd w:id="36"/>
      <w:r w:rsidR="001D3C67" w:rsidRPr="00C20C7F">
        <w:t xml:space="preserve"> and abuse</w:t>
      </w:r>
      <w:bookmarkEnd w:id="37"/>
    </w:p>
    <w:p w14:paraId="33B9808A" w14:textId="66DA3696" w:rsidR="00225E5A" w:rsidRPr="00D404B4" w:rsidRDefault="00837829" w:rsidP="00295AA8">
      <w:r w:rsidRPr="00C20C7F">
        <w:t>Persons with disabilities</w:t>
      </w:r>
      <w:r w:rsidRPr="00D404B4">
        <w:t xml:space="preserve"> living in the EU continue to be victims of violence and abuses, especially children and women with disabilities,</w:t>
      </w:r>
      <w:r w:rsidR="00A8399A" w:rsidRPr="00D404B4">
        <w:rPr>
          <w:rStyle w:val="FootnoteReference"/>
        </w:rPr>
        <w:footnoteReference w:id="70"/>
      </w:r>
      <w:r w:rsidRPr="00D404B4">
        <w:t xml:space="preserve"> </w:t>
      </w:r>
      <w:bookmarkStart w:id="38" w:name="_Hlk93654498"/>
      <w:r w:rsidRPr="00D404B4">
        <w:t>persons with intellectual disabilities</w:t>
      </w:r>
      <w:r w:rsidR="00EB5DEF" w:rsidRPr="00D404B4">
        <w:t xml:space="preserve"> and autism</w:t>
      </w:r>
      <w:r w:rsidRPr="00D404B4">
        <w:t>, older persons with disabilities and persons with disabilities living in closed settings</w:t>
      </w:r>
      <w:r w:rsidR="001D30C9" w:rsidRPr="00D404B4">
        <w:t>,</w:t>
      </w:r>
      <w:r w:rsidRPr="00D404B4">
        <w:t xml:space="preserve"> such as institutions</w:t>
      </w:r>
      <w:r w:rsidR="00701207" w:rsidRPr="00D404B4">
        <w:t xml:space="preserve"> and psychiatric facilities</w:t>
      </w:r>
      <w:r w:rsidRPr="00D404B4">
        <w:t>.</w:t>
      </w:r>
      <w:r w:rsidR="00A8399A" w:rsidRPr="00D404B4">
        <w:t xml:space="preserve"> </w:t>
      </w:r>
      <w:bookmarkEnd w:id="38"/>
    </w:p>
    <w:p w14:paraId="04770AC5" w14:textId="1D51C7EF" w:rsidR="00576636" w:rsidRPr="00D404B4" w:rsidRDefault="00576636" w:rsidP="00295AA8">
      <w:r w:rsidRPr="00D404B4">
        <w:t>For example:</w:t>
      </w:r>
    </w:p>
    <w:p w14:paraId="5CFA12E9" w14:textId="710E94A5" w:rsidR="00225E5A" w:rsidRPr="00D404B4" w:rsidRDefault="00225E5A" w:rsidP="00295AA8">
      <w:pPr>
        <w:numPr>
          <w:ilvl w:val="0"/>
          <w:numId w:val="20"/>
        </w:numPr>
      </w:pPr>
      <w:r w:rsidRPr="00D404B4">
        <w:t>50% of persons with disabilities report</w:t>
      </w:r>
      <w:r w:rsidR="00576636" w:rsidRPr="00D404B4">
        <w:t>ed having</w:t>
      </w:r>
      <w:r w:rsidRPr="00D404B4">
        <w:t xml:space="preserve"> experience of harassment, comparing to 37% of persons without disabilities (over a </w:t>
      </w:r>
      <w:r w:rsidR="00E0449B" w:rsidRPr="00D404B4">
        <w:t>5-year</w:t>
      </w:r>
      <w:r w:rsidRPr="00D404B4">
        <w:t xml:space="preserve"> period)</w:t>
      </w:r>
      <w:r w:rsidRPr="00D404B4">
        <w:rPr>
          <w:vertAlign w:val="superscript"/>
        </w:rPr>
        <w:footnoteReference w:id="71"/>
      </w:r>
    </w:p>
    <w:p w14:paraId="00B45E86" w14:textId="3C90DFC9" w:rsidR="00225E5A" w:rsidRPr="00D404B4" w:rsidRDefault="00225E5A" w:rsidP="00295AA8">
      <w:pPr>
        <w:numPr>
          <w:ilvl w:val="0"/>
          <w:numId w:val="20"/>
        </w:numPr>
      </w:pPr>
      <w:r w:rsidRPr="00D404B4">
        <w:lastRenderedPageBreak/>
        <w:t xml:space="preserve">17% of persons with disabilities </w:t>
      </w:r>
      <w:r w:rsidR="00576636" w:rsidRPr="00D404B4">
        <w:t xml:space="preserve">have </w:t>
      </w:r>
      <w:r w:rsidRPr="00D404B4">
        <w:t>experience</w:t>
      </w:r>
      <w:r w:rsidR="00576636" w:rsidRPr="00D404B4">
        <w:t>d</w:t>
      </w:r>
      <w:r w:rsidRPr="00D404B4">
        <w:t xml:space="preserve"> physical violence, comparing to 8% of persons without disabilities</w:t>
      </w:r>
      <w:r w:rsidRPr="00D404B4">
        <w:rPr>
          <w:vertAlign w:val="superscript"/>
        </w:rPr>
        <w:footnoteReference w:id="72"/>
      </w:r>
      <w:r w:rsidRPr="00D404B4">
        <w:t xml:space="preserve"> </w:t>
      </w:r>
    </w:p>
    <w:p w14:paraId="3BB58DAE" w14:textId="53E231AD" w:rsidR="00225E5A" w:rsidRPr="00D404B4" w:rsidRDefault="00225E5A" w:rsidP="00295AA8">
      <w:pPr>
        <w:numPr>
          <w:ilvl w:val="0"/>
          <w:numId w:val="20"/>
        </w:numPr>
      </w:pPr>
      <w:r w:rsidRPr="00D404B4">
        <w:t>Women with disabilities are two to five times more likely to face violence than other women, and 34 % of women with a health problem or a disability have experienced physical or sexual violence by a partner in their lifetime</w:t>
      </w:r>
      <w:r w:rsidRPr="00D404B4">
        <w:rPr>
          <w:vertAlign w:val="superscript"/>
        </w:rPr>
        <w:footnoteReference w:id="73"/>
      </w:r>
      <w:r w:rsidRPr="00D404B4">
        <w:t xml:space="preserve"> </w:t>
      </w:r>
    </w:p>
    <w:p w14:paraId="024BF40B" w14:textId="1193CD52" w:rsidR="00835E77" w:rsidRDefault="004F03A7" w:rsidP="00295AA8">
      <w:r w:rsidRPr="00D404B4">
        <w:t>The Commission adopted a series of</w:t>
      </w:r>
      <w:r w:rsidR="009A205C">
        <w:t xml:space="preserve"> laws and</w:t>
      </w:r>
      <w:r w:rsidRPr="00D404B4">
        <w:t xml:space="preserve"> policies to combat violence, trafficking, harmful practices and protect the integrity of the persons</w:t>
      </w:r>
      <w:r w:rsidR="00333424" w:rsidRPr="00D404B4">
        <w:t xml:space="preserve"> and the rights of victims</w:t>
      </w:r>
      <w:r w:rsidRPr="00D404B4">
        <w:t xml:space="preserve"> </w:t>
      </w:r>
      <w:r w:rsidR="00CE4087" w:rsidRPr="00D404B4">
        <w:t>(</w:t>
      </w:r>
      <w:r w:rsidR="009A205C">
        <w:t xml:space="preserve">including </w:t>
      </w:r>
      <w:r w:rsidRPr="00D404B4">
        <w:t xml:space="preserve">the </w:t>
      </w:r>
      <w:hyperlink r:id="rId84" w:history="1">
        <w:r w:rsidRPr="00D404B4">
          <w:rPr>
            <w:rStyle w:val="Hyperlink"/>
          </w:rPr>
          <w:t>Strategy on Victims’ Rights</w:t>
        </w:r>
      </w:hyperlink>
      <w:r w:rsidRPr="00D404B4">
        <w:t>,</w:t>
      </w:r>
      <w:r w:rsidR="00DE7924" w:rsidRPr="00D404B4">
        <w:rPr>
          <w:rStyle w:val="FootnoteReference"/>
        </w:rPr>
        <w:footnoteReference w:id="74"/>
      </w:r>
      <w:r w:rsidRPr="00D404B4">
        <w:t xml:space="preserve"> the </w:t>
      </w:r>
      <w:hyperlink r:id="rId85" w:history="1">
        <w:r w:rsidRPr="00D404B4">
          <w:rPr>
            <w:rStyle w:val="Hyperlink"/>
          </w:rPr>
          <w:t xml:space="preserve">Strategy </w:t>
        </w:r>
        <w:r w:rsidR="00701207" w:rsidRPr="00D404B4">
          <w:rPr>
            <w:rStyle w:val="Hyperlink"/>
          </w:rPr>
          <w:t>toward the eradication of trafficking in human beings</w:t>
        </w:r>
        <w:r w:rsidR="00F64353" w:rsidRPr="00D404B4">
          <w:rPr>
            <w:rStyle w:val="Hyperlink"/>
          </w:rPr>
          <w:t xml:space="preserve"> 2021-2025</w:t>
        </w:r>
      </w:hyperlink>
      <w:r w:rsidRPr="00D404B4">
        <w:t xml:space="preserve">, the </w:t>
      </w:r>
      <w:hyperlink r:id="rId86" w:history="1">
        <w:r w:rsidRPr="00D404B4">
          <w:rPr>
            <w:rStyle w:val="Hyperlink"/>
          </w:rPr>
          <w:t>S</w:t>
        </w:r>
        <w:r w:rsidR="007F242C" w:rsidRPr="00D404B4">
          <w:rPr>
            <w:rStyle w:val="Hyperlink"/>
          </w:rPr>
          <w:t>trategy on a more effective fight against child sexual abuse</w:t>
        </w:r>
      </w:hyperlink>
      <w:r w:rsidR="00CE4087" w:rsidRPr="00D404B4">
        <w:t>)</w:t>
      </w:r>
      <w:r w:rsidRPr="00D404B4">
        <w:t xml:space="preserve">. </w:t>
      </w:r>
    </w:p>
    <w:p w14:paraId="6C129FBC" w14:textId="09B5E40F" w:rsidR="006F043B" w:rsidRDefault="006F043B" w:rsidP="006F043B">
      <w:pPr>
        <w:spacing w:before="240" w:afterLines="120" w:after="288"/>
      </w:pPr>
      <w:r>
        <w:t>In 2023, the EU ratified the</w:t>
      </w:r>
      <w:r w:rsidRPr="00D404B4">
        <w:t xml:space="preserve"> </w:t>
      </w:r>
      <w:r w:rsidRPr="00D404B4">
        <w:rPr>
          <w:b/>
          <w:bCs/>
        </w:rPr>
        <w:t>Council of Europe’s Convention on preventing and combatting violence against women and domestic violence</w:t>
      </w:r>
      <w:r w:rsidRPr="00D404B4">
        <w:t xml:space="preserve"> (</w:t>
      </w:r>
      <w:hyperlink r:id="rId87" w:history="1">
        <w:r w:rsidRPr="00D404B4">
          <w:rPr>
            <w:rStyle w:val="Hyperlink"/>
          </w:rPr>
          <w:t>Istanbul Convention</w:t>
        </w:r>
      </w:hyperlink>
      <w:r w:rsidRPr="00D404B4">
        <w:t>).</w:t>
      </w:r>
      <w:r>
        <w:rPr>
          <w:rStyle w:val="FootnoteReference"/>
        </w:rPr>
        <w:footnoteReference w:id="75"/>
      </w:r>
      <w:r w:rsidRPr="00D404B4">
        <w:t xml:space="preserve"> </w:t>
      </w:r>
      <w:r>
        <w:t xml:space="preserve">However, the scope of the ratification is limited to the </w:t>
      </w:r>
      <w:r w:rsidRPr="008D5705">
        <w:t>institutions and the public administration of the Union, as well as matters related to judicial cooperation in criminal matters, asylum and non-refoulement.</w:t>
      </w:r>
      <w:r>
        <w:t xml:space="preserve"> It is not clear which specific actions the EU will develop to implement the Convention. Civil society organisations, including representative organisations of persons with disabilities, have not been informed or consulted since the ratification of the Convention. </w:t>
      </w:r>
    </w:p>
    <w:p w14:paraId="70E29D3D" w14:textId="77777777" w:rsidR="002E5274" w:rsidRDefault="009A205C" w:rsidP="00295AA8">
      <w:r>
        <w:t xml:space="preserve">In 2024, the EU adopted its first ever </w:t>
      </w:r>
      <w:hyperlink r:id="rId88" w:history="1">
        <w:r w:rsidRPr="009A205C">
          <w:rPr>
            <w:rStyle w:val="Hyperlink"/>
          </w:rPr>
          <w:t>law on combating violence against women and domestic violence</w:t>
        </w:r>
      </w:hyperlink>
      <w:r>
        <w:t xml:space="preserve">, and revised its </w:t>
      </w:r>
      <w:hyperlink r:id="rId89" w:history="1">
        <w:r w:rsidRPr="009A205C">
          <w:rPr>
            <w:rStyle w:val="Hyperlink"/>
          </w:rPr>
          <w:t>Anti-Trafficking Directive</w:t>
        </w:r>
      </w:hyperlink>
      <w:r>
        <w:t xml:space="preserve">. The two directives provide specific support for victims with disabilities and mandate disability training for professionals. The </w:t>
      </w:r>
      <w:r w:rsidR="000B5274">
        <w:t>D</w:t>
      </w:r>
      <w:r>
        <w:t xml:space="preserve">irective on combating violence against women also requires member states to recognise the disability of the victim as an aggravating circumstance. In addition, the Commission published a proposal to revise its Directive on combating child sexual abuse, which includes specific provision related to children with disabilities, and a similar provision on aggravating circumstances. Those are positive development. </w:t>
      </w:r>
    </w:p>
    <w:p w14:paraId="4046A4B2" w14:textId="499193DF" w:rsidR="002E5274" w:rsidRPr="00410BE2" w:rsidRDefault="009A205C" w:rsidP="00295AA8">
      <w:r>
        <w:t>However, the Directive on combating violence against women remains</w:t>
      </w:r>
      <w:r w:rsidR="002E5274">
        <w:t xml:space="preserve"> quite</w:t>
      </w:r>
      <w:r>
        <w:t xml:space="preserve"> limited as to its scope. It mostly focuses on cyber-violence and harassment, female genital mutilation, and forced </w:t>
      </w:r>
      <w:r w:rsidRPr="00410BE2">
        <w:t>marriage. The EU failed to criminalise rape, forced sterilisation and sexual harassment</w:t>
      </w:r>
      <w:r w:rsidR="002E5274" w:rsidRPr="00410BE2">
        <w:t>, as well as other forms of gender-based violence</w:t>
      </w:r>
      <w:r w:rsidRPr="00410BE2">
        <w:t xml:space="preserve">. </w:t>
      </w:r>
    </w:p>
    <w:p w14:paraId="2B4EBEF4" w14:textId="3C9D03D0" w:rsidR="006F043B" w:rsidRPr="00410BE2" w:rsidRDefault="00680902" w:rsidP="00295AA8">
      <w:r w:rsidRPr="00410BE2">
        <w:t xml:space="preserve">The EU has not adopted any action to combat forced sterilisation and abortion so far. The EU Recommendation on </w:t>
      </w:r>
      <w:r w:rsidR="00D677D4" w:rsidRPr="00410BE2">
        <w:t>the prevention of</w:t>
      </w:r>
      <w:r w:rsidRPr="00410BE2">
        <w:t xml:space="preserve"> harmful practices (referred to in the reply to the LOIPR) has not been adopted at the time of this report. </w:t>
      </w:r>
    </w:p>
    <w:p w14:paraId="18DC9CA9" w14:textId="7BA1286D" w:rsidR="00EB5DEF" w:rsidRPr="00410BE2" w:rsidRDefault="00680902" w:rsidP="00295AA8">
      <w:r w:rsidRPr="00410BE2">
        <w:t xml:space="preserve">So far, there is no EU data on violence against persons/women with disabilities. </w:t>
      </w:r>
      <w:r w:rsidR="00331321" w:rsidRPr="00410BE2">
        <w:t xml:space="preserve">It is unclear to which extend the </w:t>
      </w:r>
      <w:hyperlink r:id="rId90" w:history="1">
        <w:r w:rsidR="00331321" w:rsidRPr="00410BE2">
          <w:rPr>
            <w:rStyle w:val="Hyperlink"/>
          </w:rPr>
          <w:t>European Institute for Gender Equality</w:t>
        </w:r>
      </w:hyperlink>
      <w:r w:rsidR="00331321" w:rsidRPr="00410BE2">
        <w:t xml:space="preserve"> included the disability perspective in its EU survey on gender-based violence against women and other forms of inter-personal violence, as the results are not published at the time this report is written. </w:t>
      </w:r>
      <w:r w:rsidR="00EB5DEF" w:rsidRPr="00410BE2">
        <w:t>There is a</w:t>
      </w:r>
      <w:r w:rsidRPr="00410BE2">
        <w:t>lso</w:t>
      </w:r>
      <w:r w:rsidR="00EB5DEF" w:rsidRPr="00410BE2">
        <w:t xml:space="preserve"> lack </w:t>
      </w:r>
      <w:r w:rsidR="00EB5DEF" w:rsidRPr="00410BE2">
        <w:lastRenderedPageBreak/>
        <w:t xml:space="preserve">of data concerning violence against children with disabilities (as highlighted in a </w:t>
      </w:r>
      <w:hyperlink r:id="rId91" w:history="1">
        <w:r w:rsidR="00EB5DEF" w:rsidRPr="00410BE2">
          <w:rPr>
            <w:rStyle w:val="Hyperlink"/>
          </w:rPr>
          <w:t>FRA report</w:t>
        </w:r>
      </w:hyperlink>
      <w:r w:rsidR="00EB5DEF" w:rsidRPr="00410BE2">
        <w:t xml:space="preserve"> from 2015)</w:t>
      </w:r>
      <w:r w:rsidR="00EB5DEF" w:rsidRPr="00410BE2">
        <w:rPr>
          <w:rStyle w:val="FootnoteReference"/>
        </w:rPr>
        <w:footnoteReference w:id="76"/>
      </w:r>
      <w:r w:rsidR="00EB5DEF" w:rsidRPr="00410BE2">
        <w:t xml:space="preserve"> and specific measures to protect them from violence. </w:t>
      </w:r>
    </w:p>
    <w:p w14:paraId="44454066" w14:textId="14535F20" w:rsidR="00837829" w:rsidRPr="00D404B4" w:rsidRDefault="006A173D" w:rsidP="00295AA8">
      <w:r>
        <w:rPr>
          <w:b/>
        </w:rPr>
        <w:t>We call for:</w:t>
      </w:r>
      <w:r w:rsidR="00837829" w:rsidRPr="00D404B4">
        <w:t xml:space="preserve"> </w:t>
      </w:r>
    </w:p>
    <w:p w14:paraId="74E6628C" w14:textId="36163BB4" w:rsidR="00981484" w:rsidRPr="00D404B4" w:rsidRDefault="00D677D4" w:rsidP="00D677D4">
      <w:pPr>
        <w:pStyle w:val="ListParagraph"/>
        <w:numPr>
          <w:ilvl w:val="0"/>
          <w:numId w:val="15"/>
        </w:numPr>
        <w:spacing w:afterLines="120" w:after="288"/>
      </w:pPr>
      <w:r>
        <w:t>Swift implementation of the Istanbul Convention by the EU, and monitoring of the implementation of the Directive on combating violence against women and Anti-trafficking Directive, with attention of the rights and needs of persons with disabilities, especially, women and girls with disabilities, and in consultation with representative organisations of persons with disabilities.</w:t>
      </w:r>
    </w:p>
    <w:p w14:paraId="447DD63E" w14:textId="0E5DF451" w:rsidR="00176D03" w:rsidRPr="00C20C7F" w:rsidRDefault="006D1E57" w:rsidP="00295AA8">
      <w:pPr>
        <w:pStyle w:val="ListParagraph"/>
        <w:numPr>
          <w:ilvl w:val="0"/>
          <w:numId w:val="15"/>
        </w:numPr>
        <w:contextualSpacing w:val="0"/>
      </w:pPr>
      <w:r>
        <w:t>R</w:t>
      </w:r>
      <w:r w:rsidR="00F76B66" w:rsidRPr="00D404B4">
        <w:t>esearch and collect information on violence against persons with disabilities, including against</w:t>
      </w:r>
      <w:r w:rsidR="00550783" w:rsidRPr="00D404B4">
        <w:t xml:space="preserve"> children as well as</w:t>
      </w:r>
      <w:r w:rsidR="00F76B66" w:rsidRPr="00D404B4">
        <w:t xml:space="preserve"> women with disabilities</w:t>
      </w:r>
      <w:r w:rsidR="005E68D0" w:rsidRPr="00D404B4">
        <w:t xml:space="preserve"> through the European </w:t>
      </w:r>
      <w:r w:rsidR="005E68D0" w:rsidRPr="00C20C7F">
        <w:t>Institute for Gender Equality</w:t>
      </w:r>
      <w:r w:rsidR="00F76B66" w:rsidRPr="00C20C7F">
        <w:t xml:space="preserve">, and those living in closed settings such as institutions, psychiatric </w:t>
      </w:r>
      <w:r w:rsidR="00731A8E" w:rsidRPr="00C20C7F">
        <w:t>hospitals,</w:t>
      </w:r>
      <w:r w:rsidR="00F76B66" w:rsidRPr="00C20C7F">
        <w:t xml:space="preserve"> and detention centres</w:t>
      </w:r>
      <w:r w:rsidRPr="00C20C7F">
        <w:t xml:space="preserve">. </w:t>
      </w:r>
    </w:p>
    <w:p w14:paraId="71167448" w14:textId="26B0E647" w:rsidR="00176D03" w:rsidRPr="00C20C7F" w:rsidRDefault="00176D03" w:rsidP="00295AA8">
      <w:pPr>
        <w:pStyle w:val="Heading2"/>
        <w:spacing w:after="240" w:line="276" w:lineRule="auto"/>
        <w:rPr>
          <w:lang w:val="en-GB"/>
        </w:rPr>
      </w:pPr>
      <w:bookmarkStart w:id="40" w:name="_Hlk93422254"/>
      <w:bookmarkStart w:id="41" w:name="_Toc179386648"/>
      <w:r w:rsidRPr="00C20C7F">
        <w:rPr>
          <w:lang w:val="en-GB"/>
        </w:rPr>
        <w:t xml:space="preserve">Article 17: </w:t>
      </w:r>
      <w:r w:rsidR="00CB2011" w:rsidRPr="00C20C7F">
        <w:rPr>
          <w:lang w:val="en-GB"/>
        </w:rPr>
        <w:t>Protecting the i</w:t>
      </w:r>
      <w:r w:rsidRPr="00C20C7F">
        <w:rPr>
          <w:lang w:val="en-GB"/>
        </w:rPr>
        <w:t>ntegrity of the person</w:t>
      </w:r>
      <w:bookmarkEnd w:id="41"/>
      <w:r w:rsidRPr="00C20C7F">
        <w:rPr>
          <w:lang w:val="en-GB"/>
        </w:rPr>
        <w:t xml:space="preserve"> </w:t>
      </w:r>
    </w:p>
    <w:p w14:paraId="633F1E79" w14:textId="70ED3E1B" w:rsidR="00B1403E" w:rsidRPr="00D404B4" w:rsidRDefault="00176D03" w:rsidP="00295AA8">
      <w:pPr>
        <w:autoSpaceDE w:val="0"/>
        <w:autoSpaceDN w:val="0"/>
        <w:adjustRightInd w:val="0"/>
        <w:spacing w:after="240"/>
      </w:pPr>
      <w:r w:rsidRPr="00C20C7F">
        <w:t>The EU has shared competence on common safety concerns in public health matters</w:t>
      </w:r>
      <w:r w:rsidR="00B1403E" w:rsidRPr="00C20C7F">
        <w:t xml:space="preserve"> </w:t>
      </w:r>
      <w:r w:rsidRPr="00C20C7F">
        <w:t>and supporting competence</w:t>
      </w:r>
      <w:r w:rsidRPr="00D404B4">
        <w:t xml:space="preserve"> in health protection. The EU has competence to carry out research and technological activities to define and implement programmes. </w:t>
      </w:r>
    </w:p>
    <w:p w14:paraId="58748A5E" w14:textId="36876F07" w:rsidR="00C90583" w:rsidRPr="00D404B4" w:rsidRDefault="00C90583" w:rsidP="00295AA8">
      <w:pPr>
        <w:pStyle w:val="Heading3"/>
      </w:pPr>
      <w:r w:rsidRPr="00D404B4">
        <w:t xml:space="preserve">Research </w:t>
      </w:r>
    </w:p>
    <w:p w14:paraId="75D465B7" w14:textId="5564EE26" w:rsidR="00F07B84" w:rsidRDefault="00C90583" w:rsidP="00295AA8">
      <w:pPr>
        <w:rPr>
          <w:lang w:bidi="en-US"/>
        </w:rPr>
      </w:pPr>
      <w:r w:rsidRPr="00D404B4">
        <w:rPr>
          <w:lang w:bidi="en-US"/>
        </w:rPr>
        <w:t xml:space="preserve">The ethics self-assessment and ethics review for research funded by the EU under the </w:t>
      </w:r>
      <w:r w:rsidR="00AD6470">
        <w:t xml:space="preserve"> </w:t>
      </w:r>
      <w:hyperlink r:id="rId92" w:history="1">
        <w:r w:rsidR="00AD6470" w:rsidRPr="00AD6470">
          <w:rPr>
            <w:rStyle w:val="Hyperlink"/>
          </w:rPr>
          <w:t>Horizon Europe</w:t>
        </w:r>
      </w:hyperlink>
      <w:r w:rsidRPr="00D404B4">
        <w:rPr>
          <w:lang w:bidi="en-US"/>
        </w:rPr>
        <w:t xml:space="preserve"> research and innovation programme</w:t>
      </w:r>
      <w:r w:rsidR="00AD6470">
        <w:rPr>
          <w:lang w:bidi="en-US"/>
        </w:rPr>
        <w:t xml:space="preserve">, </w:t>
      </w:r>
      <w:hyperlink r:id="rId93" w:history="1">
        <w:r w:rsidR="00AD6470" w:rsidRPr="004424AF">
          <w:rPr>
            <w:rStyle w:val="Hyperlink"/>
            <w:lang w:bidi="en-US"/>
          </w:rPr>
          <w:t>Digital Europe</w:t>
        </w:r>
      </w:hyperlink>
      <w:r w:rsidR="00AD6470">
        <w:rPr>
          <w:lang w:bidi="en-US"/>
        </w:rPr>
        <w:t xml:space="preserve"> and the </w:t>
      </w:r>
      <w:hyperlink r:id="rId94" w:history="1">
        <w:r w:rsidR="00AD6470" w:rsidRPr="004424AF">
          <w:rPr>
            <w:rStyle w:val="Hyperlink"/>
            <w:lang w:bidi="en-US"/>
          </w:rPr>
          <w:t>European Defence Fund</w:t>
        </w:r>
      </w:hyperlink>
      <w:r w:rsidRPr="00D404B4">
        <w:rPr>
          <w:lang w:bidi="en-US"/>
        </w:rPr>
        <w:t xml:space="preserve"> do not </w:t>
      </w:r>
      <w:r w:rsidR="00F07B84">
        <w:rPr>
          <w:lang w:bidi="en-US"/>
        </w:rPr>
        <w:t>de facto require</w:t>
      </w:r>
      <w:r w:rsidR="00F07B84" w:rsidRPr="00D404B4">
        <w:rPr>
          <w:lang w:bidi="en-US"/>
        </w:rPr>
        <w:t xml:space="preserve"> </w:t>
      </w:r>
      <w:r w:rsidRPr="00D404B4">
        <w:rPr>
          <w:lang w:bidi="en-US"/>
        </w:rPr>
        <w:t xml:space="preserve">that persons with disabilities involved are enabled to give their informed consent </w:t>
      </w:r>
      <w:r w:rsidRPr="00B27FCD">
        <w:rPr>
          <w:lang w:bidi="en-US"/>
        </w:rPr>
        <w:t xml:space="preserve">and </w:t>
      </w:r>
      <w:r w:rsidR="00F402E6" w:rsidRPr="00B27FCD">
        <w:rPr>
          <w:lang w:bidi="en-US"/>
        </w:rPr>
        <w:t>do</w:t>
      </w:r>
      <w:r w:rsidRPr="00B27FCD">
        <w:rPr>
          <w:lang w:bidi="en-US"/>
        </w:rPr>
        <w:t xml:space="preserve"> </w:t>
      </w:r>
      <w:r w:rsidRPr="00D404B4">
        <w:rPr>
          <w:lang w:bidi="en-US"/>
        </w:rPr>
        <w:t xml:space="preserve">not provide consent forms in accessible and Easy to Read formats. </w:t>
      </w:r>
      <w:r w:rsidR="00F07B84">
        <w:rPr>
          <w:lang w:bidi="en-US"/>
        </w:rPr>
        <w:t xml:space="preserve">Despite explicit guidance on participants receiving project-specific informed consent forms and detailed information sheets that they can fully understand, the EU offers no guidance on the formats </w:t>
      </w:r>
      <w:r w:rsidR="002F1C80">
        <w:rPr>
          <w:lang w:bidi="en-US"/>
        </w:rPr>
        <w:t>necessary</w:t>
      </w:r>
      <w:r w:rsidR="00F07B84">
        <w:rPr>
          <w:lang w:bidi="en-US"/>
        </w:rPr>
        <w:t xml:space="preserve"> to ensure and record informed consent for </w:t>
      </w:r>
      <w:r w:rsidR="00F07B84" w:rsidRPr="001F59EE">
        <w:rPr>
          <w:lang w:bidi="en-US"/>
        </w:rPr>
        <w:t xml:space="preserve">persons with intellectual disabilities </w:t>
      </w:r>
      <w:r w:rsidR="00F07B84">
        <w:rPr>
          <w:lang w:bidi="en-US"/>
        </w:rPr>
        <w:t xml:space="preserve">and </w:t>
      </w:r>
      <w:r w:rsidR="002F1C80">
        <w:rPr>
          <w:lang w:bidi="en-US"/>
        </w:rPr>
        <w:t>D</w:t>
      </w:r>
      <w:r w:rsidR="00F07B84" w:rsidRPr="001F59EE">
        <w:rPr>
          <w:lang w:bidi="en-US"/>
        </w:rPr>
        <w:t>eaf persons</w:t>
      </w:r>
      <w:r w:rsidR="00F07B84">
        <w:rPr>
          <w:lang w:bidi="en-US"/>
        </w:rPr>
        <w:t xml:space="preserve">. The EU’s reply to the LOIPR attempts to side-step this concern by stating that it </w:t>
      </w:r>
      <w:r w:rsidR="00F07B84" w:rsidRPr="00AE769B">
        <w:rPr>
          <w:lang w:bidi="en-US"/>
        </w:rPr>
        <w:t>“does not have and/or promote a particular type of informed consent form</w:t>
      </w:r>
      <w:r w:rsidR="00F07B84">
        <w:rPr>
          <w:lang w:bidi="en-US"/>
        </w:rPr>
        <w:t>.</w:t>
      </w:r>
      <w:r w:rsidR="00F07B84" w:rsidRPr="00AE769B">
        <w:rPr>
          <w:lang w:bidi="en-US"/>
        </w:rPr>
        <w:t>”</w:t>
      </w:r>
      <w:r w:rsidR="00F07B84">
        <w:rPr>
          <w:lang w:bidi="en-US"/>
        </w:rPr>
        <w:t xml:space="preserve"> However, Easy to Read and Sign Language video versions of informed consent forms and project information may simply reflect potential variations in structure, type and consent requirements across Member States. </w:t>
      </w:r>
    </w:p>
    <w:p w14:paraId="1D87884D" w14:textId="69471978" w:rsidR="00C90583" w:rsidRDefault="00C90583" w:rsidP="00295AA8">
      <w:pPr>
        <w:rPr>
          <w:lang w:bidi="en-US"/>
        </w:rPr>
      </w:pPr>
      <w:r w:rsidRPr="00D404B4">
        <w:rPr>
          <w:lang w:bidi="en-US"/>
        </w:rPr>
        <w:t xml:space="preserve">The </w:t>
      </w:r>
      <w:hyperlink r:id="rId95" w:history="1">
        <w:r w:rsidRPr="00D404B4">
          <w:rPr>
            <w:rStyle w:val="Hyperlink"/>
            <w:lang w:bidi="en-US"/>
          </w:rPr>
          <w:t>Guidance on how to complete the ethics self-assessment</w:t>
        </w:r>
      </w:hyperlink>
      <w:r w:rsidRPr="00D404B4">
        <w:rPr>
          <w:lang w:bidi="en-US"/>
        </w:rPr>
        <w:t xml:space="preserve"> </w:t>
      </w:r>
      <w:r w:rsidR="00F07B84">
        <w:rPr>
          <w:lang w:bidi="en-US"/>
        </w:rPr>
        <w:t xml:space="preserve">also </w:t>
      </w:r>
      <w:r w:rsidRPr="00D404B4">
        <w:rPr>
          <w:lang w:bidi="en-US"/>
        </w:rPr>
        <w:t xml:space="preserve">directly refers to “persons unable to give informed consent.” While it requires candidates to indicate “informed consent procedures,” it also makes exceptions for informed consent if national laws provide for an </w:t>
      </w:r>
      <w:r w:rsidRPr="00D404B4">
        <w:rPr>
          <w:lang w:bidi="en-US"/>
        </w:rPr>
        <w:lastRenderedPageBreak/>
        <w:t xml:space="preserve">exception, for </w:t>
      </w:r>
      <w:r w:rsidRPr="00B27FCD">
        <w:rPr>
          <w:lang w:bidi="en-US"/>
        </w:rPr>
        <w:t xml:space="preserve">instance </w:t>
      </w:r>
      <w:r w:rsidR="00F402E6" w:rsidRPr="00B27FCD">
        <w:rPr>
          <w:lang w:bidi="en-US"/>
        </w:rPr>
        <w:t>due to</w:t>
      </w:r>
      <w:r w:rsidRPr="00B27FCD">
        <w:rPr>
          <w:lang w:bidi="en-US"/>
        </w:rPr>
        <w:t xml:space="preserve"> </w:t>
      </w:r>
      <w:r w:rsidRPr="00D404B4">
        <w:rPr>
          <w:lang w:bidi="en-US"/>
        </w:rPr>
        <w:t>public interest. It also explicitly allows for substituted decision-making procedures.</w:t>
      </w:r>
      <w:r w:rsidRPr="00D404B4">
        <w:rPr>
          <w:rStyle w:val="FootnoteReference"/>
          <w:lang w:bidi="en-US"/>
        </w:rPr>
        <w:footnoteReference w:id="77"/>
      </w:r>
      <w:r w:rsidR="005F3167">
        <w:rPr>
          <w:lang w:bidi="en-US"/>
        </w:rPr>
        <w:t xml:space="preserve"> </w:t>
      </w:r>
      <w:r w:rsidR="00B1645E" w:rsidRPr="00D404B4">
        <w:rPr>
          <w:rStyle w:val="FootnoteReference"/>
          <w:lang w:bidi="en-US"/>
        </w:rPr>
        <w:footnoteReference w:id="78"/>
      </w:r>
    </w:p>
    <w:p w14:paraId="2D9E240B" w14:textId="3DCF7504" w:rsidR="00F07B84" w:rsidRDefault="00F07B84" w:rsidP="00F07B84">
      <w:pPr>
        <w:rPr>
          <w:lang w:bidi="en-US"/>
        </w:rPr>
      </w:pPr>
      <w:r>
        <w:rPr>
          <w:lang w:bidi="en-US"/>
        </w:rPr>
        <w:t xml:space="preserve">The European Committee for Standardisation (CEN) has developed </w:t>
      </w:r>
      <w:hyperlink r:id="rId96" w:history="1">
        <w:r w:rsidRPr="002F1C80">
          <w:rPr>
            <w:rStyle w:val="Hyperlink"/>
            <w:lang w:bidi="en-US"/>
          </w:rPr>
          <w:t>draft CEN Workshop Agreement (CWA) 17933</w:t>
        </w:r>
      </w:hyperlink>
      <w:r>
        <w:rPr>
          <w:rStyle w:val="FootnoteReference"/>
          <w:lang w:bidi="en-US"/>
        </w:rPr>
        <w:footnoteReference w:id="79"/>
      </w:r>
      <w:r>
        <w:rPr>
          <w:lang w:bidi="en-US"/>
        </w:rPr>
        <w:t xml:space="preserve">, through funding from the European Union’s Horizon 2020 research and innovation programme. The EU should clarify if this is the basis of the future guidance note on informed consent in the domain of </w:t>
      </w:r>
      <w:r w:rsidR="002F1C80">
        <w:rPr>
          <w:lang w:bidi="en-US"/>
        </w:rPr>
        <w:t>artificial intelligence</w:t>
      </w:r>
      <w:r>
        <w:rPr>
          <w:lang w:bidi="en-US"/>
        </w:rPr>
        <w:t xml:space="preserve">.  </w:t>
      </w:r>
    </w:p>
    <w:p w14:paraId="26D98DD8" w14:textId="77777777" w:rsidR="00F07B84" w:rsidRDefault="00F07B84" w:rsidP="00F07B84">
      <w:pPr>
        <w:rPr>
          <w:lang w:bidi="en-US"/>
        </w:rPr>
      </w:pPr>
      <w:r>
        <w:rPr>
          <w:lang w:bidi="en-US"/>
        </w:rPr>
        <w:t>While it does suggest that innovations and initiatives “</w:t>
      </w:r>
      <w:r w:rsidRPr="009B5DC9">
        <w:rPr>
          <w:lang w:bidi="en-US"/>
        </w:rPr>
        <w:t xml:space="preserve">recognise the importance of investing in appropriate means to engage with </w:t>
      </w:r>
      <w:r>
        <w:rPr>
          <w:lang w:bidi="en-US"/>
        </w:rPr>
        <w:t xml:space="preserve">those </w:t>
      </w:r>
      <w:r w:rsidRPr="009B5DC9">
        <w:rPr>
          <w:lang w:bidi="en-US"/>
        </w:rPr>
        <w:t>persons</w:t>
      </w:r>
      <w:r>
        <w:rPr>
          <w:lang w:bidi="en-US"/>
        </w:rPr>
        <w:t xml:space="preserve"> [with disabilities]</w:t>
      </w:r>
      <w:r w:rsidRPr="009B5DC9">
        <w:rPr>
          <w:lang w:bidi="en-US"/>
        </w:rPr>
        <w:t xml:space="preserve"> and to obtain consent lawfully</w:t>
      </w:r>
      <w:r>
        <w:rPr>
          <w:lang w:bidi="en-US"/>
        </w:rPr>
        <w:t xml:space="preserve">,” it stops short of providing examples of best practice including supported decision-making models. It asserts that the CRPD and accompaniment in decision-making should be harmonised at the EU level however, it recognises substituted decision-making, through legally designated representatives for persons deprived of legal capacity. </w:t>
      </w:r>
    </w:p>
    <w:p w14:paraId="4285BCAC" w14:textId="032354C4" w:rsidR="00F07B84" w:rsidRPr="00D404B4" w:rsidRDefault="00F07B84" w:rsidP="00F07B84">
      <w:pPr>
        <w:rPr>
          <w:lang w:bidi="en-US"/>
        </w:rPr>
      </w:pPr>
      <w:r>
        <w:rPr>
          <w:lang w:bidi="en-US"/>
        </w:rPr>
        <w:t xml:space="preserve">The final draft should have a clearer emphasis and guidance on employing supported decision-making models and should avoid stigmatising language such as “vulnerable” and “fragile” adults, instead referring to persons with disabilities as appropriate.  </w:t>
      </w:r>
    </w:p>
    <w:bookmarkEnd w:id="40"/>
    <w:p w14:paraId="1DD1938F" w14:textId="33290632" w:rsidR="00C90583" w:rsidRPr="00D404B4" w:rsidRDefault="00C90583" w:rsidP="00295AA8">
      <w:pPr>
        <w:pStyle w:val="Heading3"/>
        <w:rPr>
          <w:lang w:bidi="en-US"/>
        </w:rPr>
      </w:pPr>
      <w:r w:rsidRPr="00D404B4">
        <w:rPr>
          <w:lang w:bidi="en-US"/>
        </w:rPr>
        <w:t xml:space="preserve">Involuntary treatment and placement </w:t>
      </w:r>
    </w:p>
    <w:p w14:paraId="3E5A23CE" w14:textId="44D26E85" w:rsidR="00B1403E" w:rsidRPr="00D404B4" w:rsidRDefault="00B1403E" w:rsidP="00295AA8">
      <w:pPr>
        <w:autoSpaceDE w:val="0"/>
        <w:autoSpaceDN w:val="0"/>
        <w:adjustRightInd w:val="0"/>
        <w:spacing w:after="240"/>
      </w:pPr>
      <w:r w:rsidRPr="00D404B4">
        <w:t xml:space="preserve">As explained </w:t>
      </w:r>
      <w:hyperlink w:anchor="_Article_14:_Liberty" w:history="1">
        <w:r w:rsidRPr="00A23BDE">
          <w:rPr>
            <w:rStyle w:val="Hyperlink"/>
          </w:rPr>
          <w:t>under</w:t>
        </w:r>
        <w:r w:rsidR="00A23BDE" w:rsidRPr="00A23BDE">
          <w:rPr>
            <w:rStyle w:val="Hyperlink"/>
          </w:rPr>
          <w:t xml:space="preserve"> Article 14</w:t>
        </w:r>
      </w:hyperlink>
      <w:r w:rsidRPr="00D404B4">
        <w:t xml:space="preserve"> persons with</w:t>
      </w:r>
      <w:r w:rsidR="0002661A" w:rsidRPr="00D404B4">
        <w:t xml:space="preserve"> autism,</w:t>
      </w:r>
      <w:r w:rsidRPr="00D404B4">
        <w:t xml:space="preserve"> intellectual and psychosocial disabilities living in the EU continue to experience involuntary treatment and placement. </w:t>
      </w:r>
      <w:r w:rsidR="00176D03" w:rsidRPr="00D404B4">
        <w:t xml:space="preserve">Research has shown that these experiences are ‘overwhelmingly negative’ and cause trauma and fear. </w:t>
      </w:r>
      <w:r w:rsidR="005858CC">
        <w:t xml:space="preserve">To EDF knowledge, the </w:t>
      </w:r>
      <w:r w:rsidRPr="00D404B4">
        <w:t>Commission has not engage</w:t>
      </w:r>
      <w:r w:rsidR="005F52AB" w:rsidRPr="00D404B4">
        <w:t>d</w:t>
      </w:r>
      <w:r w:rsidRPr="00D404B4">
        <w:t xml:space="preserve"> with organisations of persons with disabilities and did not take any actions to decrease the use of coercive practices</w:t>
      </w:r>
      <w:r w:rsidR="005F52AB" w:rsidRPr="00D404B4">
        <w:t xml:space="preserve"> in psychiatry</w:t>
      </w:r>
      <w:r w:rsidRPr="00D404B4">
        <w:t xml:space="preserve"> in the EU. </w:t>
      </w:r>
      <w:r w:rsidR="00F07B84">
        <w:t>On the contrary, the EU continues to fund research and projects that focus on the reduction rather than elimination of coercive practices.</w:t>
      </w:r>
    </w:p>
    <w:p w14:paraId="648C4CE3" w14:textId="10D2349E" w:rsidR="00C90583" w:rsidRPr="00D404B4" w:rsidRDefault="00C90583" w:rsidP="00295AA8">
      <w:pPr>
        <w:pStyle w:val="Heading3"/>
      </w:pPr>
      <w:r w:rsidRPr="00D404B4">
        <w:t>Forced sterilisation</w:t>
      </w:r>
      <w:r w:rsidR="002B3A5A">
        <w:t xml:space="preserve">, contraception and </w:t>
      </w:r>
      <w:r w:rsidR="00731A8E" w:rsidRPr="00D404B4">
        <w:t>abortion</w:t>
      </w:r>
    </w:p>
    <w:p w14:paraId="0415CB3C" w14:textId="067A0FFA" w:rsidR="00B1403E" w:rsidRDefault="00DE43D0" w:rsidP="00295AA8">
      <w:pPr>
        <w:autoSpaceDE w:val="0"/>
        <w:autoSpaceDN w:val="0"/>
        <w:adjustRightInd w:val="0"/>
        <w:spacing w:after="240"/>
      </w:pPr>
      <w:r>
        <w:t>M</w:t>
      </w:r>
      <w:r w:rsidR="00176D03" w:rsidRPr="00D404B4">
        <w:t>any women with disabilities are still denied the right to reproductive freedom under the pretext of their wellbeing. Forced sterilisation</w:t>
      </w:r>
      <w:r w:rsidR="002B3A5A">
        <w:t>,</w:t>
      </w:r>
      <w:r w:rsidR="00176D03" w:rsidRPr="00D404B4">
        <w:t xml:space="preserve"> abortion</w:t>
      </w:r>
      <w:r w:rsidR="002B3A5A">
        <w:t xml:space="preserve"> and contraception,</w:t>
      </w:r>
      <w:r w:rsidR="00176D03" w:rsidRPr="00D404B4">
        <w:t xml:space="preserve"> are just some clear examples of denial of rights that many wome</w:t>
      </w:r>
      <w:r w:rsidR="00C90583" w:rsidRPr="00D404B4">
        <w:t xml:space="preserve">n, </w:t>
      </w:r>
      <w:r w:rsidR="00731A8E" w:rsidRPr="00D404B4">
        <w:t>adolescents,</w:t>
      </w:r>
      <w:r w:rsidR="00C90583" w:rsidRPr="00D404B4">
        <w:t xml:space="preserve"> and children</w:t>
      </w:r>
      <w:r w:rsidR="00176D03" w:rsidRPr="00D404B4">
        <w:t xml:space="preserve"> with disabilities suffer</w:t>
      </w:r>
      <w:r w:rsidR="00C90583" w:rsidRPr="00D404B4">
        <w:t xml:space="preserve"> (including intersex </w:t>
      </w:r>
      <w:r w:rsidR="002B3A5A">
        <w:t xml:space="preserve">and trans </w:t>
      </w:r>
      <w:r w:rsidR="00C90583" w:rsidRPr="00D404B4">
        <w:t>children and adolescents),</w:t>
      </w:r>
      <w:r w:rsidR="00176D03" w:rsidRPr="00D404B4">
        <w:t xml:space="preserve"> without giving their consent or fully understanding the intentions</w:t>
      </w:r>
      <w:r w:rsidR="00B1403E" w:rsidRPr="00D404B4">
        <w:t xml:space="preserve">. </w:t>
      </w:r>
      <w:r w:rsidR="00831EF3" w:rsidRPr="00D404B4">
        <w:t xml:space="preserve">Those abuses particularly affect members of ethnic </w:t>
      </w:r>
      <w:r w:rsidR="00831EF3" w:rsidRPr="00D404B4">
        <w:lastRenderedPageBreak/>
        <w:t>minorities such as Roma women</w:t>
      </w:r>
      <w:r w:rsidR="00831EF3" w:rsidRPr="00D404B4">
        <w:rPr>
          <w:rStyle w:val="FootnoteReference"/>
        </w:rPr>
        <w:footnoteReference w:id="80"/>
      </w:r>
      <w:r w:rsidR="00831EF3" w:rsidRPr="00D404B4">
        <w:t xml:space="preserve"> and women under guardianships and/or living in institutions.</w:t>
      </w:r>
      <w:r w:rsidR="00831EF3" w:rsidRPr="00D404B4">
        <w:rPr>
          <w:rStyle w:val="FootnoteReference"/>
        </w:rPr>
        <w:footnoteReference w:id="81"/>
      </w:r>
    </w:p>
    <w:p w14:paraId="6592C830" w14:textId="7B0689F7" w:rsidR="00A24DEB" w:rsidRPr="00DE43D0" w:rsidRDefault="00DE43D0" w:rsidP="00295AA8">
      <w:pPr>
        <w:autoSpaceDE w:val="0"/>
        <w:autoSpaceDN w:val="0"/>
        <w:adjustRightInd w:val="0"/>
        <w:spacing w:after="240"/>
      </w:pPr>
      <w:r w:rsidRPr="00DE43D0">
        <w:t xml:space="preserve">EDF found that at least </w:t>
      </w:r>
      <w:r w:rsidRPr="00A230AA">
        <w:rPr>
          <w:b/>
          <w:bCs/>
        </w:rPr>
        <w:t>12 EU Member States still authorise in their law the sterilisation of persons with disabilities</w:t>
      </w:r>
      <w:r w:rsidRPr="00DE43D0">
        <w:t xml:space="preserve"> without their direct, prior informed consent,</w:t>
      </w:r>
      <w:r w:rsidRPr="00DE43D0">
        <w:rPr>
          <w:rStyle w:val="FootnoteReference"/>
        </w:rPr>
        <w:footnoteReference w:id="82"/>
      </w:r>
      <w:r w:rsidRPr="00DE43D0">
        <w:t xml:space="preserve"> especially persons deprived of their legal capacity.</w:t>
      </w:r>
      <w:r w:rsidRPr="00DE43D0">
        <w:rPr>
          <w:rStyle w:val="FootnoteReference"/>
        </w:rPr>
        <w:footnoteReference w:id="83"/>
      </w:r>
      <w:r w:rsidRPr="00DE43D0">
        <w:t xml:space="preserve"> </w:t>
      </w:r>
      <w:r>
        <w:t>A</w:t>
      </w:r>
      <w:r w:rsidR="00B931C6">
        <w:t>n</w:t>
      </w:r>
      <w:r>
        <w:t xml:space="preserve"> investigation from Euronews</w:t>
      </w:r>
      <w:r w:rsidR="00B931C6">
        <w:t xml:space="preserve"> released in 2023</w:t>
      </w:r>
      <w:r>
        <w:t xml:space="preserve"> also denounced cases of forced sterilisation and forced contraception in various EU Member States.</w:t>
      </w:r>
      <w:r>
        <w:rPr>
          <w:rStyle w:val="FootnoteReference"/>
        </w:rPr>
        <w:footnoteReference w:id="84"/>
      </w:r>
      <w:r w:rsidR="00B931C6">
        <w:t xml:space="preserve"> Yet, as explained </w:t>
      </w:r>
      <w:hyperlink w:anchor="_Article_16:_Freedom" w:history="1">
        <w:r w:rsidR="00B931C6" w:rsidRPr="00B931C6">
          <w:rPr>
            <w:rStyle w:val="Hyperlink"/>
          </w:rPr>
          <w:t>under article 16</w:t>
        </w:r>
      </w:hyperlink>
      <w:r w:rsidR="00B931C6">
        <w:t xml:space="preserve">, the EU has not adopted any measures to combat forced sterilisation, forced abortion and forced contraception. </w:t>
      </w:r>
    </w:p>
    <w:p w14:paraId="3DEAE309" w14:textId="2780F720" w:rsidR="002B3A5A" w:rsidRPr="002B3A5A" w:rsidRDefault="002B3A5A" w:rsidP="00295AA8">
      <w:pPr>
        <w:autoSpaceDE w:val="0"/>
        <w:autoSpaceDN w:val="0"/>
        <w:adjustRightInd w:val="0"/>
        <w:spacing w:after="240"/>
        <w:rPr>
          <w:b/>
          <w:bCs/>
        </w:rPr>
      </w:pPr>
      <w:r w:rsidRPr="002B3A5A">
        <w:rPr>
          <w:b/>
          <w:bCs/>
        </w:rPr>
        <w:t xml:space="preserve">We call for: </w:t>
      </w:r>
    </w:p>
    <w:p w14:paraId="7B9CE2AF" w14:textId="5B2BDBA2" w:rsidR="00F07B84" w:rsidRPr="00D404B4" w:rsidRDefault="002B3A5A" w:rsidP="002F1C80">
      <w:pPr>
        <w:pStyle w:val="ListParagraph"/>
        <w:numPr>
          <w:ilvl w:val="0"/>
          <w:numId w:val="15"/>
        </w:numPr>
        <w:ind w:left="714" w:hanging="357"/>
      </w:pPr>
      <w:r>
        <w:t>Steps</w:t>
      </w:r>
      <w:r w:rsidR="0038084A" w:rsidRPr="00D404B4">
        <w:t xml:space="preserve"> to ensure that research funded by the EU does not allow substituted decision making and to explicitly prohibit this practice in its ethics guidelines</w:t>
      </w:r>
      <w:r>
        <w:t xml:space="preserve">. </w:t>
      </w:r>
      <w:r w:rsidR="002F1C80">
        <w:t>The EU should adopt i</w:t>
      </w:r>
      <w:r w:rsidR="00F07B84">
        <w:t xml:space="preserve">ntegrated and explicit guidance on consent formats needed to ensure informed consent of persons with disabilities, including </w:t>
      </w:r>
      <w:r w:rsidR="002F1C80">
        <w:t>D</w:t>
      </w:r>
      <w:r w:rsidR="00F07B84">
        <w:t xml:space="preserve">eaf persons and persons with intellectual disabilities. </w:t>
      </w:r>
    </w:p>
    <w:p w14:paraId="214DF1F9" w14:textId="3F274DE8" w:rsidR="00E1410F" w:rsidRPr="00C20C7F" w:rsidRDefault="002B3A5A" w:rsidP="002F1C80">
      <w:pPr>
        <w:pStyle w:val="ListParagraph"/>
        <w:numPr>
          <w:ilvl w:val="0"/>
          <w:numId w:val="15"/>
        </w:numPr>
        <w:ind w:left="714" w:hanging="357"/>
      </w:pPr>
      <w:r>
        <w:t xml:space="preserve">Ban of forced sterilisation, </w:t>
      </w:r>
      <w:r w:rsidR="00B51111">
        <w:t xml:space="preserve">contraception and abortion of persons with disabilities, and adoption of measures to end these harmful practices and provide support and </w:t>
      </w:r>
      <w:r w:rsidR="00B51111" w:rsidRPr="00C20C7F">
        <w:t>remedies to the victims.</w:t>
      </w:r>
    </w:p>
    <w:p w14:paraId="1DE4CA7D" w14:textId="1600A617" w:rsidR="007F16AE" w:rsidRPr="00C20C7F" w:rsidRDefault="00110800" w:rsidP="00295AA8">
      <w:pPr>
        <w:pStyle w:val="Heading2"/>
        <w:rPr>
          <w:lang w:val="en-GB"/>
        </w:rPr>
      </w:pPr>
      <w:bookmarkStart w:id="43" w:name="_Article_18:_Liberty"/>
      <w:bookmarkStart w:id="44" w:name="Article_18"/>
      <w:bookmarkStart w:id="45" w:name="_Toc179386649"/>
      <w:bookmarkEnd w:id="43"/>
      <w:r w:rsidRPr="00C20C7F">
        <w:rPr>
          <w:lang w:val="en-GB"/>
        </w:rPr>
        <w:t>Article 18</w:t>
      </w:r>
      <w:bookmarkEnd w:id="44"/>
      <w:r w:rsidRPr="00C20C7F">
        <w:rPr>
          <w:lang w:val="en-GB"/>
        </w:rPr>
        <w:t xml:space="preserve">: </w:t>
      </w:r>
      <w:r w:rsidR="00B27FCD" w:rsidRPr="00C20C7F">
        <w:rPr>
          <w:lang w:val="en-GB"/>
        </w:rPr>
        <w:t>Liberty of movement and nationality</w:t>
      </w:r>
      <w:bookmarkEnd w:id="45"/>
      <w:r w:rsidRPr="00C20C7F">
        <w:rPr>
          <w:lang w:val="en-GB"/>
        </w:rPr>
        <w:t xml:space="preserve"> </w:t>
      </w:r>
    </w:p>
    <w:p w14:paraId="026AB40B" w14:textId="5AB28665" w:rsidR="007806F3" w:rsidRPr="00D404B4" w:rsidRDefault="00DA5D2F" w:rsidP="00295AA8">
      <w:pPr>
        <w:rPr>
          <w:rFonts w:cstheme="minorHAnsi"/>
        </w:rPr>
      </w:pPr>
      <w:r w:rsidRPr="00C20C7F">
        <w:rPr>
          <w:rFonts w:cstheme="minorHAnsi"/>
        </w:rPr>
        <w:t>The EU provides citizens with</w:t>
      </w:r>
      <w:r w:rsidRPr="00D404B4">
        <w:rPr>
          <w:rFonts w:cstheme="minorHAnsi"/>
        </w:rPr>
        <w:t xml:space="preserve"> </w:t>
      </w:r>
      <w:r w:rsidR="00064506" w:rsidRPr="00D404B4">
        <w:rPr>
          <w:rFonts w:cstheme="minorHAnsi"/>
        </w:rPr>
        <w:t>freedom to move</w:t>
      </w:r>
      <w:r w:rsidRPr="00D404B4">
        <w:rPr>
          <w:rFonts w:cstheme="minorHAnsi"/>
        </w:rPr>
        <w:t xml:space="preserve"> in countries other than their own</w:t>
      </w:r>
      <w:r w:rsidR="00861AD5" w:rsidRPr="00D404B4">
        <w:rPr>
          <w:rFonts w:cstheme="minorHAnsi"/>
        </w:rPr>
        <w:t xml:space="preserve"> to work and study</w:t>
      </w:r>
      <w:r w:rsidR="00BC3537">
        <w:rPr>
          <w:rFonts w:cstheme="minorHAnsi"/>
        </w:rPr>
        <w:t>.</w:t>
      </w:r>
      <w:r w:rsidR="00BC3537">
        <w:rPr>
          <w:rStyle w:val="FootnoteReference"/>
          <w:rFonts w:cstheme="minorHAnsi"/>
        </w:rPr>
        <w:footnoteReference w:id="85"/>
      </w:r>
      <w:r w:rsidRPr="00D404B4">
        <w:rPr>
          <w:rFonts w:cstheme="minorHAnsi"/>
        </w:rPr>
        <w:t xml:space="preserve"> </w:t>
      </w:r>
    </w:p>
    <w:p w14:paraId="24302E63" w14:textId="5D73FD6C" w:rsidR="002517A0" w:rsidRDefault="00DA5D2F" w:rsidP="00295AA8">
      <w:pPr>
        <w:rPr>
          <w:rFonts w:cstheme="minorHAnsi"/>
        </w:rPr>
      </w:pPr>
      <w:r w:rsidRPr="00D404B4">
        <w:rPr>
          <w:rFonts w:cstheme="minorHAnsi"/>
        </w:rPr>
        <w:t>Today, 17 million EU citizens live and work abroad in another EU country.</w:t>
      </w:r>
      <w:r w:rsidR="002C3FFC" w:rsidRPr="00D404B4">
        <w:rPr>
          <w:rStyle w:val="FootnoteReference"/>
          <w:rFonts w:cstheme="minorHAnsi"/>
        </w:rPr>
        <w:footnoteReference w:id="86"/>
      </w:r>
      <w:r w:rsidRPr="00D404B4">
        <w:rPr>
          <w:rFonts w:cstheme="minorHAnsi"/>
        </w:rPr>
        <w:t xml:space="preserve"> This mobility, however, is extremely limited for persons with disabilities</w:t>
      </w:r>
      <w:r w:rsidR="00333424" w:rsidRPr="00D404B4">
        <w:rPr>
          <w:rFonts w:cstheme="minorHAnsi"/>
        </w:rPr>
        <w:t xml:space="preserve">. </w:t>
      </w:r>
      <w:r w:rsidR="006E7FE2" w:rsidRPr="00D404B4">
        <w:t>F</w:t>
      </w:r>
      <w:r w:rsidR="006E7FE2" w:rsidRPr="00D404B4">
        <w:rPr>
          <w:rFonts w:cstheme="minorHAnsi"/>
        </w:rPr>
        <w:t>ragmentation of disability assessment systems has led to a fractured understanding of what disability is</w:t>
      </w:r>
      <w:r w:rsidR="003E1AD3" w:rsidRPr="00D404B4">
        <w:rPr>
          <w:rFonts w:cstheme="minorHAnsi"/>
        </w:rPr>
        <w:t>, how different “levels” of disability are measured,</w:t>
      </w:r>
      <w:r w:rsidR="006E7FE2" w:rsidRPr="00D404B4">
        <w:rPr>
          <w:rFonts w:cstheme="minorHAnsi"/>
        </w:rPr>
        <w:t xml:space="preserve"> and who qualifies for social protection and </w:t>
      </w:r>
      <w:r w:rsidR="003E1AD3" w:rsidRPr="00D404B4">
        <w:rPr>
          <w:rFonts w:cstheme="minorHAnsi"/>
        </w:rPr>
        <w:t xml:space="preserve">social assistance </w:t>
      </w:r>
      <w:r w:rsidR="00147507" w:rsidRPr="00D404B4">
        <w:rPr>
          <w:rFonts w:cstheme="minorHAnsi"/>
        </w:rPr>
        <w:t>allowances</w:t>
      </w:r>
      <w:r w:rsidR="006E7FE2" w:rsidRPr="00D404B4">
        <w:rPr>
          <w:rFonts w:cstheme="minorHAnsi"/>
        </w:rPr>
        <w:t xml:space="preserve">. </w:t>
      </w:r>
      <w:r w:rsidRPr="00D404B4">
        <w:rPr>
          <w:rFonts w:cstheme="minorHAnsi"/>
        </w:rPr>
        <w:t xml:space="preserve">The inconsistent types of assessment, qualifications for </w:t>
      </w:r>
      <w:r w:rsidR="00147507" w:rsidRPr="00D404B4">
        <w:rPr>
          <w:rFonts w:cstheme="minorHAnsi"/>
        </w:rPr>
        <w:t xml:space="preserve">allowances </w:t>
      </w:r>
      <w:r w:rsidRPr="00D404B4">
        <w:rPr>
          <w:rFonts w:cstheme="minorHAnsi"/>
        </w:rPr>
        <w:t>and administrative processes inherently deprive persons with disabilities of their right</w:t>
      </w:r>
      <w:r w:rsidR="007806F3" w:rsidRPr="00D404B4">
        <w:rPr>
          <w:rFonts w:cstheme="minorHAnsi"/>
        </w:rPr>
        <w:t>s</w:t>
      </w:r>
      <w:r w:rsidRPr="00D404B4">
        <w:rPr>
          <w:rFonts w:cstheme="minorHAnsi"/>
        </w:rPr>
        <w:t xml:space="preserve"> to freedom of movement</w:t>
      </w:r>
      <w:r w:rsidR="00217486" w:rsidRPr="00D404B4">
        <w:rPr>
          <w:rFonts w:cstheme="minorHAnsi"/>
        </w:rPr>
        <w:t>.</w:t>
      </w:r>
      <w:r w:rsidR="003E1AD3" w:rsidRPr="00D404B4">
        <w:rPr>
          <w:rFonts w:cstheme="minorHAnsi"/>
        </w:rPr>
        <w:t xml:space="preserve"> </w:t>
      </w:r>
    </w:p>
    <w:p w14:paraId="08FDFDB6" w14:textId="13BF125D" w:rsidR="00803A15" w:rsidRPr="00D404B4" w:rsidRDefault="001B392A" w:rsidP="00295AA8">
      <w:pPr>
        <w:rPr>
          <w:rFonts w:cstheme="minorHAnsi"/>
        </w:rPr>
      </w:pPr>
      <w:r w:rsidRPr="00D404B4">
        <w:rPr>
          <w:rFonts w:cstheme="minorHAnsi"/>
        </w:rPr>
        <w:t xml:space="preserve">It makes getting support in another EU Member State extremely difficult, if not impossible, and at the very least will require the person to undergo a lengthy and strenuous process </w:t>
      </w:r>
      <w:r w:rsidR="00137E92" w:rsidRPr="00D404B4">
        <w:rPr>
          <w:rFonts w:cstheme="minorHAnsi"/>
        </w:rPr>
        <w:t>to</w:t>
      </w:r>
      <w:r w:rsidRPr="00D404B4">
        <w:rPr>
          <w:rFonts w:cstheme="minorHAnsi"/>
        </w:rPr>
        <w:t xml:space="preserve"> get the support they require. </w:t>
      </w:r>
      <w:r w:rsidR="00803A15" w:rsidRPr="00D404B4">
        <w:rPr>
          <w:rFonts w:cstheme="minorHAnsi"/>
        </w:rPr>
        <w:t>Although the type of services and support on offer vary between Member States, not least because the barriers in the different countries and localities cannot be easily compa</w:t>
      </w:r>
      <w:r w:rsidR="0060746D" w:rsidRPr="00D404B4">
        <w:rPr>
          <w:rFonts w:cstheme="minorHAnsi"/>
        </w:rPr>
        <w:t>red</w:t>
      </w:r>
      <w:r w:rsidR="00803A15" w:rsidRPr="00D404B4">
        <w:rPr>
          <w:rFonts w:cstheme="minorHAnsi"/>
        </w:rPr>
        <w:t xml:space="preserve">, a mutual recognition </w:t>
      </w:r>
      <w:r w:rsidR="0060746D" w:rsidRPr="00D404B4">
        <w:rPr>
          <w:rFonts w:cstheme="minorHAnsi"/>
        </w:rPr>
        <w:t xml:space="preserve">of disability assessment between the EU Member </w:t>
      </w:r>
      <w:r w:rsidR="0060746D" w:rsidRPr="00D404B4">
        <w:rPr>
          <w:rFonts w:cstheme="minorHAnsi"/>
        </w:rPr>
        <w:lastRenderedPageBreak/>
        <w:t xml:space="preserve">States would allow persons with disabilities to access support available in their new country of residence, on the same level as other persons with similar requirements where they live. </w:t>
      </w:r>
      <w:r w:rsidR="00803A15" w:rsidRPr="00D404B4">
        <w:rPr>
          <w:rFonts w:cstheme="minorHAnsi"/>
        </w:rPr>
        <w:t xml:space="preserve"> </w:t>
      </w:r>
    </w:p>
    <w:p w14:paraId="02C1911B" w14:textId="00FF13B5" w:rsidR="00DA5D2F" w:rsidRDefault="002517A0" w:rsidP="00295AA8">
      <w:pPr>
        <w:rPr>
          <w:rFonts w:cstheme="minorHAnsi"/>
        </w:rPr>
      </w:pPr>
      <w:r>
        <w:rPr>
          <w:rFonts w:cstheme="minorHAnsi"/>
        </w:rPr>
        <w:t xml:space="preserve">A first step towards better freedom of movement was achieved with the </w:t>
      </w:r>
      <w:hyperlink r:id="rId97" w:history="1">
        <w:r w:rsidRPr="003B09DC">
          <w:rPr>
            <w:rStyle w:val="Hyperlink"/>
            <w:rFonts w:cstheme="minorHAnsi"/>
          </w:rPr>
          <w:t>proposal for a European Disability Card and a European Parking Card</w:t>
        </w:r>
      </w:hyperlink>
      <w:r w:rsidR="00DE1101">
        <w:rPr>
          <w:rFonts w:cstheme="minorHAnsi"/>
        </w:rPr>
        <w:t>.</w:t>
      </w:r>
      <w:r w:rsidR="005C7DB8">
        <w:rPr>
          <w:rStyle w:val="FootnoteReference"/>
          <w:rFonts w:cstheme="minorHAnsi"/>
        </w:rPr>
        <w:footnoteReference w:id="87"/>
      </w:r>
      <w:r>
        <w:rPr>
          <w:rFonts w:cstheme="minorHAnsi"/>
        </w:rPr>
        <w:t xml:space="preserve"> </w:t>
      </w:r>
      <w:r w:rsidR="00E2090B">
        <w:rPr>
          <w:rFonts w:cstheme="minorHAnsi"/>
        </w:rPr>
        <w:t>Once officially adopted and implemented, it will grant</w:t>
      </w:r>
      <w:r>
        <w:rPr>
          <w:rFonts w:cstheme="minorHAnsi"/>
        </w:rPr>
        <w:t xml:space="preserve"> persons with disabilities the same access to special conditions or preferential treatment as a national with disabilities</w:t>
      </w:r>
      <w:r w:rsidR="00E2090B">
        <w:rPr>
          <w:rFonts w:cstheme="minorHAnsi"/>
        </w:rPr>
        <w:t xml:space="preserve"> when they are visiting another EU Member State. However, it will </w:t>
      </w:r>
      <w:r>
        <w:rPr>
          <w:rFonts w:cstheme="minorHAnsi"/>
        </w:rPr>
        <w:t>still leav</w:t>
      </w:r>
      <w:r w:rsidR="00E2090B">
        <w:rPr>
          <w:rFonts w:cstheme="minorHAnsi"/>
        </w:rPr>
        <w:t>e</w:t>
      </w:r>
      <w:r>
        <w:rPr>
          <w:rFonts w:cstheme="minorHAnsi"/>
        </w:rPr>
        <w:t xml:space="preserve"> each Member State to define the eligibility criteria and their own definition of disability status. While we highly appreciate the efforts of the EU and the Disability Card as well as the European Parking Card are a great achievement for persons with disabilities in the EU, more is needed to really grant freedom of movement to persons with disabilities. </w:t>
      </w:r>
      <w:r w:rsidR="003B09DC">
        <w:rPr>
          <w:rFonts w:cstheme="minorHAnsi"/>
        </w:rPr>
        <w:t xml:space="preserve">This includes the </w:t>
      </w:r>
      <w:r w:rsidR="00CA677A">
        <w:rPr>
          <w:rFonts w:cstheme="minorHAnsi"/>
        </w:rPr>
        <w:t>above-mentioned</w:t>
      </w:r>
      <w:r w:rsidR="003B09DC">
        <w:rPr>
          <w:rFonts w:cstheme="minorHAnsi"/>
        </w:rPr>
        <w:t xml:space="preserve"> need to tackle the recognition of disability assessment procedures and portability of social security benefits, for example.</w:t>
      </w:r>
    </w:p>
    <w:p w14:paraId="07AA7D9E" w14:textId="3510D1E5" w:rsidR="00E2090B" w:rsidRDefault="002517A0" w:rsidP="00295AA8">
      <w:r>
        <w:t xml:space="preserve">Since the Disability Card is only focussing on “short stays” and excludes any social security </w:t>
      </w:r>
      <w:r w:rsidR="00E2090B">
        <w:t xml:space="preserve">or social protection </w:t>
      </w:r>
      <w:r>
        <w:t>related benefits, p</w:t>
      </w:r>
      <w:r w:rsidR="005417B3" w:rsidRPr="00D404B4">
        <w:t xml:space="preserve">ersons with disabilities </w:t>
      </w:r>
      <w:r>
        <w:t xml:space="preserve">still </w:t>
      </w:r>
      <w:r w:rsidR="005417B3" w:rsidRPr="00D404B4">
        <w:t xml:space="preserve">cannot transfer their </w:t>
      </w:r>
      <w:r w:rsidR="00F221A4">
        <w:t xml:space="preserve">disability </w:t>
      </w:r>
      <w:r w:rsidR="00245C2E">
        <w:t>allowance</w:t>
      </w:r>
      <w:r w:rsidR="00F221A4">
        <w:t xml:space="preserve"> </w:t>
      </w:r>
      <w:r w:rsidR="005417B3" w:rsidRPr="00D404B4">
        <w:t xml:space="preserve">from their Member State of origin when they move to a different Member State </w:t>
      </w:r>
      <w:r>
        <w:t xml:space="preserve">– </w:t>
      </w:r>
      <w:r w:rsidR="005417B3" w:rsidRPr="00D404B4">
        <w:t>temporarily</w:t>
      </w:r>
      <w:r>
        <w:t xml:space="preserve"> or permanently</w:t>
      </w:r>
      <w:r w:rsidR="005417B3" w:rsidRPr="00D404B4">
        <w:t xml:space="preserve">. In practice, this </w:t>
      </w:r>
      <w:r w:rsidR="00A04852">
        <w:t>create barriers for</w:t>
      </w:r>
      <w:r w:rsidR="005417B3" w:rsidRPr="00D404B4">
        <w:t xml:space="preserve"> persons with disabilities who hold the citizenship of one of the 27 EU Member States</w:t>
      </w:r>
      <w:r w:rsidR="005F3177">
        <w:t xml:space="preserve"> </w:t>
      </w:r>
      <w:r w:rsidR="00A04852">
        <w:t>to exercise</w:t>
      </w:r>
      <w:r w:rsidR="005417B3" w:rsidRPr="00D404B4">
        <w:t xml:space="preserve"> the</w:t>
      </w:r>
      <w:r w:rsidR="00A04852">
        <w:t>ir</w:t>
      </w:r>
      <w:r w:rsidR="005417B3" w:rsidRPr="00D404B4">
        <w:t xml:space="preserve"> right to live and work throughout the EU. </w:t>
      </w:r>
    </w:p>
    <w:p w14:paraId="73A1B024" w14:textId="7550F342" w:rsidR="005417B3" w:rsidRPr="00D404B4" w:rsidRDefault="005417B3" w:rsidP="00295AA8">
      <w:r w:rsidRPr="00D404B4">
        <w:t>Even when they move to a different Member State permanently, they often have difficulties in getting their disability status recognised and face additional bureaucratic burdens</w:t>
      </w:r>
      <w:r w:rsidR="00360879">
        <w:t>, including requirements by certain Member States to have been a residen</w:t>
      </w:r>
      <w:r w:rsidR="00E2090B">
        <w:t>t</w:t>
      </w:r>
      <w:r w:rsidR="00360879">
        <w:t xml:space="preserve"> there for a certain number of years before being entitled to support</w:t>
      </w:r>
      <w:r w:rsidRPr="00D404B4">
        <w:t>.</w:t>
      </w:r>
      <w:r w:rsidR="00B16D27" w:rsidRPr="00D404B4">
        <w:t xml:space="preserve"> This situation is also true for families of persons with disabilities </w:t>
      </w:r>
      <w:r w:rsidR="007940AB" w:rsidRPr="00D404B4">
        <w:t xml:space="preserve">who </w:t>
      </w:r>
      <w:r w:rsidR="00B16D27" w:rsidRPr="00D404B4">
        <w:t xml:space="preserve">are </w:t>
      </w:r>
      <w:r w:rsidR="00CD40FF">
        <w:t>equally</w:t>
      </w:r>
      <w:r w:rsidR="00B16D27" w:rsidRPr="00D404B4">
        <w:t xml:space="preserve"> facing barriers concerning the support they and their relative</w:t>
      </w:r>
      <w:r w:rsidR="007940AB" w:rsidRPr="00D404B4">
        <w:t>s</w:t>
      </w:r>
      <w:r w:rsidR="00B16D27" w:rsidRPr="00D404B4">
        <w:t xml:space="preserve"> receive.</w:t>
      </w:r>
      <w:r w:rsidR="00E2090B">
        <w:t xml:space="preserve"> On top of this, persons with disabilities who are then returning to their Member State of origin, sometimes have to have their disability re-assessed again, with all the above-mentioned problems and risks.</w:t>
      </w:r>
      <w:r w:rsidR="00592C7A">
        <w:rPr>
          <w:rStyle w:val="FootnoteReference"/>
        </w:rPr>
        <w:footnoteReference w:id="88"/>
      </w:r>
      <w:r w:rsidR="00E2090B">
        <w:t xml:space="preserve"> </w:t>
      </w:r>
    </w:p>
    <w:p w14:paraId="3F223B70" w14:textId="5A19C32D" w:rsidR="002C3FFC" w:rsidRPr="00D404B4" w:rsidRDefault="00D02D8F" w:rsidP="00295AA8">
      <w:pPr>
        <w:rPr>
          <w:rFonts w:cstheme="minorHAnsi"/>
        </w:rPr>
      </w:pPr>
      <w:r>
        <w:rPr>
          <w:rFonts w:cstheme="minorHAnsi"/>
          <w:b/>
        </w:rPr>
        <w:t>We call for</w:t>
      </w:r>
      <w:r w:rsidR="002C3FFC" w:rsidRPr="00D404B4">
        <w:rPr>
          <w:rFonts w:cstheme="minorHAnsi"/>
        </w:rPr>
        <w:t xml:space="preserve">: </w:t>
      </w:r>
    </w:p>
    <w:p w14:paraId="4F347CA1" w14:textId="6AAAD5FC" w:rsidR="00360879" w:rsidRDefault="00D02D8F" w:rsidP="00D02D8F">
      <w:pPr>
        <w:pStyle w:val="ListParagraph"/>
        <w:numPr>
          <w:ilvl w:val="0"/>
          <w:numId w:val="11"/>
        </w:numPr>
      </w:pPr>
      <w:r>
        <w:t>The proposal and adoption of</w:t>
      </w:r>
      <w:r w:rsidR="00360879">
        <w:t xml:space="preserve"> an EU Directive on freedom of movement of persons with disabilities that outlines the shared responsibility of Member States for disability support towards EU citizens moving from one Member State to another. This law should</w:t>
      </w:r>
      <w:r w:rsidR="00DE3525">
        <w:t xml:space="preserve"> i</w:t>
      </w:r>
      <w:r w:rsidR="00360879">
        <w:t>mprove coordination between, or even harmonise, the disability assessment procedures in the different EU Member States to allow for mutual recognition of disability status between EU Member States and/or ensure that persons with disabilities can access essential services and support when moving abroad within the EU</w:t>
      </w:r>
      <w:r w:rsidR="00DE3525">
        <w:t>.</w:t>
      </w:r>
    </w:p>
    <w:p w14:paraId="6EB2DCE7" w14:textId="7CEA0B4D" w:rsidR="00BD6285" w:rsidRPr="00C20C7F" w:rsidRDefault="00BD6285" w:rsidP="00295AA8">
      <w:pPr>
        <w:pStyle w:val="Heading2"/>
        <w:rPr>
          <w:lang w:val="en-GB"/>
        </w:rPr>
      </w:pPr>
      <w:bookmarkStart w:id="46" w:name="_Toc179386650"/>
      <w:r w:rsidRPr="00C20C7F">
        <w:rPr>
          <w:lang w:val="en-GB"/>
        </w:rPr>
        <w:lastRenderedPageBreak/>
        <w:t xml:space="preserve">Article 19: </w:t>
      </w:r>
      <w:r w:rsidR="005F42D2" w:rsidRPr="00C20C7F">
        <w:rPr>
          <w:lang w:val="en-GB"/>
        </w:rPr>
        <w:t>L</w:t>
      </w:r>
      <w:r w:rsidR="009741FF" w:rsidRPr="00C20C7F">
        <w:rPr>
          <w:lang w:val="en-GB"/>
        </w:rPr>
        <w:t>iving independently and being included in the community</w:t>
      </w:r>
      <w:bookmarkEnd w:id="46"/>
    </w:p>
    <w:p w14:paraId="5877B0E4" w14:textId="76BA45A4" w:rsidR="0066558A" w:rsidRDefault="00DA5D2F" w:rsidP="00295AA8">
      <w:r w:rsidRPr="00C20C7F">
        <w:t>Over 1 million persons with</w:t>
      </w:r>
      <w:r w:rsidRPr="00D404B4">
        <w:t xml:space="preserve"> disabilities in the EU still live in institutional settings</w:t>
      </w:r>
      <w:r w:rsidR="0084581E" w:rsidRPr="00D404B4">
        <w:rPr>
          <w:rStyle w:val="FootnoteReference"/>
        </w:rPr>
        <w:footnoteReference w:id="89"/>
      </w:r>
      <w:r w:rsidRPr="00D404B4">
        <w:t xml:space="preserve"> </w:t>
      </w:r>
      <w:r w:rsidR="00C92E7B">
        <w:t>Although the exact number remains unknown</w:t>
      </w:r>
      <w:r w:rsidR="00B922E7">
        <w:t>.</w:t>
      </w:r>
      <w:r w:rsidR="00C92E7B">
        <w:rPr>
          <w:rStyle w:val="FootnoteReference"/>
        </w:rPr>
        <w:footnoteReference w:id="90"/>
      </w:r>
      <w:r w:rsidR="00C92E7B">
        <w:t xml:space="preserve"> </w:t>
      </w:r>
      <w:r w:rsidR="00002945" w:rsidRPr="00D404B4">
        <w:t xml:space="preserve">In many cases, they live far away from their family and place of origin. </w:t>
      </w:r>
    </w:p>
    <w:p w14:paraId="56294442" w14:textId="77DE87CE" w:rsidR="00DA5D2F" w:rsidRPr="005151B0" w:rsidRDefault="00DA5D2F" w:rsidP="00295AA8">
      <w:pPr>
        <w:rPr>
          <w:rFonts w:cs="Arial"/>
          <w:szCs w:val="24"/>
        </w:rPr>
      </w:pPr>
      <w:r w:rsidRPr="00D404B4">
        <w:t xml:space="preserve">While it is theoretically forbidden for EU funds to be invested in institutional care settings, there have been numerous </w:t>
      </w:r>
      <w:hyperlink r:id="rId98" w:history="1">
        <w:r w:rsidRPr="005F3869">
          <w:rPr>
            <w:rStyle w:val="Hyperlink"/>
          </w:rPr>
          <w:t>complaints of EU money being used to refurbish existing institutions or to replace them with other alternatives that reproduce institutional settings</w:t>
        </w:r>
      </w:hyperlink>
      <w:r w:rsidR="001255DD" w:rsidRPr="00D404B4">
        <w:t xml:space="preserve">. We see such structures being supported with EU funds, denying persons with disabilities of their </w:t>
      </w:r>
      <w:r w:rsidR="001255DD" w:rsidRPr="00AE02F3">
        <w:t xml:space="preserve">choice </w:t>
      </w:r>
      <w:r w:rsidR="00FC7357" w:rsidRPr="00AE02F3">
        <w:t>on</w:t>
      </w:r>
      <w:r w:rsidR="001255DD" w:rsidRPr="00AE02F3">
        <w:t xml:space="preserve"> how to live</w:t>
      </w:r>
      <w:r w:rsidRPr="00AE02F3">
        <w:t xml:space="preserve">. </w:t>
      </w:r>
      <w:r w:rsidR="005151B0" w:rsidRPr="005D69A2">
        <w:rPr>
          <w:rFonts w:cs="Arial"/>
          <w:szCs w:val="24"/>
        </w:rPr>
        <w:t xml:space="preserve">The persistence of EU funding going towards institutional care settings was criticised in the </w:t>
      </w:r>
      <w:hyperlink r:id="rId99" w:history="1">
        <w:r w:rsidR="005151B0" w:rsidRPr="005D69A2">
          <w:rPr>
            <w:rStyle w:val="Hyperlink"/>
            <w:rFonts w:cs="Arial"/>
            <w:szCs w:val="24"/>
          </w:rPr>
          <w:t>report</w:t>
        </w:r>
        <w:r w:rsidR="005151B0">
          <w:rPr>
            <w:rStyle w:val="Hyperlink"/>
            <w:rFonts w:cs="Arial"/>
            <w:szCs w:val="24"/>
          </w:rPr>
          <w:t xml:space="preserve"> from February 2023</w:t>
        </w:r>
        <w:r w:rsidR="005151B0" w:rsidRPr="005D69A2">
          <w:rPr>
            <w:rStyle w:val="Hyperlink"/>
            <w:rFonts w:cs="Arial"/>
            <w:szCs w:val="24"/>
          </w:rPr>
          <w:t xml:space="preserve"> by the UN Special Rapporteur on the Rights of Persons with Disabilities on his visit to the European Union</w:t>
        </w:r>
      </w:hyperlink>
      <w:r w:rsidR="005151B0" w:rsidRPr="005D69A2">
        <w:rPr>
          <w:rFonts w:cs="Arial"/>
          <w:szCs w:val="24"/>
        </w:rPr>
        <w:t>.</w:t>
      </w:r>
      <w:r w:rsidR="005151B0">
        <w:rPr>
          <w:rFonts w:cs="Arial"/>
          <w:szCs w:val="24"/>
        </w:rPr>
        <w:t xml:space="preserve"> </w:t>
      </w:r>
      <w:r w:rsidRPr="00AE02F3">
        <w:t>A</w:t>
      </w:r>
      <w:r w:rsidRPr="00AE02F3">
        <w:rPr>
          <w:rFonts w:cs="Arial"/>
        </w:rPr>
        <w:t xml:space="preserve">lleged human rights abuses in a social care </w:t>
      </w:r>
      <w:r w:rsidRPr="00D404B4">
        <w:rPr>
          <w:rFonts w:cs="Arial"/>
        </w:rPr>
        <w:t>institution for persons with disabilities, which had received funding from the European Structural and Investment Funds, w</w:t>
      </w:r>
      <w:r w:rsidR="00CF1E85" w:rsidRPr="00D404B4">
        <w:rPr>
          <w:rFonts w:cs="Arial"/>
        </w:rPr>
        <w:t>ere</w:t>
      </w:r>
      <w:r w:rsidRPr="00D404B4">
        <w:rPr>
          <w:rFonts w:cs="Arial"/>
        </w:rPr>
        <w:t xml:space="preserve"> </w:t>
      </w:r>
      <w:r w:rsidR="005151B0">
        <w:rPr>
          <w:rFonts w:cs="Arial"/>
        </w:rPr>
        <w:t xml:space="preserve">also </w:t>
      </w:r>
      <w:r w:rsidRPr="00D404B4">
        <w:rPr>
          <w:rFonts w:cs="Arial"/>
        </w:rPr>
        <w:t xml:space="preserve">the basis of a complaint to, and eventual </w:t>
      </w:r>
      <w:hyperlink r:id="rId100" w:history="1">
        <w:r w:rsidRPr="00D404B4">
          <w:rPr>
            <w:rStyle w:val="Hyperlink"/>
            <w:rFonts w:cs="Arial"/>
          </w:rPr>
          <w:t>decision by the European Ombudsman in 2019</w:t>
        </w:r>
      </w:hyperlink>
      <w:r w:rsidRPr="00D404B4">
        <w:rPr>
          <w:rFonts w:cs="Arial"/>
        </w:rPr>
        <w:t>.</w:t>
      </w:r>
    </w:p>
    <w:p w14:paraId="39EB8E79" w14:textId="5AC7994D" w:rsidR="00F5499A" w:rsidRPr="00D404B4" w:rsidRDefault="00F5499A" w:rsidP="00295AA8">
      <w:pPr>
        <w:rPr>
          <w:rFonts w:cs="Arial"/>
        </w:rPr>
      </w:pPr>
      <w:r w:rsidRPr="00D404B4">
        <w:rPr>
          <w:rFonts w:cs="Arial"/>
        </w:rPr>
        <w:t xml:space="preserve">To guide </w:t>
      </w:r>
      <w:r w:rsidR="000564AD">
        <w:rPr>
          <w:rFonts w:cs="Arial"/>
        </w:rPr>
        <w:t>m</w:t>
      </w:r>
      <w:r w:rsidRPr="00D404B4">
        <w:rPr>
          <w:rFonts w:cs="Arial"/>
        </w:rPr>
        <w:t xml:space="preserve">ember states' efforts of deinstitutionalisation and to strengthen the monitoring of the use of the European Structural &amp; Investment Funds with the meaningful engagement of representative organisations of persons with disabilities, the EU developed a guide for Member States, as part of the last Multiannual Financial </w:t>
      </w:r>
      <w:r w:rsidRPr="00AE02F3">
        <w:rPr>
          <w:rFonts w:cs="Arial"/>
        </w:rPr>
        <w:t>Framework, on</w:t>
      </w:r>
      <w:r w:rsidR="00FC7357" w:rsidRPr="00AE02F3">
        <w:rPr>
          <w:rFonts w:cs="Arial"/>
        </w:rPr>
        <w:t xml:space="preserve"> the</w:t>
      </w:r>
      <w:r w:rsidRPr="00AE02F3">
        <w:rPr>
          <w:rFonts w:cs="Arial"/>
        </w:rPr>
        <w:t xml:space="preserve"> involvement of partners such as NGOs in the governance process for the use of funds. </w:t>
      </w:r>
      <w:r w:rsidR="00581377" w:rsidRPr="00AE02F3">
        <w:rPr>
          <w:rFonts w:cs="Arial"/>
        </w:rPr>
        <w:t>K</w:t>
      </w:r>
      <w:r w:rsidRPr="00AE02F3">
        <w:rPr>
          <w:rFonts w:cs="Arial"/>
        </w:rPr>
        <w:t xml:space="preserve">nown as </w:t>
      </w:r>
      <w:r w:rsidRPr="00D404B4">
        <w:rPr>
          <w:rFonts w:cs="Arial"/>
        </w:rPr>
        <w:t xml:space="preserve">the </w:t>
      </w:r>
      <w:hyperlink r:id="rId101" w:history="1">
        <w:r w:rsidRPr="00D404B4">
          <w:rPr>
            <w:rStyle w:val="Hyperlink"/>
            <w:rFonts w:cs="Arial"/>
          </w:rPr>
          <w:t>European Code of Conduct on Partnership</w:t>
        </w:r>
      </w:hyperlink>
      <w:r w:rsidR="00581377" w:rsidRPr="006B4F90">
        <w:rPr>
          <w:rStyle w:val="Hyperlink"/>
          <w:rFonts w:cs="Arial"/>
          <w:color w:val="auto"/>
          <w:u w:val="none"/>
        </w:rPr>
        <w:t>, it</w:t>
      </w:r>
      <w:r w:rsidRPr="005151B0">
        <w:rPr>
          <w:rFonts w:cs="Arial"/>
        </w:rPr>
        <w:t xml:space="preserve"> </w:t>
      </w:r>
      <w:r w:rsidRPr="00D404B4">
        <w:rPr>
          <w:rFonts w:cs="Arial"/>
        </w:rPr>
        <w:t xml:space="preserve">is legally binding and requires </w:t>
      </w:r>
      <w:r w:rsidR="00385724" w:rsidRPr="00D404B4">
        <w:rPr>
          <w:rFonts w:cs="Arial"/>
        </w:rPr>
        <w:t xml:space="preserve">Member States </w:t>
      </w:r>
      <w:r w:rsidRPr="00D404B4">
        <w:rPr>
          <w:rFonts w:cs="Arial"/>
        </w:rPr>
        <w:t>to be transparent in the selection of partners, provide sufficient information to partners and give them sufficient time to make their voice heard in the consultation process, ensure that partners are involved in all stages of the process, from planning to evaluation, support capacity</w:t>
      </w:r>
      <w:r w:rsidR="004B6185">
        <w:rPr>
          <w:rFonts w:cs="Arial"/>
        </w:rPr>
        <w:t>-</w:t>
      </w:r>
      <w:r w:rsidRPr="00D404B4">
        <w:rPr>
          <w:rFonts w:cs="Arial"/>
        </w:rPr>
        <w:t>building of partners and create platforms for mutual learning and exchange of good practice.</w:t>
      </w:r>
      <w:r w:rsidR="00CD40FF">
        <w:rPr>
          <w:rFonts w:cs="Arial"/>
        </w:rPr>
        <w:t xml:space="preserve"> As of 2021 this Code of Conduct was reinforced to allow</w:t>
      </w:r>
      <w:r w:rsidR="00CD40FF" w:rsidRPr="00CD40FF">
        <w:rPr>
          <w:rFonts w:cs="Arial"/>
        </w:rPr>
        <w:t xml:space="preserve"> the possibility to allocate an appropriate percentage of resources coming from the Funds for the administrative capacity building of social partners and civil society organisations</w:t>
      </w:r>
    </w:p>
    <w:p w14:paraId="2B23A52B" w14:textId="0E8517FA" w:rsidR="000B4993" w:rsidRPr="00D404B4" w:rsidRDefault="001B392A" w:rsidP="00295AA8">
      <w:pPr>
        <w:rPr>
          <w:rFonts w:cs="Arial"/>
        </w:rPr>
      </w:pPr>
      <w:r w:rsidRPr="00D404B4">
        <w:rPr>
          <w:rFonts w:cs="Arial"/>
        </w:rPr>
        <w:t xml:space="preserve">As of 2021 the EU has new Regulations to guide the use of EU funds that benefit persons with disabilities, such as the </w:t>
      </w:r>
      <w:hyperlink r:id="rId102" w:history="1">
        <w:r w:rsidRPr="00D404B4">
          <w:rPr>
            <w:rStyle w:val="Hyperlink"/>
            <w:rFonts w:cs="Arial"/>
          </w:rPr>
          <w:t>European Social Fund Plus</w:t>
        </w:r>
      </w:hyperlink>
      <w:r w:rsidR="00B4094D" w:rsidRPr="00D404B4">
        <w:rPr>
          <w:rFonts w:cs="Arial"/>
        </w:rPr>
        <w:t xml:space="preserve"> (which invests in social inclusion of marginalised groups)</w:t>
      </w:r>
      <w:r w:rsidRPr="00D404B4">
        <w:rPr>
          <w:rFonts w:cs="Arial"/>
        </w:rPr>
        <w:t xml:space="preserve"> and the </w:t>
      </w:r>
      <w:hyperlink r:id="rId103" w:history="1">
        <w:r w:rsidRPr="00D404B4">
          <w:rPr>
            <w:rStyle w:val="Hyperlink"/>
            <w:rFonts w:cs="Arial"/>
          </w:rPr>
          <w:t>Regional Development Funds</w:t>
        </w:r>
      </w:hyperlink>
      <w:r w:rsidR="00B4094D" w:rsidRPr="00D404B4">
        <w:rPr>
          <w:rFonts w:cs="Arial"/>
        </w:rPr>
        <w:t xml:space="preserve"> (which helps develop infrastructure and services)</w:t>
      </w:r>
      <w:r w:rsidR="004F307A" w:rsidRPr="00D404B4">
        <w:rPr>
          <w:rFonts w:cs="Arial"/>
        </w:rPr>
        <w:t xml:space="preserve"> and the </w:t>
      </w:r>
      <w:hyperlink r:id="rId104" w:history="1">
        <w:r w:rsidR="004F307A" w:rsidRPr="00D404B4">
          <w:rPr>
            <w:rStyle w:val="Hyperlink"/>
            <w:rFonts w:cs="Arial"/>
          </w:rPr>
          <w:t>Common Provisions Regulation</w:t>
        </w:r>
      </w:hyperlink>
      <w:r w:rsidR="004F307A" w:rsidRPr="00D404B4">
        <w:rPr>
          <w:rFonts w:cs="Arial"/>
        </w:rPr>
        <w:t xml:space="preserve"> (which outlines rules for the use of the two funds mentioned above and a number of others)</w:t>
      </w:r>
      <w:r w:rsidRPr="00D404B4">
        <w:rPr>
          <w:rFonts w:cs="Arial"/>
        </w:rPr>
        <w:t xml:space="preserve">. </w:t>
      </w:r>
      <w:r w:rsidR="005151B0">
        <w:rPr>
          <w:rFonts w:cs="Arial"/>
        </w:rPr>
        <w:t>These regulations are valid until the end of 2027 when they will be replaced by ne</w:t>
      </w:r>
      <w:r w:rsidR="002020FB">
        <w:rPr>
          <w:rFonts w:cs="Arial"/>
        </w:rPr>
        <w:t>w</w:t>
      </w:r>
      <w:r w:rsidR="005151B0">
        <w:rPr>
          <w:rFonts w:cs="Arial"/>
        </w:rPr>
        <w:t xml:space="preserve"> funding regulations which are currently being developed for the period 2028-2034. </w:t>
      </w:r>
      <w:r w:rsidRPr="00D404B4">
        <w:rPr>
          <w:rFonts w:cs="Arial"/>
        </w:rPr>
        <w:t>Th</w:t>
      </w:r>
      <w:r w:rsidR="00B4094D" w:rsidRPr="00D404B4">
        <w:rPr>
          <w:rFonts w:cs="Arial"/>
        </w:rPr>
        <w:t xml:space="preserve">e guiding Regulations refer to </w:t>
      </w:r>
      <w:r w:rsidR="00B4094D" w:rsidRPr="00AE02F3">
        <w:rPr>
          <w:rFonts w:cs="Arial"/>
        </w:rPr>
        <w:t xml:space="preserve">the need for Member States to have a strategy for the implementation of the CRPD to make use of these funds, and to prioritise investment in the transition from institutional to community-based care and services. </w:t>
      </w:r>
      <w:r w:rsidR="007512A4" w:rsidRPr="00AE02F3">
        <w:rPr>
          <w:rFonts w:cs="Arial"/>
        </w:rPr>
        <w:t>However,</w:t>
      </w:r>
      <w:r w:rsidR="00B4094D" w:rsidRPr="00AE02F3">
        <w:rPr>
          <w:rFonts w:cs="Arial"/>
        </w:rPr>
        <w:t xml:space="preserve"> the implementation of the Regulation is still not </w:t>
      </w:r>
      <w:r w:rsidR="002020FB" w:rsidRPr="00AE02F3">
        <w:rPr>
          <w:rFonts w:cs="Arial"/>
        </w:rPr>
        <w:t>guaranteed,</w:t>
      </w:r>
      <w:r w:rsidR="00B4094D" w:rsidRPr="00AE02F3">
        <w:rPr>
          <w:rFonts w:cs="Arial"/>
        </w:rPr>
        <w:t xml:space="preserve"> and we risk seeing continued misuse of funds, particularly when it comes to </w:t>
      </w:r>
      <w:r w:rsidR="00B4094D" w:rsidRPr="00AE02F3">
        <w:rPr>
          <w:rFonts w:cs="Arial"/>
        </w:rPr>
        <w:lastRenderedPageBreak/>
        <w:t>investment in institutions.</w:t>
      </w:r>
      <w:r w:rsidR="00C82DCD" w:rsidRPr="00AE02F3">
        <w:rPr>
          <w:rFonts w:cs="Arial"/>
        </w:rPr>
        <w:t xml:space="preserve"> Most commonly we see funds being used to refurbish existing institutions under the guise </w:t>
      </w:r>
      <w:r w:rsidR="00C82DCD" w:rsidRPr="00D404B4">
        <w:rPr>
          <w:rFonts w:cs="Arial"/>
        </w:rPr>
        <w:t xml:space="preserve">of investments for improving energy efficiency. In other </w:t>
      </w:r>
      <w:r w:rsidR="004E2E7B" w:rsidRPr="00D404B4">
        <w:rPr>
          <w:rFonts w:cs="Arial"/>
        </w:rPr>
        <w:t>cases,</w:t>
      </w:r>
      <w:r w:rsidR="00C82DCD" w:rsidRPr="00D404B4">
        <w:rPr>
          <w:rFonts w:cs="Arial"/>
        </w:rPr>
        <w:t xml:space="preserve"> we see entirely new institutions being built using EU funds because of lack of understanding by National Managing Authorities of what institutions are, and what types of community-based services they should be investing in.</w:t>
      </w:r>
      <w:r w:rsidR="00B4094D" w:rsidRPr="00D404B4">
        <w:rPr>
          <w:rFonts w:cs="Arial"/>
        </w:rPr>
        <w:t xml:space="preserve"> </w:t>
      </w:r>
    </w:p>
    <w:p w14:paraId="7CA49200" w14:textId="5C9D8234" w:rsidR="001B392A" w:rsidRPr="00D404B4" w:rsidRDefault="00B4094D" w:rsidP="00295AA8">
      <w:pPr>
        <w:rPr>
          <w:rFonts w:cs="Arial"/>
        </w:rPr>
      </w:pPr>
      <w:r w:rsidRPr="00D404B4">
        <w:rPr>
          <w:rFonts w:cs="Arial"/>
        </w:rPr>
        <w:t>More worrying still is that the EU created another funding mechanism in the wake of the COVID-19 crisis called the “</w:t>
      </w:r>
      <w:hyperlink r:id="rId105" w:history="1">
        <w:r w:rsidRPr="00D404B4">
          <w:rPr>
            <w:rStyle w:val="Hyperlink"/>
            <w:rFonts w:cs="Arial"/>
          </w:rPr>
          <w:t>Recovery and Resilience Facility</w:t>
        </w:r>
      </w:hyperlink>
      <w:r w:rsidRPr="00D404B4">
        <w:rPr>
          <w:rFonts w:cs="Arial"/>
        </w:rPr>
        <w:t>”. It is a €723.8 billion fund to boost recovery from the pandemic. The speed at which the Recovery and Resilience Facility was adopted and the Member States’ plans for spending it were developed resulted in insufficient or non-existent consultation of disability organisations. Furthermore, this money d</w:t>
      </w:r>
      <w:r w:rsidR="00C92E7B">
        <w:rPr>
          <w:rFonts w:cs="Arial"/>
        </w:rPr>
        <w:t>id</w:t>
      </w:r>
      <w:r w:rsidRPr="00D404B4">
        <w:rPr>
          <w:rFonts w:cs="Arial"/>
        </w:rPr>
        <w:t xml:space="preserve"> not need to adhere to the same strict rules as other EU funding, making the risk that it could be invested in institutional care for persons with disabilities even greater. </w:t>
      </w:r>
    </w:p>
    <w:p w14:paraId="166F5769" w14:textId="7C6D9E02" w:rsidR="005151B0" w:rsidRDefault="005151B0" w:rsidP="00295AA8">
      <w:pPr>
        <w:rPr>
          <w:rFonts w:cs="Arial"/>
        </w:rPr>
      </w:pPr>
      <w:r>
        <w:rPr>
          <w:rFonts w:cs="Arial"/>
        </w:rPr>
        <w:t>As part of the EU Strategy on the Rights of Persons with Disabilities 2021-2030 the European Commission is developing a Guidance on Independent Living and Inclusion in the Community, for the Member States. The guidance should be released in the autumn of 2024 and clarify to Member States how to use EU funds in line with the CRPD’s article 19 and General Comment 5.</w:t>
      </w:r>
    </w:p>
    <w:p w14:paraId="4EF0FA0E" w14:textId="7F8C3BE4" w:rsidR="00F5499A" w:rsidRDefault="00F5499A" w:rsidP="00295AA8">
      <w:pPr>
        <w:rPr>
          <w:rFonts w:cs="Arial"/>
        </w:rPr>
      </w:pPr>
      <w:r w:rsidRPr="00D404B4">
        <w:rPr>
          <w:rFonts w:cs="Arial"/>
        </w:rPr>
        <w:t xml:space="preserve">The European Commission has </w:t>
      </w:r>
      <w:r w:rsidR="005151B0">
        <w:rPr>
          <w:rFonts w:cs="Arial"/>
        </w:rPr>
        <w:t xml:space="preserve">also </w:t>
      </w:r>
      <w:r w:rsidRPr="00D404B4">
        <w:rPr>
          <w:rFonts w:cs="Arial"/>
        </w:rPr>
        <w:t xml:space="preserve">financially supported the activity of the </w:t>
      </w:r>
      <w:hyperlink r:id="rId106" w:history="1">
        <w:r w:rsidRPr="00D404B4">
          <w:rPr>
            <w:rStyle w:val="Hyperlink"/>
            <w:rFonts w:cs="Arial"/>
          </w:rPr>
          <w:t>European Expert Group on the Transition from Institutional to Community-Based Care</w:t>
        </w:r>
      </w:hyperlink>
      <w:r w:rsidRPr="00D404B4">
        <w:rPr>
          <w:rFonts w:cs="Arial"/>
        </w:rPr>
        <w:t xml:space="preserve"> which, as part of its operations, has created a </w:t>
      </w:r>
      <w:hyperlink r:id="rId107" w:history="1">
        <w:r w:rsidRPr="00D404B4">
          <w:rPr>
            <w:rStyle w:val="Hyperlink"/>
            <w:rFonts w:cs="Arial"/>
          </w:rPr>
          <w:t>checklist</w:t>
        </w:r>
      </w:hyperlink>
      <w:r w:rsidRPr="00D404B4">
        <w:rPr>
          <w:rFonts w:cs="Arial"/>
        </w:rPr>
        <w:t xml:space="preserve"> for the national authorities in each Member State on how to ensure EU funds do not go towards financing or maintaining institutional care. This is however not an official EU document and carries no legal obligation.</w:t>
      </w:r>
    </w:p>
    <w:p w14:paraId="6CF9BE8B" w14:textId="26620A53" w:rsidR="00DA67B5" w:rsidRPr="00D404B4" w:rsidRDefault="00DA67B5" w:rsidP="00295AA8">
      <w:pPr>
        <w:rPr>
          <w:rFonts w:cs="Arial"/>
        </w:rPr>
      </w:pPr>
      <w:r>
        <w:rPr>
          <w:rFonts w:cs="Arial"/>
        </w:rPr>
        <w:t>Upon her re</w:t>
      </w:r>
      <w:r w:rsidR="00DE3525">
        <w:rPr>
          <w:rFonts w:cs="Arial"/>
        </w:rPr>
        <w:t>-</w:t>
      </w:r>
      <w:r>
        <w:rPr>
          <w:rFonts w:cs="Arial"/>
        </w:rPr>
        <w:t>election in July 2024, Commission President Ursula Von Der Leyen committed to increasing the EU’s focus on providing affordable housing</w:t>
      </w:r>
      <w:r w:rsidR="006166AF">
        <w:rPr>
          <w:rFonts w:cs="Arial"/>
        </w:rPr>
        <w:t>.</w:t>
      </w:r>
      <w:r w:rsidR="00F1485C">
        <w:rPr>
          <w:rStyle w:val="FootnoteReference"/>
          <w:rFonts w:cs="Arial"/>
        </w:rPr>
        <w:footnoteReference w:id="91"/>
      </w:r>
      <w:r>
        <w:rPr>
          <w:rFonts w:cs="Arial"/>
        </w:rPr>
        <w:t xml:space="preserve"> No mention was made, however, of the accessibility of this affordable housing for persons with disabilities</w:t>
      </w:r>
      <w:r w:rsidR="002C3E57">
        <w:rPr>
          <w:rFonts w:cs="Arial"/>
        </w:rPr>
        <w:t xml:space="preserve"> and older people</w:t>
      </w:r>
      <w:r w:rsidR="00B27A05">
        <w:rPr>
          <w:rFonts w:cs="Arial"/>
        </w:rPr>
        <w:t xml:space="preserve">. This is </w:t>
      </w:r>
      <w:r>
        <w:rPr>
          <w:rFonts w:cs="Arial"/>
        </w:rPr>
        <w:t xml:space="preserve">an issue that is becoming increasingly </w:t>
      </w:r>
      <w:r w:rsidR="00B27A05">
        <w:rPr>
          <w:rFonts w:cs="Arial"/>
        </w:rPr>
        <w:t xml:space="preserve">pressing for persons with disabilities in the EU. </w:t>
      </w:r>
      <w:r w:rsidR="00B27A05" w:rsidRPr="006B4F90">
        <w:rPr>
          <w:rFonts w:cs="Arial"/>
        </w:rPr>
        <w:t>Housing costs overburden 11.1% of persons with disabilities in the EU</w:t>
      </w:r>
      <w:r w:rsidR="00B27A05" w:rsidRPr="00B27A05">
        <w:rPr>
          <w:rFonts w:cs="Arial"/>
        </w:rPr>
        <w:t>. This has increased from 8.5% in 2021 and remains far above the rate of 8.3% for persons without disabilities</w:t>
      </w:r>
      <w:r w:rsidR="006B4F90">
        <w:rPr>
          <w:rFonts w:cs="Arial"/>
        </w:rPr>
        <w:t>.</w:t>
      </w:r>
      <w:r w:rsidR="00B27A05" w:rsidRPr="00B27A05">
        <w:rPr>
          <w:rFonts w:cs="Arial"/>
          <w:vertAlign w:val="superscript"/>
        </w:rPr>
        <w:footnoteReference w:id="92"/>
      </w:r>
    </w:p>
    <w:p w14:paraId="374F21DC" w14:textId="3653DA6E" w:rsidR="003B54D3" w:rsidRDefault="006B4F90" w:rsidP="00295AA8">
      <w:r>
        <w:rPr>
          <w:b/>
        </w:rPr>
        <w:t xml:space="preserve">We call for: </w:t>
      </w:r>
    </w:p>
    <w:p w14:paraId="02EF3D84" w14:textId="2900507F" w:rsidR="00DA67B5" w:rsidRDefault="00DA67B5" w:rsidP="002C59D1">
      <w:pPr>
        <w:pStyle w:val="ListParagraph"/>
        <w:numPr>
          <w:ilvl w:val="0"/>
          <w:numId w:val="39"/>
        </w:numPr>
      </w:pPr>
      <w:r>
        <w:t>Make investment in accessible and affordable housing a priority in the EU’s next multiannual Financial Framework</w:t>
      </w:r>
      <w:r w:rsidR="00B27A05">
        <w:t>, with a particular focus on ensuring accessibility for persons with disabilities and older people.</w:t>
      </w:r>
    </w:p>
    <w:p w14:paraId="7B5BEDC6" w14:textId="77777777" w:rsidR="006166AF" w:rsidRDefault="00DA67B5" w:rsidP="002C59D1">
      <w:pPr>
        <w:pStyle w:val="ListParagraph"/>
        <w:numPr>
          <w:ilvl w:val="0"/>
          <w:numId w:val="39"/>
        </w:numPr>
      </w:pPr>
      <w:r>
        <w:t>Set up an EU strategy on the transition from institutions to independent living and inclusion in the community.</w:t>
      </w:r>
    </w:p>
    <w:p w14:paraId="1C224F2C" w14:textId="50281F8A" w:rsidR="002C59D1" w:rsidRPr="00C20C7F" w:rsidRDefault="006166AF" w:rsidP="00295AA8">
      <w:pPr>
        <w:pStyle w:val="ListParagraph"/>
        <w:numPr>
          <w:ilvl w:val="0"/>
          <w:numId w:val="39"/>
        </w:numPr>
      </w:pPr>
      <w:r>
        <w:t xml:space="preserve">The EU to ensure detailed and regular data collection, disaggregated by type of disability, on people living in institutions across the EU. Use this data to monitor progress in the transition from institutions to community-based living and accompany </w:t>
      </w:r>
      <w:r>
        <w:lastRenderedPageBreak/>
        <w:t xml:space="preserve">them with time-bound objectives for the number of people supported in leaving </w:t>
      </w:r>
      <w:r w:rsidRPr="00C20C7F">
        <w:t xml:space="preserve">institutions. </w:t>
      </w:r>
    </w:p>
    <w:p w14:paraId="3EBAADF3" w14:textId="5011D413" w:rsidR="00110800" w:rsidRPr="00C20C7F" w:rsidRDefault="00110800" w:rsidP="00295AA8">
      <w:pPr>
        <w:pStyle w:val="Heading2"/>
        <w:rPr>
          <w:color w:val="auto"/>
          <w:lang w:val="en-GB"/>
        </w:rPr>
      </w:pPr>
      <w:bookmarkStart w:id="47" w:name="_Toc179386651"/>
      <w:r w:rsidRPr="00C20C7F">
        <w:rPr>
          <w:lang w:val="en-GB"/>
        </w:rPr>
        <w:t xml:space="preserve">Article 20: </w:t>
      </w:r>
      <w:r w:rsidR="00ED1F0E" w:rsidRPr="00C20C7F">
        <w:rPr>
          <w:lang w:val="en-GB"/>
        </w:rPr>
        <w:t>P</w:t>
      </w:r>
      <w:r w:rsidRPr="00C20C7F">
        <w:rPr>
          <w:lang w:val="en-GB"/>
        </w:rPr>
        <w:t>ersonal mobility</w:t>
      </w:r>
      <w:bookmarkEnd w:id="47"/>
      <w:r w:rsidRPr="00C20C7F">
        <w:rPr>
          <w:lang w:val="en-GB"/>
        </w:rPr>
        <w:t xml:space="preserve"> </w:t>
      </w:r>
    </w:p>
    <w:p w14:paraId="04BB95DF" w14:textId="0507D23C" w:rsidR="00685723" w:rsidRDefault="00110800" w:rsidP="00295AA8">
      <w:r w:rsidRPr="00C20C7F">
        <w:t>Persons with disabilities still cannot travel freely in the EU</w:t>
      </w:r>
      <w:r w:rsidR="006B4F90" w:rsidRPr="00C20C7F">
        <w:t xml:space="preserve"> due to mobility barriers</w:t>
      </w:r>
      <w:r w:rsidRPr="00C20C7F">
        <w:t xml:space="preserve">. </w:t>
      </w:r>
      <w:r w:rsidR="00F221A4" w:rsidRPr="00C20C7F">
        <w:t xml:space="preserve">Some specific challenges are </w:t>
      </w:r>
      <w:r w:rsidR="00924CDB" w:rsidRPr="00C20C7F">
        <w:t>the lack of</w:t>
      </w:r>
      <w:r w:rsidR="00B92EEB" w:rsidRPr="00C20C7F">
        <w:t xml:space="preserve"> possibility for independent and spontaneous boarding</w:t>
      </w:r>
      <w:r w:rsidR="00924CDB" w:rsidRPr="00C20C7F">
        <w:t xml:space="preserve"> throughout the EU, which results in difficulties to access trains, the lack of appropriate compensation for damaged</w:t>
      </w:r>
      <w:r w:rsidR="00924CDB">
        <w:t xml:space="preserve">, lost, or destroyed mobility equipment when flying, the lack of binding rules on accessible urban transport including new e-mobility solutions, or the fact that persons with disabilities still have to give 24 </w:t>
      </w:r>
      <w:r w:rsidR="00537710">
        <w:t xml:space="preserve">to 48 </w:t>
      </w:r>
      <w:r w:rsidR="00FB3FF7">
        <w:t>hours’ notice</w:t>
      </w:r>
      <w:r w:rsidR="00924CDB">
        <w:t xml:space="preserve"> if they want to receive assistance at train stations</w:t>
      </w:r>
      <w:r w:rsidR="00537710">
        <w:t>, ports, bus terminals or ai</w:t>
      </w:r>
      <w:r w:rsidR="00E2090B">
        <w:t>r</w:t>
      </w:r>
      <w:r w:rsidR="00537710">
        <w:t xml:space="preserve">ports. </w:t>
      </w:r>
    </w:p>
    <w:p w14:paraId="2C0E46CF" w14:textId="5FAA4207" w:rsidR="00B92EEB" w:rsidRPr="00D404B4" w:rsidRDefault="00B92EEB" w:rsidP="00295AA8">
      <w:r w:rsidRPr="00AE02F3">
        <w:t xml:space="preserve">There is still a </w:t>
      </w:r>
      <w:r w:rsidRPr="007A0BCC">
        <w:rPr>
          <w:b/>
          <w:bCs/>
        </w:rPr>
        <w:t>fundamental lack of accessibility of all modes of transport</w:t>
      </w:r>
      <w:r w:rsidRPr="00AE02F3">
        <w:t>, in spite of EU Regulation being in place in some areas.</w:t>
      </w:r>
      <w:r w:rsidR="00A32A93">
        <w:rPr>
          <w:rStyle w:val="FootnoteReference"/>
        </w:rPr>
        <w:footnoteReference w:id="93"/>
      </w:r>
      <w:r w:rsidRPr="00AE02F3">
        <w:t xml:space="preserve"> But there are also gaps in EU legislation, for example in urban transport. No EU-level legislation exists for the accessibility of metros, trams, buses, or trolley buses.</w:t>
      </w:r>
      <w:r w:rsidRPr="00AE02F3">
        <w:rPr>
          <w:rStyle w:val="FootnoteReference"/>
        </w:rPr>
        <w:footnoteReference w:id="94"/>
      </w:r>
      <w:r w:rsidRPr="00AE02F3">
        <w:t xml:space="preserve"> Lack of standardisation and harmonisation of accessibility standards leads to repeating the same mistakes over and over again, as each city or municipality starts more or less from scratch. </w:t>
      </w:r>
    </w:p>
    <w:p w14:paraId="61D6982F" w14:textId="3414AB31" w:rsidR="00334738" w:rsidRPr="00D404B4" w:rsidRDefault="00334738" w:rsidP="00295AA8">
      <w:r w:rsidRPr="00D404B4">
        <w:t xml:space="preserve">Travelling with </w:t>
      </w:r>
      <w:r w:rsidRPr="007A0BCC">
        <w:rPr>
          <w:b/>
          <w:bCs/>
        </w:rPr>
        <w:t>personal mobility equipment</w:t>
      </w:r>
      <w:r w:rsidRPr="00D404B4">
        <w:t xml:space="preserve"> on public transport has not improved either. </w:t>
      </w:r>
      <w:r w:rsidR="00A809B5" w:rsidRPr="00D404B4">
        <w:t>Frequently d</w:t>
      </w:r>
      <w:r w:rsidRPr="00D404B4">
        <w:t xml:space="preserve">amaged, lost, or destroyed </w:t>
      </w:r>
      <w:r w:rsidR="00A809B5" w:rsidRPr="00D404B4">
        <w:t xml:space="preserve">mobility equipment, such as wheelchairs, are still not being fully compensated for </w:t>
      </w:r>
      <w:r w:rsidRPr="00D404B4">
        <w:t>when travelling by air</w:t>
      </w:r>
      <w:r w:rsidR="00D73710" w:rsidRPr="00D404B4">
        <w:t xml:space="preserve">, even though </w:t>
      </w:r>
      <w:hyperlink r:id="rId108" w:history="1">
        <w:r w:rsidR="00606540" w:rsidRPr="00D404B4">
          <w:rPr>
            <w:rStyle w:val="Hyperlink"/>
          </w:rPr>
          <w:t>Regulation 261/2004</w:t>
        </w:r>
      </w:hyperlink>
      <w:r w:rsidR="00D73710" w:rsidRPr="00D404B4">
        <w:t xml:space="preserve"> regulates the airlines’ liability for lost luggage. And</w:t>
      </w:r>
      <w:r w:rsidR="003E771B" w:rsidRPr="00D404B4">
        <w:t xml:space="preserve"> </w:t>
      </w:r>
      <w:r w:rsidRPr="00D404B4">
        <w:t xml:space="preserve">many transport providers do not allow mobility equipment such as </w:t>
      </w:r>
      <w:r w:rsidR="00217486" w:rsidRPr="00D404B4">
        <w:t>e-</w:t>
      </w:r>
      <w:r w:rsidRPr="00D404B4">
        <w:t>scooters or even larger electric wheelchairs</w:t>
      </w:r>
      <w:r w:rsidR="00D73710" w:rsidRPr="00D404B4">
        <w:t xml:space="preserve"> on buses or trains</w:t>
      </w:r>
      <w:r w:rsidRPr="00D404B4">
        <w:t xml:space="preserve">. This remains an obstacle to personal mobility of many persons with disabilities. </w:t>
      </w:r>
    </w:p>
    <w:p w14:paraId="26713C28" w14:textId="25D4866A" w:rsidR="009A36B6" w:rsidRDefault="007A0BCC" w:rsidP="00295AA8">
      <w:r>
        <w:t>In addition, e</w:t>
      </w:r>
      <w:r w:rsidR="009A36B6" w:rsidRPr="00D404B4">
        <w:t xml:space="preserve">ven though </w:t>
      </w:r>
      <w:r w:rsidR="00537710">
        <w:t>passenger rights regulations</w:t>
      </w:r>
      <w:r w:rsidR="008001A5">
        <w:rPr>
          <w:rStyle w:val="FootnoteReference"/>
        </w:rPr>
        <w:footnoteReference w:id="95"/>
      </w:r>
      <w:r w:rsidR="00537710">
        <w:t xml:space="preserve"> </w:t>
      </w:r>
      <w:r w:rsidR="00606540" w:rsidRPr="00D404B4">
        <w:t>guarantee passengers</w:t>
      </w:r>
      <w:r w:rsidR="003E771B" w:rsidRPr="00D404B4">
        <w:t xml:space="preserve"> </w:t>
      </w:r>
      <w:r w:rsidR="009A36B6" w:rsidRPr="00D404B4">
        <w:t xml:space="preserve">with disabilities’ right to transport, they also </w:t>
      </w:r>
      <w:r w:rsidR="00606540" w:rsidRPr="00D404B4">
        <w:t xml:space="preserve">still </w:t>
      </w:r>
      <w:r w:rsidR="009A36B6" w:rsidRPr="00D404B4">
        <w:t xml:space="preserve">allow </w:t>
      </w:r>
      <w:r w:rsidR="009A36B6" w:rsidRPr="007A0BCC">
        <w:rPr>
          <w:b/>
          <w:bCs/>
        </w:rPr>
        <w:t>denial of reservation and boarding</w:t>
      </w:r>
      <w:r w:rsidR="009A36B6" w:rsidRPr="00D404B4">
        <w:t xml:space="preserve"> </w:t>
      </w:r>
      <w:r w:rsidR="005477F4" w:rsidRPr="00D404B4">
        <w:t>due to</w:t>
      </w:r>
      <w:r w:rsidR="009A36B6" w:rsidRPr="00D404B4">
        <w:t xml:space="preserve"> </w:t>
      </w:r>
      <w:r w:rsidR="005477F4" w:rsidRPr="00D404B4">
        <w:t xml:space="preserve">‘safety considerations’ and </w:t>
      </w:r>
      <w:r w:rsidR="009A36B6" w:rsidRPr="00D404B4">
        <w:t xml:space="preserve">inaccessible carrier/vehicle and station/port design. </w:t>
      </w:r>
      <w:r w:rsidR="00606540" w:rsidRPr="00D404B4">
        <w:t xml:space="preserve">Furthermore, while </w:t>
      </w:r>
      <w:r w:rsidR="00537710">
        <w:t xml:space="preserve">passenger rights regulations </w:t>
      </w:r>
      <w:r w:rsidR="00606540" w:rsidRPr="00D404B4">
        <w:t xml:space="preserve">grant financial compensation for a delayed or cancelled </w:t>
      </w:r>
      <w:r w:rsidR="00537710">
        <w:t xml:space="preserve">journeys </w:t>
      </w:r>
      <w:r w:rsidR="00606540" w:rsidRPr="00D404B4">
        <w:t xml:space="preserve">or if passengers have been denied boarding against their will, </w:t>
      </w:r>
      <w:hyperlink r:id="rId109" w:history="1">
        <w:r w:rsidR="00606540" w:rsidRPr="00AC6FA9">
          <w:rPr>
            <w:rStyle w:val="Hyperlink"/>
          </w:rPr>
          <w:t>Regulation 1107/2006</w:t>
        </w:r>
      </w:hyperlink>
      <w:r w:rsidR="00606540" w:rsidRPr="00D404B4">
        <w:t xml:space="preserve"> does not oblige </w:t>
      </w:r>
      <w:r w:rsidR="00537710">
        <w:t>transport operators</w:t>
      </w:r>
      <w:r w:rsidR="00606540" w:rsidRPr="00D404B4">
        <w:t xml:space="preserve"> to financially compensate passengers that have been denied boarding because of their disability. </w:t>
      </w:r>
    </w:p>
    <w:p w14:paraId="0E0DE895" w14:textId="77777777" w:rsidR="00CB61DF" w:rsidRDefault="00044970" w:rsidP="00295AA8">
      <w:r w:rsidRPr="00044970">
        <w:t xml:space="preserve">Lastly, in all modes of transport except air travel, an accompanying person required by the carrier for safety reasons can travel free of charge. However, in air transport, passengers must still pay for the extra ticket, even if the carrier imposes the need for an accompanying person. </w:t>
      </w:r>
      <w:r w:rsidRPr="00CB61DF">
        <w:rPr>
          <w:highlight w:val="yellow"/>
        </w:rPr>
        <w:t>The Commission has proposed changing this policy in 2024.</w:t>
      </w:r>
    </w:p>
    <w:p w14:paraId="1A6C833F" w14:textId="3320D812" w:rsidR="00334738" w:rsidRPr="00D404B4" w:rsidRDefault="00334738" w:rsidP="00295AA8">
      <w:r w:rsidRPr="00D404B4">
        <w:t xml:space="preserve">There are also </w:t>
      </w:r>
      <w:r w:rsidR="004113A2" w:rsidRPr="00D404B4">
        <w:t>remaining</w:t>
      </w:r>
      <w:r w:rsidRPr="00D404B4">
        <w:t xml:space="preserve"> issues with </w:t>
      </w:r>
      <w:r w:rsidR="007054C8" w:rsidRPr="00D404B4">
        <w:t xml:space="preserve">the </w:t>
      </w:r>
      <w:hyperlink r:id="rId110" w:history="1">
        <w:r w:rsidR="007054C8" w:rsidRPr="00FC13A8">
          <w:rPr>
            <w:rStyle w:val="Hyperlink"/>
          </w:rPr>
          <w:t>Rail Accessibility Regulation</w:t>
        </w:r>
        <w:r w:rsidR="00FC13A8" w:rsidRPr="00FC13A8">
          <w:rPr>
            <w:rStyle w:val="Hyperlink"/>
          </w:rPr>
          <w:t xml:space="preserve"> (TSI-PRM)</w:t>
        </w:r>
      </w:hyperlink>
      <w:r w:rsidR="00FC13A8">
        <w:t>.</w:t>
      </w:r>
      <w:r w:rsidR="00FC13A8">
        <w:rPr>
          <w:rStyle w:val="FootnoteReference"/>
        </w:rPr>
        <w:footnoteReference w:id="96"/>
      </w:r>
      <w:r w:rsidR="007054C8" w:rsidRPr="00D404B4">
        <w:t xml:space="preserve"> </w:t>
      </w:r>
      <w:r w:rsidR="000D426E">
        <w:t xml:space="preserve">While this Regulation is very progressive and rail is the only transport mode actually covered by accessibility legislation for both stations and rolling stock, </w:t>
      </w:r>
      <w:r w:rsidRPr="00D404B4">
        <w:t xml:space="preserve">it still allows in some </w:t>
      </w:r>
      <w:r w:rsidRPr="00E45FDC">
        <w:t xml:space="preserve">cases </w:t>
      </w:r>
      <w:r w:rsidR="00EE34FA" w:rsidRPr="00E45FDC">
        <w:t>that</w:t>
      </w:r>
      <w:r w:rsidRPr="00E45FDC">
        <w:t xml:space="preserve"> </w:t>
      </w:r>
      <w:r w:rsidRPr="00E45FDC">
        <w:lastRenderedPageBreak/>
        <w:t xml:space="preserve">inaccessible trains </w:t>
      </w:r>
      <w:r w:rsidR="00EE34FA" w:rsidRPr="00E45FDC">
        <w:t>are</w:t>
      </w:r>
      <w:r w:rsidRPr="00E45FDC">
        <w:t xml:space="preserve"> manufactured and sold, not allowing independent and spontaneous access.</w:t>
      </w:r>
      <w:r w:rsidR="00607B4B" w:rsidRPr="00E45FDC">
        <w:t xml:space="preserve"> There are for example </w:t>
      </w:r>
      <w:r w:rsidR="00607B4B" w:rsidRPr="00D404B4">
        <w:t xml:space="preserve">exemptions for double-deck trains and for restaurant cars, and the platform-train interface which causes many of the problems for independent boarding is not addressed in the Regulation. </w:t>
      </w:r>
    </w:p>
    <w:p w14:paraId="1AFE6AF8" w14:textId="419DFD48" w:rsidR="00BA15B1" w:rsidRDefault="00D906F6" w:rsidP="00295AA8">
      <w:hyperlink r:id="rId111" w:history="1">
        <w:r w:rsidR="000F5A47">
          <w:rPr>
            <w:rStyle w:val="Hyperlink"/>
          </w:rPr>
          <w:t>Regulation 2024/1670 on the Trans-European Networks (TEN-T)</w:t>
        </w:r>
      </w:hyperlink>
      <w:r w:rsidR="00537710" w:rsidRPr="00537710">
        <w:t xml:space="preserve"> includes accessibility for persons with disabilities as one of the main objectives of </w:t>
      </w:r>
      <w:r w:rsidR="000D426E" w:rsidRPr="00537710">
        <w:t>European</w:t>
      </w:r>
      <w:r w:rsidR="00537710" w:rsidRPr="00537710">
        <w:t xml:space="preserve"> </w:t>
      </w:r>
      <w:r w:rsidR="000D426E">
        <w:t>T</w:t>
      </w:r>
      <w:r w:rsidR="00537710" w:rsidRPr="00537710">
        <w:t xml:space="preserve">ransport </w:t>
      </w:r>
      <w:r w:rsidR="000D426E">
        <w:t>I</w:t>
      </w:r>
      <w:r w:rsidR="00537710" w:rsidRPr="00537710">
        <w:t xml:space="preserve">nfrastructure. </w:t>
      </w:r>
      <w:r w:rsidR="003D0FB4">
        <w:t xml:space="preserve">However, it fails to clarify how this objective can be put in practice. There is no reference to the European Accessibility Act, no mention of accessibility in the remit of monitoring and governance mechanisms and no mandatory consultation with accessibility experts and organisations representing persons with disabilities. </w:t>
      </w:r>
    </w:p>
    <w:p w14:paraId="7641F9C2" w14:textId="680ECDEA" w:rsidR="001E03F6" w:rsidRPr="00D404B4" w:rsidRDefault="001E03F6" w:rsidP="00295AA8">
      <w:r>
        <w:t xml:space="preserve">Finally, boats and ferries under </w:t>
      </w:r>
      <w:hyperlink r:id="rId112" w:history="1">
        <w:r w:rsidR="00615F4D" w:rsidRPr="00615F4D">
          <w:rPr>
            <w:rStyle w:val="Hyperlink"/>
          </w:rPr>
          <w:t>Directive 2009/45 on safety rules and standards for passenger ships</w:t>
        </w:r>
      </w:hyperlink>
      <w:r w:rsidR="00615F4D">
        <w:t xml:space="preserve"> </w:t>
      </w:r>
      <w:r>
        <w:t xml:space="preserve">also </w:t>
      </w:r>
      <w:r w:rsidR="004D3DC5">
        <w:t xml:space="preserve">often </w:t>
      </w:r>
      <w:r>
        <w:t>lack</w:t>
      </w:r>
      <w:r w:rsidR="004D3DC5">
        <w:t>s</w:t>
      </w:r>
      <w:r>
        <w:t xml:space="preserve"> basic accessibility features such as accessible communication and boarding</w:t>
      </w:r>
      <w:r w:rsidR="00305878">
        <w:t>,</w:t>
      </w:r>
      <w:r>
        <w:t xml:space="preserve"> as well as circulation on board of the vessel. </w:t>
      </w:r>
      <w:hyperlink r:id="rId113" w:history="1">
        <w:r w:rsidR="00615F4D" w:rsidRPr="004D3DC5">
          <w:rPr>
            <w:rStyle w:val="Hyperlink"/>
          </w:rPr>
          <w:t>Regulation 1177/2010</w:t>
        </w:r>
      </w:hyperlink>
      <w:r w:rsidR="00305878">
        <w:rPr>
          <w:rStyle w:val="FootnoteReference"/>
        </w:rPr>
        <w:footnoteReference w:id="97"/>
      </w:r>
      <w:r w:rsidR="00615F4D">
        <w:t xml:space="preserve"> does not include</w:t>
      </w:r>
      <w:r w:rsidR="003E2CF6">
        <w:t xml:space="preserve"> excursion or sightseeing boats and, similar to </w:t>
      </w:r>
      <w:hyperlink r:id="rId114" w:history="1">
        <w:r w:rsidR="003E2CF6" w:rsidRPr="004D3DC5">
          <w:rPr>
            <w:rStyle w:val="Hyperlink"/>
          </w:rPr>
          <w:t>Regulation 1107/2006</w:t>
        </w:r>
      </w:hyperlink>
      <w:r w:rsidR="004D3DC5">
        <w:rPr>
          <w:rStyle w:val="FootnoteReference"/>
        </w:rPr>
        <w:footnoteReference w:id="98"/>
      </w:r>
      <w:r w:rsidR="003E2CF6">
        <w:t xml:space="preserve"> leaves a “loophole” to the right to travel if a person with disabilit</w:t>
      </w:r>
      <w:r w:rsidR="004D3DC5">
        <w:t>ies</w:t>
      </w:r>
      <w:r w:rsidR="003E2CF6">
        <w:t xml:space="preserve"> cannot comply with “applicable safety requirements”.. </w:t>
      </w:r>
    </w:p>
    <w:p w14:paraId="2970DC71" w14:textId="6D3F1368" w:rsidR="00FF3424" w:rsidRPr="00D404B4" w:rsidRDefault="006B4F90" w:rsidP="00295AA8">
      <w:r>
        <w:rPr>
          <w:b/>
        </w:rPr>
        <w:t xml:space="preserve">We call for: </w:t>
      </w:r>
    </w:p>
    <w:p w14:paraId="3015DC56" w14:textId="2B65BC86" w:rsidR="00273C83" w:rsidRPr="00273C83" w:rsidRDefault="00273C83" w:rsidP="000C764D">
      <w:pPr>
        <w:pStyle w:val="ListParagraph"/>
        <w:numPr>
          <w:ilvl w:val="0"/>
          <w:numId w:val="12"/>
        </w:numPr>
      </w:pPr>
      <w:r w:rsidRPr="00273C83">
        <w:t>Revis</w:t>
      </w:r>
      <w:r w:rsidR="00876A04">
        <w:t>ion of</w:t>
      </w:r>
      <w:r w:rsidR="00A860EC">
        <w:t xml:space="preserve"> passenger rights regulations in all transport modes to eliminate pre-notification time to request assistance and establish a right to swift and fair compensation when the transport operators deny boarding to persons with disabilities. In air, the revision should also establish</w:t>
      </w:r>
      <w:r w:rsidRPr="00273C83">
        <w:t xml:space="preserve"> airlines and airports’ full liability regarding damaged and lost mobility equipment and avoid situations of denial of boarding. </w:t>
      </w:r>
    </w:p>
    <w:p w14:paraId="08420EB7" w14:textId="6219C253" w:rsidR="00273C83" w:rsidRPr="00C20C7F" w:rsidRDefault="00273C83" w:rsidP="00876A04">
      <w:pPr>
        <w:pStyle w:val="ListParagraph"/>
        <w:numPr>
          <w:ilvl w:val="0"/>
          <w:numId w:val="12"/>
        </w:numPr>
      </w:pPr>
      <w:r w:rsidRPr="00273C83">
        <w:t xml:space="preserve">Ensure that the upcoming TSI-PRM revision leads to strong accessibility </w:t>
      </w:r>
      <w:r w:rsidRPr="00C20C7F">
        <w:t xml:space="preserve">requirements for train stations and rolling stock. Among others, such revision process should guarantee level access and fully independent boarding and remove the exceptions that still exist for double-decker trains and restaurant cars.  </w:t>
      </w:r>
    </w:p>
    <w:p w14:paraId="3BB1A8F1" w14:textId="31486FE4" w:rsidR="003B2232" w:rsidRPr="00C20C7F" w:rsidRDefault="005C22B9" w:rsidP="00295AA8">
      <w:pPr>
        <w:pStyle w:val="Heading2"/>
        <w:rPr>
          <w:lang w:val="en-GB"/>
        </w:rPr>
      </w:pPr>
      <w:bookmarkStart w:id="48" w:name="_Hlk29832363"/>
      <w:bookmarkStart w:id="49" w:name="_Toc179386652"/>
      <w:r w:rsidRPr="00C20C7F">
        <w:rPr>
          <w:lang w:val="en-GB"/>
        </w:rPr>
        <w:t xml:space="preserve">Articles 21: </w:t>
      </w:r>
      <w:r w:rsidR="003B2232" w:rsidRPr="00C20C7F">
        <w:rPr>
          <w:lang w:val="en-GB"/>
        </w:rPr>
        <w:t>Freedom of expression</w:t>
      </w:r>
      <w:r w:rsidR="00A1459E" w:rsidRPr="00C20C7F">
        <w:rPr>
          <w:lang w:val="en-GB"/>
        </w:rPr>
        <w:t xml:space="preserve"> and</w:t>
      </w:r>
      <w:r w:rsidR="003B2232" w:rsidRPr="00C20C7F">
        <w:rPr>
          <w:lang w:val="en-GB"/>
        </w:rPr>
        <w:t xml:space="preserve"> </w:t>
      </w:r>
      <w:r w:rsidR="00731A8E" w:rsidRPr="00C20C7F">
        <w:rPr>
          <w:lang w:val="en-GB"/>
        </w:rPr>
        <w:t>opinion,</w:t>
      </w:r>
      <w:r w:rsidR="003B2232" w:rsidRPr="00C20C7F">
        <w:rPr>
          <w:lang w:val="en-GB"/>
        </w:rPr>
        <w:t xml:space="preserve"> and access to information</w:t>
      </w:r>
      <w:bookmarkEnd w:id="49"/>
    </w:p>
    <w:p w14:paraId="4BD5E06B" w14:textId="108B1522" w:rsidR="00342ED8" w:rsidRPr="00D404B4" w:rsidRDefault="00E37D04" w:rsidP="00295AA8">
      <w:r w:rsidRPr="00C20C7F">
        <w:t>Despite</w:t>
      </w:r>
      <w:r w:rsidR="00E8755F" w:rsidRPr="00C20C7F">
        <w:t xml:space="preserve">s </w:t>
      </w:r>
      <w:r w:rsidRPr="00C20C7F">
        <w:t>some legislative progress in the past years,</w:t>
      </w:r>
      <w:r w:rsidR="001A7F00" w:rsidRPr="00C20C7F">
        <w:rPr>
          <w:rStyle w:val="FootnoteReference"/>
        </w:rPr>
        <w:footnoteReference w:id="99"/>
      </w:r>
      <w:r w:rsidRPr="00C20C7F">
        <w:t xml:space="preserve"> i</w:t>
      </w:r>
      <w:r w:rsidR="00864371" w:rsidRPr="00C20C7F">
        <w:t xml:space="preserve">n </w:t>
      </w:r>
      <w:r w:rsidR="00CD6BFD" w:rsidRPr="00C20C7F">
        <w:t>the majority</w:t>
      </w:r>
      <w:r w:rsidR="00864371" w:rsidRPr="00C20C7F">
        <w:t xml:space="preserve"> of EU countries equal </w:t>
      </w:r>
      <w:r w:rsidR="00E8755F" w:rsidRPr="00C20C7F">
        <w:t xml:space="preserve">lack of </w:t>
      </w:r>
      <w:r w:rsidR="00864371" w:rsidRPr="00C20C7F">
        <w:t>access to information</w:t>
      </w:r>
      <w:r w:rsidR="00F34696" w:rsidRPr="00331C50">
        <w:t xml:space="preserve"> and communication</w:t>
      </w:r>
      <w:r w:rsidR="00864371" w:rsidRPr="00331C50">
        <w:t xml:space="preserve"> </w:t>
      </w:r>
      <w:r w:rsidR="00E8755F">
        <w:t>is</w:t>
      </w:r>
      <w:r w:rsidR="00864371" w:rsidRPr="00331C50">
        <w:t xml:space="preserve"> a barrier to the full participation of persons with disabilities in all aspects of life.</w:t>
      </w:r>
      <w:r w:rsidR="00226DF5" w:rsidRPr="00331C50">
        <w:t xml:space="preserve"> </w:t>
      </w:r>
      <w:r w:rsidR="00E8755F" w:rsidRPr="00331C50">
        <w:t>The lack of accessibility</w:t>
      </w:r>
      <w:r w:rsidR="00E8755F">
        <w:t xml:space="preserve">, </w:t>
      </w:r>
      <w:r w:rsidRPr="00331C50">
        <w:t>adapted formats and means of communication</w:t>
      </w:r>
      <w:r w:rsidR="00F34696" w:rsidRPr="00331C50">
        <w:t xml:space="preserve"> (including in national </w:t>
      </w:r>
      <w:r w:rsidR="00F34696" w:rsidRPr="00D404B4">
        <w:t>sign language</w:t>
      </w:r>
      <w:r w:rsidR="00331C50">
        <w:t>s</w:t>
      </w:r>
      <w:r w:rsidR="00F34696" w:rsidRPr="00D404B4">
        <w:t>)</w:t>
      </w:r>
      <w:r w:rsidRPr="00D404B4">
        <w:t xml:space="preserve">, and </w:t>
      </w:r>
      <w:r w:rsidR="004E2E7B">
        <w:t xml:space="preserve">the lack of </w:t>
      </w:r>
      <w:r w:rsidRPr="00D404B4">
        <w:t>suitable assistive and accessible technologies</w:t>
      </w:r>
      <w:r w:rsidR="00226DF5" w:rsidRPr="00D404B4">
        <w:t xml:space="preserve"> still</w:t>
      </w:r>
      <w:r w:rsidRPr="00D404B4">
        <w:t xml:space="preserve"> hinders the freedom of expression </w:t>
      </w:r>
      <w:r w:rsidR="0084581E" w:rsidRPr="00D404B4">
        <w:t xml:space="preserve">and access to information </w:t>
      </w:r>
      <w:r w:rsidRPr="00D404B4">
        <w:t>of persons with disabilities</w:t>
      </w:r>
      <w:r w:rsidR="0084581E" w:rsidRPr="00D404B4">
        <w:t xml:space="preserve">. </w:t>
      </w:r>
    </w:p>
    <w:p w14:paraId="08703120" w14:textId="18ECAC4B" w:rsidR="00273334" w:rsidRPr="00331C50" w:rsidRDefault="00742F25" w:rsidP="00295AA8">
      <w:r w:rsidRPr="00D404B4">
        <w:t xml:space="preserve">The </w:t>
      </w:r>
      <w:r w:rsidR="00DF5DCD" w:rsidRPr="00D404B4">
        <w:t xml:space="preserve">EU has </w:t>
      </w:r>
      <w:r w:rsidR="00DF5DCD" w:rsidRPr="00331C50">
        <w:t>made a step forward toward</w:t>
      </w:r>
      <w:r w:rsidR="00CD6BFD" w:rsidRPr="00331C50">
        <w:t>s</w:t>
      </w:r>
      <w:r w:rsidR="00DF5DCD" w:rsidRPr="00331C50">
        <w:t xml:space="preserve"> strengthening </w:t>
      </w:r>
      <w:r w:rsidR="00505E41" w:rsidRPr="00331C50">
        <w:t xml:space="preserve">the </w:t>
      </w:r>
      <w:r w:rsidR="00DF5DCD" w:rsidRPr="00331C50">
        <w:t>legal obligation of States to ensure accessibility of televised broadcasts</w:t>
      </w:r>
      <w:r w:rsidR="005A4355" w:rsidRPr="00331C50">
        <w:t xml:space="preserve"> and on-demand services</w:t>
      </w:r>
      <w:r w:rsidR="00DF5DCD" w:rsidRPr="00331C50">
        <w:t xml:space="preserve"> through the </w:t>
      </w:r>
      <w:hyperlink r:id="rId115" w:history="1">
        <w:r w:rsidR="00DF5DCD" w:rsidRPr="008C193A">
          <w:rPr>
            <w:rStyle w:val="Hyperlink"/>
          </w:rPr>
          <w:t>revised Audiovisual Media Services Directive</w:t>
        </w:r>
      </w:hyperlink>
      <w:r w:rsidR="00EA731B" w:rsidRPr="00331C50">
        <w:t xml:space="preserve">, which </w:t>
      </w:r>
      <w:r w:rsidR="000578E8" w:rsidRPr="00331C50">
        <w:t xml:space="preserve">was </w:t>
      </w:r>
      <w:r w:rsidR="00EA731B" w:rsidRPr="00331C50">
        <w:t>adopted in November 2018</w:t>
      </w:r>
      <w:r w:rsidR="00DF5DCD" w:rsidRPr="00331C50">
        <w:t>.</w:t>
      </w:r>
      <w:r w:rsidR="002303E7" w:rsidRPr="00331C50">
        <w:t xml:space="preserve"> Nevertheless, </w:t>
      </w:r>
      <w:r w:rsidR="002303E7" w:rsidRPr="00331C50">
        <w:lastRenderedPageBreak/>
        <w:t xml:space="preserve">the Directive is quite vague and does not </w:t>
      </w:r>
      <w:r w:rsidR="005A4355" w:rsidRPr="00331C50">
        <w:t>prescribe</w:t>
      </w:r>
      <w:r w:rsidR="007E5292" w:rsidRPr="00331C50">
        <w:t xml:space="preserve"> any timelines, </w:t>
      </w:r>
      <w:r w:rsidR="00B902E8" w:rsidRPr="00331C50">
        <w:t xml:space="preserve">or </w:t>
      </w:r>
      <w:r w:rsidR="007E5292" w:rsidRPr="00331C50">
        <w:t>qual</w:t>
      </w:r>
      <w:r w:rsidR="00B902E8" w:rsidRPr="00331C50">
        <w:t>itative and quantitative targets</w:t>
      </w:r>
      <w:r w:rsidR="005A4355" w:rsidRPr="00331C50">
        <w:t xml:space="preserve"> to reach this goal</w:t>
      </w:r>
      <w:r w:rsidR="00B902E8" w:rsidRPr="00331C50">
        <w:t xml:space="preserve">. The ambiguity of the EU </w:t>
      </w:r>
      <w:r w:rsidR="005A4355" w:rsidRPr="00331C50">
        <w:t>legal</w:t>
      </w:r>
      <w:r w:rsidR="00B902E8" w:rsidRPr="00331C50">
        <w:t xml:space="preserve"> text </w:t>
      </w:r>
      <w:r w:rsidR="002303E7" w:rsidRPr="00331C50">
        <w:t>will mean that persons with disabilities have different level</w:t>
      </w:r>
      <w:r w:rsidR="00505E41" w:rsidRPr="00331C50">
        <w:t>s</w:t>
      </w:r>
      <w:r w:rsidR="002303E7" w:rsidRPr="00331C50">
        <w:t xml:space="preserve"> of access to information provided to the general public by TV broadcasters (</w:t>
      </w:r>
      <w:r w:rsidR="000B4993" w:rsidRPr="00331C50">
        <w:t>e.g.,</w:t>
      </w:r>
      <w:r w:rsidR="002303E7" w:rsidRPr="00331C50">
        <w:t xml:space="preserve"> news or emergency warnings</w:t>
      </w:r>
      <w:r w:rsidR="008E0D73" w:rsidRPr="00331C50">
        <w:rPr>
          <w:rStyle w:val="FootnoteReference"/>
        </w:rPr>
        <w:footnoteReference w:id="100"/>
      </w:r>
      <w:r w:rsidR="002303E7" w:rsidRPr="00331C50">
        <w:t>)</w:t>
      </w:r>
      <w:r w:rsidR="005F3DEA" w:rsidRPr="00331C50">
        <w:t xml:space="preserve">. </w:t>
      </w:r>
      <w:r w:rsidR="00C24140" w:rsidRPr="00331C50">
        <w:t>The Directive also does not ensure accessibility of video-sharing (</w:t>
      </w:r>
      <w:r w:rsidR="000B4993" w:rsidRPr="00331C50">
        <w:t>e.g.,</w:t>
      </w:r>
      <w:r w:rsidR="00C24140" w:rsidRPr="00331C50">
        <w:t xml:space="preserve"> YouTube, Dailymotion) and social media (</w:t>
      </w:r>
      <w:r w:rsidR="004E2E7B" w:rsidRPr="00331C50">
        <w:t>e.g.,</w:t>
      </w:r>
      <w:r w:rsidR="00C24140" w:rsidRPr="00331C50">
        <w:t xml:space="preserve"> Facebook, Twitter) platforms, even though it recognises the increasing public importance of these platforms as channels to share information, entertain, educate, and shape and influence public opinion. </w:t>
      </w:r>
      <w:r w:rsidR="009D6F0D" w:rsidRPr="00331C50">
        <w:t>It also does not ensure that audio</w:t>
      </w:r>
      <w:r w:rsidR="00505E41" w:rsidRPr="00331C50">
        <w:t xml:space="preserve"> </w:t>
      </w:r>
      <w:r w:rsidR="009D6F0D" w:rsidRPr="00331C50">
        <w:t xml:space="preserve">visual sections of news websites are accessible for persons with disabilities. These creates </w:t>
      </w:r>
      <w:r w:rsidR="004B7503" w:rsidRPr="00331C50">
        <w:t>barrier</w:t>
      </w:r>
      <w:r w:rsidR="009D6F0D" w:rsidRPr="00331C50">
        <w:t>s</w:t>
      </w:r>
      <w:r w:rsidR="004B7503" w:rsidRPr="00331C50">
        <w:t xml:space="preserve"> both to </w:t>
      </w:r>
      <w:r w:rsidR="00505E41" w:rsidRPr="00331C50">
        <w:t xml:space="preserve">the </w:t>
      </w:r>
      <w:r w:rsidR="004B7503" w:rsidRPr="00331C50">
        <w:t>right of information and freedom of expression</w:t>
      </w:r>
      <w:r w:rsidR="005F3DEA" w:rsidRPr="00331C50">
        <w:t xml:space="preserve">. </w:t>
      </w:r>
    </w:p>
    <w:p w14:paraId="6269FF5D" w14:textId="4E33E24F" w:rsidR="00995DF7" w:rsidRDefault="00995DF7" w:rsidP="00295AA8">
      <w:r w:rsidRPr="00995DF7">
        <w:t>Although all EU Member States have officially recogni</w:t>
      </w:r>
      <w:r>
        <w:t>s</w:t>
      </w:r>
      <w:r w:rsidRPr="00995DF7">
        <w:t>ed their national sign languages, access to information, communication, and knowledge in these languages is still not guaranteed across the EU. Despite being fully-fledged languages in their own right, national sign languages are not considered part of the EU’s multilingualism, and the EU does not ensure access to essential resources through them.</w:t>
      </w:r>
    </w:p>
    <w:p w14:paraId="61CB16A4" w14:textId="0336A524" w:rsidR="00DF5DCD" w:rsidRPr="00D404B4" w:rsidRDefault="004B7503" w:rsidP="00295AA8">
      <w:r w:rsidRPr="00D404B4">
        <w:t>Access to information</w:t>
      </w:r>
      <w:r w:rsidR="00245982" w:rsidRPr="00D404B4">
        <w:t>, communication</w:t>
      </w:r>
      <w:r w:rsidRPr="00D404B4">
        <w:t xml:space="preserve"> and freedom of expression is further hindered by the lack of uniform approach to availability, </w:t>
      </w:r>
      <w:r w:rsidR="00731A8E" w:rsidRPr="00D404B4">
        <w:t>quality,</w:t>
      </w:r>
      <w:r w:rsidRPr="00D404B4">
        <w:t xml:space="preserve"> and affordability of assistive technologies across the EU. In the absence of an EU legal framework, provision of assistive technologies to persons with disabilities </w:t>
      </w:r>
      <w:r w:rsidRPr="00331C50">
        <w:t>remains under Member State regulations</w:t>
      </w:r>
      <w:r w:rsidR="00291245" w:rsidRPr="00331C50">
        <w:t>.</w:t>
      </w:r>
      <w:r w:rsidRPr="00331C50">
        <w:t xml:space="preserve"> </w:t>
      </w:r>
      <w:r w:rsidR="00291245" w:rsidRPr="00331C50">
        <w:t xml:space="preserve">Different </w:t>
      </w:r>
      <w:r w:rsidR="00F47E16" w:rsidRPr="00331C50">
        <w:t>certification schemes</w:t>
      </w:r>
      <w:r w:rsidR="00291245" w:rsidRPr="00331C50">
        <w:t xml:space="preserve"> and provision models at national level</w:t>
      </w:r>
      <w:r w:rsidRPr="00331C50">
        <w:t xml:space="preserve"> create fragmentation in the Union market</w:t>
      </w:r>
      <w:r w:rsidR="00291245" w:rsidRPr="00331C50">
        <w:t>, difficulties to the assistive technology industry</w:t>
      </w:r>
      <w:r w:rsidRPr="00331C50">
        <w:t xml:space="preserve"> and</w:t>
      </w:r>
      <w:r w:rsidR="00291245" w:rsidRPr="00331C50">
        <w:t>, more importantly,</w:t>
      </w:r>
      <w:r w:rsidRPr="00331C50">
        <w:t xml:space="preserve"> fail to ensure equal level of access and choice to these technologies </w:t>
      </w:r>
      <w:r w:rsidR="00291245" w:rsidRPr="00331C50">
        <w:t xml:space="preserve">by </w:t>
      </w:r>
      <w:r w:rsidRPr="00331C50">
        <w:t xml:space="preserve">persons with disabilities. </w:t>
      </w:r>
      <w:r w:rsidR="00037476" w:rsidRPr="00331C50">
        <w:t>This causes, for example, that the same product</w:t>
      </w:r>
      <w:r w:rsidR="00505E41" w:rsidRPr="00331C50">
        <w:t xml:space="preserve"> has</w:t>
      </w:r>
      <w:r w:rsidR="00037476" w:rsidRPr="00331C50">
        <w:t xml:space="preserve"> different</w:t>
      </w:r>
      <w:r w:rsidR="00505E41" w:rsidRPr="00331C50">
        <w:t xml:space="preserve"> prices</w:t>
      </w:r>
      <w:r w:rsidR="00037476" w:rsidRPr="00331C50">
        <w:t xml:space="preserve"> across EU countries, and that persons with disabilities cannot access a specific assistive technology sold in another EU country. Additionally, persons with disabilities </w:t>
      </w:r>
      <w:r w:rsidR="00291245" w:rsidRPr="00331C50">
        <w:t>must go through lengthy and complex administrative processes,</w:t>
      </w:r>
      <w:r w:rsidR="00037476" w:rsidRPr="00331C50">
        <w:t xml:space="preserve"> </w:t>
      </w:r>
      <w:r w:rsidR="00291245" w:rsidRPr="00331C50">
        <w:t xml:space="preserve">sometimes very medical oriented, to access </w:t>
      </w:r>
      <w:r w:rsidR="00037476" w:rsidRPr="00D404B4">
        <w:t>these technologies</w:t>
      </w:r>
      <w:r w:rsidR="00291245" w:rsidRPr="00D404B4">
        <w:t xml:space="preserve">, and, </w:t>
      </w:r>
      <w:r w:rsidR="00037476" w:rsidRPr="00D404B4">
        <w:t>i</w:t>
      </w:r>
      <w:r w:rsidR="00291245" w:rsidRPr="00D404B4">
        <w:t>n some cases</w:t>
      </w:r>
      <w:r w:rsidR="00037476" w:rsidRPr="00D404B4">
        <w:t>,</w:t>
      </w:r>
      <w:r w:rsidR="00291245" w:rsidRPr="00D404B4">
        <w:t xml:space="preserve"> </w:t>
      </w:r>
      <w:r w:rsidR="00037476" w:rsidRPr="00D404B4">
        <w:t xml:space="preserve">certain national delivery models </w:t>
      </w:r>
      <w:r w:rsidR="00291245" w:rsidRPr="00D404B4">
        <w:t>discriminate against certain persons with disabilities, based on their</w:t>
      </w:r>
      <w:r w:rsidR="00037476" w:rsidRPr="00D404B4">
        <w:t xml:space="preserve"> </w:t>
      </w:r>
      <w:r w:rsidR="00291245" w:rsidRPr="00D404B4">
        <w:t>age or work status.</w:t>
      </w:r>
      <w:r w:rsidR="00037476" w:rsidRPr="00D404B4">
        <w:t xml:space="preserve"> </w:t>
      </w:r>
      <w:r w:rsidR="00037476" w:rsidRPr="00D404B4">
        <w:rPr>
          <w:rStyle w:val="FootnoteReference"/>
        </w:rPr>
        <w:footnoteReference w:id="101"/>
      </w:r>
    </w:p>
    <w:p w14:paraId="306CBEDE" w14:textId="3ABBF982" w:rsidR="0084581E" w:rsidRPr="00D404B4" w:rsidRDefault="00B063F5" w:rsidP="00295AA8">
      <w:r>
        <w:rPr>
          <w:b/>
        </w:rPr>
        <w:t xml:space="preserve">We call for: </w:t>
      </w:r>
    </w:p>
    <w:p w14:paraId="7B4ACA7F" w14:textId="489955ED" w:rsidR="00273C83" w:rsidRPr="00B063F5" w:rsidRDefault="00273C83" w:rsidP="00B063F5">
      <w:pPr>
        <w:numPr>
          <w:ilvl w:val="0"/>
          <w:numId w:val="12"/>
        </w:numPr>
        <w:spacing w:after="0"/>
        <w:ind w:left="714" w:hanging="357"/>
        <w:rPr>
          <w:rFonts w:eastAsia="Times New Roman" w:cs="Times New Roman"/>
          <w:b/>
        </w:rPr>
      </w:pPr>
      <w:r w:rsidRPr="00273C83">
        <w:rPr>
          <w:rFonts w:eastAsia="Times New Roman" w:cs="Times New Roman"/>
        </w:rPr>
        <w:t>Revis</w:t>
      </w:r>
      <w:r w:rsidR="00B063F5">
        <w:rPr>
          <w:rFonts w:eastAsia="Times New Roman" w:cs="Times New Roman"/>
        </w:rPr>
        <w:t>ion of</w:t>
      </w:r>
      <w:r w:rsidRPr="00273C83">
        <w:rPr>
          <w:rFonts w:eastAsia="Times New Roman" w:cs="Times New Roman"/>
        </w:rPr>
        <w:t xml:space="preserve"> the Audiovisual Media Services Directive to set clear and harmonised EU-wide criteria for audiovisual accessibility. Such criteria should include quantitative and qualitative targets with clear timelines, stating what percentage of audiovisual content should be made accessible and for what type of access service (as a minimum, sign language, audio description, spoken subtitles and subtitling for the deaf and hard of hearing). These targets should be based on the situation of media accessibility in each member state. </w:t>
      </w:r>
    </w:p>
    <w:p w14:paraId="7131E413" w14:textId="4F4109B6" w:rsidR="00273C83" w:rsidRPr="00B063F5" w:rsidRDefault="00273C83" w:rsidP="00B063F5">
      <w:pPr>
        <w:numPr>
          <w:ilvl w:val="0"/>
          <w:numId w:val="12"/>
        </w:numPr>
        <w:spacing w:after="0"/>
        <w:ind w:left="714" w:hanging="357"/>
        <w:rPr>
          <w:rFonts w:eastAsia="Times New Roman" w:cs="Times New Roman"/>
          <w:b/>
        </w:rPr>
      </w:pPr>
      <w:r w:rsidRPr="00273C83">
        <w:rPr>
          <w:rFonts w:eastAsia="Times New Roman" w:cs="Times New Roman"/>
        </w:rPr>
        <w:t xml:space="preserve">Request European Standards for access services, including icons, which respect existing practices but can be used by countries in which there is no quality guidance. </w:t>
      </w:r>
    </w:p>
    <w:p w14:paraId="3C2808EF" w14:textId="13275E06" w:rsidR="00243276" w:rsidRPr="0080291E" w:rsidRDefault="00273C83" w:rsidP="0080291E">
      <w:pPr>
        <w:widowControl w:val="0"/>
        <w:numPr>
          <w:ilvl w:val="0"/>
          <w:numId w:val="12"/>
        </w:numPr>
        <w:suppressAutoHyphens/>
        <w:spacing w:after="0"/>
        <w:ind w:left="714" w:hanging="357"/>
        <w:rPr>
          <w:rFonts w:eastAsia="Times New Roman" w:cs="Times New Roman"/>
        </w:rPr>
      </w:pPr>
      <w:r w:rsidRPr="00273C83">
        <w:rPr>
          <w:rFonts w:eastAsia="Times New Roman" w:cs="Times New Roman"/>
        </w:rPr>
        <w:t>Introduc</w:t>
      </w:r>
      <w:r w:rsidR="00B063F5">
        <w:rPr>
          <w:rFonts w:eastAsia="Times New Roman" w:cs="Times New Roman"/>
        </w:rPr>
        <w:t>tion of</w:t>
      </w:r>
      <w:r w:rsidRPr="00273C83">
        <w:rPr>
          <w:rFonts w:eastAsia="Times New Roman" w:cs="Times New Roman"/>
        </w:rPr>
        <w:t xml:space="preserve"> legislation to guarantee the availability and affordability of assistive technologies for persons with disabilities in the EU single market.</w:t>
      </w:r>
    </w:p>
    <w:p w14:paraId="08996625" w14:textId="7CF5D618" w:rsidR="002233D3" w:rsidRPr="00C20C7F" w:rsidRDefault="00A64CFB" w:rsidP="00295AA8">
      <w:pPr>
        <w:pStyle w:val="Heading2"/>
        <w:rPr>
          <w:lang w:val="en-GB"/>
        </w:rPr>
      </w:pPr>
      <w:bookmarkStart w:id="50" w:name="_Toc179386653"/>
      <w:r w:rsidRPr="00C20C7F">
        <w:rPr>
          <w:lang w:val="en-GB"/>
        </w:rPr>
        <w:lastRenderedPageBreak/>
        <w:t>Article 22: Respect for privacy</w:t>
      </w:r>
      <w:bookmarkEnd w:id="50"/>
    </w:p>
    <w:p w14:paraId="2949B05F" w14:textId="340920B6" w:rsidR="00E46E20" w:rsidRPr="00A1459E" w:rsidRDefault="00590BF9" w:rsidP="00295AA8">
      <w:pPr>
        <w:rPr>
          <w:rFonts w:cstheme="minorHAnsi"/>
        </w:rPr>
      </w:pPr>
      <w:bookmarkStart w:id="51" w:name="_Hlk530908335"/>
      <w:r w:rsidRPr="00C20C7F">
        <w:rPr>
          <w:rFonts w:cstheme="minorHAnsi"/>
        </w:rPr>
        <w:t xml:space="preserve">In a world where the use of emerging technologies is drastically increasing, there are concerns that </w:t>
      </w:r>
      <w:r w:rsidR="003E189B" w:rsidRPr="00C20C7F">
        <w:rPr>
          <w:rFonts w:cstheme="minorHAnsi"/>
        </w:rPr>
        <w:t xml:space="preserve">an </w:t>
      </w:r>
      <w:r w:rsidRPr="00C20C7F">
        <w:rPr>
          <w:rFonts w:cstheme="minorHAnsi"/>
        </w:rPr>
        <w:t>unregulated use of artificial intelligence and automated decision-making creates new risks of discrimination</w:t>
      </w:r>
      <w:r w:rsidRPr="00A1459E">
        <w:rPr>
          <w:rFonts w:cstheme="minorHAnsi"/>
        </w:rPr>
        <w:t xml:space="preserve"> for persons with disabilities, but also a significant risk to their right to privacy.</w:t>
      </w:r>
      <w:r w:rsidRPr="00A1459E">
        <w:rPr>
          <w:rStyle w:val="FootnoteReference"/>
          <w:rFonts w:cstheme="minorHAnsi"/>
        </w:rPr>
        <w:footnoteReference w:id="102"/>
      </w:r>
      <w:r w:rsidRPr="00A1459E">
        <w:rPr>
          <w:rFonts w:cstheme="minorHAnsi"/>
        </w:rPr>
        <w:t xml:space="preserve"> </w:t>
      </w:r>
      <w:r w:rsidR="002233D3" w:rsidRPr="00A1459E">
        <w:rPr>
          <w:rFonts w:cstheme="minorHAnsi"/>
        </w:rPr>
        <w:t>Many people are not well</w:t>
      </w:r>
      <w:r w:rsidR="003E189B" w:rsidRPr="00A1459E">
        <w:rPr>
          <w:rFonts w:cstheme="minorHAnsi"/>
        </w:rPr>
        <w:t xml:space="preserve"> </w:t>
      </w:r>
      <w:r w:rsidR="002233D3" w:rsidRPr="00A1459E">
        <w:rPr>
          <w:rFonts w:cstheme="minorHAnsi"/>
        </w:rPr>
        <w:t xml:space="preserve">informed about how using online services or connected devices is affecting their privacy. In the </w:t>
      </w:r>
      <w:r w:rsidR="00E46E20" w:rsidRPr="00A1459E">
        <w:rPr>
          <w:rFonts w:cstheme="minorHAnsi"/>
        </w:rPr>
        <w:t>EU</w:t>
      </w:r>
      <w:r w:rsidR="003E189B" w:rsidRPr="00A1459E">
        <w:rPr>
          <w:rFonts w:cstheme="minorHAnsi"/>
        </w:rPr>
        <w:t xml:space="preserve"> </w:t>
      </w:r>
      <w:r w:rsidR="002233D3" w:rsidRPr="00A1459E">
        <w:rPr>
          <w:rFonts w:cstheme="minorHAnsi"/>
        </w:rPr>
        <w:t xml:space="preserve">citizens have </w:t>
      </w:r>
      <w:r w:rsidR="003E189B" w:rsidRPr="00A1459E">
        <w:rPr>
          <w:rFonts w:cstheme="minorHAnsi"/>
        </w:rPr>
        <w:t>better</w:t>
      </w:r>
      <w:r w:rsidR="002233D3" w:rsidRPr="00A1459E">
        <w:rPr>
          <w:rFonts w:cstheme="minorHAnsi"/>
        </w:rPr>
        <w:t xml:space="preserve"> rights</w:t>
      </w:r>
      <w:r w:rsidR="003E189B" w:rsidRPr="00A1459E">
        <w:rPr>
          <w:rFonts w:cstheme="minorHAnsi"/>
        </w:rPr>
        <w:t xml:space="preserve"> now</w:t>
      </w:r>
      <w:r w:rsidR="002233D3" w:rsidRPr="00A1459E">
        <w:rPr>
          <w:rFonts w:cstheme="minorHAnsi"/>
        </w:rPr>
        <w:t xml:space="preserve"> in relation to the protection of their personal data, thanks to the implementation of the</w:t>
      </w:r>
      <w:r w:rsidR="00755F5A">
        <w:rPr>
          <w:rFonts w:cstheme="minorHAnsi"/>
        </w:rPr>
        <w:t xml:space="preserve"> EU</w:t>
      </w:r>
      <w:r w:rsidR="002233D3" w:rsidRPr="00A1459E">
        <w:rPr>
          <w:rFonts w:cstheme="minorHAnsi"/>
        </w:rPr>
        <w:t xml:space="preserve"> </w:t>
      </w:r>
      <w:hyperlink r:id="rId116" w:history="1">
        <w:r w:rsidR="00C82837">
          <w:rPr>
            <w:rStyle w:val="Hyperlink"/>
            <w:rFonts w:cstheme="minorHAnsi"/>
          </w:rPr>
          <w:t>General Data Protection Regulation (GDPR)</w:t>
        </w:r>
      </w:hyperlink>
      <w:r w:rsidR="00C82837">
        <w:rPr>
          <w:rFonts w:cstheme="minorHAnsi"/>
        </w:rPr>
        <w:t xml:space="preserve">, </w:t>
      </w:r>
      <w:r w:rsidR="002233D3" w:rsidRPr="00A1459E">
        <w:rPr>
          <w:rFonts w:cstheme="minorHAnsi"/>
        </w:rPr>
        <w:t>but</w:t>
      </w:r>
      <w:r w:rsidR="003E189B" w:rsidRPr="00A1459E">
        <w:rPr>
          <w:rFonts w:cstheme="minorHAnsi"/>
        </w:rPr>
        <w:t xml:space="preserve"> only</w:t>
      </w:r>
      <w:r w:rsidR="002233D3" w:rsidRPr="00A1459E">
        <w:rPr>
          <w:rFonts w:cstheme="minorHAnsi"/>
        </w:rPr>
        <w:t xml:space="preserve"> few people have practical knowledge of these rights</w:t>
      </w:r>
      <w:r w:rsidR="00EA2FEB" w:rsidRPr="00A1459E">
        <w:rPr>
          <w:rFonts w:cstheme="minorHAnsi"/>
        </w:rPr>
        <w:t xml:space="preserve"> and </w:t>
      </w:r>
      <w:r w:rsidR="002233D3" w:rsidRPr="00A1459E">
        <w:rPr>
          <w:rFonts w:cstheme="minorHAnsi"/>
        </w:rPr>
        <w:t xml:space="preserve">how to exercise them. </w:t>
      </w:r>
    </w:p>
    <w:p w14:paraId="28896A21" w14:textId="4C2C9F20" w:rsidR="002233D3" w:rsidRPr="00A1459E" w:rsidRDefault="002233D3" w:rsidP="00295AA8">
      <w:pPr>
        <w:rPr>
          <w:rFonts w:eastAsia="Times New Roman" w:cstheme="minorHAnsi"/>
          <w:lang w:eastAsia="en-GB"/>
        </w:rPr>
      </w:pPr>
      <w:r w:rsidRPr="00D404B4">
        <w:rPr>
          <w:rFonts w:eastAsia="Times New Roman" w:cstheme="minorHAnsi"/>
          <w:lang w:eastAsia="en-GB"/>
        </w:rPr>
        <w:t xml:space="preserve">Questions have been raised about </w:t>
      </w:r>
      <w:r w:rsidRPr="00D404B4">
        <w:rPr>
          <w:rFonts w:eastAsia="Times New Roman" w:cstheme="minorHAnsi"/>
          <w:b/>
          <w:bCs/>
          <w:lang w:eastAsia="en-GB"/>
        </w:rPr>
        <w:t>detection of assistive technologies</w:t>
      </w:r>
      <w:r w:rsidRPr="00D404B4">
        <w:rPr>
          <w:rFonts w:eastAsia="Times New Roman" w:cstheme="minorHAnsi"/>
          <w:lang w:eastAsia="en-GB"/>
        </w:rPr>
        <w:t xml:space="preserve">. For example, </w:t>
      </w:r>
      <w:r w:rsidRPr="00D404B4">
        <w:rPr>
          <w:rFonts w:cstheme="minorHAnsi"/>
        </w:rPr>
        <w:t>some accessibility experts raised concerns about screen reader or browser detection</w:t>
      </w:r>
      <w:r w:rsidR="00E46E20" w:rsidRPr="00D404B4">
        <w:rPr>
          <w:rFonts w:cstheme="minorHAnsi"/>
        </w:rPr>
        <w:t>.</w:t>
      </w:r>
      <w:r w:rsidRPr="00D404B4">
        <w:rPr>
          <w:rStyle w:val="FootnoteReference"/>
          <w:rFonts w:cstheme="minorHAnsi"/>
        </w:rPr>
        <w:footnoteReference w:id="103"/>
      </w:r>
      <w:r w:rsidRPr="00D404B4">
        <w:rPr>
          <w:rFonts w:cstheme="minorHAnsi"/>
        </w:rPr>
        <w:t xml:space="preserve"> Use of assistive technology or digital footprint can reveal disability status by proxy, and information about one’s disability is sensitive personal data. Lack of understanding about the implications of </w:t>
      </w:r>
      <w:r w:rsidRPr="00A1459E">
        <w:rPr>
          <w:rFonts w:cstheme="minorHAnsi"/>
        </w:rPr>
        <w:t>processing and sharing data, including highly sensitive personal data (</w:t>
      </w:r>
      <w:r w:rsidR="00BF4B57" w:rsidRPr="00A1459E">
        <w:rPr>
          <w:rFonts w:cstheme="minorHAnsi"/>
        </w:rPr>
        <w:t>e.g.,</w:t>
      </w:r>
      <w:r w:rsidRPr="00A1459E">
        <w:rPr>
          <w:rFonts w:cstheme="minorHAnsi"/>
        </w:rPr>
        <w:t xml:space="preserve"> health, </w:t>
      </w:r>
      <w:r w:rsidR="00731A8E" w:rsidRPr="00A1459E">
        <w:rPr>
          <w:rFonts w:cstheme="minorHAnsi"/>
        </w:rPr>
        <w:t>disability,</w:t>
      </w:r>
      <w:r w:rsidR="00775DD8" w:rsidRPr="00A1459E">
        <w:rPr>
          <w:rFonts w:cstheme="minorHAnsi"/>
        </w:rPr>
        <w:t xml:space="preserve"> and</w:t>
      </w:r>
      <w:r w:rsidRPr="00A1459E">
        <w:rPr>
          <w:rFonts w:cstheme="minorHAnsi"/>
        </w:rPr>
        <w:t xml:space="preserve"> biometrics) is common. Informed consent to collect data on user behaviour is required</w:t>
      </w:r>
      <w:r w:rsidR="0006138E" w:rsidRPr="00A1459E">
        <w:rPr>
          <w:rFonts w:cstheme="minorHAnsi"/>
        </w:rPr>
        <w:t>,</w:t>
      </w:r>
      <w:r w:rsidRPr="00A1459E">
        <w:rPr>
          <w:rFonts w:cstheme="minorHAnsi"/>
        </w:rPr>
        <w:t xml:space="preserve"> but in practice consent is not always sought</w:t>
      </w:r>
      <w:r w:rsidR="00E46E20" w:rsidRPr="00A1459E">
        <w:rPr>
          <w:rFonts w:cstheme="minorHAnsi"/>
        </w:rPr>
        <w:t>.</w:t>
      </w:r>
      <w:r w:rsidRPr="00A1459E">
        <w:rPr>
          <w:rStyle w:val="FootnoteReference"/>
          <w:rFonts w:cstheme="minorHAnsi"/>
        </w:rPr>
        <w:footnoteReference w:id="104"/>
      </w:r>
      <w:r w:rsidR="00E46E20" w:rsidRPr="00A1459E">
        <w:rPr>
          <w:rFonts w:cstheme="minorHAnsi"/>
        </w:rPr>
        <w:t xml:space="preserve"> </w:t>
      </w:r>
      <w:r w:rsidRPr="00A1459E">
        <w:rPr>
          <w:rFonts w:cstheme="minorHAnsi"/>
        </w:rPr>
        <w:t>There is another worrying trend</w:t>
      </w:r>
      <w:r w:rsidR="0006138E" w:rsidRPr="00A1459E">
        <w:rPr>
          <w:rFonts w:cstheme="minorHAnsi"/>
        </w:rPr>
        <w:t xml:space="preserve"> that</w:t>
      </w:r>
      <w:r w:rsidRPr="00A1459E">
        <w:rPr>
          <w:rFonts w:cstheme="minorHAnsi"/>
        </w:rPr>
        <w:t xml:space="preserve"> </w:t>
      </w:r>
      <w:r w:rsidRPr="00A1459E">
        <w:rPr>
          <w:rFonts w:cstheme="minorHAnsi"/>
          <w:b/>
          <w:bCs/>
        </w:rPr>
        <w:t>service providers restrict the use of assistive technology features</w:t>
      </w:r>
      <w:r w:rsidR="0006138E" w:rsidRPr="00A1459E">
        <w:rPr>
          <w:rFonts w:cstheme="minorHAnsi"/>
          <w:b/>
          <w:bCs/>
        </w:rPr>
        <w:t>,</w:t>
      </w:r>
      <w:r w:rsidRPr="00A1459E">
        <w:rPr>
          <w:rFonts w:cstheme="minorHAnsi"/>
          <w:b/>
          <w:bCs/>
        </w:rPr>
        <w:t xml:space="preserve"> if full access to data is not granted</w:t>
      </w:r>
      <w:r w:rsidRPr="00A1459E">
        <w:rPr>
          <w:rFonts w:cstheme="minorHAnsi"/>
        </w:rPr>
        <w:t>. For example, hearing aids or cochlear implants apps features may be limited</w:t>
      </w:r>
      <w:r w:rsidR="0006138E" w:rsidRPr="00A1459E">
        <w:rPr>
          <w:rFonts w:cstheme="minorHAnsi"/>
        </w:rPr>
        <w:t>,</w:t>
      </w:r>
      <w:r w:rsidRPr="00A1459E">
        <w:rPr>
          <w:rFonts w:cstheme="minorHAnsi"/>
        </w:rPr>
        <w:t xml:space="preserve"> if a user has</w:t>
      </w:r>
      <w:r w:rsidR="0006138E" w:rsidRPr="00A1459E">
        <w:rPr>
          <w:rFonts w:cstheme="minorHAnsi"/>
        </w:rPr>
        <w:t xml:space="preserve"> not</w:t>
      </w:r>
      <w:r w:rsidRPr="00A1459E">
        <w:rPr>
          <w:rFonts w:cstheme="minorHAnsi"/>
        </w:rPr>
        <w:t xml:space="preserve"> granted permission for data collection.</w:t>
      </w:r>
    </w:p>
    <w:bookmarkEnd w:id="51"/>
    <w:p w14:paraId="07C016B4" w14:textId="53014C99" w:rsidR="00344043" w:rsidRPr="00D404B4" w:rsidRDefault="00344043" w:rsidP="00295AA8">
      <w:pPr>
        <w:rPr>
          <w:rFonts w:cstheme="minorHAnsi"/>
        </w:rPr>
      </w:pPr>
      <w:r w:rsidRPr="00A1459E">
        <w:t>In relation to EU</w:t>
      </w:r>
      <w:r w:rsidR="00A46EEC" w:rsidRPr="00A1459E">
        <w:t>,</w:t>
      </w:r>
      <w:r w:rsidRPr="00A1459E">
        <w:t xml:space="preserve"> e-health policy and connected EU initiatives, it is very important to ensure that the views of persons with disabilities are taken into account. </w:t>
      </w:r>
      <w:r w:rsidR="00F07B84" w:rsidRPr="00F07B84">
        <w:t xml:space="preserve"> </w:t>
      </w:r>
      <w:r w:rsidR="00F07B84">
        <w:t xml:space="preserve">Unfortunately, this was not the case in the drafting and adoption of the </w:t>
      </w:r>
      <w:hyperlink r:id="rId117" w:history="1">
        <w:r w:rsidR="00F07B84" w:rsidRPr="004425CB">
          <w:rPr>
            <w:rStyle w:val="Hyperlink"/>
          </w:rPr>
          <w:t>European Health Data Space</w:t>
        </w:r>
      </w:hyperlink>
      <w:r w:rsidR="00F07B84">
        <w:t xml:space="preserve">, which exposes personal health data to unnecessary security and privacy risks. It does this by mandating primary collection and data sharing between healthcare providers and data controllers, by allowing Member States to override patients’ request to opt-out of secondary data sharing for purposes of “public interest” and “public tasks,” and by allowing broad access and use purposes to health data for secondary use. This widespread collection, storage and transfer of data poses significant cybersecurity risks for persons with disabilities and especially rare diseases, at a time when data breaches—whether accidental or caused by foreign adversaries—are occurring almost daily. </w:t>
      </w:r>
      <w:r w:rsidRPr="00A1459E">
        <w:t>Persons with disabilities must have the right to access and control what happens to their health data</w:t>
      </w:r>
      <w:r w:rsidR="00F07B84">
        <w:t>, including the right to opt-out of primary and secondary use</w:t>
      </w:r>
      <w:r w:rsidRPr="00A1459E">
        <w:t xml:space="preserve">; this </w:t>
      </w:r>
      <w:r w:rsidR="00F07B84">
        <w:t xml:space="preserve">also </w:t>
      </w:r>
      <w:r w:rsidRPr="00A1459E">
        <w:t xml:space="preserve">implies the development </w:t>
      </w:r>
      <w:r w:rsidRPr="00D404B4">
        <w:t>of accessible interfaces and software that compl</w:t>
      </w:r>
      <w:r w:rsidR="00F07B84">
        <w:t>y</w:t>
      </w:r>
      <w:r w:rsidRPr="00D404B4">
        <w:t xml:space="preserve"> with existing digital accessibility standards.</w:t>
      </w:r>
      <w:r w:rsidR="00B07DF8" w:rsidRPr="00D404B4">
        <w:rPr>
          <w:rStyle w:val="FootnoteReference"/>
        </w:rPr>
        <w:footnoteReference w:id="105"/>
      </w:r>
    </w:p>
    <w:p w14:paraId="2B970B25" w14:textId="127ECC7C" w:rsidR="00C15787" w:rsidRPr="00A1459E" w:rsidRDefault="00C15787" w:rsidP="00295AA8">
      <w:r w:rsidRPr="00D404B4">
        <w:t xml:space="preserve">The </w:t>
      </w:r>
      <w:r w:rsidR="00755F5A">
        <w:t>GDPR</w:t>
      </w:r>
      <w:r w:rsidRPr="00D404B4">
        <w:t xml:space="preserve"> does not sufficiently protect all persons with </w:t>
      </w:r>
      <w:r w:rsidRPr="00A1459E">
        <w:t>disabilities</w:t>
      </w:r>
      <w:r w:rsidR="0006138E" w:rsidRPr="00A1459E">
        <w:t xml:space="preserve"> as </w:t>
      </w:r>
      <w:r w:rsidRPr="00A1459E">
        <w:t xml:space="preserve">not all persons with disabilities will be able to refuse consent for processing their data. This is the </w:t>
      </w:r>
      <w:r w:rsidRPr="00D404B4">
        <w:t xml:space="preserve">case for many persons with intellectual and psychosocial disabilities </w:t>
      </w:r>
      <w:r w:rsidR="00B07DF8" w:rsidRPr="00D404B4">
        <w:t>because of substituted decision-</w:t>
      </w:r>
      <w:r w:rsidR="00B07DF8" w:rsidRPr="00D404B4">
        <w:lastRenderedPageBreak/>
        <w:t xml:space="preserve">making. </w:t>
      </w:r>
      <w:r w:rsidRPr="00D404B4">
        <w:t xml:space="preserve">The </w:t>
      </w:r>
      <w:r w:rsidR="00200916">
        <w:t>EU AI Act</w:t>
      </w:r>
      <w:r w:rsidRPr="00D404B4">
        <w:t xml:space="preserve"> does not address this gap in the GDPR, which</w:t>
      </w:r>
      <w:r w:rsidR="00200916">
        <w:t xml:space="preserve"> in practice</w:t>
      </w:r>
      <w:r w:rsidRPr="00D404B4">
        <w:t xml:space="preserve"> means that data processed by AI-systems can be done without </w:t>
      </w:r>
      <w:r w:rsidRPr="00A1459E">
        <w:t xml:space="preserve">the explicit consent </w:t>
      </w:r>
      <w:r w:rsidR="0006138E" w:rsidRPr="00A1459E">
        <w:t>of the person as the</w:t>
      </w:r>
      <w:r w:rsidRPr="00A1459E">
        <w:t xml:space="preserve"> right to object has been taken away due to guardianship.</w:t>
      </w:r>
      <w:r w:rsidR="001570FB" w:rsidRPr="00A1459E">
        <w:rPr>
          <w:rStyle w:val="FootnoteReference"/>
        </w:rPr>
        <w:footnoteReference w:id="106"/>
      </w:r>
    </w:p>
    <w:p w14:paraId="25FB8976" w14:textId="35DDD627" w:rsidR="00C15787" w:rsidRPr="00D404B4" w:rsidRDefault="00C15787" w:rsidP="00295AA8">
      <w:pPr>
        <w:rPr>
          <w:bCs/>
        </w:rPr>
      </w:pPr>
      <w:r w:rsidRPr="00A1459E">
        <w:t xml:space="preserve">Even if </w:t>
      </w:r>
      <w:r w:rsidR="00590BF9" w:rsidRPr="00A1459E">
        <w:t xml:space="preserve">the </w:t>
      </w:r>
      <w:r w:rsidRPr="00A1459E">
        <w:t>legal right to object to data processing by AI-systems is guaranteed</w:t>
      </w:r>
      <w:r w:rsidR="00200916">
        <w:t xml:space="preserve"> on paper</w:t>
      </w:r>
      <w:r w:rsidRPr="00A1459E">
        <w:t xml:space="preserve">, there are practical difficulties for individuals to exercise this right. </w:t>
      </w:r>
      <w:r w:rsidR="00544BA4" w:rsidRPr="00A1459E">
        <w:t>It</w:t>
      </w:r>
      <w:r w:rsidRPr="00A1459E">
        <w:rPr>
          <w:bCs/>
        </w:rPr>
        <w:t xml:space="preserve"> will be more difficult to know how to object to data collection or who to contact in </w:t>
      </w:r>
      <w:r w:rsidRPr="00D404B4">
        <w:rPr>
          <w:bCs/>
        </w:rPr>
        <w:t>case of a data breach by a machine.</w:t>
      </w:r>
      <w:r w:rsidR="00590BF9" w:rsidRPr="00D404B4">
        <w:rPr>
          <w:bCs/>
        </w:rPr>
        <w:t xml:space="preserve"> </w:t>
      </w:r>
      <w:r w:rsidRPr="00D404B4">
        <w:rPr>
          <w:bCs/>
        </w:rPr>
        <w:t>Additionally, many online services are made available to consumers only when they agree to the terms and conditions of the service, including data gathering. This is not a meaningful way of allowing persons to exercise control of their data.</w:t>
      </w:r>
    </w:p>
    <w:p w14:paraId="0E8189EE" w14:textId="6D9984E9" w:rsidR="00C85E30" w:rsidRPr="00D404B4" w:rsidRDefault="00C85E30" w:rsidP="00295AA8">
      <w:pPr>
        <w:rPr>
          <w:bCs/>
        </w:rPr>
      </w:pPr>
      <w:r w:rsidRPr="00D404B4">
        <w:rPr>
          <w:bCs/>
        </w:rPr>
        <w:t xml:space="preserve">The Regulation also </w:t>
      </w:r>
      <w:r w:rsidR="001570FB" w:rsidRPr="00D404B4">
        <w:rPr>
          <w:bCs/>
        </w:rPr>
        <w:t>allows</w:t>
      </w:r>
      <w:r w:rsidRPr="00D404B4">
        <w:rPr>
          <w:bCs/>
        </w:rPr>
        <w:t xml:space="preserve"> </w:t>
      </w:r>
      <w:r w:rsidR="001570FB" w:rsidRPr="00D404B4">
        <w:rPr>
          <w:bCs/>
        </w:rPr>
        <w:t>certain uses of AI, which are particularly intrusive against privacy and risk potential harm to persons with disabilities. These are remote biometric identification, biometric categorisation, and emotion recognition by AI systems by public authorities (</w:t>
      </w:r>
      <w:r w:rsidR="004E2E7B" w:rsidRPr="00D404B4">
        <w:rPr>
          <w:bCs/>
        </w:rPr>
        <w:t>e.g.,</w:t>
      </w:r>
      <w:r w:rsidR="001570FB" w:rsidRPr="00D404B4">
        <w:rPr>
          <w:bCs/>
        </w:rPr>
        <w:t xml:space="preserve"> law enforcement) and private entities (</w:t>
      </w:r>
      <w:r w:rsidR="00C569A4" w:rsidRPr="00D404B4">
        <w:rPr>
          <w:bCs/>
        </w:rPr>
        <w:t>e.g.,</w:t>
      </w:r>
      <w:r w:rsidR="001570FB" w:rsidRPr="00D404B4">
        <w:rPr>
          <w:bCs/>
        </w:rPr>
        <w:t xml:space="preserve"> private companies).</w:t>
      </w:r>
    </w:p>
    <w:p w14:paraId="7C318E52" w14:textId="5AD1C24A" w:rsidR="00590BF9" w:rsidRPr="00D404B4" w:rsidRDefault="00281C53" w:rsidP="00295AA8">
      <w:pPr>
        <w:rPr>
          <w:bCs/>
        </w:rPr>
      </w:pPr>
      <w:r>
        <w:rPr>
          <w:b/>
          <w:bCs/>
        </w:rPr>
        <w:t xml:space="preserve">We call for: </w:t>
      </w:r>
    </w:p>
    <w:p w14:paraId="467817BA" w14:textId="5AACD2ED" w:rsidR="00E73FC0" w:rsidRPr="00E73FC0" w:rsidRDefault="00E74E9F" w:rsidP="00E73FC0">
      <w:pPr>
        <w:pStyle w:val="ListParagraph"/>
        <w:numPr>
          <w:ilvl w:val="0"/>
          <w:numId w:val="25"/>
        </w:numPr>
        <w:rPr>
          <w:rFonts w:cstheme="minorHAnsi"/>
          <w:lang w:eastAsia="en-GB"/>
        </w:rPr>
      </w:pPr>
      <w:r w:rsidRPr="00E74E9F">
        <w:rPr>
          <w:rFonts w:cstheme="minorHAnsi"/>
          <w:lang w:eastAsia="en-GB"/>
        </w:rPr>
        <w:t>Me</w:t>
      </w:r>
      <w:r>
        <w:rPr>
          <w:rFonts w:cstheme="minorHAnsi"/>
          <w:lang w:eastAsia="en-GB"/>
        </w:rPr>
        <w:t>asures to ensure</w:t>
      </w:r>
      <w:r w:rsidR="00E73FC0" w:rsidRPr="00E73FC0">
        <w:rPr>
          <w:rFonts w:cstheme="minorHAnsi"/>
          <w:lang w:eastAsia="en-GB"/>
        </w:rPr>
        <w:t xml:space="preserve"> that users with disabilities are properly informed about how to protect their privacy, including their right to opt out of both primary and secondary access to their health data, and how to mitigate risks associated with the use of emerging technologies.</w:t>
      </w:r>
    </w:p>
    <w:p w14:paraId="0C34436B" w14:textId="7F328424" w:rsidR="00E73FC0" w:rsidRDefault="00862DAC" w:rsidP="00E73FC0">
      <w:pPr>
        <w:pStyle w:val="ListParagraph"/>
        <w:numPr>
          <w:ilvl w:val="0"/>
          <w:numId w:val="25"/>
        </w:numPr>
        <w:rPr>
          <w:rFonts w:cstheme="minorHAnsi"/>
          <w:lang w:eastAsia="en-GB"/>
        </w:rPr>
      </w:pPr>
      <w:r>
        <w:rPr>
          <w:rFonts w:cstheme="minorHAnsi"/>
          <w:lang w:eastAsia="en-GB"/>
        </w:rPr>
        <w:t>Concrete s</w:t>
      </w:r>
      <w:r w:rsidR="00E74E9F" w:rsidRPr="00E74E9F">
        <w:rPr>
          <w:rFonts w:cstheme="minorHAnsi"/>
          <w:lang w:eastAsia="en-GB"/>
        </w:rPr>
        <w:t>af</w:t>
      </w:r>
      <w:r w:rsidR="00E74E9F">
        <w:rPr>
          <w:rFonts w:cstheme="minorHAnsi"/>
          <w:lang w:eastAsia="en-GB"/>
        </w:rPr>
        <w:t>eguards to ensure that</w:t>
      </w:r>
      <w:r w:rsidR="00E73FC0" w:rsidRPr="00E73FC0">
        <w:rPr>
          <w:rFonts w:cstheme="minorHAnsi"/>
          <w:lang w:eastAsia="en-GB"/>
        </w:rPr>
        <w:t xml:space="preserve"> the privacy and data of all persons with disabilities, including individuals with intellectual and psychosocial disabilities, as well as those under substituted decision-making arrangements such as guardianship, are protected when their data is processed by AI systems.</w:t>
      </w:r>
    </w:p>
    <w:p w14:paraId="1BB39D5B" w14:textId="1BCC8E47" w:rsidR="00A64CFB" w:rsidRPr="00E73FC0" w:rsidRDefault="00C577DD" w:rsidP="00295AA8">
      <w:pPr>
        <w:pStyle w:val="ListParagraph"/>
        <w:numPr>
          <w:ilvl w:val="0"/>
          <w:numId w:val="25"/>
        </w:numPr>
        <w:spacing w:after="160"/>
        <w:contextualSpacing w:val="0"/>
        <w:rPr>
          <w:rFonts w:ascii="Verdana" w:hAnsi="Verdana"/>
          <w:highlight w:val="yellow"/>
        </w:rPr>
      </w:pPr>
      <w:r w:rsidRPr="00E73FC0">
        <w:rPr>
          <w:rFonts w:cstheme="minorHAnsi"/>
          <w:highlight w:val="yellow"/>
        </w:rPr>
        <w:t>Adoption of</w:t>
      </w:r>
      <w:r w:rsidR="00CD0A88" w:rsidRPr="00E73FC0">
        <w:rPr>
          <w:rFonts w:cstheme="minorHAnsi"/>
          <w:highlight w:val="yellow"/>
        </w:rPr>
        <w:t xml:space="preserve"> specific actions to </w:t>
      </w:r>
      <w:r w:rsidR="00BF4B57" w:rsidRPr="00E73FC0">
        <w:rPr>
          <w:rFonts w:cstheme="minorHAnsi"/>
          <w:highlight w:val="yellow"/>
        </w:rPr>
        <w:t>prevent potentially harmful data collection by emerging technologies providers</w:t>
      </w:r>
      <w:r w:rsidR="00E73FC0" w:rsidRPr="00E73FC0">
        <w:rPr>
          <w:rFonts w:cstheme="minorHAnsi"/>
          <w:highlight w:val="yellow"/>
        </w:rPr>
        <w:t>.</w:t>
      </w:r>
    </w:p>
    <w:p w14:paraId="1A160EFB" w14:textId="15E51E30" w:rsidR="00463BF7" w:rsidRPr="00C20C7F" w:rsidRDefault="00463BF7" w:rsidP="00295AA8">
      <w:pPr>
        <w:pStyle w:val="Heading2"/>
        <w:spacing w:line="276" w:lineRule="auto"/>
        <w:rPr>
          <w:lang w:val="en-GB"/>
        </w:rPr>
      </w:pPr>
      <w:bookmarkStart w:id="52" w:name="_Toc179386654"/>
      <w:r w:rsidRPr="00C20C7F">
        <w:rPr>
          <w:lang w:val="en-GB"/>
        </w:rPr>
        <w:t>Article 23: Respect for home and the family</w:t>
      </w:r>
      <w:bookmarkEnd w:id="52"/>
    </w:p>
    <w:p w14:paraId="499025B0" w14:textId="4F10E6E0" w:rsidR="00F5499A" w:rsidRPr="00D404B4" w:rsidRDefault="00117E3A" w:rsidP="00295AA8">
      <w:pPr>
        <w:spacing w:afterLines="120" w:after="288"/>
      </w:pPr>
      <w:r w:rsidRPr="00C20C7F">
        <w:t xml:space="preserve">After years of negotiation, the </w:t>
      </w:r>
      <w:hyperlink r:id="rId118" w:history="1">
        <w:r w:rsidRPr="00C20C7F">
          <w:rPr>
            <w:rStyle w:val="Hyperlink"/>
          </w:rPr>
          <w:t>Work-Life Balance Directive</w:t>
        </w:r>
      </w:hyperlink>
      <w:r w:rsidRPr="00C20C7F">
        <w:t xml:space="preserve"> was passed by the European Parliament in April 2019 and entered into force on 1 August 2019. </w:t>
      </w:r>
      <w:r w:rsidR="005D0D91" w:rsidRPr="00C20C7F">
        <w:t>P</w:t>
      </w:r>
      <w:r w:rsidRPr="00C20C7F">
        <w:t>rogress was made in several areas, such as paternity</w:t>
      </w:r>
      <w:r w:rsidRPr="00A1459E">
        <w:t xml:space="preserve"> leave and recognition </w:t>
      </w:r>
      <w:r w:rsidRPr="00D404B4">
        <w:t xml:space="preserve">of family diversity. </w:t>
      </w:r>
      <w:r w:rsidR="005D0D91">
        <w:t xml:space="preserve">For persons with disabilities and their families, the results were more mixed. </w:t>
      </w:r>
      <w:r w:rsidRPr="00D404B4">
        <w:t>Informal carers will have a minimum of 5 days leave per year but the level of remuneration for this paid leave will be at the discretion of national governments. The concern remains that national governments set very low remuneration levels, resulting in carers’ leave becoming unaffordable</w:t>
      </w:r>
      <w:r w:rsidR="00DA4796" w:rsidRPr="00D404B4">
        <w:t>, as well</w:t>
      </w:r>
      <w:r w:rsidR="0069556E" w:rsidRPr="00D404B4">
        <w:t xml:space="preserve"> as</w:t>
      </w:r>
      <w:r w:rsidR="00DA4796" w:rsidRPr="00D404B4">
        <w:t xml:space="preserve"> not raising the threshold of leave above the required minimum</w:t>
      </w:r>
      <w:r w:rsidR="00926252" w:rsidRPr="00D404B4">
        <w:t>.</w:t>
      </w:r>
      <w:r w:rsidR="00FC4CC1" w:rsidRPr="00D404B4">
        <w:t xml:space="preserve"> This is a missed opportunity to harmonise levels of welfare across the EU and could leave many families with members who have a disability, under-protected.</w:t>
      </w:r>
    </w:p>
    <w:p w14:paraId="0B511A7E" w14:textId="119F1217" w:rsidR="00F5499A" w:rsidRPr="00A1459E" w:rsidRDefault="00F5499A" w:rsidP="00295AA8">
      <w:pPr>
        <w:spacing w:afterLines="120" w:after="288"/>
        <w:rPr>
          <w:rFonts w:cs="Arial"/>
        </w:rPr>
      </w:pPr>
      <w:r w:rsidRPr="00D404B4">
        <w:rPr>
          <w:rFonts w:cs="Arial"/>
          <w:color w:val="000000"/>
        </w:rPr>
        <w:t xml:space="preserve">The European Semester process in recent years has </w:t>
      </w:r>
      <w:r w:rsidR="00C970B3" w:rsidRPr="00D404B4">
        <w:rPr>
          <w:rFonts w:cs="Arial"/>
          <w:color w:val="000000"/>
        </w:rPr>
        <w:t>referred</w:t>
      </w:r>
      <w:r w:rsidRPr="00D404B4">
        <w:rPr>
          <w:rFonts w:cs="Arial"/>
          <w:color w:val="000000"/>
        </w:rPr>
        <w:t xml:space="preserve"> to the issue of respect for home and the family. </w:t>
      </w:r>
      <w:r w:rsidR="00412523" w:rsidRPr="00D404B4">
        <w:rPr>
          <w:rFonts w:cs="Arial"/>
          <w:color w:val="000000"/>
        </w:rPr>
        <w:t>In 202</w:t>
      </w:r>
      <w:r w:rsidR="004046EF">
        <w:rPr>
          <w:rFonts w:cs="Arial"/>
          <w:color w:val="000000"/>
        </w:rPr>
        <w:t>4</w:t>
      </w:r>
      <w:r w:rsidR="00412523" w:rsidRPr="00D404B4">
        <w:rPr>
          <w:rFonts w:cs="Arial"/>
          <w:color w:val="000000"/>
        </w:rPr>
        <w:t xml:space="preserve">, </w:t>
      </w:r>
      <w:r w:rsidR="004046EF">
        <w:rPr>
          <w:rFonts w:cs="Arial"/>
          <w:color w:val="000000"/>
        </w:rPr>
        <w:t xml:space="preserve">the issue was raised in the country reports of a number of Member States, including Poland, Italy and Lithuania. However, these mentions were typically to explain activities that were already underway in these countries, and </w:t>
      </w:r>
      <w:hyperlink r:id="rId119" w:history="1">
        <w:r w:rsidR="004046EF" w:rsidRPr="00831F22">
          <w:rPr>
            <w:rStyle w:val="Hyperlink"/>
            <w:rFonts w:cs="Arial"/>
          </w:rPr>
          <w:t xml:space="preserve">no Member </w:t>
        </w:r>
        <w:r w:rsidR="004046EF" w:rsidRPr="00831F22">
          <w:rPr>
            <w:rStyle w:val="Hyperlink"/>
            <w:rFonts w:cs="Arial"/>
          </w:rPr>
          <w:lastRenderedPageBreak/>
          <w:t xml:space="preserve">State was given a clear recommendation by the European Commission to improve the support made available to </w:t>
        </w:r>
        <w:r w:rsidR="00B82C34" w:rsidRPr="00831F22">
          <w:rPr>
            <w:rStyle w:val="Hyperlink"/>
            <w:rFonts w:cs="Arial"/>
          </w:rPr>
          <w:t>families and informal carers</w:t>
        </w:r>
      </w:hyperlink>
      <w:r w:rsidR="00C74F52" w:rsidRPr="00A1459E">
        <w:rPr>
          <w:rFonts w:cs="Arial"/>
        </w:rPr>
        <w:t>.</w:t>
      </w:r>
    </w:p>
    <w:p w14:paraId="58695342" w14:textId="51B34062" w:rsidR="002B6BFD" w:rsidRDefault="002B6BFD" w:rsidP="00295AA8">
      <w:pPr>
        <w:spacing w:afterLines="120" w:after="288"/>
      </w:pPr>
      <w:r w:rsidRPr="00A1459E">
        <w:t xml:space="preserve">Support to families is however foreseen as part of the </w:t>
      </w:r>
      <w:hyperlink r:id="rId120" w:history="1">
        <w:r w:rsidRPr="005D0D91">
          <w:rPr>
            <w:rStyle w:val="Hyperlink"/>
          </w:rPr>
          <w:t>EU’s Child Guarantee for Vulnerable Children</w:t>
        </w:r>
      </w:hyperlink>
      <w:r w:rsidRPr="00A1459E">
        <w:t xml:space="preserve">. </w:t>
      </w:r>
      <w:r w:rsidR="008257A0" w:rsidRPr="00A1459E">
        <w:t>Under this Guarantee</w:t>
      </w:r>
      <w:r w:rsidRPr="00A1459E">
        <w:t xml:space="preserve"> the EU and the Member States commit to financial support to families and towards investing in the services they use</w:t>
      </w:r>
      <w:r w:rsidRPr="00D404B4">
        <w:t xml:space="preserve">, </w:t>
      </w:r>
      <w:r w:rsidR="00C970B3" w:rsidRPr="00D404B4">
        <w:t>to</w:t>
      </w:r>
      <w:r w:rsidRPr="00D404B4">
        <w:t xml:space="preserve"> bring the most vulnerable children in the EU out of poverty. See under </w:t>
      </w:r>
      <w:r w:rsidR="00FE4633" w:rsidRPr="00FE4633">
        <w:rPr>
          <w:b/>
          <w:bCs/>
        </w:rPr>
        <w:fldChar w:fldCharType="begin"/>
      </w:r>
      <w:r w:rsidR="00FE4633" w:rsidRPr="00D3255E">
        <w:rPr>
          <w:b/>
          <w:bCs/>
        </w:rPr>
        <w:instrText xml:space="preserve"> REF See_article_6 \h  \* MERGEFORMAT </w:instrText>
      </w:r>
      <w:r w:rsidR="00FE4633" w:rsidRPr="00FE4633">
        <w:rPr>
          <w:b/>
          <w:bCs/>
        </w:rPr>
      </w:r>
      <w:r w:rsidR="00FE4633" w:rsidRPr="00FE4633">
        <w:rPr>
          <w:b/>
          <w:bCs/>
        </w:rPr>
        <w:fldChar w:fldCharType="separate"/>
      </w:r>
      <w:r w:rsidR="00A157C1" w:rsidRPr="00A157C1">
        <w:rPr>
          <w:b/>
          <w:bCs/>
        </w:rPr>
        <w:t>Article 6</w:t>
      </w:r>
      <w:r w:rsidR="00FE4633" w:rsidRPr="00FE4633">
        <w:rPr>
          <w:b/>
          <w:bCs/>
        </w:rPr>
        <w:fldChar w:fldCharType="end"/>
      </w:r>
      <w:r w:rsidRPr="00D404B4">
        <w:t>.</w:t>
      </w:r>
    </w:p>
    <w:p w14:paraId="7F5925BE" w14:textId="4AC89BCD" w:rsidR="00831F22" w:rsidRPr="00D404B4" w:rsidRDefault="00831F22" w:rsidP="00295AA8">
      <w:pPr>
        <w:spacing w:afterLines="120" w:after="288"/>
        <w:rPr>
          <w:rFonts w:cs="Arial"/>
          <w:sz w:val="24"/>
          <w:szCs w:val="24"/>
        </w:rPr>
      </w:pPr>
      <w:r>
        <w:t xml:space="preserve">As the EU outlines in its reply to the </w:t>
      </w:r>
      <w:r w:rsidR="00CF499B">
        <w:t>LOIPR</w:t>
      </w:r>
      <w:r>
        <w:t xml:space="preserve">, in 2022 the European Commission released the </w:t>
      </w:r>
      <w:hyperlink r:id="rId121" w:anchor="navItem-relatedDocuments" w:history="1">
        <w:r w:rsidRPr="00AE7A4E">
          <w:rPr>
            <w:rStyle w:val="Hyperlink"/>
          </w:rPr>
          <w:t>EU Care Strategy</w:t>
        </w:r>
      </w:hyperlink>
      <w:r>
        <w:t xml:space="preserve">. </w:t>
      </w:r>
      <w:r w:rsidR="00BE1AD9">
        <w:t xml:space="preserve">The strategy acknowledges the roles of families and the right to family life. It also puts an emphasis on boosting the sector of service provision for persons with disabilities in order to better support persons with disabilities and their families in the future. </w:t>
      </w:r>
      <w:r>
        <w:t xml:space="preserve">Unfortunately, </w:t>
      </w:r>
      <w:hyperlink r:id="rId122" w:history="1">
        <w:r w:rsidRPr="00BE1AD9">
          <w:rPr>
            <w:rStyle w:val="Hyperlink"/>
          </w:rPr>
          <w:t xml:space="preserve">the strategy does not </w:t>
        </w:r>
        <w:r w:rsidR="00BE1AD9" w:rsidRPr="00BE1AD9">
          <w:rPr>
            <w:rStyle w:val="Hyperlink"/>
          </w:rPr>
          <w:t>contain binding measures but rather takes a soft approach</w:t>
        </w:r>
      </w:hyperlink>
      <w:r w:rsidR="00BE1AD9">
        <w:t xml:space="preserve">. </w:t>
      </w:r>
    </w:p>
    <w:p w14:paraId="3BC6CF95" w14:textId="29296186" w:rsidR="0080213E" w:rsidRPr="00D404B4" w:rsidRDefault="00F2155B" w:rsidP="00295AA8">
      <w:r>
        <w:rPr>
          <w:b/>
        </w:rPr>
        <w:t>We call for:</w:t>
      </w:r>
    </w:p>
    <w:p w14:paraId="57758E88" w14:textId="69D49204" w:rsidR="00BE1AD9" w:rsidRDefault="00F2155B" w:rsidP="00295AA8">
      <w:pPr>
        <w:pStyle w:val="ListParagraph"/>
        <w:numPr>
          <w:ilvl w:val="0"/>
          <w:numId w:val="12"/>
        </w:numPr>
        <w:contextualSpacing w:val="0"/>
      </w:pPr>
      <w:r>
        <w:t>Prioritising</w:t>
      </w:r>
      <w:r w:rsidR="00BE1AD9">
        <w:t xml:space="preserve"> the funding of support services for persons with disabilities and their families in the use of EU funding, particularly the European Social Fund Plus, the Recovery and Resilience Facility and funds used beyond the European Union</w:t>
      </w:r>
      <w:r w:rsidR="002C3E57">
        <w:t>’s borders</w:t>
      </w:r>
      <w:r w:rsidR="00BE1AD9">
        <w:t xml:space="preserve">. </w:t>
      </w:r>
    </w:p>
    <w:p w14:paraId="6F543FC6" w14:textId="62267F07" w:rsidR="00BE1AD9" w:rsidRPr="00C20C7F" w:rsidRDefault="00F2155B" w:rsidP="00295AA8">
      <w:pPr>
        <w:pStyle w:val="ListParagraph"/>
        <w:numPr>
          <w:ilvl w:val="0"/>
          <w:numId w:val="12"/>
        </w:numPr>
        <w:contextualSpacing w:val="0"/>
      </w:pPr>
      <w:r>
        <w:t>G</w:t>
      </w:r>
      <w:r w:rsidR="00BE1AD9">
        <w:t xml:space="preserve">reater focus on support for persons with disabilities, their families and informal </w:t>
      </w:r>
      <w:r w:rsidR="00BE1AD9" w:rsidRPr="00C20C7F">
        <w:t>carers, particularly women, in the next European Semester cycle.</w:t>
      </w:r>
    </w:p>
    <w:p w14:paraId="5B9B34BB" w14:textId="3CC9044E" w:rsidR="00D1134A" w:rsidRPr="00C20C7F" w:rsidRDefault="00463BF7" w:rsidP="00295AA8">
      <w:pPr>
        <w:pStyle w:val="Heading2"/>
        <w:spacing w:line="276" w:lineRule="auto"/>
        <w:rPr>
          <w:lang w:val="en-GB"/>
        </w:rPr>
      </w:pPr>
      <w:bookmarkStart w:id="53" w:name="_Toc179386655"/>
      <w:bookmarkEnd w:id="48"/>
      <w:r w:rsidRPr="00C20C7F">
        <w:rPr>
          <w:lang w:val="en-GB"/>
        </w:rPr>
        <w:t xml:space="preserve">Article 24: </w:t>
      </w:r>
      <w:r w:rsidR="00A1459E" w:rsidRPr="00C20C7F">
        <w:rPr>
          <w:lang w:val="en-GB"/>
        </w:rPr>
        <w:t>Education</w:t>
      </w:r>
      <w:bookmarkEnd w:id="53"/>
    </w:p>
    <w:p w14:paraId="5F3B7800" w14:textId="72F46B0B" w:rsidR="000D768A" w:rsidRPr="00A1459E" w:rsidRDefault="00C877EA" w:rsidP="00295AA8">
      <w:r w:rsidRPr="00C20C7F">
        <w:t xml:space="preserve">Segregated education of children with disabilities remains widespread in many EU Member States. </w:t>
      </w:r>
      <w:r w:rsidR="00AA448A" w:rsidRPr="00C20C7F">
        <w:t>This is particularly the case in lower secondary school where 2% of all learners in the EU are not in mainstream</w:t>
      </w:r>
      <w:r w:rsidR="00AA448A">
        <w:t xml:space="preserve"> education, particularly for learners with disabilities who are too often placed in special schools</w:t>
      </w:r>
      <w:r w:rsidR="00AA448A">
        <w:rPr>
          <w:rStyle w:val="FootnoteReference"/>
        </w:rPr>
        <w:footnoteReference w:id="107"/>
      </w:r>
      <w:r w:rsidR="00AA448A">
        <w:t>.</w:t>
      </w:r>
      <w:r w:rsidR="00DA5D2F" w:rsidRPr="00A1459E">
        <w:t xml:space="preserve"> Belgium,</w:t>
      </w:r>
      <w:r w:rsidR="00AA448A">
        <w:t xml:space="preserve"> the Netherlands, Estonia, Denmark,</w:t>
      </w:r>
      <w:r w:rsidR="00DA5D2F" w:rsidRPr="00A1459E">
        <w:t xml:space="preserve"> Germany and Latvia all have rates of enrolment in segregated schools far above the EU average.</w:t>
      </w:r>
      <w:r w:rsidR="00EE20D0" w:rsidRPr="00A1459E">
        <w:rPr>
          <w:rStyle w:val="FootnoteReference"/>
        </w:rPr>
        <w:footnoteReference w:id="108"/>
      </w:r>
      <w:r w:rsidR="00DA5D2F" w:rsidRPr="00A1459E">
        <w:t xml:space="preserve"> </w:t>
      </w:r>
      <w:r w:rsidR="00BD1E4B">
        <w:t xml:space="preserve">There is also </w:t>
      </w:r>
      <w:r w:rsidR="00E22DA4">
        <w:t>a distinct lack of education aimed at learners without disabilities that would enable them to better include their peers with disabilities, such as how to create accessible documents and digital content, or</w:t>
      </w:r>
      <w:r w:rsidR="006523F6">
        <w:t xml:space="preserve"> how to communicate using</w:t>
      </w:r>
      <w:r w:rsidR="00E22DA4">
        <w:t xml:space="preserve"> </w:t>
      </w:r>
      <w:r w:rsidR="006523F6">
        <w:t xml:space="preserve">the </w:t>
      </w:r>
      <w:r w:rsidR="00E22DA4">
        <w:t>national sign language</w:t>
      </w:r>
      <w:r w:rsidR="006523F6">
        <w:t>(</w:t>
      </w:r>
      <w:r w:rsidR="00E22DA4">
        <w:t>s</w:t>
      </w:r>
      <w:r w:rsidR="006523F6">
        <w:t>)</w:t>
      </w:r>
      <w:r w:rsidR="00E22DA4">
        <w:t xml:space="preserve">. </w:t>
      </w:r>
      <w:r w:rsidR="00DA5D2F" w:rsidRPr="00A1459E">
        <w:t xml:space="preserve"> </w:t>
      </w:r>
    </w:p>
    <w:p w14:paraId="5D03B73B" w14:textId="4CCC5752" w:rsidR="00E22DA4" w:rsidRPr="00A1459E" w:rsidRDefault="00C877EA" w:rsidP="00295AA8">
      <w:r w:rsidRPr="00A1459E">
        <w:t>Within its limited area of competence in this field, the EU uses the strategic investment of EU funds</w:t>
      </w:r>
      <w:r w:rsidR="00C07516" w:rsidRPr="00A1459E">
        <w:t xml:space="preserve"> to</w:t>
      </w:r>
      <w:r w:rsidRPr="00A1459E">
        <w:t xml:space="preserve"> influence</w:t>
      </w:r>
      <w:r w:rsidR="00C07516" w:rsidRPr="00A1459E">
        <w:t xml:space="preserve"> </w:t>
      </w:r>
      <w:r w:rsidR="00DE143B" w:rsidRPr="00A1459E">
        <w:t>and promote inclusive education</w:t>
      </w:r>
      <w:r w:rsidRPr="00A1459E">
        <w:t xml:space="preserve">. </w:t>
      </w:r>
      <w:r w:rsidR="00BD1E4B">
        <w:t xml:space="preserve">As the EU points out in its reply to the </w:t>
      </w:r>
      <w:r w:rsidR="002C0289">
        <w:t>LOIPR</w:t>
      </w:r>
      <w:r w:rsidR="00BD1E4B">
        <w:t>, it uses f</w:t>
      </w:r>
      <w:r w:rsidRPr="00A1459E">
        <w:t>unds from the EU Social Fund</w:t>
      </w:r>
      <w:r w:rsidR="00BD1E4B">
        <w:t xml:space="preserve"> Plus and the Regional Development Fund to support inclusive education and to develop more inclusive learning infrastructure</w:t>
      </w:r>
      <w:r w:rsidR="006523F6">
        <w:t>s</w:t>
      </w:r>
      <w:r w:rsidR="00BD1E4B">
        <w:t>. Since the COVID-19 pandemic the new Recovery and Resilience Facility has also been used to invest in education.</w:t>
      </w:r>
      <w:r w:rsidRPr="00A1459E">
        <w:t xml:space="preserve"> </w:t>
      </w:r>
      <w:r w:rsidR="00F5499A" w:rsidRPr="00A1459E">
        <w:t xml:space="preserve">Pressure is also exerted in the form of recommendations emerging from the European Semester process. However, these </w:t>
      </w:r>
      <w:r w:rsidR="00DE143B" w:rsidRPr="00A1459E">
        <w:t xml:space="preserve">attempts </w:t>
      </w:r>
      <w:r w:rsidR="00F5499A" w:rsidRPr="00A1459E">
        <w:t>focus primarily on the link between education and employment.</w:t>
      </w:r>
      <w:r w:rsidR="00786CC5">
        <w:t xml:space="preserve"> </w:t>
      </w:r>
      <w:r w:rsidR="00E22DA4">
        <w:t xml:space="preserve">The EU </w:t>
      </w:r>
      <w:r w:rsidR="00786CC5">
        <w:t xml:space="preserve">also </w:t>
      </w:r>
      <w:r w:rsidR="00E22DA4">
        <w:t xml:space="preserve">has the ability to support Member States in the reforms in inclusive education through its </w:t>
      </w:r>
      <w:hyperlink r:id="rId123" w:history="1">
        <w:r w:rsidR="00786CC5" w:rsidRPr="00786CC5">
          <w:rPr>
            <w:rStyle w:val="Hyperlink"/>
          </w:rPr>
          <w:t>Technical Support Instrument</w:t>
        </w:r>
      </w:hyperlink>
      <w:r w:rsidR="00786CC5">
        <w:t>, although it has to date rarely been used for this purpose.</w:t>
      </w:r>
    </w:p>
    <w:p w14:paraId="1C3ACAAC" w14:textId="77777777" w:rsidR="00997DC7" w:rsidRDefault="005575FE" w:rsidP="00997DC7">
      <w:r w:rsidRPr="00D404B4">
        <w:lastRenderedPageBreak/>
        <w:t xml:space="preserve">The EU also adopted the </w:t>
      </w:r>
      <w:hyperlink r:id="rId124" w:history="1">
        <w:r w:rsidRPr="00D404B4">
          <w:rPr>
            <w:rStyle w:val="Hyperlink"/>
          </w:rPr>
          <w:t>Digital Education Action Plan (2021-2027</w:t>
        </w:r>
      </w:hyperlink>
      <w:r w:rsidRPr="00D404B4">
        <w:t>). This is a</w:t>
      </w:r>
      <w:r w:rsidR="00BD1E4B">
        <w:t>n</w:t>
      </w:r>
      <w:r w:rsidRPr="00D404B4">
        <w:t xml:space="preserve"> EU policy initiative to support the sustainable and effective adaptation of the education and training systems of EU Member States to the digital age. </w:t>
      </w:r>
      <w:r w:rsidR="00870926" w:rsidRPr="00D404B4">
        <w:t xml:space="preserve">The </w:t>
      </w:r>
      <w:hyperlink r:id="rId125" w:history="1">
        <w:r w:rsidR="00870926" w:rsidRPr="00D404B4">
          <w:rPr>
            <w:rStyle w:val="Hyperlink"/>
          </w:rPr>
          <w:t xml:space="preserve">European Commission’s communication on the </w:t>
        </w:r>
        <w:r w:rsidR="009D6FF2" w:rsidRPr="00D404B4">
          <w:rPr>
            <w:rStyle w:val="Hyperlink"/>
          </w:rPr>
          <w:t>Action Plan</w:t>
        </w:r>
      </w:hyperlink>
      <w:r w:rsidR="009D6FF2" w:rsidRPr="00D404B4">
        <w:t xml:space="preserve"> stresses the importance of making sure that digital education is made accessible to all learners with </w:t>
      </w:r>
      <w:r w:rsidR="009D6FF2" w:rsidRPr="00A1459E">
        <w:t>disabilities</w:t>
      </w:r>
      <w:r w:rsidR="00DE143B" w:rsidRPr="00A1459E">
        <w:t>.</w:t>
      </w:r>
      <w:r w:rsidR="009D6FF2" w:rsidRPr="00A1459E">
        <w:t xml:space="preserve"> </w:t>
      </w:r>
      <w:r w:rsidR="000921A4" w:rsidRPr="00A1459E">
        <w:t>B</w:t>
      </w:r>
      <w:r w:rsidR="009D6FF2" w:rsidRPr="00A1459E">
        <w:t>ut exactly how this will be achieved</w:t>
      </w:r>
      <w:r w:rsidR="00542250" w:rsidRPr="00A1459E">
        <w:t>, and how it will include adult learners taking part in life-long learning schemes</w:t>
      </w:r>
      <w:r w:rsidR="000921A4" w:rsidRPr="00A1459E">
        <w:t xml:space="preserve"> </w:t>
      </w:r>
      <w:r w:rsidR="009D6FF2" w:rsidRPr="00A1459E">
        <w:t xml:space="preserve">remains unclear. </w:t>
      </w:r>
      <w:r w:rsidR="00870926" w:rsidRPr="00A1459E">
        <w:t xml:space="preserve"> </w:t>
      </w:r>
    </w:p>
    <w:p w14:paraId="76DB5707" w14:textId="77777777" w:rsidR="00775C0F" w:rsidRDefault="00165CBF" w:rsidP="00775C0F">
      <w:pPr>
        <w:pStyle w:val="Heading3"/>
      </w:pPr>
      <w:r>
        <w:t>Exchange programme</w:t>
      </w:r>
    </w:p>
    <w:p w14:paraId="3B22CC3D" w14:textId="3B34E253" w:rsidR="006764B7" w:rsidRDefault="006764B7" w:rsidP="00295AA8">
      <w:r w:rsidRPr="00D404B4">
        <w:t xml:space="preserve">The </w:t>
      </w:r>
      <w:hyperlink r:id="rId126" w:anchor=":~:text=Erasmus%2B%20est%20le%20programme%20de,et%20le%20sport%20en%20Europe.&amp;text=R%C3%A9sultats%20des%20projets%20Erasmus%2B%20Rechercher,les%20priorit%C3%A9s%20de%20la%20Commission." w:history="1">
        <w:r w:rsidRPr="00D404B4">
          <w:rPr>
            <w:rStyle w:val="Hyperlink"/>
          </w:rPr>
          <w:t>Erasmus+ Programme</w:t>
        </w:r>
      </w:hyperlink>
      <w:r w:rsidRPr="00D404B4">
        <w:t xml:space="preserve"> is the EU programme for Education, culture, youth and sport. It is the most successful exchange activity for students and learners in the EU. Despite its high success in the period 2014-2017 only 0,17% in the higher education strand were students with </w:t>
      </w:r>
      <w:r w:rsidRPr="00A1459E">
        <w:t>disabilities and 2,5% in the youth field. The program</w:t>
      </w:r>
      <w:r w:rsidR="00C955E0" w:rsidRPr="00A1459E">
        <w:t>me</w:t>
      </w:r>
      <w:r w:rsidRPr="00A1459E">
        <w:t xml:space="preserve"> provides grants dedicated to persons with disabilities. </w:t>
      </w:r>
      <w:r w:rsidR="0035671E" w:rsidRPr="00A1459E">
        <w:t>Unfortunately,</w:t>
      </w:r>
      <w:r w:rsidRPr="00A1459E">
        <w:t xml:space="preserve"> in many cases students and learners with disabilities </w:t>
      </w:r>
      <w:r w:rsidR="00C955E0" w:rsidRPr="00A1459E">
        <w:t xml:space="preserve">are forced to </w:t>
      </w:r>
      <w:r w:rsidRPr="00A1459E">
        <w:t>do a shorter</w:t>
      </w:r>
      <w:r w:rsidR="005A6823" w:rsidRPr="00A1459E">
        <w:t xml:space="preserve"> exchange or have to go to </w:t>
      </w:r>
      <w:r w:rsidR="00924D03" w:rsidRPr="00A1459E">
        <w:t>an</w:t>
      </w:r>
      <w:r w:rsidR="005A6823" w:rsidRPr="00A1459E">
        <w:t xml:space="preserve">other place than </w:t>
      </w:r>
      <w:r w:rsidR="00C955E0" w:rsidRPr="00A1459E">
        <w:t>requested by them,</w:t>
      </w:r>
      <w:r w:rsidR="005A6823" w:rsidRPr="00A1459E">
        <w:t xml:space="preserve"> because the funding provided is not sufficient to cover </w:t>
      </w:r>
      <w:r w:rsidR="00924D03" w:rsidRPr="00A1459E">
        <w:t>disability related costs</w:t>
      </w:r>
      <w:r w:rsidR="005A6823" w:rsidRPr="00A1459E">
        <w:t xml:space="preserve"> (</w:t>
      </w:r>
      <w:r w:rsidRPr="00A1459E">
        <w:t>such as sign language</w:t>
      </w:r>
      <w:r w:rsidR="00970541" w:rsidRPr="00A1459E">
        <w:t xml:space="preserve"> interpreting</w:t>
      </w:r>
      <w:r w:rsidRPr="00A1459E">
        <w:t>, personal assistan</w:t>
      </w:r>
      <w:r w:rsidR="00C955E0" w:rsidRPr="00A1459E">
        <w:t>ce</w:t>
      </w:r>
      <w:r w:rsidRPr="00A1459E">
        <w:t xml:space="preserve"> etc</w:t>
      </w:r>
      <w:r w:rsidR="005A6823" w:rsidRPr="00A1459E">
        <w:t>.)</w:t>
      </w:r>
      <w:r w:rsidRPr="00A1459E">
        <w:t xml:space="preserve"> or the university </w:t>
      </w:r>
      <w:r w:rsidR="005A6823" w:rsidRPr="00A1459E">
        <w:t>selected</w:t>
      </w:r>
      <w:r w:rsidRPr="00A1459E">
        <w:t xml:space="preserve"> </w:t>
      </w:r>
      <w:r w:rsidR="005A6823" w:rsidRPr="00A1459E">
        <w:t>is not</w:t>
      </w:r>
      <w:r w:rsidRPr="00A1459E">
        <w:t xml:space="preserve"> accessible. </w:t>
      </w:r>
      <w:r w:rsidR="005A6823" w:rsidRPr="00A1459E">
        <w:t>While there has been some progress with the new Erasmus+ programme,</w:t>
      </w:r>
      <w:r w:rsidR="005A6823" w:rsidRPr="00A1459E">
        <w:rPr>
          <w:rStyle w:val="FootnoteReference"/>
        </w:rPr>
        <w:footnoteReference w:id="109"/>
      </w:r>
      <w:r w:rsidR="005A6823" w:rsidRPr="00A1459E">
        <w:t xml:space="preserve"> information about the programme is not available in accessible formats and the websites and platform</w:t>
      </w:r>
      <w:r w:rsidR="00C955E0" w:rsidRPr="00A1459E">
        <w:t>s</w:t>
      </w:r>
      <w:r w:rsidR="005A6823" w:rsidRPr="00A1459E">
        <w:t xml:space="preserve"> used are not compliant with accessibility standards. Another major </w:t>
      </w:r>
      <w:r w:rsidR="00331C6F" w:rsidRPr="00A1459E">
        <w:t>barrier</w:t>
      </w:r>
      <w:r w:rsidR="005A6823" w:rsidRPr="00A1459E">
        <w:t xml:space="preserve"> for students with disabilities is the </w:t>
      </w:r>
      <w:r w:rsidR="00331C6F" w:rsidRPr="00A1459E">
        <w:t>impossibility to transfer the services the</w:t>
      </w:r>
      <w:r w:rsidR="00924D03" w:rsidRPr="00A1459E">
        <w:t>y</w:t>
      </w:r>
      <w:r w:rsidR="00331C6F" w:rsidRPr="00A1459E">
        <w:t xml:space="preserve"> received in their home university to the host country. The introduction of virtual mobility component</w:t>
      </w:r>
      <w:r w:rsidR="00C955E0" w:rsidRPr="00A1459E">
        <w:t>s</w:t>
      </w:r>
      <w:r w:rsidR="00331C6F" w:rsidRPr="00A1459E">
        <w:t xml:space="preserve"> in the programme can have positive effects, however it also </w:t>
      </w:r>
      <w:r w:rsidR="00924D03" w:rsidRPr="00A1459E">
        <w:t>slows</w:t>
      </w:r>
      <w:r w:rsidR="00331C6F" w:rsidRPr="00A1459E">
        <w:t xml:space="preserve"> down the actions </w:t>
      </w:r>
      <w:r w:rsidR="00331C6F" w:rsidRPr="00D404B4">
        <w:t xml:space="preserve">taken by national agencies to solve issues of costs and accessibility. </w:t>
      </w:r>
    </w:p>
    <w:p w14:paraId="352F8351" w14:textId="77777777" w:rsidR="00775C0F" w:rsidRDefault="00775C0F" w:rsidP="00775C0F">
      <w:pPr>
        <w:pStyle w:val="Heading3"/>
      </w:pPr>
      <w:r>
        <w:t>Use of artificial intelligence</w:t>
      </w:r>
    </w:p>
    <w:p w14:paraId="7ACD940A" w14:textId="77777777" w:rsidR="00775C0F" w:rsidRDefault="00775C0F" w:rsidP="00775C0F">
      <w:r>
        <w:t>The EU Regulation on Artificial Intelligence (AI) allows the use of AI for decision making in education, such as determining admissions, allocating students to educational pathways, assessing learning outcomes and detecting cheating within educational institutions. These applications are categorised as high-risk in the regulation.</w:t>
      </w:r>
      <w:r w:rsidRPr="00A1459E">
        <w:rPr>
          <w:rStyle w:val="FootnoteReference"/>
        </w:rPr>
        <w:footnoteReference w:id="110"/>
      </w:r>
      <w:r>
        <w:t xml:space="preserve"> While the EDF recognises that is better to regulate these use cases as high-risk, we think AI should be prohibited from being employed for such purposes altogether. </w:t>
      </w:r>
    </w:p>
    <w:p w14:paraId="3BB53244" w14:textId="77777777" w:rsidR="00775C0F" w:rsidRPr="00997DC7" w:rsidRDefault="00775C0F" w:rsidP="00775C0F">
      <w:r w:rsidRPr="00997DC7">
        <w:t xml:space="preserve">The increasing reliance on AI-driven decision-making in education has the potential to </w:t>
      </w:r>
      <w:r>
        <w:t xml:space="preserve">increase </w:t>
      </w:r>
      <w:r w:rsidRPr="00997DC7">
        <w:t>exacerbate discrimination, particularly against persons with disabilities. These technologies could perpetuate and amplify biases on a large scale, leading to systemic exclusion and reduced participation of persons with disabilities in education. The societal consequences of such exclusion go beyond individual discrimination and undermine broader efforts toward inclusion and equality.</w:t>
      </w:r>
      <w:r>
        <w:t xml:space="preserve"> </w:t>
      </w:r>
    </w:p>
    <w:p w14:paraId="67C9ABF6" w14:textId="306B30F6" w:rsidR="00775C0F" w:rsidRPr="00D404B4" w:rsidRDefault="00775C0F" w:rsidP="00295AA8">
      <w:r w:rsidRPr="00997DC7">
        <w:t xml:space="preserve">Moreover, allowing AI to be used in this </w:t>
      </w:r>
      <w:r>
        <w:t>context could conflict</w:t>
      </w:r>
      <w:r w:rsidRPr="00997DC7">
        <w:t xml:space="preserve"> with </w:t>
      </w:r>
      <w:hyperlink r:id="rId127" w:history="1">
        <w:r w:rsidRPr="00997DC7">
          <w:rPr>
            <w:rStyle w:val="Hyperlink"/>
          </w:rPr>
          <w:t>Council Directive 2000/78/EC, which mandates equal treatment in employment and occupation</w:t>
        </w:r>
      </w:hyperlink>
      <w:r w:rsidRPr="00997DC7">
        <w:t xml:space="preserve">, including in vocational training. The directive specifically aims to protect persons with disabilities from </w:t>
      </w:r>
      <w:r w:rsidRPr="00997DC7">
        <w:lastRenderedPageBreak/>
        <w:t>discrimination, and the use of AI in educational decision-making risks contravening these legal protections by reinforcing discriminatory practices.</w:t>
      </w:r>
    </w:p>
    <w:p w14:paraId="2092830A" w14:textId="4409BB07" w:rsidR="00004E38" w:rsidRPr="00D404B4" w:rsidRDefault="00C670F4" w:rsidP="00295AA8">
      <w:r>
        <w:rPr>
          <w:b/>
        </w:rPr>
        <w:t xml:space="preserve">We call for: </w:t>
      </w:r>
    </w:p>
    <w:p w14:paraId="576711EC" w14:textId="67737133" w:rsidR="00786CC5" w:rsidRDefault="00C670F4" w:rsidP="00360E44">
      <w:pPr>
        <w:pStyle w:val="ListParagraph"/>
        <w:numPr>
          <w:ilvl w:val="0"/>
          <w:numId w:val="12"/>
        </w:numPr>
        <w:spacing w:after="0"/>
        <w:contextualSpacing w:val="0"/>
      </w:pPr>
      <w:r>
        <w:t xml:space="preserve">Increase of the </w:t>
      </w:r>
      <w:r w:rsidR="00786CC5">
        <w:t>financial support offered to persons with disabilities taking part in Erasmus+ programmes in order to ensure their disability-related costs are fully covered.</w:t>
      </w:r>
    </w:p>
    <w:p w14:paraId="782BE9B9" w14:textId="797D7D53" w:rsidR="00786CC5" w:rsidRDefault="00786CC5" w:rsidP="00360E44">
      <w:pPr>
        <w:pStyle w:val="ListParagraph"/>
        <w:numPr>
          <w:ilvl w:val="0"/>
          <w:numId w:val="12"/>
        </w:numPr>
        <w:spacing w:after="0"/>
        <w:contextualSpacing w:val="0"/>
      </w:pPr>
      <w:r>
        <w:t>Better advertise</w:t>
      </w:r>
      <w:r w:rsidR="00C670F4">
        <w:t>ment of</w:t>
      </w:r>
      <w:r>
        <w:t xml:space="preserve"> the potential of the Technical Support Instrument to Member States </w:t>
      </w:r>
      <w:r w:rsidR="0083159F">
        <w:t>and encourage them to use it for education reforms and the reduction of segregated schools.</w:t>
      </w:r>
    </w:p>
    <w:p w14:paraId="32192AE4" w14:textId="639CC408" w:rsidR="00786CC5" w:rsidRPr="00C20C7F" w:rsidRDefault="00786CC5" w:rsidP="00360E44">
      <w:pPr>
        <w:pStyle w:val="ListParagraph"/>
        <w:numPr>
          <w:ilvl w:val="0"/>
          <w:numId w:val="12"/>
        </w:numPr>
        <w:spacing w:after="0"/>
        <w:contextualSpacing w:val="0"/>
      </w:pPr>
      <w:r>
        <w:t>Promot</w:t>
      </w:r>
      <w:r w:rsidR="00C670F4">
        <w:t>ion of</w:t>
      </w:r>
      <w:r>
        <w:t xml:space="preserve"> the teaching of national sign languages and digital accessibility in </w:t>
      </w:r>
      <w:r w:rsidRPr="00C20C7F">
        <w:t>national curricula across the EU</w:t>
      </w:r>
      <w:r w:rsidR="0083159F" w:rsidRPr="00C20C7F">
        <w:t>.</w:t>
      </w:r>
    </w:p>
    <w:p w14:paraId="7497D73A" w14:textId="3D1CFD22" w:rsidR="00347E26" w:rsidRPr="00C20C7F" w:rsidRDefault="00463BF7" w:rsidP="00295AA8">
      <w:pPr>
        <w:pStyle w:val="Heading2"/>
        <w:rPr>
          <w:lang w:val="en-GB"/>
        </w:rPr>
      </w:pPr>
      <w:bookmarkStart w:id="54" w:name="_Toc179386656"/>
      <w:r w:rsidRPr="00C20C7F">
        <w:rPr>
          <w:lang w:val="en-GB"/>
        </w:rPr>
        <w:t xml:space="preserve">Articles 25-26: </w:t>
      </w:r>
      <w:r w:rsidR="00A1459E" w:rsidRPr="00C20C7F">
        <w:rPr>
          <w:lang w:val="en-GB"/>
        </w:rPr>
        <w:t>H</w:t>
      </w:r>
      <w:r w:rsidR="00347E26" w:rsidRPr="00C20C7F">
        <w:rPr>
          <w:lang w:val="en-GB"/>
        </w:rPr>
        <w:t>ealth</w:t>
      </w:r>
      <w:r w:rsidRPr="00C20C7F">
        <w:rPr>
          <w:lang w:val="en-GB"/>
        </w:rPr>
        <w:t>, habilitation and rehabilitation</w:t>
      </w:r>
      <w:bookmarkEnd w:id="54"/>
      <w:r w:rsidRPr="00C20C7F">
        <w:rPr>
          <w:lang w:val="en-GB"/>
        </w:rPr>
        <w:t xml:space="preserve"> </w:t>
      </w:r>
    </w:p>
    <w:p w14:paraId="124956AA" w14:textId="10A9F4FE" w:rsidR="00DA5148" w:rsidRPr="00A1459E" w:rsidRDefault="00F07B84" w:rsidP="00295AA8">
      <w:r w:rsidRPr="00C20C7F">
        <w:t xml:space="preserve">Persons with disabilities face a myriad of barriers in accessing healthcare, </w:t>
      </w:r>
      <w:r w:rsidR="000B584C" w:rsidRPr="00C20C7F">
        <w:t>resulting in</w:t>
      </w:r>
      <w:r w:rsidRPr="00C20C7F">
        <w:t xml:space="preserve"> poorer health outcomes, higher</w:t>
      </w:r>
      <w:r>
        <w:t xml:space="preserve"> unmet medical needs and higher mortality </w:t>
      </w:r>
      <w:r w:rsidR="000B584C">
        <w:t>compared to</w:t>
      </w:r>
      <w:r>
        <w:t xml:space="preserve"> persons without disabilities. </w:t>
      </w:r>
    </w:p>
    <w:p w14:paraId="76ACCE5C" w14:textId="1D146E8B" w:rsidR="0099278C" w:rsidRDefault="0099278C" w:rsidP="00295AA8">
      <w:r w:rsidRPr="00D404B4">
        <w:t xml:space="preserve">According to the </w:t>
      </w:r>
      <w:hyperlink r:id="rId128" w:history="1">
        <w:r w:rsidR="00823655">
          <w:rPr>
            <w:rStyle w:val="Hyperlink"/>
          </w:rPr>
          <w:t>Gender Equality Index 2023</w:t>
        </w:r>
      </w:hyperlink>
      <w:r w:rsidRPr="00D404B4">
        <w:t xml:space="preserve">, on average in the EU, only </w:t>
      </w:r>
      <w:r w:rsidR="00EA14D5" w:rsidRPr="00D404B4">
        <w:t>19</w:t>
      </w:r>
      <w:r w:rsidRPr="00D404B4">
        <w:t>% of women with disabilities and 2</w:t>
      </w:r>
      <w:r w:rsidR="00823655">
        <w:t>2</w:t>
      </w:r>
      <w:r w:rsidRPr="00D404B4">
        <w:t xml:space="preserve">% of men with disabilities perceived </w:t>
      </w:r>
      <w:r w:rsidRPr="00A1459E">
        <w:t>themselves as</w:t>
      </w:r>
      <w:r w:rsidR="00331DA7" w:rsidRPr="00A1459E">
        <w:t xml:space="preserve"> being</w:t>
      </w:r>
      <w:r w:rsidRPr="00A1459E">
        <w:t xml:space="preserve"> in good or very good health, </w:t>
      </w:r>
      <w:r w:rsidR="00F07B84" w:rsidRPr="00A1459E">
        <w:t>compar</w:t>
      </w:r>
      <w:r w:rsidR="00F07B84">
        <w:t>ed</w:t>
      </w:r>
      <w:r w:rsidR="00F07B84" w:rsidRPr="00A1459E">
        <w:t xml:space="preserve"> </w:t>
      </w:r>
      <w:r w:rsidRPr="00A1459E">
        <w:t>to 8</w:t>
      </w:r>
      <w:r w:rsidR="00823655">
        <w:t>4</w:t>
      </w:r>
      <w:r w:rsidRPr="00A1459E">
        <w:t>% of women without disabilities and 8</w:t>
      </w:r>
      <w:r w:rsidR="00823655">
        <w:t>6</w:t>
      </w:r>
      <w:r w:rsidRPr="00A1459E">
        <w:t>% of men without disabilities.</w:t>
      </w:r>
      <w:r w:rsidR="00EA14D5" w:rsidRPr="00A1459E">
        <w:rPr>
          <w:rStyle w:val="FootnoteReference"/>
        </w:rPr>
        <w:footnoteReference w:id="111"/>
      </w:r>
      <w:r w:rsidRPr="00A1459E">
        <w:t xml:space="preserve"> At least </w:t>
      </w:r>
      <w:r w:rsidR="00B96809">
        <w:t>9</w:t>
      </w:r>
      <w:r w:rsidRPr="00A1459E">
        <w:t xml:space="preserve">% of women with disabilities and </w:t>
      </w:r>
      <w:r w:rsidR="00B96809">
        <w:t>8</w:t>
      </w:r>
      <w:r w:rsidR="00475E79" w:rsidRPr="00A1459E">
        <w:t>% of men with disabilities</w:t>
      </w:r>
      <w:r w:rsidRPr="00A1459E">
        <w:t xml:space="preserve"> reported unmet needs for medical examination</w:t>
      </w:r>
      <w:r w:rsidR="00475E79" w:rsidRPr="00A1459E">
        <w:t xml:space="preserve">, comparing to </w:t>
      </w:r>
      <w:r w:rsidR="00B96809">
        <w:t>4</w:t>
      </w:r>
      <w:r w:rsidR="00475E79" w:rsidRPr="00A1459E">
        <w:t>% of women</w:t>
      </w:r>
      <w:r w:rsidR="00B96809">
        <w:t xml:space="preserve"> and men</w:t>
      </w:r>
      <w:r w:rsidR="00475E79" w:rsidRPr="00A1459E">
        <w:t xml:space="preserve"> without disabilities. </w:t>
      </w:r>
      <w:r w:rsidR="002A0B93" w:rsidRPr="00A1459E">
        <w:t>Beside</w:t>
      </w:r>
      <w:r w:rsidR="00F07B84">
        <w:t>s</w:t>
      </w:r>
      <w:r w:rsidR="002A0B93" w:rsidRPr="00A1459E">
        <w:t xml:space="preserve"> this</w:t>
      </w:r>
      <w:r w:rsidR="00F07B84">
        <w:t>,</w:t>
      </w:r>
      <w:r w:rsidR="002A0B93" w:rsidRPr="00A1459E">
        <w:t xml:space="preserve"> there is</w:t>
      </w:r>
      <w:r w:rsidR="00331DA7" w:rsidRPr="00A1459E">
        <w:t xml:space="preserve"> only</w:t>
      </w:r>
      <w:r w:rsidR="002A0B93" w:rsidRPr="00A1459E">
        <w:t xml:space="preserve"> </w:t>
      </w:r>
      <w:r w:rsidR="00F23014" w:rsidRPr="00A1459E">
        <w:t xml:space="preserve">limited </w:t>
      </w:r>
      <w:r w:rsidR="00331DA7" w:rsidRPr="00A1459E">
        <w:t>or even</w:t>
      </w:r>
      <w:r w:rsidR="00F23014" w:rsidRPr="00A1459E">
        <w:t xml:space="preserve"> no</w:t>
      </w:r>
      <w:r w:rsidR="002A0B93" w:rsidRPr="00A1459E">
        <w:t xml:space="preserve"> data on access to healthcare services by persons with disabilities. </w:t>
      </w:r>
    </w:p>
    <w:p w14:paraId="77A246D5" w14:textId="0069B16B" w:rsidR="00F07B84" w:rsidRDefault="00F07B84" w:rsidP="00295AA8">
      <w:r>
        <w:t xml:space="preserve">Accessing adapted healthcare is even more difficult for persons with disabilities moving or travelling to another Member State. </w:t>
      </w:r>
      <w:r w:rsidRPr="002555EF">
        <w:t xml:space="preserve">This prevents many people with disabilities from being able to enjoy freedom of movement and to seek work or living opportunities in another EU Member State. Disability based discrimination in access to healthcare is not prohibited under EU law (see </w:t>
      </w:r>
      <w:r w:rsidRPr="002555EF">
        <w:rPr>
          <w:b/>
          <w:bCs/>
        </w:rPr>
        <w:fldChar w:fldCharType="begin"/>
      </w:r>
      <w:r w:rsidRPr="002555EF">
        <w:rPr>
          <w:b/>
          <w:bCs/>
        </w:rPr>
        <w:instrText xml:space="preserve"> REF See_article_5 \h  \* MERGEFORMAT </w:instrText>
      </w:r>
      <w:r w:rsidRPr="002555EF">
        <w:rPr>
          <w:b/>
          <w:bCs/>
        </w:rPr>
      </w:r>
      <w:r w:rsidRPr="002555EF">
        <w:rPr>
          <w:b/>
          <w:bCs/>
        </w:rPr>
        <w:fldChar w:fldCharType="separate"/>
      </w:r>
      <w:r w:rsidRPr="002555EF">
        <w:rPr>
          <w:b/>
          <w:bCs/>
        </w:rPr>
        <w:t>Article 5</w:t>
      </w:r>
      <w:r w:rsidRPr="002555EF">
        <w:fldChar w:fldCharType="end"/>
      </w:r>
      <w:r w:rsidRPr="002555EF">
        <w:t>).</w:t>
      </w:r>
      <w:r w:rsidRPr="002555EF">
        <w:rPr>
          <w:vertAlign w:val="superscript"/>
        </w:rPr>
        <w:footnoteReference w:id="112"/>
      </w:r>
    </w:p>
    <w:p w14:paraId="3EF695AC" w14:textId="77777777" w:rsidR="00F07B84" w:rsidRDefault="00F07B84" w:rsidP="00F07B84">
      <w:pPr>
        <w:pStyle w:val="Heading3"/>
      </w:pPr>
      <w:r>
        <w:t>EU Health Funding</w:t>
      </w:r>
    </w:p>
    <w:p w14:paraId="14D8C90B" w14:textId="016B3AAA" w:rsidR="00F07B84" w:rsidRDefault="00F07B84" w:rsidP="00F07B84">
      <w:r>
        <w:t xml:space="preserve">The </w:t>
      </w:r>
      <w:hyperlink r:id="rId129" w:history="1">
        <w:r w:rsidRPr="0093750B">
          <w:rPr>
            <w:rStyle w:val="Hyperlink"/>
          </w:rPr>
          <w:t>EU4Health Programme</w:t>
        </w:r>
      </w:hyperlink>
      <w:r>
        <w:t xml:space="preserve"> is </w:t>
      </w:r>
      <w:r w:rsidRPr="00DB1474">
        <w:t>the main financial instrument to support EU health policies</w:t>
      </w:r>
      <w:r>
        <w:t xml:space="preserve"> and was mentioned as such in the EU’s reply to the LO</w:t>
      </w:r>
      <w:r w:rsidR="0093750B">
        <w:t>I</w:t>
      </w:r>
      <w:r>
        <w:t xml:space="preserve">PR when detailing the actions it supports. However, in early 2024, the EU decided to reallocate 1 billion euros, nearly a third of the overall EU4Health budget, to various other priorities. With such deep cuts, it is unclear how the EU will carry out planned actions and how actions aimed at reducing health inequities for persons with disabilities will be prioritised. There has also been a lack of </w:t>
      </w:r>
      <w:r>
        <w:lastRenderedPageBreak/>
        <w:t xml:space="preserve">transparency around the decision-making process, lacking consultation or involvement of organisations of persons with disabilities. </w:t>
      </w:r>
    </w:p>
    <w:p w14:paraId="633BEB20" w14:textId="7B4DBB5A" w:rsidR="00F07B84" w:rsidRPr="00D404B4" w:rsidRDefault="00F07B84" w:rsidP="00295AA8">
      <w:r>
        <w:t xml:space="preserve">The study on access to healthcare for persons with disabilities was funded by the EU4Health 2022 Programme. It will culminate in a set of guidelines to Member States on increasing access and overcoming barriers. The EU should ensure adequate resources to support Member States in guideline implementation and earmark future EU funds for related research and developments. </w:t>
      </w:r>
    </w:p>
    <w:p w14:paraId="7B41E196" w14:textId="65D53671" w:rsidR="00DD256E" w:rsidRPr="00D404B4" w:rsidRDefault="00DD256E" w:rsidP="00295AA8">
      <w:pPr>
        <w:pStyle w:val="Heading3"/>
      </w:pPr>
      <w:r w:rsidRPr="00D404B4">
        <w:t>European Health Union</w:t>
      </w:r>
    </w:p>
    <w:p w14:paraId="29783A8B" w14:textId="130973DE" w:rsidR="00DD256E" w:rsidRPr="00D404B4" w:rsidRDefault="00DD256E" w:rsidP="00295AA8">
      <w:r w:rsidRPr="00D404B4">
        <w:t xml:space="preserve">In reaction to the COVID-19 pandemic the European Commission took the initiative to build a </w:t>
      </w:r>
      <w:hyperlink r:id="rId130" w:anchor="key-initiatives" w:history="1">
        <w:r w:rsidRPr="00D404B4">
          <w:rPr>
            <w:rStyle w:val="Hyperlink"/>
          </w:rPr>
          <w:t>European Health Union</w:t>
        </w:r>
      </w:hyperlink>
      <w:r w:rsidRPr="00D404B4">
        <w:t xml:space="preserve">, in which all EU countries prepare and respond together to health </w:t>
      </w:r>
      <w:r w:rsidRPr="00A1459E">
        <w:t>crises</w:t>
      </w:r>
      <w:r w:rsidR="00A1459E" w:rsidRPr="00A1459E">
        <w:t>,</w:t>
      </w:r>
      <w:r w:rsidRPr="00A1459E">
        <w:t xml:space="preserve"> </w:t>
      </w:r>
      <w:r w:rsidR="00A1459E" w:rsidRPr="00A1459E">
        <w:t>m</w:t>
      </w:r>
      <w:r w:rsidRPr="00A1459E">
        <w:t xml:space="preserve">edical supplies are available, affordable and innovative, and countries work together to improve prevention, </w:t>
      </w:r>
      <w:r w:rsidRPr="00D404B4">
        <w:t>treatment and aftercare for diseases such as cancer</w:t>
      </w:r>
      <w:r w:rsidR="00790695" w:rsidRPr="00D404B4">
        <w:t>.</w:t>
      </w:r>
      <w:r w:rsidRPr="00D404B4">
        <w:rPr>
          <w:rStyle w:val="FootnoteReference"/>
        </w:rPr>
        <w:footnoteReference w:id="113"/>
      </w:r>
      <w:r w:rsidRPr="00D404B4">
        <w:t xml:space="preserve"> </w:t>
      </w:r>
      <w:r w:rsidR="00EA0A6A">
        <w:t xml:space="preserve">The plan identified persons with disabilities as a target population among vulnerable groups and committed to ensuring access to essential social support services and information. </w:t>
      </w:r>
      <w:r w:rsidR="00EA0A6A" w:rsidRPr="009B3FDA">
        <w:t>However, an evaluation of the state of preparedness did not mention any progress on these commitments or the benefits to persons with disabilities from its flagship initiatives</w:t>
      </w:r>
      <w:r w:rsidR="0093750B">
        <w:t>.</w:t>
      </w:r>
      <w:r w:rsidR="00EA0A6A">
        <w:rPr>
          <w:rStyle w:val="FootnoteReference"/>
        </w:rPr>
        <w:footnoteReference w:id="114"/>
      </w:r>
    </w:p>
    <w:p w14:paraId="4A2E8954" w14:textId="4AADF724" w:rsidR="00DD256E" w:rsidRDefault="00EA0A6A" w:rsidP="00295AA8">
      <w:r>
        <w:t>Among its flagship initiatives,</w:t>
      </w:r>
      <w:r w:rsidR="00DD256E" w:rsidRPr="00D404B4">
        <w:t xml:space="preserve"> the Commission launched a </w:t>
      </w:r>
      <w:hyperlink r:id="rId131" w:history="1">
        <w:r w:rsidR="00DD256E" w:rsidRPr="00D404B4">
          <w:rPr>
            <w:rStyle w:val="Hyperlink"/>
          </w:rPr>
          <w:t>Beating Cancer Plan</w:t>
        </w:r>
      </w:hyperlink>
      <w:r w:rsidR="00DD256E" w:rsidRPr="00D404B4">
        <w:t xml:space="preserve"> to prevent </w:t>
      </w:r>
      <w:r w:rsidR="00DD256E" w:rsidRPr="00A1459E">
        <w:t xml:space="preserve">cancer and </w:t>
      </w:r>
      <w:r w:rsidR="00B75834" w:rsidRPr="00A1459E">
        <w:t xml:space="preserve">to </w:t>
      </w:r>
      <w:r w:rsidR="00DD256E" w:rsidRPr="00A1459E">
        <w:t xml:space="preserve">ensure that cancer patients, survivors, their families and carers can enjoy a high quality of life. The plan includes actions and flagship initiatives covering the entire disease pathway. </w:t>
      </w:r>
      <w:r>
        <w:t>While</w:t>
      </w:r>
      <w:r w:rsidR="00DD256E" w:rsidRPr="00A1459E">
        <w:t xml:space="preserve"> the Plan </w:t>
      </w:r>
      <w:r w:rsidRPr="00A1459E">
        <w:t>d</w:t>
      </w:r>
      <w:r>
        <w:t>id</w:t>
      </w:r>
      <w:r w:rsidRPr="00A1459E">
        <w:t xml:space="preserve"> </w:t>
      </w:r>
      <w:r w:rsidR="00DD256E" w:rsidRPr="00A1459E">
        <w:t>not foresee targeted measures for persons with disabilities</w:t>
      </w:r>
      <w:r>
        <w:t xml:space="preserve">, it has responded to input from </w:t>
      </w:r>
      <w:r w:rsidR="0093750B">
        <w:t>EDF</w:t>
      </w:r>
      <w:r>
        <w:t xml:space="preserve"> regarding a number of consultation and feedback opportunities</w:t>
      </w:r>
      <w:r>
        <w:rPr>
          <w:rStyle w:val="FootnoteReference"/>
        </w:rPr>
        <w:footnoteReference w:id="115"/>
      </w:r>
      <w:r w:rsidRPr="00A1459E">
        <w:t xml:space="preserve">. </w:t>
      </w:r>
      <w:r>
        <w:t xml:space="preserve">The EU should make clear how it will support Member States in the implementation of the </w:t>
      </w:r>
      <w:hyperlink r:id="rId132" w:history="1">
        <w:r w:rsidRPr="00FA19F5">
          <w:rPr>
            <w:rStyle w:val="Hyperlink"/>
          </w:rPr>
          <w:t>Council Recommendation on vaccine-preventable cancers</w:t>
        </w:r>
      </w:hyperlink>
      <w:r>
        <w:t>, including through involvement with organisations of persons with disabilities, to ensure it achieves its inclusive aims. Similarly, for remaining activities, the EU must continue to ensure disability inclusion.</w:t>
      </w:r>
      <w:r w:rsidR="00DD256E" w:rsidRPr="00A1459E">
        <w:t xml:space="preserve"> If accessibility </w:t>
      </w:r>
      <w:r w:rsidR="00B75834" w:rsidRPr="00A1459E">
        <w:t>with regard to</w:t>
      </w:r>
      <w:r w:rsidR="00DD256E" w:rsidRPr="00A1459E">
        <w:t xml:space="preserve"> prevention, detection, </w:t>
      </w:r>
      <w:r w:rsidR="00731A8E" w:rsidRPr="00A1459E">
        <w:t>diagnosis,</w:t>
      </w:r>
      <w:r w:rsidR="00DD256E" w:rsidRPr="00A1459E">
        <w:t xml:space="preserve"> and treatment is not ensured, persons with disabilities will be excluded from this initiative.</w:t>
      </w:r>
      <w:r w:rsidR="00F530E5" w:rsidRPr="00A1459E">
        <w:t xml:space="preserve"> Women with disabilities are particularly affected </w:t>
      </w:r>
      <w:r w:rsidR="008842D6" w:rsidRPr="00A1459E">
        <w:t>when it comes to</w:t>
      </w:r>
      <w:r w:rsidR="00F530E5" w:rsidRPr="00A1459E">
        <w:t xml:space="preserve"> breast and uterine cancer prevention</w:t>
      </w:r>
      <w:r w:rsidR="008842D6" w:rsidRPr="00A1459E">
        <w:t xml:space="preserve">, </w:t>
      </w:r>
      <w:r w:rsidR="00F530E5" w:rsidRPr="00A1459E">
        <w:t xml:space="preserve">because </w:t>
      </w:r>
      <w:r w:rsidR="00F530E5" w:rsidRPr="00D404B4">
        <w:t>of this lack of accessibility to medical and radiology equipment and facilities.</w:t>
      </w:r>
    </w:p>
    <w:p w14:paraId="0B708E1E" w14:textId="7273F69C" w:rsidR="00EA0A6A" w:rsidRPr="00D404B4" w:rsidRDefault="00EA0A6A" w:rsidP="00295AA8">
      <w:r>
        <w:t xml:space="preserve">Under the European Health Union, the EU also launched a </w:t>
      </w:r>
      <w:hyperlink r:id="rId133" w:history="1">
        <w:r w:rsidRPr="0093750B">
          <w:rPr>
            <w:rStyle w:val="Hyperlink"/>
          </w:rPr>
          <w:t>comprehensive approach to mental health</w:t>
        </w:r>
      </w:hyperlink>
      <w:r>
        <w:t>. It recognises various mental health determinants for persons with disabilities and collects initiatives including the Commission guidance on independent living and inclusion. However, Mental Health Europe notes that the approach does not constitute any new initiatives or funding, but rather a reorganisation under this new umbrella. Similarly, it makes reference to reintegration into society after recovery suggesting continued support for institutional or segregated mental healthcare services</w:t>
      </w:r>
      <w:r w:rsidR="0093750B">
        <w:t>.</w:t>
      </w:r>
      <w:r>
        <w:rPr>
          <w:rStyle w:val="FootnoteReference"/>
        </w:rPr>
        <w:footnoteReference w:id="116"/>
      </w:r>
      <w:r>
        <w:t xml:space="preserve"> The EU should ensure continued </w:t>
      </w:r>
      <w:r>
        <w:lastRenderedPageBreak/>
        <w:t xml:space="preserve">focus on the mental health determinants of persons with disabilities as well as access to mental healthcare services in ongoing and future activities. </w:t>
      </w:r>
    </w:p>
    <w:p w14:paraId="4E9EE9A9" w14:textId="4176D049" w:rsidR="00DA5148" w:rsidRPr="00D404B4" w:rsidRDefault="00DA5148" w:rsidP="00295AA8">
      <w:pPr>
        <w:pStyle w:val="Heading3"/>
      </w:pPr>
      <w:r w:rsidRPr="00D404B4">
        <w:t xml:space="preserve">Cross-border healthcare </w:t>
      </w:r>
    </w:p>
    <w:p w14:paraId="33ECC4C3" w14:textId="77AEBCB8" w:rsidR="00211290" w:rsidRPr="00A1459E" w:rsidRDefault="00DA5148" w:rsidP="00295AA8">
      <w:r w:rsidRPr="00D404B4">
        <w:t xml:space="preserve">The </w:t>
      </w:r>
      <w:hyperlink r:id="rId134" w:history="1">
        <w:r w:rsidRPr="00D404B4">
          <w:rPr>
            <w:rStyle w:val="Hyperlink"/>
          </w:rPr>
          <w:t>Directive 2011/24/EU on patients’ rights in cross-border health care</w:t>
        </w:r>
      </w:hyperlink>
      <w:r w:rsidRPr="00D404B4">
        <w:t xml:space="preserve"> </w:t>
      </w:r>
      <w:r w:rsidR="00B75834" w:rsidRPr="00A1459E">
        <w:t>guarantees</w:t>
      </w:r>
      <w:r w:rsidRPr="00A1459E">
        <w:t xml:space="preserve"> the right to all patients to seek healthcare in another EU Member States. In 2021, the European Commission launched an evaluation of the Directive</w:t>
      </w:r>
      <w:r w:rsidR="00EA0A6A" w:rsidRPr="00EA0A6A">
        <w:t xml:space="preserve"> </w:t>
      </w:r>
      <w:r w:rsidR="00EA0A6A">
        <w:t>with an external evaluation published in 2022</w:t>
      </w:r>
      <w:r w:rsidR="00203DF1">
        <w:t>.</w:t>
      </w:r>
      <w:r w:rsidR="00EA0A6A">
        <w:rPr>
          <w:rStyle w:val="FootnoteReference"/>
        </w:rPr>
        <w:footnoteReference w:id="117"/>
      </w:r>
    </w:p>
    <w:p w14:paraId="6CCB2606" w14:textId="4771F56F" w:rsidR="001235D7" w:rsidRDefault="00C302D8" w:rsidP="00295AA8">
      <w:r w:rsidRPr="00A1459E">
        <w:t>P</w:t>
      </w:r>
      <w:r w:rsidR="00DA5148" w:rsidRPr="00A1459E">
        <w:t xml:space="preserve">atients with disabilities continue to face barriers in accessing cross-border healthcare. </w:t>
      </w:r>
      <w:r w:rsidR="00211290" w:rsidRPr="00A1459E">
        <w:t xml:space="preserve">In particular, the National Contact Points </w:t>
      </w:r>
      <w:r w:rsidR="00EA0A6A">
        <w:t xml:space="preserve">(NCP) </w:t>
      </w:r>
      <w:r w:rsidR="00211290" w:rsidRPr="00A1459E">
        <w:t xml:space="preserve">in charge of providing information on access to cross-border healthcare do not systematically provide accessible and targeted information to patients with disabilities. For </w:t>
      </w:r>
      <w:r w:rsidR="00A1459E" w:rsidRPr="00A1459E">
        <w:t>example,</w:t>
      </w:r>
      <w:r w:rsidR="00211290" w:rsidRPr="00A1459E">
        <w:t xml:space="preserve"> on the National Contact Points’ websites no information is provided on reasonable adjustments of healthcare facilities and services, neither on sexual </w:t>
      </w:r>
      <w:r w:rsidR="004E2E7B" w:rsidRPr="00A1459E">
        <w:t>nor</w:t>
      </w:r>
      <w:r w:rsidR="00211290" w:rsidRPr="00A1459E">
        <w:t xml:space="preserve"> reproductive healthcare services. Few websites provide information on physical accessibility of healthcare facilities</w:t>
      </w:r>
      <w:r w:rsidR="00211290" w:rsidRPr="00A1459E">
        <w:rPr>
          <w:rStyle w:val="FootnoteReference"/>
        </w:rPr>
        <w:footnoteReference w:id="118"/>
      </w:r>
      <w:r w:rsidR="00211290" w:rsidRPr="00A1459E">
        <w:t xml:space="preserve"> </w:t>
      </w:r>
      <w:r w:rsidR="00EA0A6A">
        <w:t>and only 10 out of the 30 NCP websites were found to be accessible for people with sensory disabilities</w:t>
      </w:r>
      <w:r w:rsidR="00EA0A6A">
        <w:rPr>
          <w:rStyle w:val="FootnoteReference"/>
        </w:rPr>
        <w:footnoteReference w:id="119"/>
      </w:r>
      <w:r w:rsidR="00EA0A6A">
        <w:t>.</w:t>
      </w:r>
    </w:p>
    <w:p w14:paraId="58C69F6C" w14:textId="46034A97" w:rsidR="00EA0A6A" w:rsidRPr="00A1459E" w:rsidRDefault="00EA0A6A" w:rsidP="00295AA8">
      <w:r>
        <w:t xml:space="preserve">The Directive also </w:t>
      </w:r>
      <w:r w:rsidRPr="00821526">
        <w:t>does not include specific mandatory provisions to address the needs of individuals with limited mobility, such as elderly people or those with disabilities.</w:t>
      </w:r>
    </w:p>
    <w:p w14:paraId="4FD670BC" w14:textId="27D16483" w:rsidR="00211290" w:rsidRPr="00A1459E" w:rsidRDefault="00211290" w:rsidP="00295AA8">
      <w:r w:rsidRPr="00A1459E">
        <w:t xml:space="preserve">In </w:t>
      </w:r>
      <w:r w:rsidR="00A1459E" w:rsidRPr="00A1459E">
        <w:t>addition,</w:t>
      </w:r>
      <w:r w:rsidRPr="00A1459E">
        <w:t xml:space="preserve"> </w:t>
      </w:r>
      <w:r w:rsidR="001235D7" w:rsidRPr="00A1459E">
        <w:t xml:space="preserve">EU law on cross-border healthcare </w:t>
      </w:r>
      <w:r w:rsidR="00086F67" w:rsidRPr="00A1459E">
        <w:t>include</w:t>
      </w:r>
      <w:r w:rsidR="00B75834" w:rsidRPr="00A1459E">
        <w:t>s</w:t>
      </w:r>
      <w:r w:rsidR="00086F67" w:rsidRPr="00A1459E">
        <w:t xml:space="preserve"> an optional provision on</w:t>
      </w:r>
      <w:r w:rsidR="001235D7" w:rsidRPr="00A1459E">
        <w:t xml:space="preserve"> </w:t>
      </w:r>
      <w:r w:rsidR="008865CC" w:rsidRPr="00A1459E">
        <w:t xml:space="preserve">the </w:t>
      </w:r>
      <w:r w:rsidR="001235D7" w:rsidRPr="00A1459E">
        <w:t>reimburse</w:t>
      </w:r>
      <w:r w:rsidR="00086F67" w:rsidRPr="00A1459E">
        <w:t>ment of</w:t>
      </w:r>
      <w:r w:rsidR="001235D7" w:rsidRPr="00A1459E">
        <w:t xml:space="preserve"> additional disability-related costs. Whether disability-related costs (</w:t>
      </w:r>
      <w:r w:rsidR="004E2E7B" w:rsidRPr="00A1459E">
        <w:t>e.g.,</w:t>
      </w:r>
      <w:r w:rsidR="001235D7" w:rsidRPr="00A1459E">
        <w:t xml:space="preserve"> increased transport costs and costs incurred by personal assistants) are reimbursed has an obvious impact on the capacity of patients with disabilities to exercise their right to planned cross-border healthcare</w:t>
      </w:r>
      <w:r w:rsidR="00EA0A6A" w:rsidRPr="00EA0A6A">
        <w:t xml:space="preserve"> </w:t>
      </w:r>
      <w:r w:rsidR="00EA0A6A">
        <w:t>yet few Member States disclose whether these costs will be reimbursed</w:t>
      </w:r>
      <w:r w:rsidR="001235D7" w:rsidRPr="00A1459E">
        <w:t>. A previous report show</w:t>
      </w:r>
      <w:r w:rsidR="008865CC" w:rsidRPr="00A1459E">
        <w:t>s</w:t>
      </w:r>
      <w:r w:rsidR="001235D7" w:rsidRPr="00A1459E">
        <w:t xml:space="preserve"> that no additional costs were reimbursed in 76% of a</w:t>
      </w:r>
      <w:r w:rsidR="00C302D8" w:rsidRPr="00A1459E">
        <w:t xml:space="preserve"> </w:t>
      </w:r>
      <w:r w:rsidR="001235D7" w:rsidRPr="00A1459E">
        <w:t>small sample</w:t>
      </w:r>
      <w:r w:rsidR="00203DF1">
        <w:t>.</w:t>
      </w:r>
      <w:r w:rsidR="00FB43E5" w:rsidRPr="00A1459E">
        <w:rPr>
          <w:rStyle w:val="FootnoteReference"/>
        </w:rPr>
        <w:footnoteReference w:id="120"/>
      </w:r>
      <w:r w:rsidR="00FB43E5" w:rsidRPr="00A1459E">
        <w:t xml:space="preserve"> </w:t>
      </w:r>
      <w:r w:rsidR="00EA0A6A">
        <w:t>Even for treatments not subject to prior authorisation, reimbursement took an average of 56 days in 2019, resulting in a greater financial burden for persons with disabilities who generally have greater utilisation rates, higher unmet medical needs and lower material wealth than persons without disabilities. Financial barriers were noted as a key barrier in accessing healthcare across borders.</w:t>
      </w:r>
      <w:r w:rsidR="00EA0A6A">
        <w:rPr>
          <w:rStyle w:val="FootnoteReference"/>
        </w:rPr>
        <w:footnoteReference w:id="121"/>
      </w:r>
      <w:r w:rsidR="00EA0A6A">
        <w:t xml:space="preserve"> </w:t>
      </w:r>
    </w:p>
    <w:p w14:paraId="3BDA6C2E" w14:textId="77777777" w:rsidR="00EA0A6A" w:rsidRDefault="00390ECE" w:rsidP="00390ECE">
      <w:pPr>
        <w:rPr>
          <w:b/>
        </w:rPr>
      </w:pPr>
      <w:r>
        <w:rPr>
          <w:b/>
        </w:rPr>
        <w:t xml:space="preserve">We call for: </w:t>
      </w:r>
    </w:p>
    <w:p w14:paraId="1BAA466A" w14:textId="77777777" w:rsidR="00EA0A6A" w:rsidRPr="000765CA" w:rsidRDefault="00EA0A6A" w:rsidP="00EA0A6A">
      <w:pPr>
        <w:pStyle w:val="ListParagraph"/>
        <w:numPr>
          <w:ilvl w:val="0"/>
          <w:numId w:val="70"/>
        </w:numPr>
      </w:pPr>
      <w:r w:rsidRPr="000765CA">
        <w:t>Support</w:t>
      </w:r>
      <w:r>
        <w:t>ing</w:t>
      </w:r>
      <w:r w:rsidRPr="000765CA">
        <w:t xml:space="preserve"> M</w:t>
      </w:r>
      <w:r>
        <w:t xml:space="preserve">ember </w:t>
      </w:r>
      <w:r w:rsidRPr="000765CA">
        <w:t>S</w:t>
      </w:r>
      <w:r>
        <w:t>tates</w:t>
      </w:r>
      <w:r w:rsidRPr="000765CA">
        <w:t xml:space="preserve"> through financial discharging and through exchange of good practices on the implementation of guidelines to increase access and overcome barriers in access to healthcare for persons with disabilities. </w:t>
      </w:r>
    </w:p>
    <w:p w14:paraId="2593D8C1" w14:textId="77777777" w:rsidR="00EA0A6A" w:rsidRDefault="00EA0A6A" w:rsidP="00EA0A6A">
      <w:pPr>
        <w:pStyle w:val="ListParagraph"/>
        <w:numPr>
          <w:ilvl w:val="0"/>
          <w:numId w:val="70"/>
        </w:numPr>
      </w:pPr>
      <w:r w:rsidRPr="000765CA">
        <w:t>Restor</w:t>
      </w:r>
      <w:r>
        <w:t>ing</w:t>
      </w:r>
      <w:r w:rsidRPr="000765CA">
        <w:t xml:space="preserve"> and ensur</w:t>
      </w:r>
      <w:r>
        <w:t>ing</w:t>
      </w:r>
      <w:r w:rsidRPr="000765CA">
        <w:t xml:space="preserve"> future funding to the EU4Health programme</w:t>
      </w:r>
      <w:r>
        <w:t xml:space="preserve"> to implement future activities aimed at </w:t>
      </w:r>
      <w:r w:rsidRPr="000765CA">
        <w:t>address</w:t>
      </w:r>
      <w:r>
        <w:t xml:space="preserve">ing </w:t>
      </w:r>
      <w:r w:rsidRPr="000765CA">
        <w:t>health inequities for persons with disabilities.</w:t>
      </w:r>
    </w:p>
    <w:p w14:paraId="7C5CE123" w14:textId="1F46D3BA" w:rsidR="005F0606" w:rsidRPr="00C20C7F" w:rsidRDefault="00EA0A6A" w:rsidP="00F942F2">
      <w:pPr>
        <w:pStyle w:val="ListParagraph"/>
        <w:numPr>
          <w:ilvl w:val="0"/>
          <w:numId w:val="70"/>
        </w:numPr>
      </w:pPr>
      <w:r>
        <w:lastRenderedPageBreak/>
        <w:t xml:space="preserve">A revision of the Patient Mobility Directive for equal access to healthcare for patients </w:t>
      </w:r>
      <w:r w:rsidRPr="00C20C7F">
        <w:t>with disabilities in cross-border situations.</w:t>
      </w:r>
    </w:p>
    <w:p w14:paraId="72DEEA5F" w14:textId="7D50C2FA" w:rsidR="00463BF7" w:rsidRPr="00C20C7F" w:rsidRDefault="00463BF7" w:rsidP="00295AA8">
      <w:pPr>
        <w:pStyle w:val="Heading2"/>
        <w:spacing w:after="240" w:line="276" w:lineRule="auto"/>
        <w:rPr>
          <w:lang w:val="en-GB"/>
        </w:rPr>
      </w:pPr>
      <w:bookmarkStart w:id="55" w:name="_Toc179386657"/>
      <w:r w:rsidRPr="00C20C7F">
        <w:rPr>
          <w:lang w:val="en-GB"/>
        </w:rPr>
        <w:t xml:space="preserve">Article 27: </w:t>
      </w:r>
      <w:r w:rsidR="00C05D9A" w:rsidRPr="00C20C7F">
        <w:rPr>
          <w:lang w:val="en-GB"/>
        </w:rPr>
        <w:t>Work and e</w:t>
      </w:r>
      <w:r w:rsidRPr="00C20C7F">
        <w:rPr>
          <w:lang w:val="en-GB"/>
        </w:rPr>
        <w:t>mployment</w:t>
      </w:r>
      <w:bookmarkEnd w:id="55"/>
    </w:p>
    <w:p w14:paraId="56DCB9C0" w14:textId="4F4A28A7" w:rsidR="00463BF7" w:rsidRPr="00D404B4" w:rsidRDefault="00463BF7" w:rsidP="00295AA8">
      <w:pPr>
        <w:spacing w:after="240"/>
      </w:pPr>
      <w:bookmarkStart w:id="56" w:name="_Hlk83665549"/>
      <w:r w:rsidRPr="00C20C7F">
        <w:t xml:space="preserve">Across the EU persons with disabilities are far less likely to be employed than persons without disabilities. </w:t>
      </w:r>
      <w:r w:rsidR="00944CAA" w:rsidRPr="00C20C7F">
        <w:t>Eurostat reports that only 50.6% of men and 45.9% of women with disabilities are employed, often</w:t>
      </w:r>
      <w:r w:rsidR="00944CAA" w:rsidRPr="00944CAA">
        <w:t xml:space="preserve"> in part-time or low-paid jobs. For those with higher support needs, employment drops to 28.6%</w:t>
      </w:r>
      <w:r w:rsidR="00764594">
        <w:t>.</w:t>
      </w:r>
      <w:r w:rsidR="006523F6">
        <w:rPr>
          <w:rStyle w:val="FootnoteReference"/>
        </w:rPr>
        <w:footnoteReference w:id="122"/>
      </w:r>
      <w:r w:rsidR="00944CAA" w:rsidRPr="00944CAA">
        <w:t xml:space="preserve"> These figures conceal poor working conditions and job insecurity.</w:t>
      </w:r>
      <w:r w:rsidR="00E5693A">
        <w:t xml:space="preserve"> </w:t>
      </w:r>
      <w:r w:rsidR="00907268" w:rsidRPr="00D404B4">
        <w:t>The figures are even lower when looking at full-time employment</w:t>
      </w:r>
      <w:r w:rsidR="000420FA">
        <w:t>,</w:t>
      </w:r>
      <w:r w:rsidR="00907268" w:rsidRPr="00D404B4">
        <w:t xml:space="preserve"> with solely 20% of women with disabilities and 2</w:t>
      </w:r>
      <w:r w:rsidR="00764594">
        <w:t>9</w:t>
      </w:r>
      <w:r w:rsidR="00907268" w:rsidRPr="00D404B4">
        <w:t>% of men with disabilities working full-time.</w:t>
      </w:r>
      <w:r w:rsidR="00907268" w:rsidRPr="00D404B4">
        <w:rPr>
          <w:rStyle w:val="FootnoteReference"/>
        </w:rPr>
        <w:footnoteReference w:id="123"/>
      </w:r>
      <w:r w:rsidR="00907268" w:rsidRPr="00D404B4">
        <w:t xml:space="preserve"> </w:t>
      </w:r>
      <w:r w:rsidRPr="00D404B4">
        <w:t>Among the most affected are persons with psychosocial</w:t>
      </w:r>
      <w:r w:rsidR="004C2B59" w:rsidRPr="00D404B4">
        <w:t xml:space="preserve"> and</w:t>
      </w:r>
      <w:r w:rsidRPr="00D404B4">
        <w:t xml:space="preserve"> intellectual disabilities.</w:t>
      </w:r>
    </w:p>
    <w:bookmarkEnd w:id="56"/>
    <w:p w14:paraId="6CCED1E4" w14:textId="2E9E8A89" w:rsidR="00463BF7" w:rsidRPr="00B65907" w:rsidRDefault="00106F29" w:rsidP="00295AA8">
      <w:pPr>
        <w:spacing w:after="240"/>
      </w:pPr>
      <w:r>
        <w:t>T</w:t>
      </w:r>
      <w:r w:rsidR="00463BF7" w:rsidRPr="00D404B4">
        <w:t xml:space="preserve">he </w:t>
      </w:r>
      <w:r>
        <w:t>main</w:t>
      </w:r>
      <w:r w:rsidR="00463BF7" w:rsidRPr="00D404B4">
        <w:t xml:space="preserve"> barriers faced by persons with disabilities </w:t>
      </w:r>
      <w:r>
        <w:t>include</w:t>
      </w:r>
      <w:r w:rsidR="00463BF7" w:rsidRPr="00D404B4">
        <w:t xml:space="preserve"> the incompatibility of disability </w:t>
      </w:r>
      <w:r w:rsidR="00147507" w:rsidRPr="00D404B4">
        <w:t xml:space="preserve">allowances </w:t>
      </w:r>
      <w:r w:rsidR="00463BF7" w:rsidRPr="00D404B4">
        <w:t xml:space="preserve">when working (irreversible loss of </w:t>
      </w:r>
      <w:r w:rsidR="00147507" w:rsidRPr="00D404B4">
        <w:t xml:space="preserve">allowances </w:t>
      </w:r>
      <w:r w:rsidR="00463BF7" w:rsidRPr="00D404B4">
        <w:t xml:space="preserve">and being worse off in work due to the extra living costs incurred for persons with disabilities), </w:t>
      </w:r>
      <w:r w:rsidR="00463BF7" w:rsidRPr="00B65907">
        <w:t>a</w:t>
      </w:r>
      <w:r w:rsidR="00944CAA">
        <w:t>n</w:t>
      </w:r>
      <w:r w:rsidR="00463BF7" w:rsidRPr="00B65907">
        <w:t xml:space="preserve"> absence of reasonable accommodation in the workplace</w:t>
      </w:r>
      <w:r w:rsidR="00944CAA">
        <w:t xml:space="preserve"> and discrimination from employers on the perceived abilities of workers with disabilities</w:t>
      </w:r>
      <w:r w:rsidR="00463BF7" w:rsidRPr="00B65907">
        <w:t>.</w:t>
      </w:r>
    </w:p>
    <w:p w14:paraId="5DF0EE91" w14:textId="1A04AA55" w:rsidR="00F5499A" w:rsidRPr="00D404B4" w:rsidRDefault="00354F55" w:rsidP="00295AA8">
      <w:pPr>
        <w:spacing w:after="240"/>
      </w:pPr>
      <w:r w:rsidRPr="00B65907">
        <w:t>The EU has taken a number of measures to support the employment of persons with disabilities.</w:t>
      </w:r>
      <w:r w:rsidRPr="00B65907">
        <w:rPr>
          <w:rStyle w:val="FootnoteReference"/>
        </w:rPr>
        <w:footnoteReference w:id="124"/>
      </w:r>
      <w:r w:rsidRPr="00B65907">
        <w:t xml:space="preserve"> </w:t>
      </w:r>
      <w:r w:rsidR="00DF42ED">
        <w:t>Since 2000 the EU has an Employment Equality Directive which outlaws discrimination on the grounds of disability and enshrines the right to reasonable accommodation at work</w:t>
      </w:r>
      <w:r w:rsidR="000835CB">
        <w:t>.</w:t>
      </w:r>
      <w:r w:rsidR="00DF42ED">
        <w:rPr>
          <w:rStyle w:val="FootnoteReference"/>
        </w:rPr>
        <w:footnoteReference w:id="125"/>
      </w:r>
      <w:r w:rsidR="00F5499A" w:rsidRPr="00B65907">
        <w:t xml:space="preserve"> </w:t>
      </w:r>
      <w:r w:rsidR="00DF42ED">
        <w:t>Since the</w:t>
      </w:r>
      <w:r w:rsidR="00F5499A" w:rsidRPr="00B65907">
        <w:t xml:space="preserve"> provision of reasonable accommodation</w:t>
      </w:r>
      <w:r w:rsidR="00DF42ED">
        <w:t xml:space="preserve"> was shown to be</w:t>
      </w:r>
      <w:r w:rsidR="00F5499A" w:rsidRPr="00B65907">
        <w:t xml:space="preserve"> unevenly put into practice across the Member States</w:t>
      </w:r>
      <w:r w:rsidR="00DF42ED">
        <w:t xml:space="preserve">, in 2024 the European Commission released </w:t>
      </w:r>
      <w:hyperlink r:id="rId135" w:history="1">
        <w:r w:rsidR="00DF42ED" w:rsidRPr="00DF42ED">
          <w:rPr>
            <w:rStyle w:val="Hyperlink"/>
          </w:rPr>
          <w:t>guid</w:t>
        </w:r>
        <w:r w:rsidR="00DF42ED">
          <w:rPr>
            <w:rStyle w:val="Hyperlink"/>
          </w:rPr>
          <w:t>elines</w:t>
        </w:r>
        <w:r w:rsidR="00DF42ED" w:rsidRPr="00DF42ED">
          <w:rPr>
            <w:rStyle w:val="Hyperlink"/>
          </w:rPr>
          <w:t xml:space="preserve"> on reasonable accommodation in the workplace</w:t>
        </w:r>
      </w:hyperlink>
      <w:r w:rsidR="00F5499A" w:rsidRPr="00D404B4">
        <w:t>.</w:t>
      </w:r>
      <w:r w:rsidR="00DF42ED">
        <w:t xml:space="preserve"> However, the guidelines are not legally binding</w:t>
      </w:r>
      <w:r w:rsidR="00047336">
        <w:t>.</w:t>
      </w:r>
    </w:p>
    <w:p w14:paraId="1DB52D8D" w14:textId="1ED28FD3" w:rsidR="00542250" w:rsidRPr="00D404B4" w:rsidRDefault="00542250" w:rsidP="00295AA8">
      <w:pPr>
        <w:spacing w:after="240"/>
      </w:pPr>
      <w:r w:rsidRPr="00D404B4">
        <w:t xml:space="preserve">Member States are also encouraged to make use of EU funds to promote employment of groups who are regularly excluded from the labour market, particularly through the use of the </w:t>
      </w:r>
      <w:hyperlink r:id="rId136" w:history="1">
        <w:r w:rsidRPr="00D404B4">
          <w:rPr>
            <w:rStyle w:val="Hyperlink"/>
          </w:rPr>
          <w:t>European Social Funds Plus</w:t>
        </w:r>
      </w:hyperlink>
      <w:r w:rsidR="0072256E" w:rsidRPr="00D404B4">
        <w:t>. The Regulation o</w:t>
      </w:r>
      <w:r w:rsidR="00E91CF5">
        <w:t>n</w:t>
      </w:r>
      <w:r w:rsidR="0072256E" w:rsidRPr="00D404B4">
        <w:t xml:space="preserve"> the use of these funds states that 25% of the money should be used by Member States </w:t>
      </w:r>
      <w:r w:rsidR="0072256E" w:rsidRPr="00B65907">
        <w:t>to foster social inclusion, which in part requires assisting groups such as persons with disabilities</w:t>
      </w:r>
      <w:r w:rsidR="008B174B" w:rsidRPr="00B65907">
        <w:t xml:space="preserve"> on their way</w:t>
      </w:r>
      <w:r w:rsidR="0072256E" w:rsidRPr="00B65907">
        <w:t xml:space="preserve"> into the open labour market. However, the extent to which this is done, and indeed the European Commission’s ability to track how the money is being used, appear</w:t>
      </w:r>
      <w:r w:rsidR="008B174B" w:rsidRPr="00B65907">
        <w:t>s</w:t>
      </w:r>
      <w:r w:rsidR="0072256E" w:rsidRPr="00B65907">
        <w:t xml:space="preserve"> to be insufficient</w:t>
      </w:r>
      <w:r w:rsidR="0072256E" w:rsidRPr="00D404B4">
        <w:t xml:space="preserve">. </w:t>
      </w:r>
    </w:p>
    <w:p w14:paraId="03DE75FC" w14:textId="7C2143DF" w:rsidR="00907268" w:rsidRPr="00D404B4" w:rsidRDefault="00907268" w:rsidP="00295AA8">
      <w:pPr>
        <w:pStyle w:val="Heading3"/>
        <w:rPr>
          <w:szCs w:val="22"/>
        </w:rPr>
      </w:pPr>
      <w:r w:rsidRPr="00D404B4">
        <w:rPr>
          <w:szCs w:val="22"/>
        </w:rPr>
        <w:t xml:space="preserve">Pay transparency </w:t>
      </w:r>
    </w:p>
    <w:p w14:paraId="17C6494E" w14:textId="69151460" w:rsidR="00907268" w:rsidRPr="00D404B4" w:rsidRDefault="00907268" w:rsidP="00295AA8">
      <w:pPr>
        <w:spacing w:after="240"/>
      </w:pPr>
      <w:r w:rsidRPr="00D404B4">
        <w:t>Salary disparities remain</w:t>
      </w:r>
      <w:r w:rsidR="00A55511" w:rsidRPr="00D404B4">
        <w:t xml:space="preserve"> and</w:t>
      </w:r>
      <w:r w:rsidRPr="00D404B4">
        <w:t xml:space="preserve"> persons with disabilities </w:t>
      </w:r>
      <w:r w:rsidR="00A55511" w:rsidRPr="00D404B4">
        <w:t>stay</w:t>
      </w:r>
      <w:r w:rsidRPr="00D404B4">
        <w:t xml:space="preserve"> unemployed or face </w:t>
      </w:r>
      <w:r w:rsidR="00726482" w:rsidRPr="00D404B4">
        <w:t>in</w:t>
      </w:r>
      <w:r w:rsidR="007F2D6A" w:rsidRPr="00D404B4">
        <w:t>-</w:t>
      </w:r>
      <w:r w:rsidRPr="00D404B4">
        <w:t xml:space="preserve">work poverty. Women with disabilities are even more at risk as they face both a gender and disability pay gap. </w:t>
      </w:r>
      <w:r w:rsidR="004555EB" w:rsidRPr="00D404B4">
        <w:t xml:space="preserve">According to the </w:t>
      </w:r>
      <w:hyperlink r:id="rId137" w:history="1">
        <w:r w:rsidR="00AF036C">
          <w:rPr>
            <w:rStyle w:val="Hyperlink"/>
          </w:rPr>
          <w:t>Gender Equality Index 2023</w:t>
        </w:r>
      </w:hyperlink>
      <w:r w:rsidR="004555EB" w:rsidRPr="00D404B4">
        <w:t xml:space="preserve"> the average of the mean </w:t>
      </w:r>
      <w:r w:rsidR="004555EB" w:rsidRPr="00D404B4">
        <w:lastRenderedPageBreak/>
        <w:t>monthly earning</w:t>
      </w:r>
      <w:r w:rsidR="0023331D" w:rsidRPr="00D404B4">
        <w:t xml:space="preserve"> in purchasing power standard</w:t>
      </w:r>
      <w:r w:rsidR="0023331D" w:rsidRPr="00D404B4">
        <w:rPr>
          <w:rStyle w:val="FootnoteReference"/>
        </w:rPr>
        <w:footnoteReference w:id="126"/>
      </w:r>
      <w:r w:rsidR="004555EB" w:rsidRPr="00D404B4">
        <w:t xml:space="preserve"> of women with disabilities is 1.8</w:t>
      </w:r>
      <w:r w:rsidR="00AF036C">
        <w:t>85</w:t>
      </w:r>
      <w:r w:rsidR="004555EB" w:rsidRPr="00D404B4">
        <w:t xml:space="preserve"> comparing to 2.</w:t>
      </w:r>
      <w:r w:rsidR="00AF036C">
        <w:t>334</w:t>
      </w:r>
      <w:r w:rsidR="004555EB" w:rsidRPr="00D404B4">
        <w:t xml:space="preserve"> for men with disabilities, </w:t>
      </w:r>
      <w:r w:rsidR="00AF036C">
        <w:t>2.045</w:t>
      </w:r>
      <w:r w:rsidR="004555EB" w:rsidRPr="00D404B4">
        <w:t xml:space="preserve"> for women without disabilities and 2.65</w:t>
      </w:r>
      <w:r w:rsidR="00AF036C">
        <w:t>8</w:t>
      </w:r>
      <w:r w:rsidR="004555EB" w:rsidRPr="00D404B4">
        <w:t xml:space="preserve"> for men without disabilities. </w:t>
      </w:r>
    </w:p>
    <w:p w14:paraId="25098744" w14:textId="3FFDD64D" w:rsidR="00A81584" w:rsidRPr="00D404B4" w:rsidRDefault="00907268" w:rsidP="00295AA8">
      <w:pPr>
        <w:spacing w:after="240"/>
      </w:pPr>
      <w:r w:rsidRPr="00D404B4">
        <w:t>In 202</w:t>
      </w:r>
      <w:r w:rsidR="007B590B">
        <w:t>3 the EU adopted a</w:t>
      </w:r>
      <w:r w:rsidRPr="00D404B4">
        <w:t xml:space="preserve"> </w:t>
      </w:r>
      <w:hyperlink r:id="rId138" w:history="1">
        <w:r w:rsidRPr="007B590B">
          <w:rPr>
            <w:rStyle w:val="Hyperlink"/>
          </w:rPr>
          <w:t>Directive on pay transparency</w:t>
        </w:r>
      </w:hyperlink>
      <w:r w:rsidRPr="00D404B4">
        <w:t xml:space="preserve"> to combat the gender pay gap. </w:t>
      </w:r>
      <w:r w:rsidR="007B590B">
        <w:t xml:space="preserve">The directive obliges employers to provide information on pay in accessible formats for persons with disabilities. However, there is no obligation for companies to collect </w:t>
      </w:r>
      <w:r w:rsidRPr="00D404B4">
        <w:t>data and statistics disaggregated by disability</w:t>
      </w:r>
      <w:r w:rsidR="007B590B">
        <w:t>.</w:t>
      </w:r>
    </w:p>
    <w:p w14:paraId="7997050E" w14:textId="77777777" w:rsidR="00A81584" w:rsidRPr="00D404B4" w:rsidRDefault="00A81584" w:rsidP="00295AA8">
      <w:pPr>
        <w:pStyle w:val="Heading3"/>
        <w:rPr>
          <w:szCs w:val="22"/>
        </w:rPr>
      </w:pPr>
      <w:r w:rsidRPr="00D404B4">
        <w:rPr>
          <w:szCs w:val="22"/>
        </w:rPr>
        <w:t>Adequate Minimum Wage</w:t>
      </w:r>
    </w:p>
    <w:p w14:paraId="7700993C" w14:textId="4C71FE61" w:rsidR="00ED5455" w:rsidRPr="00D404B4" w:rsidRDefault="001E4BBC" w:rsidP="00295AA8">
      <w:pPr>
        <w:spacing w:after="240"/>
      </w:pPr>
      <w:r>
        <w:t>In 2022 t</w:t>
      </w:r>
      <w:r w:rsidR="00A81584" w:rsidRPr="00D404B4">
        <w:t xml:space="preserve">he </w:t>
      </w:r>
      <w:r w:rsidR="004D5904" w:rsidRPr="00D404B4">
        <w:t>EU</w:t>
      </w:r>
      <w:r w:rsidR="00A81584" w:rsidRPr="00D404B4">
        <w:t xml:space="preserve"> adopt</w:t>
      </w:r>
      <w:r>
        <w:t>ed</w:t>
      </w:r>
      <w:r w:rsidR="00A81584" w:rsidRPr="00D404B4">
        <w:t xml:space="preserve"> a </w:t>
      </w:r>
      <w:hyperlink r:id="rId139" w:history="1">
        <w:r w:rsidR="00A81584" w:rsidRPr="00D404B4">
          <w:rPr>
            <w:rStyle w:val="Hyperlink"/>
          </w:rPr>
          <w:t>Directive on adequate minimum wage</w:t>
        </w:r>
      </w:hyperlink>
      <w:r w:rsidR="00A81584" w:rsidRPr="00D404B4">
        <w:t xml:space="preserve">. Persons with disabilities are all too often paid below national or sectoral minimum wage thresholds. This is particularly problematic in certain sheltered workshop settings where workers are not given the legal status of employees and therefore do not have the same rights regarding wages, social protection, paid sick leave etc. </w:t>
      </w:r>
    </w:p>
    <w:p w14:paraId="31A9E39F" w14:textId="3995F976" w:rsidR="00A81584" w:rsidRPr="00D404B4" w:rsidRDefault="001E4BBC" w:rsidP="001E4BBC">
      <w:pPr>
        <w:spacing w:after="240"/>
      </w:pPr>
      <w:r>
        <w:t xml:space="preserve">The rules will apply to all EU workers who have an employment contract or employment relationship, including those with disabilities. While the rules also apply to workers in sheltered employment, the wording is unclear. The recital references the </w:t>
      </w:r>
      <w:r w:rsidR="004F0E0E">
        <w:t xml:space="preserve">CRPD </w:t>
      </w:r>
      <w:r>
        <w:t>and the requirement to provide “equal remuneration for work of equal value”, and this principle includes minimum wage requirements and sheltered employment. However, the final wording is too ambiguous. As such, worker in sheltered employment who do not have a legal employment contract might find themselves exempt from the wage protection afforded by the Directive.</w:t>
      </w:r>
    </w:p>
    <w:p w14:paraId="195067E1" w14:textId="77777777" w:rsidR="00A81584" w:rsidRPr="00D404B4" w:rsidRDefault="00A81584" w:rsidP="00295AA8">
      <w:pPr>
        <w:pStyle w:val="Heading3"/>
        <w:rPr>
          <w:szCs w:val="22"/>
        </w:rPr>
      </w:pPr>
      <w:r w:rsidRPr="00D404B4">
        <w:rPr>
          <w:szCs w:val="22"/>
        </w:rPr>
        <w:t xml:space="preserve">Risk of algorithmic discrimination in employment </w:t>
      </w:r>
    </w:p>
    <w:p w14:paraId="35913E5D" w14:textId="20DBFACD" w:rsidR="00E43440" w:rsidRDefault="00A81584" w:rsidP="00295AA8">
      <w:pPr>
        <w:spacing w:after="240"/>
      </w:pPr>
      <w:r w:rsidRPr="00D404B4">
        <w:t xml:space="preserve">The EU Artificial Intelligence (AI) </w:t>
      </w:r>
      <w:r w:rsidR="00F32A32">
        <w:t>R</w:t>
      </w:r>
      <w:r w:rsidRPr="00D404B4">
        <w:t>egulation allow</w:t>
      </w:r>
      <w:r w:rsidR="00E43440">
        <w:t>s</w:t>
      </w:r>
      <w:r w:rsidRPr="00D404B4">
        <w:t xml:space="preserve"> use of AI for recruitment, selection, promotion, and termination decisions in employment.</w:t>
      </w:r>
      <w:r w:rsidRPr="00D404B4">
        <w:rPr>
          <w:rStyle w:val="FootnoteReference"/>
        </w:rPr>
        <w:footnoteReference w:id="127"/>
      </w:r>
      <w:r w:rsidRPr="00D404B4">
        <w:t xml:space="preserve"> Use of AI-based recruitment tools have already proved to be discriminatory towards persons with disabilities, and members of other marginalised groups.</w:t>
      </w:r>
      <w:r w:rsidRPr="00D404B4">
        <w:rPr>
          <w:rStyle w:val="FootnoteReference"/>
        </w:rPr>
        <w:footnoteReference w:id="128"/>
      </w:r>
      <w:r w:rsidRPr="00D404B4">
        <w:t xml:space="preserve"> In this sense, persons with disabilities can be subject to </w:t>
      </w:r>
      <w:r w:rsidRPr="00D404B4">
        <w:lastRenderedPageBreak/>
        <w:t>intersectional discrimination even if it is not based on their disability.</w:t>
      </w:r>
      <w:r w:rsidRPr="00D404B4">
        <w:rPr>
          <w:rStyle w:val="FootnoteReference"/>
        </w:rPr>
        <w:footnoteReference w:id="129"/>
      </w:r>
      <w:r w:rsidRPr="00D404B4">
        <w:t xml:space="preserve"> Allowing use of AI for job recruitment purposes, risks amplifying already disproportionately high unemployment (and poverty) rates for persons with disabilities in the EU and jeopardising the aim of Directive 2000/78/EC protecting persons with disabilities, among others, from discrimination in employment. </w:t>
      </w:r>
    </w:p>
    <w:p w14:paraId="0037EBCD" w14:textId="1EAB881B" w:rsidR="00DF42ED" w:rsidRDefault="00A81584" w:rsidP="00295AA8">
      <w:pPr>
        <w:spacing w:after="240"/>
      </w:pPr>
      <w:r w:rsidRPr="00D404B4">
        <w:t>Given that job candidates often will not even be aware that they were subject to discriminatory algorithmic assessment, enforcing the Directive will become extremely difficult.</w:t>
      </w:r>
    </w:p>
    <w:p w14:paraId="7401CA5B" w14:textId="6C9B59F2" w:rsidR="00DF42ED" w:rsidRDefault="00DF42ED" w:rsidP="00DF42ED">
      <w:pPr>
        <w:pStyle w:val="Heading3"/>
      </w:pPr>
      <w:r>
        <w:t>Reporting on Corporate Sustainability</w:t>
      </w:r>
    </w:p>
    <w:p w14:paraId="6596C369" w14:textId="58A5836A" w:rsidR="00DF42ED" w:rsidRDefault="006A4802" w:rsidP="00DF42ED">
      <w:r>
        <w:t xml:space="preserve">In June 2023 the EU agreed on a new set of non-financial reporting requirements for businesses operating in the EU. This came thanks to the </w:t>
      </w:r>
      <w:hyperlink r:id="rId140" w:history="1">
        <w:r w:rsidRPr="006A4802">
          <w:rPr>
            <w:rStyle w:val="Hyperlink"/>
          </w:rPr>
          <w:t>Corporate Sustainability Reporting Directive</w:t>
        </w:r>
      </w:hyperlink>
      <w:r>
        <w:t xml:space="preserve"> approved in 2022. The reporting standards are applicable for the reporting year 2024 onwards, or as of 2026 for Small and Medium Enterprises. </w:t>
      </w:r>
    </w:p>
    <w:p w14:paraId="5CD9459D" w14:textId="2BC74F5F" w:rsidR="006A4802" w:rsidRDefault="006A4802" w:rsidP="006A4AE8">
      <w:r>
        <w:t xml:space="preserve">The reporting requirements mean businesses will need to reveal </w:t>
      </w:r>
      <w:hyperlink r:id="rId141" w:history="1">
        <w:r w:rsidRPr="006A4802">
          <w:rPr>
            <w:rStyle w:val="Hyperlink"/>
          </w:rPr>
          <w:t>a number of ways in which they include persons with disabilities</w:t>
        </w:r>
      </w:hyperlink>
      <w:r>
        <w:t xml:space="preserve"> including number of employees with disabilities, and how many of these occupy managerial roles. It remains unclear who will be able to access this reporting and whether it will be made public or not. </w:t>
      </w:r>
    </w:p>
    <w:p w14:paraId="6BE3D90C" w14:textId="77777777" w:rsidR="007D4404" w:rsidRDefault="007D4404" w:rsidP="007D4404">
      <w:pPr>
        <w:pStyle w:val="Heading3"/>
      </w:pPr>
      <w:r>
        <w:t>Migration</w:t>
      </w:r>
    </w:p>
    <w:p w14:paraId="476B80BA" w14:textId="4B2A5623" w:rsidR="00DB6FDF" w:rsidRPr="004A578A" w:rsidRDefault="00DB6FDF" w:rsidP="00DB6FDF">
      <w:pPr>
        <w:rPr>
          <w:lang w:val="en-US"/>
        </w:rPr>
      </w:pPr>
      <w:r w:rsidRPr="00BE596D">
        <w:rPr>
          <w:lang w:val="en-US"/>
        </w:rPr>
        <w:t xml:space="preserve">The </w:t>
      </w:r>
      <w:hyperlink r:id="rId142" w:history="1">
        <w:r w:rsidRPr="00BE596D">
          <w:rPr>
            <w:rStyle w:val="Hyperlink"/>
            <w:lang w:val="en-US"/>
          </w:rPr>
          <w:t>EU Talent Pool Regulation</w:t>
        </w:r>
      </w:hyperlink>
      <w:r w:rsidRPr="00BE596D">
        <w:rPr>
          <w:lang w:val="en-US"/>
        </w:rPr>
        <w:t xml:space="preserve"> was proposed by the European Commission in November 2023 and is currently negotiated in the Council of the EU and the European Parliament. The Regulation aims at establishing a platform for hiring workers in third countries. </w:t>
      </w:r>
      <w:r w:rsidRPr="004A578A">
        <w:rPr>
          <w:lang w:val="en-US"/>
        </w:rPr>
        <w:t>The EU has taken several measures to support the employment of persons</w:t>
      </w:r>
      <w:r>
        <w:rPr>
          <w:lang w:val="en-US"/>
        </w:rPr>
        <w:t xml:space="preserve"> </w:t>
      </w:r>
      <w:r w:rsidRPr="004A578A">
        <w:rPr>
          <w:lang w:val="en-US"/>
        </w:rPr>
        <w:t>with disabilities living in the EU.</w:t>
      </w:r>
      <w:r>
        <w:rPr>
          <w:lang w:val="en-US"/>
        </w:rPr>
        <w:t xml:space="preserve"> </w:t>
      </w:r>
      <w:r w:rsidRPr="004A578A">
        <w:rPr>
          <w:lang w:val="en-US"/>
        </w:rPr>
        <w:t>However, the proposed Regulation</w:t>
      </w:r>
      <w:r>
        <w:rPr>
          <w:lang w:val="en-US"/>
        </w:rPr>
        <w:t xml:space="preserve"> </w:t>
      </w:r>
      <w:r w:rsidRPr="004A578A">
        <w:rPr>
          <w:lang w:val="en-US"/>
        </w:rPr>
        <w:t>establishing an EU Talent Pool does not refer to these measures, nor does</w:t>
      </w:r>
      <w:r>
        <w:rPr>
          <w:lang w:val="en-US"/>
        </w:rPr>
        <w:t xml:space="preserve"> </w:t>
      </w:r>
      <w:r w:rsidRPr="004A578A">
        <w:rPr>
          <w:lang w:val="en-US"/>
        </w:rPr>
        <w:t xml:space="preserve">it ensure that the Talent Pool Platform is accessible and inclusive </w:t>
      </w:r>
      <w:r w:rsidR="000835CB">
        <w:rPr>
          <w:lang w:val="en-US"/>
        </w:rPr>
        <w:t>of</w:t>
      </w:r>
      <w:r w:rsidRPr="004A578A">
        <w:rPr>
          <w:lang w:val="en-US"/>
        </w:rPr>
        <w:t xml:space="preserve"> job</w:t>
      </w:r>
      <w:r>
        <w:rPr>
          <w:lang w:val="en-US"/>
        </w:rPr>
        <w:t xml:space="preserve"> </w:t>
      </w:r>
      <w:r w:rsidRPr="004A578A">
        <w:rPr>
          <w:lang w:val="en-US"/>
        </w:rPr>
        <w:t>seekers and workers with disabilities.</w:t>
      </w:r>
      <w:r w:rsidRPr="00BE596D">
        <w:rPr>
          <w:lang w:val="en-US"/>
        </w:rPr>
        <w:t xml:space="preserve"> </w:t>
      </w:r>
      <w:r>
        <w:rPr>
          <w:lang w:val="en-US"/>
        </w:rPr>
        <w:t xml:space="preserve">The Regulation does not </w:t>
      </w:r>
      <w:r w:rsidR="00761A5A">
        <w:rPr>
          <w:lang w:val="en-US"/>
        </w:rPr>
        <w:t>require</w:t>
      </w:r>
      <w:r>
        <w:rPr>
          <w:lang w:val="en-US"/>
        </w:rPr>
        <w:t xml:space="preserve"> the </w:t>
      </w:r>
      <w:r w:rsidRPr="00BE596D">
        <w:rPr>
          <w:lang w:val="en-US"/>
        </w:rPr>
        <w:t xml:space="preserve">online platform </w:t>
      </w:r>
      <w:r>
        <w:rPr>
          <w:lang w:val="en-US"/>
        </w:rPr>
        <w:t xml:space="preserve">to be </w:t>
      </w:r>
      <w:r w:rsidRPr="00BE596D">
        <w:rPr>
          <w:lang w:val="en-US"/>
        </w:rPr>
        <w:t>accessible to persons with disabilities.</w:t>
      </w:r>
    </w:p>
    <w:p w14:paraId="5E04EFCF" w14:textId="44F68A4C" w:rsidR="00DB6FDF" w:rsidRDefault="00DB6FDF" w:rsidP="00DB6FDF">
      <w:r>
        <w:t xml:space="preserve">The </w:t>
      </w:r>
      <w:hyperlink r:id="rId143" w:history="1">
        <w:r w:rsidRPr="00752533">
          <w:rPr>
            <w:rStyle w:val="Hyperlink"/>
          </w:rPr>
          <w:t>Action Plan on Integration and Inclusion of migrants and people of migrant background</w:t>
        </w:r>
      </w:hyperlink>
      <w:r>
        <w:t xml:space="preserve"> was adopted by the European Commission in 2020. It runs from 2021 to 2027 and proposes concrete actions to support Member States and other relevant stakeholders in overcoming integration-related challenges for migrants and EU citizens with a migrant background. We participated in consultation prior to its adoption. The action plan mentions the integration of migrants with disabilities in relation to education, employment and access to healthcare services.</w:t>
      </w:r>
      <w:r w:rsidR="000835CB">
        <w:t xml:space="preserve"> However we have no information about how this is put into practice. </w:t>
      </w:r>
      <w:r>
        <w:t xml:space="preserve"> </w:t>
      </w:r>
    </w:p>
    <w:p w14:paraId="07A748D6" w14:textId="151B93E2" w:rsidR="00F62E4C" w:rsidRPr="00D404B4" w:rsidRDefault="006A4AE8" w:rsidP="00295AA8">
      <w:pPr>
        <w:spacing w:after="240"/>
      </w:pPr>
      <w:r>
        <w:rPr>
          <w:b/>
        </w:rPr>
        <w:t>We call for:</w:t>
      </w:r>
    </w:p>
    <w:p w14:paraId="5F5E6D45" w14:textId="4D4EE47E" w:rsidR="00047336" w:rsidRDefault="00047336" w:rsidP="00295AA8">
      <w:pPr>
        <w:numPr>
          <w:ilvl w:val="0"/>
          <w:numId w:val="12"/>
        </w:numPr>
        <w:spacing w:after="0"/>
      </w:pPr>
      <w:r>
        <w:t>Creat</w:t>
      </w:r>
      <w:r w:rsidR="006A4AE8">
        <w:t>ion of</w:t>
      </w:r>
      <w:r>
        <w:t xml:space="preserve"> a more direct link between EU funding and support for the employment of persons with disabilities in the open labour market. Consider creating an EU-funded </w:t>
      </w:r>
      <w:r w:rsidR="005F3869">
        <w:t>Disability Employment and Skills Guarantee</w:t>
      </w:r>
      <w:r>
        <w:t xml:space="preserve">, similar to the EU Youth Guarantee focused on assisting young people into employment, but tailored specifically to persons with disabilities looking for work. </w:t>
      </w:r>
    </w:p>
    <w:p w14:paraId="61521D22" w14:textId="39532EC9" w:rsidR="001E4BBC" w:rsidRDefault="006A4AE8" w:rsidP="00295AA8">
      <w:pPr>
        <w:numPr>
          <w:ilvl w:val="0"/>
          <w:numId w:val="12"/>
        </w:numPr>
        <w:spacing w:after="0"/>
      </w:pPr>
      <w:r>
        <w:lastRenderedPageBreak/>
        <w:t>F</w:t>
      </w:r>
      <w:r w:rsidR="001E4BBC">
        <w:t>urther guidance on the Minimum Wage Directive to avoid ambiguity about its application in cases of sheltered workshops where persons with disabilities do not have employment contracts. Ensure that these workers are not exempt from their right to a fair living wage.</w:t>
      </w:r>
    </w:p>
    <w:p w14:paraId="6DCCEDEA" w14:textId="7CB749CF" w:rsidR="007D4404" w:rsidRPr="00C20C7F" w:rsidRDefault="006E53B6" w:rsidP="000835CB">
      <w:pPr>
        <w:numPr>
          <w:ilvl w:val="0"/>
          <w:numId w:val="12"/>
        </w:numPr>
        <w:spacing w:after="0"/>
      </w:pPr>
      <w:r>
        <w:t>Promotion of</w:t>
      </w:r>
      <w:r w:rsidRPr="006E53B6">
        <w:t xml:space="preserve"> gender equality and diversity when recruiting workers from outside the EU via the EU Talent Pool. This means recruiting and employing workers with disabilities that are particularly prone to exclusion from the labour market.</w:t>
      </w:r>
      <w:r w:rsidR="000835CB">
        <w:t xml:space="preserve"> It also </w:t>
      </w:r>
      <w:r w:rsidR="000835CB" w:rsidRPr="00C20C7F">
        <w:t>means e</w:t>
      </w:r>
      <w:r w:rsidRPr="00C20C7F">
        <w:t>nsuring the EU Talent Pool platform is accessible to persons with disabilities</w:t>
      </w:r>
      <w:r w:rsidR="000835CB" w:rsidRPr="00C20C7F">
        <w:t xml:space="preserve"> in line with EU accessibility legislation.</w:t>
      </w:r>
    </w:p>
    <w:p w14:paraId="5F191802" w14:textId="77777777" w:rsidR="00463BF7" w:rsidRPr="00C20C7F" w:rsidRDefault="00463BF7" w:rsidP="00295AA8">
      <w:pPr>
        <w:pStyle w:val="Heading2"/>
        <w:rPr>
          <w:lang w:val="en-GB"/>
        </w:rPr>
      </w:pPr>
      <w:bookmarkStart w:id="57" w:name="_Toc179386658"/>
      <w:r w:rsidRPr="00C20C7F">
        <w:rPr>
          <w:lang w:val="en-GB"/>
        </w:rPr>
        <w:t>Article 28: Adequate standard of living and social protection</w:t>
      </w:r>
      <w:bookmarkEnd w:id="57"/>
      <w:r w:rsidRPr="00C20C7F">
        <w:rPr>
          <w:lang w:val="en-GB"/>
        </w:rPr>
        <w:t xml:space="preserve"> </w:t>
      </w:r>
    </w:p>
    <w:p w14:paraId="7F63167E" w14:textId="31EDEA47" w:rsidR="00463BF7" w:rsidRPr="00D404B4" w:rsidRDefault="00463BF7" w:rsidP="00295AA8">
      <w:r w:rsidRPr="00C20C7F">
        <w:t>EU data reveals that being a person with disabilities in the EU significantly increases the risk of experiencing poverty and social exclusion. EU figures suggest that 28.</w:t>
      </w:r>
      <w:r w:rsidR="0083159F" w:rsidRPr="00C20C7F">
        <w:t>8</w:t>
      </w:r>
      <w:r w:rsidRPr="00C20C7F">
        <w:t xml:space="preserve">% of all persons with disabilities currently live </w:t>
      </w:r>
      <w:r w:rsidR="0083159F" w:rsidRPr="00C20C7F">
        <w:t>at risk of</w:t>
      </w:r>
      <w:r w:rsidRPr="00C20C7F">
        <w:t xml:space="preserve"> poverty</w:t>
      </w:r>
      <w:r w:rsidRPr="00D404B4">
        <w:t xml:space="preserve"> and</w:t>
      </w:r>
      <w:r w:rsidR="0083159F">
        <w:t xml:space="preserve"> </w:t>
      </w:r>
      <w:r w:rsidRPr="00D404B4">
        <w:t>social exclusion.</w:t>
      </w:r>
      <w:r w:rsidR="002B7269" w:rsidRPr="00D404B4">
        <w:rPr>
          <w:rStyle w:val="FootnoteReference"/>
        </w:rPr>
        <w:footnoteReference w:id="130"/>
      </w:r>
      <w:r w:rsidRPr="00D404B4">
        <w:t xml:space="preserve"> Persons with disabilities are shown to face a higher risk of poverty and social exclusion than the general population in all 2</w:t>
      </w:r>
      <w:r w:rsidR="00A606A7">
        <w:t>7</w:t>
      </w:r>
      <w:r w:rsidRPr="00D404B4">
        <w:t xml:space="preserve"> Member States and even more so for women with disabilities. </w:t>
      </w:r>
    </w:p>
    <w:p w14:paraId="5B078BBF" w14:textId="71976883" w:rsidR="00915BC0" w:rsidRDefault="00915BC0" w:rsidP="00295AA8">
      <w:r w:rsidRPr="00915BC0">
        <w:t>Thirteen EU Member States have seen increases in the risk of poverty and social exclusion among persons with disabilities</w:t>
      </w:r>
      <w:r>
        <w:t xml:space="preserve"> in the past five years</w:t>
      </w:r>
      <w:r w:rsidRPr="00915BC0">
        <w:t>. These Member States are Denmark, Greece, France, Croatia, Cyprus, Luxembourg, Hungary, Malta, the Netherlands, Austria, Slovenia, Slovakia and Sweden</w:t>
      </w:r>
      <w:r w:rsidR="006205DF">
        <w:t>.</w:t>
      </w:r>
      <w:r>
        <w:rPr>
          <w:rStyle w:val="FootnoteReference"/>
        </w:rPr>
        <w:footnoteReference w:id="131"/>
      </w:r>
      <w:r w:rsidRPr="00915BC0">
        <w:t>  </w:t>
      </w:r>
    </w:p>
    <w:p w14:paraId="0988291E" w14:textId="6F80F54E" w:rsidR="00915BC0" w:rsidRPr="00B82A5C" w:rsidRDefault="00463BF7" w:rsidP="00915BC0">
      <w:r w:rsidRPr="00D404B4">
        <w:t>Not only are persons with disabilities poorer, but they also face extra costs from living in a society that is not adapted to them: disability-related costs estimated at 23,012 euros/year in Sweden or 14,550 euros/year in Belgium, for example</w:t>
      </w:r>
      <w:r w:rsidR="005706C0" w:rsidRPr="00D404B4">
        <w:t>.</w:t>
      </w:r>
      <w:r w:rsidR="0099679D" w:rsidRPr="00D404B4">
        <w:rPr>
          <w:rStyle w:val="FootnoteReference"/>
        </w:rPr>
        <w:footnoteReference w:id="132"/>
      </w:r>
      <w:r w:rsidR="00915BC0">
        <w:t xml:space="preserve"> </w:t>
      </w:r>
      <w:r w:rsidR="00915BC0" w:rsidRPr="00915BC0">
        <w:t>The rise in the cost of housing</w:t>
      </w:r>
      <w:r w:rsidR="00915BC0">
        <w:t xml:space="preserve"> in particular</w:t>
      </w:r>
      <w:r w:rsidR="00915BC0" w:rsidRPr="00915BC0">
        <w:t xml:space="preserve"> has been putting increased strain on the budgets of persons with disabilities. The current housing crisis is compounded by the lack of affordable and accessible housing. </w:t>
      </w:r>
      <w:hyperlink r:id="rId144" w:tgtFrame="_blank" w:history="1">
        <w:r w:rsidR="00915BC0" w:rsidRPr="00915BC0">
          <w:rPr>
            <w:rStyle w:val="Hyperlink"/>
          </w:rPr>
          <w:t>Housing expenses accounted for 30.2%</w:t>
        </w:r>
      </w:hyperlink>
      <w:r w:rsidR="00915BC0" w:rsidRPr="00915BC0">
        <w:t xml:space="preserve"> of disposable income</w:t>
      </w:r>
      <w:r w:rsidR="0036022C">
        <w:t xml:space="preserve"> for the average person with disabilities in the EU</w:t>
      </w:r>
      <w:r w:rsidR="00915BC0" w:rsidRPr="00915BC0">
        <w:t xml:space="preserve"> in 2023, compared to 27.4% in 2018</w:t>
      </w:r>
      <w:r w:rsidR="006205DF">
        <w:t>.</w:t>
      </w:r>
      <w:r w:rsidR="0036022C">
        <w:rPr>
          <w:rStyle w:val="FootnoteReference"/>
        </w:rPr>
        <w:footnoteReference w:id="133"/>
      </w:r>
      <w:r w:rsidR="00915BC0" w:rsidRPr="00915BC0">
        <w:t> </w:t>
      </w:r>
      <w:r w:rsidR="00915BC0" w:rsidRPr="00B82A5C">
        <w:t> </w:t>
      </w:r>
    </w:p>
    <w:p w14:paraId="2B9B37C1" w14:textId="2A8E1A7E" w:rsidR="005C33E4" w:rsidRDefault="00915BC0" w:rsidP="00295AA8">
      <w:r w:rsidRPr="00915BC0">
        <w:t xml:space="preserve">The cost of food also poses a considerable burden, especially due to inflation. </w:t>
      </w:r>
      <w:hyperlink r:id="rId145" w:tgtFrame="_blank" w:history="1">
        <w:r w:rsidRPr="00915BC0">
          <w:rPr>
            <w:rStyle w:val="Hyperlink"/>
          </w:rPr>
          <w:t>13.8% of persons with disabilities in the EU are unable to afford a meal</w:t>
        </w:r>
      </w:hyperlink>
      <w:r w:rsidRPr="00915BC0">
        <w:t xml:space="preserve"> with meat, chicken, fish (or vegetarian equivalent) every second day (from 11.9% in 2018)</w:t>
      </w:r>
      <w:r w:rsidR="00096F19">
        <w:t>.</w:t>
      </w:r>
      <w:r w:rsidR="0036022C">
        <w:rPr>
          <w:rStyle w:val="FootnoteReference"/>
        </w:rPr>
        <w:footnoteReference w:id="134"/>
      </w:r>
      <w:r w:rsidR="005C33E4">
        <w:t xml:space="preserve"> </w:t>
      </w:r>
    </w:p>
    <w:p w14:paraId="2CD5FC3F" w14:textId="66286F29" w:rsidR="002C6E8D" w:rsidRPr="00D404B4" w:rsidRDefault="00653E54" w:rsidP="00295AA8">
      <w:r>
        <w:t xml:space="preserve">While the European Union treaties do not allow it to legislate on issues of social protection, it can guide the Member States in improving or harmonising their practices. </w:t>
      </w:r>
      <w:r w:rsidR="002C6E8D">
        <w:t xml:space="preserve">In 2022 the European Commission funded </w:t>
      </w:r>
      <w:hyperlink r:id="rId146" w:history="1">
        <w:r w:rsidR="002C6E8D" w:rsidRPr="002C6E8D">
          <w:rPr>
            <w:rStyle w:val="Hyperlink"/>
          </w:rPr>
          <w:t xml:space="preserve">a study into the way social protection for persons with </w:t>
        </w:r>
        <w:r w:rsidR="002C6E8D" w:rsidRPr="002C6E8D">
          <w:rPr>
            <w:rStyle w:val="Hyperlink"/>
          </w:rPr>
          <w:lastRenderedPageBreak/>
          <w:t>disabilities differs across the countries of the European Union and elsewhere in Europe</w:t>
        </w:r>
      </w:hyperlink>
      <w:r>
        <w:t xml:space="preserve"> to highlight where gaps exist and where good practices exist.</w:t>
      </w:r>
    </w:p>
    <w:p w14:paraId="764A4B87" w14:textId="50C63896" w:rsidR="00DD0459" w:rsidRPr="00D404B4" w:rsidRDefault="00096F19" w:rsidP="00295AA8">
      <w:r>
        <w:rPr>
          <w:b/>
        </w:rPr>
        <w:t>We call for:</w:t>
      </w:r>
    </w:p>
    <w:p w14:paraId="4587CC30" w14:textId="287343F8" w:rsidR="00915BC0" w:rsidRPr="00096F19" w:rsidRDefault="00915BC0" w:rsidP="005D631C">
      <w:pPr>
        <w:numPr>
          <w:ilvl w:val="0"/>
          <w:numId w:val="12"/>
        </w:numPr>
        <w:tabs>
          <w:tab w:val="num" w:pos="720"/>
        </w:tabs>
        <w:spacing w:after="0"/>
        <w:ind w:left="714" w:hanging="357"/>
        <w:contextualSpacing/>
      </w:pPr>
      <w:r w:rsidRPr="00096F19">
        <w:t>Prioritising funding of accessible and affordable housing using EU Regional Development Funds (ERDF)</w:t>
      </w:r>
      <w:r w:rsidR="007E41E0">
        <w:t>. S</w:t>
      </w:r>
      <w:r w:rsidRPr="00915BC0">
        <w:t>upporting the provision of affordable and accessible housing must become a priority</w:t>
      </w:r>
      <w:r w:rsidR="007E41E0" w:rsidRPr="007E41E0">
        <w:t xml:space="preserve"> </w:t>
      </w:r>
      <w:r w:rsidR="007E41E0">
        <w:t>w</w:t>
      </w:r>
      <w:r w:rsidR="007E41E0" w:rsidRPr="00915BC0">
        <w:t>hen the EU funding regulations are revised for the funding period 2028-2034</w:t>
      </w:r>
      <w:r w:rsidRPr="00915BC0">
        <w:t>. </w:t>
      </w:r>
    </w:p>
    <w:p w14:paraId="47C40BF3" w14:textId="505A8160" w:rsidR="00F65BDB" w:rsidRDefault="00F65BDB" w:rsidP="005D631C">
      <w:pPr>
        <w:numPr>
          <w:ilvl w:val="0"/>
          <w:numId w:val="12"/>
        </w:numPr>
        <w:tabs>
          <w:tab w:val="num" w:pos="720"/>
        </w:tabs>
        <w:spacing w:after="0"/>
        <w:ind w:left="714" w:hanging="357"/>
        <w:contextualSpacing/>
      </w:pPr>
      <w:r>
        <w:t>Increase</w:t>
      </w:r>
      <w:r w:rsidR="005D631C">
        <w:t xml:space="preserve"> of</w:t>
      </w:r>
      <w:r>
        <w:t xml:space="preserve"> the budget attribute</w:t>
      </w:r>
      <w:r w:rsidR="005D631C">
        <w:t>d</w:t>
      </w:r>
      <w:r>
        <w:t xml:space="preserve"> to the EU Social Fund in the next EU budget (as of 2028) in order to provide more funding to the social integration and material wellbeing of people belonging to marginalised communities. </w:t>
      </w:r>
    </w:p>
    <w:p w14:paraId="75F7ABBA" w14:textId="428FB688" w:rsidR="00915BC0" w:rsidRPr="00D404B4" w:rsidRDefault="00915BC0" w:rsidP="005D631C">
      <w:pPr>
        <w:numPr>
          <w:ilvl w:val="0"/>
          <w:numId w:val="12"/>
        </w:numPr>
        <w:tabs>
          <w:tab w:val="num" w:pos="720"/>
        </w:tabs>
        <w:spacing w:after="0"/>
        <w:ind w:left="714" w:hanging="357"/>
        <w:contextualSpacing/>
      </w:pPr>
      <w:r w:rsidRPr="00B82A5C">
        <w:t>Conduct</w:t>
      </w:r>
      <w:r w:rsidR="00096F19">
        <w:t>ing</w:t>
      </w:r>
      <w:r w:rsidRPr="00B82A5C">
        <w:t xml:space="preserve"> detailed study into the extra cost of living for persons with disabilities</w:t>
      </w:r>
      <w:r w:rsidR="0039762C">
        <w:t>.</w:t>
      </w:r>
      <w:r w:rsidRPr="00915BC0">
        <w:t xml:space="preserve"> </w:t>
      </w:r>
      <w:r w:rsidR="0039762C">
        <w:t>T</w:t>
      </w:r>
      <w:r w:rsidRPr="00915BC0">
        <w:t>he study should take into account the extra cost of living faced by persons with different kinds of disabilities, as well as how it varies in different parts of the EU.</w:t>
      </w:r>
    </w:p>
    <w:p w14:paraId="5F89FC66" w14:textId="000D76C3" w:rsidR="00463BF7" w:rsidRPr="00D404B4" w:rsidRDefault="00463BF7" w:rsidP="00295AA8">
      <w:pPr>
        <w:pStyle w:val="Heading2"/>
        <w:rPr>
          <w:lang w:val="en-GB"/>
        </w:rPr>
      </w:pPr>
      <w:bookmarkStart w:id="58" w:name="Part_1_Article_29"/>
      <w:bookmarkStart w:id="59" w:name="_Toc179386659"/>
      <w:r w:rsidRPr="00D404B4">
        <w:rPr>
          <w:lang w:val="en-GB"/>
        </w:rPr>
        <w:t>Article 29</w:t>
      </w:r>
      <w:bookmarkEnd w:id="58"/>
      <w:r w:rsidRPr="00D404B4">
        <w:rPr>
          <w:lang w:val="en-GB"/>
        </w:rPr>
        <w:t>: Participation in political and public life</w:t>
      </w:r>
      <w:bookmarkEnd w:id="59"/>
    </w:p>
    <w:p w14:paraId="4BFF0A69" w14:textId="6275C7D4" w:rsidR="00C06DD5" w:rsidRPr="00D404B4" w:rsidRDefault="00C06DD5" w:rsidP="00295AA8">
      <w:r w:rsidRPr="00D404B4">
        <w:t>The EU Treaty and the EU Charter on Fundamental Rights recognise the right of persons with disabilities to be free from discrimination in exercising their citizenship rights, including the right to</w:t>
      </w:r>
      <w:r w:rsidR="00CD0E88" w:rsidRPr="00D404B4">
        <w:t xml:space="preserve"> vote and stand for elections</w:t>
      </w:r>
      <w:r w:rsidRPr="00D404B4">
        <w:t xml:space="preserve">. </w:t>
      </w:r>
      <w:r w:rsidR="00597F1A" w:rsidRPr="00D404B4">
        <w:t>Still</w:t>
      </w:r>
      <w:r w:rsidRPr="00D404B4">
        <w:t xml:space="preserve">, persons with disabilities face a series of legal and practical barriers that prevent them from exercising their right to participation in political and public life on an equal basis with others. </w:t>
      </w:r>
    </w:p>
    <w:p w14:paraId="28094723" w14:textId="67CA370F" w:rsidR="000004A7" w:rsidRDefault="00157E08" w:rsidP="00295AA8">
      <w:r w:rsidRPr="00D404B4">
        <w:t xml:space="preserve">According to the </w:t>
      </w:r>
      <w:hyperlink r:id="rId147" w:history="1">
        <w:r w:rsidRPr="00D404B4">
          <w:rPr>
            <w:rStyle w:val="Hyperlink"/>
          </w:rPr>
          <w:t>European Economic and Social Committee</w:t>
        </w:r>
      </w:hyperlink>
      <w:r w:rsidR="005F5AC5" w:rsidRPr="00D404B4">
        <w:t>,</w:t>
      </w:r>
      <w:r w:rsidR="001A203F" w:rsidRPr="00D404B4">
        <w:t xml:space="preserve"> </w:t>
      </w:r>
      <w:r w:rsidRPr="00D404B4">
        <w:t xml:space="preserve">approximately 400,000 persons with disabilities are </w:t>
      </w:r>
      <w:r w:rsidRPr="00B65907">
        <w:t xml:space="preserve">deprived </w:t>
      </w:r>
      <w:r w:rsidR="00D2156C" w:rsidRPr="00B65907">
        <w:t>of</w:t>
      </w:r>
      <w:r w:rsidRPr="00B65907">
        <w:t xml:space="preserve"> their right to vote in</w:t>
      </w:r>
      <w:r w:rsidR="00416432">
        <w:t xml:space="preserve"> the EU. The EU’s </w:t>
      </w:r>
      <w:hyperlink r:id="rId148" w:anchor="read-online" w:history="1">
        <w:r w:rsidR="00416432" w:rsidRPr="00416432">
          <w:rPr>
            <w:rStyle w:val="Hyperlink"/>
          </w:rPr>
          <w:t>Fundamental Rights Agency recently published a report</w:t>
        </w:r>
      </w:hyperlink>
      <w:r w:rsidRPr="00B65907">
        <w:t xml:space="preserve"> </w:t>
      </w:r>
      <w:r w:rsidR="00416432">
        <w:t xml:space="preserve">confirming that only </w:t>
      </w:r>
      <w:r w:rsidRPr="00B65907">
        <w:t>14 Member States</w:t>
      </w:r>
      <w:r w:rsidR="00416432">
        <w:t xml:space="preserve"> uphold the right to vote to all persons with disabilities regardless of legal capacity status.</w:t>
      </w:r>
      <w:r w:rsidRPr="00B65907">
        <w:t xml:space="preserve"> </w:t>
      </w:r>
      <w:r w:rsidR="000004A7">
        <w:t xml:space="preserve">However, as </w:t>
      </w:r>
      <w:hyperlink r:id="rId149" w:history="1">
        <w:r w:rsidR="000004A7" w:rsidRPr="000004A7">
          <w:rPr>
            <w:rStyle w:val="Hyperlink"/>
          </w:rPr>
          <w:t>EDF Human Rights Report on political participation</w:t>
        </w:r>
      </w:hyperlink>
      <w:r w:rsidR="000004A7">
        <w:t xml:space="preserve"> points out, </w:t>
      </w:r>
      <w:r w:rsidRPr="00B65907">
        <w:t>in each of the 27 EU countries, there are r</w:t>
      </w:r>
      <w:r w:rsidRPr="00D404B4">
        <w:t>ules or organisational arrangements that deprive some voters with disabilities of the possibility of participating in European Parliament elections on an equal basis with others.</w:t>
      </w:r>
      <w:r w:rsidR="00011AB8" w:rsidRPr="00D404B4">
        <w:t xml:space="preserve"> </w:t>
      </w:r>
    </w:p>
    <w:p w14:paraId="45D02810" w14:textId="294F5944" w:rsidR="00157E08" w:rsidRPr="00D404B4" w:rsidRDefault="00011AB8" w:rsidP="00295AA8">
      <w:r w:rsidRPr="00D404B4">
        <w:t xml:space="preserve">Additionally, only </w:t>
      </w:r>
      <w:r w:rsidR="000004A7">
        <w:t xml:space="preserve">10 </w:t>
      </w:r>
      <w:r w:rsidRPr="00D404B4">
        <w:t>EU countries guarantee the right of all persons with disabilities to stand as candidates in the European Parliament elections</w:t>
      </w:r>
      <w:r w:rsidR="005539E2">
        <w:t>.</w:t>
      </w:r>
      <w:r w:rsidRPr="00D404B4">
        <w:rPr>
          <w:rStyle w:val="FootnoteReference"/>
        </w:rPr>
        <w:footnoteReference w:id="135"/>
      </w:r>
      <w:r w:rsidR="000004A7">
        <w:t xml:space="preserve"> As a matter of fact, among the 720 Members of the European Parliament, only three members have a visible or publicly acknowledged disability.</w:t>
      </w:r>
    </w:p>
    <w:p w14:paraId="459CF018" w14:textId="48941B5C" w:rsidR="000004A7" w:rsidRPr="006E5E2B" w:rsidRDefault="000004A7" w:rsidP="00295AA8">
      <w:pPr>
        <w:rPr>
          <w:rFonts w:eastAsia="Times New Roman" w:cs="Times New Roman"/>
          <w:lang w:bidi="en-US"/>
        </w:rPr>
      </w:pPr>
      <w:r w:rsidRPr="006E5E2B">
        <w:rPr>
          <w:rFonts w:eastAsia="Times New Roman" w:cs="Times New Roman"/>
          <w:lang w:bidi="en-US"/>
        </w:rPr>
        <w:t xml:space="preserve">In May 2022, the European Parliament adopted a resolution proposing a </w:t>
      </w:r>
      <w:hyperlink r:id="rId150" w:history="1">
        <w:r w:rsidRPr="006E5E2B">
          <w:rPr>
            <w:rFonts w:eastAsia="Times New Roman" w:cs="Times New Roman"/>
            <w:color w:val="0000FF"/>
            <w:u w:val="single"/>
            <w:lang w:bidi="en-US"/>
          </w:rPr>
          <w:t>new EU electoral law</w:t>
        </w:r>
      </w:hyperlink>
      <w:r w:rsidRPr="006E5E2B">
        <w:rPr>
          <w:rFonts w:eastAsia="Times New Roman" w:cs="Times New Roman"/>
          <w:lang w:bidi="en-US"/>
        </w:rPr>
        <w:t xml:space="preserve"> to amend the existing rules from 1976. This proposal includes the right to vote regardless of legal capacity status, as well as different provisions regarding accessibility, ensuring voting independently and in secret and free choice of assistance. </w:t>
      </w:r>
      <w:r w:rsidR="006C5171" w:rsidRPr="006E5E2B">
        <w:rPr>
          <w:rFonts w:eastAsia="Times New Roman" w:cs="Times New Roman"/>
          <w:lang w:bidi="en-US"/>
        </w:rPr>
        <w:t xml:space="preserve">This proposal is still under discussion by the EU Member States in the Council, but according to </w:t>
      </w:r>
      <w:hyperlink r:id="rId151" w:history="1">
        <w:r w:rsidR="006C5171" w:rsidRPr="006E5E2B">
          <w:rPr>
            <w:rStyle w:val="Hyperlink"/>
            <w:rFonts w:eastAsia="Times New Roman" w:cs="Times New Roman"/>
            <w:lang w:bidi="en-US"/>
          </w:rPr>
          <w:t>media reports</w:t>
        </w:r>
      </w:hyperlink>
      <w:r w:rsidR="006C5171" w:rsidRPr="006E5E2B">
        <w:rPr>
          <w:rFonts w:eastAsia="Times New Roman" w:cs="Times New Roman"/>
          <w:lang w:bidi="en-US"/>
        </w:rPr>
        <w:t xml:space="preserve"> it does not seem that EU countries will agree on it anytime soon</w:t>
      </w:r>
      <w:r w:rsidR="00A95D15" w:rsidRPr="006E5E2B">
        <w:rPr>
          <w:rFonts w:eastAsia="Times New Roman" w:cs="Times New Roman"/>
          <w:lang w:bidi="en-US"/>
        </w:rPr>
        <w:t xml:space="preserve"> (see articles 4 and 7)</w:t>
      </w:r>
      <w:r w:rsidR="006C5171" w:rsidRPr="006E5E2B">
        <w:rPr>
          <w:rFonts w:eastAsia="Times New Roman" w:cs="Times New Roman"/>
          <w:lang w:bidi="en-US"/>
        </w:rPr>
        <w:t>.</w:t>
      </w:r>
    </w:p>
    <w:p w14:paraId="632B69E5" w14:textId="15018EE2" w:rsidR="006C5171" w:rsidRPr="006E5E2B" w:rsidRDefault="006C5171" w:rsidP="00295AA8">
      <w:pPr>
        <w:rPr>
          <w:rFonts w:eastAsia="Times New Roman" w:cs="Times New Roman"/>
          <w:lang w:bidi="en-US"/>
        </w:rPr>
      </w:pPr>
      <w:r w:rsidRPr="006E5E2B">
        <w:rPr>
          <w:rFonts w:eastAsia="Times New Roman" w:cs="Times New Roman"/>
          <w:lang w:bidi="en-US"/>
        </w:rPr>
        <w:t xml:space="preserve">Whereas the European Commission was not involved in the proposal for a new EU electoral law, the Commission did propose two </w:t>
      </w:r>
      <w:hyperlink r:id="rId152" w:history="1">
        <w:r w:rsidRPr="006E5E2B">
          <w:rPr>
            <w:rStyle w:val="Hyperlink"/>
            <w:rFonts w:eastAsia="Times New Roman" w:cs="Times New Roman"/>
            <w:lang w:bidi="en-US"/>
          </w:rPr>
          <w:t>Directives setting out provisions as for mobile EU citizens</w:t>
        </w:r>
      </w:hyperlink>
      <w:r w:rsidRPr="006E5E2B">
        <w:rPr>
          <w:rFonts w:eastAsia="Times New Roman" w:cs="Times New Roman"/>
          <w:lang w:bidi="en-US"/>
        </w:rPr>
        <w:t>. This is because, under EU Treaties, EU citizens residing in another Member State have the right to vote in elections to the European Parliament and municipal elections</w:t>
      </w:r>
      <w:r w:rsidR="0039492D">
        <w:rPr>
          <w:rFonts w:eastAsia="Times New Roman" w:cs="Times New Roman"/>
          <w:lang w:bidi="en-US"/>
        </w:rPr>
        <w:t xml:space="preserve"> of their </w:t>
      </w:r>
      <w:r w:rsidR="0039492D">
        <w:rPr>
          <w:rFonts w:eastAsia="Times New Roman" w:cs="Times New Roman"/>
          <w:lang w:bidi="en-US"/>
        </w:rPr>
        <w:lastRenderedPageBreak/>
        <w:t>country of residence</w:t>
      </w:r>
      <w:r w:rsidRPr="006E5E2B">
        <w:rPr>
          <w:rFonts w:eastAsia="Times New Roman" w:cs="Times New Roman"/>
          <w:lang w:bidi="en-US"/>
        </w:rPr>
        <w:t>. In the proposed Directives the European Commission did not ensure the prevalence of the right to vote in situations in which a person with disabilities moves from one country upholding art</w:t>
      </w:r>
      <w:r w:rsidR="0039492D">
        <w:rPr>
          <w:rFonts w:eastAsia="Times New Roman" w:cs="Times New Roman"/>
          <w:lang w:bidi="en-US"/>
        </w:rPr>
        <w:t>icle</w:t>
      </w:r>
      <w:r w:rsidRPr="006E5E2B">
        <w:rPr>
          <w:rFonts w:eastAsia="Times New Roman" w:cs="Times New Roman"/>
          <w:lang w:bidi="en-US"/>
        </w:rPr>
        <w:t xml:space="preserve"> 29 of the CRPD to another which does not, and vice</w:t>
      </w:r>
      <w:r w:rsidR="00EF146D" w:rsidRPr="006E5E2B">
        <w:rPr>
          <w:rFonts w:eastAsia="Times New Roman" w:cs="Times New Roman"/>
          <w:lang w:bidi="en-US"/>
        </w:rPr>
        <w:t xml:space="preserve"> </w:t>
      </w:r>
      <w:r w:rsidRPr="006E5E2B">
        <w:rPr>
          <w:rFonts w:eastAsia="Times New Roman" w:cs="Times New Roman"/>
          <w:lang w:bidi="en-US"/>
        </w:rPr>
        <w:t>versa.</w:t>
      </w:r>
    </w:p>
    <w:p w14:paraId="6A174BA2" w14:textId="19AAFB0F" w:rsidR="00EF146D" w:rsidRPr="006E5E2B" w:rsidRDefault="00EF146D" w:rsidP="00EF146D">
      <w:r w:rsidRPr="006E5E2B">
        <w:t xml:space="preserve">More positively, the European Commission published in 2023 a </w:t>
      </w:r>
      <w:hyperlink r:id="rId153" w:history="1">
        <w:r w:rsidRPr="006E5E2B">
          <w:rPr>
            <w:rStyle w:val="Hyperlink"/>
          </w:rPr>
          <w:t>Guide of good electoral practices in Member States addressing the participation of citizens with disabilities in the electoral process</w:t>
        </w:r>
      </w:hyperlink>
      <w:r w:rsidRPr="006E5E2B">
        <w:t>.</w:t>
      </w:r>
      <w:r w:rsidR="006C2ED7">
        <w:t xml:space="preserve"> </w:t>
      </w:r>
      <w:r w:rsidRPr="006E5E2B">
        <w:t xml:space="preserve">However, and most worrying for the disability movement, soon after the publication of the Guide, the Commission published Recommendations to Member States regarding </w:t>
      </w:r>
      <w:hyperlink r:id="rId154" w:history="1">
        <w:r w:rsidRPr="006E5E2B">
          <w:rPr>
            <w:rStyle w:val="Hyperlink"/>
          </w:rPr>
          <w:t>inclusive and resilient elections</w:t>
        </w:r>
      </w:hyperlink>
      <w:r w:rsidRPr="006E5E2B">
        <w:t>. One of the recommendations calls EU countries to remove “the blanket removal of electoral rights of persons with intellectual and psycho-social disabilities without individual assessment and possibility of judicial review”, thus legitimising that certain people with disabilities can be deprived from their right to vote</w:t>
      </w:r>
      <w:r w:rsidR="0039492D">
        <w:t xml:space="preserve"> in some cases</w:t>
      </w:r>
      <w:r w:rsidRPr="006E5E2B">
        <w:t>.</w:t>
      </w:r>
    </w:p>
    <w:p w14:paraId="34904086" w14:textId="166A1F03" w:rsidR="00CD0E88" w:rsidRPr="006E5E2B" w:rsidRDefault="007F1962" w:rsidP="00295AA8">
      <w:pPr>
        <w:rPr>
          <w:b/>
        </w:rPr>
      </w:pPr>
      <w:r w:rsidRPr="006E5E2B">
        <w:rPr>
          <w:b/>
        </w:rPr>
        <w:t xml:space="preserve">We call for: </w:t>
      </w:r>
    </w:p>
    <w:p w14:paraId="3C795EC7" w14:textId="4E9AE787" w:rsidR="00911EDD" w:rsidRDefault="00911EDD" w:rsidP="00B766C6">
      <w:pPr>
        <w:pStyle w:val="ListParagraph"/>
        <w:numPr>
          <w:ilvl w:val="0"/>
          <w:numId w:val="12"/>
        </w:numPr>
      </w:pPr>
      <w:r>
        <w:t>A revision of the mobile EU citizens Directive to guarantee that the right to vote and stand as candidate of persons with disabilities in European Parliament and municipal elections will always prevail when persons with disabilities move to another EU country</w:t>
      </w:r>
      <w:r w:rsidR="00B766C6">
        <w:t xml:space="preserve"> and for the </w:t>
      </w:r>
      <w:r>
        <w:t>European Commission to facilitate and encourage EU countries to agree on a new EU electoral law.</w:t>
      </w:r>
    </w:p>
    <w:p w14:paraId="4C21951A" w14:textId="54193A89" w:rsidR="00B766C6" w:rsidRDefault="00B766C6" w:rsidP="00B766C6">
      <w:pPr>
        <w:pStyle w:val="ListParagraph"/>
        <w:numPr>
          <w:ilvl w:val="0"/>
          <w:numId w:val="12"/>
        </w:numPr>
      </w:pPr>
      <w:r w:rsidRPr="006E5E2B">
        <w:t>A new set of recommendations by the European Commission to EU Member States concerning the political rights of persons with disabilities which state clearly that no person with disabilities can be denied the right to vote and the right</w:t>
      </w:r>
      <w:r>
        <w:t xml:space="preserve"> to stand as candidate</w:t>
      </w:r>
      <w:r>
        <w:t>.</w:t>
      </w:r>
    </w:p>
    <w:p w14:paraId="62323DCA" w14:textId="4E011203" w:rsidR="00911EDD" w:rsidRPr="00D404B4" w:rsidRDefault="00911EDD" w:rsidP="00911EDD">
      <w:pPr>
        <w:pStyle w:val="ListParagraph"/>
        <w:numPr>
          <w:ilvl w:val="0"/>
          <w:numId w:val="12"/>
        </w:numPr>
      </w:pPr>
      <w:r>
        <w:t xml:space="preserve">The EU institutions to carry out consultations and </w:t>
      </w:r>
      <w:r w:rsidR="002B3DEB">
        <w:t>democratic exercises which are inclusive and accessible to persons with disabilities in all their diversity.</w:t>
      </w:r>
    </w:p>
    <w:p w14:paraId="72602CBE" w14:textId="7FC7BFD0" w:rsidR="00837829" w:rsidRPr="00D404B4" w:rsidRDefault="00837829" w:rsidP="00295AA8">
      <w:pPr>
        <w:pStyle w:val="Heading2"/>
        <w:rPr>
          <w:lang w:val="en-GB"/>
        </w:rPr>
      </w:pPr>
      <w:bookmarkStart w:id="60" w:name="_Toc36001168"/>
      <w:bookmarkStart w:id="61" w:name="_Toc179386660"/>
      <w:r w:rsidRPr="00D404B4">
        <w:rPr>
          <w:lang w:val="en-GB"/>
        </w:rPr>
        <w:t xml:space="preserve">Article 30: Participation in cultural life, recreation, </w:t>
      </w:r>
      <w:r w:rsidR="00731A8E" w:rsidRPr="00D404B4">
        <w:rPr>
          <w:lang w:val="en-GB"/>
        </w:rPr>
        <w:t>leisure</w:t>
      </w:r>
      <w:r w:rsidRPr="00D404B4">
        <w:rPr>
          <w:lang w:val="en-GB"/>
        </w:rPr>
        <w:t xml:space="preserve"> and sport</w:t>
      </w:r>
      <w:bookmarkEnd w:id="61"/>
      <w:r w:rsidRPr="00D404B4">
        <w:rPr>
          <w:lang w:val="en-GB"/>
        </w:rPr>
        <w:t xml:space="preserve"> </w:t>
      </w:r>
      <w:bookmarkEnd w:id="60"/>
    </w:p>
    <w:p w14:paraId="1940230E" w14:textId="7C3B2715" w:rsidR="00755B59" w:rsidRPr="00B65907" w:rsidRDefault="00755B59" w:rsidP="00295AA8">
      <w:r w:rsidRPr="00D404B4">
        <w:t xml:space="preserve">On </w:t>
      </w:r>
      <w:r w:rsidR="00C618CA">
        <w:t xml:space="preserve">the </w:t>
      </w:r>
      <w:r w:rsidRPr="00D404B4">
        <w:t>1</w:t>
      </w:r>
      <w:r w:rsidR="00C618CA" w:rsidRPr="00C618CA">
        <w:rPr>
          <w:vertAlign w:val="superscript"/>
        </w:rPr>
        <w:t>st</w:t>
      </w:r>
      <w:r w:rsidR="00C618CA">
        <w:t xml:space="preserve"> of</w:t>
      </w:r>
      <w:r w:rsidRPr="00D404B4">
        <w:t xml:space="preserve"> October 2018 the EU ratified the Marrakesh</w:t>
      </w:r>
      <w:r w:rsidR="00C618CA">
        <w:t xml:space="preserve"> </w:t>
      </w:r>
      <w:r w:rsidRPr="00D404B4">
        <w:t xml:space="preserve">Treaty to Facilitate Access to Published Works by Visually Impaired Persons and Persons with Print Disabilities in order to grant certain copyright </w:t>
      </w:r>
      <w:r w:rsidRPr="00B65907">
        <w:t>exemptions to create accessible versions of print media such as e-books.</w:t>
      </w:r>
    </w:p>
    <w:p w14:paraId="2CDB3B25" w14:textId="467ED093" w:rsidR="00E73502" w:rsidRPr="00D404B4" w:rsidRDefault="001123C1" w:rsidP="00295AA8">
      <w:r w:rsidRPr="00B65907">
        <w:t xml:space="preserve">The </w:t>
      </w:r>
      <w:r w:rsidR="00E73502" w:rsidRPr="00B65907">
        <w:t>EU has made a step forward toward</w:t>
      </w:r>
      <w:r w:rsidR="00427EA5" w:rsidRPr="00B65907">
        <w:t>s</w:t>
      </w:r>
      <w:r w:rsidR="00E73502" w:rsidRPr="00B65907">
        <w:t xml:space="preserve"> </w:t>
      </w:r>
      <w:r w:rsidR="00E73502" w:rsidRPr="00D404B4">
        <w:t xml:space="preserve">strengthening legal obligation of States to ensure accessibility of televised broadcasts and on-demand services through the </w:t>
      </w:r>
      <w:hyperlink r:id="rId155" w:history="1">
        <w:r w:rsidR="00E73502" w:rsidRPr="00D404B4">
          <w:rPr>
            <w:rStyle w:val="Hyperlink"/>
          </w:rPr>
          <w:t>revised Audiovisual Media Services Directive</w:t>
        </w:r>
      </w:hyperlink>
      <w:r w:rsidRPr="00D404B4">
        <w:t xml:space="preserve"> </w:t>
      </w:r>
      <w:r w:rsidR="00E73502" w:rsidRPr="00D404B4">
        <w:t xml:space="preserve">adopted in November 2018. Countries must ensure that media service providers under their jurisdictions make their audiovisual content continuously and </w:t>
      </w:r>
      <w:r w:rsidR="00E73502" w:rsidRPr="00B65907">
        <w:t xml:space="preserve">progressively more accessible </w:t>
      </w:r>
      <w:r w:rsidR="00427EA5" w:rsidRPr="00B65907">
        <w:t>for</w:t>
      </w:r>
      <w:r w:rsidR="00E73502" w:rsidRPr="00B65907">
        <w:t xml:space="preserve"> persons with disabilities through proportionate measures. </w:t>
      </w:r>
      <w:r w:rsidR="00C24140" w:rsidRPr="00B65907">
        <w:t>However, i</w:t>
      </w:r>
      <w:r w:rsidR="00E73502" w:rsidRPr="00B65907">
        <w:t>t does not prescribe any timelines or qualitative and quantitative targets to reach this goal</w:t>
      </w:r>
      <w:r w:rsidR="00C24140" w:rsidRPr="00B65907">
        <w:t>, nor does it</w:t>
      </w:r>
      <w:r w:rsidR="00E73502" w:rsidRPr="00B65907">
        <w:t xml:space="preserve"> require </w:t>
      </w:r>
      <w:r w:rsidR="00C24140" w:rsidRPr="00B65907">
        <w:t xml:space="preserve">Member </w:t>
      </w:r>
      <w:r w:rsidR="00E73502" w:rsidRPr="00B65907">
        <w:t xml:space="preserve">States to </w:t>
      </w:r>
      <w:r w:rsidR="00C24140" w:rsidRPr="00B65907">
        <w:t>do this.</w:t>
      </w:r>
      <w:r w:rsidR="00C24140" w:rsidRPr="00B65907">
        <w:rPr>
          <w:rStyle w:val="FootnoteReference"/>
        </w:rPr>
        <w:footnoteReference w:id="136"/>
      </w:r>
      <w:r w:rsidRPr="00B65907">
        <w:t xml:space="preserve"> A</w:t>
      </w:r>
      <w:r w:rsidR="00E73502" w:rsidRPr="00B65907">
        <w:t xml:space="preserve">mbiguity of the EU legal text risks </w:t>
      </w:r>
      <w:r w:rsidR="00A17280" w:rsidRPr="00B65907">
        <w:t>to lead to</w:t>
      </w:r>
      <w:r w:rsidR="00E73502" w:rsidRPr="00B65907">
        <w:t xml:space="preserve"> different level</w:t>
      </w:r>
      <w:r w:rsidR="00A17280" w:rsidRPr="00B65907">
        <w:t>s</w:t>
      </w:r>
      <w:r w:rsidR="00E73502" w:rsidRPr="00B65907">
        <w:t xml:space="preserve"> of accessibility among Member States.</w:t>
      </w:r>
      <w:r w:rsidR="008B4697" w:rsidRPr="00B65907">
        <w:t xml:space="preserve"> This is especially unfortunate, as state of </w:t>
      </w:r>
      <w:r w:rsidR="008B4697" w:rsidRPr="00D404B4">
        <w:t xml:space="preserve">the art international standards for ensuring accessibility </w:t>
      </w:r>
      <w:r w:rsidR="001E5B7A" w:rsidRPr="00D404B4">
        <w:t>of audiovisual content exist.</w:t>
      </w:r>
      <w:r w:rsidRPr="00D404B4">
        <w:rPr>
          <w:rStyle w:val="FootnoteReference"/>
        </w:rPr>
        <w:footnoteReference w:id="137"/>
      </w:r>
      <w:r w:rsidR="001E5B7A" w:rsidRPr="00D404B4">
        <w:t xml:space="preserve"> </w:t>
      </w:r>
    </w:p>
    <w:p w14:paraId="690640E1" w14:textId="5BCBCB93" w:rsidR="00C94815" w:rsidRDefault="0005355D" w:rsidP="00313426">
      <w:pPr>
        <w:rPr>
          <w:rFonts w:cs="QNFQU P+ Interstate"/>
          <w:color w:val="000000"/>
        </w:rPr>
      </w:pPr>
      <w:r w:rsidRPr="00D404B4">
        <w:rPr>
          <w:rFonts w:cs="QNFQU P+ Interstate"/>
          <w:color w:val="000000"/>
        </w:rPr>
        <w:lastRenderedPageBreak/>
        <w:t>In the absence of EU legislation on accessibility of the built environment</w:t>
      </w:r>
      <w:r w:rsidR="001E5B7A" w:rsidRPr="00D404B4">
        <w:rPr>
          <w:rFonts w:cs="QNFQU P+ Interstate"/>
          <w:color w:val="000000"/>
        </w:rPr>
        <w:t>,</w:t>
      </w:r>
      <w:r w:rsidR="00C24140" w:rsidRPr="00D404B4">
        <w:rPr>
          <w:rStyle w:val="FootnoteReference"/>
          <w:rFonts w:cs="QNFQU P+ Interstate"/>
          <w:color w:val="000000"/>
        </w:rPr>
        <w:footnoteReference w:id="138"/>
      </w:r>
      <w:r w:rsidRPr="00D404B4">
        <w:rPr>
          <w:rFonts w:cs="QNFQU P+ Interstate"/>
          <w:color w:val="000000"/>
        </w:rPr>
        <w:t xml:space="preserve"> </w:t>
      </w:r>
      <w:r w:rsidR="00D35A22" w:rsidRPr="00D404B4">
        <w:rPr>
          <w:rFonts w:cs="QNFQU P+ Interstate"/>
          <w:color w:val="000000"/>
        </w:rPr>
        <w:t xml:space="preserve">persons with disabilities continue to face barriers </w:t>
      </w:r>
      <w:r w:rsidR="00C94815">
        <w:rPr>
          <w:rFonts w:cs="QNFQU P+ Interstate"/>
          <w:color w:val="000000"/>
        </w:rPr>
        <w:t>when</w:t>
      </w:r>
      <w:r w:rsidR="00D35A22" w:rsidRPr="00D404B4">
        <w:rPr>
          <w:rFonts w:cs="QNFQU P+ Interstate"/>
          <w:color w:val="000000"/>
        </w:rPr>
        <w:t xml:space="preserve"> accessing cultural performance</w:t>
      </w:r>
      <w:r w:rsidR="00C94815">
        <w:rPr>
          <w:rFonts w:cs="QNFQU P+ Interstate"/>
          <w:color w:val="000000"/>
        </w:rPr>
        <w:t xml:space="preserve"> venues, </w:t>
      </w:r>
      <w:r w:rsidR="00D35A22" w:rsidRPr="00D404B4">
        <w:rPr>
          <w:rFonts w:cs="QNFQU P+ Interstate"/>
          <w:color w:val="000000"/>
        </w:rPr>
        <w:t xml:space="preserve">sites of </w:t>
      </w:r>
      <w:r w:rsidR="00C94815" w:rsidRPr="00C94815">
        <w:rPr>
          <w:rFonts w:cs="QNFQU P+ Interstate"/>
          <w:color w:val="000000"/>
        </w:rPr>
        <w:t>historical significance</w:t>
      </w:r>
      <w:r w:rsidR="00D35A22" w:rsidRPr="00D404B4">
        <w:rPr>
          <w:rFonts w:cs="QNFQU P+ Interstate"/>
          <w:color w:val="000000"/>
        </w:rPr>
        <w:t xml:space="preserve">, </w:t>
      </w:r>
      <w:r w:rsidR="00C94815">
        <w:rPr>
          <w:rFonts w:cs="QNFQU P+ Interstate"/>
          <w:color w:val="000000"/>
        </w:rPr>
        <w:t>and</w:t>
      </w:r>
      <w:r w:rsidR="00D35A22" w:rsidRPr="00D404B4">
        <w:rPr>
          <w:rFonts w:cs="QNFQU P+ Interstate"/>
          <w:color w:val="000000"/>
        </w:rPr>
        <w:t xml:space="preserve"> </w:t>
      </w:r>
      <w:r w:rsidR="00313426">
        <w:rPr>
          <w:rFonts w:cs="QNFQU P+ Interstate"/>
          <w:color w:val="000000"/>
        </w:rPr>
        <w:t xml:space="preserve">tourist, </w:t>
      </w:r>
      <w:r w:rsidR="00D35A22" w:rsidRPr="00D404B4">
        <w:rPr>
          <w:rFonts w:cs="QNFQU P+ Interstate"/>
          <w:color w:val="000000"/>
        </w:rPr>
        <w:t>recreational, leisure and sports facilities.</w:t>
      </w:r>
      <w:r w:rsidR="00DB07B6" w:rsidRPr="00D404B4">
        <w:rPr>
          <w:rFonts w:cs="QNFQU P+ Interstate"/>
          <w:color w:val="000000"/>
        </w:rPr>
        <w:t xml:space="preserve"> Th</w:t>
      </w:r>
      <w:r w:rsidR="00C94815">
        <w:rPr>
          <w:rFonts w:cs="QNFQU P+ Interstate"/>
          <w:color w:val="000000"/>
        </w:rPr>
        <w:t>ese</w:t>
      </w:r>
      <w:r w:rsidR="00DB07B6" w:rsidRPr="00D404B4">
        <w:rPr>
          <w:rFonts w:cs="QNFQU P+ Interstate"/>
          <w:color w:val="000000"/>
        </w:rPr>
        <w:t xml:space="preserve"> access barrier</w:t>
      </w:r>
      <w:r w:rsidR="00C94815">
        <w:rPr>
          <w:rFonts w:cs="QNFQU P+ Interstate"/>
          <w:color w:val="000000"/>
        </w:rPr>
        <w:t>s</w:t>
      </w:r>
      <w:r w:rsidR="00DB07B6" w:rsidRPr="00D404B4">
        <w:rPr>
          <w:rFonts w:cs="QNFQU P+ Interstate"/>
          <w:color w:val="000000"/>
        </w:rPr>
        <w:t xml:space="preserve"> </w:t>
      </w:r>
      <w:r w:rsidR="00C94815">
        <w:rPr>
          <w:rFonts w:cs="QNFQU P+ Interstate"/>
          <w:color w:val="000000"/>
        </w:rPr>
        <w:t xml:space="preserve">prevent </w:t>
      </w:r>
      <w:r w:rsidR="00DB07B6" w:rsidRPr="00D404B4">
        <w:rPr>
          <w:rFonts w:cs="QNFQU P+ Interstate"/>
          <w:color w:val="000000"/>
        </w:rPr>
        <w:t xml:space="preserve">persons with disabilities </w:t>
      </w:r>
      <w:r w:rsidR="00C94815" w:rsidRPr="00C94815">
        <w:rPr>
          <w:rFonts w:cs="QNFQU P+ Interstate"/>
          <w:color w:val="000000"/>
        </w:rPr>
        <w:t xml:space="preserve">from developing and </w:t>
      </w:r>
      <w:r w:rsidR="00C94815">
        <w:rPr>
          <w:rFonts w:cs="QNFQU P+ Interstate"/>
          <w:color w:val="000000"/>
        </w:rPr>
        <w:t>using</w:t>
      </w:r>
      <w:r w:rsidR="00C94815" w:rsidRPr="00C94815">
        <w:rPr>
          <w:rFonts w:cs="QNFQU P+ Interstate"/>
          <w:color w:val="000000"/>
        </w:rPr>
        <w:t xml:space="preserve"> their creative, artistic, and intellectual potential for the benefit of society as a whole, and from participating in sports activities not only as spectators but also as players.</w:t>
      </w:r>
      <w:r w:rsidR="00C94815">
        <w:rPr>
          <w:rFonts w:cs="QNFQU P+ Interstate"/>
          <w:color w:val="000000"/>
        </w:rPr>
        <w:t xml:space="preserve"> </w:t>
      </w:r>
    </w:p>
    <w:p w14:paraId="157CBEFA" w14:textId="58019BA3" w:rsidR="00313426" w:rsidRDefault="00C94815" w:rsidP="00313426">
      <w:pPr>
        <w:rPr>
          <w:rFonts w:cs="QNFQU P+ Interstate"/>
          <w:color w:val="000000"/>
          <w:lang w:val="en-US"/>
        </w:rPr>
      </w:pPr>
      <w:r>
        <w:rPr>
          <w:rFonts w:cs="QNFQU P+ Interstate"/>
          <w:color w:val="000000"/>
        </w:rPr>
        <w:t>Travelling</w:t>
      </w:r>
      <w:r w:rsidR="00313426" w:rsidRPr="00313426">
        <w:rPr>
          <w:rFonts w:cs="QNFQU P+ Interstate"/>
          <w:color w:val="000000"/>
          <w:lang w:val="en-US"/>
        </w:rPr>
        <w:t xml:space="preserve"> </w:t>
      </w:r>
      <w:r w:rsidR="00313426">
        <w:rPr>
          <w:rFonts w:cs="QNFQU P+ Interstate"/>
          <w:color w:val="000000"/>
          <w:lang w:val="en-US"/>
        </w:rPr>
        <w:t>can also be</w:t>
      </w:r>
      <w:r w:rsidR="00313426" w:rsidRPr="00313426">
        <w:rPr>
          <w:rFonts w:cs="QNFQU P+ Interstate"/>
          <w:color w:val="000000"/>
          <w:lang w:val="en-US"/>
        </w:rPr>
        <w:t xml:space="preserve"> a challenge for persons with disabilities</w:t>
      </w:r>
      <w:r>
        <w:rPr>
          <w:rFonts w:cs="QNFQU P+ Interstate"/>
          <w:color w:val="000000"/>
          <w:lang w:val="en-US"/>
        </w:rPr>
        <w:t>,</w:t>
      </w:r>
      <w:r w:rsidR="00313426" w:rsidRPr="00313426">
        <w:rPr>
          <w:rFonts w:cs="QNFQU P+ Interstate"/>
          <w:color w:val="000000"/>
          <w:lang w:val="en-US"/>
        </w:rPr>
        <w:t xml:space="preserve"> as finding the information </w:t>
      </w:r>
      <w:r>
        <w:rPr>
          <w:rFonts w:cs="QNFQU P+ Interstate"/>
          <w:color w:val="000000"/>
          <w:lang w:val="en-US"/>
        </w:rPr>
        <w:t>about</w:t>
      </w:r>
      <w:r w:rsidR="00313426" w:rsidRPr="00313426">
        <w:rPr>
          <w:rFonts w:cs="QNFQU P+ Interstate"/>
          <w:color w:val="000000"/>
          <w:lang w:val="en-US"/>
        </w:rPr>
        <w:t xml:space="preserve"> services, checking luggage on a plane, </w:t>
      </w:r>
      <w:r>
        <w:rPr>
          <w:rFonts w:cs="QNFQU P+ Interstate"/>
          <w:color w:val="000000"/>
          <w:lang w:val="en-US"/>
        </w:rPr>
        <w:t xml:space="preserve">and </w:t>
      </w:r>
      <w:r w:rsidR="00313426" w:rsidRPr="00313426">
        <w:rPr>
          <w:rFonts w:cs="QNFQU P+ Interstate"/>
          <w:color w:val="000000"/>
          <w:lang w:val="en-US"/>
        </w:rPr>
        <w:t xml:space="preserve">booking accessible </w:t>
      </w:r>
      <w:r>
        <w:rPr>
          <w:rFonts w:cs="QNFQU P+ Interstate"/>
          <w:color w:val="000000"/>
          <w:lang w:val="en-US"/>
        </w:rPr>
        <w:t>accommodations</w:t>
      </w:r>
      <w:r w:rsidR="00313426" w:rsidRPr="00313426">
        <w:rPr>
          <w:rFonts w:cs="QNFQU P+ Interstate"/>
          <w:color w:val="000000"/>
          <w:lang w:val="en-US"/>
        </w:rPr>
        <w:t xml:space="preserve"> often prove </w:t>
      </w:r>
      <w:r w:rsidRPr="00313426">
        <w:rPr>
          <w:rFonts w:cs="QNFQU P+ Interstate"/>
          <w:color w:val="000000"/>
          <w:lang w:val="en-US"/>
        </w:rPr>
        <w:t>difficu</w:t>
      </w:r>
      <w:r>
        <w:rPr>
          <w:rFonts w:cs="QNFQU P+ Interstate"/>
          <w:color w:val="000000"/>
          <w:lang w:val="en-US"/>
        </w:rPr>
        <w:t>lt</w:t>
      </w:r>
      <w:r w:rsidR="00313426" w:rsidRPr="00313426">
        <w:rPr>
          <w:rFonts w:cs="QNFQU P+ Interstate"/>
          <w:color w:val="000000"/>
          <w:lang w:val="en-US"/>
        </w:rPr>
        <w:t>, costly and time consuming.</w:t>
      </w:r>
    </w:p>
    <w:p w14:paraId="2B0DD8BE" w14:textId="09D6CC86" w:rsidR="00E73502" w:rsidRPr="00D404B4" w:rsidRDefault="00217486" w:rsidP="00295AA8">
      <w:pPr>
        <w:rPr>
          <w:rFonts w:cs="QNFQU P+ Interstate"/>
          <w:color w:val="000000"/>
        </w:rPr>
      </w:pPr>
      <w:r w:rsidRPr="00D404B4">
        <w:rPr>
          <w:rFonts w:cs="QNFQU P+ Interstate"/>
          <w:color w:val="000000"/>
        </w:rPr>
        <w:t>While the European Disability Card</w:t>
      </w:r>
      <w:r w:rsidR="009521A6" w:rsidRPr="00D404B4">
        <w:rPr>
          <w:rStyle w:val="FootnoteReference"/>
          <w:rFonts w:cs="QNFQU P+ Interstate"/>
          <w:color w:val="000000"/>
        </w:rPr>
        <w:footnoteReference w:id="139"/>
      </w:r>
      <w:r w:rsidRPr="00D404B4">
        <w:rPr>
          <w:rFonts w:cs="QNFQU P+ Interstate"/>
          <w:color w:val="000000"/>
        </w:rPr>
        <w:t xml:space="preserve"> will</w:t>
      </w:r>
      <w:r w:rsidR="00031D5B">
        <w:rPr>
          <w:rFonts w:cs="QNFQU P+ Interstate"/>
          <w:color w:val="000000"/>
        </w:rPr>
        <w:t xml:space="preserve"> </w:t>
      </w:r>
      <w:r w:rsidR="00AC3F40">
        <w:rPr>
          <w:rFonts w:cs="QNFQU P+ Interstate"/>
          <w:color w:val="000000"/>
        </w:rPr>
        <w:t xml:space="preserve">ensure equal treatment for persons with disabilities who are visiting another Member States to benefit from the same </w:t>
      </w:r>
      <w:r w:rsidR="00AA7F62">
        <w:rPr>
          <w:rFonts w:cstheme="minorHAnsi"/>
        </w:rPr>
        <w:t>special conditions or preferential treatment like a national with disabilities,</w:t>
      </w:r>
      <w:r w:rsidRPr="00D404B4">
        <w:rPr>
          <w:rFonts w:cs="QNFQU P+ Interstate"/>
          <w:color w:val="000000"/>
        </w:rPr>
        <w:t xml:space="preserve"> it will not directly address the issue of lack</w:t>
      </w:r>
      <w:r w:rsidR="007051DA" w:rsidRPr="00D404B4">
        <w:rPr>
          <w:rFonts w:cs="QNFQU P+ Interstate"/>
          <w:color w:val="000000"/>
        </w:rPr>
        <w:t xml:space="preserve"> of accessibility</w:t>
      </w:r>
      <w:r w:rsidRPr="00D404B4">
        <w:rPr>
          <w:rFonts w:cs="QNFQU P+ Interstate"/>
          <w:color w:val="000000"/>
        </w:rPr>
        <w:t xml:space="preserve">. </w:t>
      </w:r>
      <w:r w:rsidR="00AA7F62">
        <w:rPr>
          <w:rFonts w:cs="QNFQU P+ Interstate"/>
          <w:color w:val="000000"/>
        </w:rPr>
        <w:t>The positive side effects are expected to be better visibility of travellers with disabilities, which will hopefully also lead to increased awareness about the need for accessibility.</w:t>
      </w:r>
    </w:p>
    <w:p w14:paraId="01A78D86" w14:textId="77777777" w:rsidR="00F26D90" w:rsidRDefault="00731419" w:rsidP="00295AA8">
      <w:pPr>
        <w:rPr>
          <w:rFonts w:cs="QNFQU P+ Interstate"/>
          <w:color w:val="000000"/>
        </w:rPr>
      </w:pPr>
      <w:r w:rsidRPr="00D404B4">
        <w:rPr>
          <w:rFonts w:cs="QNFQU P+ Interstate"/>
          <w:color w:val="000000"/>
        </w:rPr>
        <w:t>The EU also has several initiatives related to culture, such as the European Capital of Culture or the EU Prize for Contemporary Architecture (Mies van der Rohe Awards). Those initiatives currently do not mainstream the inclusion of persons with disabilities.</w:t>
      </w:r>
      <w:r w:rsidR="007051DA" w:rsidRPr="00D404B4">
        <w:rPr>
          <w:rStyle w:val="FootnoteReference"/>
          <w:rFonts w:cs="QNFQU P+ Interstate"/>
          <w:color w:val="000000"/>
        </w:rPr>
        <w:footnoteReference w:id="140"/>
      </w:r>
      <w:r w:rsidRPr="00D404B4">
        <w:rPr>
          <w:rFonts w:cs="QNFQU P+ Interstate"/>
          <w:color w:val="000000"/>
        </w:rPr>
        <w:t xml:space="preserve"> </w:t>
      </w:r>
      <w:r w:rsidR="00AD58AF" w:rsidRPr="00D404B4">
        <w:rPr>
          <w:rFonts w:cs="QNFQU P+ Interstate"/>
          <w:color w:val="000000"/>
        </w:rPr>
        <w:t xml:space="preserve">In addition, fundings available </w:t>
      </w:r>
      <w:r w:rsidR="00AD58AF" w:rsidRPr="00D404B4">
        <w:rPr>
          <w:rFonts w:cs="QNFQU P+ Interstate"/>
          <w:color w:val="000000"/>
        </w:rPr>
        <w:t xml:space="preserve">under the </w:t>
      </w:r>
      <w:hyperlink r:id="rId156" w:history="1">
        <w:r w:rsidR="00AD58AF" w:rsidRPr="00D404B4">
          <w:rPr>
            <w:rStyle w:val="Hyperlink"/>
            <w:rFonts w:cs="QNFQU P+ Interstate"/>
          </w:rPr>
          <w:t>Creative Europe programme</w:t>
        </w:r>
      </w:hyperlink>
      <w:r w:rsidR="00AD58AF" w:rsidRPr="00D404B4">
        <w:rPr>
          <w:rFonts w:cs="QNFQU P+ Interstate"/>
          <w:color w:val="000000"/>
        </w:rPr>
        <w:t xml:space="preserve"> missed the opportunity to mainstream disability and monitor the impact of EU-funded cultural projects on persons with disabilities.</w:t>
      </w:r>
    </w:p>
    <w:p w14:paraId="0031AEEB" w14:textId="13ED06B4" w:rsidR="00113FA8" w:rsidRPr="00D404B4" w:rsidRDefault="00FA7CB4" w:rsidP="00295AA8">
      <w:r>
        <w:rPr>
          <w:b/>
        </w:rPr>
        <w:t xml:space="preserve">We call for: </w:t>
      </w:r>
    </w:p>
    <w:p w14:paraId="0A30FB46" w14:textId="03647F20" w:rsidR="00E035A0" w:rsidRPr="00E035A0" w:rsidRDefault="00E035A0" w:rsidP="00FA7CB4">
      <w:pPr>
        <w:pStyle w:val="ListParagraph"/>
        <w:numPr>
          <w:ilvl w:val="0"/>
          <w:numId w:val="17"/>
        </w:numPr>
        <w:rPr>
          <w:lang w:bidi="en-US"/>
        </w:rPr>
      </w:pPr>
      <w:r w:rsidRPr="00E035A0">
        <w:rPr>
          <w:lang w:bidi="en-US"/>
        </w:rPr>
        <w:t>Revis</w:t>
      </w:r>
      <w:r w:rsidR="00055478">
        <w:rPr>
          <w:lang w:bidi="en-US"/>
        </w:rPr>
        <w:t>ion</w:t>
      </w:r>
      <w:r w:rsidRPr="00E035A0">
        <w:rPr>
          <w:lang w:bidi="en-US"/>
        </w:rPr>
        <w:t xml:space="preserve"> Marrakesh Directive’s Article 3 which allows right holders to receive compensation schemes by authorised </w:t>
      </w:r>
      <w:r w:rsidRPr="00E035A0">
        <w:rPr>
          <w:lang w:bidi="en-US"/>
        </w:rPr>
        <w:t xml:space="preserve">entities that make printed works accessible. This provision is against the spirit of the Marrakesh Treaty as authorised entities make works accessible to provide access to the work on a non-profit basis. </w:t>
      </w:r>
    </w:p>
    <w:p w14:paraId="01606463" w14:textId="0BD02012" w:rsidR="00E035A0" w:rsidRPr="00F26D90" w:rsidRDefault="00E035A0" w:rsidP="00F26D90">
      <w:pPr>
        <w:pStyle w:val="ListParagraph"/>
        <w:numPr>
          <w:ilvl w:val="0"/>
          <w:numId w:val="17"/>
        </w:numPr>
        <w:rPr>
          <w:lang w:bidi="en-US"/>
        </w:rPr>
      </w:pPr>
      <w:r w:rsidRPr="00E035A0">
        <w:rPr>
          <w:lang w:bidi="en-US"/>
        </w:rPr>
        <w:t>Expan</w:t>
      </w:r>
      <w:r w:rsidR="003A0CDB">
        <w:rPr>
          <w:lang w:bidi="en-US"/>
        </w:rPr>
        <w:t>sion of</w:t>
      </w:r>
      <w:r w:rsidRPr="00E035A0">
        <w:rPr>
          <w:lang w:bidi="en-US"/>
        </w:rPr>
        <w:t xml:space="preserve"> the scope of the Marrakesh Treaty to new types of work. This could include copyright exceptions for audiovisual-media content, which is not made accessible by default</w:t>
      </w:r>
      <w:r>
        <w:rPr>
          <w:lang w:bidi="en-US"/>
        </w:rPr>
        <w:t xml:space="preserve"> and makes the processes of adding Audiodescription or subtitles for the deaf and hard of hearing more complex and costly. </w:t>
      </w:r>
    </w:p>
    <w:p w14:paraId="6D7A32D9" w14:textId="38D81FA2" w:rsidR="00E035A0" w:rsidRPr="00FA7CB4" w:rsidRDefault="00E035A0" w:rsidP="00FA7CB4">
      <w:pPr>
        <w:pStyle w:val="ListParagraph"/>
        <w:numPr>
          <w:ilvl w:val="0"/>
          <w:numId w:val="17"/>
        </w:numPr>
        <w:rPr>
          <w:lang w:bidi="en-US"/>
        </w:rPr>
      </w:pPr>
      <w:r w:rsidRPr="00FA7CB4">
        <w:rPr>
          <w:lang w:bidi="en-US"/>
        </w:rPr>
        <w:t>A non-discriminative and inclusive approach to the accessibility of culture, leisure and sports by making accessibility a condition to the distribution of funding via the relevant programmes (i.e. Creative Europe, ERASMUS+)</w:t>
      </w:r>
    </w:p>
    <w:p w14:paraId="6E64E21B" w14:textId="601E5E7B" w:rsidR="00713471" w:rsidRPr="00D404B4" w:rsidRDefault="00BF7F37" w:rsidP="00295AA8">
      <w:pPr>
        <w:pStyle w:val="Heading2"/>
        <w:spacing w:line="276" w:lineRule="auto"/>
        <w:rPr>
          <w:lang w:val="en-GB"/>
        </w:rPr>
      </w:pPr>
      <w:bookmarkStart w:id="62" w:name="_Toc179386661"/>
      <w:r w:rsidRPr="00D404B4">
        <w:rPr>
          <w:lang w:val="en-GB"/>
        </w:rPr>
        <w:t>Article 31: Statistics and data collection</w:t>
      </w:r>
      <w:bookmarkEnd w:id="62"/>
      <w:r w:rsidRPr="00D404B4">
        <w:rPr>
          <w:lang w:val="en-GB"/>
        </w:rPr>
        <w:t xml:space="preserve"> </w:t>
      </w:r>
    </w:p>
    <w:p w14:paraId="389C98EE" w14:textId="2513B633" w:rsidR="00FB23BF" w:rsidRDefault="00D906F6" w:rsidP="00FB23BF">
      <w:pPr>
        <w:spacing w:before="240"/>
        <w:rPr>
          <w:rFonts w:cs="Arial"/>
        </w:rPr>
      </w:pPr>
      <w:hyperlink r:id="rId157" w:history="1">
        <w:r w:rsidR="00A37FAF" w:rsidRPr="00D404B4">
          <w:rPr>
            <w:rStyle w:val="Hyperlink"/>
            <w:rFonts w:cs="Arial"/>
            <w:b/>
            <w:bCs/>
          </w:rPr>
          <w:t>Eurostat</w:t>
        </w:r>
      </w:hyperlink>
      <w:r w:rsidR="00A37FAF" w:rsidRPr="00D404B4">
        <w:rPr>
          <w:rFonts w:cs="Arial"/>
        </w:rPr>
        <w:t xml:space="preserve"> is the statistical office of the EU. </w:t>
      </w:r>
      <w:r w:rsidR="00351CAA" w:rsidRPr="00D404B4">
        <w:rPr>
          <w:rFonts w:cs="Arial"/>
        </w:rPr>
        <w:t>Among its key</w:t>
      </w:r>
      <w:r w:rsidR="00A37FAF" w:rsidRPr="00D404B4">
        <w:rPr>
          <w:rFonts w:cs="Arial"/>
        </w:rPr>
        <w:t xml:space="preserve"> objective</w:t>
      </w:r>
      <w:r w:rsidR="00351CAA" w:rsidRPr="00D404B4">
        <w:rPr>
          <w:rFonts w:cs="Arial"/>
        </w:rPr>
        <w:t>s</w:t>
      </w:r>
      <w:r w:rsidR="00A37FAF" w:rsidRPr="00D404B4">
        <w:rPr>
          <w:rFonts w:cs="Arial"/>
        </w:rPr>
        <w:t xml:space="preserve"> </w:t>
      </w:r>
      <w:r w:rsidR="00351CAA" w:rsidRPr="00D404B4">
        <w:rPr>
          <w:rFonts w:cs="Arial"/>
        </w:rPr>
        <w:t xml:space="preserve">we see that </w:t>
      </w:r>
      <w:r w:rsidR="00A37FAF" w:rsidRPr="00D404B4">
        <w:rPr>
          <w:rFonts w:cs="Arial"/>
        </w:rPr>
        <w:t xml:space="preserve">of “providing statistics on key areas of social policy where the citizens </w:t>
      </w:r>
      <w:r w:rsidR="006C1803" w:rsidRPr="00D404B4">
        <w:rPr>
          <w:rFonts w:cs="Arial"/>
        </w:rPr>
        <w:t xml:space="preserve">are </w:t>
      </w:r>
      <w:r w:rsidR="00A37FAF" w:rsidRPr="00D404B4">
        <w:rPr>
          <w:rFonts w:cs="Arial"/>
        </w:rPr>
        <w:t xml:space="preserve">the centre of the interest” </w:t>
      </w:r>
      <w:r w:rsidR="00A37FAF" w:rsidRPr="00D404B4">
        <w:rPr>
          <w:rFonts w:cs="Arial"/>
        </w:rPr>
        <w:lastRenderedPageBreak/>
        <w:t>(Objective 3.2.1)</w:t>
      </w:r>
      <w:r w:rsidR="00726820" w:rsidRPr="00D404B4">
        <w:rPr>
          <w:rFonts w:cs="Arial"/>
        </w:rPr>
        <w:t>.</w:t>
      </w:r>
      <w:r w:rsidR="00351CAA" w:rsidRPr="00D404B4">
        <w:rPr>
          <w:rStyle w:val="FootnoteReference"/>
          <w:rFonts w:cs="Arial"/>
        </w:rPr>
        <w:footnoteReference w:id="141"/>
      </w:r>
      <w:r w:rsidR="00A37FAF" w:rsidRPr="00D404B4">
        <w:rPr>
          <w:rFonts w:cs="Arial"/>
        </w:rPr>
        <w:t xml:space="preserve"> Disability is identified as an area within this objective. All data must be disaggregated by gender.</w:t>
      </w:r>
      <w:r w:rsidR="00FB23BF">
        <w:rPr>
          <w:rFonts w:cs="Arial"/>
        </w:rPr>
        <w:t xml:space="preserve"> In January 2024 Eurostat improved the availability and ease of finding comparable EU data on persons with disabilities. It launched </w:t>
      </w:r>
      <w:r w:rsidR="00FB23BF" w:rsidRPr="00FB23BF">
        <w:rPr>
          <w:rFonts w:cs="Arial"/>
        </w:rPr>
        <w:t>a new </w:t>
      </w:r>
      <w:hyperlink r:id="rId158" w:history="1">
        <w:r w:rsidR="00FB23BF" w:rsidRPr="00FB23BF">
          <w:rPr>
            <w:rStyle w:val="Hyperlink"/>
            <w:rFonts w:cs="Arial"/>
          </w:rPr>
          <w:t>thematic page on disability</w:t>
        </w:r>
      </w:hyperlink>
      <w:r w:rsidR="00FB23BF" w:rsidRPr="00FB23BF">
        <w:rPr>
          <w:rFonts w:cs="Arial"/>
        </w:rPr>
        <w:t> and a </w:t>
      </w:r>
      <w:hyperlink r:id="rId159" w:history="1">
        <w:r w:rsidR="00FB23BF" w:rsidRPr="00FB23BF">
          <w:rPr>
            <w:rStyle w:val="Hyperlink"/>
            <w:rFonts w:cs="Arial"/>
          </w:rPr>
          <w:t>Disability Database</w:t>
        </w:r>
      </w:hyperlink>
      <w:r w:rsidR="00FB23BF" w:rsidRPr="00FB23BF">
        <w:rPr>
          <w:rFonts w:cs="Arial"/>
        </w:rPr>
        <w:t xml:space="preserve">, an easy-to-find webpage with all comparable EU data on persons with </w:t>
      </w:r>
      <w:r w:rsidR="0039762C" w:rsidRPr="00FB23BF">
        <w:rPr>
          <w:rFonts w:cs="Arial"/>
        </w:rPr>
        <w:t>disabilities.</w:t>
      </w:r>
      <w:r w:rsidR="0039762C">
        <w:rPr>
          <w:rFonts w:cs="Arial"/>
        </w:rPr>
        <w:t xml:space="preserve"> It</w:t>
      </w:r>
      <w:r w:rsidR="00FB23BF">
        <w:rPr>
          <w:rFonts w:cs="Arial"/>
        </w:rPr>
        <w:t xml:space="preserve"> covers data in areas such as </w:t>
      </w:r>
      <w:r w:rsidR="00FB23BF" w:rsidRPr="00FB23BF">
        <w:rPr>
          <w:rFonts w:cs="Arial"/>
        </w:rPr>
        <w:t>disability prevalence</w:t>
      </w:r>
      <w:r w:rsidR="00FB23BF">
        <w:rPr>
          <w:rFonts w:cs="Arial"/>
        </w:rPr>
        <w:t xml:space="preserve">, </w:t>
      </w:r>
      <w:r w:rsidR="00FB23BF" w:rsidRPr="00FB23BF">
        <w:rPr>
          <w:rFonts w:cs="Arial"/>
        </w:rPr>
        <w:t>income and living conditions</w:t>
      </w:r>
      <w:r w:rsidR="00FB23BF">
        <w:rPr>
          <w:rFonts w:cs="Arial"/>
        </w:rPr>
        <w:t xml:space="preserve">, </w:t>
      </w:r>
      <w:r w:rsidR="00FB23BF" w:rsidRPr="00FB23BF">
        <w:rPr>
          <w:rFonts w:cs="Arial"/>
        </w:rPr>
        <w:t>social protection</w:t>
      </w:r>
      <w:r w:rsidR="00FB23BF">
        <w:rPr>
          <w:rFonts w:cs="Arial"/>
        </w:rPr>
        <w:t xml:space="preserve">, </w:t>
      </w:r>
      <w:r w:rsidR="00FB23BF" w:rsidRPr="00FB23BF">
        <w:rPr>
          <w:rFonts w:cs="Arial"/>
        </w:rPr>
        <w:t>access to the labour market</w:t>
      </w:r>
      <w:r w:rsidR="00FB23BF">
        <w:rPr>
          <w:rFonts w:cs="Arial"/>
        </w:rPr>
        <w:t xml:space="preserve">, </w:t>
      </w:r>
      <w:r w:rsidR="00FB23BF" w:rsidRPr="00FB23BF">
        <w:rPr>
          <w:rFonts w:cs="Arial"/>
        </w:rPr>
        <w:t>access to education and training</w:t>
      </w:r>
      <w:r w:rsidR="00FB23BF">
        <w:rPr>
          <w:rFonts w:cs="Arial"/>
        </w:rPr>
        <w:t xml:space="preserve">, </w:t>
      </w:r>
      <w:r w:rsidR="00FB23BF" w:rsidRPr="00FB23BF">
        <w:rPr>
          <w:rFonts w:cs="Arial"/>
        </w:rPr>
        <w:t>access to health and care services</w:t>
      </w:r>
      <w:r w:rsidR="00FB23BF">
        <w:rPr>
          <w:rFonts w:cs="Arial"/>
        </w:rPr>
        <w:t xml:space="preserve">, </w:t>
      </w:r>
      <w:r w:rsidR="00FB23BF" w:rsidRPr="00FB23BF">
        <w:rPr>
          <w:rFonts w:cs="Arial"/>
        </w:rPr>
        <w:t>access to information and communication technologies</w:t>
      </w:r>
      <w:r w:rsidR="00FB23BF">
        <w:rPr>
          <w:rFonts w:cs="Arial"/>
        </w:rPr>
        <w:t xml:space="preserve">, violence against women with disabilities, </w:t>
      </w:r>
      <w:r w:rsidR="00FB23BF" w:rsidRPr="00FB23BF">
        <w:rPr>
          <w:rFonts w:cs="Arial"/>
        </w:rPr>
        <w:t>leisure and social participation</w:t>
      </w:r>
      <w:r w:rsidR="00FB23BF">
        <w:rPr>
          <w:rFonts w:cs="Arial"/>
        </w:rPr>
        <w:t xml:space="preserve">, </w:t>
      </w:r>
      <w:r w:rsidR="00FB23BF" w:rsidRPr="00FB23BF">
        <w:rPr>
          <w:rFonts w:cs="Arial"/>
        </w:rPr>
        <w:t xml:space="preserve">health status and determinants </w:t>
      </w:r>
      <w:r w:rsidR="00FB23BF">
        <w:rPr>
          <w:rFonts w:cs="Arial"/>
        </w:rPr>
        <w:t xml:space="preserve">and </w:t>
      </w:r>
      <w:r w:rsidR="00FB23BF" w:rsidRPr="00FB23BF">
        <w:rPr>
          <w:rFonts w:cs="Arial"/>
        </w:rPr>
        <w:t>overall experience of life</w:t>
      </w:r>
      <w:r w:rsidR="00FB23BF">
        <w:rPr>
          <w:rFonts w:cs="Arial"/>
        </w:rPr>
        <w:t>.</w:t>
      </w:r>
    </w:p>
    <w:p w14:paraId="2A104D0E" w14:textId="24D870ED" w:rsidR="007959AC" w:rsidRPr="00D404B4" w:rsidRDefault="00FB23BF" w:rsidP="00295AA8">
      <w:pPr>
        <w:spacing w:before="240"/>
        <w:rPr>
          <w:rFonts w:cs="Arial"/>
        </w:rPr>
      </w:pPr>
      <w:r>
        <w:rPr>
          <w:rFonts w:cs="Arial"/>
        </w:rPr>
        <w:t>However, t</w:t>
      </w:r>
      <w:r w:rsidR="007959AC" w:rsidRPr="00D404B4">
        <w:rPr>
          <w:rFonts w:cs="Arial"/>
        </w:rPr>
        <w:t>h</w:t>
      </w:r>
      <w:r>
        <w:rPr>
          <w:rFonts w:cs="Arial"/>
        </w:rPr>
        <w:t>is</w:t>
      </w:r>
      <w:r w:rsidR="007959AC" w:rsidRPr="00D404B4">
        <w:rPr>
          <w:rFonts w:cs="Arial"/>
        </w:rPr>
        <w:t xml:space="preserve"> data falls short of disaggregating by type of disability, something that would be afforded by data collection techniques such as the </w:t>
      </w:r>
      <w:hyperlink r:id="rId160" w:history="1">
        <w:r w:rsidR="007959AC" w:rsidRPr="00D404B4">
          <w:rPr>
            <w:rStyle w:val="Hyperlink"/>
            <w:rFonts w:cs="Arial"/>
          </w:rPr>
          <w:t>Washington Group Short Set of Questions</w:t>
        </w:r>
      </w:hyperlink>
      <w:r w:rsidR="007959AC" w:rsidRPr="00D404B4">
        <w:rPr>
          <w:rFonts w:cs="Arial"/>
        </w:rPr>
        <w:t xml:space="preserve">. It also misses from its scope </w:t>
      </w:r>
      <w:r w:rsidR="007959AC" w:rsidRPr="00774F6D">
        <w:rPr>
          <w:rFonts w:cs="Arial"/>
          <w:b/>
          <w:bCs/>
        </w:rPr>
        <w:t>persons with disabilities living in institutions</w:t>
      </w:r>
      <w:r w:rsidR="007959AC" w:rsidRPr="00D404B4">
        <w:rPr>
          <w:rFonts w:cs="Arial"/>
        </w:rPr>
        <w:t xml:space="preserve">, as it only reaches people living in households, which does not include residential and institutional care. </w:t>
      </w:r>
      <w:r w:rsidR="00726820" w:rsidRPr="00D404B4">
        <w:rPr>
          <w:rFonts w:cs="Arial"/>
        </w:rPr>
        <w:t>T</w:t>
      </w:r>
      <w:r w:rsidR="007959AC" w:rsidRPr="00D404B4">
        <w:rPr>
          <w:rFonts w:cs="Arial"/>
        </w:rPr>
        <w:t>herefore</w:t>
      </w:r>
      <w:r w:rsidR="00360FA1" w:rsidRPr="00D404B4">
        <w:rPr>
          <w:rFonts w:cs="Arial"/>
        </w:rPr>
        <w:t>,</w:t>
      </w:r>
      <w:r w:rsidR="00726820" w:rsidRPr="00D404B4">
        <w:rPr>
          <w:rFonts w:cs="Arial"/>
        </w:rPr>
        <w:t xml:space="preserve"> we</w:t>
      </w:r>
      <w:r w:rsidR="007959AC" w:rsidRPr="00D404B4">
        <w:rPr>
          <w:rFonts w:cs="Arial"/>
        </w:rPr>
        <w:t xml:space="preserve"> </w:t>
      </w:r>
      <w:r w:rsidR="00351CAA" w:rsidRPr="00D404B4">
        <w:rPr>
          <w:rFonts w:cs="Arial"/>
        </w:rPr>
        <w:t xml:space="preserve">almost entirely </w:t>
      </w:r>
      <w:r w:rsidR="007959AC" w:rsidRPr="00D404B4">
        <w:rPr>
          <w:rFonts w:cs="Arial"/>
        </w:rPr>
        <w:t xml:space="preserve">lack </w:t>
      </w:r>
      <w:r w:rsidR="00351CAA" w:rsidRPr="00D404B4">
        <w:rPr>
          <w:rFonts w:cs="Arial"/>
        </w:rPr>
        <w:t xml:space="preserve">adequate </w:t>
      </w:r>
      <w:r w:rsidR="007959AC" w:rsidRPr="00D404B4">
        <w:rPr>
          <w:rFonts w:cs="Arial"/>
        </w:rPr>
        <w:t>data on persons with disabilities living in institutions.</w:t>
      </w:r>
    </w:p>
    <w:p w14:paraId="466B7FF3" w14:textId="55FB16DA" w:rsidR="00360FA1" w:rsidRDefault="00360FA1" w:rsidP="00295AA8">
      <w:pPr>
        <w:spacing w:before="240"/>
        <w:rPr>
          <w:rFonts w:cs="Arial"/>
        </w:rPr>
      </w:pPr>
      <w:r w:rsidRPr="00D404B4">
        <w:rPr>
          <w:rFonts w:cs="Arial"/>
        </w:rPr>
        <w:t xml:space="preserve">An important issue faced </w:t>
      </w:r>
      <w:r w:rsidR="00AD6E4C" w:rsidRPr="00D404B4">
        <w:rPr>
          <w:rFonts w:cs="Arial"/>
        </w:rPr>
        <w:t xml:space="preserve">concerning </w:t>
      </w:r>
      <w:r w:rsidRPr="00D404B4">
        <w:rPr>
          <w:rFonts w:cs="Arial"/>
        </w:rPr>
        <w:t xml:space="preserve">the data collected by Eurostat is that they are based on the statistics produced at national level and that Member States do not agree on a common approach to disability. </w:t>
      </w:r>
    </w:p>
    <w:p w14:paraId="32D8438C" w14:textId="093AE5F0" w:rsidR="00F17685" w:rsidRPr="00C84503" w:rsidRDefault="00C84503" w:rsidP="00C84503">
      <w:pPr>
        <w:spacing w:before="240"/>
        <w:rPr>
          <w:rFonts w:cs="Arial"/>
        </w:rPr>
      </w:pPr>
      <w:r w:rsidRPr="00C84503">
        <w:rPr>
          <w:rFonts w:cs="Arial"/>
        </w:rPr>
        <w:t xml:space="preserve">In 2023, the </w:t>
      </w:r>
      <w:r w:rsidR="00F17685" w:rsidRPr="00C84503">
        <w:t>Fundamental Rights Agenc</w:t>
      </w:r>
      <w:r w:rsidRPr="00C84503">
        <w:t>y of the EU</w:t>
      </w:r>
      <w:r w:rsidR="00F17685" w:rsidRPr="00C84503">
        <w:t xml:space="preserve"> issued</w:t>
      </w:r>
      <w:r w:rsidRPr="00C84503">
        <w:t xml:space="preserve"> </w:t>
      </w:r>
      <w:hyperlink r:id="rId161" w:history="1">
        <w:r w:rsidRPr="00C84503">
          <w:rPr>
            <w:rStyle w:val="Hyperlink"/>
          </w:rPr>
          <w:t>human rights</w:t>
        </w:r>
        <w:r w:rsidR="00F17685" w:rsidRPr="00C84503">
          <w:rPr>
            <w:rStyle w:val="Hyperlink"/>
          </w:rPr>
          <w:t xml:space="preserve"> indicators</w:t>
        </w:r>
        <w:r w:rsidRPr="00C84503">
          <w:rPr>
            <w:rStyle w:val="Hyperlink"/>
          </w:rPr>
          <w:t xml:space="preserve"> on implementing the CRPD</w:t>
        </w:r>
      </w:hyperlink>
      <w:r w:rsidRPr="00C84503">
        <w:t>.</w:t>
      </w:r>
      <w:r>
        <w:t xml:space="preserve"> </w:t>
      </w:r>
      <w:r w:rsidR="00BB1F9B">
        <w:t xml:space="preserve">They are aimed at national </w:t>
      </w:r>
      <w:r w:rsidR="00BB1F9B" w:rsidRPr="00BB1F9B">
        <w:t>monitoring frameworks to fulfil their monitoring responsibility set out in Article 33</w:t>
      </w:r>
      <w:r w:rsidR="00BB1F9B">
        <w:t xml:space="preserve">. </w:t>
      </w:r>
      <w:r w:rsidR="00072EC4">
        <w:t xml:space="preserve">However, they are not per se used by the EU itself for its own monitoring. </w:t>
      </w:r>
    </w:p>
    <w:p w14:paraId="5C6F3F32" w14:textId="353673B9" w:rsidR="00F17685" w:rsidRPr="00F17685" w:rsidRDefault="00C84503" w:rsidP="00F17685">
      <w:pPr>
        <w:rPr>
          <w:lang w:bidi="en-US"/>
        </w:rPr>
      </w:pPr>
      <w:r>
        <w:rPr>
          <w:lang w:bidi="en-US"/>
        </w:rPr>
        <w:t>T</w:t>
      </w:r>
      <w:r w:rsidR="00F17685" w:rsidRPr="00D404B4">
        <w:rPr>
          <w:lang w:bidi="en-US"/>
        </w:rPr>
        <w:t>here has been no major event or campaign aiming to disseminate the available data and understanding of the living situation of persons with disabilities, except for the publication</w:t>
      </w:r>
      <w:r w:rsidR="00F17685">
        <w:rPr>
          <w:lang w:bidi="en-US"/>
        </w:rPr>
        <w:t xml:space="preserve">s by the </w:t>
      </w:r>
      <w:hyperlink r:id="rId162" w:history="1">
        <w:r w:rsidR="00F17685" w:rsidRPr="0008284A">
          <w:rPr>
            <w:rStyle w:val="Hyperlink"/>
            <w:lang w:bidi="en-US"/>
          </w:rPr>
          <w:t>European Disability Expertise</w:t>
        </w:r>
      </w:hyperlink>
      <w:r w:rsidR="00F17685">
        <w:rPr>
          <w:lang w:bidi="en-US"/>
        </w:rPr>
        <w:t xml:space="preserve"> tender, funded by the European Commission, </w:t>
      </w:r>
      <w:r w:rsidR="00F17685" w:rsidRPr="00D404B4">
        <w:rPr>
          <w:lang w:bidi="en-US"/>
        </w:rPr>
        <w:t xml:space="preserve"> </w:t>
      </w:r>
      <w:r w:rsidR="00F17685">
        <w:rPr>
          <w:lang w:bidi="en-US"/>
        </w:rPr>
        <w:t>which in 2022 gave an overview of the impact of COVID-19 on persons with disabilities in each of the EU Member States and in the EU as a whole.</w:t>
      </w:r>
    </w:p>
    <w:p w14:paraId="77554DC2" w14:textId="3526FD63" w:rsidR="00726820" w:rsidRPr="00D404B4" w:rsidRDefault="00726820" w:rsidP="00295AA8">
      <w:pPr>
        <w:pStyle w:val="Heading3"/>
      </w:pPr>
      <w:r w:rsidRPr="00D404B4">
        <w:t>Dat</w:t>
      </w:r>
      <w:r w:rsidR="00125393" w:rsidRPr="00D404B4">
        <w:t>a</w:t>
      </w:r>
      <w:r w:rsidRPr="00D404B4">
        <w:t xml:space="preserve"> on</w:t>
      </w:r>
      <w:r w:rsidR="006063EB" w:rsidRPr="00D404B4">
        <w:t xml:space="preserve"> women and girls with disabilities </w:t>
      </w:r>
    </w:p>
    <w:p w14:paraId="43CD7AC8" w14:textId="2E0579EA" w:rsidR="006063EB" w:rsidRPr="00D404B4" w:rsidRDefault="00FB23BF" w:rsidP="00295AA8">
      <w:pPr>
        <w:rPr>
          <w:rFonts w:cs="Arial"/>
        </w:rPr>
      </w:pPr>
      <w:r>
        <w:rPr>
          <w:rFonts w:cs="Arial"/>
        </w:rPr>
        <w:t>Certain d</w:t>
      </w:r>
      <w:r w:rsidR="006063EB" w:rsidRPr="00D404B4">
        <w:rPr>
          <w:rFonts w:cs="Arial"/>
        </w:rPr>
        <w:t xml:space="preserve">ata and statistics about women and girls with </w:t>
      </w:r>
      <w:r w:rsidR="006063EB" w:rsidRPr="00B65907">
        <w:rPr>
          <w:rFonts w:cs="Arial"/>
        </w:rPr>
        <w:t xml:space="preserve">disabilities </w:t>
      </w:r>
      <w:r w:rsidR="000E2D50" w:rsidRPr="00B65907">
        <w:rPr>
          <w:rFonts w:cs="Arial"/>
        </w:rPr>
        <w:t>are</w:t>
      </w:r>
      <w:r w:rsidR="006063EB" w:rsidRPr="00B65907">
        <w:rPr>
          <w:rFonts w:cs="Arial"/>
        </w:rPr>
        <w:t xml:space="preserve"> also </w:t>
      </w:r>
      <w:r w:rsidR="006063EB" w:rsidRPr="00D404B4">
        <w:rPr>
          <w:rFonts w:cs="Arial"/>
        </w:rPr>
        <w:t xml:space="preserve">missing. The </w:t>
      </w:r>
      <w:hyperlink r:id="rId163" w:history="1">
        <w:r w:rsidR="006063EB" w:rsidRPr="002B685C">
          <w:rPr>
            <w:rStyle w:val="Hyperlink"/>
            <w:rFonts w:cs="Arial"/>
          </w:rPr>
          <w:t>European Institute for Gender Equality</w:t>
        </w:r>
      </w:hyperlink>
      <w:r w:rsidR="006063EB" w:rsidRPr="002B685C">
        <w:rPr>
          <w:rFonts w:cs="Arial"/>
        </w:rPr>
        <w:t xml:space="preserve"> (EIGE) started to disaggregate some of the data of its Gender Equality Index by disability</w:t>
      </w:r>
      <w:r w:rsidR="006063EB" w:rsidRPr="00D404B4">
        <w:rPr>
          <w:rFonts w:cs="Arial"/>
        </w:rPr>
        <w:t xml:space="preserve">. Unfortunately some important areas are not covered, notably in relation to </w:t>
      </w:r>
      <w:hyperlink r:id="rId164" w:history="1">
        <w:r w:rsidR="006063EB" w:rsidRPr="00D404B4">
          <w:rPr>
            <w:rStyle w:val="Hyperlink"/>
            <w:rFonts w:cs="Arial"/>
          </w:rPr>
          <w:t>power</w:t>
        </w:r>
      </w:hyperlink>
      <w:r w:rsidR="006063EB" w:rsidRPr="00D404B4">
        <w:rPr>
          <w:rFonts w:cs="Arial"/>
        </w:rPr>
        <w:t xml:space="preserve"> (decision-making positions across the political, economic and social spheres). In addition, there is very limited analysis of the situation of women and girls with disabilities in EU partner countries. Inclusive and intersectional data are not being collected by EU’s external action services and the EU delegations.</w:t>
      </w:r>
    </w:p>
    <w:p w14:paraId="049D61F1" w14:textId="33D3A0AC" w:rsidR="00726820" w:rsidRPr="00D404B4" w:rsidRDefault="00726820" w:rsidP="00295AA8">
      <w:pPr>
        <w:pStyle w:val="Heading3"/>
      </w:pPr>
      <w:r w:rsidRPr="00D404B4">
        <w:t>Dat</w:t>
      </w:r>
      <w:r w:rsidR="00125393" w:rsidRPr="00D404B4">
        <w:t>a</w:t>
      </w:r>
      <w:r w:rsidRPr="00D404B4">
        <w:t xml:space="preserve"> in international relation</w:t>
      </w:r>
      <w:r w:rsidR="006063EB" w:rsidRPr="00D404B4">
        <w:t>s</w:t>
      </w:r>
      <w:r w:rsidRPr="00D404B4">
        <w:t xml:space="preserve"> and disaster risk reduction</w:t>
      </w:r>
    </w:p>
    <w:p w14:paraId="0FB6AC9E" w14:textId="52509025" w:rsidR="005373E3" w:rsidRPr="005373E3" w:rsidRDefault="006063EB" w:rsidP="005373E3">
      <w:pPr>
        <w:rPr>
          <w:rFonts w:cs="Arial"/>
        </w:rPr>
      </w:pPr>
      <w:r w:rsidRPr="00D404B4">
        <w:rPr>
          <w:rFonts w:cs="Arial"/>
        </w:rPr>
        <w:t>The l</w:t>
      </w:r>
      <w:r w:rsidR="00456A5B" w:rsidRPr="00D404B4">
        <w:rPr>
          <w:rFonts w:cs="Arial"/>
        </w:rPr>
        <w:t xml:space="preserve">atest version of DG ECHO partners’ reporting guidelines encourages the use of the Washington Group Short Set of questions </w:t>
      </w:r>
      <w:r w:rsidR="005373E3">
        <w:rPr>
          <w:rFonts w:cs="Arial"/>
        </w:rPr>
        <w:t>for</w:t>
      </w:r>
      <w:r w:rsidR="00456A5B" w:rsidRPr="00D404B4">
        <w:rPr>
          <w:rFonts w:cs="Arial"/>
        </w:rPr>
        <w:t xml:space="preserve"> data disaggregation. However</w:t>
      </w:r>
      <w:r w:rsidR="00755E45" w:rsidRPr="00D404B4">
        <w:rPr>
          <w:rFonts w:cs="Arial"/>
        </w:rPr>
        <w:t>,</w:t>
      </w:r>
      <w:r w:rsidR="00456A5B" w:rsidRPr="00D404B4">
        <w:rPr>
          <w:rFonts w:cs="Arial"/>
        </w:rPr>
        <w:t xml:space="preserve"> this is not </w:t>
      </w:r>
      <w:r w:rsidR="002B685C" w:rsidRPr="00D404B4">
        <w:rPr>
          <w:rFonts w:cs="Arial"/>
        </w:rPr>
        <w:lastRenderedPageBreak/>
        <w:t>obligatory,</w:t>
      </w:r>
      <w:r w:rsidR="00456A5B" w:rsidRPr="00D404B4">
        <w:rPr>
          <w:rFonts w:cs="Arial"/>
        </w:rPr>
        <w:t xml:space="preserve"> and no reporting indicator </w:t>
      </w:r>
      <w:r w:rsidR="005373E3">
        <w:rPr>
          <w:rFonts w:cs="Arial"/>
        </w:rPr>
        <w:t xml:space="preserve">measures the extent of its </w:t>
      </w:r>
      <w:r w:rsidR="00456A5B" w:rsidRPr="00D404B4">
        <w:rPr>
          <w:rFonts w:cs="Arial"/>
        </w:rPr>
        <w:t>implementation. Similarly, risk assessment</w:t>
      </w:r>
      <w:r w:rsidR="005373E3">
        <w:rPr>
          <w:rFonts w:cs="Arial"/>
        </w:rPr>
        <w:t>s</w:t>
      </w:r>
      <w:r w:rsidR="00456A5B" w:rsidRPr="00D404B4">
        <w:rPr>
          <w:rFonts w:cs="Arial"/>
        </w:rPr>
        <w:t xml:space="preserve"> or disaster los</w:t>
      </w:r>
      <w:r w:rsidR="005373E3">
        <w:rPr>
          <w:rFonts w:cs="Arial"/>
        </w:rPr>
        <w:t>s</w:t>
      </w:r>
      <w:r w:rsidR="00456A5B" w:rsidRPr="00D404B4">
        <w:rPr>
          <w:rFonts w:cs="Arial"/>
        </w:rPr>
        <w:t xml:space="preserve"> data </w:t>
      </w:r>
      <w:r w:rsidR="005373E3">
        <w:rPr>
          <w:rFonts w:cs="Arial"/>
        </w:rPr>
        <w:t>collected</w:t>
      </w:r>
      <w:r w:rsidR="00456A5B" w:rsidRPr="00D404B4">
        <w:rPr>
          <w:rFonts w:cs="Arial"/>
        </w:rPr>
        <w:t xml:space="preserve"> within the EU by the EU </w:t>
      </w:r>
      <w:hyperlink r:id="rId165" w:history="1">
        <w:r w:rsidR="00456A5B" w:rsidRPr="00D404B4">
          <w:rPr>
            <w:rStyle w:val="Hyperlink"/>
            <w:rFonts w:cs="Arial"/>
          </w:rPr>
          <w:t>Disaster Risk Management Knowledge Centre</w:t>
        </w:r>
      </w:hyperlink>
      <w:r w:rsidR="00456A5B" w:rsidRPr="00D404B4">
        <w:rPr>
          <w:rFonts w:cs="Arial"/>
        </w:rPr>
        <w:t xml:space="preserve"> or the EU </w:t>
      </w:r>
      <w:hyperlink r:id="rId166" w:history="1">
        <w:r w:rsidR="00456A5B" w:rsidRPr="00D404B4">
          <w:rPr>
            <w:rStyle w:val="Hyperlink"/>
            <w:rFonts w:cs="Arial"/>
          </w:rPr>
          <w:t>Joint Research Centre</w:t>
        </w:r>
      </w:hyperlink>
      <w:r w:rsidR="00456A5B" w:rsidRPr="00D404B4">
        <w:rPr>
          <w:rFonts w:cs="Arial"/>
        </w:rPr>
        <w:t xml:space="preserve"> </w:t>
      </w:r>
      <w:r w:rsidR="005373E3">
        <w:rPr>
          <w:rFonts w:cs="Arial"/>
        </w:rPr>
        <w:t>are</w:t>
      </w:r>
      <w:r w:rsidR="00456A5B" w:rsidRPr="00D404B4">
        <w:rPr>
          <w:rFonts w:cs="Arial"/>
        </w:rPr>
        <w:t xml:space="preserve"> not routinely disaggregated by disability. In </w:t>
      </w:r>
      <w:r w:rsidR="00456A5B" w:rsidRPr="00B65907">
        <w:rPr>
          <w:rFonts w:cs="Arial"/>
        </w:rPr>
        <w:t xml:space="preserve">2016, during </w:t>
      </w:r>
      <w:r w:rsidR="000E2D50" w:rsidRPr="00B65907">
        <w:rPr>
          <w:rFonts w:cs="Arial"/>
        </w:rPr>
        <w:t xml:space="preserve">the </w:t>
      </w:r>
      <w:r w:rsidR="00456A5B" w:rsidRPr="00B65907">
        <w:rPr>
          <w:rFonts w:cs="Arial"/>
        </w:rPr>
        <w:t xml:space="preserve">development </w:t>
      </w:r>
      <w:r w:rsidR="00456A5B" w:rsidRPr="00D404B4">
        <w:rPr>
          <w:rFonts w:cs="Arial"/>
        </w:rPr>
        <w:t xml:space="preserve">of the </w:t>
      </w:r>
      <w:hyperlink r:id="rId167" w:history="1">
        <w:r w:rsidR="00456A5B" w:rsidRPr="005373E3">
          <w:rPr>
            <w:rStyle w:val="Hyperlink"/>
            <w:rFonts w:cs="Arial"/>
          </w:rPr>
          <w:t xml:space="preserve">Sendai </w:t>
        </w:r>
        <w:r w:rsidR="005373E3" w:rsidRPr="005373E3">
          <w:rPr>
            <w:rStyle w:val="Hyperlink"/>
            <w:rFonts w:cs="Arial"/>
          </w:rPr>
          <w:t>F</w:t>
        </w:r>
        <w:r w:rsidR="00456A5B" w:rsidRPr="005373E3">
          <w:rPr>
            <w:rStyle w:val="Hyperlink"/>
            <w:rFonts w:cs="Arial"/>
          </w:rPr>
          <w:t>ramework Indicators</w:t>
        </w:r>
      </w:hyperlink>
      <w:r w:rsidR="00456A5B" w:rsidRPr="00D404B4">
        <w:rPr>
          <w:rFonts w:cs="Arial"/>
        </w:rPr>
        <w:t xml:space="preserve">, the EU Joint Research Centre position </w:t>
      </w:r>
      <w:r w:rsidR="005373E3">
        <w:rPr>
          <w:rFonts w:cs="Arial"/>
        </w:rPr>
        <w:t xml:space="preserve">expressed the view that </w:t>
      </w:r>
      <w:r w:rsidR="005373E3" w:rsidRPr="005373E3">
        <w:rPr>
          <w:rFonts w:cs="Arial"/>
        </w:rPr>
        <w:t>disaggregating data by disability was not a reasonable aim given the available resources.</w:t>
      </w:r>
    </w:p>
    <w:p w14:paraId="139CF083" w14:textId="37FAE1A8" w:rsidR="00BA5BBB" w:rsidRDefault="00BA5BBB" w:rsidP="00295AA8">
      <w:pPr>
        <w:rPr>
          <w:rFonts w:cs="Arial"/>
        </w:rPr>
      </w:pPr>
      <w:r w:rsidRPr="00D404B4">
        <w:rPr>
          <w:rFonts w:cs="Arial"/>
        </w:rPr>
        <w:t>Other EU bodies also fail to disaggregate data by disability. For example</w:t>
      </w:r>
      <w:r w:rsidRPr="00CF710A">
        <w:rPr>
          <w:rFonts w:cs="Arial"/>
        </w:rPr>
        <w:t>, the European Centre for Disease Prevention and Control,</w:t>
      </w:r>
      <w:r w:rsidRPr="00D404B4">
        <w:rPr>
          <w:rStyle w:val="FootnoteReference"/>
          <w:rFonts w:cs="Arial"/>
        </w:rPr>
        <w:footnoteReference w:id="142"/>
      </w:r>
      <w:r w:rsidRPr="00D404B4">
        <w:rPr>
          <w:rFonts w:cs="Arial"/>
        </w:rPr>
        <w:t xml:space="preserve"> </w:t>
      </w:r>
      <w:r w:rsidR="005373E3">
        <w:rPr>
          <w:rFonts w:cs="Arial"/>
        </w:rPr>
        <w:t>responsible for</w:t>
      </w:r>
      <w:r w:rsidRPr="00D404B4">
        <w:rPr>
          <w:rFonts w:cs="Arial"/>
        </w:rPr>
        <w:t xml:space="preserve"> monitoring the COVID-19 pandemic in the EU</w:t>
      </w:r>
      <w:r w:rsidR="00222576" w:rsidRPr="00D404B4">
        <w:rPr>
          <w:rFonts w:cs="Arial"/>
        </w:rPr>
        <w:t>,</w:t>
      </w:r>
      <w:r w:rsidRPr="00D404B4">
        <w:rPr>
          <w:rFonts w:cs="Arial"/>
        </w:rPr>
        <w:t xml:space="preserve"> </w:t>
      </w:r>
      <w:r w:rsidR="005373E3">
        <w:rPr>
          <w:rFonts w:cs="Arial"/>
        </w:rPr>
        <w:t xml:space="preserve">did not </w:t>
      </w:r>
      <w:r w:rsidRPr="00D404B4">
        <w:rPr>
          <w:rFonts w:cs="Arial"/>
        </w:rPr>
        <w:t xml:space="preserve">provide </w:t>
      </w:r>
      <w:r w:rsidR="003F3E6F" w:rsidRPr="00D404B4">
        <w:rPr>
          <w:rFonts w:cs="Arial"/>
        </w:rPr>
        <w:t>statistics on persons with disabilities</w:t>
      </w:r>
      <w:r w:rsidR="005373E3">
        <w:rPr>
          <w:rFonts w:cs="Arial"/>
        </w:rPr>
        <w:t>, though</w:t>
      </w:r>
      <w:r w:rsidRPr="00D404B4">
        <w:rPr>
          <w:rFonts w:cs="Arial"/>
        </w:rPr>
        <w:t xml:space="preserve"> </w:t>
      </w:r>
      <w:r w:rsidR="003F3E6F" w:rsidRPr="00D404B4">
        <w:rPr>
          <w:rFonts w:cs="Arial"/>
        </w:rPr>
        <w:t>data</w:t>
      </w:r>
      <w:r w:rsidRPr="00D404B4">
        <w:rPr>
          <w:rFonts w:cs="Arial"/>
        </w:rPr>
        <w:t xml:space="preserve"> was disaggregated by age and gender.</w:t>
      </w:r>
    </w:p>
    <w:p w14:paraId="0EEBDF5A" w14:textId="137F0510" w:rsidR="00C408CE" w:rsidRPr="00D404B4" w:rsidRDefault="00DF0607" w:rsidP="00295AA8">
      <w:r>
        <w:rPr>
          <w:b/>
        </w:rPr>
        <w:t xml:space="preserve">We call for: </w:t>
      </w:r>
    </w:p>
    <w:p w14:paraId="04A07775" w14:textId="60FD1F62" w:rsidR="00FB23BF" w:rsidRDefault="00DF0607" w:rsidP="00295AA8">
      <w:pPr>
        <w:numPr>
          <w:ilvl w:val="0"/>
          <w:numId w:val="12"/>
        </w:numPr>
        <w:spacing w:after="0"/>
      </w:pPr>
      <w:r>
        <w:t>Us</w:t>
      </w:r>
      <w:r w:rsidR="00FB23BF">
        <w:t>e of the Washington Group short set of questions to enable data collection by type of disability in key areas</w:t>
      </w:r>
      <w:r>
        <w:t xml:space="preserve">, together with national data-collection offices. </w:t>
      </w:r>
    </w:p>
    <w:p w14:paraId="7A260909" w14:textId="675A5AFF" w:rsidR="00FB23BF" w:rsidRDefault="00DF0607" w:rsidP="00295AA8">
      <w:pPr>
        <w:numPr>
          <w:ilvl w:val="0"/>
          <w:numId w:val="12"/>
        </w:numPr>
        <w:spacing w:after="0"/>
      </w:pPr>
      <w:r>
        <w:t>F</w:t>
      </w:r>
      <w:r w:rsidR="00FB23BF">
        <w:t>requent data collection on people living in institutions</w:t>
      </w:r>
      <w:r w:rsidR="0039762C">
        <w:t xml:space="preserve"> in the EU</w:t>
      </w:r>
      <w:r w:rsidR="00FB23BF">
        <w:t>.</w:t>
      </w:r>
    </w:p>
    <w:p w14:paraId="47504529" w14:textId="59C93C28" w:rsidR="00BF7F37" w:rsidRDefault="00BF7F37" w:rsidP="00295AA8">
      <w:pPr>
        <w:pStyle w:val="Heading2"/>
        <w:spacing w:line="276" w:lineRule="auto"/>
        <w:rPr>
          <w:lang w:val="en-GB"/>
        </w:rPr>
      </w:pPr>
      <w:bookmarkStart w:id="63" w:name="_Toc179386662"/>
      <w:r w:rsidRPr="00D404B4">
        <w:rPr>
          <w:lang w:val="en-GB"/>
        </w:rPr>
        <w:t>Article 32: International cooperation</w:t>
      </w:r>
      <w:bookmarkEnd w:id="63"/>
    </w:p>
    <w:p w14:paraId="164C6192" w14:textId="77777777" w:rsidR="00523F74" w:rsidRDefault="00521717" w:rsidP="00521717">
      <w:pPr>
        <w:rPr>
          <w:lang w:val="en-US" w:bidi="en-US"/>
        </w:rPr>
      </w:pPr>
      <w:r w:rsidRPr="00B3275F">
        <w:rPr>
          <w:lang w:val="en-US" w:bidi="en-US"/>
        </w:rPr>
        <w:t xml:space="preserve">Persons with disabilities represent 16% of the global population, with </w:t>
      </w:r>
      <w:hyperlink r:id="rId168" w:anchor=":~:text=An%20estimated%201.3%20billion%20people,%2D%20and%20middle%2Dincome%20countries." w:history="1">
        <w:r w:rsidRPr="00B3275F">
          <w:rPr>
            <w:rStyle w:val="Hyperlink"/>
            <w:lang w:val="en-US" w:bidi="en-US"/>
          </w:rPr>
          <w:t>80% living in low- and middle-income countries</w:t>
        </w:r>
      </w:hyperlink>
      <w:r w:rsidRPr="00B3275F">
        <w:rPr>
          <w:lang w:val="en-US" w:bidi="en-US"/>
        </w:rPr>
        <w:t xml:space="preserve">. </w:t>
      </w:r>
    </w:p>
    <w:p w14:paraId="4DEE57D9" w14:textId="38BC46B3" w:rsidR="00521717" w:rsidRPr="00B3275F" w:rsidRDefault="00521717" w:rsidP="00521717">
      <w:pPr>
        <w:rPr>
          <w:lang w:val="en-US" w:bidi="en-US"/>
        </w:rPr>
      </w:pPr>
      <w:r w:rsidRPr="00B3275F">
        <w:rPr>
          <w:lang w:val="en-US" w:bidi="en-US"/>
        </w:rPr>
        <w:t xml:space="preserve">The EU follows several key policies that shape its international cooperation approach activities. In 2021, the EU introduced the </w:t>
      </w:r>
      <w:hyperlink r:id="rId169" w:history="1">
        <w:r w:rsidRPr="00B3275F">
          <w:rPr>
            <w:rStyle w:val="Hyperlink"/>
            <w:lang w:val="en-US" w:bidi="en-US"/>
          </w:rPr>
          <w:t>Neighbourhood, Development and International Cooperation Instrument – Global Europe</w:t>
        </w:r>
      </w:hyperlink>
      <w:r w:rsidRPr="00B3275F">
        <w:rPr>
          <w:lang w:val="en-US" w:bidi="en-US"/>
        </w:rPr>
        <w:t xml:space="preserve"> (NDICI-GE), which consolidated several former external financing instruments. This new framework is designed to support countries most in need. The NDICI-GE also requires the EU to adopt a human rights-based approach (HRBA) in its international cooperation, with principles that include equality and non-discrimination. Originally published in 2014, the </w:t>
      </w:r>
      <w:hyperlink r:id="rId170" w:history="1">
        <w:r w:rsidRPr="00B3275F">
          <w:rPr>
            <w:rStyle w:val="Hyperlink"/>
            <w:lang w:val="en-US" w:bidi="en-US"/>
          </w:rPr>
          <w:t>HRBA Toolbox</w:t>
        </w:r>
      </w:hyperlink>
      <w:r w:rsidRPr="00B3275F">
        <w:rPr>
          <w:lang w:val="en-US" w:bidi="en-US"/>
        </w:rPr>
        <w:t xml:space="preserve"> was revised in 2021 to further enhance its focus on inclusivity. Notably, the 2014 version made only two references to ‘disabilities.’ In contrast, the 2021 revision includes </w:t>
      </w:r>
      <w:hyperlink r:id="rId171" w:history="1">
        <w:r w:rsidRPr="00B3275F">
          <w:rPr>
            <w:rStyle w:val="Hyperlink"/>
            <w:lang w:val="en-US" w:bidi="en-US"/>
          </w:rPr>
          <w:t>numerous references to the rights of persons with disabilities</w:t>
        </w:r>
      </w:hyperlink>
      <w:r w:rsidRPr="00B3275F">
        <w:rPr>
          <w:lang w:val="en-US" w:bidi="en-US"/>
        </w:rPr>
        <w:t xml:space="preserve"> and the importance of disability inclusion throughout its text.  An important step forward within EU international cooperation. </w:t>
      </w:r>
    </w:p>
    <w:p w14:paraId="4BAD013D" w14:textId="7B8E067E" w:rsidR="00521717" w:rsidRPr="00B3275F" w:rsidRDefault="00521717" w:rsidP="00521717">
      <w:pPr>
        <w:rPr>
          <w:lang w:val="en-US" w:bidi="en-US"/>
        </w:rPr>
      </w:pPr>
      <w:r w:rsidRPr="00B3275F">
        <w:rPr>
          <w:lang w:val="en-US" w:bidi="en-US"/>
        </w:rPr>
        <w:t xml:space="preserve">In 2023, the Commission also published the </w:t>
      </w:r>
      <w:hyperlink r:id="rId172" w:history="1">
        <w:r w:rsidRPr="00B3275F">
          <w:rPr>
            <w:rStyle w:val="Hyperlink"/>
            <w:lang w:val="en-US" w:bidi="en-US"/>
          </w:rPr>
          <w:t>guidance note - Leaving no one behind - Disability inclusion in EU external action</w:t>
        </w:r>
      </w:hyperlink>
      <w:r w:rsidRPr="00B3275F">
        <w:rPr>
          <w:lang w:val="en-US" w:bidi="en-US"/>
        </w:rPr>
        <w:t>, which aims to support EU external cooperation staff and partners in integrating the rights of persons with disabilities across the work, including in policy, programming and implementation of actions. This note is aligned with HRBA and its toolbox by having a more in-depth look at the rights of persons with disabilities. </w:t>
      </w:r>
    </w:p>
    <w:p w14:paraId="47156018" w14:textId="1862A8E4" w:rsidR="00521717" w:rsidRPr="00B3275F" w:rsidRDefault="00521717" w:rsidP="00521717">
      <w:pPr>
        <w:rPr>
          <w:lang w:val="en-US" w:bidi="en-US"/>
        </w:rPr>
      </w:pPr>
      <w:r w:rsidRPr="00B3275F">
        <w:rPr>
          <w:lang w:val="en-US" w:bidi="en-US"/>
        </w:rPr>
        <w:t xml:space="preserve">Meanwhile the EU’s work towards implementing the CRPD globally is specifically guided by several external action policy documents, including the </w:t>
      </w:r>
      <w:hyperlink r:id="rId173" w:history="1">
        <w:r w:rsidRPr="00B3275F">
          <w:rPr>
            <w:rStyle w:val="Hyperlink"/>
            <w:lang w:val="en-US" w:bidi="en-US"/>
          </w:rPr>
          <w:t>2017 European Consensus on Development,</w:t>
        </w:r>
      </w:hyperlink>
      <w:r w:rsidRPr="00B3275F">
        <w:rPr>
          <w:lang w:val="en-US" w:bidi="en-US"/>
        </w:rPr>
        <w:t xml:space="preserve"> the </w:t>
      </w:r>
      <w:hyperlink r:id="rId174" w:history="1">
        <w:r w:rsidRPr="00B3275F">
          <w:rPr>
            <w:rStyle w:val="Hyperlink"/>
            <w:lang w:val="en-US" w:bidi="en-US"/>
          </w:rPr>
          <w:t>EU Action Plan on Human Rights and Democracy 2020-2027</w:t>
        </w:r>
      </w:hyperlink>
      <w:r w:rsidRPr="00B3275F">
        <w:rPr>
          <w:lang w:val="en-US" w:bidi="en-US"/>
        </w:rPr>
        <w:t xml:space="preserve">, and the </w:t>
      </w:r>
      <w:hyperlink r:id="rId175" w:history="1">
        <w:r w:rsidRPr="00B3275F">
          <w:rPr>
            <w:rStyle w:val="Hyperlink"/>
            <w:lang w:val="en-US" w:bidi="en-US"/>
          </w:rPr>
          <w:t>EU Human Rights Guidelines on Non-Discrimination in External Action</w:t>
        </w:r>
      </w:hyperlink>
      <w:r w:rsidRPr="00B3275F">
        <w:rPr>
          <w:lang w:val="en-US" w:bidi="en-US"/>
        </w:rPr>
        <w:t xml:space="preserve">. In addition, </w:t>
      </w:r>
      <w:r w:rsidR="00B62AD6">
        <w:rPr>
          <w:lang w:val="en-US" w:bidi="en-US"/>
        </w:rPr>
        <w:t>s</w:t>
      </w:r>
      <w:r w:rsidRPr="00B62AD6">
        <w:rPr>
          <w:lang w:val="en-US" w:bidi="en-US"/>
        </w:rPr>
        <w:t xml:space="preserve">ection 6 </w:t>
      </w:r>
      <w:r w:rsidR="00B62AD6" w:rsidRPr="00B62AD6">
        <w:rPr>
          <w:lang w:val="en-US" w:bidi="en-US"/>
        </w:rPr>
        <w:t>the EU Strategy for the Rights of Persons with Disabilities 2021-2030</w:t>
      </w:r>
      <w:r w:rsidRPr="00B62AD6">
        <w:rPr>
          <w:lang w:val="en-US" w:bidi="en-US"/>
        </w:rPr>
        <w:t xml:space="preserve"> addresses the EU’s external actions in this area.  </w:t>
      </w:r>
    </w:p>
    <w:p w14:paraId="1A1457E1" w14:textId="7C36E942" w:rsidR="00521717" w:rsidRPr="00B3275F" w:rsidRDefault="00A63B9B" w:rsidP="00521717">
      <w:pPr>
        <w:rPr>
          <w:lang w:val="en-US" w:bidi="en-US"/>
        </w:rPr>
      </w:pPr>
      <w:r>
        <w:rPr>
          <w:lang w:val="en-US" w:bidi="en-US"/>
        </w:rPr>
        <w:lastRenderedPageBreak/>
        <w:t>While th</w:t>
      </w:r>
      <w:r w:rsidR="00521717" w:rsidRPr="00B3275F">
        <w:rPr>
          <w:lang w:val="en-US" w:bidi="en-US"/>
        </w:rPr>
        <w:t>e EU is the largest donor in the field of international cooperation and has taken important steps to ensure disability inclusive development over the years such</w:t>
      </w:r>
      <w:r w:rsidR="00521717">
        <w:rPr>
          <w:lang w:val="en-US" w:bidi="en-US"/>
        </w:rPr>
        <w:t xml:space="preserve"> </w:t>
      </w:r>
      <w:r w:rsidR="00521717" w:rsidRPr="00B3275F">
        <w:rPr>
          <w:lang w:val="en-US" w:bidi="en-US"/>
        </w:rPr>
        <w:t xml:space="preserve">as the guidance note on disability inclusion and </w:t>
      </w:r>
      <w:hyperlink r:id="rId176" w:history="1">
        <w:r w:rsidR="00521717" w:rsidRPr="00B3275F">
          <w:rPr>
            <w:rStyle w:val="Hyperlink"/>
            <w:lang w:val="en-US" w:bidi="en-US"/>
          </w:rPr>
          <w:t>mainstreaming disability more into its aid projects</w:t>
        </w:r>
      </w:hyperlink>
      <w:r w:rsidR="00521717" w:rsidRPr="00B3275F">
        <w:rPr>
          <w:lang w:val="en-US" w:bidi="en-US"/>
        </w:rPr>
        <w:t xml:space="preserve">, </w:t>
      </w:r>
      <w:r w:rsidRPr="00A63B9B">
        <w:rPr>
          <w:b/>
          <w:bCs/>
          <w:lang w:val="en-US" w:bidi="en-US"/>
        </w:rPr>
        <w:t xml:space="preserve">it </w:t>
      </w:r>
      <w:r w:rsidR="00521717" w:rsidRPr="00A63B9B">
        <w:rPr>
          <w:b/>
          <w:bCs/>
          <w:lang w:val="en-US" w:bidi="en-US"/>
        </w:rPr>
        <w:t>has not yet undertaken all appropriate measures to enhance EU disability-inclusive development policies and programmes</w:t>
      </w:r>
      <w:r w:rsidR="00521717" w:rsidRPr="00B3275F">
        <w:rPr>
          <w:lang w:val="en-US" w:bidi="en-US"/>
        </w:rPr>
        <w:t>. </w:t>
      </w:r>
    </w:p>
    <w:p w14:paraId="197C2071" w14:textId="5FDEB8D8" w:rsidR="00521717" w:rsidRPr="00B3275F" w:rsidRDefault="00521717" w:rsidP="00521717">
      <w:pPr>
        <w:rPr>
          <w:lang w:val="en-US" w:bidi="en-US"/>
        </w:rPr>
      </w:pPr>
      <w:r w:rsidRPr="00B3275F">
        <w:rPr>
          <w:lang w:val="en-US" w:bidi="en-US"/>
        </w:rPr>
        <w:t xml:space="preserve">For example, there is </w:t>
      </w:r>
      <w:r w:rsidRPr="00523F74">
        <w:rPr>
          <w:b/>
          <w:bCs/>
          <w:lang w:val="en-US" w:bidi="en-US"/>
        </w:rPr>
        <w:t xml:space="preserve">no </w:t>
      </w:r>
      <w:r w:rsidRPr="00B3275F">
        <w:rPr>
          <w:lang w:val="en-US" w:bidi="en-US"/>
        </w:rPr>
        <w:t xml:space="preserve">Disability Action Plan </w:t>
      </w:r>
      <w:r w:rsidR="00887321">
        <w:rPr>
          <w:lang w:val="en-US" w:bidi="en-US"/>
        </w:rPr>
        <w:t xml:space="preserve">in EU External Action </w:t>
      </w:r>
      <w:r w:rsidRPr="00B3275F">
        <w:rPr>
          <w:lang w:val="en-US" w:bidi="en-US"/>
        </w:rPr>
        <w:t>similar to the EU Action Plan on Gender Equality and Women’s Empowerment in External Action or to the Human Rights and Democracy Action Plan in EU global actions. This creates incoherence in policies and programmes established with European funds and more barriers for persons with disabilities in the world to be part of EU policies and programmes. Any Disability Action Plan should be in line with the CRPD-compliant implementation of the 2030 Agenda for Development and Sustainable Development Goals, the Agenda for Humanity, the Sendai Framework, and the Paris Agreement on Climate Change. The perspectives and voices of persons with disabilities, in particular of women and girls with disabilities are today not systematically included in EU global or external action policies. </w:t>
      </w:r>
    </w:p>
    <w:p w14:paraId="49F55063" w14:textId="72818579" w:rsidR="00521717" w:rsidRPr="00B3275F" w:rsidRDefault="00521717" w:rsidP="00521717">
      <w:pPr>
        <w:rPr>
          <w:lang w:val="en-US" w:bidi="en-US"/>
        </w:rPr>
      </w:pPr>
      <w:r w:rsidRPr="00B3275F">
        <w:rPr>
          <w:lang w:val="en-US" w:bidi="en-US"/>
        </w:rPr>
        <w:t xml:space="preserve">When examining Section 6 of the </w:t>
      </w:r>
      <w:r w:rsidR="00514E6E">
        <w:rPr>
          <w:lang w:val="en-US" w:bidi="en-US"/>
        </w:rPr>
        <w:t xml:space="preserve">EU Disability Rights </w:t>
      </w:r>
      <w:r w:rsidRPr="00B3275F">
        <w:rPr>
          <w:lang w:val="en-US" w:bidi="en-US"/>
        </w:rPr>
        <w:t xml:space="preserve">Strategy, which is the closest to any deliberate actions towards inclusive international cooperation, </w:t>
      </w:r>
      <w:hyperlink r:id="rId177" w:history="1">
        <w:r w:rsidRPr="00B3275F">
          <w:rPr>
            <w:rStyle w:val="Hyperlink"/>
            <w:lang w:val="en-US" w:bidi="en-US"/>
          </w:rPr>
          <w:t>we find it incomplete and inconsistent</w:t>
        </w:r>
      </w:hyperlink>
      <w:r w:rsidRPr="00B3275F">
        <w:rPr>
          <w:lang w:val="en-US" w:bidi="en-US"/>
        </w:rPr>
        <w:t xml:space="preserve">, presenting a fragmented and overly narrow vision of the EU's role to support persons with disabilities into its international cooperation. It lacks clear specifics and a concrete timeline for action. While there are positive initiatives, they appear </w:t>
      </w:r>
      <w:hyperlink r:id="rId178" w:history="1">
        <w:r w:rsidRPr="00B3275F">
          <w:rPr>
            <w:rStyle w:val="Hyperlink"/>
            <w:lang w:val="en-US" w:bidi="en-US"/>
          </w:rPr>
          <w:t>disjointed and insufficiently coordinated</w:t>
        </w:r>
      </w:hyperlink>
      <w:r w:rsidRPr="00B3275F">
        <w:rPr>
          <w:lang w:val="en-US" w:bidi="en-US"/>
        </w:rPr>
        <w:t>. Furthermore, many of the Strategy’s proposals reiterate existing efforts, failing to acknowledge that without fresh ambition and additional resources, these measures are unlikely to yield significantly better outcomes. </w:t>
      </w:r>
    </w:p>
    <w:p w14:paraId="6319CECA" w14:textId="78C2B542" w:rsidR="00521717" w:rsidRPr="00B3275F" w:rsidRDefault="00521717" w:rsidP="00521717">
      <w:pPr>
        <w:rPr>
          <w:lang w:val="en-US" w:bidi="en-US"/>
        </w:rPr>
      </w:pPr>
      <w:r w:rsidRPr="00B3275F">
        <w:rPr>
          <w:lang w:val="en-US" w:bidi="en-US"/>
        </w:rPr>
        <w:t xml:space="preserve">Further, the Strategy confirms the </w:t>
      </w:r>
      <w:hyperlink r:id="rId179" w:history="1">
        <w:r w:rsidRPr="00B3275F">
          <w:rPr>
            <w:rStyle w:val="Hyperlink"/>
            <w:lang w:val="en-US" w:bidi="en-US"/>
          </w:rPr>
          <w:t>twin-track approach</w:t>
        </w:r>
      </w:hyperlink>
      <w:r w:rsidRPr="00B3275F">
        <w:rPr>
          <w:lang w:val="en-US" w:bidi="en-US"/>
        </w:rPr>
        <w:t xml:space="preserve">, by which the EU will aim at combining targeted actions on disability as well as disability mainstreaming in EU external action. However, in 2021, not only where </w:t>
      </w:r>
      <w:hyperlink r:id="rId180" w:history="1">
        <w:r w:rsidRPr="00B3275F">
          <w:rPr>
            <w:rStyle w:val="Hyperlink"/>
            <w:lang w:val="en-US" w:bidi="en-US"/>
          </w:rPr>
          <w:t>almost three quarters of applicable EC Official Development Assistance (ODA) projects not inclusive of persons with disabilities in any significant way</w:t>
        </w:r>
      </w:hyperlink>
      <w:r w:rsidRPr="00B3275F">
        <w:rPr>
          <w:lang w:val="en-US" w:bidi="en-US"/>
        </w:rPr>
        <w:t>, the</w:t>
      </w:r>
      <w:r w:rsidR="00A57FDC">
        <w:rPr>
          <w:lang w:val="en-US" w:bidi="en-US"/>
        </w:rPr>
        <w:t xml:space="preserve"> Commission</w:t>
      </w:r>
      <w:r w:rsidRPr="00B3275F">
        <w:rPr>
          <w:lang w:val="en-US" w:bidi="en-US"/>
        </w:rPr>
        <w:t xml:space="preserve"> reported that only a small share of its ODA projects had disability inclusion as the principal objective. Disability inclusion was reported as the principal objective </w:t>
      </w:r>
      <w:hyperlink r:id="rId181" w:history="1">
        <w:r w:rsidRPr="00B3275F">
          <w:rPr>
            <w:rStyle w:val="Hyperlink"/>
            <w:lang w:val="en-US" w:bidi="en-US"/>
          </w:rPr>
          <w:t>of just 2% of all applicable EC ODA projects</w:t>
        </w:r>
      </w:hyperlink>
      <w:r w:rsidRPr="00B3275F">
        <w:rPr>
          <w:lang w:val="en-US" w:bidi="en-US"/>
        </w:rPr>
        <w:t xml:space="preserve"> in 2021.      </w:t>
      </w:r>
    </w:p>
    <w:p w14:paraId="701EF9A4" w14:textId="2C190689" w:rsidR="00521717" w:rsidRPr="00B3275F" w:rsidRDefault="00521717" w:rsidP="00521717">
      <w:pPr>
        <w:rPr>
          <w:lang w:val="en-US" w:bidi="en-US"/>
        </w:rPr>
      </w:pPr>
      <w:r w:rsidRPr="00B3275F">
        <w:rPr>
          <w:lang w:val="en-US" w:bidi="en-US"/>
        </w:rPr>
        <w:t xml:space="preserve">Additionally, </w:t>
      </w:r>
      <w:hyperlink r:id="rId182" w:history="1">
        <w:r w:rsidRPr="00B3275F">
          <w:rPr>
            <w:rStyle w:val="Hyperlink"/>
            <w:lang w:val="en-US" w:bidi="en-US"/>
          </w:rPr>
          <w:t>funding opportunities are often too complex</w:t>
        </w:r>
      </w:hyperlink>
      <w:r w:rsidRPr="00B3275F">
        <w:rPr>
          <w:lang w:val="en-US" w:bidi="en-US"/>
        </w:rPr>
        <w:t xml:space="preserve"> for smaller organi</w:t>
      </w:r>
      <w:r w:rsidR="00A57FDC">
        <w:rPr>
          <w:lang w:val="en-US" w:bidi="en-US"/>
        </w:rPr>
        <w:t>s</w:t>
      </w:r>
      <w:r w:rsidRPr="00B3275F">
        <w:rPr>
          <w:lang w:val="en-US" w:bidi="en-US"/>
        </w:rPr>
        <w:t xml:space="preserve">ations, including OPDs, to access. In many cases, Delegation staff serving as disability focal points are overburdened, making it difficult for them to prioritize disability inclusion. </w:t>
      </w:r>
    </w:p>
    <w:p w14:paraId="35EF9341" w14:textId="4FD300AA" w:rsidR="00521717" w:rsidRPr="00B3275F" w:rsidRDefault="00A63B9B" w:rsidP="00521717">
      <w:pPr>
        <w:rPr>
          <w:lang w:val="en-US" w:bidi="en-US"/>
        </w:rPr>
      </w:pPr>
      <w:r>
        <w:rPr>
          <w:b/>
          <w:bCs/>
          <w:lang w:val="en-US" w:bidi="en-US"/>
        </w:rPr>
        <w:t>We call for:</w:t>
      </w:r>
    </w:p>
    <w:p w14:paraId="42F0E99F" w14:textId="43B13A62" w:rsidR="00521717" w:rsidRPr="00C60E40" w:rsidRDefault="00521717" w:rsidP="00521717">
      <w:pPr>
        <w:numPr>
          <w:ilvl w:val="0"/>
          <w:numId w:val="55"/>
        </w:numPr>
        <w:rPr>
          <w:lang w:val="en-US" w:bidi="en-US"/>
        </w:rPr>
      </w:pPr>
      <w:r w:rsidRPr="00C60E40">
        <w:rPr>
          <w:lang w:val="en-US" w:bidi="en-US"/>
        </w:rPr>
        <w:t>Develop</w:t>
      </w:r>
      <w:r w:rsidR="00C60E40">
        <w:rPr>
          <w:lang w:val="en-US" w:bidi="en-US"/>
        </w:rPr>
        <w:t>ment</w:t>
      </w:r>
      <w:r w:rsidRPr="00C60E40">
        <w:rPr>
          <w:lang w:val="en-US" w:bidi="en-US"/>
        </w:rPr>
        <w:t xml:space="preserve"> and implement</w:t>
      </w:r>
      <w:r w:rsidR="00C60E40">
        <w:rPr>
          <w:lang w:val="en-US" w:bidi="en-US"/>
        </w:rPr>
        <w:t>ation of</w:t>
      </w:r>
      <w:r w:rsidRPr="00C60E40">
        <w:rPr>
          <w:lang w:val="en-US" w:bidi="en-US"/>
        </w:rPr>
        <w:t xml:space="preserve"> an EU Disability Action Plan for External Action to promote the rights of persons with disabilities and ensure that all EU international cooperation and humanitarian aid programs are fully compliant with the CRPD.  </w:t>
      </w:r>
    </w:p>
    <w:p w14:paraId="734AD6D1" w14:textId="2F0B3E98" w:rsidR="00521717" w:rsidRPr="00C60E40" w:rsidRDefault="00521717" w:rsidP="00523F74">
      <w:pPr>
        <w:numPr>
          <w:ilvl w:val="0"/>
          <w:numId w:val="56"/>
        </w:numPr>
        <w:rPr>
          <w:lang w:val="en-US" w:bidi="en-US"/>
        </w:rPr>
      </w:pPr>
      <w:r w:rsidRPr="00C60E40">
        <w:rPr>
          <w:lang w:val="en-US" w:bidi="en-US"/>
        </w:rPr>
        <w:t xml:space="preserve">Increase </w:t>
      </w:r>
      <w:r w:rsidR="00C60E40">
        <w:rPr>
          <w:lang w:val="en-US" w:bidi="en-US"/>
        </w:rPr>
        <w:t xml:space="preserve">of </w:t>
      </w:r>
      <w:r w:rsidRPr="00C60E40">
        <w:rPr>
          <w:lang w:val="en-US" w:bidi="en-US"/>
        </w:rPr>
        <w:t xml:space="preserve">the number of </w:t>
      </w:r>
      <w:r w:rsidR="00C60E40">
        <w:rPr>
          <w:lang w:val="en-US" w:bidi="en-US"/>
        </w:rPr>
        <w:t>Official Development Assistance</w:t>
      </w:r>
      <w:r w:rsidRPr="00C60E40">
        <w:rPr>
          <w:lang w:val="en-US" w:bidi="en-US"/>
        </w:rPr>
        <w:t xml:space="preserve"> programmes that prioriti</w:t>
      </w:r>
      <w:r w:rsidR="00523F74" w:rsidRPr="00C60E40">
        <w:rPr>
          <w:lang w:val="en-US" w:bidi="en-US"/>
        </w:rPr>
        <w:t>s</w:t>
      </w:r>
      <w:r w:rsidRPr="00C60E40">
        <w:rPr>
          <w:lang w:val="en-US" w:bidi="en-US"/>
        </w:rPr>
        <w:t>e disability inclusion as their principal objective, in alignment with the OECD DAC Disability Marker, to ensure a more targeted and impactful approach to advancing the rights of persons with disabilities. </w:t>
      </w:r>
    </w:p>
    <w:p w14:paraId="7C9C1E23" w14:textId="38664C79" w:rsidR="00521717" w:rsidRPr="00C60E40" w:rsidRDefault="00521717" w:rsidP="00523F74">
      <w:pPr>
        <w:numPr>
          <w:ilvl w:val="0"/>
          <w:numId w:val="60"/>
        </w:numPr>
      </w:pPr>
      <w:r w:rsidRPr="00C60E40">
        <w:rPr>
          <w:lang w:val="en-US" w:bidi="en-US"/>
        </w:rPr>
        <w:lastRenderedPageBreak/>
        <w:t>Support and promot</w:t>
      </w:r>
      <w:r w:rsidR="00C60E40">
        <w:rPr>
          <w:lang w:val="en-US" w:bidi="en-US"/>
        </w:rPr>
        <w:t>ion of</w:t>
      </w:r>
      <w:r w:rsidRPr="00C60E40">
        <w:rPr>
          <w:lang w:val="en-US" w:bidi="en-US"/>
        </w:rPr>
        <w:t xml:space="preserve"> the Global Disability Summit by continuing to make, implement, and monitor commitments related to inclusive development, safeguarding the rights of persons with disabilities across the globe. </w:t>
      </w:r>
    </w:p>
    <w:p w14:paraId="48A5CF9E" w14:textId="0FE3E75D" w:rsidR="00F33CEF" w:rsidRPr="00D404B4" w:rsidRDefault="00BF7F37" w:rsidP="00295AA8">
      <w:pPr>
        <w:pStyle w:val="Heading2"/>
        <w:spacing w:line="276" w:lineRule="auto"/>
        <w:rPr>
          <w:lang w:val="en-GB"/>
        </w:rPr>
      </w:pPr>
      <w:bookmarkStart w:id="64" w:name="_Toc179386663"/>
      <w:r w:rsidRPr="00D404B4">
        <w:rPr>
          <w:lang w:val="en-GB"/>
        </w:rPr>
        <w:t xml:space="preserve">Article 33: </w:t>
      </w:r>
      <w:r w:rsidR="00F33CEF" w:rsidRPr="00D404B4">
        <w:rPr>
          <w:lang w:val="en-GB"/>
        </w:rPr>
        <w:t>Implementation and monitoring</w:t>
      </w:r>
      <w:bookmarkEnd w:id="64"/>
    </w:p>
    <w:p w14:paraId="6E4B3BC7" w14:textId="7E52F25D" w:rsidR="008E1FE0" w:rsidRPr="00D404B4" w:rsidRDefault="008E1FE0" w:rsidP="00295AA8">
      <w:r w:rsidRPr="00D404B4">
        <w:t xml:space="preserve">The EU did not designate </w:t>
      </w:r>
      <w:r w:rsidR="00B16BEA" w:rsidRPr="00D404B4">
        <w:t xml:space="preserve">CRPD </w:t>
      </w:r>
      <w:r w:rsidRPr="00D404B4">
        <w:t>focal points</w:t>
      </w:r>
      <w:r w:rsidR="00992181">
        <w:t>/coordinators</w:t>
      </w:r>
      <w:r w:rsidRPr="00D404B4">
        <w:t xml:space="preserve"> in all institutions, </w:t>
      </w:r>
      <w:r w:rsidR="00731A8E" w:rsidRPr="00D404B4">
        <w:t>bodies,</w:t>
      </w:r>
      <w:r w:rsidRPr="00D404B4">
        <w:t xml:space="preserve"> and agencies. </w:t>
      </w:r>
      <w:r w:rsidRPr="00766A90">
        <w:rPr>
          <w:highlight w:val="yellow"/>
        </w:rPr>
        <w:t>The implementation of the CRPD falls under the mandate of the EU Commissioner for Equality who is part of the Directorate</w:t>
      </w:r>
      <w:r w:rsidR="00CA7F42" w:rsidRPr="00766A90">
        <w:rPr>
          <w:highlight w:val="yellow"/>
        </w:rPr>
        <w:t>-</w:t>
      </w:r>
      <w:r w:rsidRPr="00766A90">
        <w:rPr>
          <w:highlight w:val="yellow"/>
        </w:rPr>
        <w:t>General on Justice. However, the daily implementation of the Convention is still being led by the Unit on Disability and Inclusion in the Directorate</w:t>
      </w:r>
      <w:r w:rsidR="00CA7F42" w:rsidRPr="00766A90">
        <w:rPr>
          <w:highlight w:val="yellow"/>
        </w:rPr>
        <w:t>-General</w:t>
      </w:r>
      <w:r w:rsidR="00B16BEA" w:rsidRPr="00766A90">
        <w:rPr>
          <w:highlight w:val="yellow"/>
        </w:rPr>
        <w:t xml:space="preserve"> (DG)</w:t>
      </w:r>
      <w:r w:rsidRPr="00766A90">
        <w:rPr>
          <w:highlight w:val="yellow"/>
        </w:rPr>
        <w:t xml:space="preserve"> on Employment.</w:t>
      </w:r>
      <w:r w:rsidRPr="00D404B4">
        <w:t xml:space="preserve"> </w:t>
      </w:r>
    </w:p>
    <w:p w14:paraId="259061F9" w14:textId="22CFD636" w:rsidR="005C62A0" w:rsidRPr="00D404B4" w:rsidRDefault="005C62A0" w:rsidP="00295AA8">
      <w:r w:rsidRPr="00D404B4">
        <w:t xml:space="preserve">EDF has been calling for </w:t>
      </w:r>
      <w:r w:rsidRPr="00A94AC7">
        <w:t>the establishment of a CRPD unit under the mandate of DG Justice</w:t>
      </w:r>
      <w:r w:rsidR="00B16BEA" w:rsidRPr="00A94AC7">
        <w:t>,</w:t>
      </w:r>
      <w:r w:rsidRPr="00A94AC7">
        <w:t xml:space="preserve"> which also work</w:t>
      </w:r>
      <w:r w:rsidR="00B16BEA" w:rsidRPr="00A94AC7">
        <w:t>s</w:t>
      </w:r>
      <w:r w:rsidRPr="00A94AC7">
        <w:t xml:space="preserve"> </w:t>
      </w:r>
      <w:r w:rsidR="00340AAA" w:rsidRPr="00A94AC7">
        <w:t>in</w:t>
      </w:r>
      <w:r w:rsidRPr="00A94AC7">
        <w:t xml:space="preserve"> other areas of equality and disadvantaged groups</w:t>
      </w:r>
      <w:r w:rsidR="00B16BEA" w:rsidRPr="00A94AC7">
        <w:t>,</w:t>
      </w:r>
      <w:r w:rsidRPr="00A94AC7">
        <w:t xml:space="preserve"> to ensure coordination of CRPD </w:t>
      </w:r>
      <w:r w:rsidR="00B16BEA" w:rsidRPr="00A94AC7">
        <w:t xml:space="preserve">implementation across </w:t>
      </w:r>
      <w:r w:rsidR="00B16BEA" w:rsidRPr="00D404B4">
        <w:t>the Commission services.</w:t>
      </w:r>
      <w:r w:rsidRPr="00D404B4">
        <w:t xml:space="preserve"> </w:t>
      </w:r>
      <w:r w:rsidR="00B16BEA" w:rsidRPr="00D404B4">
        <w:t xml:space="preserve">This </w:t>
      </w:r>
      <w:r w:rsidRPr="00D404B4">
        <w:t xml:space="preserve">CRPD unit is still missing from the EU’s approach. While the </w:t>
      </w:r>
      <w:r w:rsidR="000A53D0">
        <w:t>EU</w:t>
      </w:r>
      <w:r w:rsidRPr="00D404B4">
        <w:t xml:space="preserve"> Disability Rights</w:t>
      </w:r>
      <w:r w:rsidR="000A53D0">
        <w:t xml:space="preserve"> Strategy</w:t>
      </w:r>
      <w:r w:rsidRPr="00D404B4">
        <w:t xml:space="preserve"> does pay attention to mainstreaming, without strengthened human and financial resources within the Commission, or the establishment of a strong and influential CRPD focal point</w:t>
      </w:r>
      <w:r w:rsidR="00B16BEA" w:rsidRPr="00D404B4">
        <w:t xml:space="preserve"> higher in the </w:t>
      </w:r>
      <w:r w:rsidR="00295AA8" w:rsidRPr="00D404B4">
        <w:t>hierarchy</w:t>
      </w:r>
      <w:r w:rsidR="00B16BEA" w:rsidRPr="00D404B4">
        <w:t xml:space="preserve"> of the Commission</w:t>
      </w:r>
      <w:r w:rsidRPr="00D404B4">
        <w:t xml:space="preserve">, </w:t>
      </w:r>
      <w:r w:rsidR="00D26B26">
        <w:t>it cannot be comprehensively achieved</w:t>
      </w:r>
      <w:r w:rsidRPr="00D404B4">
        <w:t>.</w:t>
      </w:r>
    </w:p>
    <w:p w14:paraId="2859E6B4" w14:textId="5CC98FA9" w:rsidR="0031724E" w:rsidRPr="00D404B4" w:rsidRDefault="005C62A0" w:rsidP="00295AA8">
      <w:r w:rsidRPr="00D404B4">
        <w:t>In addition, t</w:t>
      </w:r>
      <w:r w:rsidR="0031724E" w:rsidRPr="00D404B4">
        <w:t>he EU has not yet established an inter-institutional mechanism for the coordination of the implementation of the Convention between the Commission, the Parliament and the Council</w:t>
      </w:r>
      <w:r w:rsidR="00893C09" w:rsidRPr="00D404B4">
        <w:t>, and all relevant EU agencies and bodies</w:t>
      </w:r>
      <w:r w:rsidR="0031724E" w:rsidRPr="00D404B4">
        <w:t>.</w:t>
      </w:r>
      <w:r w:rsidR="00CA7F42" w:rsidRPr="00D404B4">
        <w:t xml:space="preserve"> The Council is totally lacking any kind of internal coordination mechanism for the implementation of the CRPD. Organisations of persons with disabilities are completely excluded from the decision-making procedure at the level of the Council which means monitoring is very difficult.</w:t>
      </w:r>
    </w:p>
    <w:p w14:paraId="43958C7B" w14:textId="73E39E22" w:rsidR="008E1FE0" w:rsidRDefault="004B13C2" w:rsidP="00295AA8">
      <w:r>
        <w:t>The</w:t>
      </w:r>
      <w:r w:rsidR="00930FFB" w:rsidRPr="00D404B4">
        <w:t xml:space="preserve"> Disability Rights Strategy</w:t>
      </w:r>
      <w:r>
        <w:t xml:space="preserve"> established a </w:t>
      </w:r>
      <w:hyperlink r:id="rId183" w:history="1">
        <w:r w:rsidR="00930FFB" w:rsidRPr="00D404B4">
          <w:rPr>
            <w:rStyle w:val="Hyperlink"/>
          </w:rPr>
          <w:t>Disability Platform</w:t>
        </w:r>
      </w:hyperlink>
      <w:r>
        <w:t xml:space="preserve"> to foster its implementation</w:t>
      </w:r>
      <w:r w:rsidR="003A6BDE" w:rsidRPr="00D404B4">
        <w:t>. The Platform is chaired by the Commission services in DG Employment, supported by the Disability unit</w:t>
      </w:r>
      <w:r w:rsidR="00BA32AF" w:rsidRPr="00D404B4">
        <w:t xml:space="preserve"> as its secretariat</w:t>
      </w:r>
      <w:r w:rsidR="003A6BDE" w:rsidRPr="00D404B4">
        <w:t xml:space="preserve">, and its members are the CRPD focal points of the Member States, and civil </w:t>
      </w:r>
      <w:r w:rsidR="003A6BDE" w:rsidRPr="00AD19EA">
        <w:t>society organisation</w:t>
      </w:r>
      <w:r w:rsidR="00BA32AF" w:rsidRPr="00AD19EA">
        <w:t>s</w:t>
      </w:r>
      <w:r w:rsidR="00AD19EA" w:rsidRPr="00AD19EA">
        <w:t xml:space="preserve">. </w:t>
      </w:r>
      <w:r w:rsidR="003A6BDE" w:rsidRPr="00AD19EA">
        <w:t>The Platform adopt</w:t>
      </w:r>
      <w:r w:rsidR="00F55155" w:rsidRPr="00AD19EA">
        <w:t>s</w:t>
      </w:r>
      <w:r w:rsidR="003A6BDE" w:rsidRPr="00AD19EA">
        <w:t xml:space="preserve"> an annual work </w:t>
      </w:r>
      <w:r w:rsidR="00FA0554" w:rsidRPr="00AD19EA">
        <w:t>programme</w:t>
      </w:r>
      <w:r w:rsidR="00252124" w:rsidRPr="00AD19EA">
        <w:t xml:space="preserve"> after consulting with all members,</w:t>
      </w:r>
      <w:r w:rsidR="00FA0554" w:rsidRPr="00AD19EA">
        <w:t xml:space="preserve"> and</w:t>
      </w:r>
      <w:r w:rsidR="00BA32AF" w:rsidRPr="00AD19EA">
        <w:t xml:space="preserve"> consult its members on the flagship initiatives of the Strategy. However, </w:t>
      </w:r>
      <w:r w:rsidR="00252124" w:rsidRPr="00AD19EA">
        <w:t xml:space="preserve">for most of the actions of the Disability Strategy the Platform members only get informative updates, and there is no coordination with the Council of the EU (a person from the Parliament secretariat attends as observer), thus the coordination with other EU institutions is </w:t>
      </w:r>
      <w:r w:rsidR="00AD19EA" w:rsidRPr="00AD19EA">
        <w:t xml:space="preserve">also </w:t>
      </w:r>
      <w:r w:rsidR="00252124" w:rsidRPr="00AD19EA">
        <w:t>not present at this level</w:t>
      </w:r>
      <w:r w:rsidR="00137E21" w:rsidRPr="00AD19EA">
        <w:t>.</w:t>
      </w:r>
    </w:p>
    <w:p w14:paraId="283B750D" w14:textId="4D5D27E6" w:rsidR="00137E21" w:rsidRDefault="00137E21" w:rsidP="00295AA8">
      <w:r>
        <w:t>The Disability Rights Strategy established disability coordinators within the different departments of the Commission. While this is a positive development, there is a lack of transparency on who the coordinators are, what their role is, and the extent of their work and cooperation among them.</w:t>
      </w:r>
    </w:p>
    <w:p w14:paraId="0B9B5785" w14:textId="68A946CF" w:rsidR="0031724E" w:rsidRPr="00D404B4" w:rsidRDefault="0031724E" w:rsidP="00295AA8">
      <w:r w:rsidRPr="00D404B4">
        <w:t>Since 2016, the CRPD Independent Monitoring Framework is composed of the European Parliament</w:t>
      </w:r>
      <w:r w:rsidR="00385F5F" w:rsidRPr="00D404B4">
        <w:t xml:space="preserve"> (Petitions committee receiving complaints from citizens, but also the Employment and Social Affairs committee and the Civil Liberties committee)</w:t>
      </w:r>
      <w:r w:rsidRPr="00D404B4">
        <w:t xml:space="preserve">, the </w:t>
      </w:r>
      <w:r w:rsidR="00154A53" w:rsidRPr="00D404B4">
        <w:t>Fundamental Rights Agency of the European Union (FRA)</w:t>
      </w:r>
      <w:r w:rsidRPr="00D404B4">
        <w:t>, the European Ombudsman and EDF.</w:t>
      </w:r>
      <w:r w:rsidR="00301253">
        <w:t xml:space="preserve"> The Commission had announced as part of the Disability Rights Strategy that it would study the functioning of the Framework. This is lacking behind, as the work as not started at the time of submission of this report.</w:t>
      </w:r>
    </w:p>
    <w:p w14:paraId="12B3AB9B" w14:textId="72D43097" w:rsidR="00DE5055" w:rsidRPr="00806D2F" w:rsidRDefault="00DE5055" w:rsidP="00295AA8">
      <w:pPr>
        <w:rPr>
          <w:b/>
        </w:rPr>
      </w:pPr>
      <w:r>
        <w:rPr>
          <w:b/>
        </w:rPr>
        <w:t xml:space="preserve">We call for: </w:t>
      </w:r>
    </w:p>
    <w:p w14:paraId="309F8593" w14:textId="664B0701" w:rsidR="00806D2F" w:rsidRDefault="00806D2F" w:rsidP="00806D2F">
      <w:pPr>
        <w:pStyle w:val="ListParagraph"/>
        <w:numPr>
          <w:ilvl w:val="0"/>
          <w:numId w:val="12"/>
        </w:numPr>
        <w:spacing w:after="0"/>
      </w:pPr>
      <w:r>
        <w:lastRenderedPageBreak/>
        <w:t>Creation of</w:t>
      </w:r>
      <w:r w:rsidRPr="00806D2F">
        <w:t xml:space="preserve"> a </w:t>
      </w:r>
      <w:r w:rsidRPr="009951D9">
        <w:rPr>
          <w:highlight w:val="yellow"/>
        </w:rPr>
        <w:t>new Directorate-General for Equality and Fundamental Rights in the Commission under the leadership of a Commissioner for Equality</w:t>
      </w:r>
      <w:r w:rsidRPr="00806D2F">
        <w:t>; a Disability Committee in the European Parliament and an Equality Configuration in the Council.</w:t>
      </w:r>
    </w:p>
    <w:p w14:paraId="48DC0C62" w14:textId="7F84D754" w:rsidR="00C94AC9" w:rsidRDefault="002912EB" w:rsidP="00806D2F">
      <w:pPr>
        <w:numPr>
          <w:ilvl w:val="0"/>
          <w:numId w:val="12"/>
        </w:numPr>
        <w:spacing w:after="0"/>
        <w:ind w:left="714" w:hanging="357"/>
      </w:pPr>
      <w:r>
        <w:t>Creation of</w:t>
      </w:r>
      <w:r w:rsidR="005C62A0" w:rsidRPr="00D404B4">
        <w:t xml:space="preserve"> a CRPD Unit</w:t>
      </w:r>
      <w:r w:rsidR="00806D2F">
        <w:t>, d</w:t>
      </w:r>
      <w:r w:rsidR="00CD7E37" w:rsidRPr="00D404B4">
        <w:t>esignat</w:t>
      </w:r>
      <w:r w:rsidR="00806D2F">
        <w:t>ion of</w:t>
      </w:r>
      <w:r w:rsidR="00CD7E37" w:rsidRPr="00D404B4">
        <w:t xml:space="preserve"> focal points</w:t>
      </w:r>
      <w:r w:rsidR="00B12D8E">
        <w:t>/coordinators</w:t>
      </w:r>
      <w:r w:rsidR="00CD7E37" w:rsidRPr="00D404B4">
        <w:t xml:space="preserve"> in all institutions, </w:t>
      </w:r>
      <w:r w:rsidR="00731A8E" w:rsidRPr="00D404B4">
        <w:t>bodies,</w:t>
      </w:r>
      <w:r w:rsidR="00CD7E37" w:rsidRPr="00D404B4">
        <w:t xml:space="preserve"> and agencies</w:t>
      </w:r>
      <w:r w:rsidR="00806D2F">
        <w:t xml:space="preserve"> and e</w:t>
      </w:r>
      <w:r w:rsidR="00B12D8E">
        <w:t>stablishment of an i</w:t>
      </w:r>
      <w:r w:rsidR="00CD7E37" w:rsidRPr="00D404B4">
        <w:t>nter-institutional mechanism</w:t>
      </w:r>
      <w:r w:rsidR="00AB3B4E" w:rsidRPr="00D404B4">
        <w:t xml:space="preserve"> </w:t>
      </w:r>
      <w:r w:rsidR="00CD7E37" w:rsidRPr="00D404B4">
        <w:t xml:space="preserve">for the coordination of the implementation of the Convention between the Commission, the </w:t>
      </w:r>
      <w:r w:rsidR="00731A8E" w:rsidRPr="00D404B4">
        <w:t>Parliament,</w:t>
      </w:r>
      <w:r w:rsidR="00CD7E37" w:rsidRPr="00D404B4">
        <w:t xml:space="preserve"> and the Council</w:t>
      </w:r>
      <w:bookmarkStart w:id="65" w:name="_Toc36001172"/>
    </w:p>
    <w:p w14:paraId="0166A50F" w14:textId="26DF415F" w:rsidR="00C94AC9" w:rsidRDefault="00C94AC9" w:rsidP="00295AA8">
      <w:pPr>
        <w:numPr>
          <w:ilvl w:val="0"/>
          <w:numId w:val="12"/>
        </w:numPr>
        <w:ind w:left="714" w:hanging="357"/>
      </w:pPr>
      <w:r>
        <w:t>Review of the membership and functioning of the monitoring framework</w:t>
      </w:r>
    </w:p>
    <w:p w14:paraId="1AE5B97D" w14:textId="4F6ED157" w:rsidR="00837829" w:rsidRPr="00D404B4" w:rsidRDefault="00386FE9" w:rsidP="009A0BD9">
      <w:pPr>
        <w:pStyle w:val="Heading1"/>
      </w:pPr>
      <w:r>
        <w:br w:type="column"/>
      </w:r>
      <w:bookmarkStart w:id="66" w:name="_Toc179386664"/>
      <w:r w:rsidR="00B9648A" w:rsidRPr="00D404B4">
        <w:lastRenderedPageBreak/>
        <w:t xml:space="preserve">Part 2: </w:t>
      </w:r>
      <w:r w:rsidR="00837829" w:rsidRPr="00D404B4">
        <w:t>European Union institutions’ compliance with the Convention (as public administrations)</w:t>
      </w:r>
      <w:bookmarkEnd w:id="65"/>
      <w:bookmarkEnd w:id="66"/>
    </w:p>
    <w:p w14:paraId="7A09ABD3" w14:textId="77777777" w:rsidR="00837829" w:rsidRPr="00D404B4" w:rsidRDefault="00837829" w:rsidP="00295AA8">
      <w:pPr>
        <w:pStyle w:val="Heading2"/>
        <w:spacing w:line="276" w:lineRule="auto"/>
        <w:rPr>
          <w:lang w:val="en-GB"/>
        </w:rPr>
      </w:pPr>
      <w:bookmarkStart w:id="67" w:name="_Toc179386665"/>
      <w:r w:rsidRPr="00D404B4">
        <w:rPr>
          <w:lang w:val="en-GB"/>
        </w:rPr>
        <w:t>Articles 1 and 2: purpose and definitions</w:t>
      </w:r>
      <w:bookmarkEnd w:id="67"/>
    </w:p>
    <w:p w14:paraId="3120F734" w14:textId="700F0E8E" w:rsidR="00030123" w:rsidRPr="00D404B4" w:rsidRDefault="00837829" w:rsidP="00295AA8">
      <w:r w:rsidRPr="00D404B4">
        <w:t>The</w:t>
      </w:r>
      <w:r w:rsidR="008B21FD" w:rsidRPr="00D404B4">
        <w:t xml:space="preserve"> </w:t>
      </w:r>
      <w:hyperlink r:id="rId184" w:history="1">
        <w:r w:rsidR="008B21FD" w:rsidRPr="00D404B4">
          <w:rPr>
            <w:rStyle w:val="Hyperlink"/>
          </w:rPr>
          <w:t>EU</w:t>
        </w:r>
        <w:r w:rsidRPr="00D404B4">
          <w:rPr>
            <w:rStyle w:val="Hyperlink"/>
          </w:rPr>
          <w:t xml:space="preserve"> Staff Regulations</w:t>
        </w:r>
      </w:hyperlink>
      <w:r w:rsidR="00030873" w:rsidRPr="00D404B4">
        <w:rPr>
          <w:rStyle w:val="FootnoteReference"/>
          <w:color w:val="0000FF"/>
          <w:u w:val="single"/>
        </w:rPr>
        <w:footnoteReference w:id="143"/>
      </w:r>
      <w:r w:rsidRPr="00D404B4">
        <w:t xml:space="preserve"> include </w:t>
      </w:r>
      <w:r w:rsidR="00386FE9">
        <w:t xml:space="preserve">a </w:t>
      </w:r>
      <w:r w:rsidRPr="00D404B4">
        <w:t>definition</w:t>
      </w:r>
      <w:r w:rsidR="00386FE9">
        <w:rPr>
          <w:rStyle w:val="FootnoteReference"/>
        </w:rPr>
        <w:footnoteReference w:id="144"/>
      </w:r>
      <w:r w:rsidRPr="00D404B4">
        <w:t xml:space="preserve"> of disability and reasonable accommodation</w:t>
      </w:r>
      <w:r w:rsidR="00386FE9">
        <w:t>, as well as the concept of positive action</w:t>
      </w:r>
      <w:r w:rsidR="00386FE9" w:rsidRPr="00D404B4">
        <w:rPr>
          <w:rStyle w:val="FootnoteReference"/>
        </w:rPr>
        <w:footnoteReference w:id="145"/>
      </w:r>
      <w:r w:rsidR="00386FE9" w:rsidRPr="00D404B4">
        <w:t xml:space="preserve"> </w:t>
      </w:r>
      <w:r w:rsidR="00386FE9">
        <w:t xml:space="preserve"> that comply with the CRPD.</w:t>
      </w:r>
      <w:r w:rsidRPr="00D404B4">
        <w:t xml:space="preserve"> </w:t>
      </w:r>
      <w:r w:rsidR="00EB4F20" w:rsidRPr="00EB4F20">
        <w:t>However, that definition of disability has not been transposed into other EU internal instruments</w:t>
      </w:r>
      <w:r w:rsidR="00EB4F20" w:rsidRPr="00EB4F20">
        <w:rPr>
          <w:lang w:val="en-US"/>
        </w:rPr>
        <w:t xml:space="preserve">, such as the </w:t>
      </w:r>
      <w:r w:rsidR="00EB4F20" w:rsidRPr="00EB4F20">
        <w:t>the Joint Sickness Insurance Scheme (JSIS)</w:t>
      </w:r>
      <w:r w:rsidR="00CE4E42" w:rsidRPr="00D404B4">
        <w:t xml:space="preserve"> (see </w:t>
      </w:r>
      <w:r w:rsidR="00BF587A" w:rsidRPr="00BF587A">
        <w:rPr>
          <w:b/>
          <w:bCs/>
        </w:rPr>
        <w:fldChar w:fldCharType="begin"/>
      </w:r>
      <w:r w:rsidR="00BF587A" w:rsidRPr="00F56AED">
        <w:rPr>
          <w:b/>
          <w:bCs/>
        </w:rPr>
        <w:instrText xml:space="preserve"> REF Part_2_Article_25 \h  \* MERGEFORMAT </w:instrText>
      </w:r>
      <w:r w:rsidR="00BF587A" w:rsidRPr="00BF587A">
        <w:rPr>
          <w:b/>
          <w:bCs/>
        </w:rPr>
      </w:r>
      <w:r w:rsidR="00BF587A" w:rsidRPr="00BF587A">
        <w:rPr>
          <w:b/>
          <w:bCs/>
        </w:rPr>
        <w:fldChar w:fldCharType="separate"/>
      </w:r>
      <w:r w:rsidR="00A157C1" w:rsidRPr="00A157C1">
        <w:rPr>
          <w:b/>
          <w:bCs/>
        </w:rPr>
        <w:t>Article 25</w:t>
      </w:r>
      <w:r w:rsidR="00BF587A" w:rsidRPr="00BF587A">
        <w:rPr>
          <w:b/>
          <w:bCs/>
        </w:rPr>
        <w:fldChar w:fldCharType="end"/>
      </w:r>
      <w:r w:rsidR="00CE4E42" w:rsidRPr="00D404B4">
        <w:t xml:space="preserve">). </w:t>
      </w:r>
    </w:p>
    <w:p w14:paraId="1D3280C4" w14:textId="7512690A" w:rsidR="00867DF5" w:rsidRPr="00D404B4" w:rsidRDefault="00867DF5" w:rsidP="00295AA8">
      <w:r w:rsidRPr="00D404B4">
        <w:t xml:space="preserve">Although the definition of a person with disability complies with the CRPD, the </w:t>
      </w:r>
      <w:r w:rsidR="00EB4F20">
        <w:t xml:space="preserve">EU </w:t>
      </w:r>
      <w:r w:rsidRPr="00D404B4">
        <w:t xml:space="preserve">system continues to rely on medical evaluations. There is a medical examination and an evaluation to assess if the person is physically </w:t>
      </w:r>
      <w:r w:rsidR="00EB4F20">
        <w:t>and mentally “</w:t>
      </w:r>
      <w:r w:rsidRPr="00D404B4">
        <w:t>fit</w:t>
      </w:r>
      <w:r w:rsidR="00EB4F20">
        <w:t>”</w:t>
      </w:r>
      <w:r w:rsidRPr="00D404B4">
        <w:t xml:space="preserve"> to perform the</w:t>
      </w:r>
      <w:r w:rsidR="00505463">
        <w:t>ir</w:t>
      </w:r>
      <w:r w:rsidRPr="00D404B4">
        <w:t xml:space="preserve"> duties.</w:t>
      </w:r>
      <w:r w:rsidR="00505463">
        <w:rPr>
          <w:rStyle w:val="FootnoteReference"/>
        </w:rPr>
        <w:footnoteReference w:id="146"/>
      </w:r>
      <w:r w:rsidRPr="00D404B4">
        <w:t xml:space="preserve"> There is also an invalidity committee formed exclusively of doctors which evaluates professional invalidity.</w:t>
      </w:r>
      <w:r w:rsidRPr="00D404B4">
        <w:rPr>
          <w:rStyle w:val="FootnoteReference"/>
        </w:rPr>
        <w:footnoteReference w:id="147"/>
      </w:r>
    </w:p>
    <w:p w14:paraId="3B3809C3" w14:textId="2D48D437" w:rsidR="00DC121D" w:rsidRPr="00D404B4" w:rsidRDefault="00451ECD" w:rsidP="00295AA8">
      <w:r>
        <w:rPr>
          <w:b/>
        </w:rPr>
        <w:t xml:space="preserve">We call for: </w:t>
      </w:r>
    </w:p>
    <w:p w14:paraId="23E9A984" w14:textId="524E84FB" w:rsidR="00837829" w:rsidRPr="00D404B4" w:rsidRDefault="00451ECD" w:rsidP="00295AA8">
      <w:pPr>
        <w:numPr>
          <w:ilvl w:val="0"/>
          <w:numId w:val="12"/>
        </w:numPr>
      </w:pPr>
      <w:r>
        <w:t xml:space="preserve">Measures </w:t>
      </w:r>
      <w:r w:rsidR="00837829" w:rsidRPr="00D404B4">
        <w:t xml:space="preserve">to ensure that all internal instruments, </w:t>
      </w:r>
      <w:r w:rsidR="00731A8E" w:rsidRPr="00D404B4">
        <w:t>policies,</w:t>
      </w:r>
      <w:r w:rsidR="00837829" w:rsidRPr="00D404B4">
        <w:t xml:space="preserve"> and practices of the EU institutions </w:t>
      </w:r>
      <w:r w:rsidR="00EB4F20">
        <w:t>are</w:t>
      </w:r>
      <w:r w:rsidR="00837829" w:rsidRPr="00D404B4">
        <w:t xml:space="preserve"> revised to include the human rights approach to disability as </w:t>
      </w:r>
      <w:r w:rsidR="00EB4F20">
        <w:t xml:space="preserve">laid down </w:t>
      </w:r>
      <w:r w:rsidR="00837829" w:rsidRPr="00D404B4">
        <w:t>in Article 2 CRPD</w:t>
      </w:r>
      <w:r w:rsidR="00EB4F20">
        <w:t>,</w:t>
      </w:r>
      <w:r w:rsidR="00837829" w:rsidRPr="00D404B4">
        <w:t xml:space="preserve"> and as included in the Staff Regulations</w:t>
      </w:r>
    </w:p>
    <w:p w14:paraId="5618FC87" w14:textId="77777777" w:rsidR="00837829" w:rsidRPr="00D404B4" w:rsidRDefault="00837829" w:rsidP="00295AA8">
      <w:pPr>
        <w:pStyle w:val="Heading2"/>
        <w:spacing w:line="276" w:lineRule="auto"/>
        <w:rPr>
          <w:lang w:val="en-GB"/>
        </w:rPr>
      </w:pPr>
      <w:bookmarkStart w:id="68" w:name="_Toc179386666"/>
      <w:r w:rsidRPr="00D404B4">
        <w:rPr>
          <w:lang w:val="en-GB"/>
        </w:rPr>
        <w:t>Article 4: General obligations</w:t>
      </w:r>
      <w:bookmarkEnd w:id="68"/>
    </w:p>
    <w:p w14:paraId="179C9D23" w14:textId="4ED1E0EE" w:rsidR="00837829" w:rsidRPr="00D404B4" w:rsidRDefault="002D1FC7" w:rsidP="00295AA8">
      <w:r>
        <w:t xml:space="preserve">The </w:t>
      </w:r>
      <w:r w:rsidR="00837829" w:rsidRPr="00D404B4">
        <w:t xml:space="preserve">EU institutions do not have a comprehensive and cross-institutional strategy on how to implement the CRPD internally for their staff and visitors. </w:t>
      </w:r>
    </w:p>
    <w:p w14:paraId="7815BDB2" w14:textId="0BEC06F6" w:rsidR="00ED754A" w:rsidRPr="00D404B4" w:rsidRDefault="00ED754A" w:rsidP="00295AA8">
      <w:r w:rsidRPr="00D404B4">
        <w:t xml:space="preserve">The </w:t>
      </w:r>
      <w:r w:rsidR="00162FC7" w:rsidRPr="00D404B4">
        <w:t xml:space="preserve">Disability </w:t>
      </w:r>
      <w:r w:rsidR="00806D2F">
        <w:t xml:space="preserve">Rights </w:t>
      </w:r>
      <w:r w:rsidR="00162FC7" w:rsidRPr="00D404B4">
        <w:t xml:space="preserve">Strategy </w:t>
      </w:r>
      <w:r w:rsidRPr="00D404B4">
        <w:t xml:space="preserve">includes some actions to “lead by example” inside the EU institutions. </w:t>
      </w:r>
      <w:r w:rsidR="002D1FC7">
        <w:t>These p</w:t>
      </w:r>
      <w:r w:rsidRPr="00D404B4">
        <w:t xml:space="preserve">roposed actions concern: </w:t>
      </w:r>
    </w:p>
    <w:p w14:paraId="01B5A7BC" w14:textId="21220F80" w:rsidR="00162FC7" w:rsidRPr="00A47EA9" w:rsidRDefault="00ED754A" w:rsidP="00295AA8">
      <w:pPr>
        <w:pStyle w:val="ListParagraph"/>
        <w:numPr>
          <w:ilvl w:val="0"/>
          <w:numId w:val="33"/>
        </w:numPr>
        <w:contextualSpacing w:val="0"/>
      </w:pPr>
      <w:r w:rsidRPr="00D404B4">
        <w:t xml:space="preserve">the </w:t>
      </w:r>
      <w:r w:rsidRPr="00A47EA9">
        <w:t xml:space="preserve">adoption of a </w:t>
      </w:r>
      <w:r w:rsidR="002D1FC7" w:rsidRPr="00A47EA9">
        <w:t>new</w:t>
      </w:r>
      <w:r w:rsidRPr="00A47EA9">
        <w:t xml:space="preserve"> human resources strategy that will include actions to promote diversity and inclusion of persons with disabilities in the European Commission</w:t>
      </w:r>
      <w:r w:rsidRPr="00A47EA9">
        <w:rPr>
          <w:rStyle w:val="FootnoteReference"/>
        </w:rPr>
        <w:footnoteReference w:id="148"/>
      </w:r>
      <w:r w:rsidRPr="00A47EA9">
        <w:t xml:space="preserve"> </w:t>
      </w:r>
    </w:p>
    <w:p w14:paraId="17312E4B" w14:textId="6E987083" w:rsidR="00ED754A" w:rsidRPr="00D404B4" w:rsidRDefault="00ED754A" w:rsidP="00295AA8">
      <w:pPr>
        <w:pStyle w:val="ListParagraph"/>
        <w:numPr>
          <w:ilvl w:val="0"/>
          <w:numId w:val="33"/>
        </w:numPr>
        <w:contextualSpacing w:val="0"/>
      </w:pPr>
      <w:r w:rsidRPr="00A47EA9">
        <w:t>actions to improve accessibility of communication and building</w:t>
      </w:r>
      <w:r w:rsidR="002D1FC7" w:rsidRPr="00A47EA9">
        <w:t>s</w:t>
      </w:r>
      <w:r w:rsidRPr="00A47EA9">
        <w:t xml:space="preserve"> (a caveat being the “urban planning requirements</w:t>
      </w:r>
      <w:r w:rsidRPr="00D404B4">
        <w:t xml:space="preserve"> of the host countries”)</w:t>
      </w:r>
      <w:r w:rsidRPr="00D404B4">
        <w:rPr>
          <w:rStyle w:val="FootnoteReference"/>
        </w:rPr>
        <w:footnoteReference w:id="149"/>
      </w:r>
    </w:p>
    <w:p w14:paraId="3D7A6D02" w14:textId="657C9454" w:rsidR="005F3DF9" w:rsidRDefault="005F3DF9" w:rsidP="00295AA8">
      <w:pPr>
        <w:pStyle w:val="ListParagraph"/>
        <w:numPr>
          <w:ilvl w:val="0"/>
          <w:numId w:val="33"/>
        </w:numPr>
        <w:contextualSpacing w:val="0"/>
      </w:pPr>
      <w:r w:rsidRPr="00D404B4">
        <w:t xml:space="preserve">support </w:t>
      </w:r>
      <w:r w:rsidR="00FD2B78">
        <w:t>for</w:t>
      </w:r>
      <w:r w:rsidRPr="00D404B4">
        <w:t xml:space="preserve"> </w:t>
      </w:r>
      <w:r w:rsidR="00A65530" w:rsidRPr="00D404B4">
        <w:t xml:space="preserve">the </w:t>
      </w:r>
      <w:r w:rsidRPr="00D404B4">
        <w:t>implement</w:t>
      </w:r>
      <w:r w:rsidR="00A65530" w:rsidRPr="00D404B4">
        <w:t>ation</w:t>
      </w:r>
      <w:r w:rsidR="00FD2B78">
        <w:t xml:space="preserve"> of</w:t>
      </w:r>
      <w:r w:rsidRPr="00D404B4">
        <w:t xml:space="preserve"> the Action Plan Educational Support and Inclusive Education of the European schools</w:t>
      </w:r>
      <w:r w:rsidRPr="00D404B4">
        <w:rPr>
          <w:rStyle w:val="FootnoteReference"/>
        </w:rPr>
        <w:footnoteReference w:id="150"/>
      </w:r>
    </w:p>
    <w:p w14:paraId="408C4A51" w14:textId="4BC9E736" w:rsidR="005F4BA1" w:rsidRPr="00D404B4" w:rsidRDefault="005F4BA1" w:rsidP="00295AA8">
      <w:pPr>
        <w:pStyle w:val="ListParagraph"/>
        <w:numPr>
          <w:ilvl w:val="0"/>
          <w:numId w:val="33"/>
        </w:numPr>
        <w:contextualSpacing w:val="0"/>
      </w:pPr>
      <w:r w:rsidRPr="005F4BA1">
        <w:lastRenderedPageBreak/>
        <w:t xml:space="preserve">a call on all EU institutions and bodies, </w:t>
      </w:r>
      <w:r w:rsidR="00731A8E" w:rsidRPr="005F4BA1">
        <w:t>agencies,</w:t>
      </w:r>
      <w:r w:rsidRPr="005F4BA1">
        <w:t xml:space="preserve"> and delegations to designate disability coordinators for their institutions and for their disability strategies</w:t>
      </w:r>
    </w:p>
    <w:p w14:paraId="480B172D" w14:textId="1BB7D890" w:rsidR="00002675" w:rsidRPr="00002675" w:rsidRDefault="00FD2B78" w:rsidP="00295AA8">
      <w:pPr>
        <w:rPr>
          <w:lang w:val="en-US"/>
        </w:rPr>
      </w:pPr>
      <w:r>
        <w:t xml:space="preserve">The </w:t>
      </w:r>
      <w:r w:rsidR="00837829" w:rsidRPr="00D404B4">
        <w:t xml:space="preserve">Disability Support Groups in the European Commission, </w:t>
      </w:r>
      <w:r>
        <w:t xml:space="preserve">the </w:t>
      </w:r>
      <w:r w:rsidR="00837829" w:rsidRPr="00D404B4">
        <w:t xml:space="preserve">Council of the European Union and the European Parliament bring together staff concerned with disability, either staff with disabilities or </w:t>
      </w:r>
      <w:r>
        <w:t>staff who are carers</w:t>
      </w:r>
      <w:r w:rsidR="00837829" w:rsidRPr="00D404B4">
        <w:t xml:space="preserve"> of persons with disabilities. These groups are not </w:t>
      </w:r>
      <w:r w:rsidR="005F4BA1">
        <w:t xml:space="preserve">appropriately </w:t>
      </w:r>
      <w:r w:rsidR="00837829" w:rsidRPr="00D404B4">
        <w:t xml:space="preserve">consulted </w:t>
      </w:r>
      <w:r w:rsidR="005F4BA1">
        <w:t>or</w:t>
      </w:r>
      <w:r w:rsidR="005F4BA1" w:rsidRPr="00D404B4">
        <w:t xml:space="preserve"> </w:t>
      </w:r>
      <w:r w:rsidR="00837829" w:rsidRPr="00D404B4">
        <w:t>involved in a systematic way in the development of internal instruments and policies to implement the CRPD. Their views are also not systematically taken into account.</w:t>
      </w:r>
      <w:r w:rsidR="00002675">
        <w:rPr>
          <w:rStyle w:val="FootnoteReference"/>
        </w:rPr>
        <w:footnoteReference w:id="151"/>
      </w:r>
      <w:r w:rsidR="00837829" w:rsidRPr="00D404B4">
        <w:t xml:space="preserve"> </w:t>
      </w:r>
      <w:r w:rsidR="00002675" w:rsidRPr="00D404B4">
        <w:t xml:space="preserve">Moreover, these support groups </w:t>
      </w:r>
      <w:r w:rsidR="00002675">
        <w:t>are not allocated the</w:t>
      </w:r>
      <w:r w:rsidR="00002675" w:rsidRPr="00D404B4">
        <w:t xml:space="preserve"> resources</w:t>
      </w:r>
      <w:r w:rsidR="00002675">
        <w:t xml:space="preserve"> they </w:t>
      </w:r>
      <w:r w:rsidR="00FA0554">
        <w:t>need,</w:t>
      </w:r>
      <w:r w:rsidR="00002675">
        <w:t xml:space="preserve"> and</w:t>
      </w:r>
      <w:r w:rsidR="00002675" w:rsidRPr="00D404B4">
        <w:t xml:space="preserve"> they are overloaded with requests for advice and support which the responsible EU institutions’ services </w:t>
      </w:r>
      <w:r w:rsidR="00002675" w:rsidRPr="00FD2B78">
        <w:rPr>
          <w:lang w:val="en-US"/>
        </w:rPr>
        <w:t>also find difficulties in coping with.</w:t>
      </w:r>
    </w:p>
    <w:p w14:paraId="682AAFB8" w14:textId="6FA9E619" w:rsidR="008D1435" w:rsidRPr="00B71B42" w:rsidRDefault="005F4BA1" w:rsidP="00295AA8">
      <w:pPr>
        <w:rPr>
          <w:lang w:val="en-US"/>
        </w:rPr>
      </w:pPr>
      <w:r w:rsidRPr="005F4BA1">
        <w:rPr>
          <w:lang w:val="en-US"/>
        </w:rPr>
        <w:t>The European Parliament lacks an internal focal point designed to make decision-making more holistic and more effective although it called for it in numerous own resolutions.</w:t>
      </w:r>
      <w:r w:rsidRPr="005F4BA1">
        <w:rPr>
          <w:vertAlign w:val="superscript"/>
          <w:lang w:val="en-US"/>
        </w:rPr>
        <w:footnoteReference w:id="152"/>
      </w:r>
    </w:p>
    <w:p w14:paraId="3DC88781" w14:textId="706336BB" w:rsidR="00DC3FB2" w:rsidRPr="00D404B4" w:rsidRDefault="00C53F36" w:rsidP="00295AA8">
      <w:r>
        <w:rPr>
          <w:b/>
        </w:rPr>
        <w:t xml:space="preserve">We call for: </w:t>
      </w:r>
    </w:p>
    <w:p w14:paraId="2D989B83" w14:textId="512E4B5A" w:rsidR="00DC3FB2" w:rsidRDefault="00AA7855" w:rsidP="00295AA8">
      <w:pPr>
        <w:pStyle w:val="ListParagraph"/>
        <w:numPr>
          <w:ilvl w:val="0"/>
          <w:numId w:val="15"/>
        </w:numPr>
        <w:contextualSpacing w:val="0"/>
      </w:pPr>
      <w:r>
        <w:t>A</w:t>
      </w:r>
      <w:r w:rsidR="00837829" w:rsidRPr="00D404B4">
        <w:t>dopt</w:t>
      </w:r>
      <w:r w:rsidR="00C274D9">
        <w:t>ion</w:t>
      </w:r>
      <w:r w:rsidR="00837829" w:rsidRPr="00D404B4">
        <w:t xml:space="preserve"> a strategy to realise the CRPD within </w:t>
      </w:r>
      <w:r w:rsidR="0007596D" w:rsidRPr="00D404B4">
        <w:rPr>
          <w:b/>
          <w:bCs/>
        </w:rPr>
        <w:t>all</w:t>
      </w:r>
      <w:r w:rsidR="0007596D" w:rsidRPr="00D404B4">
        <w:t xml:space="preserve"> </w:t>
      </w:r>
      <w:r w:rsidR="00837829" w:rsidRPr="00D404B4">
        <w:t xml:space="preserve">EU institutions, </w:t>
      </w:r>
      <w:r w:rsidR="00731A8E" w:rsidRPr="00D404B4">
        <w:t>bodies,</w:t>
      </w:r>
      <w:r w:rsidR="00837829" w:rsidRPr="00D404B4">
        <w:t xml:space="preserve"> and agencies</w:t>
      </w:r>
      <w:r>
        <w:t xml:space="preserve"> including a set budget and timeline for its implementation.</w:t>
      </w:r>
      <w:r w:rsidR="00837829" w:rsidRPr="00D404B4">
        <w:t xml:space="preserve"> </w:t>
      </w:r>
      <w:r>
        <w:t>E</w:t>
      </w:r>
      <w:r w:rsidR="00837829" w:rsidRPr="00D404B4">
        <w:t xml:space="preserve">nsure the close involvement and </w:t>
      </w:r>
      <w:r w:rsidR="005F4BA1">
        <w:t xml:space="preserve">active </w:t>
      </w:r>
      <w:r w:rsidR="00837829" w:rsidRPr="00D404B4">
        <w:t xml:space="preserve">consultation </w:t>
      </w:r>
      <w:r w:rsidR="00D07637">
        <w:t xml:space="preserve">in a systematic way </w:t>
      </w:r>
      <w:r w:rsidR="00837829" w:rsidRPr="00D404B4">
        <w:t xml:space="preserve">of the staff with disabilities and staff who are </w:t>
      </w:r>
      <w:r w:rsidR="00D07637">
        <w:t>carers</w:t>
      </w:r>
      <w:r w:rsidR="00837829" w:rsidRPr="00D404B4">
        <w:t xml:space="preserve"> of persons with disabilities in </w:t>
      </w:r>
      <w:r>
        <w:t>its</w:t>
      </w:r>
      <w:r w:rsidR="00837829" w:rsidRPr="00D404B4">
        <w:t xml:space="preserve"> design, </w:t>
      </w:r>
      <w:r w:rsidR="00731A8E" w:rsidRPr="00D404B4">
        <w:t>implementation,</w:t>
      </w:r>
      <w:r w:rsidR="00837829" w:rsidRPr="00D404B4">
        <w:t xml:space="preserve"> and evaluation</w:t>
      </w:r>
      <w:r>
        <w:t>.</w:t>
      </w:r>
    </w:p>
    <w:p w14:paraId="456F16AC" w14:textId="77777777" w:rsidR="00837829" w:rsidRPr="00D404B4" w:rsidRDefault="00837829" w:rsidP="00295AA8">
      <w:pPr>
        <w:pStyle w:val="Heading2"/>
        <w:spacing w:line="276" w:lineRule="auto"/>
        <w:rPr>
          <w:lang w:val="en-GB"/>
        </w:rPr>
      </w:pPr>
      <w:bookmarkStart w:id="69" w:name="Part_2_Article_5"/>
      <w:bookmarkStart w:id="70" w:name="_Toc36001174"/>
      <w:bookmarkStart w:id="71" w:name="_Toc179386667"/>
      <w:r w:rsidRPr="00D404B4">
        <w:rPr>
          <w:lang w:val="en-GB"/>
        </w:rPr>
        <w:t>Article 5</w:t>
      </w:r>
      <w:bookmarkEnd w:id="69"/>
      <w:r w:rsidRPr="00D404B4">
        <w:rPr>
          <w:lang w:val="en-GB"/>
        </w:rPr>
        <w:t>: Equality and non-discrimination</w:t>
      </w:r>
      <w:bookmarkEnd w:id="71"/>
    </w:p>
    <w:p w14:paraId="0C2588A9" w14:textId="77777777" w:rsidR="00D07637" w:rsidRDefault="00F71D25" w:rsidP="00295AA8">
      <w:r w:rsidRPr="00D404B4">
        <w:t xml:space="preserve">The provision of reasonable accommodation to employees with disabilities and </w:t>
      </w:r>
      <w:r w:rsidR="004A6AA3">
        <w:t>those caring for</w:t>
      </w:r>
      <w:r w:rsidRPr="00D404B4">
        <w:t xml:space="preserve"> persons with disabilities remain</w:t>
      </w:r>
      <w:r w:rsidR="000C0E9F" w:rsidRPr="00D404B4">
        <w:t>s</w:t>
      </w:r>
      <w:r w:rsidRPr="00D404B4">
        <w:t xml:space="preserve"> an issue. </w:t>
      </w:r>
    </w:p>
    <w:p w14:paraId="601091D5" w14:textId="357E08FA" w:rsidR="00D07637" w:rsidRDefault="00D07637" w:rsidP="00295AA8">
      <w:pPr>
        <w:rPr>
          <w:lang w:val="en-US"/>
        </w:rPr>
      </w:pPr>
      <w:r w:rsidRPr="00D07637">
        <w:rPr>
          <w:lang w:val="en-US"/>
        </w:rPr>
        <w:t>Although failure to provide reasonable accommodation may be considered a form of disability</w:t>
      </w:r>
      <w:r w:rsidR="00715EF0">
        <w:rPr>
          <w:lang w:val="en-US"/>
        </w:rPr>
        <w:t>-based</w:t>
      </w:r>
      <w:r w:rsidRPr="00D07637">
        <w:rPr>
          <w:lang w:val="en-US"/>
        </w:rPr>
        <w:t xml:space="preserve"> discrimination, including discrimination </w:t>
      </w:r>
      <w:r w:rsidR="00715EF0">
        <w:rPr>
          <w:lang w:val="en-US"/>
        </w:rPr>
        <w:t>by</w:t>
      </w:r>
      <w:r w:rsidRPr="00D07637">
        <w:rPr>
          <w:lang w:val="en-US"/>
        </w:rPr>
        <w:t xml:space="preserve"> association with a person </w:t>
      </w:r>
      <w:r>
        <w:rPr>
          <w:lang w:val="en-US"/>
        </w:rPr>
        <w:t>with disabilities</w:t>
      </w:r>
      <w:r w:rsidRPr="00D07637">
        <w:rPr>
          <w:lang w:val="en-US"/>
        </w:rPr>
        <w:t xml:space="preserve"> (as in the case of carers), the EU </w:t>
      </w:r>
      <w:r>
        <w:rPr>
          <w:lang w:val="en-US"/>
        </w:rPr>
        <w:t>i</w:t>
      </w:r>
      <w:r w:rsidRPr="00D07637">
        <w:rPr>
          <w:lang w:val="en-US"/>
        </w:rPr>
        <w:t xml:space="preserve">nstitutions do not consider that a reasonable accommodation policy needs to be established for carers. There are different measures in place for staff who are carers, but there is no systematic approach, and they are applied to different degrees in the different </w:t>
      </w:r>
      <w:r>
        <w:rPr>
          <w:lang w:val="en-US"/>
        </w:rPr>
        <w:t>i</w:t>
      </w:r>
      <w:r w:rsidRPr="00D07637">
        <w:rPr>
          <w:lang w:val="en-US"/>
        </w:rPr>
        <w:t xml:space="preserve">nstitutions. </w:t>
      </w:r>
    </w:p>
    <w:p w14:paraId="472A47A6" w14:textId="1DED1242" w:rsidR="00F71D25" w:rsidRPr="00D404B4" w:rsidRDefault="00F71D25" w:rsidP="00295AA8">
      <w:r w:rsidRPr="00D404B4">
        <w:t>During the COVID-19 pandemic, there has been limited coordination of the necessary reasonable accommodation measures.</w:t>
      </w:r>
      <w:r w:rsidR="00D07637">
        <w:rPr>
          <w:rStyle w:val="FootnoteReference"/>
        </w:rPr>
        <w:footnoteReference w:id="153"/>
      </w:r>
      <w:r w:rsidRPr="00D404B4">
        <w:t xml:space="preserve"> </w:t>
      </w:r>
    </w:p>
    <w:p w14:paraId="0432035E" w14:textId="7A42FDA5" w:rsidR="00DC3FB2" w:rsidRPr="00D404B4" w:rsidRDefault="00DF6E6C" w:rsidP="00295AA8">
      <w:r>
        <w:rPr>
          <w:b/>
        </w:rPr>
        <w:lastRenderedPageBreak/>
        <w:t>We call for</w:t>
      </w:r>
      <w:r w:rsidR="00DC3FB2" w:rsidRPr="00D404B4">
        <w:t xml:space="preserve">: </w:t>
      </w:r>
    </w:p>
    <w:p w14:paraId="48BEDAF1" w14:textId="1F8AC0DF" w:rsidR="00837829" w:rsidRPr="00D404B4" w:rsidRDefault="00DF6E6C" w:rsidP="00295AA8">
      <w:pPr>
        <w:numPr>
          <w:ilvl w:val="0"/>
          <w:numId w:val="12"/>
        </w:numPr>
      </w:pPr>
      <w:r>
        <w:t>Adoption of</w:t>
      </w:r>
      <w:r w:rsidR="00837829" w:rsidRPr="00D404B4">
        <w:t xml:space="preserve"> a policy on reasonable accommodation </w:t>
      </w:r>
      <w:r w:rsidR="00025BDC">
        <w:t xml:space="preserve">in the workplace </w:t>
      </w:r>
      <w:r w:rsidR="00837829" w:rsidRPr="00D404B4">
        <w:t xml:space="preserve">for all EU employees with disabilities and employees </w:t>
      </w:r>
      <w:r w:rsidR="00025BDC">
        <w:t>caring for persons</w:t>
      </w:r>
      <w:r w:rsidR="00837829" w:rsidRPr="00D404B4">
        <w:t xml:space="preserve"> with disabilities</w:t>
      </w:r>
      <w:r w:rsidR="00025BDC">
        <w:t>, including teleworking</w:t>
      </w:r>
      <w:r w:rsidR="009D542C">
        <w:t xml:space="preserve">. </w:t>
      </w:r>
    </w:p>
    <w:p w14:paraId="5CE22651" w14:textId="77777777" w:rsidR="00837829" w:rsidRPr="00D404B4" w:rsidRDefault="00837829" w:rsidP="00295AA8">
      <w:pPr>
        <w:pStyle w:val="Heading2"/>
        <w:spacing w:line="276" w:lineRule="auto"/>
        <w:rPr>
          <w:lang w:val="en-GB"/>
        </w:rPr>
      </w:pPr>
      <w:bookmarkStart w:id="72" w:name="Part_2_Article_9"/>
      <w:bookmarkStart w:id="73" w:name="_Toc179386668"/>
      <w:r w:rsidRPr="00D404B4">
        <w:rPr>
          <w:lang w:val="en-GB"/>
        </w:rPr>
        <w:t>Article 9</w:t>
      </w:r>
      <w:bookmarkEnd w:id="72"/>
      <w:r w:rsidRPr="00D404B4">
        <w:rPr>
          <w:lang w:val="en-GB"/>
        </w:rPr>
        <w:t>: Accessibility</w:t>
      </w:r>
      <w:bookmarkEnd w:id="73"/>
    </w:p>
    <w:p w14:paraId="49AD570C" w14:textId="67FF7594" w:rsidR="001B1E73" w:rsidRPr="001B1E73" w:rsidRDefault="001B1E73" w:rsidP="00295AA8">
      <w:pPr>
        <w:rPr>
          <w:lang w:val="en-US"/>
        </w:rPr>
      </w:pPr>
      <w:r w:rsidRPr="001B1E73">
        <w:rPr>
          <w:lang w:val="en-US"/>
        </w:rPr>
        <w:t xml:space="preserve">The accessibility of almost every </w:t>
      </w:r>
      <w:r w:rsidR="002A402E">
        <w:rPr>
          <w:lang w:val="en-US"/>
        </w:rPr>
        <w:t xml:space="preserve">EU institutions’ </w:t>
      </w:r>
      <w:r w:rsidRPr="001B1E73">
        <w:rPr>
          <w:lang w:val="en-US"/>
        </w:rPr>
        <w:t>building falls short of international and European accessibility standards</w:t>
      </w:r>
      <w:r>
        <w:rPr>
          <w:lang w:val="en-US"/>
        </w:rPr>
        <w:t>.</w:t>
      </w:r>
      <w:r w:rsidRPr="001B1E73">
        <w:rPr>
          <w:lang w:val="en-US"/>
        </w:rPr>
        <w:t xml:space="preserve"> Despite an audit-based recommendation in </w:t>
      </w:r>
      <w:r w:rsidRPr="0077097B">
        <w:rPr>
          <w:highlight w:val="yellow"/>
          <w:lang w:val="en-US"/>
        </w:rPr>
        <w:t>2003</w:t>
      </w:r>
      <w:r w:rsidRPr="001B1E73">
        <w:rPr>
          <w:lang w:val="en-US"/>
        </w:rPr>
        <w:t xml:space="preserve"> for all institutions to develop standards above local requirements, only the Commission has very recently </w:t>
      </w:r>
      <w:r w:rsidRPr="00A94AC7">
        <w:rPr>
          <w:lang w:val="en-US"/>
        </w:rPr>
        <w:t xml:space="preserve">adopted guidelines </w:t>
      </w:r>
      <w:r w:rsidR="00677943" w:rsidRPr="00A94AC7">
        <w:rPr>
          <w:lang w:val="en-US"/>
        </w:rPr>
        <w:t>containing</w:t>
      </w:r>
      <w:r w:rsidR="0035758D" w:rsidRPr="00A94AC7">
        <w:rPr>
          <w:lang w:val="en-US"/>
        </w:rPr>
        <w:t xml:space="preserve"> </w:t>
      </w:r>
      <w:r w:rsidRPr="00A94AC7">
        <w:rPr>
          <w:lang w:val="en-US"/>
        </w:rPr>
        <w:t>exceptions for accessibility requirements,</w:t>
      </w:r>
      <w:r w:rsidRPr="00A94AC7">
        <w:rPr>
          <w:vertAlign w:val="superscript"/>
          <w:lang w:val="en-US"/>
        </w:rPr>
        <w:footnoteReference w:id="154"/>
      </w:r>
      <w:r w:rsidRPr="00A94AC7">
        <w:rPr>
          <w:lang w:val="en-US"/>
        </w:rPr>
        <w:t xml:space="preserve"> and the </w:t>
      </w:r>
      <w:r w:rsidRPr="00045B80">
        <w:rPr>
          <w:highlight w:val="yellow"/>
          <w:lang w:val="en-US"/>
        </w:rPr>
        <w:t>European Parliament is preparing new guidelines</w:t>
      </w:r>
      <w:r w:rsidRPr="001B1E73">
        <w:rPr>
          <w:lang w:val="en-US"/>
        </w:rPr>
        <w:t>. In a few cases only has accessibility been</w:t>
      </w:r>
      <w:r>
        <w:rPr>
          <w:lang w:val="en-US"/>
        </w:rPr>
        <w:t xml:space="preserve"> </w:t>
      </w:r>
      <w:r w:rsidRPr="001B1E73">
        <w:rPr>
          <w:lang w:val="en-US"/>
        </w:rPr>
        <w:t xml:space="preserve">considered from design to delivery. Major works to refit any buildings to bring them to the level of European or international standards have not taken place yet although, in France, works required by new legislation </w:t>
      </w:r>
      <w:r w:rsidR="008842D6" w:rsidRPr="001B1E73">
        <w:rPr>
          <w:lang w:val="en-US"/>
        </w:rPr>
        <w:t>must</w:t>
      </w:r>
      <w:r w:rsidRPr="001B1E73">
        <w:rPr>
          <w:lang w:val="en-US"/>
        </w:rPr>
        <w:t xml:space="preserve"> be and will be undertaken by the E</w:t>
      </w:r>
      <w:r w:rsidR="00207A7D">
        <w:rPr>
          <w:lang w:val="en-US"/>
        </w:rPr>
        <w:t>uropean Parliament</w:t>
      </w:r>
      <w:r w:rsidRPr="001B1E73">
        <w:rPr>
          <w:lang w:val="en-US"/>
        </w:rPr>
        <w:t>.</w:t>
      </w:r>
    </w:p>
    <w:p w14:paraId="3A53E7D1" w14:textId="7383D17A" w:rsidR="00596FE5" w:rsidRPr="001B1E73" w:rsidRDefault="001B1E73" w:rsidP="00295AA8">
      <w:pPr>
        <w:rPr>
          <w:lang w:val="en-US"/>
        </w:rPr>
      </w:pPr>
      <w:r w:rsidRPr="001B1E73">
        <w:rPr>
          <w:lang w:val="en-US"/>
        </w:rPr>
        <w:t xml:space="preserve">The interservice working group on accessibility responsible for accessibility questions in the European Parliament was first terminated and only recently reanimated. The Parliament’s Brussels Hemicycle and Committee rooms are </w:t>
      </w:r>
      <w:r w:rsidR="00207A7D">
        <w:rPr>
          <w:lang w:val="en-US"/>
        </w:rPr>
        <w:t>in</w:t>
      </w:r>
      <w:r w:rsidRPr="001B1E73">
        <w:rPr>
          <w:lang w:val="en-US"/>
        </w:rPr>
        <w:t>accessible for wheelchair users. Pop-up constructions are required for high-level speakers in the Brussels hemicycle. In Strasbourg’s Hemicycle, wheelchair users can only attend the meetings in the last row of the room and cannot access the podium safely or at all</w:t>
      </w:r>
      <w:r w:rsidR="00207A7D">
        <w:rPr>
          <w:lang w:val="en-US"/>
        </w:rPr>
        <w:t>.</w:t>
      </w:r>
    </w:p>
    <w:p w14:paraId="23A43683" w14:textId="44924E99" w:rsidR="00E943CA" w:rsidRDefault="001B1E73" w:rsidP="00295AA8">
      <w:r w:rsidRPr="001B1E73">
        <w:rPr>
          <w:lang w:val="en-US"/>
        </w:rPr>
        <w:t>EU offices in some EU Member States are accessible to visitors and/or staff</w:t>
      </w:r>
      <w:r w:rsidR="00D80D7B">
        <w:rPr>
          <w:lang w:val="en-US"/>
        </w:rPr>
        <w:t xml:space="preserve">, while other are </w:t>
      </w:r>
      <w:r w:rsidRPr="001B1E73">
        <w:rPr>
          <w:lang w:val="en-US"/>
        </w:rPr>
        <w:t>not</w:t>
      </w:r>
      <w:r w:rsidR="00207A7D">
        <w:rPr>
          <w:lang w:val="en-US"/>
        </w:rPr>
        <w:t>.</w:t>
      </w:r>
      <w:r w:rsidRPr="001B1E73">
        <w:rPr>
          <w:lang w:val="en-US"/>
        </w:rPr>
        <w:t xml:space="preserve"> </w:t>
      </w:r>
      <w:r w:rsidR="00D80D7B" w:rsidRPr="00D80D7B">
        <w:rPr>
          <w:lang w:val="en-US"/>
        </w:rPr>
        <w:t xml:space="preserve">In general, persons with disabilities have little knowledge of EU offices, their </w:t>
      </w:r>
      <w:r w:rsidR="00731A8E" w:rsidRPr="00D80D7B">
        <w:rPr>
          <w:lang w:val="en-US"/>
        </w:rPr>
        <w:t>activities,</w:t>
      </w:r>
      <w:r w:rsidR="00D80D7B" w:rsidRPr="00D80D7B">
        <w:rPr>
          <w:lang w:val="en-US"/>
        </w:rPr>
        <w:t xml:space="preserve"> and events.</w:t>
      </w:r>
      <w:r w:rsidR="00E943CA">
        <w:rPr>
          <w:lang w:val="en-US"/>
        </w:rPr>
        <w:t xml:space="preserve"> </w:t>
      </w:r>
      <w:r w:rsidR="00E943CA" w:rsidRPr="00D404B4">
        <w:t>Consultations, events and activities organised by</w:t>
      </w:r>
      <w:r w:rsidR="00E943CA">
        <w:t xml:space="preserve"> the</w:t>
      </w:r>
      <w:r w:rsidR="00E943CA" w:rsidRPr="00D404B4">
        <w:t xml:space="preserve"> EU institutions often ar</w:t>
      </w:r>
      <w:r w:rsidR="00E943CA">
        <w:t>e inaccessible to persons with disabilities</w:t>
      </w:r>
      <w:r w:rsidR="00E943CA" w:rsidRPr="00D404B4">
        <w:t>.</w:t>
      </w:r>
      <w:r w:rsidR="00E943CA" w:rsidRPr="00A60508">
        <w:rPr>
          <w:vertAlign w:val="superscript"/>
          <w:lang w:val="en-US"/>
        </w:rPr>
        <w:footnoteReference w:id="155"/>
      </w:r>
      <w:r w:rsidR="00E943CA">
        <w:t xml:space="preserve"> This is also the case</w:t>
      </w:r>
      <w:r w:rsidR="00E943CA" w:rsidRPr="00D404B4">
        <w:t xml:space="preserve"> for workshops and meetings organised by different services of the European Commission and structures related to the Commission</w:t>
      </w:r>
      <w:r w:rsidR="00A172A5">
        <w:t>.</w:t>
      </w:r>
      <w:r w:rsidR="00E943CA" w:rsidRPr="00D404B4">
        <w:rPr>
          <w:vertAlign w:val="superscript"/>
        </w:rPr>
        <w:footnoteReference w:id="156"/>
      </w:r>
    </w:p>
    <w:p w14:paraId="37186018" w14:textId="19A41DFA" w:rsidR="00495A28" w:rsidRDefault="00E943CA" w:rsidP="000D25D4">
      <w:pPr>
        <w:rPr>
          <w:lang w:val="en-US"/>
        </w:rPr>
      </w:pPr>
      <w:r>
        <w:t xml:space="preserve">The online presence of the EU is also not accessible. </w:t>
      </w:r>
      <w:r w:rsidR="000D25D4" w:rsidRPr="00D404B4">
        <w:t xml:space="preserve">The European Ombudsman opened an </w:t>
      </w:r>
      <w:hyperlink r:id="rId185" w:history="1">
        <w:r w:rsidR="000D25D4" w:rsidRPr="00D404B4">
          <w:rPr>
            <w:rStyle w:val="Hyperlink"/>
          </w:rPr>
          <w:t xml:space="preserve">own-initiative inquiry regarding the inaccessibility of the European Commission’s public </w:t>
        </w:r>
        <w:r w:rsidR="000D25D4" w:rsidRPr="00D404B4">
          <w:rPr>
            <w:rStyle w:val="Hyperlink"/>
          </w:rPr>
          <w:lastRenderedPageBreak/>
          <w:t>websites</w:t>
        </w:r>
      </w:hyperlink>
      <w:r w:rsidR="000D25D4" w:rsidRPr="00D404B4">
        <w:t xml:space="preserve">, including </w:t>
      </w:r>
      <w:r w:rsidR="000D25D4">
        <w:t xml:space="preserve">the </w:t>
      </w:r>
      <w:r w:rsidR="000D25D4" w:rsidRPr="00D404B4">
        <w:t>online tool for registering to participate in expert meetings and online platforms hosted by the Commission to facilitate policy debates. A decision was taken in 2018 with six recommendations for the European Commission to implement, such as the adoption of an action plan on web accessibility, compl</w:t>
      </w:r>
      <w:r w:rsidR="000D25D4">
        <w:t>iance</w:t>
      </w:r>
      <w:r w:rsidR="000D25D4" w:rsidRPr="00D404B4">
        <w:t xml:space="preserve"> with the latest international web accessibility standards, mandatory training for its staff, put</w:t>
      </w:r>
      <w:r w:rsidR="000D25D4">
        <w:t>ting</w:t>
      </w:r>
      <w:r w:rsidR="000D25D4" w:rsidRPr="00D404B4">
        <w:t xml:space="preserve"> ‘accessibility statements’ on its website, and improv</w:t>
      </w:r>
      <w:r w:rsidR="000D25D4">
        <w:t>ing</w:t>
      </w:r>
      <w:r w:rsidR="000D25D4" w:rsidRPr="00D404B4">
        <w:t xml:space="preserve"> the accessibility of the JSIS online internal web tool. </w:t>
      </w:r>
      <w:r w:rsidR="000D25D4">
        <w:t xml:space="preserve"> The</w:t>
      </w:r>
      <w:r w:rsidR="000D25D4">
        <w:rPr>
          <w:lang w:val="en-US"/>
        </w:rPr>
        <w:t xml:space="preserve"> </w:t>
      </w:r>
      <w:hyperlink r:id="rId186" w:history="1">
        <w:r w:rsidR="000D25D4" w:rsidRPr="0024562A">
          <w:rPr>
            <w:rStyle w:val="Hyperlink"/>
            <w:lang w:val="en-US"/>
          </w:rPr>
          <w:t xml:space="preserve">web accessibility action plan </w:t>
        </w:r>
        <w:r w:rsidR="000D25D4">
          <w:rPr>
            <w:rStyle w:val="Hyperlink"/>
            <w:lang w:val="en-US"/>
          </w:rPr>
          <w:t>was released in</w:t>
        </w:r>
        <w:r w:rsidR="000D25D4" w:rsidRPr="0024562A">
          <w:rPr>
            <w:rStyle w:val="Hyperlink"/>
            <w:lang w:val="en-US"/>
          </w:rPr>
          <w:t xml:space="preserve"> 2022</w:t>
        </w:r>
      </w:hyperlink>
      <w:r w:rsidR="000D25D4">
        <w:rPr>
          <w:lang w:val="en-US"/>
        </w:rPr>
        <w:t>, but by the EU’s own admission its Europa.eu sites are only partially accessible.</w:t>
      </w:r>
      <w:r w:rsidR="0020057F">
        <w:rPr>
          <w:rStyle w:val="FootnoteReference"/>
          <w:lang w:val="en-US"/>
        </w:rPr>
        <w:footnoteReference w:id="157"/>
      </w:r>
      <w:r w:rsidR="000D25D4">
        <w:rPr>
          <w:lang w:val="en-US"/>
        </w:rPr>
        <w:t xml:space="preserve"> </w:t>
      </w:r>
      <w:r w:rsidR="00495A28" w:rsidRPr="00D404B4">
        <w:t>In 2019, Siteimprove released the report “</w:t>
      </w:r>
      <w:hyperlink r:id="rId187" w:history="1">
        <w:r w:rsidR="00495A28" w:rsidRPr="00D404B4">
          <w:rPr>
            <w:rStyle w:val="Hyperlink"/>
          </w:rPr>
          <w:t>Democracy, Digital Accessibility and the European Union</w:t>
        </w:r>
      </w:hyperlink>
      <w:r w:rsidR="00495A28" w:rsidRPr="00D404B4">
        <w:t>”</w:t>
      </w:r>
      <w:r w:rsidR="00495A28">
        <w:t>.</w:t>
      </w:r>
      <w:r w:rsidR="00495A28" w:rsidRPr="00D404B4">
        <w:t xml:space="preserve"> The report identified the European Parliament’s website as the website with worst accessibility </w:t>
      </w:r>
      <w:r w:rsidR="00495A28">
        <w:t>compared with</w:t>
      </w:r>
      <w:r w:rsidR="00495A28" w:rsidRPr="00D404B4">
        <w:t xml:space="preserve"> all websites of national parliaments. </w:t>
      </w:r>
      <w:r w:rsidR="00495A28">
        <w:rPr>
          <w:lang w:val="en-US"/>
        </w:rPr>
        <w:t>Following the report, a taskforce was put in place at the European Parliament to improve accessibility of the website: the taskforce is supported by accessibility experts hired externally. However, no monitoring is publicly available.</w:t>
      </w:r>
    </w:p>
    <w:p w14:paraId="6D0EE095" w14:textId="229A87DA" w:rsidR="0007596D" w:rsidRPr="00D404B4" w:rsidRDefault="000D25D4" w:rsidP="00295AA8">
      <w:r>
        <w:rPr>
          <w:lang w:val="en-US"/>
        </w:rPr>
        <w:t xml:space="preserve">These </w:t>
      </w:r>
      <w:r w:rsidR="00E943CA">
        <w:rPr>
          <w:lang w:val="en-US"/>
        </w:rPr>
        <w:t xml:space="preserve">issues are </w:t>
      </w:r>
      <w:r w:rsidR="00E943CA">
        <w:rPr>
          <w:lang w:val="en-US"/>
        </w:rPr>
        <w:t xml:space="preserve">magnified when the </w:t>
      </w:r>
      <w:r w:rsidR="00F31846">
        <w:rPr>
          <w:lang w:val="en-US"/>
        </w:rPr>
        <w:t>user</w:t>
      </w:r>
      <w:r w:rsidR="00E943CA">
        <w:rPr>
          <w:lang w:val="en-US"/>
        </w:rPr>
        <w:t xml:space="preserve"> </w:t>
      </w:r>
      <w:r w:rsidR="00F31846">
        <w:rPr>
          <w:lang w:val="en-US"/>
        </w:rPr>
        <w:t xml:space="preserve">needs </w:t>
      </w:r>
      <w:r w:rsidR="00E943CA">
        <w:rPr>
          <w:lang w:val="en-US"/>
        </w:rPr>
        <w:t xml:space="preserve">not only to access information but also to interact meaning fully with the site, such as by filling </w:t>
      </w:r>
      <w:r w:rsidR="000577DD">
        <w:rPr>
          <w:lang w:val="en-US"/>
        </w:rPr>
        <w:t xml:space="preserve">complex </w:t>
      </w:r>
      <w:r w:rsidR="00E943CA">
        <w:rPr>
          <w:lang w:val="en-US"/>
        </w:rPr>
        <w:t>surveys and forms</w:t>
      </w:r>
      <w:r w:rsidR="000577DD">
        <w:rPr>
          <w:lang w:val="en-US"/>
        </w:rPr>
        <w:t xml:space="preserve">, such as in the </w:t>
      </w:r>
      <w:r w:rsidR="0007596D" w:rsidRPr="00D404B4">
        <w:t>Commission’s online public consultation platform “</w:t>
      </w:r>
      <w:hyperlink r:id="rId188" w:history="1">
        <w:r w:rsidR="0007596D" w:rsidRPr="00D404B4">
          <w:rPr>
            <w:rStyle w:val="Hyperlink"/>
          </w:rPr>
          <w:t>Have your Say</w:t>
        </w:r>
      </w:hyperlink>
      <w:r w:rsidR="0007596D" w:rsidRPr="00D404B4">
        <w:t>”. This creates barriers for participation in EU policy-making both for persons with disabilities as individuals, as well as for organisations of persons with disabilities.</w:t>
      </w:r>
      <w:r w:rsidR="0007596D" w:rsidRPr="00D404B4">
        <w:rPr>
          <w:vertAlign w:val="superscript"/>
        </w:rPr>
        <w:footnoteReference w:id="158"/>
      </w:r>
      <w:r w:rsidR="0007596D" w:rsidRPr="00D404B4">
        <w:t xml:space="preserve"> Questions asking participants</w:t>
      </w:r>
      <w:r w:rsidR="00D80D7B">
        <w:t xml:space="preserve"> their</w:t>
      </w:r>
      <w:r w:rsidR="0007596D" w:rsidRPr="00D404B4">
        <w:t xml:space="preserve"> requirement</w:t>
      </w:r>
      <w:r w:rsidR="00D80D7B">
        <w:t>s</w:t>
      </w:r>
      <w:r w:rsidR="0007596D" w:rsidRPr="00D404B4">
        <w:t xml:space="preserve"> for access services such as live captioning or sign interpretation are not asked in event registration forms </w:t>
      </w:r>
      <w:r w:rsidR="00A60508">
        <w:t>by</w:t>
      </w:r>
      <w:r w:rsidR="0007596D" w:rsidRPr="00D404B4">
        <w:t xml:space="preserve"> default. Often </w:t>
      </w:r>
      <w:r w:rsidR="00B65AC4" w:rsidRPr="00D404B4">
        <w:t xml:space="preserve">video conference </w:t>
      </w:r>
      <w:r w:rsidR="0007596D" w:rsidRPr="00D404B4">
        <w:t>platforms that are not the most accessible for persons with disabilities (</w:t>
      </w:r>
      <w:r w:rsidR="002A402E" w:rsidRPr="00D404B4">
        <w:t>e.g.,</w:t>
      </w:r>
      <w:r w:rsidR="0007596D" w:rsidRPr="00D404B4">
        <w:t xml:space="preserve"> “WebEx</w:t>
      </w:r>
      <w:r w:rsidR="00C676E6">
        <w:t xml:space="preserve"> or Interactio</w:t>
      </w:r>
      <w:r w:rsidR="0007596D" w:rsidRPr="00D404B4">
        <w:t>)” and interactive tools (</w:t>
      </w:r>
      <w:r w:rsidR="002A402E" w:rsidRPr="00D404B4">
        <w:t>e.g.,</w:t>
      </w:r>
      <w:r w:rsidR="0007596D" w:rsidRPr="00D404B4">
        <w:t xml:space="preserve"> mural) are used which are not accessible for all persons with disabilities. </w:t>
      </w:r>
    </w:p>
    <w:p w14:paraId="19BDEF23" w14:textId="42734A4D" w:rsidR="00E6608D" w:rsidRPr="00D404B4" w:rsidRDefault="00596FE5" w:rsidP="00295AA8">
      <w:r>
        <w:t>T</w:t>
      </w:r>
      <w:r w:rsidR="00E6608D" w:rsidRPr="00E6608D">
        <w:t>here are inaccessible computer applications in use</w:t>
      </w:r>
      <w:r w:rsidR="00E6608D">
        <w:t xml:space="preserve"> inside of the institutions</w:t>
      </w:r>
      <w:r w:rsidR="00E6608D" w:rsidRPr="00E6608D">
        <w:t xml:space="preserve"> that make it impossible for persons with disabilities using assistive technologies </w:t>
      </w:r>
      <w:r w:rsidR="00E6608D" w:rsidRPr="00E6608D">
        <w:t xml:space="preserve">such as screen reader users, to access at all, or on an equal basis, certain major professions, </w:t>
      </w:r>
      <w:r w:rsidR="00731A8E" w:rsidRPr="00E6608D">
        <w:t>jobs,</w:t>
      </w:r>
      <w:r w:rsidR="00E6608D" w:rsidRPr="00E6608D">
        <w:t xml:space="preserve"> or outsourced tasks.</w:t>
      </w:r>
    </w:p>
    <w:p w14:paraId="4D5DA69A" w14:textId="22A6A32D" w:rsidR="000E5A74" w:rsidRPr="00D404B4" w:rsidRDefault="00BC78CB" w:rsidP="00295AA8">
      <w:r>
        <w:rPr>
          <w:b/>
        </w:rPr>
        <w:t>We call for:</w:t>
      </w:r>
    </w:p>
    <w:p w14:paraId="4AF8646F" w14:textId="77777777" w:rsidR="00BC78CB" w:rsidRDefault="00AA298A" w:rsidP="0039139A">
      <w:pPr>
        <w:numPr>
          <w:ilvl w:val="0"/>
          <w:numId w:val="12"/>
        </w:numPr>
        <w:spacing w:after="0"/>
      </w:pPr>
      <w:r>
        <w:t>Train</w:t>
      </w:r>
      <w:r w:rsidR="00BC78CB">
        <w:t xml:space="preserve">ing of </w:t>
      </w:r>
      <w:r>
        <w:t>staff working on even organisation, logistics and communications on accessibility and disability-inclusive methodologies.</w:t>
      </w:r>
    </w:p>
    <w:p w14:paraId="32619208" w14:textId="77777777" w:rsidR="00BC78CB" w:rsidRDefault="00BC78CB" w:rsidP="0039139A">
      <w:pPr>
        <w:numPr>
          <w:ilvl w:val="0"/>
          <w:numId w:val="12"/>
        </w:numPr>
        <w:spacing w:after="0"/>
      </w:pPr>
      <w:r>
        <w:t>Swift measures to make</w:t>
      </w:r>
      <w:r w:rsidR="00AA298A" w:rsidRPr="00D054A0">
        <w:t xml:space="preserve"> EU online</w:t>
      </w:r>
      <w:r w:rsidR="00AA298A">
        <w:t xml:space="preserve"> websites,</w:t>
      </w:r>
      <w:r w:rsidR="00AA298A" w:rsidRPr="00D054A0">
        <w:t xml:space="preserve"> consultation tools and processes, including have your say portal, accessible to persons with disabilities. This should include the web portals to comply with digital accessibility requirements and include easy-to-read formats. </w:t>
      </w:r>
    </w:p>
    <w:p w14:paraId="478F6688" w14:textId="5B8C7361" w:rsidR="00AA298A" w:rsidRDefault="00AA298A" w:rsidP="00295AA8">
      <w:pPr>
        <w:numPr>
          <w:ilvl w:val="0"/>
          <w:numId w:val="12"/>
        </w:numPr>
      </w:pPr>
      <w:r>
        <w:t>Regular</w:t>
      </w:r>
      <w:r w:rsidR="00BC78CB">
        <w:t xml:space="preserve"> publication of</w:t>
      </w:r>
      <w:r>
        <w:t xml:space="preserve"> publicly-available monitoring reports regarding the state of accessibility of </w:t>
      </w:r>
      <w:r w:rsidR="00BC78CB">
        <w:t>EU’s</w:t>
      </w:r>
      <w:r>
        <w:t xml:space="preserve"> websites, social media accounts and online platforms and clearly delineate improvement plans.</w:t>
      </w:r>
    </w:p>
    <w:p w14:paraId="5EB8FF6B" w14:textId="77777777" w:rsidR="00837829" w:rsidRPr="00D404B4" w:rsidRDefault="00837829" w:rsidP="00295AA8">
      <w:pPr>
        <w:pStyle w:val="Heading2"/>
        <w:spacing w:line="276" w:lineRule="auto"/>
        <w:rPr>
          <w:lang w:val="en-GB"/>
        </w:rPr>
      </w:pPr>
      <w:bookmarkStart w:id="74" w:name="_Toc179386669"/>
      <w:r w:rsidRPr="00D404B4">
        <w:rPr>
          <w:lang w:val="en-GB"/>
        </w:rPr>
        <w:t>Article 13: Access to justice</w:t>
      </w:r>
      <w:bookmarkEnd w:id="70"/>
      <w:bookmarkEnd w:id="74"/>
    </w:p>
    <w:p w14:paraId="7A2B8CAD" w14:textId="5B0CA362" w:rsidR="00837829" w:rsidRPr="00D404B4" w:rsidRDefault="00837829" w:rsidP="00295AA8">
      <w:r w:rsidRPr="00D404B4">
        <w:t xml:space="preserve">Contrary to the recommendation from the CRPD Committee in 2015, the </w:t>
      </w:r>
      <w:r w:rsidR="00D20490">
        <w:t>Court of Justice of the European Union</w:t>
      </w:r>
      <w:r w:rsidRPr="00D404B4">
        <w:t xml:space="preserve"> do</w:t>
      </w:r>
      <w:r w:rsidR="00D20490">
        <w:t>es</w:t>
      </w:r>
      <w:r w:rsidRPr="00D404B4">
        <w:t xml:space="preserve"> not guarantee full access to justice to persons with disabilities, including those deprived of their legal capacity. Physical and procedural barriers still exist for </w:t>
      </w:r>
      <w:r w:rsidRPr="00D404B4">
        <w:lastRenderedPageBreak/>
        <w:t xml:space="preserve">persons with disabilities, including </w:t>
      </w:r>
      <w:r w:rsidR="00D86E20">
        <w:t xml:space="preserve">those who might wish </w:t>
      </w:r>
      <w:r w:rsidRPr="00D404B4">
        <w:t xml:space="preserve">to work in the court as lawyers, clerks, etc. Persons with disabilities cannot </w:t>
      </w:r>
      <w:r w:rsidR="00D86E20">
        <w:t>play an</w:t>
      </w:r>
      <w:r w:rsidRPr="00D404B4">
        <w:t xml:space="preserve"> active part </w:t>
      </w:r>
      <w:r w:rsidR="00D86E20">
        <w:t>in</w:t>
      </w:r>
      <w:r w:rsidRPr="00D404B4">
        <w:t xml:space="preserve"> the EU justice system. </w:t>
      </w:r>
    </w:p>
    <w:p w14:paraId="6C2EB99F" w14:textId="38D38F78" w:rsidR="000E5A74" w:rsidRPr="00D404B4" w:rsidRDefault="0033287D" w:rsidP="00295AA8">
      <w:r>
        <w:rPr>
          <w:b/>
        </w:rPr>
        <w:t xml:space="preserve">We call for: </w:t>
      </w:r>
    </w:p>
    <w:p w14:paraId="5920395C" w14:textId="163B2479" w:rsidR="00837829" w:rsidRPr="00D404B4" w:rsidRDefault="0033287D" w:rsidP="00295AA8">
      <w:pPr>
        <w:numPr>
          <w:ilvl w:val="0"/>
          <w:numId w:val="12"/>
        </w:numPr>
      </w:pPr>
      <w:r>
        <w:t>Adoption of an action plan to</w:t>
      </w:r>
      <w:r w:rsidR="00837829" w:rsidRPr="00D404B4">
        <w:t xml:space="preserve"> ensure that </w:t>
      </w:r>
      <w:r>
        <w:t>the EU’s</w:t>
      </w:r>
      <w:r w:rsidR="00837829" w:rsidRPr="00D404B4">
        <w:t xml:space="preserve"> justice system</w:t>
      </w:r>
      <w:r w:rsidR="004E5E29">
        <w:t xml:space="preserve"> </w:t>
      </w:r>
      <w:r w:rsidR="00837829" w:rsidRPr="00D404B4">
        <w:t>is fully accessible to all persons with disabilities</w:t>
      </w:r>
    </w:p>
    <w:p w14:paraId="34E405EA" w14:textId="4F4B6CAE" w:rsidR="000D25D4" w:rsidRPr="003B1EB4" w:rsidRDefault="00837829" w:rsidP="003B1EB4">
      <w:pPr>
        <w:pStyle w:val="Heading2"/>
        <w:spacing w:line="276" w:lineRule="auto"/>
        <w:rPr>
          <w:lang w:val="en-GB"/>
        </w:rPr>
      </w:pPr>
      <w:bookmarkStart w:id="75" w:name="_Toc36001175"/>
      <w:bookmarkStart w:id="76" w:name="_Toc179386670"/>
      <w:r w:rsidRPr="00D404B4">
        <w:rPr>
          <w:lang w:val="en-GB"/>
        </w:rPr>
        <w:t>Article 21: Freedom of expression and opinion, and access to information</w:t>
      </w:r>
      <w:bookmarkEnd w:id="75"/>
      <w:bookmarkEnd w:id="76"/>
    </w:p>
    <w:p w14:paraId="36BBECF5" w14:textId="6F6197DA" w:rsidR="00837829" w:rsidRDefault="00837829" w:rsidP="00295AA8">
      <w:r w:rsidRPr="00D404B4">
        <w:t xml:space="preserve">The </w:t>
      </w:r>
      <w:hyperlink r:id="rId189" w:history="1">
        <w:r w:rsidRPr="00D404B4">
          <w:rPr>
            <w:rStyle w:val="Hyperlink"/>
          </w:rPr>
          <w:t>EU Web Accessibility Directive</w:t>
        </w:r>
      </w:hyperlink>
      <w:r w:rsidRPr="00D404B4">
        <w:t xml:space="preserve"> </w:t>
      </w:r>
      <w:r w:rsidR="00B8348E">
        <w:t>establishes</w:t>
      </w:r>
      <w:r w:rsidRPr="00D404B4">
        <w:t xml:space="preserve"> rules to ensure </w:t>
      </w:r>
      <w:r w:rsidR="00B54738">
        <w:t xml:space="preserve">improved accessibility of </w:t>
      </w:r>
      <w:r w:rsidRPr="00D404B4">
        <w:t xml:space="preserve">the websites and mobile applications of public bodies in the EU Member States </w:t>
      </w:r>
      <w:r w:rsidR="00B54738">
        <w:t>t</w:t>
      </w:r>
      <w:r w:rsidRPr="00D404B4">
        <w:t xml:space="preserve">o persons with disabilities. Although this </w:t>
      </w:r>
      <w:r w:rsidR="00B54738">
        <w:t>D</w:t>
      </w:r>
      <w:r w:rsidRPr="00D404B4">
        <w:t>irective applies only to Member States, the EU institutions are encouraged to comply with its requirements.</w:t>
      </w:r>
      <w:r w:rsidR="001C33D2">
        <w:t xml:space="preserve"> As already stated in article 9, EU’s website and social media are not fully compliant with web accessibility guidelines. </w:t>
      </w:r>
    </w:p>
    <w:p w14:paraId="398BC3E9" w14:textId="3026BF69" w:rsidR="00124E85" w:rsidRDefault="001C33D2" w:rsidP="00295AA8">
      <w:r>
        <w:t xml:space="preserve">This lack of compliance extends to other forms of access to information. The </w:t>
      </w:r>
      <w:hyperlink r:id="rId190" w:history="1">
        <w:r w:rsidRPr="001C33D2">
          <w:rPr>
            <w:rStyle w:val="Hyperlink"/>
          </w:rPr>
          <w:t>European Parl</w:t>
        </w:r>
        <w:r w:rsidR="00004CFD">
          <w:rPr>
            <w:rStyle w:val="Hyperlink"/>
          </w:rPr>
          <w:t>ia</w:t>
        </w:r>
        <w:r w:rsidRPr="001C33D2">
          <w:rPr>
            <w:rStyle w:val="Hyperlink"/>
          </w:rPr>
          <w:t>ment’s web</w:t>
        </w:r>
        <w:r w:rsidR="008F640D">
          <w:rPr>
            <w:rStyle w:val="Hyperlink"/>
          </w:rPr>
          <w:t>-</w:t>
        </w:r>
        <w:r w:rsidRPr="001C33D2">
          <w:rPr>
            <w:rStyle w:val="Hyperlink"/>
          </w:rPr>
          <w:t>streams</w:t>
        </w:r>
      </w:hyperlink>
      <w:r>
        <w:t xml:space="preserve"> are consistently inaccessible, lacking captioning and sign language.</w:t>
      </w:r>
      <w:r w:rsidR="00004CFD">
        <w:t xml:space="preserve"> The same happens to the vast majority of the Commission’s audiovisual materials, including its </w:t>
      </w:r>
      <w:r w:rsidR="008F640D">
        <w:t>web-streaming</w:t>
      </w:r>
      <w:r w:rsidR="00004CFD">
        <w:t xml:space="preserve"> service “</w:t>
      </w:r>
      <w:hyperlink r:id="rId191" w:history="1">
        <w:r w:rsidR="00004CFD" w:rsidRPr="00004CFD">
          <w:rPr>
            <w:rStyle w:val="Hyperlink"/>
          </w:rPr>
          <w:t>Europe by Satellite</w:t>
        </w:r>
      </w:hyperlink>
      <w:r w:rsidR="008F640D">
        <w:t>”</w:t>
      </w:r>
      <w:r w:rsidR="00F57500">
        <w:t xml:space="preserve">. The same is </w:t>
      </w:r>
      <w:hyperlink r:id="rId192" w:history="1">
        <w:r w:rsidR="00F57500" w:rsidRPr="00F57500">
          <w:rPr>
            <w:rStyle w:val="Hyperlink"/>
          </w:rPr>
          <w:t>true for the European Council</w:t>
        </w:r>
      </w:hyperlink>
      <w:r w:rsidR="00F57500">
        <w:t>.</w:t>
      </w:r>
      <w:r w:rsidR="00124E85">
        <w:t xml:space="preserve"> </w:t>
      </w:r>
      <w:r w:rsidR="00F57500">
        <w:t xml:space="preserve">Recorded video messages are also seldomly accessible, and those that are, focus on disability-specific themes. </w:t>
      </w:r>
      <w:r w:rsidR="00413F81">
        <w:t>Very few videos are audio-described.</w:t>
      </w:r>
    </w:p>
    <w:p w14:paraId="3F4A3E1A" w14:textId="09E17326" w:rsidR="00F57500" w:rsidRPr="00D404B4" w:rsidRDefault="00F57500" w:rsidP="00295AA8">
      <w:r>
        <w:t>The only notable exception</w:t>
      </w:r>
      <w:r w:rsidR="001A0301">
        <w:t xml:space="preserve">s include </w:t>
      </w:r>
      <w:r>
        <w:t xml:space="preserve">the flagship State of the European Union – its 2023 edition was </w:t>
      </w:r>
      <w:hyperlink r:id="rId193" w:history="1">
        <w:r w:rsidR="001A0301" w:rsidRPr="006C431D">
          <w:rPr>
            <w:rStyle w:val="Hyperlink"/>
          </w:rPr>
          <w:t xml:space="preserve">partly </w:t>
        </w:r>
        <w:r w:rsidRPr="006C431D">
          <w:rPr>
            <w:rStyle w:val="Hyperlink"/>
          </w:rPr>
          <w:t>accessible</w:t>
        </w:r>
      </w:hyperlink>
      <w:r>
        <w:t xml:space="preserve"> following </w:t>
      </w:r>
      <w:hyperlink r:id="rId194" w:history="1">
        <w:r w:rsidRPr="00124E85">
          <w:rPr>
            <w:rStyle w:val="Hyperlink"/>
          </w:rPr>
          <w:t xml:space="preserve">pressure by </w:t>
        </w:r>
        <w:r w:rsidR="001A0301" w:rsidRPr="00124E85">
          <w:rPr>
            <w:rStyle w:val="Hyperlink"/>
          </w:rPr>
          <w:t>disability organisations</w:t>
        </w:r>
      </w:hyperlink>
      <w:r w:rsidR="001A0301">
        <w:t xml:space="preserve"> and </w:t>
      </w:r>
      <w:hyperlink r:id="rId195" w:history="1">
        <w:r w:rsidR="001A0301" w:rsidRPr="00124E85">
          <w:rPr>
            <w:rStyle w:val="Hyperlink"/>
          </w:rPr>
          <w:t>exposure in media</w:t>
        </w:r>
      </w:hyperlink>
      <w:r w:rsidR="001A0301">
        <w:t xml:space="preserve"> – and the debate of lead candidates for the European elections organised by the European </w:t>
      </w:r>
      <w:r w:rsidR="006C431D">
        <w:t>Parliament, which included real-time captioning and international sign.</w:t>
      </w:r>
    </w:p>
    <w:p w14:paraId="0BE4A341" w14:textId="68426DEC" w:rsidR="000D25D4" w:rsidRPr="00110C13" w:rsidRDefault="000D25D4" w:rsidP="00295AA8">
      <w:pPr>
        <w:rPr>
          <w:lang w:val="en-US"/>
        </w:rPr>
      </w:pPr>
      <w:r>
        <w:rPr>
          <w:lang w:val="en-US"/>
        </w:rPr>
        <w:t xml:space="preserve">The European Commission website has also </w:t>
      </w:r>
      <w:hyperlink r:id="rId196" w:history="1">
        <w:r w:rsidRPr="00D75A94">
          <w:rPr>
            <w:rStyle w:val="Hyperlink"/>
            <w:lang w:val="en-US"/>
          </w:rPr>
          <w:t>now a page in Easy to read explaining the EU</w:t>
        </w:r>
      </w:hyperlink>
      <w:r>
        <w:rPr>
          <w:lang w:val="en-US"/>
        </w:rPr>
        <w:t>. However, efforts seem to be limited to disability-specific topics and are still far from an universal norm.</w:t>
      </w:r>
    </w:p>
    <w:p w14:paraId="71AE1974" w14:textId="223A1AA4" w:rsidR="0007596D" w:rsidRPr="00D404B4" w:rsidRDefault="0007596D" w:rsidP="00295AA8">
      <w:pPr>
        <w:spacing w:afterLines="120" w:after="288"/>
      </w:pPr>
      <w:r w:rsidRPr="00D404B4">
        <w:t xml:space="preserve">Capacity-building and training materials, public campaigns, </w:t>
      </w:r>
      <w:r w:rsidR="00731A8E" w:rsidRPr="00D404B4">
        <w:t>statements,</w:t>
      </w:r>
      <w:r w:rsidRPr="00D404B4">
        <w:t xml:space="preserve"> and other documents published by the European Union institutions are often not available in accessible formats. </w:t>
      </w:r>
      <w:r w:rsidR="001638D6" w:rsidRPr="00D404B4">
        <w:t>For example, a</w:t>
      </w:r>
      <w:r w:rsidRPr="00D404B4">
        <w:t>t the beginning of the</w:t>
      </w:r>
      <w:r w:rsidR="00160B35" w:rsidRPr="00D404B4">
        <w:t xml:space="preserve"> COVID-19</w:t>
      </w:r>
      <w:r w:rsidRPr="00D404B4">
        <w:t xml:space="preserve"> pandemic the EU leaders made a series of public and</w:t>
      </w:r>
      <w:r w:rsidR="00160B35" w:rsidRPr="00D404B4">
        <w:t xml:space="preserve"> </w:t>
      </w:r>
      <w:r w:rsidRPr="00D404B4">
        <w:t>high-level statements to Europeans about the pandemic and failed to ensure these statements were accessible to persons with disabilities with interpretation in International Sign</w:t>
      </w:r>
      <w:r w:rsidR="00210D2B">
        <w:t>,</w:t>
      </w:r>
      <w:r w:rsidRPr="00D404B4">
        <w:t xml:space="preserve"> captioning, and Easy-to-Read information. This has been rectified after advocacy from the disability community.</w:t>
      </w:r>
      <w:r w:rsidR="001638D6" w:rsidRPr="00D404B4">
        <w:t xml:space="preserve"> However, in general</w:t>
      </w:r>
      <w:r w:rsidR="00210D2B">
        <w:t>,</w:t>
      </w:r>
      <w:r w:rsidR="001638D6" w:rsidRPr="00D404B4">
        <w:t xml:space="preserve"> statements by EU Commissioners are seldom accessible to Deaf and hard of hearing people and little information is available in Easy-to-Read format. </w:t>
      </w:r>
    </w:p>
    <w:p w14:paraId="0C922E3A" w14:textId="767AEBDD" w:rsidR="000E5A74" w:rsidRPr="00D404B4" w:rsidRDefault="009A0993" w:rsidP="00295AA8">
      <w:r>
        <w:rPr>
          <w:b/>
        </w:rPr>
        <w:t xml:space="preserve">We call for: </w:t>
      </w:r>
    </w:p>
    <w:p w14:paraId="1651A250" w14:textId="79BE9A49" w:rsidR="00210D2B" w:rsidRDefault="00413F81" w:rsidP="009A0993">
      <w:pPr>
        <w:pStyle w:val="ListParagraph"/>
        <w:numPr>
          <w:ilvl w:val="0"/>
          <w:numId w:val="12"/>
        </w:numPr>
        <w:spacing w:after="0"/>
        <w:contextualSpacing w:val="0"/>
      </w:pPr>
      <w:r>
        <w:t xml:space="preserve">Increase </w:t>
      </w:r>
      <w:r w:rsidR="00FD2BEF">
        <w:t>of t</w:t>
      </w:r>
      <w:r>
        <w:t>he amount of information available in Easy to read, including by developing an Easy-to-read repository to ensure persons find the information.</w:t>
      </w:r>
    </w:p>
    <w:p w14:paraId="66B641EE" w14:textId="052ACE68" w:rsidR="00413F81" w:rsidRPr="00D404B4" w:rsidRDefault="00FD2BEF" w:rsidP="00295AA8">
      <w:pPr>
        <w:pStyle w:val="ListParagraph"/>
        <w:numPr>
          <w:ilvl w:val="0"/>
          <w:numId w:val="12"/>
        </w:numPr>
        <w:contextualSpacing w:val="0"/>
      </w:pPr>
      <w:r>
        <w:t>A</w:t>
      </w:r>
      <w:r w:rsidR="00413F81">
        <w:t>ccessibility of multimedia materials, including its live webstreams, by hiring providers to arrange audio-description, sign interpretation and captioning, including in all the EU’s official languages and on sign languages recognised by EU Member States.</w:t>
      </w:r>
    </w:p>
    <w:p w14:paraId="071263D6" w14:textId="563EBDA3" w:rsidR="00837829" w:rsidRPr="00D404B4" w:rsidRDefault="00837829" w:rsidP="00295AA8">
      <w:pPr>
        <w:pStyle w:val="Heading2"/>
        <w:spacing w:line="276" w:lineRule="auto"/>
        <w:rPr>
          <w:lang w:val="en-GB"/>
        </w:rPr>
      </w:pPr>
      <w:bookmarkStart w:id="77" w:name="_Toc36001176"/>
      <w:bookmarkStart w:id="78" w:name="_Toc179386671"/>
      <w:r w:rsidRPr="00D404B4">
        <w:rPr>
          <w:lang w:val="en-GB"/>
        </w:rPr>
        <w:lastRenderedPageBreak/>
        <w:t xml:space="preserve">Article 24: </w:t>
      </w:r>
      <w:r w:rsidR="00A94AC7">
        <w:rPr>
          <w:lang w:val="en-GB"/>
        </w:rPr>
        <w:t>E</w:t>
      </w:r>
      <w:r w:rsidRPr="00D404B4">
        <w:rPr>
          <w:lang w:val="en-GB"/>
        </w:rPr>
        <w:t>ducation</w:t>
      </w:r>
      <w:bookmarkEnd w:id="77"/>
      <w:bookmarkEnd w:id="78"/>
      <w:r w:rsidRPr="00D404B4">
        <w:rPr>
          <w:lang w:val="en-GB"/>
        </w:rPr>
        <w:t xml:space="preserve"> </w:t>
      </w:r>
    </w:p>
    <w:p w14:paraId="1A49439D" w14:textId="0ED1CC32" w:rsidR="00903B2B" w:rsidRPr="00D404B4" w:rsidRDefault="00837829" w:rsidP="00295AA8">
      <w:r w:rsidRPr="00D404B4">
        <w:t>Children with disabilities still face difficulties to access European schools of the EU institutions</w:t>
      </w:r>
      <w:r w:rsidR="00903B2B" w:rsidRPr="00D404B4">
        <w:rPr>
          <w:rStyle w:val="FootnoteReference"/>
        </w:rPr>
        <w:footnoteReference w:id="159"/>
      </w:r>
      <w:r w:rsidRPr="00D404B4">
        <w:t xml:space="preserve"> because of discrimination, </w:t>
      </w:r>
      <w:r w:rsidR="00731A8E" w:rsidRPr="00D404B4">
        <w:t>inaccessibility,</w:t>
      </w:r>
      <w:r w:rsidRPr="00D404B4">
        <w:t xml:space="preserve"> and failure to provide reasonable accommodation</w:t>
      </w:r>
      <w:r w:rsidR="00B54738" w:rsidRPr="00B54738">
        <w:t xml:space="preserve">, as well as the lack of an alternative certification to the European </w:t>
      </w:r>
      <w:r w:rsidR="00B54738" w:rsidRPr="00B54738">
        <w:rPr>
          <w:i/>
          <w:iCs/>
        </w:rPr>
        <w:t>Baccalaureat</w:t>
      </w:r>
      <w:r w:rsidRPr="00D404B4">
        <w:t xml:space="preserve">. </w:t>
      </w:r>
      <w:r w:rsidR="00B54738">
        <w:t>The e</w:t>
      </w:r>
      <w:r w:rsidR="008663EF" w:rsidRPr="00D404B4">
        <w:t>xclusion of children with disabilities was highlighted in an</w:t>
      </w:r>
      <w:r w:rsidRPr="00D404B4">
        <w:t xml:space="preserve"> EDF’s joint report with Human Rights Watch </w:t>
      </w:r>
      <w:hyperlink r:id="rId197" w:history="1">
        <w:r w:rsidRPr="00D404B4">
          <w:rPr>
            <w:rStyle w:val="Hyperlink"/>
          </w:rPr>
          <w:t>“Sink or Swim”: Barriers for Children with Disabilities in the European School System”</w:t>
        </w:r>
      </w:hyperlink>
      <w:r w:rsidR="00903B2B" w:rsidRPr="00D404B4">
        <w:rPr>
          <w:rStyle w:val="Hyperlink"/>
          <w:color w:val="auto"/>
          <w:u w:val="none"/>
        </w:rPr>
        <w:t xml:space="preserve"> published in 2018</w:t>
      </w:r>
      <w:r w:rsidRPr="00D404B4">
        <w:t>.</w:t>
      </w:r>
      <w:r w:rsidR="00903B2B" w:rsidRPr="00D404B4">
        <w:t xml:space="preserve"> </w:t>
      </w:r>
    </w:p>
    <w:p w14:paraId="08DD56D4" w14:textId="6B95C6A6" w:rsidR="00B54738" w:rsidRDefault="00F27B3B" w:rsidP="00295AA8">
      <w:r w:rsidRPr="00F27B3B">
        <w:t xml:space="preserve">Since the 2015 Concluding recommendations and the publication of the joint report, the European Schools reviewed their rejection policy of children with disabilities </w:t>
      </w:r>
      <w:r w:rsidR="00320CDB">
        <w:t xml:space="preserve">and set up a </w:t>
      </w:r>
      <w:r w:rsidR="00320CDB" w:rsidRPr="00320CDB">
        <w:t>dedicated Working Group on the European Schools</w:t>
      </w:r>
      <w:r w:rsidR="00320CDB">
        <w:t>, however issues still persist and children with disabilities still fail to see necessary accommodations made for their learning</w:t>
      </w:r>
      <w:r w:rsidR="0039762C">
        <w:t xml:space="preserve"> and inclusion</w:t>
      </w:r>
      <w:r w:rsidR="00320CDB">
        <w:t>.</w:t>
      </w:r>
    </w:p>
    <w:p w14:paraId="6856DF9E" w14:textId="73C27508" w:rsidR="00F27B3B" w:rsidRDefault="00306327" w:rsidP="00295AA8">
      <w:r w:rsidRPr="00306327">
        <w:t xml:space="preserve">According to a </w:t>
      </w:r>
      <w:r w:rsidRPr="007237A2">
        <w:rPr>
          <w:highlight w:val="yellow"/>
        </w:rPr>
        <w:t>report published in May 2021</w:t>
      </w:r>
      <w:r w:rsidRPr="00306327">
        <w:t>, during the 2019-2020 school year, out of a total of 27,841 students</w:t>
      </w:r>
      <w:r w:rsidRPr="00306327">
        <w:rPr>
          <w:vertAlign w:val="superscript"/>
        </w:rPr>
        <w:footnoteReference w:id="160"/>
      </w:r>
      <w:r w:rsidRPr="00306327">
        <w:t xml:space="preserve"> 1,379 were receiving intensive support type A</w:t>
      </w:r>
      <w:r>
        <w:rPr>
          <w:rStyle w:val="FootnoteReference"/>
        </w:rPr>
        <w:footnoteReference w:id="161"/>
      </w:r>
      <w:r>
        <w:t xml:space="preserve"> </w:t>
      </w:r>
      <w:r w:rsidRPr="00306327">
        <w:t>and 1 child with special educational needs was refused admission.</w:t>
      </w:r>
      <w:r w:rsidRPr="00306327">
        <w:rPr>
          <w:vertAlign w:val="superscript"/>
        </w:rPr>
        <w:footnoteReference w:id="162"/>
      </w:r>
      <w:r w:rsidRPr="00306327">
        <w:t xml:space="preserve"> </w:t>
      </w:r>
      <w:r w:rsidR="00E91516">
        <w:t>B</w:t>
      </w:r>
      <w:r w:rsidRPr="00306327">
        <w:t xml:space="preserve">ecause of the lack of inclusive education some parents abstain from enrolling their child with </w:t>
      </w:r>
      <w:r>
        <w:t>disabilities</w:t>
      </w:r>
      <w:r w:rsidRPr="00306327">
        <w:t xml:space="preserve"> in the European Schools</w:t>
      </w:r>
      <w:r w:rsidR="004D5970">
        <w:t>, quit their job and leave the country</w:t>
      </w:r>
      <w:r w:rsidRPr="00306327">
        <w:t>. Each year</w:t>
      </w:r>
      <w:r w:rsidR="008842D6">
        <w:t>,</w:t>
      </w:r>
      <w:r w:rsidRPr="00306327">
        <w:t xml:space="preserve"> a number of students with disabilities leave the European Schools and move to another school because of their special educational needs (45 pupils in the school year 2019-2020). The European Schools do not investigate the related reasons. </w:t>
      </w:r>
      <w:r w:rsidR="00F27B3B" w:rsidRPr="00F27B3B">
        <w:t xml:space="preserve">As a majority of staff works and lives in Brussels and surroundings, most pupils are diverted to the Belgian French speaking school system which fails to provide inclusive school system compliant with </w:t>
      </w:r>
      <w:r w:rsidR="00F27B3B">
        <w:t>the</w:t>
      </w:r>
      <w:r w:rsidR="00F27B3B" w:rsidRPr="00F27B3B">
        <w:t xml:space="preserve"> CRPD</w:t>
      </w:r>
      <w:r w:rsidR="00F27B3B">
        <w:t>.</w:t>
      </w:r>
      <w:r w:rsidR="00F27B3B" w:rsidRPr="00F27B3B">
        <w:rPr>
          <w:vertAlign w:val="superscript"/>
        </w:rPr>
        <w:footnoteReference w:id="163"/>
      </w:r>
      <w:r w:rsidR="00F27B3B" w:rsidRPr="00F27B3B">
        <w:t xml:space="preserve"> Staff of EU institutions </w:t>
      </w:r>
      <w:r w:rsidR="00E91516">
        <w:t>may also</w:t>
      </w:r>
      <w:r w:rsidR="00F27B3B" w:rsidRPr="00F27B3B">
        <w:t xml:space="preserve"> decide to return to their Member States, thus quitting their jobs. </w:t>
      </w:r>
    </w:p>
    <w:p w14:paraId="21DBC779" w14:textId="06C03FD4" w:rsidR="009B595A" w:rsidRDefault="009B595A" w:rsidP="00295AA8">
      <w:r w:rsidRPr="009B595A">
        <w:t xml:space="preserve">In 2019, the Board of Governors of the European Schools adopted an </w:t>
      </w:r>
      <w:hyperlink r:id="rId198" w:history="1">
        <w:r w:rsidRPr="009B595A">
          <w:rPr>
            <w:rStyle w:val="Hyperlink"/>
          </w:rPr>
          <w:t>Action Plan on Educational Support and Inclusive Education.</w:t>
        </w:r>
      </w:hyperlink>
      <w:r w:rsidRPr="009B595A">
        <w:t xml:space="preserve"> The European Schools are currently in the process of implementing the related actions</w:t>
      </w:r>
      <w:r w:rsidR="00320CDB">
        <w:t xml:space="preserve">. </w:t>
      </w:r>
      <w:r w:rsidRPr="009B595A">
        <w:t xml:space="preserve">While a number of actions led to new policy guidance in various areas of inclusive education, those did not yet translate into concrete improvements of the situation on the ground. A major problem is the lack of monitoring when it comes to implementation at </w:t>
      </w:r>
      <w:r w:rsidR="006E1FE3" w:rsidRPr="009B595A">
        <w:t>schools’</w:t>
      </w:r>
      <w:r w:rsidRPr="009B595A">
        <w:t xml:space="preserve"> level. </w:t>
      </w:r>
    </w:p>
    <w:p w14:paraId="1D2A67CB" w14:textId="1C2A2E84" w:rsidR="006E1FE3" w:rsidRDefault="006E1FE3" w:rsidP="00295AA8">
      <w:r w:rsidRPr="006E1FE3">
        <w:t>There are</w:t>
      </w:r>
      <w:r w:rsidR="001E028F">
        <w:t xml:space="preserve"> also</w:t>
      </w:r>
      <w:r w:rsidRPr="006E1FE3">
        <w:t xml:space="preserve"> some key actions in the Action Plan, which have not yet been starting, notably those related to the creation of two new </w:t>
      </w:r>
      <w:r>
        <w:t xml:space="preserve">education </w:t>
      </w:r>
      <w:r w:rsidRPr="006E1FE3">
        <w:t>certificates and to the introduction of some flexibility to the curriculum.</w:t>
      </w:r>
      <w:r>
        <w:rPr>
          <w:rStyle w:val="FootnoteReference"/>
        </w:rPr>
        <w:footnoteReference w:id="164"/>
      </w:r>
      <w:r w:rsidRPr="006E1FE3">
        <w:t xml:space="preserve"> </w:t>
      </w:r>
      <w:r>
        <w:t xml:space="preserve">In addition, the </w:t>
      </w:r>
      <w:r w:rsidRPr="006E1FE3">
        <w:t xml:space="preserve">European Schools still lack qualified educational support staff. In </w:t>
      </w:r>
      <w:r w:rsidRPr="00EE0800">
        <w:rPr>
          <w:highlight w:val="yellow"/>
        </w:rPr>
        <w:t>the school year 2019-2020</w:t>
      </w:r>
      <w:r w:rsidRPr="006E1FE3">
        <w:t xml:space="preserve">, only 21.3% of support teachers had </w:t>
      </w:r>
      <w:r w:rsidRPr="006E1FE3">
        <w:lastRenderedPageBreak/>
        <w:t>additional qualifications for teaching pupils with special educational needs and only 59.5% of support coordinators had the qualifications required to teach pupils with special educational needs.</w:t>
      </w:r>
      <w:r>
        <w:rPr>
          <w:rStyle w:val="FootnoteReference"/>
        </w:rPr>
        <w:footnoteReference w:id="165"/>
      </w:r>
    </w:p>
    <w:p w14:paraId="7A134AB8" w14:textId="2AE7ACBD" w:rsidR="001E028F" w:rsidRPr="00F27B3B" w:rsidRDefault="001E028F" w:rsidP="00295AA8">
      <w:r w:rsidRPr="001E028F">
        <w:t>The European Schools lack proper mechanisms through which to challenge and to appeal decisions concerning inclusive education.</w:t>
      </w:r>
      <w:r w:rsidR="00DE3E7C">
        <w:rPr>
          <w:rStyle w:val="FootnoteReference"/>
        </w:rPr>
        <w:footnoteReference w:id="166"/>
      </w:r>
    </w:p>
    <w:p w14:paraId="143C729E" w14:textId="685D0300" w:rsidR="00DE3E7C" w:rsidRDefault="00DE3E7C" w:rsidP="00295AA8">
      <w:r w:rsidRPr="00DE3E7C">
        <w:t xml:space="preserve">The </w:t>
      </w:r>
      <w:hyperlink r:id="rId199" w:history="1">
        <w:r w:rsidRPr="00871A22">
          <w:rPr>
            <w:rStyle w:val="Hyperlink"/>
            <w:highlight w:val="yellow"/>
          </w:rPr>
          <w:t>Annual plan 2021</w:t>
        </w:r>
        <w:r w:rsidRPr="00DE3E7C">
          <w:rPr>
            <w:rStyle w:val="Hyperlink"/>
          </w:rPr>
          <w:t xml:space="preserve"> of the Office of the Secretary-General of the European Schools</w:t>
        </w:r>
      </w:hyperlink>
      <w:r w:rsidRPr="00DE3E7C">
        <w:t xml:space="preserve"> envisaged an analysis of the concrete barriers to the curriculum for children with disabilities. It is not clear to which extent this has been carried out</w:t>
      </w:r>
      <w:r>
        <w:t xml:space="preserve">. </w:t>
      </w:r>
    </w:p>
    <w:p w14:paraId="65AC1FAD" w14:textId="6CD753F1" w:rsidR="000E5A74" w:rsidRPr="00D404B4" w:rsidRDefault="00D8068B" w:rsidP="00295AA8">
      <w:r>
        <w:rPr>
          <w:b/>
        </w:rPr>
        <w:t xml:space="preserve">We call for: </w:t>
      </w:r>
    </w:p>
    <w:p w14:paraId="1F33D744" w14:textId="7EE37772" w:rsidR="000E5A74" w:rsidRPr="00D404B4" w:rsidRDefault="00AA7855" w:rsidP="00D8068B">
      <w:pPr>
        <w:numPr>
          <w:ilvl w:val="0"/>
          <w:numId w:val="12"/>
        </w:numPr>
        <w:spacing w:after="0"/>
      </w:pPr>
      <w:r>
        <w:rPr>
          <w:lang w:val="en-US"/>
        </w:rPr>
        <w:t>Take further and more decisive actions to r</w:t>
      </w:r>
      <w:r w:rsidR="00945933" w:rsidRPr="00945933">
        <w:rPr>
          <w:lang w:val="en-US"/>
        </w:rPr>
        <w:t>emove the barriers which prevent students with disabilities to enjoy their right to inclusive quality education in the European schools (fully qualified educational support staff, create alternative certificates to the Baccalaureate, introduce flexibility to the curriculum, offer a proper appeal mechanism)</w:t>
      </w:r>
      <w:r>
        <w:rPr>
          <w:lang w:val="en-US"/>
        </w:rPr>
        <w:t>.</w:t>
      </w:r>
    </w:p>
    <w:p w14:paraId="674AACE8" w14:textId="4161F4A6" w:rsidR="00945933" w:rsidRPr="00945933" w:rsidRDefault="00AA7855" w:rsidP="00295AA8">
      <w:pPr>
        <w:pStyle w:val="ListParagraph"/>
        <w:numPr>
          <w:ilvl w:val="0"/>
          <w:numId w:val="12"/>
        </w:numPr>
        <w:contextualSpacing w:val="0"/>
      </w:pPr>
      <w:r>
        <w:t>I</w:t>
      </w:r>
      <w:r w:rsidR="00945933" w:rsidRPr="00945933">
        <w:t>mplement a non-rejection policy on the grounds of disability and to prevent that students with disabilit</w:t>
      </w:r>
      <w:r w:rsidR="00945933">
        <w:t>ies</w:t>
      </w:r>
      <w:r w:rsidR="00945933" w:rsidRPr="00945933">
        <w:t xml:space="preserve"> leave the European Schools because of insufficient inclusive quality education</w:t>
      </w:r>
      <w:r>
        <w:t>.</w:t>
      </w:r>
    </w:p>
    <w:p w14:paraId="6A01E581" w14:textId="77777777" w:rsidR="00837829" w:rsidRPr="00D404B4" w:rsidRDefault="00837829" w:rsidP="00295AA8">
      <w:pPr>
        <w:pStyle w:val="Heading2"/>
        <w:spacing w:line="276" w:lineRule="auto"/>
        <w:rPr>
          <w:lang w:val="en-GB"/>
        </w:rPr>
      </w:pPr>
      <w:bookmarkStart w:id="79" w:name="_Article_25:_Health"/>
      <w:bookmarkStart w:id="80" w:name="Article_25"/>
      <w:bookmarkStart w:id="81" w:name="Part_2_Article_25"/>
      <w:bookmarkStart w:id="82" w:name="_Toc36001177"/>
      <w:bookmarkStart w:id="83" w:name="_Toc179386672"/>
      <w:bookmarkEnd w:id="79"/>
      <w:r w:rsidRPr="00D404B4">
        <w:rPr>
          <w:lang w:val="en-GB"/>
        </w:rPr>
        <w:t>Article 25</w:t>
      </w:r>
      <w:bookmarkEnd w:id="80"/>
      <w:bookmarkEnd w:id="81"/>
      <w:r w:rsidRPr="00D404B4">
        <w:rPr>
          <w:lang w:val="en-GB"/>
        </w:rPr>
        <w:t>: Health</w:t>
      </w:r>
      <w:bookmarkEnd w:id="82"/>
      <w:bookmarkEnd w:id="83"/>
    </w:p>
    <w:p w14:paraId="3B37172C" w14:textId="1623F587" w:rsidR="00837829" w:rsidRDefault="00837829" w:rsidP="00295AA8">
      <w:r w:rsidRPr="00D404B4">
        <w:t>The CRPD Committee recommended</w:t>
      </w:r>
      <w:r w:rsidR="00E878A1">
        <w:t xml:space="preserve"> that</w:t>
      </w:r>
      <w:r w:rsidRPr="00D404B4">
        <w:t xml:space="preserve"> the</w:t>
      </w:r>
      <w:r w:rsidR="00643DE2">
        <w:t xml:space="preserve"> </w:t>
      </w:r>
      <w:r w:rsidRPr="00D404B4">
        <w:t>EU revise its health insurance scheme for EU staff members</w:t>
      </w:r>
      <w:r w:rsidR="007346BF" w:rsidRPr="00D404B4">
        <w:t xml:space="preserve"> and their relatives</w:t>
      </w:r>
      <w:r w:rsidRPr="00D404B4">
        <w:t xml:space="preserve">, the Joint Sickness Insurance Scheme (JSIS), to </w:t>
      </w:r>
      <w:r w:rsidR="00E878A1">
        <w:t>provide</w:t>
      </w:r>
      <w:r w:rsidRPr="00D404B4">
        <w:t xml:space="preserve"> comprehensive coverage for disability-related health needs.</w:t>
      </w:r>
      <w:r w:rsidR="00801E3A" w:rsidRPr="00D404B4">
        <w:t xml:space="preserve"> </w:t>
      </w:r>
      <w:r w:rsidRPr="00D404B4">
        <w:t xml:space="preserve">The European Ombudsman, </w:t>
      </w:r>
      <w:r w:rsidR="007346BF" w:rsidRPr="00D404B4">
        <w:t>conducted a</w:t>
      </w:r>
      <w:r w:rsidRPr="00D404B4">
        <w:t xml:space="preserve"> </w:t>
      </w:r>
      <w:hyperlink r:id="rId200" w:history="1">
        <w:r w:rsidRPr="00D404B4">
          <w:rPr>
            <w:rStyle w:val="Hyperlink"/>
          </w:rPr>
          <w:t xml:space="preserve">strategic </w:t>
        </w:r>
        <w:r w:rsidR="00801E3A" w:rsidRPr="00D404B4">
          <w:rPr>
            <w:rStyle w:val="Hyperlink"/>
          </w:rPr>
          <w:t>inquiry</w:t>
        </w:r>
      </w:hyperlink>
      <w:r w:rsidR="00801E3A" w:rsidRPr="00D404B4">
        <w:t xml:space="preserve"> </w:t>
      </w:r>
      <w:r w:rsidR="007346BF" w:rsidRPr="00D404B4">
        <w:t>on the issue and concluded</w:t>
      </w:r>
      <w:r w:rsidRPr="00D404B4">
        <w:t xml:space="preserve"> that the failure of the European Commission to take any effective action in response to the Committee’s recommendation amounted to maladministration. She recommended that the Commission revise the rules governing the JSIS and made </w:t>
      </w:r>
      <w:r w:rsidR="002533AD" w:rsidRPr="00D404B4">
        <w:t>several</w:t>
      </w:r>
      <w:r w:rsidRPr="00D404B4">
        <w:t xml:space="preserve"> suggestions to the Commission relating to how the needs of persons with disabilities are covered under the JSIS, as well as on the need to train staff and properly consult </w:t>
      </w:r>
      <w:r w:rsidR="00E878A1">
        <w:t xml:space="preserve">with </w:t>
      </w:r>
      <w:r w:rsidRPr="00D404B4">
        <w:t xml:space="preserve">stakeholders to ensure </w:t>
      </w:r>
      <w:r w:rsidR="00E878A1">
        <w:t xml:space="preserve">that </w:t>
      </w:r>
      <w:r w:rsidRPr="00D404B4">
        <w:t xml:space="preserve">the JSIS reflects the needs of persons with disabilities. </w:t>
      </w:r>
      <w:r w:rsidR="00E878A1">
        <w:t xml:space="preserve">It was reported to EDF </w:t>
      </w:r>
      <w:r w:rsidR="00347AA5">
        <w:t xml:space="preserve">that these recommendations were not adequately addressed by the EU institutions. </w:t>
      </w:r>
    </w:p>
    <w:p w14:paraId="33EEB792" w14:textId="341BA8D3" w:rsidR="00347AA5" w:rsidRDefault="00347AA5" w:rsidP="00295AA8">
      <w:r w:rsidRPr="00347AA5">
        <w:rPr>
          <w:lang w:val="en-US"/>
        </w:rPr>
        <w:t xml:space="preserve">In particular, the European Commission’s limited revision of the JSIS General Implementing Provisions as regards the implementation of the serious illness criteria in the case of disability </w:t>
      </w:r>
      <w:r w:rsidRPr="00347AA5">
        <w:t>was insufficient and did not resolve the underlining problem that the criteria are not suited for assessing disability-related health needs.</w:t>
      </w:r>
      <w:r w:rsidRPr="00347AA5">
        <w:rPr>
          <w:lang w:val="en-US"/>
        </w:rPr>
        <w:t xml:space="preserve"> The EU </w:t>
      </w:r>
      <w:r>
        <w:rPr>
          <w:lang w:val="en-US"/>
        </w:rPr>
        <w:t>i</w:t>
      </w:r>
      <w:r w:rsidRPr="00347AA5">
        <w:rPr>
          <w:lang w:val="en-US"/>
        </w:rPr>
        <w:t xml:space="preserve">nstitutions have yet to </w:t>
      </w:r>
      <w:r w:rsidRPr="00347AA5">
        <w:t xml:space="preserve">establish a comprehensive social protection system, covering both medical and non-medical costs, for </w:t>
      </w:r>
      <w:r w:rsidRPr="00347AA5">
        <w:lastRenderedPageBreak/>
        <w:t xml:space="preserve">staff with disabilities and staff with dependents with disabilities, so as to implement the </w:t>
      </w:r>
      <w:r>
        <w:t>human rights-based</w:t>
      </w:r>
      <w:r w:rsidRPr="00347AA5">
        <w:t xml:space="preserve"> approach.</w:t>
      </w:r>
    </w:p>
    <w:p w14:paraId="2428751B" w14:textId="19861E6E" w:rsidR="00347AA5" w:rsidRPr="00D404B4" w:rsidRDefault="00347AA5" w:rsidP="00295AA8">
      <w:r w:rsidRPr="00347AA5">
        <w:t>As regards improvements since the last report of the CRPD, the JSIS set up in 2017 a Centre of Excellence to deal with disability, serious illness and dependence, a single-entry point for staff on health-related disability matters, with an increasing expertise on disability issues. However, it needs more visibility and information to be provided to staff regarding its existence and how it operates.</w:t>
      </w:r>
    </w:p>
    <w:p w14:paraId="4DEEAFE6" w14:textId="6E42FD66" w:rsidR="000E5A74" w:rsidRDefault="0015797E" w:rsidP="00295AA8">
      <w:pPr>
        <w:rPr>
          <w:b/>
        </w:rPr>
      </w:pPr>
      <w:r>
        <w:rPr>
          <w:b/>
        </w:rPr>
        <w:t>We call for:</w:t>
      </w:r>
    </w:p>
    <w:p w14:paraId="077F65C1" w14:textId="66230F89" w:rsidR="006522E2" w:rsidRPr="00D404B4" w:rsidRDefault="006522E2" w:rsidP="006522E2">
      <w:pPr>
        <w:pStyle w:val="ListParagraph"/>
        <w:numPr>
          <w:ilvl w:val="0"/>
          <w:numId w:val="71"/>
        </w:numPr>
      </w:pPr>
      <w:r>
        <w:t>Adoption of the concept of disability of the CRPD in the JSIS and set up of a framework for the reimbursement of health costs to ensure that persons with disabilities can maintain or improve their health and wellbeing</w:t>
      </w:r>
    </w:p>
    <w:p w14:paraId="27192E02" w14:textId="77777777" w:rsidR="00837829" w:rsidRPr="00D404B4" w:rsidRDefault="00837829" w:rsidP="00295AA8">
      <w:pPr>
        <w:pStyle w:val="Heading2"/>
        <w:spacing w:line="276" w:lineRule="auto"/>
        <w:rPr>
          <w:lang w:val="en-GB"/>
        </w:rPr>
      </w:pPr>
      <w:bookmarkStart w:id="84" w:name="_Toc36001178"/>
      <w:bookmarkStart w:id="85" w:name="_Toc179386673"/>
      <w:r w:rsidRPr="00D404B4">
        <w:rPr>
          <w:lang w:val="en-GB"/>
        </w:rPr>
        <w:t>Article 27: Work and employment</w:t>
      </w:r>
      <w:bookmarkEnd w:id="84"/>
      <w:bookmarkEnd w:id="85"/>
    </w:p>
    <w:p w14:paraId="12492A76" w14:textId="61F0F05A" w:rsidR="00962806" w:rsidRPr="00962806" w:rsidRDefault="00962806" w:rsidP="00295AA8">
      <w:r w:rsidRPr="00962806">
        <w:t>Although the Staff Regulations include a definition of disability that complies with the CRPD, the systems in place for work and employment are not aligned with the CRPD. The system relies too heavily on medical</w:t>
      </w:r>
      <w:r w:rsidRPr="00962806">
        <w:rPr>
          <w:lang w:val="en-US"/>
        </w:rPr>
        <w:t xml:space="preserve"> </w:t>
      </w:r>
      <w:r w:rsidRPr="00962806">
        <w:t>assessments, there are no provisions regarding access to information for employees with</w:t>
      </w:r>
      <w:r w:rsidRPr="00962806">
        <w:rPr>
          <w:lang w:val="en-US"/>
        </w:rPr>
        <w:t xml:space="preserve"> </w:t>
      </w:r>
      <w:r w:rsidRPr="00962806">
        <w:t>disabilities, and recruitment competitions do not include meaningful positive actions for persons with intellectual or</w:t>
      </w:r>
      <w:r w:rsidRPr="00962806">
        <w:rPr>
          <w:lang w:val="en-US"/>
        </w:rPr>
        <w:t xml:space="preserve"> </w:t>
      </w:r>
      <w:r w:rsidRPr="00962806">
        <w:t xml:space="preserve">psychosocial disabilities. </w:t>
      </w:r>
      <w:r w:rsidR="00320CDB">
        <w:t xml:space="preserve">Requests by candidates with disabilities who take the </w:t>
      </w:r>
      <w:hyperlink r:id="rId201" w:history="1">
        <w:r w:rsidR="00320CDB" w:rsidRPr="0039762C">
          <w:rPr>
            <w:rStyle w:val="Hyperlink"/>
          </w:rPr>
          <w:t>EPSO</w:t>
        </w:r>
      </w:hyperlink>
      <w:r w:rsidR="00320CDB">
        <w:t xml:space="preserve"> entrance exams to work in the EU institutions too often have their requests rejected or met with ineffective solutions that put them at a disadvantage in the selection process.</w:t>
      </w:r>
    </w:p>
    <w:p w14:paraId="20DBFB6A" w14:textId="1C80847B" w:rsidR="00962806" w:rsidRPr="00D404B4" w:rsidRDefault="00962806" w:rsidP="00295AA8">
      <w:r w:rsidRPr="00962806">
        <w:t xml:space="preserve">There is also a need to establish a comprehensive system for the allowances and entitlements that officials who are carers </w:t>
      </w:r>
      <w:r w:rsidR="00B00A0B">
        <w:t>of persons</w:t>
      </w:r>
      <w:r w:rsidRPr="00962806">
        <w:t xml:space="preserve"> with disabilities can avail of. </w:t>
      </w:r>
      <w:r w:rsidR="001B3DBE">
        <w:t>All</w:t>
      </w:r>
      <w:r w:rsidRPr="00962806">
        <w:t xml:space="preserve"> EU </w:t>
      </w:r>
      <w:r>
        <w:t>i</w:t>
      </w:r>
      <w:r w:rsidRPr="00962806">
        <w:t>nstitutions follow different procedures, criteria and age thresholds, with different interpretations. This divergence in procedures and practices causes confusion and incomprehension among officials.</w:t>
      </w:r>
    </w:p>
    <w:p w14:paraId="105FA625" w14:textId="77B18DB6" w:rsidR="0009666C" w:rsidRPr="0009666C" w:rsidRDefault="00574EEB" w:rsidP="00295AA8">
      <w:r w:rsidRPr="00D404B4">
        <w:t>It is still unclear precisely how many people working in the EU institutions identify as having a disability</w:t>
      </w:r>
      <w:r w:rsidR="00B00A0B">
        <w:t xml:space="preserve">, </w:t>
      </w:r>
      <w:r w:rsidRPr="00D404B4">
        <w:t xml:space="preserve">which makes it difficult to monitor their success in achieving an adequate representation of staff with disabilities. The Disability Rights Strategy </w:t>
      </w:r>
      <w:r w:rsidRPr="00386D03">
        <w:rPr>
          <w:highlight w:val="yellow"/>
        </w:rPr>
        <w:t>commits to improving this</w:t>
      </w:r>
      <w:r w:rsidR="00B00A0B" w:rsidRPr="00386D03">
        <w:rPr>
          <w:highlight w:val="yellow"/>
        </w:rPr>
        <w:t xml:space="preserve"> situation</w:t>
      </w:r>
      <w:r w:rsidRPr="00386D03">
        <w:rPr>
          <w:highlight w:val="yellow"/>
        </w:rPr>
        <w:t xml:space="preserve">, and </w:t>
      </w:r>
      <w:r w:rsidR="00B00A0B" w:rsidRPr="00386D03">
        <w:rPr>
          <w:highlight w:val="yellow"/>
        </w:rPr>
        <w:t xml:space="preserve">to reach out more and have recruitment schemes </w:t>
      </w:r>
      <w:r w:rsidRPr="00386D03">
        <w:rPr>
          <w:highlight w:val="yellow"/>
        </w:rPr>
        <w:t xml:space="preserve">for persons with disabilities, </w:t>
      </w:r>
      <w:r w:rsidR="0009666C" w:rsidRPr="00386D03">
        <w:rPr>
          <w:highlight w:val="yellow"/>
        </w:rPr>
        <w:t xml:space="preserve">but at this stage there is little information </w:t>
      </w:r>
      <w:r w:rsidR="00095DEB" w:rsidRPr="00386D03">
        <w:rPr>
          <w:highlight w:val="yellow"/>
        </w:rPr>
        <w:t>as to</w:t>
      </w:r>
      <w:r w:rsidR="0009666C" w:rsidRPr="00386D03">
        <w:rPr>
          <w:highlight w:val="yellow"/>
        </w:rPr>
        <w:t xml:space="preserve"> how this </w:t>
      </w:r>
      <w:r w:rsidR="00386D03" w:rsidRPr="00386D03">
        <w:rPr>
          <w:highlight w:val="yellow"/>
        </w:rPr>
        <w:t>is</w:t>
      </w:r>
      <w:r w:rsidR="0009666C" w:rsidRPr="00386D03">
        <w:rPr>
          <w:highlight w:val="yellow"/>
        </w:rPr>
        <w:t xml:space="preserve"> done and whether it seems likely to create any significant change within the EU institutions</w:t>
      </w:r>
      <w:r w:rsidR="0009666C" w:rsidRPr="0009666C">
        <w:t xml:space="preserve">. Positive action schemes provide only temporary contracts with a maximum of 6 years, often split in </w:t>
      </w:r>
      <w:r w:rsidR="00095DEB" w:rsidRPr="0009666C">
        <w:t>one-year</w:t>
      </w:r>
      <w:r w:rsidR="0009666C" w:rsidRPr="0009666C">
        <w:t xml:space="preserve"> renewable contracts as these contracts are often not supported by the necessary budget. Quotas as foreseen in almost all Member States public administration do not exist nor does the Disability Strategy envisage them. </w:t>
      </w:r>
    </w:p>
    <w:p w14:paraId="049D9030" w14:textId="7376C619" w:rsidR="00574EEB" w:rsidRPr="00D404B4" w:rsidRDefault="0009666C" w:rsidP="00295AA8">
      <w:r w:rsidRPr="0009666C">
        <w:t>Carers of persons with disabilities do not receive extra leave for long-term treatment like cures or therapy</w:t>
      </w:r>
      <w:r>
        <w:t>. E</w:t>
      </w:r>
      <w:r w:rsidRPr="0009666C">
        <w:t>xtra support for single parents of children with disabilities is not foreseen.</w:t>
      </w:r>
    </w:p>
    <w:p w14:paraId="360F3BF6" w14:textId="4ACD0C9C" w:rsidR="000E5A74" w:rsidRPr="00D404B4" w:rsidRDefault="00386D03" w:rsidP="00295AA8">
      <w:r>
        <w:rPr>
          <w:b/>
        </w:rPr>
        <w:t xml:space="preserve">We call for: </w:t>
      </w:r>
    </w:p>
    <w:p w14:paraId="0A18D2A9" w14:textId="3666E272" w:rsidR="006A112F" w:rsidRPr="00D404B4" w:rsidRDefault="00320CDB" w:rsidP="00295AA8">
      <w:pPr>
        <w:pStyle w:val="ListParagraph"/>
        <w:numPr>
          <w:ilvl w:val="0"/>
          <w:numId w:val="15"/>
        </w:numPr>
        <w:ind w:left="714" w:hanging="357"/>
        <w:contextualSpacing w:val="0"/>
      </w:pPr>
      <w:r>
        <w:t>A</w:t>
      </w:r>
      <w:r w:rsidR="006A112F" w:rsidRPr="00D404B4">
        <w:t>dopt</w:t>
      </w:r>
      <w:r w:rsidR="00386D03">
        <w:t>ion of</w:t>
      </w:r>
      <w:r w:rsidR="006A112F" w:rsidRPr="00D404B4">
        <w:t xml:space="preserve"> a formal policy on reasonable accommodation and accessibility, both for the recruitment procedure </w:t>
      </w:r>
      <w:r w:rsidR="00AA7855">
        <w:t xml:space="preserve">by EPSO </w:t>
      </w:r>
      <w:r w:rsidR="006A112F" w:rsidRPr="00D404B4">
        <w:t xml:space="preserve">and </w:t>
      </w:r>
      <w:r w:rsidR="0009666C">
        <w:t>to</w:t>
      </w:r>
      <w:r w:rsidR="006A112F" w:rsidRPr="00D404B4">
        <w:t xml:space="preserve"> support the performance of job functions </w:t>
      </w:r>
      <w:r w:rsidR="006A112F" w:rsidRPr="00D404B4">
        <w:lastRenderedPageBreak/>
        <w:t xml:space="preserve">when the person </w:t>
      </w:r>
      <w:r w:rsidR="00095DEB">
        <w:t>is hired, including for staff who are carers of persons with disabilities</w:t>
      </w:r>
      <w:r w:rsidR="00762B9D">
        <w:t xml:space="preserve">, </w:t>
      </w:r>
      <w:r w:rsidR="00762B9D" w:rsidRPr="00762B9D">
        <w:t>across all EU jobs, including outsourced and externalised work</w:t>
      </w:r>
      <w:r w:rsidR="005668C5">
        <w:t>.</w:t>
      </w:r>
    </w:p>
    <w:p w14:paraId="169AD3B1" w14:textId="77777777" w:rsidR="00386D03" w:rsidRDefault="00AA7855" w:rsidP="00386D03">
      <w:pPr>
        <w:pStyle w:val="ListParagraph"/>
        <w:numPr>
          <w:ilvl w:val="0"/>
          <w:numId w:val="15"/>
        </w:numPr>
        <w:spacing w:after="0"/>
        <w:ind w:left="714" w:hanging="357"/>
        <w:contextualSpacing w:val="0"/>
      </w:pPr>
      <w:r>
        <w:t>Improve</w:t>
      </w:r>
      <w:r w:rsidR="00386D03">
        <w:t>ment of</w:t>
      </w:r>
      <w:r>
        <w:t xml:space="preserve"> the allowances given to workers in the EU institutions, agencies or external representations with disabilities or who offer informal care for persons with disabilities. </w:t>
      </w:r>
    </w:p>
    <w:p w14:paraId="0CF45EDF" w14:textId="325F8C6C" w:rsidR="00AA7855" w:rsidRDefault="00AA7855" w:rsidP="00295AA8">
      <w:pPr>
        <w:pStyle w:val="ListParagraph"/>
        <w:numPr>
          <w:ilvl w:val="0"/>
          <w:numId w:val="15"/>
        </w:numPr>
        <w:ind w:left="714" w:hanging="357"/>
        <w:contextualSpacing w:val="0"/>
      </w:pPr>
      <w:r>
        <w:t>Improve</w:t>
      </w:r>
      <w:r w:rsidR="00386D03">
        <w:t>ment of</w:t>
      </w:r>
      <w:r>
        <w:t xml:space="preserve"> support (including financial support) to persons with disabilities who take part in the EU institutions’ traineeship programmes. </w:t>
      </w:r>
    </w:p>
    <w:p w14:paraId="5CEAEF27" w14:textId="03471CDA" w:rsidR="0009666C" w:rsidRPr="0009666C" w:rsidRDefault="0009666C" w:rsidP="00295AA8">
      <w:pPr>
        <w:pStyle w:val="Heading2"/>
        <w:rPr>
          <w:lang w:val="en-GB"/>
        </w:rPr>
      </w:pPr>
      <w:bookmarkStart w:id="86" w:name="Part_2_Article_29"/>
      <w:bookmarkStart w:id="87" w:name="_Toc179386674"/>
      <w:r w:rsidRPr="0009666C">
        <w:t>Article 29</w:t>
      </w:r>
      <w:bookmarkEnd w:id="86"/>
      <w:r w:rsidRPr="0009666C">
        <w:t>: Participation in political and public life</w:t>
      </w:r>
      <w:bookmarkEnd w:id="87"/>
    </w:p>
    <w:p w14:paraId="3BE58156" w14:textId="4ACE83D0" w:rsidR="0009666C" w:rsidRDefault="0009666C" w:rsidP="00295AA8">
      <w:pPr>
        <w:rPr>
          <w:lang w:val="en-US"/>
        </w:rPr>
      </w:pPr>
      <w:r w:rsidRPr="0009666C">
        <w:rPr>
          <w:lang w:val="en-US"/>
        </w:rPr>
        <w:t xml:space="preserve">The </w:t>
      </w:r>
      <w:hyperlink r:id="rId202" w:history="1">
        <w:r w:rsidRPr="0009666C">
          <w:rPr>
            <w:rStyle w:val="Hyperlink"/>
          </w:rPr>
          <w:t>Committee on Petitions</w:t>
        </w:r>
      </w:hyperlink>
      <w:r w:rsidRPr="0009666C">
        <w:rPr>
          <w:lang w:val="en-US"/>
        </w:rPr>
        <w:t xml:space="preserve"> of the European Parliament allows citizens and people residing in the EU to submit petition on matters which come within the EU’s field of activity and directly affects them. However, the </w:t>
      </w:r>
      <w:hyperlink r:id="rId203" w:history="1">
        <w:r w:rsidRPr="0009666C">
          <w:rPr>
            <w:rStyle w:val="Hyperlink"/>
          </w:rPr>
          <w:t>portal to submit petitions</w:t>
        </w:r>
      </w:hyperlink>
      <w:r w:rsidRPr="0009666C">
        <w:rPr>
          <w:lang w:val="en-US"/>
        </w:rPr>
        <w:t xml:space="preserve"> is not accessible to Deaf or hard of hearing persons or persons using screen readers. </w:t>
      </w:r>
    </w:p>
    <w:p w14:paraId="6FA3A132" w14:textId="01C65FE7" w:rsidR="00837A48" w:rsidRPr="0009666C" w:rsidRDefault="00837A48" w:rsidP="00295AA8">
      <w:r w:rsidRPr="00D404B4">
        <w:t>Another extreme example</w:t>
      </w:r>
      <w:r w:rsidR="00870E98">
        <w:t xml:space="preserve"> of exclusion from public life</w:t>
      </w:r>
      <w:r w:rsidRPr="00D404B4">
        <w:t xml:space="preserve"> can be found in the flagship democratic exercise of the Conference on the Future of Europe, a joint initiative by the three main EU institutions calling citizens to submit and discuss ideas for the future of the EU through a multilingual digital platform. Unfortunately, persons with disabilities are prevented from participating because the website does not comply with the minimum accessibility requirements adopted in EU legislation concerning Member State’s public sector websites and mobile apps. </w:t>
      </w:r>
      <w:hyperlink r:id="rId204" w:history="1">
        <w:r w:rsidRPr="00D404B4">
          <w:rPr>
            <w:rStyle w:val="Hyperlink"/>
          </w:rPr>
          <w:t>EDF has commissioned an accessibility audit of the Conference platform</w:t>
        </w:r>
      </w:hyperlink>
      <w:r w:rsidRPr="00D404B4">
        <w:t xml:space="preserve">, and at the time of drafting this report the accessibility issues have not been solved. Additionally, the Conference </w:t>
      </w:r>
      <w:r w:rsidR="00A94AC7" w:rsidRPr="00D404B4">
        <w:t>web streamed</w:t>
      </w:r>
      <w:r w:rsidRPr="00D404B4">
        <w:t xml:space="preserve"> </w:t>
      </w:r>
      <w:r w:rsidRPr="00A94AC7">
        <w:t xml:space="preserve">meeting </w:t>
      </w:r>
      <w:r w:rsidR="00C62C34" w:rsidRPr="00A94AC7">
        <w:t>did</w:t>
      </w:r>
      <w:r w:rsidRPr="00A94AC7">
        <w:t xml:space="preserve"> not provide sign language interpretation, nor live subtitling, and the documents published are not available in accessible </w:t>
      </w:r>
      <w:r w:rsidRPr="00A94AC7">
        <w:t>formats.</w:t>
      </w:r>
    </w:p>
    <w:p w14:paraId="6E9F95BC" w14:textId="67E78461" w:rsidR="0009666C" w:rsidRPr="0009666C" w:rsidRDefault="00347235" w:rsidP="00295AA8">
      <w:r>
        <w:rPr>
          <w:b/>
        </w:rPr>
        <w:t>We call for</w:t>
      </w:r>
      <w:r w:rsidR="0009666C" w:rsidRPr="0009666C">
        <w:t xml:space="preserve">: </w:t>
      </w:r>
    </w:p>
    <w:p w14:paraId="7B4030CC" w14:textId="42DB7A26" w:rsidR="0009666C" w:rsidRPr="0009666C" w:rsidRDefault="00347235" w:rsidP="00295AA8">
      <w:pPr>
        <w:numPr>
          <w:ilvl w:val="0"/>
          <w:numId w:val="12"/>
        </w:numPr>
      </w:pPr>
      <w:r>
        <w:rPr>
          <w:lang w:val="en-US"/>
        </w:rPr>
        <w:t>Concrete</w:t>
      </w:r>
      <w:r w:rsidRPr="0009666C">
        <w:rPr>
          <w:lang w:val="en-US"/>
        </w:rPr>
        <w:t xml:space="preserve"> </w:t>
      </w:r>
      <w:r w:rsidR="0009666C" w:rsidRPr="0009666C">
        <w:rPr>
          <w:lang w:val="en-US"/>
        </w:rPr>
        <w:t>steps will to ensure that</w:t>
      </w:r>
      <w:r w:rsidR="00837A48">
        <w:rPr>
          <w:lang w:val="en-US"/>
        </w:rPr>
        <w:t xml:space="preserve"> its citizens’ initiatives and complaint mechanisms,</w:t>
      </w:r>
      <w:r w:rsidR="0009666C" w:rsidRPr="0009666C">
        <w:rPr>
          <w:lang w:val="en-US"/>
        </w:rPr>
        <w:t xml:space="preserve"> including the online system to submit petitions to the Commission on Petitions of the European Parliament, are fully accessible to all persons with disabilities</w:t>
      </w:r>
      <w:r w:rsidR="00EB05AD">
        <w:rPr>
          <w:lang w:val="en-US"/>
        </w:rPr>
        <w:t xml:space="preserve">. </w:t>
      </w:r>
    </w:p>
    <w:p w14:paraId="6BB07A53" w14:textId="3549CA5A" w:rsidR="0009666C" w:rsidRPr="0009666C" w:rsidRDefault="0009666C" w:rsidP="00295AA8">
      <w:pPr>
        <w:pStyle w:val="Heading2"/>
      </w:pPr>
      <w:bookmarkStart w:id="88" w:name="_Toc179386675"/>
      <w:r w:rsidRPr="0009666C">
        <w:t>Article 31: Statistics and data collection</w:t>
      </w:r>
      <w:bookmarkEnd w:id="88"/>
    </w:p>
    <w:p w14:paraId="6C51A14F" w14:textId="4D152345" w:rsidR="0009666C" w:rsidRPr="00A94AC7" w:rsidRDefault="0009666C" w:rsidP="00295AA8">
      <w:r w:rsidRPr="0009666C">
        <w:t xml:space="preserve">The EU institutions do </w:t>
      </w:r>
      <w:r w:rsidRPr="00A94AC7">
        <w:t>not</w:t>
      </w:r>
      <w:r w:rsidR="00C62C34" w:rsidRPr="00A94AC7">
        <w:t xml:space="preserve"> provide</w:t>
      </w:r>
      <w:r w:rsidRPr="00A94AC7">
        <w:t xml:space="preserve"> public data on candidates who self-identify as persons with disabilities in EPSO competitions, in internal recruitment, or among outsourced staff.</w:t>
      </w:r>
    </w:p>
    <w:p w14:paraId="55F05353" w14:textId="0F727313" w:rsidR="00870E98" w:rsidRPr="0009666C" w:rsidRDefault="00870E98" w:rsidP="00295AA8">
      <w:r w:rsidRPr="00A94AC7">
        <w:t xml:space="preserve">The European Parliament does not conduct </w:t>
      </w:r>
      <w:r w:rsidRPr="0009666C">
        <w:t xml:space="preserve">any staff surveys, so it does not collect information on disability in any sense, or perceived degree of equal treatment. The Commission has conducted a survey focusing on persons who self-identify as </w:t>
      </w:r>
      <w:r w:rsidR="001B3DBE">
        <w:t>persons with disabilities</w:t>
      </w:r>
      <w:r w:rsidR="002A402E" w:rsidRPr="0009666C">
        <w:t>,</w:t>
      </w:r>
      <w:r w:rsidRPr="0009666C">
        <w:t xml:space="preserve"> but the results </w:t>
      </w:r>
      <w:r w:rsidR="00320CDB">
        <w:t>have not been disseminated</w:t>
      </w:r>
      <w:r w:rsidRPr="0009666C">
        <w:t>.</w:t>
      </w:r>
    </w:p>
    <w:p w14:paraId="12A647EB" w14:textId="48CE7EBA" w:rsidR="0009666C" w:rsidRPr="0009666C" w:rsidRDefault="00347235" w:rsidP="00295AA8">
      <w:r>
        <w:rPr>
          <w:b/>
        </w:rPr>
        <w:t>We call for</w:t>
      </w:r>
      <w:r w:rsidR="0009666C" w:rsidRPr="0009666C">
        <w:t xml:space="preserve">: </w:t>
      </w:r>
    </w:p>
    <w:p w14:paraId="4E453045" w14:textId="4BBB27F5" w:rsidR="0009666C" w:rsidRPr="00D404B4" w:rsidRDefault="00320CDB" w:rsidP="0009666C">
      <w:pPr>
        <w:pStyle w:val="ListParagraph"/>
        <w:numPr>
          <w:ilvl w:val="0"/>
          <w:numId w:val="37"/>
        </w:numPr>
        <w:contextualSpacing w:val="0"/>
      </w:pPr>
      <w:r>
        <w:t>Regular</w:t>
      </w:r>
      <w:r w:rsidR="00EC7D14">
        <w:t xml:space="preserve"> </w:t>
      </w:r>
      <w:r w:rsidR="0009666C" w:rsidRPr="0009666C">
        <w:t>collect</w:t>
      </w:r>
      <w:r w:rsidR="00EC7D14">
        <w:t>ion of</w:t>
      </w:r>
      <w:r w:rsidR="0009666C" w:rsidRPr="0009666C">
        <w:t xml:space="preserve"> appropriate information, including statistical and research data, to </w:t>
      </w:r>
      <w:r w:rsidR="0009666C" w:rsidRPr="00A94AC7">
        <w:t xml:space="preserve">enable </w:t>
      </w:r>
      <w:r w:rsidR="00D968A5" w:rsidRPr="00A94AC7">
        <w:t>all EU institutions</w:t>
      </w:r>
      <w:r w:rsidR="0009666C" w:rsidRPr="00A94AC7">
        <w:t xml:space="preserve"> to formulate and implement policies to give effect to the </w:t>
      </w:r>
      <w:r w:rsidR="004E5E29" w:rsidRPr="00A94AC7">
        <w:t>CRPD</w:t>
      </w:r>
      <w:r w:rsidR="00762B9D" w:rsidRPr="00A94AC7">
        <w:t xml:space="preserve"> within the EU institution and agencies, in procurement and in the European Schools</w:t>
      </w:r>
      <w:r>
        <w:t>.</w:t>
      </w:r>
    </w:p>
    <w:sectPr w:rsidR="0009666C" w:rsidRPr="00D404B4">
      <w:headerReference w:type="default" r:id="rId205"/>
      <w:footerReference w:type="default" r:id="rId2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D7063" w14:textId="77777777" w:rsidR="009906A6" w:rsidRDefault="009906A6" w:rsidP="00F62C0E">
      <w:pPr>
        <w:spacing w:after="0" w:line="240" w:lineRule="auto"/>
      </w:pPr>
      <w:r>
        <w:separator/>
      </w:r>
    </w:p>
  </w:endnote>
  <w:endnote w:type="continuationSeparator" w:id="0">
    <w:p w14:paraId="31633154" w14:textId="77777777" w:rsidR="009906A6" w:rsidRDefault="009906A6" w:rsidP="00F62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QNFQU P+ Interstate">
    <w:altName w:val="Calibri"/>
    <w:panose1 w:val="00000000000000000000"/>
    <w:charset w:val="00"/>
    <w:family w:val="swiss"/>
    <w:notTrueType/>
    <w:pitch w:val="default"/>
    <w:sig w:usb0="00000003" w:usb1="00000000" w:usb2="00000000" w:usb3="00000000" w:csb0="00000001" w:csb1="00000000"/>
  </w:font>
  <w:font w:name="Interstate Light">
    <w:altName w:val="Calibri"/>
    <w:panose1 w:val="00000000000000000000"/>
    <w:charset w:val="00"/>
    <w:family w:val="swiss"/>
    <w:notTrueType/>
    <w:pitch w:val="default"/>
    <w:sig w:usb0="00000003" w:usb1="00000000" w:usb2="00000000" w:usb3="00000000" w:csb0="00000001" w:csb1="00000000"/>
  </w:font>
  <w:font w:name="DaxlinePro">
    <w:altName w:val="Calibri"/>
    <w:panose1 w:val="00000000000000000000"/>
    <w:charset w:val="00"/>
    <w:family w:val="swiss"/>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NXCAE V+ Interstate">
    <w:altName w:val="Calibri"/>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5164877"/>
      <w:docPartObj>
        <w:docPartGallery w:val="Page Numbers (Bottom of Page)"/>
        <w:docPartUnique/>
      </w:docPartObj>
    </w:sdtPr>
    <w:sdtEndPr>
      <w:rPr>
        <w:noProof/>
      </w:rPr>
    </w:sdtEndPr>
    <w:sdtContent>
      <w:p w14:paraId="48BA5E3D" w14:textId="17194773" w:rsidR="00146AA7" w:rsidRDefault="00146AA7">
        <w:pPr>
          <w:pStyle w:val="Footer"/>
          <w:jc w:val="center"/>
        </w:pPr>
        <w:r>
          <w:fldChar w:fldCharType="begin"/>
        </w:r>
        <w:r>
          <w:instrText xml:space="preserve"> PAGE   \* MERGEFORMAT </w:instrText>
        </w:r>
        <w:r>
          <w:fldChar w:fldCharType="separate"/>
        </w:r>
        <w:r w:rsidR="00026BAE">
          <w:rPr>
            <w:noProof/>
          </w:rPr>
          <w:t>13</w:t>
        </w:r>
        <w:r>
          <w:rPr>
            <w:noProof/>
          </w:rPr>
          <w:fldChar w:fldCharType="end"/>
        </w:r>
      </w:p>
    </w:sdtContent>
  </w:sdt>
  <w:p w14:paraId="277A8CF3" w14:textId="4D36C1EC" w:rsidR="00146AA7" w:rsidRDefault="00146AA7" w:rsidP="009311B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3BCB9" w14:textId="77777777" w:rsidR="009906A6" w:rsidRDefault="009906A6" w:rsidP="00F62C0E">
      <w:pPr>
        <w:spacing w:after="0" w:line="240" w:lineRule="auto"/>
      </w:pPr>
      <w:r>
        <w:separator/>
      </w:r>
    </w:p>
  </w:footnote>
  <w:footnote w:type="continuationSeparator" w:id="0">
    <w:p w14:paraId="10A2D0BD" w14:textId="77777777" w:rsidR="009906A6" w:rsidRDefault="009906A6" w:rsidP="00F62C0E">
      <w:pPr>
        <w:spacing w:after="0" w:line="240" w:lineRule="auto"/>
      </w:pPr>
      <w:r>
        <w:continuationSeparator/>
      </w:r>
    </w:p>
  </w:footnote>
  <w:footnote w:id="1">
    <w:p w14:paraId="776D3EC4" w14:textId="3FB71272" w:rsidR="00146AA7" w:rsidRPr="00301974" w:rsidRDefault="00146AA7">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Bulgaria, Ireland, the Netherlands, </w:t>
      </w:r>
      <w:r w:rsidR="00057EEF" w:rsidRPr="00301974">
        <w:rPr>
          <w:rFonts w:cs="Arial"/>
          <w:sz w:val="18"/>
          <w:szCs w:val="18"/>
        </w:rPr>
        <w:t>Poland,</w:t>
      </w:r>
      <w:r w:rsidRPr="00301974">
        <w:rPr>
          <w:rFonts w:cs="Arial"/>
          <w:sz w:val="18"/>
          <w:szCs w:val="18"/>
        </w:rPr>
        <w:t xml:space="preserve"> and Romania have not ratified the Optional Protocol. </w:t>
      </w:r>
    </w:p>
  </w:footnote>
  <w:footnote w:id="2">
    <w:p w14:paraId="668BE44E" w14:textId="7207E33F" w:rsidR="004C4260" w:rsidRPr="00301974" w:rsidRDefault="004C4260" w:rsidP="004C4260">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The EU Strategy for the rights of persons with disabilities 2021-2030 indicates that the “Commission will initiate work with the Council to update the EU declaration concerning the competence of the EU with regards to matters governed by the UNCRPD as recommended by the UNCRPD Committee in 2015.” However, no specific timeframe is given to complete this work. </w:t>
      </w:r>
    </w:p>
  </w:footnote>
  <w:footnote w:id="3">
    <w:p w14:paraId="0D1A6B9B" w14:textId="3E2574A0" w:rsidR="0006276B" w:rsidRPr="00301974" w:rsidRDefault="0006276B" w:rsidP="0006276B">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The list of instrument is an </w:t>
      </w:r>
      <w:hyperlink r:id="rId1" w:history="1">
        <w:r w:rsidRPr="00301974">
          <w:rPr>
            <w:rStyle w:val="Hyperlink"/>
            <w:rFonts w:cs="Arial"/>
            <w:sz w:val="18"/>
            <w:szCs w:val="18"/>
          </w:rPr>
          <w:t>appendix to the Council decision of 26 November 2009 concerning the conclusion, by the European Community, of the United Nations Convention on the Rights of Persons with Disabilities (2010/48/EC)</w:t>
        </w:r>
      </w:hyperlink>
      <w:r w:rsidRPr="00301974">
        <w:rPr>
          <w:rFonts w:cs="Arial"/>
          <w:sz w:val="18"/>
          <w:szCs w:val="18"/>
        </w:rPr>
        <w:t>. It refers to Regulations and Directive relevant to persons with disabilities.</w:t>
      </w:r>
    </w:p>
  </w:footnote>
  <w:footnote w:id="4">
    <w:p w14:paraId="3E19E4AA" w14:textId="77777777" w:rsidR="00900646" w:rsidRPr="00301974" w:rsidRDefault="00900646" w:rsidP="00900646">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w:t>
      </w:r>
      <w:hyperlink r:id="rId2" w:history="1">
        <w:r w:rsidRPr="00301974">
          <w:rPr>
            <w:rStyle w:val="Hyperlink"/>
            <w:rFonts w:cs="Arial"/>
            <w:sz w:val="18"/>
            <w:szCs w:val="18"/>
          </w:rPr>
          <w:t>Impact assessments</w:t>
        </w:r>
      </w:hyperlink>
      <w:r w:rsidRPr="00301974">
        <w:rPr>
          <w:rFonts w:cs="Arial"/>
          <w:sz w:val="18"/>
          <w:szCs w:val="18"/>
        </w:rPr>
        <w:t xml:space="preserve"> examine whether there is a need for EU action and analyse the possible impacts of available solutions. These are carried out during the preparation phase, before the Commission finalises a proposal for a new law. They provide evidence to inform and support the decision-making process.</w:t>
      </w:r>
    </w:p>
  </w:footnote>
  <w:footnote w:id="5">
    <w:p w14:paraId="2C3BC361" w14:textId="3421F393" w:rsidR="00654FFD" w:rsidRPr="00301974" w:rsidRDefault="00654FFD" w:rsidP="00654FFD">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For example, the FRA carrie</w:t>
      </w:r>
      <w:r w:rsidR="003C038F" w:rsidRPr="00301974">
        <w:rPr>
          <w:rFonts w:cs="Arial"/>
          <w:sz w:val="18"/>
          <w:szCs w:val="18"/>
        </w:rPr>
        <w:t>s</w:t>
      </w:r>
      <w:r w:rsidRPr="00301974">
        <w:rPr>
          <w:rFonts w:cs="Arial"/>
          <w:sz w:val="18"/>
          <w:szCs w:val="18"/>
        </w:rPr>
        <w:t xml:space="preserve"> out research and reports on disability more broadly, however, it does little on specific areas such as cognitive disabilities, e.g., dementia. </w:t>
      </w:r>
    </w:p>
  </w:footnote>
  <w:footnote w:id="6">
    <w:p w14:paraId="3B9ABA27" w14:textId="2C4DF227" w:rsidR="006C38E5" w:rsidRPr="00301974" w:rsidRDefault="006C38E5">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According to data published by the Fundamental Rights Agency of the European Union (FRA), 50% of persons with disabilities have reported being harassed over a 5-year period, comparing to 37% of persons without disabilities. See </w:t>
      </w:r>
      <w:r w:rsidRPr="00301974">
        <w:rPr>
          <w:rFonts w:cs="Arial"/>
          <w:sz w:val="18"/>
          <w:szCs w:val="18"/>
          <w:lang w:val="en-US"/>
        </w:rPr>
        <w:t xml:space="preserve">FRA, </w:t>
      </w:r>
      <w:hyperlink r:id="rId3" w:history="1">
        <w:r w:rsidRPr="00301974">
          <w:rPr>
            <w:rStyle w:val="Hyperlink"/>
            <w:rFonts w:cs="Arial"/>
            <w:sz w:val="18"/>
            <w:szCs w:val="18"/>
            <w:lang w:val="en-US"/>
          </w:rPr>
          <w:t>Fundamental Rights Survey: CRIME, SAFETY AND VICTIMS’ RIGHTS</w:t>
        </w:r>
      </w:hyperlink>
      <w:r w:rsidRPr="00301974">
        <w:rPr>
          <w:rFonts w:cs="Arial"/>
          <w:sz w:val="18"/>
          <w:szCs w:val="18"/>
          <w:lang w:val="en-US"/>
        </w:rPr>
        <w:t xml:space="preserve"> (2021), page 22.</w:t>
      </w:r>
    </w:p>
  </w:footnote>
  <w:footnote w:id="7">
    <w:p w14:paraId="18CD7A6F" w14:textId="77777777" w:rsidR="00146AA7" w:rsidRPr="00301974" w:rsidRDefault="00146AA7" w:rsidP="00656530">
      <w:pPr>
        <w:pStyle w:val="FootnoteText"/>
        <w:rPr>
          <w:rFonts w:cs="Arial"/>
          <w:sz w:val="18"/>
          <w:szCs w:val="18"/>
          <w:lang w:val="en-US"/>
        </w:rPr>
      </w:pPr>
      <w:r w:rsidRPr="00301974">
        <w:rPr>
          <w:rStyle w:val="FootnoteReference"/>
          <w:rFonts w:cs="Arial"/>
          <w:sz w:val="18"/>
          <w:szCs w:val="18"/>
        </w:rPr>
        <w:footnoteRef/>
      </w:r>
      <w:r w:rsidRPr="00301974">
        <w:rPr>
          <w:rFonts w:cs="Arial"/>
          <w:sz w:val="18"/>
          <w:szCs w:val="18"/>
        </w:rPr>
        <w:t xml:space="preserve"> </w:t>
      </w:r>
      <w:hyperlink r:id="rId4" w:history="1">
        <w:r w:rsidRPr="00301974">
          <w:rPr>
            <w:rStyle w:val="Hyperlink"/>
            <w:rFonts w:cs="Arial"/>
            <w:sz w:val="18"/>
            <w:szCs w:val="18"/>
          </w:rPr>
          <w:t>Council Directive 2000/78/EC of 27 November 2000 establishing a general framework for equal treatment in employment and occupation</w:t>
        </w:r>
      </w:hyperlink>
      <w:r w:rsidRPr="00301974">
        <w:rPr>
          <w:rFonts w:cs="Arial"/>
          <w:sz w:val="18"/>
          <w:szCs w:val="18"/>
        </w:rPr>
        <w:t xml:space="preserve"> </w:t>
      </w:r>
    </w:p>
  </w:footnote>
  <w:footnote w:id="8">
    <w:p w14:paraId="7C975AD8" w14:textId="19A91037" w:rsidR="00146AA7" w:rsidRPr="00301974" w:rsidRDefault="00146AA7">
      <w:pPr>
        <w:pStyle w:val="FootnoteText"/>
        <w:rPr>
          <w:rFonts w:cs="Arial"/>
          <w:sz w:val="18"/>
          <w:szCs w:val="18"/>
          <w:lang w:val="en-US"/>
        </w:rPr>
      </w:pPr>
      <w:r w:rsidRPr="00301974">
        <w:rPr>
          <w:rStyle w:val="FootnoteReference"/>
          <w:rFonts w:cs="Arial"/>
          <w:sz w:val="18"/>
          <w:szCs w:val="18"/>
        </w:rPr>
        <w:footnoteRef/>
      </w:r>
      <w:r w:rsidRPr="00301974">
        <w:rPr>
          <w:rFonts w:cs="Arial"/>
          <w:sz w:val="18"/>
          <w:szCs w:val="18"/>
        </w:rPr>
        <w:t xml:space="preserve"> </w:t>
      </w:r>
      <w:r w:rsidRPr="00301974">
        <w:rPr>
          <w:rFonts w:cs="Arial"/>
          <w:sz w:val="18"/>
          <w:szCs w:val="18"/>
          <w:lang w:val="en-US"/>
        </w:rPr>
        <w:t>See article 2 “Concept of discrimination” of the directive.</w:t>
      </w:r>
    </w:p>
  </w:footnote>
  <w:footnote w:id="9">
    <w:p w14:paraId="26F7173D" w14:textId="18718D44" w:rsidR="00146AA7" w:rsidRPr="00301974" w:rsidRDefault="00146AA7">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However, the European Court of Justice hold in Case-303/06 Coleman v. Attridge Law</w:t>
      </w:r>
      <w:r w:rsidR="006F64D1" w:rsidRPr="00301974">
        <w:rPr>
          <w:rFonts w:cs="Arial"/>
          <w:sz w:val="18"/>
          <w:szCs w:val="18"/>
        </w:rPr>
        <w:t xml:space="preserve"> stated</w:t>
      </w:r>
      <w:r w:rsidRPr="00301974">
        <w:rPr>
          <w:rFonts w:cs="Arial"/>
          <w:sz w:val="18"/>
          <w:szCs w:val="18"/>
        </w:rPr>
        <w:t xml:space="preserve"> that the directive applies to direct discrimination or harassment by association. The jurisprudence did not explicitly recognise indirect discrimination by association. In addition, the judgment in Coleman v. Attridge did not recognise a right to reasonable accommodation because of an association with a person with disabilities. </w:t>
      </w:r>
    </w:p>
  </w:footnote>
  <w:footnote w:id="10">
    <w:p w14:paraId="43C33E0C" w14:textId="57B65477" w:rsidR="00146AA7" w:rsidRPr="00301974" w:rsidRDefault="00146AA7">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Proposal for a Council Directive on implementing the principle of equal treatment between persons irrespective of religion or belief, disability, age or sexual orientation; see </w:t>
      </w:r>
      <w:hyperlink r:id="rId5" w:history="1">
        <w:r w:rsidRPr="00301974">
          <w:rPr>
            <w:rStyle w:val="Hyperlink"/>
            <w:rFonts w:cs="Arial"/>
            <w:sz w:val="18"/>
            <w:szCs w:val="18"/>
          </w:rPr>
          <w:t>Interinstitutional File: 2008/0140(COD)</w:t>
        </w:r>
      </w:hyperlink>
      <w:r w:rsidRPr="00301974">
        <w:rPr>
          <w:rFonts w:cs="Arial"/>
          <w:sz w:val="18"/>
          <w:szCs w:val="18"/>
        </w:rPr>
        <w:t>.</w:t>
      </w:r>
    </w:p>
  </w:footnote>
  <w:footnote w:id="11">
    <w:p w14:paraId="537DCE10" w14:textId="3E8E6D03" w:rsidR="001F100D" w:rsidRPr="00301974" w:rsidRDefault="001F100D">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It is important to note that despites the calls of AGE Europe, the EU has not adopted a specific strategy to protect the rights of older people. </w:t>
      </w:r>
    </w:p>
  </w:footnote>
  <w:footnote w:id="12">
    <w:p w14:paraId="37B5901F" w14:textId="1F7F47CA" w:rsidR="00ED2812" w:rsidRPr="00301974" w:rsidRDefault="00ED2812">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The EU Youth Strategy failed to include young persons with disabilities. </w:t>
      </w:r>
    </w:p>
  </w:footnote>
  <w:footnote w:id="13">
    <w:p w14:paraId="215B0E62" w14:textId="2186D7E1" w:rsidR="00F36106" w:rsidRPr="00301974" w:rsidRDefault="00F36106">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Some positive examples of intersectional actions in the development of legislation are mentioned in the EU’s replies to the list of issues (e.g. directive on combating violence against women, pay transparency directive). </w:t>
      </w:r>
    </w:p>
  </w:footnote>
  <w:footnote w:id="14">
    <w:p w14:paraId="65AAA5B5" w14:textId="77777777" w:rsidR="00CD676C" w:rsidRPr="00301974" w:rsidRDefault="00CD676C" w:rsidP="00CD676C">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w:t>
      </w:r>
      <w:hyperlink r:id="rId6" w:history="1">
        <w:r w:rsidRPr="00301974">
          <w:rPr>
            <w:rStyle w:val="Hyperlink"/>
            <w:rFonts w:cs="Arial"/>
            <w:sz w:val="18"/>
            <w:szCs w:val="18"/>
          </w:rPr>
          <w:t>EU’s AI Act fails to set gold standard for human rights - European Disability Forum (edf-feph.org)</w:t>
        </w:r>
      </w:hyperlink>
    </w:p>
  </w:footnote>
  <w:footnote w:id="15">
    <w:p w14:paraId="33E2DB18" w14:textId="425D4FB5" w:rsidR="008279B9" w:rsidRPr="00301974" w:rsidRDefault="008279B9">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w:t>
      </w:r>
      <w:hyperlink r:id="rId7" w:history="1">
        <w:r w:rsidR="004E6A3C" w:rsidRPr="00301974">
          <w:rPr>
            <w:rStyle w:val="Hyperlink"/>
            <w:rFonts w:cs="Arial"/>
            <w:sz w:val="18"/>
            <w:szCs w:val="18"/>
          </w:rPr>
          <w:t>European comparative data on Europe 2020 and persons with disabilities</w:t>
        </w:r>
      </w:hyperlink>
      <w:r w:rsidR="004E6A3C" w:rsidRPr="00301974">
        <w:rPr>
          <w:rFonts w:cs="Arial"/>
          <w:sz w:val="18"/>
          <w:szCs w:val="18"/>
        </w:rPr>
        <w:t>, 2021</w:t>
      </w:r>
    </w:p>
  </w:footnote>
  <w:footnote w:id="16">
    <w:p w14:paraId="3D7C7114" w14:textId="7FC6FBA3" w:rsidR="00DD10EE" w:rsidRPr="00301974" w:rsidRDefault="00DD10EE">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More information, including data, is available on EDF’s website: </w:t>
      </w:r>
      <w:hyperlink r:id="rId8" w:history="1">
        <w:r w:rsidRPr="00301974">
          <w:rPr>
            <w:rStyle w:val="Hyperlink"/>
            <w:rFonts w:cs="Arial"/>
            <w:sz w:val="18"/>
            <w:szCs w:val="18"/>
          </w:rPr>
          <w:t>https://www.edf-feph.org/women-and-gender-equality/</w:t>
        </w:r>
      </w:hyperlink>
      <w:r w:rsidRPr="00301974">
        <w:rPr>
          <w:rFonts w:cs="Arial"/>
          <w:sz w:val="18"/>
          <w:szCs w:val="18"/>
        </w:rPr>
        <w:t xml:space="preserve"> </w:t>
      </w:r>
    </w:p>
  </w:footnote>
  <w:footnote w:id="17">
    <w:p w14:paraId="56A8DCD0" w14:textId="1149042A" w:rsidR="006013E7" w:rsidRPr="00301974" w:rsidRDefault="006013E7">
      <w:pPr>
        <w:pStyle w:val="FootnoteText"/>
        <w:rPr>
          <w:rFonts w:cs="Arial"/>
          <w:sz w:val="18"/>
          <w:szCs w:val="18"/>
          <w:lang w:val="fr-BE"/>
        </w:rPr>
      </w:pPr>
      <w:r w:rsidRPr="00301974">
        <w:rPr>
          <w:rStyle w:val="FootnoteReference"/>
          <w:rFonts w:cs="Arial"/>
          <w:sz w:val="18"/>
          <w:szCs w:val="18"/>
        </w:rPr>
        <w:footnoteRef/>
      </w:r>
      <w:r w:rsidRPr="00301974">
        <w:rPr>
          <w:rFonts w:cs="Arial"/>
          <w:sz w:val="18"/>
          <w:szCs w:val="18"/>
          <w:lang w:val="fr-BE"/>
        </w:rPr>
        <w:t xml:space="preserve"> </w:t>
      </w:r>
      <w:r w:rsidRPr="00301974">
        <w:rPr>
          <w:rFonts w:cs="Arial"/>
          <w:bCs/>
          <w:sz w:val="18"/>
          <w:szCs w:val="18"/>
          <w:lang w:val="fr-BE"/>
        </w:rPr>
        <w:t>Eurostat, 2020</w:t>
      </w:r>
    </w:p>
  </w:footnote>
  <w:footnote w:id="18">
    <w:p w14:paraId="1B0B7C86" w14:textId="77777777" w:rsidR="006013E7" w:rsidRPr="00301974" w:rsidRDefault="006013E7" w:rsidP="006013E7">
      <w:pPr>
        <w:pStyle w:val="FootnoteText"/>
        <w:rPr>
          <w:rFonts w:cs="Arial"/>
          <w:sz w:val="18"/>
          <w:szCs w:val="18"/>
          <w:lang w:val="fr-BE"/>
        </w:rPr>
      </w:pPr>
      <w:r w:rsidRPr="00301974">
        <w:rPr>
          <w:rStyle w:val="FootnoteReference"/>
          <w:rFonts w:cs="Arial"/>
          <w:sz w:val="18"/>
          <w:szCs w:val="18"/>
        </w:rPr>
        <w:footnoteRef/>
      </w:r>
      <w:r w:rsidRPr="00301974">
        <w:rPr>
          <w:rFonts w:cs="Arial"/>
          <w:sz w:val="18"/>
          <w:szCs w:val="18"/>
          <w:lang w:val="fr-BE"/>
        </w:rPr>
        <w:t xml:space="preserve"> </w:t>
      </w:r>
      <w:r w:rsidRPr="00301974">
        <w:rPr>
          <w:rFonts w:cs="Arial"/>
          <w:bCs/>
          <w:sz w:val="18"/>
          <w:szCs w:val="18"/>
          <w:lang w:val="fr-BE"/>
        </w:rPr>
        <w:t>ilc_hch13, 2017</w:t>
      </w:r>
    </w:p>
  </w:footnote>
  <w:footnote w:id="19">
    <w:p w14:paraId="22B4DE0C" w14:textId="77777777" w:rsidR="006013E7" w:rsidRPr="00301974" w:rsidRDefault="006013E7" w:rsidP="006013E7">
      <w:pPr>
        <w:pStyle w:val="FootnoteText"/>
        <w:rPr>
          <w:rFonts w:cs="Arial"/>
          <w:sz w:val="18"/>
          <w:szCs w:val="18"/>
          <w:lang w:val="fr-BE"/>
        </w:rPr>
      </w:pPr>
      <w:r w:rsidRPr="00301974">
        <w:rPr>
          <w:rStyle w:val="FootnoteReference"/>
          <w:rFonts w:cs="Arial"/>
          <w:sz w:val="18"/>
          <w:szCs w:val="18"/>
        </w:rPr>
        <w:footnoteRef/>
      </w:r>
      <w:r w:rsidRPr="00301974">
        <w:rPr>
          <w:rFonts w:cs="Arial"/>
          <w:sz w:val="18"/>
          <w:szCs w:val="18"/>
          <w:lang w:val="fr-BE"/>
        </w:rPr>
        <w:t xml:space="preserve"> </w:t>
      </w:r>
      <w:r w:rsidRPr="00301974">
        <w:rPr>
          <w:rFonts w:cs="Arial"/>
          <w:bCs/>
          <w:sz w:val="18"/>
          <w:szCs w:val="18"/>
          <w:lang w:val="fr-BE"/>
        </w:rPr>
        <w:t>EU-SILC, 2017</w:t>
      </w:r>
    </w:p>
  </w:footnote>
  <w:footnote w:id="20">
    <w:p w14:paraId="7CDD2B75" w14:textId="06ABA880" w:rsidR="007E403E" w:rsidRPr="00301974" w:rsidRDefault="007E403E">
      <w:pPr>
        <w:pStyle w:val="FootnoteText"/>
        <w:rPr>
          <w:rFonts w:cs="Arial"/>
          <w:sz w:val="18"/>
          <w:szCs w:val="18"/>
          <w:lang w:val="fr-BE"/>
        </w:rPr>
      </w:pPr>
      <w:r w:rsidRPr="00301974">
        <w:rPr>
          <w:rStyle w:val="FootnoteReference"/>
          <w:rFonts w:cs="Arial"/>
          <w:sz w:val="18"/>
          <w:szCs w:val="18"/>
        </w:rPr>
        <w:footnoteRef/>
      </w:r>
      <w:r w:rsidRPr="00301974">
        <w:rPr>
          <w:rFonts w:cs="Arial"/>
          <w:sz w:val="18"/>
          <w:szCs w:val="18"/>
          <w:lang w:val="fr-BE"/>
        </w:rPr>
        <w:t xml:space="preserve"> See for example in France: La </w:t>
      </w:r>
      <w:r w:rsidR="00182822" w:rsidRPr="00301974">
        <w:rPr>
          <w:rFonts w:cs="Arial"/>
          <w:sz w:val="18"/>
          <w:szCs w:val="18"/>
          <w:lang w:val="fr-BE"/>
        </w:rPr>
        <w:t>Dépêche</w:t>
      </w:r>
      <w:r w:rsidRPr="00301974">
        <w:rPr>
          <w:rFonts w:cs="Arial"/>
          <w:sz w:val="18"/>
          <w:szCs w:val="18"/>
          <w:lang w:val="fr-BE"/>
        </w:rPr>
        <w:t xml:space="preserve">, </w:t>
      </w:r>
      <w:hyperlink r:id="rId9" w:history="1">
        <w:r w:rsidRPr="00301974">
          <w:rPr>
            <w:rStyle w:val="Hyperlink"/>
            <w:rFonts w:cs="Arial"/>
            <w:sz w:val="18"/>
            <w:szCs w:val="18"/>
            <w:lang w:val="fr-BE"/>
          </w:rPr>
          <w:t>#Incestehandicap : les enfants handicapés victimes d'inceste, un sujet encore tabou qui manque de témoignages</w:t>
        </w:r>
      </w:hyperlink>
      <w:r w:rsidRPr="00301974">
        <w:rPr>
          <w:rFonts w:cs="Arial"/>
          <w:sz w:val="18"/>
          <w:szCs w:val="18"/>
          <w:lang w:val="fr-BE"/>
        </w:rPr>
        <w:t xml:space="preserve"> (March 2021).</w:t>
      </w:r>
    </w:p>
  </w:footnote>
  <w:footnote w:id="21">
    <w:p w14:paraId="4BEBC029" w14:textId="3484386F" w:rsidR="00617EA0" w:rsidRPr="00301974" w:rsidRDefault="00617EA0">
      <w:pPr>
        <w:pStyle w:val="FootnoteText"/>
        <w:rPr>
          <w:rFonts w:cs="Arial"/>
          <w:bCs/>
          <w:sz w:val="18"/>
          <w:szCs w:val="18"/>
        </w:rPr>
      </w:pPr>
      <w:r w:rsidRPr="00301974">
        <w:rPr>
          <w:rStyle w:val="FootnoteReference"/>
          <w:rFonts w:cs="Arial"/>
          <w:sz w:val="18"/>
          <w:szCs w:val="18"/>
        </w:rPr>
        <w:footnoteRef/>
      </w:r>
      <w:r w:rsidRPr="00301974">
        <w:rPr>
          <w:rFonts w:cs="Arial"/>
          <w:sz w:val="18"/>
          <w:szCs w:val="18"/>
        </w:rPr>
        <w:t xml:space="preserve"> </w:t>
      </w:r>
      <w:r w:rsidRPr="00301974">
        <w:rPr>
          <w:rFonts w:cs="Arial"/>
          <w:bCs/>
          <w:sz w:val="18"/>
          <w:szCs w:val="18"/>
        </w:rPr>
        <w:t xml:space="preserve">The 2011-2014 EU Agenda for the Rights of the Child failed to acknowledge the rights of children with disabilities. Except for a reference acknowledging that they are more exposed to violence and more at risk of seeing their rights violated, no actions directly concerning them were included in this now outdated Agenda. </w:t>
      </w:r>
    </w:p>
  </w:footnote>
  <w:footnote w:id="22">
    <w:p w14:paraId="1CB8157E" w14:textId="662C736B" w:rsidR="00146AA7" w:rsidRPr="00301974" w:rsidRDefault="00146AA7" w:rsidP="00307458">
      <w:pPr>
        <w:spacing w:after="0" w:line="240" w:lineRule="auto"/>
        <w:rPr>
          <w:rFonts w:eastAsia="Times New Roman" w:cs="Arial"/>
          <w:sz w:val="18"/>
          <w:szCs w:val="18"/>
        </w:rPr>
      </w:pPr>
      <w:r w:rsidRPr="00301974">
        <w:rPr>
          <w:rStyle w:val="FootnoteReference"/>
          <w:rFonts w:cs="Arial"/>
          <w:sz w:val="18"/>
          <w:szCs w:val="18"/>
        </w:rPr>
        <w:footnoteRef/>
      </w:r>
      <w:r w:rsidRPr="00301974">
        <w:rPr>
          <w:rFonts w:cs="Arial"/>
          <w:sz w:val="18"/>
          <w:szCs w:val="18"/>
        </w:rPr>
        <w:t xml:space="preserve"> Joint position paper on a Comprehensive Child Rights Strategy co-signed by 40 international and European co-signatories, July 2020</w:t>
      </w:r>
      <w:r w:rsidRPr="00301974">
        <w:rPr>
          <w:rFonts w:eastAsia="Times New Roman" w:cs="Arial"/>
          <w:sz w:val="18"/>
          <w:szCs w:val="18"/>
        </w:rPr>
        <w:t>.</w:t>
      </w:r>
    </w:p>
  </w:footnote>
  <w:footnote w:id="23">
    <w:p w14:paraId="30B649F5" w14:textId="77777777" w:rsidR="00136166" w:rsidRPr="00301974" w:rsidRDefault="00136166" w:rsidP="00136166">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The COVID-19 crisis has left many persons with disabilities excluded and with lack of information, in particular deafblind people and persons living in institution. The reason for that is their hardened access to information without the adequate support (interpreters, personal assistants, and support persons – limited access due to the COVID-19 measures).</w:t>
      </w:r>
    </w:p>
  </w:footnote>
  <w:footnote w:id="24">
    <w:p w14:paraId="27EFBBDC" w14:textId="77777777" w:rsidR="003F10E9" w:rsidRPr="00301974" w:rsidRDefault="003F10E9" w:rsidP="003F10E9">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w:t>
      </w:r>
      <w:hyperlink r:id="rId10" w:history="1">
        <w:r w:rsidRPr="00301974">
          <w:rPr>
            <w:rStyle w:val="Hyperlink"/>
            <w:rFonts w:cs="Arial"/>
            <w:sz w:val="18"/>
            <w:szCs w:val="18"/>
          </w:rPr>
          <w:t>Commission communication to the Council and the European Parliament: Mutual recognition of final decisions in criminal matters [COM(2000) 495 final - not published in the Official Journal]; Summary</w:t>
        </w:r>
      </w:hyperlink>
      <w:r w:rsidRPr="00301974">
        <w:rPr>
          <w:rFonts w:cs="Arial"/>
          <w:sz w:val="18"/>
          <w:szCs w:val="18"/>
        </w:rPr>
        <w:t xml:space="preserve"> </w:t>
      </w:r>
    </w:p>
  </w:footnote>
  <w:footnote w:id="25">
    <w:p w14:paraId="44DDC8BB" w14:textId="68101D9C" w:rsidR="00146AA7" w:rsidRPr="00301974" w:rsidRDefault="00146AA7" w:rsidP="00837829">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w:t>
      </w:r>
      <w:r w:rsidR="005E5773" w:rsidRPr="00301974">
        <w:rPr>
          <w:rFonts w:cs="Arial"/>
          <w:sz w:val="18"/>
          <w:szCs w:val="18"/>
        </w:rPr>
        <w:t>Directive (EU) 2019/882 of the European Parliament and of the Council of 17 April 2019 on the accessibility requirements for products and services (Text with EEA relevance)</w:t>
      </w:r>
    </w:p>
  </w:footnote>
  <w:footnote w:id="26">
    <w:p w14:paraId="36B03234" w14:textId="152FA093" w:rsidR="003013E0" w:rsidRPr="00C20C7F" w:rsidRDefault="003013E0" w:rsidP="003013E0">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Most Member States are late in the transposition deadline by 2022. Currently, there are open </w:t>
      </w:r>
      <w:hyperlink r:id="rId11" w:history="1">
        <w:r w:rsidRPr="00301974">
          <w:rPr>
            <w:rStyle w:val="Hyperlink"/>
            <w:rFonts w:cs="Arial"/>
            <w:sz w:val="18"/>
            <w:szCs w:val="18"/>
          </w:rPr>
          <w:t>infringement proceedings against 10 Member States</w:t>
        </w:r>
      </w:hyperlink>
      <w:r w:rsidRPr="00301974">
        <w:rPr>
          <w:rFonts w:cs="Arial"/>
          <w:sz w:val="18"/>
          <w:szCs w:val="18"/>
        </w:rPr>
        <w:t>.</w:t>
      </w:r>
    </w:p>
  </w:footnote>
  <w:footnote w:id="27">
    <w:p w14:paraId="5527119B" w14:textId="77C3A150" w:rsidR="005364DA" w:rsidRPr="00301974" w:rsidRDefault="005364DA">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The Act covers specific products and services mainly in the digital domain such as: computer and operating systems, ATMs, ticketing and check-in machines, smartphones, TV equipment related to digital television services, telephony services and related equipment, access to audio-visual media services such as television broadcast and related consumer equipment, services related to air, bus, rail and waterborne passenger transport, banking services, e-books, e-commerce.</w:t>
      </w:r>
    </w:p>
  </w:footnote>
  <w:footnote w:id="28">
    <w:p w14:paraId="4408B010" w14:textId="3C80328D" w:rsidR="00CC7252" w:rsidRPr="00301974" w:rsidRDefault="00CC7252">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In certain cases, such as in relation to the built environment the EU undertakes soft measures, such as promotion of the development and application of a European standard on accessibility and usability of the built environment. Due to their voluntary nature and lack binding obligations in the Accessibility Act, such initiatives are however not sufficient to ensure a harmonised approach to accessibility for persons with disabilities to the built environment throughout the EU.</w:t>
      </w:r>
    </w:p>
  </w:footnote>
  <w:footnote w:id="29">
    <w:p w14:paraId="1DDD3A04" w14:textId="0F92FEFE" w:rsidR="00823033" w:rsidRPr="00301974" w:rsidRDefault="00823033">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Such as </w:t>
      </w:r>
      <w:hyperlink r:id="rId12" w:history="1">
        <w:r w:rsidRPr="00301974">
          <w:rPr>
            <w:rStyle w:val="Hyperlink"/>
            <w:rFonts w:cs="Arial"/>
            <w:sz w:val="18"/>
            <w:szCs w:val="18"/>
          </w:rPr>
          <w:t>ANEC</w:t>
        </w:r>
      </w:hyperlink>
      <w:r w:rsidR="00D17D1A" w:rsidRPr="00301974">
        <w:rPr>
          <w:rStyle w:val="Hyperlink"/>
          <w:rFonts w:cs="Arial"/>
          <w:sz w:val="18"/>
          <w:szCs w:val="18"/>
        </w:rPr>
        <w:t>.</w:t>
      </w:r>
    </w:p>
  </w:footnote>
  <w:footnote w:id="30">
    <w:p w14:paraId="7A063835" w14:textId="357E5A45" w:rsidR="005E5773" w:rsidRPr="00301974" w:rsidRDefault="005E5773">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See </w:t>
      </w:r>
      <w:hyperlink r:id="rId13" w:history="1">
        <w:r w:rsidRPr="00301974">
          <w:rPr>
            <w:rStyle w:val="Hyperlink"/>
            <w:rFonts w:cs="Arial"/>
            <w:sz w:val="18"/>
            <w:szCs w:val="18"/>
          </w:rPr>
          <w:t>EDF Position on draft standardisation request of the European Commission</w:t>
        </w:r>
      </w:hyperlink>
      <w:r w:rsidRPr="00301974">
        <w:rPr>
          <w:rFonts w:cs="Arial"/>
          <w:sz w:val="18"/>
          <w:szCs w:val="18"/>
        </w:rPr>
        <w:t xml:space="preserve">. </w:t>
      </w:r>
    </w:p>
  </w:footnote>
  <w:footnote w:id="31">
    <w:p w14:paraId="04962A53" w14:textId="0422AF72" w:rsidR="001755AE" w:rsidRPr="00301974" w:rsidRDefault="001755AE">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See also the </w:t>
      </w:r>
      <w:hyperlink r:id="rId14" w:history="1">
        <w:r w:rsidRPr="00301974">
          <w:rPr>
            <w:rStyle w:val="Hyperlink"/>
            <w:rFonts w:cs="Arial"/>
            <w:sz w:val="18"/>
            <w:szCs w:val="18"/>
          </w:rPr>
          <w:t>murder of 4 people with disabilities in an institution in Germany</w:t>
        </w:r>
      </w:hyperlink>
      <w:r w:rsidRPr="00301974">
        <w:rPr>
          <w:rFonts w:cs="Arial"/>
          <w:sz w:val="18"/>
          <w:szCs w:val="18"/>
        </w:rPr>
        <w:t xml:space="preserve"> in 2021. </w:t>
      </w:r>
    </w:p>
  </w:footnote>
  <w:footnote w:id="32">
    <w:p w14:paraId="7377ACEA" w14:textId="0E4F0F80" w:rsidR="00067B6B" w:rsidRPr="00301974" w:rsidRDefault="00067B6B">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More information under article 11. </w:t>
      </w:r>
    </w:p>
  </w:footnote>
  <w:footnote w:id="33">
    <w:p w14:paraId="4444C2AF" w14:textId="1692DF81" w:rsidR="008116B2" w:rsidRPr="00301974" w:rsidRDefault="008116B2">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Autism-Europe, </w:t>
      </w:r>
      <w:hyperlink r:id="rId15" w:history="1">
        <w:r w:rsidRPr="00301974">
          <w:rPr>
            <w:rStyle w:val="Hyperlink"/>
            <w:rFonts w:cs="Arial"/>
            <w:sz w:val="18"/>
            <w:szCs w:val="18"/>
          </w:rPr>
          <w:t>Impact of COVID-19 on autistic people and their families across Europe</w:t>
        </w:r>
      </w:hyperlink>
      <w:r w:rsidRPr="00301974">
        <w:rPr>
          <w:rFonts w:cs="Arial"/>
          <w:sz w:val="18"/>
          <w:szCs w:val="18"/>
        </w:rPr>
        <w:t xml:space="preserve"> (December 2020)</w:t>
      </w:r>
    </w:p>
  </w:footnote>
  <w:footnote w:id="34">
    <w:p w14:paraId="6D0D5439" w14:textId="77777777" w:rsidR="007754B5" w:rsidRPr="00301974" w:rsidRDefault="007754B5" w:rsidP="007754B5">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w:t>
      </w:r>
      <w:r w:rsidRPr="00301974">
        <w:rPr>
          <w:rFonts w:cs="Arial"/>
          <w:color w:val="393939"/>
          <w:sz w:val="18"/>
          <w:szCs w:val="18"/>
          <w:shd w:val="clear" w:color="auto" w:fill="FFFFFF"/>
        </w:rPr>
        <w:t xml:space="preserve">A. Comas-Herrera, </w:t>
      </w:r>
      <w:hyperlink r:id="rId16" w:history="1">
        <w:r w:rsidRPr="00301974">
          <w:rPr>
            <w:rStyle w:val="Hyperlink"/>
            <w:rFonts w:cs="Arial"/>
            <w:sz w:val="18"/>
            <w:szCs w:val="18"/>
            <w:shd w:val="clear" w:color="auto" w:fill="FFFFFF"/>
          </w:rPr>
          <w:t>Mortality associated with COVID-19 outbreaks in care homes: early international evidence</w:t>
        </w:r>
      </w:hyperlink>
      <w:r w:rsidRPr="00301974">
        <w:rPr>
          <w:rFonts w:cs="Arial"/>
          <w:color w:val="393939"/>
          <w:sz w:val="18"/>
          <w:szCs w:val="18"/>
          <w:shd w:val="clear" w:color="auto" w:fill="FFFFFF"/>
        </w:rPr>
        <w:t xml:space="preserve"> (May 2020)</w:t>
      </w:r>
    </w:p>
  </w:footnote>
  <w:footnote w:id="35">
    <w:p w14:paraId="745C9818" w14:textId="52F3AA1E" w:rsidR="00F4180A" w:rsidRPr="00301974" w:rsidRDefault="00F4180A">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Alz</w:t>
      </w:r>
      <w:r w:rsidR="00DD1873" w:rsidRPr="00301974">
        <w:rPr>
          <w:rFonts w:cs="Arial"/>
          <w:sz w:val="18"/>
          <w:szCs w:val="18"/>
        </w:rPr>
        <w:t xml:space="preserve">heimer Europe, </w:t>
      </w:r>
      <w:hyperlink r:id="rId17" w:history="1">
        <w:r w:rsidR="00DD1873" w:rsidRPr="00301974">
          <w:rPr>
            <w:rStyle w:val="Hyperlink"/>
            <w:rFonts w:cs="Arial"/>
            <w:sz w:val="18"/>
            <w:szCs w:val="18"/>
          </w:rPr>
          <w:t>Wellbeing of people with dementia and carers during the COVID-19 pandemic</w:t>
        </w:r>
      </w:hyperlink>
      <w:r w:rsidR="00DD1873" w:rsidRPr="00301974">
        <w:rPr>
          <w:rFonts w:cs="Arial"/>
          <w:sz w:val="18"/>
          <w:szCs w:val="18"/>
        </w:rPr>
        <w:t xml:space="preserve"> (2020) </w:t>
      </w:r>
    </w:p>
  </w:footnote>
  <w:footnote w:id="36">
    <w:p w14:paraId="471C807A" w14:textId="77777777" w:rsidR="002709C7" w:rsidRPr="00301974" w:rsidRDefault="002709C7" w:rsidP="002709C7">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European Centre for Disease Prevention and Control. </w:t>
      </w:r>
      <w:hyperlink r:id="rId18" w:history="1">
        <w:r w:rsidRPr="00301974">
          <w:rPr>
            <w:rStyle w:val="Hyperlink"/>
            <w:rFonts w:cs="Arial"/>
            <w:sz w:val="18"/>
            <w:szCs w:val="18"/>
          </w:rPr>
          <w:t>Guidance on the provision of support for medically and socially vulnerable populations in EU/EEA countries and the United Kingdom during the COVID-19 pandemic</w:t>
        </w:r>
      </w:hyperlink>
      <w:r w:rsidRPr="00301974">
        <w:rPr>
          <w:rFonts w:cs="Arial"/>
          <w:sz w:val="18"/>
          <w:szCs w:val="18"/>
        </w:rPr>
        <w:t xml:space="preserve">, 3 July 2020. Stockholm: ECDC; 2020.  </w:t>
      </w:r>
    </w:p>
  </w:footnote>
  <w:footnote w:id="37">
    <w:p w14:paraId="2B79AB3A" w14:textId="77777777" w:rsidR="002709C7" w:rsidRPr="00301974" w:rsidRDefault="002709C7" w:rsidP="002709C7">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Indirect threats to the rights to life may include including comorbidities as an assessment criterion for the prediction of survival, in triage procedures.</w:t>
      </w:r>
    </w:p>
  </w:footnote>
  <w:footnote w:id="38">
    <w:p w14:paraId="75AAA0EA" w14:textId="77777777" w:rsidR="002709C7" w:rsidRPr="00301974" w:rsidRDefault="002709C7" w:rsidP="002709C7">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Degener, Theresia. 2024. “The Human Rights Model of Disability in Times of Triage.” Scandinavian Journal of Disability Research 26(1): 437–449. DOI: https://doi. org/10.16993/sjdr.1088</w:t>
      </w:r>
    </w:p>
  </w:footnote>
  <w:footnote w:id="39">
    <w:p w14:paraId="7946F95E" w14:textId="48638C2C" w:rsidR="00F61BFB" w:rsidRPr="00301974" w:rsidRDefault="00F61BFB">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w:t>
      </w:r>
      <w:hyperlink r:id="rId19" w:history="1">
        <w:r w:rsidRPr="00301974">
          <w:rPr>
            <w:rStyle w:val="Hyperlink"/>
            <w:rFonts w:cs="Arial"/>
            <w:sz w:val="18"/>
            <w:szCs w:val="18"/>
          </w:rPr>
          <w:t>https://www.breakingthesilenceongaza.org/disability-data-in-gaza</w:t>
        </w:r>
      </w:hyperlink>
      <w:r w:rsidRPr="00301974">
        <w:rPr>
          <w:rFonts w:cs="Arial"/>
          <w:sz w:val="18"/>
          <w:szCs w:val="18"/>
        </w:rPr>
        <w:t xml:space="preserve"> </w:t>
      </w:r>
    </w:p>
  </w:footnote>
  <w:footnote w:id="40">
    <w:p w14:paraId="3552B5FC" w14:textId="4A599B22" w:rsidR="003379B0" w:rsidRPr="00301974" w:rsidRDefault="003379B0">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From Disability Information Resources (DINF): </w:t>
      </w:r>
      <w:hyperlink r:id="rId20" w:history="1">
        <w:r w:rsidRPr="00301974">
          <w:rPr>
            <w:rStyle w:val="Hyperlink"/>
            <w:rFonts w:cs="Arial"/>
            <w:sz w:val="18"/>
            <w:szCs w:val="18"/>
          </w:rPr>
          <w:t>https://www.dinf.ne.jp/doc/english/twg/escap_121031/fujii.html</w:t>
        </w:r>
      </w:hyperlink>
      <w:r w:rsidRPr="00301974">
        <w:rPr>
          <w:rFonts w:cs="Arial"/>
          <w:sz w:val="18"/>
          <w:szCs w:val="18"/>
        </w:rPr>
        <w:t xml:space="preserve"> </w:t>
      </w:r>
    </w:p>
  </w:footnote>
  <w:footnote w:id="41">
    <w:p w14:paraId="45099C68" w14:textId="3FEFE8A4" w:rsidR="00F76F44" w:rsidRPr="00301974" w:rsidRDefault="00F76F44" w:rsidP="00F76F44">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The EUs Common European Asylum System consists of five pieces of legislation; the Asylum Procedures Directive, the Reception Conditions Directive, the Qualification Directive, the EURODAC Regulation and the Dublin Regulation. These pieces of legislation set out common standards for asylum decision making and reception conditions, and are part of the new Pact on Migration and Asylum.</w:t>
      </w:r>
    </w:p>
  </w:footnote>
  <w:footnote w:id="42">
    <w:p w14:paraId="0CF32861" w14:textId="032E4FE9" w:rsidR="00AC60DC" w:rsidRPr="00301974" w:rsidRDefault="00AC60DC">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The </w:t>
      </w:r>
      <w:hyperlink r:id="rId21" w:history="1">
        <w:r w:rsidRPr="00301974">
          <w:rPr>
            <w:rStyle w:val="Hyperlink"/>
            <w:rFonts w:cs="Arial"/>
            <w:sz w:val="18"/>
            <w:szCs w:val="18"/>
          </w:rPr>
          <w:t>European Commission’s 2022 Report on the implementation of 112</w:t>
        </w:r>
      </w:hyperlink>
      <w:r w:rsidRPr="00301974">
        <w:rPr>
          <w:rFonts w:cs="Arial"/>
          <w:sz w:val="18"/>
          <w:szCs w:val="18"/>
        </w:rPr>
        <w:t>, highlighted the following: End-users with disabilities do not benefit from fully equivalent means of access to emergency services, especially when roaming. When these end-users are not able to place a call to ‘112’, they have to rely on nationally fragmented solutions. This state of affairs is in contrast with the availability of the harmonised single European emergency number ‘112’ for other end-users and represents a significant void in the accessibility of emergency services.</w:t>
      </w:r>
    </w:p>
  </w:footnote>
  <w:footnote w:id="43">
    <w:p w14:paraId="6AFE1EB3" w14:textId="45EB2C7C" w:rsidR="00AE2410" w:rsidRPr="00301974" w:rsidRDefault="00AE2410">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See more information</w:t>
      </w:r>
      <w:r w:rsidR="008257FE" w:rsidRPr="00301974">
        <w:rPr>
          <w:rFonts w:cs="Arial"/>
          <w:sz w:val="18"/>
          <w:szCs w:val="18"/>
        </w:rPr>
        <w:t xml:space="preserve"> about the Directive</w:t>
      </w:r>
      <w:r w:rsidRPr="00301974">
        <w:rPr>
          <w:rFonts w:cs="Arial"/>
          <w:sz w:val="18"/>
          <w:szCs w:val="18"/>
        </w:rPr>
        <w:t xml:space="preserve"> under article 21. </w:t>
      </w:r>
    </w:p>
  </w:footnote>
  <w:footnote w:id="44">
    <w:p w14:paraId="5EFF9C99" w14:textId="6733E09B" w:rsidR="00A05829" w:rsidRPr="00301974" w:rsidRDefault="00A05829">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More information on the restriction linked to legal capacity to the right to vote and to stand for elections is available under article </w:t>
      </w:r>
      <w:r w:rsidR="00B13065" w:rsidRPr="00301974">
        <w:rPr>
          <w:rFonts w:cs="Arial"/>
          <w:sz w:val="18"/>
          <w:szCs w:val="18"/>
        </w:rPr>
        <w:t>2</w:t>
      </w:r>
      <w:r w:rsidRPr="00301974">
        <w:rPr>
          <w:rFonts w:cs="Arial"/>
          <w:sz w:val="18"/>
          <w:szCs w:val="18"/>
        </w:rPr>
        <w:t xml:space="preserve">9. </w:t>
      </w:r>
    </w:p>
  </w:footnote>
  <w:footnote w:id="45">
    <w:p w14:paraId="53DF82C8" w14:textId="38656739" w:rsidR="00B87974" w:rsidRPr="00301974" w:rsidRDefault="00B87974">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Bulgaria, Croatia, Cyprus, Denmark, Estonia, France, Italy, Greece, Hungary, Luxembourg, Netherlands and Poland. </w:t>
      </w:r>
    </w:p>
  </w:footnote>
  <w:footnote w:id="46">
    <w:p w14:paraId="32410CEE" w14:textId="62AC261E" w:rsidR="00B87974" w:rsidRPr="00301974" w:rsidRDefault="00B87974">
      <w:pPr>
        <w:pStyle w:val="FootnoteText"/>
        <w:rPr>
          <w:rFonts w:cs="Arial"/>
          <w:sz w:val="18"/>
          <w:szCs w:val="18"/>
          <w:lang w:val="sv-SE"/>
        </w:rPr>
      </w:pPr>
      <w:r w:rsidRPr="00301974">
        <w:rPr>
          <w:rStyle w:val="FootnoteReference"/>
          <w:rFonts w:cs="Arial"/>
          <w:sz w:val="18"/>
          <w:szCs w:val="18"/>
        </w:rPr>
        <w:footnoteRef/>
      </w:r>
      <w:r w:rsidRPr="00301974">
        <w:rPr>
          <w:rFonts w:cs="Arial"/>
          <w:sz w:val="18"/>
          <w:szCs w:val="18"/>
          <w:lang w:val="sv-SE"/>
        </w:rPr>
        <w:t xml:space="preserve"> Belgium, Finland, Latvia, Lithuania, Malta, Romania, Slovakia, Slovenia and Sweden. </w:t>
      </w:r>
    </w:p>
  </w:footnote>
  <w:footnote w:id="47">
    <w:p w14:paraId="62F0C473" w14:textId="51B469B3" w:rsidR="00B87974" w:rsidRPr="00301974" w:rsidRDefault="00B87974">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Austria, Czechia, Germany, Ireland, Portugal and Spain. </w:t>
      </w:r>
    </w:p>
  </w:footnote>
  <w:footnote w:id="48">
    <w:p w14:paraId="3967E424" w14:textId="7FC8290B" w:rsidR="009E4EC3" w:rsidRPr="00301974" w:rsidRDefault="009E4EC3">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Through </w:t>
      </w:r>
      <w:r w:rsidR="00737CC9" w:rsidRPr="00301974">
        <w:rPr>
          <w:rFonts w:cs="Arial"/>
          <w:sz w:val="18"/>
          <w:szCs w:val="18"/>
        </w:rPr>
        <w:t xml:space="preserve">the </w:t>
      </w:r>
      <w:hyperlink r:id="rId22" w:history="1">
        <w:r w:rsidR="00737CC9" w:rsidRPr="00301974">
          <w:rPr>
            <w:rStyle w:val="Hyperlink"/>
            <w:rFonts w:cs="Arial"/>
            <w:sz w:val="18"/>
            <w:szCs w:val="18"/>
          </w:rPr>
          <w:t>Proposal for a Council decision authorising Member States to become or remain parties, in the interest of the European Union, to the Convention of 13 January 2000 on the International Protection of Adults</w:t>
        </w:r>
      </w:hyperlink>
      <w:r w:rsidR="00737CC9" w:rsidRPr="00301974">
        <w:rPr>
          <w:rFonts w:cs="Arial"/>
          <w:sz w:val="18"/>
          <w:szCs w:val="18"/>
        </w:rPr>
        <w:t xml:space="preserve">. </w:t>
      </w:r>
      <w:r w:rsidRPr="00301974">
        <w:rPr>
          <w:rFonts w:cs="Arial"/>
          <w:sz w:val="18"/>
          <w:szCs w:val="18"/>
        </w:rPr>
        <w:t xml:space="preserve"> </w:t>
      </w:r>
    </w:p>
  </w:footnote>
  <w:footnote w:id="49">
    <w:p w14:paraId="314E0C2E" w14:textId="350F5043" w:rsidR="00737CC9" w:rsidRPr="00301974" w:rsidRDefault="00737CC9">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Article 2 of the proposed regulation. </w:t>
      </w:r>
    </w:p>
  </w:footnote>
  <w:footnote w:id="50">
    <w:p w14:paraId="60B6403B" w14:textId="0D52574C" w:rsidR="00737CC9" w:rsidRPr="00301974" w:rsidRDefault="00737CC9">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Article 21 of the proposed regulation. </w:t>
      </w:r>
    </w:p>
  </w:footnote>
  <w:footnote w:id="51">
    <w:p w14:paraId="741652B9" w14:textId="4127D40C" w:rsidR="00D02E88" w:rsidRPr="00301974" w:rsidRDefault="00D02E88">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For updated information about this issue, see EDF campaign page: </w:t>
      </w:r>
      <w:hyperlink r:id="rId23" w:history="1">
        <w:r w:rsidRPr="00301974">
          <w:rPr>
            <w:rStyle w:val="Hyperlink"/>
            <w:rFonts w:cs="Arial"/>
            <w:sz w:val="18"/>
            <w:szCs w:val="18"/>
          </w:rPr>
          <w:t>https://www.edf-feph.org/protection-of-adults-across-borders/</w:t>
        </w:r>
      </w:hyperlink>
      <w:r w:rsidRPr="00301974">
        <w:rPr>
          <w:rFonts w:cs="Arial"/>
          <w:sz w:val="18"/>
          <w:szCs w:val="18"/>
        </w:rPr>
        <w:t xml:space="preserve">. </w:t>
      </w:r>
    </w:p>
  </w:footnote>
  <w:footnote w:id="52">
    <w:p w14:paraId="40A0F00A" w14:textId="0F6BB714" w:rsidR="00146AA7" w:rsidRPr="00301974" w:rsidRDefault="00146AA7" w:rsidP="00541A27">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w:t>
      </w:r>
      <w:r w:rsidRPr="00301974">
        <w:rPr>
          <w:rFonts w:cs="Arial"/>
          <w:sz w:val="18"/>
          <w:szCs w:val="18"/>
          <w:lang w:val="en-US"/>
        </w:rPr>
        <w:t xml:space="preserve">Of particular relevant for persons with disabilities are: </w:t>
      </w:r>
      <w:r w:rsidRPr="00301974">
        <w:rPr>
          <w:rFonts w:cs="Arial"/>
          <w:sz w:val="18"/>
          <w:szCs w:val="18"/>
        </w:rPr>
        <w:t>Directive 2012/29/EU of the European Parliament and of the Council of 25 October 2012 establishing minimum standards on the rights, support and protection of victims of crime</w:t>
      </w:r>
      <w:r w:rsidRPr="00301974">
        <w:rPr>
          <w:rFonts w:cs="Arial"/>
          <w:sz w:val="18"/>
          <w:szCs w:val="18"/>
          <w:lang w:val="en-US"/>
        </w:rPr>
        <w:t xml:space="preserve"> (Victims’ Rights Directive); </w:t>
      </w:r>
      <w:r w:rsidRPr="00301974">
        <w:rPr>
          <w:rFonts w:cs="Arial"/>
          <w:sz w:val="18"/>
          <w:szCs w:val="18"/>
        </w:rPr>
        <w:t>Directive 2012/13/EU of the European Parliament and of the Council of 22 May 2012 on the right to information in criminal proceedings</w:t>
      </w:r>
      <w:r w:rsidRPr="00301974">
        <w:rPr>
          <w:rFonts w:cs="Arial"/>
          <w:sz w:val="18"/>
          <w:szCs w:val="18"/>
          <w:lang w:val="en-US"/>
        </w:rPr>
        <w:t xml:space="preserve">; </w:t>
      </w:r>
      <w:r w:rsidRPr="00301974">
        <w:rPr>
          <w:rFonts w:cs="Arial"/>
          <w:sz w:val="18"/>
          <w:szCs w:val="18"/>
        </w:rPr>
        <w:t>Directive 2010/64/EU of the European Parliament and of the Council of 20 October 2010 on the right to interpretation and translation in criminal proceedings</w:t>
      </w:r>
      <w:r w:rsidR="00E70579" w:rsidRPr="00301974">
        <w:rPr>
          <w:rFonts w:cs="Arial"/>
          <w:sz w:val="18"/>
          <w:szCs w:val="18"/>
          <w:lang w:val="en-US"/>
        </w:rPr>
        <w:t xml:space="preserve">/ </w:t>
      </w:r>
    </w:p>
  </w:footnote>
  <w:footnote w:id="53">
    <w:p w14:paraId="59183731" w14:textId="6CEE436D" w:rsidR="009C3AAE" w:rsidRPr="00301974" w:rsidRDefault="009C3AAE">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For instance, the </w:t>
      </w:r>
      <w:hyperlink r:id="rId24" w:history="1">
        <w:r w:rsidRPr="00301974">
          <w:rPr>
            <w:rStyle w:val="Hyperlink"/>
            <w:rFonts w:cs="Arial"/>
            <w:sz w:val="18"/>
            <w:szCs w:val="18"/>
          </w:rPr>
          <w:t>Victims’ Rights Directive</w:t>
        </w:r>
      </w:hyperlink>
      <w:r w:rsidRPr="00301974">
        <w:rPr>
          <w:rFonts w:cs="Arial"/>
          <w:sz w:val="18"/>
          <w:szCs w:val="18"/>
        </w:rPr>
        <w:t xml:space="preserve"> specifies that “Member States should ensure that victims with disabilities are able to benefit fully from the rights set out in the Directive, on an equal basis with others, including by facilitating the accessibility to premises where criminal proceedings are conducted and access to information.”</w:t>
      </w:r>
      <w:r w:rsidR="00921EFA" w:rsidRPr="00301974">
        <w:rPr>
          <w:rFonts w:cs="Arial"/>
          <w:sz w:val="18"/>
          <w:szCs w:val="18"/>
        </w:rPr>
        <w:t xml:space="preserve"> The </w:t>
      </w:r>
      <w:hyperlink r:id="rId25" w:history="1">
        <w:r w:rsidR="00921EFA" w:rsidRPr="00301974">
          <w:rPr>
            <w:rStyle w:val="Hyperlink"/>
            <w:rFonts w:cs="Arial"/>
            <w:sz w:val="18"/>
            <w:szCs w:val="18"/>
          </w:rPr>
          <w:t>Directive on procedural safeguards for children who are suspects or accused persons in criminal proceedings</w:t>
        </w:r>
      </w:hyperlink>
      <w:r w:rsidR="00921EFA" w:rsidRPr="00301974">
        <w:rPr>
          <w:rFonts w:cs="Arial"/>
          <w:sz w:val="18"/>
          <w:szCs w:val="18"/>
        </w:rPr>
        <w:t xml:space="preserve"> makes specific references to children with disabilities, including children with intellectual disabilities, accessible language and the right to education of all children deprived of their liberty.  </w:t>
      </w:r>
    </w:p>
  </w:footnote>
  <w:footnote w:id="54">
    <w:p w14:paraId="4FB498E4" w14:textId="3D70117D" w:rsidR="00146AA7" w:rsidRPr="00301974" w:rsidRDefault="00146AA7" w:rsidP="00837829">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EDF </w:t>
      </w:r>
      <w:hyperlink r:id="rId26" w:history="1">
        <w:r w:rsidRPr="00301974">
          <w:rPr>
            <w:rStyle w:val="Hyperlink"/>
            <w:rFonts w:cs="Arial"/>
            <w:sz w:val="18"/>
            <w:szCs w:val="18"/>
          </w:rPr>
          <w:t>Manifesto on the rights of women and girls with disabilities</w:t>
        </w:r>
      </w:hyperlink>
      <w:r w:rsidR="00755607" w:rsidRPr="00301974">
        <w:rPr>
          <w:rFonts w:cs="Arial"/>
          <w:sz w:val="18"/>
          <w:szCs w:val="18"/>
        </w:rPr>
        <w:t xml:space="preserve"> (</w:t>
      </w:r>
      <w:r w:rsidRPr="00301974">
        <w:rPr>
          <w:rFonts w:cs="Arial"/>
          <w:sz w:val="18"/>
          <w:szCs w:val="18"/>
        </w:rPr>
        <w:t>2011</w:t>
      </w:r>
      <w:r w:rsidR="00755607" w:rsidRPr="00301974">
        <w:rPr>
          <w:rFonts w:cs="Arial"/>
          <w:sz w:val="18"/>
          <w:szCs w:val="18"/>
        </w:rPr>
        <w:t>)</w:t>
      </w:r>
      <w:r w:rsidR="00344AFB" w:rsidRPr="00301974">
        <w:rPr>
          <w:rFonts w:cs="Arial"/>
          <w:sz w:val="18"/>
          <w:szCs w:val="18"/>
        </w:rPr>
        <w:t>.</w:t>
      </w:r>
    </w:p>
  </w:footnote>
  <w:footnote w:id="55">
    <w:p w14:paraId="6A8D26BC" w14:textId="1790D993" w:rsidR="00203A6F" w:rsidRPr="00301974" w:rsidRDefault="00203A6F">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See new article 26(c) of the proposal. </w:t>
      </w:r>
    </w:p>
  </w:footnote>
  <w:footnote w:id="56">
    <w:p w14:paraId="738B13DB" w14:textId="07BE7A2F" w:rsidR="00146AA7" w:rsidRPr="00301974" w:rsidRDefault="00146AA7">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w:t>
      </w:r>
      <w:hyperlink r:id="rId27" w:history="1">
        <w:r w:rsidRPr="00301974">
          <w:rPr>
            <w:rStyle w:val="Hyperlink"/>
            <w:rFonts w:cs="Arial"/>
            <w:sz w:val="18"/>
            <w:szCs w:val="18"/>
          </w:rPr>
          <w:t>Council Directive 2002/8/EC of 27 January 2003 to improve access to justice in cross-border disputes by establishing minimum common rules relating to legal aid for such disputes</w:t>
        </w:r>
      </w:hyperlink>
    </w:p>
  </w:footnote>
  <w:footnote w:id="57">
    <w:p w14:paraId="58B8537F" w14:textId="1C53DACE" w:rsidR="00221D63" w:rsidRPr="00301974" w:rsidRDefault="00221D63" w:rsidP="00221D63">
      <w:pPr>
        <w:pStyle w:val="FootnoteText"/>
        <w:rPr>
          <w:rFonts w:cs="Arial"/>
          <w:bCs/>
          <w:sz w:val="18"/>
          <w:szCs w:val="18"/>
        </w:rPr>
      </w:pPr>
      <w:r w:rsidRPr="00301974">
        <w:rPr>
          <w:rStyle w:val="FootnoteReference"/>
          <w:rFonts w:cs="Arial"/>
          <w:sz w:val="18"/>
          <w:szCs w:val="18"/>
        </w:rPr>
        <w:footnoteRef/>
      </w:r>
      <w:r w:rsidRPr="00301974">
        <w:rPr>
          <w:rFonts w:cs="Arial"/>
          <w:sz w:val="18"/>
          <w:szCs w:val="18"/>
        </w:rPr>
        <w:t xml:space="preserve"> </w:t>
      </w:r>
      <w:r w:rsidR="005E1F82" w:rsidRPr="00301974">
        <w:rPr>
          <w:rFonts w:cs="Arial"/>
          <w:sz w:val="18"/>
          <w:szCs w:val="18"/>
        </w:rPr>
        <w:t xml:space="preserve">The </w:t>
      </w:r>
      <w:hyperlink r:id="rId28" w:history="1">
        <w:r w:rsidR="005E1F82" w:rsidRPr="00301974">
          <w:rPr>
            <w:rStyle w:val="Hyperlink"/>
            <w:rFonts w:cs="Arial"/>
            <w:sz w:val="18"/>
            <w:szCs w:val="18"/>
          </w:rPr>
          <w:t>Europe’s Digital Decade: digital targets for 2030</w:t>
        </w:r>
      </w:hyperlink>
      <w:r w:rsidR="005E1F82" w:rsidRPr="00301974">
        <w:rPr>
          <w:rFonts w:cs="Arial"/>
          <w:sz w:val="18"/>
          <w:szCs w:val="18"/>
        </w:rPr>
        <w:t xml:space="preserve"> for example aims to support digital skill-building of EU citizens, but does not foresee ensuring this is accessible for persons with disabilities. </w:t>
      </w:r>
      <w:r w:rsidRPr="00301974">
        <w:rPr>
          <w:rFonts w:cs="Arial"/>
          <w:sz w:val="18"/>
          <w:szCs w:val="18"/>
        </w:rPr>
        <w:t xml:space="preserve">A study indicates that in 2012, </w:t>
      </w:r>
      <w:r w:rsidRPr="00301974">
        <w:rPr>
          <w:rFonts w:cs="Arial"/>
          <w:sz w:val="18"/>
          <w:szCs w:val="18"/>
          <w:lang w:val="en-US"/>
        </w:rPr>
        <w:t xml:space="preserve">on average 7 out of 10 European citizens had Internet access at home but only 5 out of 10 among those who declared an activity limitation connected to impairment or disability. See Scholz, Yalcin and Priestley, </w:t>
      </w:r>
      <w:hyperlink r:id="rId29" w:history="1">
        <w:r w:rsidRPr="00301974">
          <w:rPr>
            <w:rStyle w:val="Hyperlink"/>
            <w:rFonts w:cs="Arial"/>
            <w:bCs/>
            <w:sz w:val="18"/>
            <w:szCs w:val="18"/>
          </w:rPr>
          <w:t>Internet access for disabled people: Understanding socio-relational factors in Europe</w:t>
        </w:r>
      </w:hyperlink>
      <w:r w:rsidRPr="00301974">
        <w:rPr>
          <w:rFonts w:cs="Arial"/>
          <w:bCs/>
          <w:sz w:val="18"/>
          <w:szCs w:val="18"/>
        </w:rPr>
        <w:t xml:space="preserve"> (2017).</w:t>
      </w:r>
      <w:r w:rsidR="005E1F82" w:rsidRPr="00301974">
        <w:rPr>
          <w:rFonts w:cs="Arial"/>
          <w:bCs/>
          <w:sz w:val="18"/>
          <w:szCs w:val="18"/>
        </w:rPr>
        <w:t xml:space="preserve"> According to the </w:t>
      </w:r>
      <w:hyperlink r:id="rId30" w:history="1">
        <w:r w:rsidR="005E1F82" w:rsidRPr="00301974">
          <w:rPr>
            <w:rStyle w:val="Hyperlink"/>
            <w:rFonts w:cs="Arial"/>
            <w:bCs/>
            <w:sz w:val="18"/>
            <w:szCs w:val="18"/>
          </w:rPr>
          <w:t>EU Strategy for the Rights of Persons with Disabilities only 64,3% of persons with disabilities aged 16+ have an internet connection at home compared to 87.9% of persons without disabilities</w:t>
        </w:r>
      </w:hyperlink>
      <w:r w:rsidR="005E1F82" w:rsidRPr="00301974">
        <w:rPr>
          <w:rFonts w:cs="Arial"/>
          <w:bCs/>
          <w:sz w:val="18"/>
          <w:szCs w:val="18"/>
        </w:rPr>
        <w:t xml:space="preserve"> (p.6). </w:t>
      </w:r>
    </w:p>
  </w:footnote>
  <w:footnote w:id="58">
    <w:p w14:paraId="008A587C" w14:textId="3A8A52BB" w:rsidR="00943621" w:rsidRPr="00301974" w:rsidRDefault="00943621">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The information available on persons with disabilities in the 2020</w:t>
      </w:r>
      <w:r w:rsidR="007C231D" w:rsidRPr="00301974">
        <w:rPr>
          <w:rFonts w:cs="Arial"/>
          <w:sz w:val="18"/>
          <w:szCs w:val="18"/>
        </w:rPr>
        <w:t xml:space="preserve"> and </w:t>
      </w:r>
      <w:hyperlink r:id="rId31" w:history="1">
        <w:r w:rsidR="007C231D" w:rsidRPr="00301974">
          <w:rPr>
            <w:rStyle w:val="Hyperlink"/>
            <w:rFonts w:cs="Arial"/>
            <w:sz w:val="18"/>
            <w:szCs w:val="18"/>
          </w:rPr>
          <w:t>2021</w:t>
        </w:r>
        <w:r w:rsidRPr="00301974">
          <w:rPr>
            <w:rStyle w:val="Hyperlink"/>
            <w:rFonts w:cs="Arial"/>
            <w:sz w:val="18"/>
            <w:szCs w:val="18"/>
          </w:rPr>
          <w:t xml:space="preserve"> Justice Scoreboard</w:t>
        </w:r>
      </w:hyperlink>
      <w:r w:rsidRPr="00301974">
        <w:rPr>
          <w:rFonts w:cs="Arial"/>
          <w:sz w:val="18"/>
          <w:szCs w:val="18"/>
        </w:rPr>
        <w:t xml:space="preserve"> only focused on Deaf, hard of hearing, partly sighted and blind people. It included “online information for visually or hearing impaired,” training in communication for judges on “communication with visually/hearing impaired,” and survey conducted among court users or legal professional on “needs and satisfaction of visually/hearing impaired.” </w:t>
      </w:r>
    </w:p>
  </w:footnote>
  <w:footnote w:id="59">
    <w:p w14:paraId="71BD1F57" w14:textId="296CF1FC" w:rsidR="00C450CE" w:rsidRPr="00301974" w:rsidRDefault="00C450CE">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w:t>
      </w:r>
      <w:r w:rsidR="003A1735" w:rsidRPr="00301974">
        <w:rPr>
          <w:rFonts w:cs="Arial"/>
          <w:sz w:val="18"/>
          <w:szCs w:val="18"/>
        </w:rPr>
        <w:t>For example, the</w:t>
      </w:r>
      <w:r w:rsidRPr="00301974">
        <w:rPr>
          <w:rFonts w:cs="Arial"/>
          <w:sz w:val="18"/>
          <w:szCs w:val="18"/>
        </w:rPr>
        <w:t xml:space="preserve"> European Deafblind Union reports that Deafblind people are sometimes still detained in psychiatric institutions because of communication barriers. </w:t>
      </w:r>
    </w:p>
  </w:footnote>
  <w:footnote w:id="60">
    <w:p w14:paraId="506CCDD3" w14:textId="31B52CD8" w:rsidR="00C67CC5" w:rsidRPr="00301974" w:rsidRDefault="00C67CC5">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The Council of Europe is an international organisation founded in 1949 with the aim to uphold human rights, </w:t>
      </w:r>
      <w:r w:rsidR="00057EEF" w:rsidRPr="00301974">
        <w:rPr>
          <w:rFonts w:cs="Arial"/>
          <w:sz w:val="18"/>
          <w:szCs w:val="18"/>
        </w:rPr>
        <w:t>democracy,</w:t>
      </w:r>
      <w:r w:rsidRPr="00301974">
        <w:rPr>
          <w:rFonts w:cs="Arial"/>
          <w:sz w:val="18"/>
          <w:szCs w:val="18"/>
        </w:rPr>
        <w:t xml:space="preserve"> and the rule of law in Europe. It has </w:t>
      </w:r>
      <w:hyperlink r:id="rId32" w:history="1">
        <w:r w:rsidRPr="00301974">
          <w:rPr>
            <w:rStyle w:val="Hyperlink"/>
            <w:rFonts w:cs="Arial"/>
            <w:sz w:val="18"/>
            <w:szCs w:val="18"/>
          </w:rPr>
          <w:t>47 member states</w:t>
        </w:r>
      </w:hyperlink>
      <w:r w:rsidRPr="00301974">
        <w:rPr>
          <w:rFonts w:cs="Arial"/>
          <w:sz w:val="18"/>
          <w:szCs w:val="18"/>
        </w:rPr>
        <w:t xml:space="preserve"> which have ratified the European Convention of Human Rights and are therefore overseen by the European Court of Human Rights, an entity separate from the European Union. 46 member states have ratified the CRPD.</w:t>
      </w:r>
    </w:p>
  </w:footnote>
  <w:footnote w:id="61">
    <w:p w14:paraId="440D4C88" w14:textId="0C1CB33F" w:rsidR="00974C3D" w:rsidRPr="00301974" w:rsidRDefault="00974C3D">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EDF raised several times the issue of the draft additional protocol to the Oviedo Convention in letters sent to the EU Commissioner on Equality and the Commission for Health, as well as the Council of the EU’s Working Party on Human Rights (COHOM) and </w:t>
      </w:r>
      <w:hyperlink r:id="rId33" w:history="1">
        <w:r w:rsidRPr="00301974">
          <w:rPr>
            <w:rStyle w:val="Hyperlink"/>
            <w:rFonts w:cs="Arial"/>
            <w:sz w:val="18"/>
            <w:szCs w:val="18"/>
          </w:rPr>
          <w:t>Working Party on the OSCE and Council of Europe</w:t>
        </w:r>
      </w:hyperlink>
      <w:r w:rsidRPr="00301974">
        <w:rPr>
          <w:rFonts w:cs="Arial"/>
          <w:sz w:val="18"/>
          <w:szCs w:val="18"/>
        </w:rPr>
        <w:t>. EDF also met with the Delegation of the EU to the Council of Europe. On 25</w:t>
      </w:r>
      <w:r w:rsidRPr="00301974">
        <w:rPr>
          <w:rFonts w:cs="Arial"/>
          <w:sz w:val="18"/>
          <w:szCs w:val="18"/>
          <w:vertAlign w:val="superscript"/>
        </w:rPr>
        <w:t>th</w:t>
      </w:r>
      <w:r w:rsidRPr="00301974">
        <w:rPr>
          <w:rFonts w:cs="Arial"/>
          <w:sz w:val="18"/>
          <w:szCs w:val="18"/>
        </w:rPr>
        <w:t xml:space="preserve"> of October 2021, 10 </w:t>
      </w:r>
      <w:hyperlink r:id="rId34" w:history="1">
        <w:r w:rsidRPr="00301974">
          <w:rPr>
            <w:rStyle w:val="Hyperlink"/>
            <w:rFonts w:cs="Arial"/>
            <w:sz w:val="18"/>
            <w:szCs w:val="18"/>
          </w:rPr>
          <w:t>members of the European Parliament sent a letter</w:t>
        </w:r>
      </w:hyperlink>
      <w:r w:rsidRPr="00301974">
        <w:rPr>
          <w:rFonts w:cs="Arial"/>
          <w:sz w:val="18"/>
          <w:szCs w:val="18"/>
        </w:rPr>
        <w:t xml:space="preserve"> to the Committee of Bioethics of the Council of Europe on the topic. </w:t>
      </w:r>
    </w:p>
  </w:footnote>
  <w:footnote w:id="62">
    <w:p w14:paraId="5D3796D0" w14:textId="77777777" w:rsidR="005D2C8B" w:rsidRPr="00301974" w:rsidRDefault="005D2C8B" w:rsidP="005D2C8B">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Raboch, J., Kališová, L., Nawka, A., Kitzlerová, E., Onchev, G., Karastergiou, A., … Kallert, T. W. (2010). Use of Coercive Measures During Involuntary Hospitalization: Findings From Ten European Countries. Psychiatric Services, 61(10), 1012–1017. https://doi.org/10.1176/ps.2010.61.10.1012</w:t>
      </w:r>
    </w:p>
  </w:footnote>
  <w:footnote w:id="63">
    <w:p w14:paraId="38A199E1" w14:textId="266EE699" w:rsidR="005D2C8B" w:rsidRPr="00301974" w:rsidRDefault="005D2C8B" w:rsidP="005D2C8B">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See the European Funded COST action: Fostering and Strengthening Approaches to Reducing Coercion in European Mental Health Services (FOSTREN)</w:t>
      </w:r>
      <w:r w:rsidR="002E1887" w:rsidRPr="00301974">
        <w:rPr>
          <w:rFonts w:cs="Arial"/>
          <w:sz w:val="18"/>
          <w:szCs w:val="18"/>
        </w:rPr>
        <w:t>.</w:t>
      </w:r>
    </w:p>
  </w:footnote>
  <w:footnote w:id="64">
    <w:p w14:paraId="3663D18E" w14:textId="562DA87D" w:rsidR="00E43287" w:rsidRPr="00301974" w:rsidRDefault="00E43287">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For example, in France, “nearly a quarter of detainees are said to have psychotic disorders”. See Parliamentary Assembly of the Council of Europe, </w:t>
      </w:r>
      <w:hyperlink r:id="rId35" w:history="1">
        <w:r w:rsidRPr="00301974">
          <w:rPr>
            <w:rStyle w:val="Hyperlink"/>
            <w:rFonts w:cs="Arial"/>
            <w:sz w:val="18"/>
            <w:szCs w:val="18"/>
          </w:rPr>
          <w:t>Detainees with disabilities in Europe</w:t>
        </w:r>
      </w:hyperlink>
      <w:r w:rsidRPr="00301974">
        <w:rPr>
          <w:rFonts w:cs="Arial"/>
          <w:sz w:val="18"/>
          <w:szCs w:val="18"/>
        </w:rPr>
        <w:t xml:space="preserve"> (2018), 3.3. </w:t>
      </w:r>
    </w:p>
  </w:footnote>
  <w:footnote w:id="65">
    <w:p w14:paraId="794369EB" w14:textId="2980AAAA" w:rsidR="00FE0029" w:rsidRPr="00301974" w:rsidRDefault="00FE0029">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DIRECTIVE (EU) 2024/1346 OF THE EUROPEAN PARLIAMENT AND OF THE COUNCIL of 14 May 2024 laying down standards for the reception of applicants for international protection (recast)</w:t>
      </w:r>
    </w:p>
  </w:footnote>
  <w:footnote w:id="66">
    <w:p w14:paraId="2D3E3F8B" w14:textId="6AF02C2F" w:rsidR="009C24CB" w:rsidRPr="00301974" w:rsidRDefault="009C24CB">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EDF took part in October 2016 in </w:t>
      </w:r>
      <w:r w:rsidRPr="00301974">
        <w:rPr>
          <w:rFonts w:cs="Arial"/>
          <w:color w:val="000000"/>
          <w:sz w:val="18"/>
          <w:szCs w:val="18"/>
          <w:shd w:val="clear" w:color="auto" w:fill="FFFFFF"/>
        </w:rPr>
        <w:t>a </w:t>
      </w:r>
      <w:hyperlink r:id="rId36" w:history="1">
        <w:r w:rsidRPr="00301974">
          <w:rPr>
            <w:rStyle w:val="Hyperlink"/>
            <w:rFonts w:cs="Arial"/>
            <w:color w:val="075D8C"/>
            <w:sz w:val="18"/>
            <w:szCs w:val="18"/>
            <w:shd w:val="clear" w:color="auto" w:fill="FFFFFF"/>
          </w:rPr>
          <w:t>mission of the </w:t>
        </w:r>
      </w:hyperlink>
      <w:hyperlink r:id="rId37" w:history="1">
        <w:r w:rsidRPr="00301974">
          <w:rPr>
            <w:rStyle w:val="Hyperlink"/>
            <w:rFonts w:cs="Arial"/>
            <w:color w:val="075D8C"/>
            <w:sz w:val="18"/>
            <w:szCs w:val="18"/>
            <w:shd w:val="clear" w:color="auto" w:fill="FFFFFF"/>
          </w:rPr>
          <w:t>European Economic and Social Committee (EESC)</w:t>
        </w:r>
      </w:hyperlink>
      <w:hyperlink r:id="rId38" w:history="1">
        <w:r w:rsidRPr="00301974">
          <w:rPr>
            <w:rStyle w:val="Hyperlink"/>
            <w:rFonts w:cs="Arial"/>
            <w:color w:val="075D8C"/>
            <w:sz w:val="18"/>
            <w:szCs w:val="18"/>
            <w:shd w:val="clear" w:color="auto" w:fill="FFFFFF"/>
          </w:rPr>
          <w:t> to Greece to investigate the situation of refugees and asylum seekers with disabilities</w:t>
        </w:r>
      </w:hyperlink>
      <w:r w:rsidRPr="00301974">
        <w:rPr>
          <w:rFonts w:cs="Arial"/>
          <w:color w:val="000000"/>
          <w:sz w:val="18"/>
          <w:szCs w:val="18"/>
          <w:shd w:val="clear" w:color="auto" w:fill="FFFFFF"/>
        </w:rPr>
        <w:t xml:space="preserve">; Human Rights Watch </w:t>
      </w:r>
      <w:hyperlink r:id="rId39" w:history="1">
        <w:r w:rsidR="00176D03" w:rsidRPr="00301974">
          <w:rPr>
            <w:rStyle w:val="Hyperlink"/>
            <w:rFonts w:cs="Arial"/>
            <w:sz w:val="18"/>
            <w:szCs w:val="18"/>
            <w:shd w:val="clear" w:color="auto" w:fill="FFFFFF"/>
          </w:rPr>
          <w:t>R</w:t>
        </w:r>
        <w:r w:rsidRPr="00301974">
          <w:rPr>
            <w:rStyle w:val="Hyperlink"/>
            <w:rFonts w:cs="Arial"/>
            <w:sz w:val="18"/>
            <w:szCs w:val="18"/>
            <w:shd w:val="clear" w:color="auto" w:fill="FFFFFF"/>
          </w:rPr>
          <w:t>eport ‘Greece: Refugees with Disabilities Overlooked, Underserved - Identify People with Disabilities; Ensure Access to Services’</w:t>
        </w:r>
      </w:hyperlink>
    </w:p>
  </w:footnote>
  <w:footnote w:id="67">
    <w:p w14:paraId="68642D42" w14:textId="77777777" w:rsidR="002709C7" w:rsidRPr="00301974" w:rsidRDefault="002709C7" w:rsidP="002709C7">
      <w:pPr>
        <w:pStyle w:val="FootnoteText"/>
        <w:rPr>
          <w:rFonts w:cs="Arial"/>
          <w:sz w:val="18"/>
          <w:szCs w:val="18"/>
        </w:rPr>
      </w:pPr>
      <w:r w:rsidRPr="00301974">
        <w:rPr>
          <w:rStyle w:val="FootnoteReference"/>
          <w:rFonts w:cs="Arial"/>
          <w:sz w:val="18"/>
          <w:szCs w:val="18"/>
        </w:rPr>
        <w:footnoteRef/>
      </w:r>
      <w:r w:rsidRPr="00301974">
        <w:rPr>
          <w:rFonts w:cs="Arial"/>
          <w:sz w:val="18"/>
          <w:szCs w:val="18"/>
          <w:lang w:val="da-DK"/>
        </w:rPr>
        <w:t xml:space="preserve"> Savage MK, Lepping P, Newton-Howes G, et al. </w:t>
      </w:r>
      <w:r w:rsidRPr="00301974">
        <w:rPr>
          <w:rFonts w:cs="Arial"/>
          <w:sz w:val="18"/>
          <w:szCs w:val="18"/>
        </w:rPr>
        <w:t>Comparison of coercive practices in worldwide mental healthcare: overcoming difficulties resulting from variations in monitoring strategies. BJPsych Open. 2024;10(1):e26. doi:10.1192/bjo.2023.613</w:t>
      </w:r>
    </w:p>
  </w:footnote>
  <w:footnote w:id="68">
    <w:p w14:paraId="6629274C" w14:textId="77777777" w:rsidR="002709C7" w:rsidRPr="00301974" w:rsidRDefault="002709C7" w:rsidP="002709C7">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Lickiewicz J, Efkemann SA, Husum TL, Lantta T, Pingani L, Whittington R. Expert opinions on improving coercion data collection across Europe: a concept mapping study. Front Psychiatry. 2024 May 29;15:1403094. doi: 10.3389/fpsyt.2024.1403094. Erratum in: Front Psychiatry. 2024 Aug 27;15:1464977. doi: 10.3389/fpsyt.2024.1464977. PMID: 38868490; PMCID: PMC11167108.</w:t>
      </w:r>
    </w:p>
  </w:footnote>
  <w:footnote w:id="69">
    <w:p w14:paraId="7A113EA2" w14:textId="69226A2D" w:rsidR="00010CE1" w:rsidRPr="00301974" w:rsidRDefault="00010CE1" w:rsidP="00010CE1">
      <w:pPr>
        <w:pStyle w:val="FootnoteText"/>
        <w:rPr>
          <w:rFonts w:cs="Arial"/>
          <w:sz w:val="18"/>
          <w:szCs w:val="18"/>
          <w:lang w:val="en-US"/>
        </w:rPr>
      </w:pPr>
      <w:r w:rsidRPr="00301974">
        <w:rPr>
          <w:rStyle w:val="FootnoteReference"/>
          <w:rFonts w:cs="Arial"/>
          <w:sz w:val="18"/>
          <w:szCs w:val="18"/>
        </w:rPr>
        <w:footnoteRef/>
      </w:r>
      <w:r w:rsidRPr="00301974">
        <w:rPr>
          <w:rFonts w:cs="Arial"/>
          <w:sz w:val="18"/>
          <w:szCs w:val="18"/>
        </w:rPr>
        <w:t xml:space="preserve"> </w:t>
      </w:r>
      <w:hyperlink r:id="rId40" w:history="1">
        <w:r w:rsidRPr="00301974">
          <w:rPr>
            <w:rStyle w:val="Hyperlink"/>
            <w:rFonts w:eastAsia="Times New Roman" w:cs="Arial"/>
            <w:sz w:val="18"/>
            <w:szCs w:val="18"/>
          </w:rPr>
          <w:t>Regulation (EU) 2019/125 of 16 January 2019</w:t>
        </w:r>
      </w:hyperlink>
      <w:r w:rsidRPr="00301974">
        <w:rPr>
          <w:rFonts w:eastAsia="Times New Roman" w:cs="Arial"/>
          <w:sz w:val="18"/>
          <w:szCs w:val="18"/>
        </w:rPr>
        <w:t xml:space="preserve"> concerning trade in certain goods, which could be used for capital punishment, torture or other cruel, </w:t>
      </w:r>
      <w:r w:rsidR="00057EEF" w:rsidRPr="00301974">
        <w:rPr>
          <w:rFonts w:eastAsia="Times New Roman" w:cs="Arial"/>
          <w:sz w:val="18"/>
          <w:szCs w:val="18"/>
        </w:rPr>
        <w:t>inhuman,</w:t>
      </w:r>
      <w:r w:rsidRPr="00301974">
        <w:rPr>
          <w:rFonts w:eastAsia="Times New Roman" w:cs="Arial"/>
          <w:sz w:val="18"/>
          <w:szCs w:val="18"/>
        </w:rPr>
        <w:t xml:space="preserve"> or degrading treatment or punishment. It is legally binding and directly applicable in all EU Member States.</w:t>
      </w:r>
    </w:p>
  </w:footnote>
  <w:footnote w:id="70">
    <w:p w14:paraId="43B23F28" w14:textId="23F43949" w:rsidR="00A8399A" w:rsidRPr="00301974" w:rsidRDefault="00A8399A">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See </w:t>
      </w:r>
      <w:hyperlink r:id="rId41" w:history="1">
        <w:r w:rsidRPr="00301974">
          <w:rPr>
            <w:rStyle w:val="Hyperlink"/>
            <w:rFonts w:cs="Arial"/>
            <w:sz w:val="18"/>
            <w:szCs w:val="18"/>
          </w:rPr>
          <w:t>EDF Position paper on violence against women and girls with disabilities in the EU</w:t>
        </w:r>
      </w:hyperlink>
      <w:r w:rsidRPr="00301974">
        <w:rPr>
          <w:rFonts w:cs="Arial"/>
          <w:sz w:val="18"/>
          <w:szCs w:val="18"/>
        </w:rPr>
        <w:t xml:space="preserve"> (2021). </w:t>
      </w:r>
    </w:p>
  </w:footnote>
  <w:footnote w:id="71">
    <w:p w14:paraId="7902BAEA" w14:textId="77777777" w:rsidR="00225E5A" w:rsidRPr="00301974" w:rsidRDefault="00225E5A" w:rsidP="00225E5A">
      <w:pPr>
        <w:pStyle w:val="FootnoteText"/>
        <w:spacing w:line="276" w:lineRule="auto"/>
        <w:rPr>
          <w:rFonts w:cs="Arial"/>
          <w:sz w:val="18"/>
          <w:szCs w:val="18"/>
          <w:lang w:val="en-US"/>
        </w:rPr>
      </w:pPr>
      <w:r w:rsidRPr="00301974">
        <w:rPr>
          <w:rStyle w:val="FootnoteReference"/>
          <w:rFonts w:cs="Arial"/>
          <w:sz w:val="18"/>
          <w:szCs w:val="18"/>
        </w:rPr>
        <w:footnoteRef/>
      </w:r>
      <w:r w:rsidRPr="00301974">
        <w:rPr>
          <w:rFonts w:cs="Arial"/>
          <w:sz w:val="18"/>
          <w:szCs w:val="18"/>
          <w:lang w:val="en-US"/>
        </w:rPr>
        <w:t xml:space="preserve"> </w:t>
      </w:r>
      <w:bookmarkStart w:id="39" w:name="_Hlk67398759"/>
      <w:r w:rsidRPr="00301974">
        <w:rPr>
          <w:rFonts w:cs="Arial"/>
          <w:sz w:val="18"/>
          <w:szCs w:val="18"/>
          <w:lang w:val="en-US"/>
        </w:rPr>
        <w:t xml:space="preserve">FRA, </w:t>
      </w:r>
      <w:hyperlink r:id="rId42" w:history="1">
        <w:r w:rsidRPr="00301974">
          <w:rPr>
            <w:rStyle w:val="Hyperlink"/>
            <w:rFonts w:cs="Arial"/>
            <w:sz w:val="18"/>
            <w:szCs w:val="18"/>
            <w:lang w:val="en-US"/>
          </w:rPr>
          <w:t>Fundamental Rights Survey: CRIME, SAFETY AND VICTIMS’ RIGHTS</w:t>
        </w:r>
      </w:hyperlink>
      <w:r w:rsidRPr="00301974">
        <w:rPr>
          <w:rFonts w:cs="Arial"/>
          <w:sz w:val="18"/>
          <w:szCs w:val="18"/>
          <w:lang w:val="en-US"/>
        </w:rPr>
        <w:t xml:space="preserve"> (2021), page 22. </w:t>
      </w:r>
      <w:bookmarkEnd w:id="39"/>
    </w:p>
  </w:footnote>
  <w:footnote w:id="72">
    <w:p w14:paraId="78C98B0B" w14:textId="77777777" w:rsidR="00225E5A" w:rsidRPr="00301974" w:rsidRDefault="00225E5A" w:rsidP="00225E5A">
      <w:pPr>
        <w:pStyle w:val="FootnoteText"/>
        <w:spacing w:line="276" w:lineRule="auto"/>
        <w:rPr>
          <w:rFonts w:cs="Arial"/>
          <w:sz w:val="18"/>
          <w:szCs w:val="18"/>
          <w:lang w:val="en-US"/>
        </w:rPr>
      </w:pPr>
      <w:r w:rsidRPr="00301974">
        <w:rPr>
          <w:rStyle w:val="FootnoteReference"/>
          <w:rFonts w:cs="Arial"/>
          <w:sz w:val="18"/>
          <w:szCs w:val="18"/>
        </w:rPr>
        <w:footnoteRef/>
      </w:r>
      <w:r w:rsidRPr="00301974">
        <w:rPr>
          <w:rFonts w:cs="Arial"/>
          <w:sz w:val="18"/>
          <w:szCs w:val="18"/>
          <w:lang w:val="en-US"/>
        </w:rPr>
        <w:t xml:space="preserve"> Ibid, page 18. </w:t>
      </w:r>
    </w:p>
  </w:footnote>
  <w:footnote w:id="73">
    <w:p w14:paraId="66E81A1B" w14:textId="3EA4F394" w:rsidR="00225E5A" w:rsidRPr="00301974" w:rsidRDefault="00225E5A" w:rsidP="00225E5A">
      <w:pPr>
        <w:pStyle w:val="FootnoteText"/>
        <w:spacing w:line="276" w:lineRule="auto"/>
        <w:rPr>
          <w:rFonts w:cs="Arial"/>
          <w:sz w:val="18"/>
          <w:szCs w:val="18"/>
          <w:lang w:val="en-US"/>
        </w:rPr>
      </w:pPr>
      <w:r w:rsidRPr="00301974">
        <w:rPr>
          <w:rStyle w:val="FootnoteReference"/>
          <w:rFonts w:cs="Arial"/>
          <w:sz w:val="18"/>
          <w:szCs w:val="18"/>
        </w:rPr>
        <w:footnoteRef/>
      </w:r>
      <w:r w:rsidRPr="00301974">
        <w:rPr>
          <w:rFonts w:cs="Arial"/>
          <w:sz w:val="18"/>
          <w:szCs w:val="18"/>
          <w:lang w:val="en-US"/>
        </w:rPr>
        <w:t xml:space="preserve"> </w:t>
      </w:r>
      <w:hyperlink r:id="rId43" w:history="1">
        <w:r w:rsidRPr="00301974">
          <w:rPr>
            <w:rStyle w:val="Hyperlink"/>
            <w:rFonts w:cs="Arial"/>
            <w:sz w:val="18"/>
            <w:szCs w:val="18"/>
            <w:lang w:val="en-US"/>
          </w:rPr>
          <w:t>European Parliament resolution on the situation of women with disabilities</w:t>
        </w:r>
      </w:hyperlink>
      <w:r w:rsidRPr="00301974">
        <w:rPr>
          <w:rFonts w:cs="Arial"/>
          <w:sz w:val="18"/>
          <w:szCs w:val="18"/>
          <w:lang w:val="en-US"/>
        </w:rPr>
        <w:t xml:space="preserve"> (2018/2685(RSP)).</w:t>
      </w:r>
    </w:p>
  </w:footnote>
  <w:footnote w:id="74">
    <w:p w14:paraId="70E5C915" w14:textId="3A1044C3" w:rsidR="00DE7924" w:rsidRPr="00301974" w:rsidRDefault="00DE7924">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More information under Article 13 on access to justice. </w:t>
      </w:r>
    </w:p>
  </w:footnote>
  <w:footnote w:id="75">
    <w:p w14:paraId="5606E0C4" w14:textId="77777777" w:rsidR="006F043B" w:rsidRPr="00301974" w:rsidRDefault="006F043B" w:rsidP="006F043B">
      <w:pPr>
        <w:pStyle w:val="FootnoteText"/>
        <w:tabs>
          <w:tab w:val="center" w:pos="4536"/>
        </w:tabs>
        <w:rPr>
          <w:rFonts w:cs="Arial"/>
          <w:sz w:val="18"/>
          <w:szCs w:val="18"/>
        </w:rPr>
      </w:pPr>
      <w:r w:rsidRPr="00301974">
        <w:rPr>
          <w:rStyle w:val="FootnoteReference"/>
          <w:rFonts w:cs="Arial"/>
          <w:sz w:val="18"/>
          <w:szCs w:val="18"/>
        </w:rPr>
        <w:footnoteRef/>
      </w:r>
      <w:r w:rsidRPr="00301974">
        <w:rPr>
          <w:rFonts w:cs="Arial"/>
          <w:sz w:val="18"/>
          <w:szCs w:val="18"/>
        </w:rPr>
        <w:t xml:space="preserve"> It is also ratified by 22 EU Member States</w:t>
      </w:r>
      <w:r w:rsidRPr="00301974">
        <w:rPr>
          <w:rFonts w:cs="Arial"/>
          <w:sz w:val="18"/>
          <w:szCs w:val="18"/>
        </w:rPr>
        <w:tab/>
        <w:t xml:space="preserve">. Bulgaria, Czechia, Hungary, Latvia, Lithuania, and Slovakia have not ratified the Istanbul Convention. </w:t>
      </w:r>
    </w:p>
  </w:footnote>
  <w:footnote w:id="76">
    <w:p w14:paraId="0F195341" w14:textId="1DD55212" w:rsidR="00EB5DEF" w:rsidRPr="00301974" w:rsidRDefault="00EB5DEF">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FRA report from page 50 -51: “The EU has acknowledged that official and comparable data on children with disabilities’ enjoyment of their rights in EU Member States is lacking. (….) Despite the CRPD’s obligations, a significant gap in knowledge about the prevalence and extent of violence</w:t>
      </w:r>
      <w:r w:rsidR="00AF301A" w:rsidRPr="00301974">
        <w:rPr>
          <w:rFonts w:cs="Arial"/>
          <w:sz w:val="18"/>
          <w:szCs w:val="18"/>
        </w:rPr>
        <w:t xml:space="preserve"> </w:t>
      </w:r>
      <w:r w:rsidRPr="00301974">
        <w:rPr>
          <w:rFonts w:cs="Arial"/>
          <w:sz w:val="18"/>
          <w:szCs w:val="18"/>
        </w:rPr>
        <w:t>against children with disabilities remains. Some countries have established mechanisms for collecting</w:t>
      </w:r>
      <w:r w:rsidR="00AF301A" w:rsidRPr="00301974">
        <w:rPr>
          <w:rFonts w:cs="Arial"/>
          <w:sz w:val="18"/>
          <w:szCs w:val="18"/>
        </w:rPr>
        <w:t xml:space="preserve"> </w:t>
      </w:r>
      <w:r w:rsidRPr="00301974">
        <w:rPr>
          <w:rFonts w:cs="Arial"/>
          <w:sz w:val="18"/>
          <w:szCs w:val="18"/>
        </w:rPr>
        <w:t>data on violence against persons with disabilities, but do not disaggregate according to age; others</w:t>
      </w:r>
      <w:r w:rsidR="00AF301A" w:rsidRPr="00301974">
        <w:rPr>
          <w:rFonts w:cs="Arial"/>
          <w:sz w:val="18"/>
          <w:szCs w:val="18"/>
        </w:rPr>
        <w:t xml:space="preserve"> </w:t>
      </w:r>
      <w:r w:rsidRPr="00301974">
        <w:rPr>
          <w:rFonts w:cs="Arial"/>
          <w:sz w:val="18"/>
          <w:szCs w:val="18"/>
        </w:rPr>
        <w:t xml:space="preserve">have </w:t>
      </w:r>
      <w:r w:rsidR="008640EF" w:rsidRPr="00301974">
        <w:rPr>
          <w:rFonts w:cs="Arial"/>
          <w:sz w:val="18"/>
          <w:szCs w:val="18"/>
        </w:rPr>
        <w:t>mechanisms for</w:t>
      </w:r>
      <w:r w:rsidRPr="00301974">
        <w:rPr>
          <w:rFonts w:cs="Arial"/>
          <w:sz w:val="18"/>
          <w:szCs w:val="18"/>
        </w:rPr>
        <w:t xml:space="preserve"> collecting data on violence against children in general, but do not collect</w:t>
      </w:r>
      <w:r w:rsidR="00AF301A" w:rsidRPr="00301974">
        <w:rPr>
          <w:rFonts w:cs="Arial"/>
          <w:sz w:val="18"/>
          <w:szCs w:val="18"/>
        </w:rPr>
        <w:t xml:space="preserve"> </w:t>
      </w:r>
      <w:r w:rsidRPr="00301974">
        <w:rPr>
          <w:rFonts w:cs="Arial"/>
          <w:sz w:val="18"/>
          <w:szCs w:val="18"/>
        </w:rPr>
        <w:t xml:space="preserve">information on whether or not the children have disabilities.” </w:t>
      </w:r>
    </w:p>
  </w:footnote>
  <w:footnote w:id="77">
    <w:p w14:paraId="42C35ED6" w14:textId="2421691F" w:rsidR="00C90583" w:rsidRPr="00301974" w:rsidRDefault="00C90583" w:rsidP="004424AF">
      <w:pPr>
        <w:pStyle w:val="FootnoteText"/>
        <w:rPr>
          <w:rFonts w:cs="Arial"/>
          <w:sz w:val="18"/>
          <w:szCs w:val="18"/>
        </w:rPr>
      </w:pPr>
      <w:bookmarkStart w:id="42" w:name="_Hlk93422285"/>
      <w:r w:rsidRPr="00301974">
        <w:rPr>
          <w:rStyle w:val="FootnoteReference"/>
          <w:rFonts w:cs="Arial"/>
          <w:sz w:val="18"/>
          <w:szCs w:val="18"/>
        </w:rPr>
        <w:footnoteRef/>
      </w:r>
      <w:r w:rsidRPr="00301974">
        <w:rPr>
          <w:rFonts w:cs="Arial"/>
          <w:sz w:val="18"/>
          <w:szCs w:val="18"/>
        </w:rPr>
        <w:t xml:space="preserve"> </w:t>
      </w:r>
      <w:r w:rsidR="00F7077A" w:rsidRPr="00301974">
        <w:rPr>
          <w:rFonts w:cs="Arial"/>
          <w:sz w:val="18"/>
          <w:szCs w:val="18"/>
        </w:rPr>
        <w:t>See page 9 of the guidelines</w:t>
      </w:r>
      <w:r w:rsidRPr="00301974">
        <w:rPr>
          <w:rFonts w:cs="Arial"/>
          <w:sz w:val="18"/>
          <w:szCs w:val="18"/>
        </w:rPr>
        <w:t>: “</w:t>
      </w:r>
      <w:r w:rsidR="004424AF" w:rsidRPr="00301974">
        <w:rPr>
          <w:rFonts w:cs="Arial"/>
          <w:sz w:val="18"/>
          <w:szCs w:val="18"/>
        </w:rPr>
        <w:t xml:space="preserve">For children (or other persons unable to give informed consent, </w:t>
      </w:r>
      <w:r w:rsidR="008640EF" w:rsidRPr="00301974">
        <w:rPr>
          <w:rFonts w:cs="Arial"/>
          <w:sz w:val="18"/>
          <w:szCs w:val="18"/>
        </w:rPr>
        <w:t>e.g.,</w:t>
      </w:r>
      <w:r w:rsidR="004424AF" w:rsidRPr="00301974">
        <w:rPr>
          <w:rFonts w:cs="Arial"/>
          <w:sz w:val="18"/>
          <w:szCs w:val="18"/>
        </w:rPr>
        <w:t xml:space="preserve"> certain elderly populations, persons judged as lacking mental capacity), the consent must be obtained from the parents/legally authorised representative and it must be ensured that they have sufficient information to enable them to provide this on behalf and in the best interests of the children.” For medical activities or other activities involving humans requiring informed consent, the guidelines require to follow the procedures for informed consent that are described in the </w:t>
      </w:r>
      <w:hyperlink r:id="rId44" w:history="1">
        <w:r w:rsidR="004424AF" w:rsidRPr="00301974">
          <w:rPr>
            <w:rStyle w:val="Hyperlink"/>
            <w:rFonts w:cs="Arial"/>
            <w:sz w:val="18"/>
            <w:szCs w:val="18"/>
          </w:rPr>
          <w:t>Declaration of Helsinki</w:t>
        </w:r>
      </w:hyperlink>
      <w:r w:rsidR="004424AF" w:rsidRPr="00301974">
        <w:rPr>
          <w:rFonts w:cs="Arial"/>
          <w:sz w:val="18"/>
          <w:szCs w:val="18"/>
        </w:rPr>
        <w:t xml:space="preserve"> and the </w:t>
      </w:r>
      <w:hyperlink r:id="rId45" w:history="1">
        <w:r w:rsidR="004424AF" w:rsidRPr="00301974">
          <w:rPr>
            <w:rStyle w:val="Hyperlink"/>
            <w:rFonts w:cs="Arial"/>
            <w:sz w:val="18"/>
            <w:szCs w:val="18"/>
          </w:rPr>
          <w:t>Oviedo Bioethics Convention</w:t>
        </w:r>
      </w:hyperlink>
      <w:r w:rsidR="00F7077A" w:rsidRPr="00301974">
        <w:rPr>
          <w:rFonts w:cs="Arial"/>
          <w:sz w:val="18"/>
          <w:szCs w:val="18"/>
        </w:rPr>
        <w:t xml:space="preserve">. </w:t>
      </w:r>
      <w:r w:rsidR="00BA1F26" w:rsidRPr="00301974">
        <w:rPr>
          <w:rFonts w:cs="Arial"/>
          <w:sz w:val="18"/>
          <w:szCs w:val="18"/>
        </w:rPr>
        <w:t xml:space="preserve">The two Conventions </w:t>
      </w:r>
      <w:r w:rsidR="008640EF" w:rsidRPr="00301974">
        <w:rPr>
          <w:rFonts w:cs="Arial"/>
          <w:sz w:val="18"/>
          <w:szCs w:val="18"/>
        </w:rPr>
        <w:t>do not comply</w:t>
      </w:r>
      <w:r w:rsidR="00BA1F26" w:rsidRPr="00301974">
        <w:rPr>
          <w:rFonts w:cs="Arial"/>
          <w:sz w:val="18"/>
          <w:szCs w:val="18"/>
        </w:rPr>
        <w:t xml:space="preserve"> with the CRPD as their provision on informed consent are based on substituted decision making.</w:t>
      </w:r>
    </w:p>
    <w:bookmarkEnd w:id="42"/>
  </w:footnote>
  <w:footnote w:id="78">
    <w:p w14:paraId="4A9CEFBF" w14:textId="16BD014A" w:rsidR="00B1645E" w:rsidRPr="00301974" w:rsidRDefault="00B1645E">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The problem also lies in the fact that some persons with disabilities, without the adequate support, are unable to give informed consent. For example, due to the lack of government funded interpreting hours, some of the </w:t>
      </w:r>
      <w:r w:rsidR="003E7479" w:rsidRPr="00301974">
        <w:rPr>
          <w:rFonts w:cs="Arial"/>
          <w:sz w:val="18"/>
          <w:szCs w:val="18"/>
        </w:rPr>
        <w:t>D</w:t>
      </w:r>
      <w:r w:rsidRPr="00301974">
        <w:rPr>
          <w:rFonts w:cs="Arial"/>
          <w:sz w:val="18"/>
          <w:szCs w:val="18"/>
        </w:rPr>
        <w:t xml:space="preserve">eafblind, </w:t>
      </w:r>
      <w:r w:rsidR="002A402E" w:rsidRPr="00301974">
        <w:rPr>
          <w:rFonts w:cs="Arial"/>
          <w:sz w:val="18"/>
          <w:szCs w:val="18"/>
        </w:rPr>
        <w:t>Deaf,</w:t>
      </w:r>
      <w:r w:rsidRPr="00301974">
        <w:rPr>
          <w:rFonts w:cs="Arial"/>
          <w:sz w:val="18"/>
          <w:szCs w:val="18"/>
        </w:rPr>
        <w:t xml:space="preserve"> or hard of hearing persons have substituted interpreting </w:t>
      </w:r>
      <w:r w:rsidR="00F7077A" w:rsidRPr="00301974">
        <w:rPr>
          <w:rFonts w:cs="Arial"/>
          <w:sz w:val="18"/>
          <w:szCs w:val="18"/>
        </w:rPr>
        <w:t>(</w:t>
      </w:r>
      <w:r w:rsidR="008640EF" w:rsidRPr="00301974">
        <w:rPr>
          <w:rFonts w:cs="Arial"/>
          <w:sz w:val="18"/>
          <w:szCs w:val="18"/>
        </w:rPr>
        <w:t>e.g.,</w:t>
      </w:r>
      <w:r w:rsidR="00F7077A" w:rsidRPr="00301974">
        <w:rPr>
          <w:rFonts w:cs="Arial"/>
          <w:sz w:val="18"/>
          <w:szCs w:val="18"/>
        </w:rPr>
        <w:t xml:space="preserve"> </w:t>
      </w:r>
      <w:r w:rsidRPr="00301974">
        <w:rPr>
          <w:rFonts w:cs="Arial"/>
          <w:sz w:val="18"/>
          <w:szCs w:val="18"/>
        </w:rPr>
        <w:t>family members, friends,</w:t>
      </w:r>
      <w:r w:rsidR="00F7077A" w:rsidRPr="00301974">
        <w:rPr>
          <w:rFonts w:cs="Arial"/>
          <w:sz w:val="18"/>
          <w:szCs w:val="18"/>
        </w:rPr>
        <w:t xml:space="preserve">) </w:t>
      </w:r>
      <w:r w:rsidRPr="00301974">
        <w:rPr>
          <w:rFonts w:cs="Arial"/>
          <w:sz w:val="18"/>
          <w:szCs w:val="18"/>
        </w:rPr>
        <w:t xml:space="preserve">which can be problematic since some of them are probably not competent to interpret the official situations and/or some of them may even work in their own interest, and not represent the interest of the disabled person. </w:t>
      </w:r>
    </w:p>
  </w:footnote>
  <w:footnote w:id="79">
    <w:p w14:paraId="7D7786A4" w14:textId="1C1101CC" w:rsidR="00F07B84" w:rsidRPr="00301974" w:rsidRDefault="00F07B84" w:rsidP="00F07B84">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See CEN/WS DHI prCWA 17933:2023: Digital health innovations – Good practice guide for obtaining c</w:t>
      </w:r>
      <w:r w:rsidR="002F1C80" w:rsidRPr="00301974">
        <w:rPr>
          <w:rFonts w:cs="Arial"/>
          <w:sz w:val="18"/>
          <w:szCs w:val="18"/>
        </w:rPr>
        <w:t>o</w:t>
      </w:r>
      <w:r w:rsidRPr="00301974">
        <w:rPr>
          <w:rFonts w:cs="Arial"/>
          <w:sz w:val="18"/>
          <w:szCs w:val="18"/>
        </w:rPr>
        <w:t>nsent for the use of personal health information for research and innovations.</w:t>
      </w:r>
    </w:p>
  </w:footnote>
  <w:footnote w:id="80">
    <w:p w14:paraId="1965C34A" w14:textId="2748EEED" w:rsidR="00831EF3" w:rsidRPr="00301974" w:rsidRDefault="00831EF3">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w:t>
      </w:r>
      <w:hyperlink r:id="rId46" w:history="1">
        <w:r w:rsidRPr="00301974">
          <w:rPr>
            <w:rStyle w:val="Hyperlink"/>
            <w:rFonts w:cs="Arial"/>
            <w:sz w:val="18"/>
            <w:szCs w:val="18"/>
          </w:rPr>
          <w:t>European Parliament resolution 2018/2685(RSP)</w:t>
        </w:r>
      </w:hyperlink>
    </w:p>
  </w:footnote>
  <w:footnote w:id="81">
    <w:p w14:paraId="417F37A0" w14:textId="6BE73717" w:rsidR="00831EF3" w:rsidRPr="00301974" w:rsidRDefault="00831EF3">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The CRPD Committee raised concerns over the fact that several EU Member States still authorise forced sterilisation and abortion in their legislation, including in Croatia, Czechia, Germany, Lithuania, </w:t>
      </w:r>
      <w:r w:rsidR="00057EEF" w:rsidRPr="00301974">
        <w:rPr>
          <w:rFonts w:cs="Arial"/>
          <w:sz w:val="18"/>
          <w:szCs w:val="18"/>
        </w:rPr>
        <w:t>Slovakia,</w:t>
      </w:r>
      <w:r w:rsidRPr="00301974">
        <w:rPr>
          <w:rFonts w:cs="Arial"/>
          <w:sz w:val="18"/>
          <w:szCs w:val="18"/>
        </w:rPr>
        <w:t xml:space="preserve"> and Spain.</w:t>
      </w:r>
    </w:p>
  </w:footnote>
  <w:footnote w:id="82">
    <w:p w14:paraId="57EEBC48" w14:textId="1221B9FF" w:rsidR="00DE43D0" w:rsidRPr="00301974" w:rsidRDefault="00DE43D0">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Bulgaria, Croatia, Cyprus, Czechia, Denmark, Estonia, Finland, Hungary, Latvia, Lithuania, Malta, Portugal and Slovakia</w:t>
      </w:r>
    </w:p>
  </w:footnote>
  <w:footnote w:id="83">
    <w:p w14:paraId="76ABC209" w14:textId="36B23D79" w:rsidR="00DE43D0" w:rsidRPr="00301974" w:rsidRDefault="00DE43D0">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See EDF report and campaign on ending forced sterilisation in the EU: </w:t>
      </w:r>
      <w:hyperlink r:id="rId47" w:history="1">
        <w:r w:rsidRPr="00301974">
          <w:rPr>
            <w:rStyle w:val="Hyperlink"/>
            <w:rFonts w:cs="Arial"/>
            <w:sz w:val="18"/>
            <w:szCs w:val="18"/>
          </w:rPr>
          <w:t>https://www.edf-feph.org/end-forced-sterilisation-in-the-eu/</w:t>
        </w:r>
      </w:hyperlink>
      <w:r w:rsidRPr="00301974">
        <w:rPr>
          <w:rFonts w:cs="Arial"/>
          <w:sz w:val="18"/>
          <w:szCs w:val="18"/>
        </w:rPr>
        <w:t xml:space="preserve">. </w:t>
      </w:r>
    </w:p>
  </w:footnote>
  <w:footnote w:id="84">
    <w:p w14:paraId="28CD08D7" w14:textId="50762269" w:rsidR="00DE43D0" w:rsidRPr="00301974" w:rsidRDefault="00DE43D0">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w:t>
      </w:r>
      <w:hyperlink r:id="rId48" w:history="1">
        <w:r w:rsidRPr="00301974">
          <w:rPr>
            <w:rStyle w:val="Hyperlink"/>
            <w:rFonts w:cs="Arial"/>
            <w:sz w:val="18"/>
            <w:szCs w:val="18"/>
          </w:rPr>
          <w:t>https://www.euronews.com/tag/forced-sterilisations-of-women-with-disabilities</w:t>
        </w:r>
      </w:hyperlink>
      <w:r w:rsidRPr="00301974">
        <w:rPr>
          <w:rFonts w:cs="Arial"/>
          <w:sz w:val="18"/>
          <w:szCs w:val="18"/>
        </w:rPr>
        <w:t xml:space="preserve"> </w:t>
      </w:r>
    </w:p>
  </w:footnote>
  <w:footnote w:id="85">
    <w:p w14:paraId="07BB4E90" w14:textId="12DD36D0" w:rsidR="00BC3537" w:rsidRPr="00301974" w:rsidRDefault="00BC3537">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Article 3(2) of the </w:t>
      </w:r>
      <w:hyperlink r:id="rId49" w:history="1">
        <w:r w:rsidRPr="00301974">
          <w:rPr>
            <w:rStyle w:val="Hyperlink"/>
            <w:rFonts w:cs="Arial"/>
            <w:sz w:val="18"/>
            <w:szCs w:val="18"/>
          </w:rPr>
          <w:t>Treaty on European Union</w:t>
        </w:r>
      </w:hyperlink>
      <w:r w:rsidRPr="00301974">
        <w:rPr>
          <w:rFonts w:cs="Arial"/>
          <w:sz w:val="18"/>
          <w:szCs w:val="18"/>
        </w:rPr>
        <w:t xml:space="preserve"> (TEU) and Articles 4(2)(a), 20, 26 and 45-48 of the </w:t>
      </w:r>
      <w:hyperlink r:id="rId50" w:history="1">
        <w:r w:rsidRPr="00301974">
          <w:rPr>
            <w:rStyle w:val="Hyperlink"/>
            <w:rFonts w:cs="Arial"/>
            <w:sz w:val="18"/>
            <w:szCs w:val="18"/>
          </w:rPr>
          <w:t>Treaty on the Functioning of the European Union</w:t>
        </w:r>
      </w:hyperlink>
      <w:r w:rsidRPr="00301974">
        <w:rPr>
          <w:rFonts w:cs="Arial"/>
          <w:sz w:val="18"/>
          <w:szCs w:val="18"/>
        </w:rPr>
        <w:t xml:space="preserve"> (TFEU)</w:t>
      </w:r>
    </w:p>
  </w:footnote>
  <w:footnote w:id="86">
    <w:p w14:paraId="79BE5FC1" w14:textId="4FC2A969" w:rsidR="00146AA7" w:rsidRPr="00301974" w:rsidRDefault="00146AA7">
      <w:pPr>
        <w:pStyle w:val="FootnoteText"/>
        <w:rPr>
          <w:rFonts w:cs="Arial"/>
          <w:sz w:val="18"/>
          <w:szCs w:val="18"/>
          <w:lang w:val="en-US"/>
        </w:rPr>
      </w:pPr>
      <w:r w:rsidRPr="00301974">
        <w:rPr>
          <w:rStyle w:val="FootnoteReference"/>
          <w:rFonts w:cs="Arial"/>
          <w:sz w:val="18"/>
          <w:szCs w:val="18"/>
        </w:rPr>
        <w:footnoteRef/>
      </w:r>
      <w:r w:rsidR="00CB7D1C" w:rsidRPr="00301974">
        <w:rPr>
          <w:rFonts w:cs="Arial"/>
          <w:sz w:val="18"/>
          <w:szCs w:val="18"/>
        </w:rPr>
        <w:t xml:space="preserve"> </w:t>
      </w:r>
      <w:hyperlink r:id="rId51" w:history="1">
        <w:r w:rsidR="00CB7D1C" w:rsidRPr="00301974">
          <w:rPr>
            <w:rStyle w:val="Hyperlink"/>
            <w:rFonts w:cs="Arial"/>
            <w:sz w:val="18"/>
            <w:szCs w:val="18"/>
          </w:rPr>
          <w:t>https://ec.europa.eu/social/main.jsp?catId=25&amp;langId=en</w:t>
        </w:r>
      </w:hyperlink>
      <w:r w:rsidR="00CB7D1C" w:rsidRPr="00301974">
        <w:rPr>
          <w:rFonts w:cs="Arial"/>
          <w:sz w:val="18"/>
          <w:szCs w:val="18"/>
        </w:rPr>
        <w:t xml:space="preserve"> </w:t>
      </w:r>
    </w:p>
  </w:footnote>
  <w:footnote w:id="87">
    <w:p w14:paraId="1104EDEA" w14:textId="491E3BBE" w:rsidR="005C7DB8" w:rsidRPr="00301974" w:rsidRDefault="005C7DB8">
      <w:pPr>
        <w:pStyle w:val="FootnoteText"/>
        <w:rPr>
          <w:rFonts w:cs="Arial"/>
          <w:sz w:val="18"/>
          <w:szCs w:val="18"/>
        </w:rPr>
      </w:pPr>
      <w:r w:rsidRPr="00301974">
        <w:rPr>
          <w:rStyle w:val="FootnoteReference"/>
          <w:rFonts w:cs="Arial"/>
          <w:sz w:val="18"/>
          <w:szCs w:val="18"/>
          <w:highlight w:val="yellow"/>
        </w:rPr>
        <w:footnoteRef/>
      </w:r>
      <w:r w:rsidRPr="00301974">
        <w:rPr>
          <w:rFonts w:cs="Arial"/>
          <w:sz w:val="18"/>
          <w:szCs w:val="18"/>
          <w:highlight w:val="yellow"/>
        </w:rPr>
        <w:t xml:space="preserve"> </w:t>
      </w:r>
      <w:r w:rsidRPr="00B14F1F">
        <w:rPr>
          <w:rFonts w:cs="Arial"/>
          <w:sz w:val="18"/>
          <w:szCs w:val="18"/>
          <w:highlight w:val="yellow"/>
        </w:rPr>
        <w:t xml:space="preserve">While the proposal is not officially adopted yet, the procedure is nearly </w:t>
      </w:r>
      <w:r w:rsidR="00DE1101" w:rsidRPr="00301974">
        <w:rPr>
          <w:rFonts w:cs="Arial"/>
          <w:sz w:val="18"/>
          <w:szCs w:val="18"/>
          <w:highlight w:val="yellow"/>
        </w:rPr>
        <w:t>completed,</w:t>
      </w:r>
      <w:r w:rsidRPr="00B14F1F">
        <w:rPr>
          <w:rFonts w:cs="Arial"/>
          <w:sz w:val="18"/>
          <w:szCs w:val="18"/>
          <w:highlight w:val="yellow"/>
        </w:rPr>
        <w:t xml:space="preserve"> and we expect the Directive to enter into force before the end of 2024.</w:t>
      </w:r>
    </w:p>
  </w:footnote>
  <w:footnote w:id="88">
    <w:p w14:paraId="3D910EA2" w14:textId="477FD208" w:rsidR="00592C7A" w:rsidRPr="00301974" w:rsidRDefault="00592C7A">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Testimonials available in Freedom Guide 2011: </w:t>
      </w:r>
      <w:hyperlink r:id="rId52" w:history="1">
        <w:r w:rsidRPr="00301974">
          <w:rPr>
            <w:rStyle w:val="Hyperlink"/>
            <w:rFonts w:cs="Arial"/>
            <w:sz w:val="18"/>
            <w:szCs w:val="18"/>
          </w:rPr>
          <w:t>https://www.edf-feph.org/publications/edf-freedom-guide-2011/</w:t>
        </w:r>
      </w:hyperlink>
      <w:r w:rsidRPr="00301974">
        <w:rPr>
          <w:rFonts w:cs="Arial"/>
          <w:sz w:val="18"/>
          <w:szCs w:val="18"/>
        </w:rPr>
        <w:t xml:space="preserve"> </w:t>
      </w:r>
    </w:p>
  </w:footnote>
  <w:footnote w:id="89">
    <w:p w14:paraId="1FB13951" w14:textId="6E502BCA" w:rsidR="00146AA7" w:rsidRPr="00301974" w:rsidRDefault="00146AA7">
      <w:pPr>
        <w:pStyle w:val="FootnoteText"/>
        <w:rPr>
          <w:rFonts w:cs="Arial"/>
          <w:sz w:val="18"/>
          <w:szCs w:val="18"/>
          <w:lang w:val="en-US"/>
        </w:rPr>
      </w:pPr>
      <w:r w:rsidRPr="00301974">
        <w:rPr>
          <w:rStyle w:val="FootnoteReference"/>
          <w:rFonts w:cs="Arial"/>
          <w:sz w:val="18"/>
          <w:szCs w:val="18"/>
        </w:rPr>
        <w:footnoteRef/>
      </w:r>
      <w:r w:rsidRPr="00301974">
        <w:rPr>
          <w:rFonts w:cs="Arial"/>
          <w:sz w:val="18"/>
          <w:szCs w:val="18"/>
        </w:rPr>
        <w:t xml:space="preserve"> </w:t>
      </w:r>
      <w:hyperlink r:id="rId53" w:history="1">
        <w:r w:rsidRPr="00301974">
          <w:rPr>
            <w:rStyle w:val="Hyperlink"/>
            <w:rFonts w:cs="Arial"/>
            <w:sz w:val="18"/>
            <w:szCs w:val="18"/>
          </w:rPr>
          <w:t>https://deinstitutionalisationdotcom.files.wordpress.com/2017/07/guidelines-final-english.pdf</w:t>
        </w:r>
      </w:hyperlink>
    </w:p>
  </w:footnote>
  <w:footnote w:id="90">
    <w:p w14:paraId="0807E8CA" w14:textId="77777777" w:rsidR="00C92E7B" w:rsidRPr="00301974" w:rsidRDefault="00C92E7B" w:rsidP="00C92E7B">
      <w:pPr>
        <w:rPr>
          <w:rFonts w:cs="Arial"/>
          <w:sz w:val="18"/>
          <w:szCs w:val="18"/>
        </w:rPr>
      </w:pPr>
      <w:r w:rsidRPr="00301974">
        <w:rPr>
          <w:rStyle w:val="FootnoteReference"/>
          <w:rFonts w:cs="Arial"/>
          <w:sz w:val="18"/>
          <w:szCs w:val="18"/>
        </w:rPr>
        <w:footnoteRef/>
      </w:r>
      <w:r w:rsidRPr="00301974">
        <w:rPr>
          <w:rFonts w:cs="Arial"/>
          <w:sz w:val="18"/>
          <w:szCs w:val="18"/>
        </w:rPr>
        <w:t xml:space="preserve"> The EU’s data collection and statistics agency Eurostat, together with national statistics offices, do not keep regular EU-wide data on people living in institutions. They are missed out of data collection surveys such as the EU Statistics on Income and Living Conditions (EU SILC) as these apply only to people living in household settings. As such, there is a gap in our knowledge of precisely how many persons with disabilities are still institutionalised and where in the EU the situation is improving and getting worse. </w:t>
      </w:r>
      <w:r w:rsidRPr="00301974">
        <w:rPr>
          <w:rStyle w:val="CommentReference"/>
          <w:rFonts w:cs="Arial"/>
          <w:sz w:val="18"/>
          <w:szCs w:val="18"/>
        </w:rPr>
        <w:t/>
      </w:r>
    </w:p>
    <w:p w14:paraId="2174C084" w14:textId="327A3A45" w:rsidR="00C92E7B" w:rsidRPr="00301974" w:rsidRDefault="00C92E7B">
      <w:pPr>
        <w:pStyle w:val="FootnoteText"/>
        <w:rPr>
          <w:rFonts w:cs="Arial"/>
          <w:sz w:val="18"/>
          <w:szCs w:val="18"/>
        </w:rPr>
      </w:pPr>
    </w:p>
  </w:footnote>
  <w:footnote w:id="91">
    <w:p w14:paraId="529DE247" w14:textId="173EB748" w:rsidR="00F1485C" w:rsidRPr="00301974" w:rsidRDefault="00F1485C">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w:t>
      </w:r>
      <w:hyperlink r:id="rId54" w:history="1">
        <w:r w:rsidRPr="00301974">
          <w:rPr>
            <w:rStyle w:val="Hyperlink"/>
            <w:rFonts w:cs="Arial"/>
            <w:sz w:val="18"/>
            <w:szCs w:val="18"/>
          </w:rPr>
          <w:t>https://commission.europa.eu/document/download/e6cd4328-673c-4e7a-8683-f63ffb2cf648_en?filename=Political%20Guidelines%202024-2029_EN.pdf</w:t>
        </w:r>
      </w:hyperlink>
      <w:r w:rsidRPr="00301974">
        <w:rPr>
          <w:rFonts w:cs="Arial"/>
          <w:sz w:val="18"/>
          <w:szCs w:val="18"/>
        </w:rPr>
        <w:t xml:space="preserve"> </w:t>
      </w:r>
    </w:p>
  </w:footnote>
  <w:footnote w:id="92">
    <w:p w14:paraId="7415737C" w14:textId="77777777" w:rsidR="00B27A05" w:rsidRPr="00301974" w:rsidRDefault="00B27A05" w:rsidP="00B27A05">
      <w:pPr>
        <w:pStyle w:val="FootnoteText"/>
        <w:rPr>
          <w:rFonts w:cs="Arial"/>
          <w:sz w:val="18"/>
          <w:szCs w:val="18"/>
          <w:lang w:val="en-US"/>
        </w:rPr>
      </w:pPr>
      <w:r w:rsidRPr="00301974">
        <w:rPr>
          <w:rStyle w:val="FootnoteReference"/>
          <w:rFonts w:cs="Arial"/>
          <w:sz w:val="18"/>
          <w:szCs w:val="18"/>
        </w:rPr>
        <w:footnoteRef/>
      </w:r>
      <w:r w:rsidRPr="00301974">
        <w:rPr>
          <w:rFonts w:cs="Arial"/>
          <w:sz w:val="18"/>
          <w:szCs w:val="18"/>
        </w:rPr>
        <w:t xml:space="preserve"> </w:t>
      </w:r>
      <w:hyperlink r:id="rId55" w:history="1">
        <w:r w:rsidRPr="00301974">
          <w:rPr>
            <w:rStyle w:val="Hyperlink"/>
            <w:rFonts w:cs="Arial"/>
            <w:sz w:val="18"/>
            <w:szCs w:val="18"/>
          </w:rPr>
          <w:t>https://ec.europa.eu/eurostat/databrowser/view/hlth_dhc060/default/table?lang=en&amp;category=dsb.dsb_ilc.dsb_ilchc</w:t>
        </w:r>
      </w:hyperlink>
      <w:r w:rsidRPr="00301974">
        <w:rPr>
          <w:rFonts w:cs="Arial"/>
          <w:sz w:val="18"/>
          <w:szCs w:val="18"/>
        </w:rPr>
        <w:t xml:space="preserve"> </w:t>
      </w:r>
    </w:p>
  </w:footnote>
  <w:footnote w:id="93">
    <w:p w14:paraId="21B3FCB5" w14:textId="2ACA8CEE" w:rsidR="00A32A93" w:rsidRPr="00301974" w:rsidRDefault="00A32A93">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Current accessibility obligations cover rail stations and rolling stock (</w:t>
      </w:r>
      <w:hyperlink r:id="rId56" w:history="1">
        <w:r w:rsidRPr="00301974">
          <w:rPr>
            <w:rStyle w:val="Hyperlink"/>
            <w:rFonts w:cs="Arial"/>
            <w:sz w:val="18"/>
            <w:szCs w:val="18"/>
          </w:rPr>
          <w:t>TSI-PRM Regulation</w:t>
        </w:r>
      </w:hyperlink>
      <w:r w:rsidR="00AC3F40" w:rsidRPr="00301974">
        <w:rPr>
          <w:rFonts w:cs="Arial"/>
          <w:sz w:val="18"/>
          <w:szCs w:val="18"/>
        </w:rPr>
        <w:t xml:space="preserve"> 1300/2014</w:t>
      </w:r>
      <w:r w:rsidRPr="00301974">
        <w:rPr>
          <w:rFonts w:cs="Arial"/>
          <w:sz w:val="18"/>
          <w:szCs w:val="18"/>
        </w:rPr>
        <w:t>). Minimal obligations also exist for certain buses (</w:t>
      </w:r>
      <w:hyperlink r:id="rId57" w:history="1">
        <w:r w:rsidRPr="00301974">
          <w:rPr>
            <w:rStyle w:val="Hyperlink"/>
            <w:rFonts w:cs="Arial"/>
            <w:sz w:val="18"/>
            <w:szCs w:val="18"/>
          </w:rPr>
          <w:t>UNECE Regulation 107</w:t>
        </w:r>
      </w:hyperlink>
      <w:r w:rsidRPr="00301974">
        <w:rPr>
          <w:rFonts w:cs="Arial"/>
          <w:sz w:val="18"/>
          <w:szCs w:val="18"/>
        </w:rPr>
        <w:t>) and boats (</w:t>
      </w:r>
      <w:hyperlink r:id="rId58" w:history="1">
        <w:r w:rsidRPr="00301974">
          <w:rPr>
            <w:rStyle w:val="Hyperlink"/>
            <w:rFonts w:cs="Arial"/>
            <w:sz w:val="18"/>
            <w:szCs w:val="18"/>
          </w:rPr>
          <w:t>Directive 2010/36</w:t>
        </w:r>
      </w:hyperlink>
      <w:r w:rsidRPr="00301974">
        <w:rPr>
          <w:rFonts w:cs="Arial"/>
          <w:sz w:val="18"/>
          <w:szCs w:val="18"/>
        </w:rPr>
        <w:t xml:space="preserve">). For more info consult the </w:t>
      </w:r>
      <w:hyperlink r:id="rId59" w:history="1">
        <w:r w:rsidRPr="00301974">
          <w:rPr>
            <w:rStyle w:val="Hyperlink"/>
            <w:rFonts w:cs="Arial"/>
            <w:sz w:val="18"/>
            <w:szCs w:val="18"/>
          </w:rPr>
          <w:t>AccessibleEU Report on Transport Accessibility</w:t>
        </w:r>
      </w:hyperlink>
      <w:r w:rsidRPr="00301974">
        <w:rPr>
          <w:rFonts w:cs="Arial"/>
          <w:sz w:val="18"/>
          <w:szCs w:val="18"/>
        </w:rPr>
        <w:t xml:space="preserve">. </w:t>
      </w:r>
    </w:p>
  </w:footnote>
  <w:footnote w:id="94">
    <w:p w14:paraId="448B1042" w14:textId="77777777" w:rsidR="00B92EEB" w:rsidRPr="00301974" w:rsidRDefault="00B92EEB" w:rsidP="00B92EEB">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The regulations and rules are uneven among the Member states which makes it difficult for persons with disabilities to plan the travels and places to go to, impacting their freedom of movement within the EU. </w:t>
      </w:r>
    </w:p>
  </w:footnote>
  <w:footnote w:id="95">
    <w:p w14:paraId="03E5473F" w14:textId="4953F84A" w:rsidR="008001A5" w:rsidRPr="00301974" w:rsidRDefault="008001A5">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Overview of EDFs feedback on the regulations: </w:t>
      </w:r>
      <w:hyperlink r:id="rId60" w:history="1">
        <w:r w:rsidRPr="00301974">
          <w:rPr>
            <w:rStyle w:val="Hyperlink"/>
            <w:rFonts w:cs="Arial"/>
            <w:sz w:val="18"/>
            <w:szCs w:val="18"/>
          </w:rPr>
          <w:t>https://www.edf-feph.org/content/uploads/2022/01/EDF-Feedback-to-Call-for-Evidence-for-an-Impact-Assessment-of-EU-Passenger-Rights-Regulations.pdf</w:t>
        </w:r>
      </w:hyperlink>
      <w:r w:rsidRPr="00301974">
        <w:rPr>
          <w:rFonts w:cs="Arial"/>
          <w:sz w:val="18"/>
          <w:szCs w:val="18"/>
        </w:rPr>
        <w:t xml:space="preserve"> </w:t>
      </w:r>
    </w:p>
  </w:footnote>
  <w:footnote w:id="96">
    <w:p w14:paraId="44A18676" w14:textId="27E388EF" w:rsidR="00FC13A8" w:rsidRPr="00301974" w:rsidRDefault="00FC13A8">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w:t>
      </w:r>
      <w:hyperlink r:id="rId61" w:history="1">
        <w:r w:rsidRPr="00301974">
          <w:rPr>
            <w:rStyle w:val="Hyperlink"/>
            <w:rFonts w:cs="Arial"/>
            <w:sz w:val="18"/>
            <w:szCs w:val="18"/>
          </w:rPr>
          <w:t>Regulation 1300/2014 on Technical Specifications for the Interoperability of the Union’s Rail System for Persons with Disabilities (“TSI-PRM”)</w:t>
        </w:r>
      </w:hyperlink>
    </w:p>
  </w:footnote>
  <w:footnote w:id="97">
    <w:p w14:paraId="1565B90D" w14:textId="3ED09DD5" w:rsidR="00305878" w:rsidRPr="00301974" w:rsidRDefault="00305878">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w:t>
      </w:r>
      <w:hyperlink r:id="rId62" w:history="1">
        <w:r w:rsidRPr="00301974">
          <w:rPr>
            <w:rStyle w:val="Hyperlink"/>
            <w:rFonts w:cs="Arial"/>
            <w:sz w:val="18"/>
            <w:szCs w:val="18"/>
          </w:rPr>
          <w:t>Regulation (EU) No 1177/2010 of the European Parliament and of the Council of 24 November 2010 concerning the rights of passengers when travelling by sea and inland waterway and amending Regulation (EC) No 2006/2004 Text with EEA relevance</w:t>
        </w:r>
      </w:hyperlink>
    </w:p>
  </w:footnote>
  <w:footnote w:id="98">
    <w:p w14:paraId="15A694F1" w14:textId="122003D7" w:rsidR="004D3DC5" w:rsidRPr="00301974" w:rsidRDefault="004D3DC5">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w:t>
      </w:r>
      <w:hyperlink r:id="rId63" w:history="1">
        <w:r w:rsidRPr="00301974">
          <w:rPr>
            <w:rStyle w:val="Hyperlink"/>
            <w:rFonts w:cs="Arial"/>
            <w:sz w:val="18"/>
            <w:szCs w:val="18"/>
          </w:rPr>
          <w:t>Regulation (EC) No 1107/2006 of the European Parliament and of the Council of 5 July 2006 concerning the rights of disabled persons and persons with reduced mobility when travelling by air</w:t>
        </w:r>
      </w:hyperlink>
    </w:p>
  </w:footnote>
  <w:footnote w:id="99">
    <w:p w14:paraId="712FAB7B" w14:textId="5215D0C4" w:rsidR="001A7F00" w:rsidRPr="00301974" w:rsidRDefault="001A7F00">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Such the transposition and implementation of the Web Directive, the Accessibility Act, Marrakesh Treaty, and the Audiovisual Media Services Directive and the Electronic Communications Code. </w:t>
      </w:r>
    </w:p>
  </w:footnote>
  <w:footnote w:id="100">
    <w:p w14:paraId="05EF3422" w14:textId="0AD8987B" w:rsidR="008E0D73" w:rsidRPr="00301974" w:rsidRDefault="008E0D73">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See under article 11. </w:t>
      </w:r>
    </w:p>
  </w:footnote>
  <w:footnote w:id="101">
    <w:p w14:paraId="63E901A9" w14:textId="77777777" w:rsidR="00037476" w:rsidRPr="00301974" w:rsidRDefault="00037476" w:rsidP="00037476">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For more information see </w:t>
      </w:r>
      <w:hyperlink r:id="rId64" w:history="1">
        <w:r w:rsidRPr="00301974">
          <w:rPr>
            <w:rStyle w:val="Hyperlink"/>
            <w:rFonts w:cs="Arial"/>
            <w:sz w:val="18"/>
            <w:szCs w:val="18"/>
          </w:rPr>
          <w:t>EDF paper on assistive technologies in the EU</w:t>
        </w:r>
      </w:hyperlink>
      <w:r w:rsidRPr="00301974">
        <w:rPr>
          <w:rFonts w:cs="Arial"/>
          <w:sz w:val="18"/>
          <w:szCs w:val="18"/>
        </w:rPr>
        <w:t>.</w:t>
      </w:r>
    </w:p>
  </w:footnote>
  <w:footnote w:id="102">
    <w:p w14:paraId="2EB3177F" w14:textId="68A718D3" w:rsidR="00590BF9" w:rsidRPr="00301974" w:rsidRDefault="00590BF9" w:rsidP="00590BF9">
      <w:pPr>
        <w:spacing w:after="0"/>
        <w:rPr>
          <w:rFonts w:cs="Arial"/>
          <w:sz w:val="18"/>
          <w:szCs w:val="18"/>
        </w:rPr>
      </w:pPr>
      <w:r w:rsidRPr="00301974">
        <w:rPr>
          <w:rStyle w:val="FootnoteReference"/>
          <w:rFonts w:cs="Arial"/>
          <w:sz w:val="18"/>
          <w:szCs w:val="18"/>
        </w:rPr>
        <w:footnoteRef/>
      </w:r>
      <w:r w:rsidRPr="00301974">
        <w:rPr>
          <w:rFonts w:cs="Arial"/>
          <w:sz w:val="18"/>
          <w:szCs w:val="18"/>
        </w:rPr>
        <w:t xml:space="preserve"> </w:t>
      </w:r>
      <w:hyperlink r:id="rId65" w:history="1">
        <w:r w:rsidRPr="00301974">
          <w:rPr>
            <w:rStyle w:val="Hyperlink"/>
            <w:rFonts w:cs="Arial"/>
            <w:sz w:val="18"/>
            <w:szCs w:val="18"/>
          </w:rPr>
          <w:t xml:space="preserve">European Disability Forum 'Plug </w:t>
        </w:r>
        <w:r w:rsidR="008640EF" w:rsidRPr="00301974">
          <w:rPr>
            <w:rStyle w:val="Hyperlink"/>
            <w:rFonts w:cs="Arial"/>
            <w:sz w:val="18"/>
            <w:szCs w:val="18"/>
          </w:rPr>
          <w:t>and</w:t>
        </w:r>
        <w:r w:rsidRPr="00301974">
          <w:rPr>
            <w:rStyle w:val="Hyperlink"/>
            <w:rFonts w:cs="Arial"/>
            <w:sz w:val="18"/>
            <w:szCs w:val="18"/>
          </w:rPr>
          <w:t xml:space="preserve"> Pray' report</w:t>
        </w:r>
      </w:hyperlink>
      <w:r w:rsidRPr="00301974">
        <w:rPr>
          <w:rStyle w:val="Hyperlink"/>
          <w:rFonts w:cs="Arial"/>
          <w:sz w:val="18"/>
          <w:szCs w:val="18"/>
        </w:rPr>
        <w:t xml:space="preserve"> on emerging technology</w:t>
      </w:r>
      <w:r w:rsidRPr="00301974">
        <w:rPr>
          <w:rFonts w:cs="Arial"/>
          <w:sz w:val="18"/>
          <w:szCs w:val="18"/>
        </w:rPr>
        <w:t xml:space="preserve"> highlighted some of the concerns raised by persons with disabilities. </w:t>
      </w:r>
    </w:p>
  </w:footnote>
  <w:footnote w:id="103">
    <w:p w14:paraId="72238AEA" w14:textId="77777777" w:rsidR="002233D3" w:rsidRPr="00301974" w:rsidRDefault="002233D3" w:rsidP="002233D3">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See </w:t>
      </w:r>
      <w:hyperlink r:id="rId66" w:history="1">
        <w:r w:rsidRPr="00301974">
          <w:rPr>
            <w:rStyle w:val="Hyperlink"/>
            <w:rFonts w:cs="Arial"/>
            <w:sz w:val="18"/>
            <w:szCs w:val="18"/>
          </w:rPr>
          <w:t>https://www.joedolson.com/2014/03/detecting-assistive-technology/</w:t>
        </w:r>
      </w:hyperlink>
    </w:p>
  </w:footnote>
  <w:footnote w:id="104">
    <w:p w14:paraId="589528DE" w14:textId="6593EDCF" w:rsidR="002233D3" w:rsidRPr="00301974" w:rsidRDefault="002233D3" w:rsidP="002233D3">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The European Federation of Hard of Hearing People told EDF that hearing care professionals often activate data login in hearing aids and cochlear implants without specific consent from their patients.</w:t>
      </w:r>
    </w:p>
  </w:footnote>
  <w:footnote w:id="105">
    <w:p w14:paraId="0EE3B43A" w14:textId="6D704445" w:rsidR="00B07DF8" w:rsidRPr="00301974" w:rsidRDefault="00B07DF8">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Privacy and data protection related to health status and disability are especially sensitive for persons with disabilities. A person’s disability can be detected by their use of assistive technology (</w:t>
      </w:r>
      <w:r w:rsidR="008640EF" w:rsidRPr="00301974">
        <w:rPr>
          <w:rFonts w:cs="Arial"/>
          <w:sz w:val="18"/>
          <w:szCs w:val="18"/>
        </w:rPr>
        <w:t>e.g.,</w:t>
      </w:r>
      <w:r w:rsidRPr="00301974">
        <w:rPr>
          <w:rFonts w:cs="Arial"/>
          <w:sz w:val="18"/>
          <w:szCs w:val="18"/>
        </w:rPr>
        <w:t xml:space="preserve"> screen-reader) when accessing a website. Revelation of one’s disability or health status against their will is not only violation of the right to privacy of the person but can also lead to discrimination, for example from potential employers or service providers. It can also lead to ‘algorithmic discrimination’ when Artificial Intelligence-based advertisement systems for example could avoid or target persons with disabilities.</w:t>
      </w:r>
    </w:p>
  </w:footnote>
  <w:footnote w:id="106">
    <w:p w14:paraId="25F8E9A8" w14:textId="2811CB34" w:rsidR="001570FB" w:rsidRPr="00301974" w:rsidRDefault="001570FB">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See </w:t>
      </w:r>
      <w:hyperlink r:id="rId67" w:history="1">
        <w:r w:rsidRPr="00301974">
          <w:rPr>
            <w:rStyle w:val="Hyperlink"/>
            <w:rFonts w:cs="Arial"/>
            <w:sz w:val="18"/>
            <w:szCs w:val="18"/>
          </w:rPr>
          <w:t>EDF Position on Regulating Artificial Intelligence (AI) in the EU</w:t>
        </w:r>
      </w:hyperlink>
      <w:r w:rsidRPr="00301974">
        <w:rPr>
          <w:rFonts w:cs="Arial"/>
          <w:sz w:val="18"/>
          <w:szCs w:val="18"/>
        </w:rPr>
        <w:t xml:space="preserve">. </w:t>
      </w:r>
    </w:p>
  </w:footnote>
  <w:footnote w:id="107">
    <w:p w14:paraId="1324F407" w14:textId="257BAAFD" w:rsidR="00AA448A" w:rsidRPr="00301974" w:rsidRDefault="00AA448A">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w:t>
      </w:r>
      <w:hyperlink r:id="rId68" w:history="1">
        <w:r w:rsidR="00070AC1" w:rsidRPr="00301974">
          <w:rPr>
            <w:rStyle w:val="Hyperlink"/>
            <w:rFonts w:cs="Arial"/>
            <w:sz w:val="18"/>
            <w:szCs w:val="18"/>
          </w:rPr>
          <w:t>https://www.european-agency.org/resources/publications/EASIE-2020-2021-cross-country-report</w:t>
        </w:r>
      </w:hyperlink>
      <w:r w:rsidR="00070AC1" w:rsidRPr="00301974">
        <w:rPr>
          <w:rFonts w:cs="Arial"/>
          <w:sz w:val="18"/>
          <w:szCs w:val="18"/>
        </w:rPr>
        <w:t xml:space="preserve"> </w:t>
      </w:r>
    </w:p>
  </w:footnote>
  <w:footnote w:id="108">
    <w:p w14:paraId="76FDADEF" w14:textId="74544320" w:rsidR="00146AA7" w:rsidRPr="00301974" w:rsidRDefault="00146AA7" w:rsidP="00EE20D0">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w:t>
      </w:r>
      <w:hyperlink r:id="rId69" w:history="1">
        <w:r w:rsidR="00070AC1" w:rsidRPr="00301974">
          <w:rPr>
            <w:rStyle w:val="Hyperlink"/>
            <w:rFonts w:cs="Arial"/>
            <w:sz w:val="18"/>
            <w:szCs w:val="18"/>
          </w:rPr>
          <w:t>https://www.european-agency.org/resources/publications/EASIE-2020-2021-cross-country-report</w:t>
        </w:r>
      </w:hyperlink>
      <w:r w:rsidR="00070AC1" w:rsidRPr="00301974">
        <w:rPr>
          <w:rFonts w:cs="Arial"/>
          <w:sz w:val="18"/>
          <w:szCs w:val="18"/>
        </w:rPr>
        <w:t xml:space="preserve"> </w:t>
      </w:r>
    </w:p>
  </w:footnote>
  <w:footnote w:id="109">
    <w:p w14:paraId="11834043" w14:textId="1ADFE1A3" w:rsidR="005A6823" w:rsidRPr="00301974" w:rsidRDefault="005A6823">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For </w:t>
      </w:r>
      <w:r w:rsidR="008640EF" w:rsidRPr="00301974">
        <w:rPr>
          <w:rFonts w:cs="Arial"/>
          <w:sz w:val="18"/>
          <w:szCs w:val="18"/>
        </w:rPr>
        <w:t>example,</w:t>
      </w:r>
      <w:r w:rsidRPr="00301974">
        <w:rPr>
          <w:rFonts w:cs="Arial"/>
          <w:sz w:val="18"/>
          <w:szCs w:val="18"/>
        </w:rPr>
        <w:t xml:space="preserve"> possibility to request grants for prefinancing and </w:t>
      </w:r>
      <w:r w:rsidRPr="00301974">
        <w:rPr>
          <w:rFonts w:cs="Arial"/>
          <w:sz w:val="18"/>
          <w:szCs w:val="18"/>
          <w:lang w:val="en-US"/>
        </w:rPr>
        <w:t xml:space="preserve">the obligation to all member states to develop their own Inclusion and Diversity strategies. </w:t>
      </w:r>
    </w:p>
  </w:footnote>
  <w:footnote w:id="110">
    <w:p w14:paraId="516A1E58" w14:textId="77777777" w:rsidR="00775C0F" w:rsidRPr="00301974" w:rsidRDefault="00775C0F" w:rsidP="00775C0F">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See </w:t>
      </w:r>
      <w:hyperlink r:id="rId70" w:anchor="d1e38-127-1" w:history="1">
        <w:r w:rsidRPr="00301974">
          <w:rPr>
            <w:rStyle w:val="Hyperlink"/>
            <w:rFonts w:cs="Arial"/>
            <w:sz w:val="18"/>
            <w:szCs w:val="18"/>
          </w:rPr>
          <w:t>Annex III 3 of the AI Act</w:t>
        </w:r>
      </w:hyperlink>
      <w:r w:rsidRPr="00301974">
        <w:rPr>
          <w:rFonts w:cs="Arial"/>
          <w:sz w:val="18"/>
          <w:szCs w:val="18"/>
        </w:rPr>
        <w:t xml:space="preserve">. </w:t>
      </w:r>
    </w:p>
  </w:footnote>
  <w:footnote w:id="111">
    <w:p w14:paraId="7E01C378" w14:textId="68672B1E" w:rsidR="00EA14D5" w:rsidRPr="00301974" w:rsidRDefault="00EA14D5">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We note a decrease comparing to the </w:t>
      </w:r>
      <w:hyperlink r:id="rId71" w:history="1">
        <w:r w:rsidRPr="00301974">
          <w:rPr>
            <w:rStyle w:val="Hyperlink"/>
            <w:rFonts w:cs="Arial"/>
            <w:sz w:val="18"/>
            <w:szCs w:val="18"/>
          </w:rPr>
          <w:t>Gender Equality Index 2020</w:t>
        </w:r>
      </w:hyperlink>
      <w:r w:rsidRPr="00301974">
        <w:rPr>
          <w:rFonts w:cs="Arial"/>
          <w:sz w:val="18"/>
          <w:szCs w:val="18"/>
        </w:rPr>
        <w:t xml:space="preserve"> where 20.2% of women with disabilities and 22.8% of men with disabilities perceived themselves as in good or very good health, comparing to 83.8% of women without disabilities and 85.5% of men without disabilities. </w:t>
      </w:r>
    </w:p>
  </w:footnote>
  <w:footnote w:id="112">
    <w:p w14:paraId="39CBAB79" w14:textId="77777777" w:rsidR="00F07B84" w:rsidRPr="00301974" w:rsidRDefault="00F07B84" w:rsidP="00F07B84">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Just over half of the Member States prohibit disability discrimination and require providing reasonable accommodation in the field of healthcare. A quarter of Member States only prohibit disability discrimination, but do not provide reasonable accommodation obligation, in the field of healthcare, while nearly a quarter do not have any requirement in this respect. One Member State does not prohibit disability discrimination in the field of healthcare but requires the provision of reasonable accommodation.</w:t>
      </w:r>
    </w:p>
  </w:footnote>
  <w:footnote w:id="113">
    <w:p w14:paraId="0C9B495A" w14:textId="77777777" w:rsidR="00DD256E" w:rsidRPr="00301974" w:rsidRDefault="00DD256E" w:rsidP="00DD256E">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EDF sent </w:t>
      </w:r>
      <w:hyperlink r:id="rId72" w:history="1">
        <w:r w:rsidRPr="00301974">
          <w:rPr>
            <w:rStyle w:val="Hyperlink"/>
            <w:rFonts w:cs="Arial"/>
            <w:sz w:val="18"/>
            <w:szCs w:val="18"/>
          </w:rPr>
          <w:t>recommendations on the European Health Union Package</w:t>
        </w:r>
      </w:hyperlink>
      <w:r w:rsidRPr="00301974">
        <w:rPr>
          <w:rFonts w:cs="Arial"/>
          <w:sz w:val="18"/>
          <w:szCs w:val="18"/>
        </w:rPr>
        <w:t xml:space="preserve"> presented in 2021, focusing on: involvement of representative organisations of persons with disabilities, right to life, equality and non-discrimination, preparedness and response, accessibility, data collection and EU’s external actions.</w:t>
      </w:r>
    </w:p>
  </w:footnote>
  <w:footnote w:id="114">
    <w:p w14:paraId="0E828E4B" w14:textId="77777777" w:rsidR="00EA0A6A" w:rsidRPr="00301974" w:rsidRDefault="00EA0A6A" w:rsidP="00EA0A6A">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European Commission (2022). </w:t>
      </w:r>
      <w:hyperlink r:id="rId73" w:history="1">
        <w:r w:rsidRPr="00301974">
          <w:rPr>
            <w:rStyle w:val="Hyperlink"/>
            <w:rFonts w:cs="Arial"/>
            <w:sz w:val="18"/>
            <w:szCs w:val="18"/>
          </w:rPr>
          <w:t>State of Health preparedness report.</w:t>
        </w:r>
      </w:hyperlink>
    </w:p>
  </w:footnote>
  <w:footnote w:id="115">
    <w:p w14:paraId="22E4DA32" w14:textId="77777777" w:rsidR="00EA0A6A" w:rsidRPr="00301974" w:rsidRDefault="00EA0A6A" w:rsidP="00EA0A6A">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The European Cancer Inequalities Registry now includes disability as an inequality dimension for analysis; the Council Recommendation on vaccine-preventable cancers includes specific reference to persons with disabilities and the barriers faced in access and uptake. </w:t>
      </w:r>
    </w:p>
  </w:footnote>
  <w:footnote w:id="116">
    <w:p w14:paraId="275A13EB" w14:textId="77777777" w:rsidR="00EA0A6A" w:rsidRPr="00301974" w:rsidRDefault="00EA0A6A" w:rsidP="00EA0A6A">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See MHE’s analysis of the communication: </w:t>
      </w:r>
      <w:hyperlink r:id="rId74" w:history="1">
        <w:r w:rsidRPr="00301974">
          <w:rPr>
            <w:rStyle w:val="Hyperlink"/>
            <w:rFonts w:cs="Arial"/>
            <w:sz w:val="18"/>
            <w:szCs w:val="18"/>
          </w:rPr>
          <w:t>https://www.mentalhealtheurope.org/library/briefing-on-recent-eu-policy-developments-on-mental-he</w:t>
        </w:r>
      </w:hyperlink>
      <w:r w:rsidRPr="00301974">
        <w:rPr>
          <w:rFonts w:cs="Arial"/>
          <w:sz w:val="18"/>
          <w:szCs w:val="18"/>
        </w:rPr>
        <w:t xml:space="preserve"> </w:t>
      </w:r>
    </w:p>
  </w:footnote>
  <w:footnote w:id="117">
    <w:p w14:paraId="67F9FC3D" w14:textId="77777777" w:rsidR="00EA0A6A" w:rsidRPr="00301974" w:rsidRDefault="00EA0A6A" w:rsidP="00EA0A6A">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European Commission (2022) </w:t>
      </w:r>
      <w:hyperlink r:id="rId75" w:history="1">
        <w:r w:rsidRPr="00301974">
          <w:rPr>
            <w:rStyle w:val="Hyperlink"/>
            <w:rFonts w:cs="Arial"/>
            <w:sz w:val="18"/>
            <w:szCs w:val="18"/>
          </w:rPr>
          <w:t>Study supporting the evaluation of the Directive 011/24/EU to ensure patients’ rights in the EU in cross-border healthcare Final Report.</w:t>
        </w:r>
      </w:hyperlink>
      <w:r w:rsidRPr="00301974">
        <w:rPr>
          <w:rFonts w:cs="Arial"/>
          <w:sz w:val="18"/>
          <w:szCs w:val="18"/>
        </w:rPr>
        <w:t xml:space="preserve"> </w:t>
      </w:r>
    </w:p>
  </w:footnote>
  <w:footnote w:id="118">
    <w:p w14:paraId="0AC3EF9B" w14:textId="3AC8CA6D" w:rsidR="00211290" w:rsidRPr="00301974" w:rsidRDefault="00211290">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More detailed information on the Directive is available in </w:t>
      </w:r>
      <w:hyperlink r:id="rId76" w:history="1">
        <w:r w:rsidRPr="00301974">
          <w:rPr>
            <w:rStyle w:val="Hyperlink"/>
            <w:rFonts w:cs="Arial"/>
            <w:sz w:val="18"/>
            <w:szCs w:val="18"/>
          </w:rPr>
          <w:t>EDF report on access to cross-border healthcare by patients with disabilities</w:t>
        </w:r>
        <w:r w:rsidR="00514677" w:rsidRPr="00301974">
          <w:rPr>
            <w:rStyle w:val="Hyperlink"/>
            <w:rFonts w:cs="Arial"/>
            <w:sz w:val="18"/>
            <w:szCs w:val="18"/>
          </w:rPr>
          <w:t xml:space="preserve"> in the EU</w:t>
        </w:r>
      </w:hyperlink>
      <w:r w:rsidRPr="00301974">
        <w:rPr>
          <w:rFonts w:cs="Arial"/>
          <w:sz w:val="18"/>
          <w:szCs w:val="18"/>
        </w:rPr>
        <w:t>.</w:t>
      </w:r>
    </w:p>
  </w:footnote>
  <w:footnote w:id="119">
    <w:p w14:paraId="4C0915D0" w14:textId="77777777" w:rsidR="00EA0A6A" w:rsidRPr="00301974" w:rsidRDefault="00EA0A6A" w:rsidP="00EA0A6A">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European Commission (2022) </w:t>
      </w:r>
      <w:hyperlink r:id="rId77" w:history="1">
        <w:r w:rsidRPr="00301974">
          <w:rPr>
            <w:rStyle w:val="Hyperlink"/>
            <w:rFonts w:cs="Arial"/>
            <w:sz w:val="18"/>
            <w:szCs w:val="18"/>
          </w:rPr>
          <w:t>Study supporting the evaluation of the Directive 011/24/EU to ensure patients’ rights in the EU in cross-border healthcare Final Report.</w:t>
        </w:r>
      </w:hyperlink>
    </w:p>
  </w:footnote>
  <w:footnote w:id="120">
    <w:p w14:paraId="5768587D" w14:textId="107A102B" w:rsidR="00FB43E5" w:rsidRPr="00301974" w:rsidRDefault="00FB43E5">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IF, </w:t>
      </w:r>
      <w:hyperlink r:id="rId78" w:history="1">
        <w:r w:rsidRPr="00301974">
          <w:rPr>
            <w:rStyle w:val="Hyperlink"/>
            <w:rFonts w:cs="Arial"/>
            <w:sz w:val="18"/>
            <w:szCs w:val="18"/>
          </w:rPr>
          <w:t>Impact of cross-border healthcare on persons with disabilities and chronic conditions</w:t>
        </w:r>
      </w:hyperlink>
      <w:r w:rsidRPr="00301974">
        <w:rPr>
          <w:rFonts w:cs="Arial"/>
          <w:sz w:val="18"/>
          <w:szCs w:val="18"/>
        </w:rPr>
        <w:t xml:space="preserve"> (2016), 3, 15. </w:t>
      </w:r>
    </w:p>
  </w:footnote>
  <w:footnote w:id="121">
    <w:p w14:paraId="18A4380C" w14:textId="77777777" w:rsidR="00EA0A6A" w:rsidRPr="00301974" w:rsidRDefault="00EA0A6A" w:rsidP="00EA0A6A">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European Commission (2022) </w:t>
      </w:r>
      <w:hyperlink r:id="rId79" w:history="1">
        <w:r w:rsidRPr="00301974">
          <w:rPr>
            <w:rStyle w:val="Hyperlink"/>
            <w:rFonts w:cs="Arial"/>
            <w:sz w:val="18"/>
            <w:szCs w:val="18"/>
          </w:rPr>
          <w:t>Study supporting the evaluation of the Directive 011/24/EU to ensure patients’ rights in the EU in cross-border healthcare Final Report.</w:t>
        </w:r>
      </w:hyperlink>
    </w:p>
  </w:footnote>
  <w:footnote w:id="122">
    <w:p w14:paraId="487C8B85" w14:textId="6A4B09C7" w:rsidR="006523F6" w:rsidRPr="00301974" w:rsidRDefault="006523F6" w:rsidP="006523F6">
      <w:pPr>
        <w:pStyle w:val="FootnoteText"/>
        <w:rPr>
          <w:rFonts w:cs="Arial"/>
          <w:sz w:val="18"/>
          <w:szCs w:val="18"/>
        </w:rPr>
      </w:pPr>
      <w:r w:rsidRPr="00301974">
        <w:rPr>
          <w:rStyle w:val="FootnoteReference"/>
          <w:rFonts w:cs="Arial"/>
          <w:sz w:val="18"/>
          <w:szCs w:val="18"/>
        </w:rPr>
        <w:footnoteRef/>
      </w:r>
      <w:r w:rsidR="00764594" w:rsidRPr="00301974">
        <w:rPr>
          <w:rFonts w:cs="Arial"/>
          <w:sz w:val="18"/>
          <w:szCs w:val="18"/>
        </w:rPr>
        <w:t xml:space="preserve"> </w:t>
      </w:r>
      <w:hyperlink r:id="rId80" w:history="1">
        <w:r w:rsidR="00764594" w:rsidRPr="00301974">
          <w:rPr>
            <w:rStyle w:val="Hyperlink"/>
            <w:rFonts w:cs="Arial"/>
            <w:sz w:val="18"/>
            <w:szCs w:val="18"/>
          </w:rPr>
          <w:t>https://ec.europa.eu/eurostat/databrowser/view/lfsa_egaidl/default/table?lang=en&amp;category=dsb.dsb_lab</w:t>
        </w:r>
      </w:hyperlink>
      <w:r w:rsidR="00764594" w:rsidRPr="00301974">
        <w:rPr>
          <w:rFonts w:cs="Arial"/>
          <w:sz w:val="18"/>
          <w:szCs w:val="18"/>
        </w:rPr>
        <w:t xml:space="preserve"> </w:t>
      </w:r>
    </w:p>
  </w:footnote>
  <w:footnote w:id="123">
    <w:p w14:paraId="6F202A03" w14:textId="03BC3FE4" w:rsidR="00907268" w:rsidRPr="00301974" w:rsidRDefault="00907268">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w:t>
      </w:r>
      <w:hyperlink r:id="rId81" w:history="1">
        <w:r w:rsidR="00764594" w:rsidRPr="00301974">
          <w:rPr>
            <w:rStyle w:val="Hyperlink"/>
            <w:rFonts w:cs="Arial"/>
            <w:sz w:val="18"/>
            <w:szCs w:val="18"/>
          </w:rPr>
          <w:t>Gender Equality Index 2023</w:t>
        </w:r>
      </w:hyperlink>
      <w:r w:rsidRPr="00301974">
        <w:rPr>
          <w:rFonts w:cs="Arial"/>
          <w:sz w:val="18"/>
          <w:szCs w:val="18"/>
        </w:rPr>
        <w:t xml:space="preserve">, Work </w:t>
      </w:r>
    </w:p>
  </w:footnote>
  <w:footnote w:id="124">
    <w:p w14:paraId="056534F7" w14:textId="211AE398" w:rsidR="00354F55" w:rsidRPr="00301974" w:rsidRDefault="00354F55">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For example, the EU has invested directly in projects to assist in the integration of persons with disabilities into the labour market, notably </w:t>
      </w:r>
      <w:r w:rsidR="00613901" w:rsidRPr="00301974">
        <w:rPr>
          <w:rFonts w:cs="Arial"/>
          <w:sz w:val="18"/>
          <w:szCs w:val="18"/>
        </w:rPr>
        <w:t>using</w:t>
      </w:r>
      <w:r w:rsidRPr="00301974">
        <w:rPr>
          <w:rFonts w:cs="Arial"/>
          <w:sz w:val="18"/>
          <w:szCs w:val="18"/>
        </w:rPr>
        <w:t xml:space="preserve"> the EU Social Fund. The EU also facilitates, by means of an EU Regulation, the use of State Aid in the Member States to support inclusive employment, subsidise wages and provide reasonable accommodation. The General Block Exemption Regulation (EU) No 651/2014 declares certain this category of aid compatible with the internal market in application of Articles 107 and 108 of the Treaty on the Functioning of the EU. Finally, the EU Directive (Council Directive 2000/78/EC) establishes a general framework for equal treatment in employment, vocational </w:t>
      </w:r>
      <w:r w:rsidR="00057EEF" w:rsidRPr="00301974">
        <w:rPr>
          <w:rFonts w:cs="Arial"/>
          <w:sz w:val="18"/>
          <w:szCs w:val="18"/>
        </w:rPr>
        <w:t>guidance,</w:t>
      </w:r>
      <w:r w:rsidRPr="00301974">
        <w:rPr>
          <w:rFonts w:cs="Arial"/>
          <w:sz w:val="18"/>
          <w:szCs w:val="18"/>
        </w:rPr>
        <w:t xml:space="preserve"> and training.</w:t>
      </w:r>
    </w:p>
  </w:footnote>
  <w:footnote w:id="125">
    <w:p w14:paraId="2CCDD510" w14:textId="12087F4E" w:rsidR="00DF42ED" w:rsidRPr="00301974" w:rsidRDefault="00DF42ED">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w:t>
      </w:r>
      <w:hyperlink r:id="rId82" w:history="1">
        <w:r w:rsidR="001B4F41" w:rsidRPr="00301974">
          <w:rPr>
            <w:rStyle w:val="Hyperlink"/>
            <w:rFonts w:cs="Arial"/>
            <w:sz w:val="18"/>
            <w:szCs w:val="18"/>
          </w:rPr>
          <w:t>https://ec.europa.eu/social/main.jsp?catId=166&amp;langId=en</w:t>
        </w:r>
      </w:hyperlink>
      <w:r w:rsidR="001B4F41" w:rsidRPr="00301974">
        <w:rPr>
          <w:rFonts w:cs="Arial"/>
          <w:sz w:val="18"/>
          <w:szCs w:val="18"/>
        </w:rPr>
        <w:t xml:space="preserve"> </w:t>
      </w:r>
    </w:p>
  </w:footnote>
  <w:footnote w:id="126">
    <w:p w14:paraId="1856DFF2" w14:textId="1115750D" w:rsidR="0023331D" w:rsidRPr="00301974" w:rsidRDefault="0023331D">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The mean monthly earning, besides earnings from paid work, includes pensions, investments, </w:t>
      </w:r>
      <w:r w:rsidR="00057EEF" w:rsidRPr="00301974">
        <w:rPr>
          <w:rFonts w:cs="Arial"/>
          <w:sz w:val="18"/>
          <w:szCs w:val="18"/>
        </w:rPr>
        <w:t>benefits,</w:t>
      </w:r>
      <w:r w:rsidRPr="00301974">
        <w:rPr>
          <w:rFonts w:cs="Arial"/>
          <w:sz w:val="18"/>
          <w:szCs w:val="18"/>
        </w:rPr>
        <w:t xml:space="preserve"> and any other source of income. It is expressed in the purchasing power standard (PPS), which is an artificial currency that accounts for differences in price levels between Member States.</w:t>
      </w:r>
    </w:p>
  </w:footnote>
  <w:footnote w:id="127">
    <w:p w14:paraId="21DADDB7" w14:textId="0A38BF26" w:rsidR="00A81584" w:rsidRPr="00301974" w:rsidRDefault="00A81584" w:rsidP="00A81584">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See </w:t>
      </w:r>
      <w:hyperlink r:id="rId83" w:history="1">
        <w:r w:rsidR="00E43440" w:rsidRPr="00301974">
          <w:rPr>
            <w:rStyle w:val="Hyperlink"/>
            <w:rFonts w:cs="Arial"/>
            <w:sz w:val="18"/>
            <w:szCs w:val="18"/>
          </w:rPr>
          <w:t>Annex III 3 of the EU AI Act</w:t>
        </w:r>
      </w:hyperlink>
      <w:r w:rsidRPr="00301974">
        <w:rPr>
          <w:rFonts w:cs="Arial"/>
          <w:sz w:val="18"/>
          <w:szCs w:val="18"/>
        </w:rPr>
        <w:t xml:space="preserve">. </w:t>
      </w:r>
    </w:p>
  </w:footnote>
  <w:footnote w:id="128">
    <w:p w14:paraId="64788188" w14:textId="644E7308" w:rsidR="00A81584" w:rsidRPr="00301974" w:rsidRDefault="00A81584" w:rsidP="00A81584">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w:t>
      </w:r>
      <w:hyperlink r:id="rId84" w:history="1">
        <w:r w:rsidRPr="00301974">
          <w:rPr>
            <w:rStyle w:val="Hyperlink"/>
            <w:rFonts w:cs="Arial"/>
            <w:sz w:val="18"/>
            <w:szCs w:val="18"/>
          </w:rPr>
          <w:t>HireVue</w:t>
        </w:r>
      </w:hyperlink>
      <w:r w:rsidRPr="00301974">
        <w:rPr>
          <w:rFonts w:cs="Arial"/>
          <w:sz w:val="18"/>
          <w:szCs w:val="18"/>
        </w:rPr>
        <w:t xml:space="preserve">, an AI-powered video-interviewing system used by large firms such as Goldman Sachs and Unilever, was found to massively discriminate against many persons with disabilities who have out of the ‘norm’ facial expressions and voice. Among others, this affected </w:t>
      </w:r>
      <w:r w:rsidR="00E91CF5" w:rsidRPr="00301974">
        <w:rPr>
          <w:rFonts w:cs="Arial"/>
          <w:sz w:val="18"/>
          <w:szCs w:val="18"/>
        </w:rPr>
        <w:t>D</w:t>
      </w:r>
      <w:r w:rsidRPr="00301974">
        <w:rPr>
          <w:rFonts w:cs="Arial"/>
          <w:sz w:val="18"/>
          <w:szCs w:val="18"/>
        </w:rPr>
        <w:t xml:space="preserve">eaf, </w:t>
      </w:r>
      <w:r w:rsidR="00057EEF" w:rsidRPr="00301974">
        <w:rPr>
          <w:rFonts w:cs="Arial"/>
          <w:sz w:val="18"/>
          <w:szCs w:val="18"/>
        </w:rPr>
        <w:t>blind,</w:t>
      </w:r>
      <w:r w:rsidRPr="00301974">
        <w:rPr>
          <w:rFonts w:cs="Arial"/>
          <w:sz w:val="18"/>
          <w:szCs w:val="18"/>
        </w:rPr>
        <w:t xml:space="preserve"> and </w:t>
      </w:r>
      <w:r w:rsidR="00E91CF5" w:rsidRPr="00301974">
        <w:rPr>
          <w:rFonts w:cs="Arial"/>
          <w:sz w:val="18"/>
          <w:szCs w:val="18"/>
        </w:rPr>
        <w:t>D</w:t>
      </w:r>
      <w:r w:rsidRPr="00301974">
        <w:rPr>
          <w:rFonts w:cs="Arial"/>
          <w:sz w:val="18"/>
          <w:szCs w:val="18"/>
        </w:rPr>
        <w:t xml:space="preserve">eafblind persons, as well as those with speech impairments and people who survived a stroke. </w:t>
      </w:r>
      <w:hyperlink r:id="rId85" w:history="1">
        <w:r w:rsidRPr="00301974">
          <w:rPr>
            <w:rStyle w:val="Hyperlink"/>
            <w:rFonts w:cs="Arial"/>
            <w:sz w:val="18"/>
            <w:szCs w:val="18"/>
            <w:lang w:val="en-US"/>
          </w:rPr>
          <w:t>AI systems are widely deployed in the US to use personality characteristics</w:t>
        </w:r>
      </w:hyperlink>
      <w:r w:rsidRPr="00301974">
        <w:rPr>
          <w:rFonts w:cs="Arial"/>
          <w:sz w:val="18"/>
          <w:szCs w:val="18"/>
          <w:lang w:val="en-US"/>
        </w:rPr>
        <w:t xml:space="preserve"> as a signal of job success for specific kinds of roles, even though studies have shown they have no correlation with job performance. These tests tend to disproportionately screen out people with disabilities, specifically persons with psychosocial disabilities. </w:t>
      </w:r>
      <w:hyperlink r:id="rId86" w:history="1">
        <w:r w:rsidRPr="00301974">
          <w:rPr>
            <w:rStyle w:val="Hyperlink"/>
            <w:rFonts w:cs="Arial"/>
            <w:sz w:val="18"/>
            <w:szCs w:val="18"/>
            <w:lang w:val="en-US"/>
          </w:rPr>
          <w:t>AI-based application screening tools often negatively score gaps in candidates’ employment</w:t>
        </w:r>
      </w:hyperlink>
      <w:r w:rsidRPr="00301974">
        <w:rPr>
          <w:rFonts w:cs="Arial"/>
          <w:sz w:val="18"/>
          <w:szCs w:val="18"/>
          <w:lang w:val="en-US"/>
        </w:rPr>
        <w:t xml:space="preserve">. This can result in a lower score for a candidate with disability who might have taken a break from work due to health reasons. Gaps in employment is a proxy that also tends to discriminate against women (connected to having children), which means women with disabilities are even at greater risk of being discriminated as women and as persons with disabilities. </w:t>
      </w:r>
      <w:r w:rsidRPr="00301974">
        <w:rPr>
          <w:rFonts w:cs="Arial"/>
          <w:sz w:val="18"/>
          <w:szCs w:val="18"/>
        </w:rPr>
        <w:t xml:space="preserve">Persons with disabilities who have intersecting identities, for example trans* persons with disabilities, are also subject to discrimination risk even if not on the ground of disability, as in </w:t>
      </w:r>
      <w:hyperlink r:id="rId87" w:history="1">
        <w:r w:rsidRPr="00301974">
          <w:rPr>
            <w:rStyle w:val="Hyperlink"/>
            <w:rFonts w:cs="Arial"/>
            <w:sz w:val="18"/>
            <w:szCs w:val="18"/>
          </w:rPr>
          <w:t>the case of Uber suspending trans* drivers’ accounts</w:t>
        </w:r>
      </w:hyperlink>
      <w:r w:rsidRPr="00301974">
        <w:rPr>
          <w:rFonts w:cs="Arial"/>
          <w:sz w:val="18"/>
          <w:szCs w:val="18"/>
        </w:rPr>
        <w:t>. The Uber security feature that required drivers to take a selfie to verify their identity. If the photo did not match to other photos on file, it was flagged, and driver’s account was suspended. This type of security software can also discriminate against a person who acquired a scar due to a burn</w:t>
      </w:r>
      <w:r w:rsidR="008640EF" w:rsidRPr="00301974">
        <w:rPr>
          <w:rFonts w:cs="Arial"/>
          <w:sz w:val="18"/>
          <w:szCs w:val="18"/>
        </w:rPr>
        <w:t>,</w:t>
      </w:r>
      <w:r w:rsidRPr="00301974">
        <w:rPr>
          <w:rFonts w:cs="Arial"/>
          <w:sz w:val="18"/>
          <w:szCs w:val="18"/>
        </w:rPr>
        <w:t xml:space="preserve"> for example, or has undergone a facial reconstruction surgery. </w:t>
      </w:r>
    </w:p>
  </w:footnote>
  <w:footnote w:id="129">
    <w:p w14:paraId="7E0E2641" w14:textId="54A78CFA" w:rsidR="00A81584" w:rsidRPr="00301974" w:rsidRDefault="00A81584" w:rsidP="00A81584">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See </w:t>
      </w:r>
      <w:hyperlink r:id="rId88" w:history="1">
        <w:r w:rsidRPr="00301974">
          <w:rPr>
            <w:rStyle w:val="Hyperlink"/>
            <w:rFonts w:cs="Arial"/>
            <w:sz w:val="18"/>
            <w:szCs w:val="18"/>
          </w:rPr>
          <w:t>EDF position paper on Regulating Artificial Intelligence (AI) in the EU</w:t>
        </w:r>
      </w:hyperlink>
      <w:r w:rsidRPr="00301974">
        <w:rPr>
          <w:rFonts w:cs="Arial"/>
          <w:sz w:val="18"/>
          <w:szCs w:val="18"/>
        </w:rPr>
        <w:t xml:space="preserve">. </w:t>
      </w:r>
    </w:p>
  </w:footnote>
  <w:footnote w:id="130">
    <w:p w14:paraId="4B3B611C" w14:textId="1EC14DBF" w:rsidR="00146AA7" w:rsidRPr="00301974" w:rsidRDefault="00146AA7" w:rsidP="009D432F">
      <w:pPr>
        <w:spacing w:after="0"/>
        <w:rPr>
          <w:rFonts w:cs="Arial"/>
          <w:sz w:val="18"/>
          <w:szCs w:val="18"/>
        </w:rPr>
      </w:pPr>
      <w:r w:rsidRPr="00301974">
        <w:rPr>
          <w:rStyle w:val="FootnoteReference"/>
          <w:rFonts w:cs="Arial"/>
          <w:sz w:val="18"/>
          <w:szCs w:val="18"/>
        </w:rPr>
        <w:footnoteRef/>
      </w:r>
      <w:r w:rsidR="00FC7735" w:rsidRPr="00301974">
        <w:rPr>
          <w:rFonts w:cs="Arial"/>
          <w:sz w:val="18"/>
          <w:szCs w:val="18"/>
        </w:rPr>
        <w:t xml:space="preserve"> </w:t>
      </w:r>
      <w:hyperlink r:id="rId89" w:history="1">
        <w:r w:rsidR="00FC7735" w:rsidRPr="00301974">
          <w:rPr>
            <w:rStyle w:val="Hyperlink"/>
            <w:rFonts w:cs="Arial"/>
            <w:sz w:val="18"/>
            <w:szCs w:val="18"/>
          </w:rPr>
          <w:t>https://ec.europa.eu/eurostat/databrowser/view/hlth_dpe010/default/table?lang=en&amp;category=dsb.dsb_ilc.dsb_ilcip</w:t>
        </w:r>
      </w:hyperlink>
      <w:r w:rsidR="00FC7735" w:rsidRPr="00301974">
        <w:rPr>
          <w:rFonts w:cs="Arial"/>
          <w:sz w:val="18"/>
          <w:szCs w:val="18"/>
        </w:rPr>
        <w:t xml:space="preserve"> </w:t>
      </w:r>
    </w:p>
  </w:footnote>
  <w:footnote w:id="131">
    <w:p w14:paraId="6E6B4D64" w14:textId="66A2D840" w:rsidR="00915BC0" w:rsidRPr="00301974" w:rsidRDefault="00915BC0">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w:t>
      </w:r>
      <w:hyperlink r:id="rId90" w:history="1">
        <w:r w:rsidR="00FC7735" w:rsidRPr="00301974">
          <w:rPr>
            <w:rStyle w:val="Hyperlink"/>
            <w:rFonts w:cs="Arial"/>
            <w:sz w:val="18"/>
            <w:szCs w:val="18"/>
          </w:rPr>
          <w:t>https://ec.europa.eu/eurostat/databrowser/view/hlth_dpe010/default/table?lang=en&amp;category=dsb.dsb_ilc.dsb_ilcip</w:t>
        </w:r>
      </w:hyperlink>
      <w:r w:rsidR="00FC7735" w:rsidRPr="00301974">
        <w:rPr>
          <w:rFonts w:cs="Arial"/>
          <w:sz w:val="18"/>
          <w:szCs w:val="18"/>
        </w:rPr>
        <w:t xml:space="preserve"> </w:t>
      </w:r>
    </w:p>
  </w:footnote>
  <w:footnote w:id="132">
    <w:p w14:paraId="32983CA1" w14:textId="611B38CA" w:rsidR="0099679D" w:rsidRPr="00301974" w:rsidRDefault="0099679D" w:rsidP="0099679D">
      <w:pPr>
        <w:pStyle w:val="FootnoteText"/>
        <w:rPr>
          <w:rFonts w:cs="Arial"/>
          <w:color w:val="0000FF"/>
          <w:sz w:val="18"/>
          <w:szCs w:val="18"/>
          <w:u w:val="single"/>
        </w:rPr>
      </w:pPr>
      <w:r w:rsidRPr="00301974">
        <w:rPr>
          <w:rStyle w:val="FootnoteReference"/>
          <w:rFonts w:cs="Arial"/>
          <w:sz w:val="18"/>
          <w:szCs w:val="18"/>
        </w:rPr>
        <w:footnoteRef/>
      </w:r>
      <w:r w:rsidRPr="00301974">
        <w:rPr>
          <w:rFonts w:cs="Arial"/>
          <w:sz w:val="18"/>
          <w:szCs w:val="18"/>
          <w:lang w:val="es-ES"/>
        </w:rPr>
        <w:t xml:space="preserve"> Antón, J.I., Braña. F.J. and Muñoz de Bustillo, R. (2014). </w:t>
      </w:r>
      <w:hyperlink r:id="rId91" w:history="1">
        <w:r w:rsidRPr="00301974">
          <w:rPr>
            <w:rStyle w:val="Hyperlink"/>
            <w:rFonts w:cs="Arial"/>
            <w:sz w:val="18"/>
            <w:szCs w:val="18"/>
          </w:rPr>
          <w:t>An analysis of the cost</w:t>
        </w:r>
        <w:r w:rsidR="00CB7F1D" w:rsidRPr="00301974">
          <w:rPr>
            <w:rStyle w:val="Hyperlink"/>
            <w:rFonts w:cs="Arial"/>
            <w:sz w:val="18"/>
            <w:szCs w:val="18"/>
          </w:rPr>
          <w:t xml:space="preserve"> </w:t>
        </w:r>
        <w:r w:rsidRPr="00301974">
          <w:rPr>
            <w:rStyle w:val="Hyperlink"/>
            <w:rFonts w:cs="Arial"/>
            <w:sz w:val="18"/>
            <w:szCs w:val="18"/>
          </w:rPr>
          <w:t>of disability across Europe using the standard of living approach</w:t>
        </w:r>
      </w:hyperlink>
      <w:r w:rsidRPr="00301974">
        <w:rPr>
          <w:rFonts w:cs="Arial"/>
          <w:sz w:val="18"/>
          <w:szCs w:val="18"/>
        </w:rPr>
        <w:t xml:space="preserve">. </w:t>
      </w:r>
    </w:p>
  </w:footnote>
  <w:footnote w:id="133">
    <w:p w14:paraId="179F9FF1" w14:textId="4E6B2AB6" w:rsidR="0036022C" w:rsidRPr="00301974" w:rsidRDefault="0036022C">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w:t>
      </w:r>
      <w:hyperlink r:id="rId92" w:history="1">
        <w:r w:rsidR="00FC7735" w:rsidRPr="00301974">
          <w:rPr>
            <w:rStyle w:val="Hyperlink"/>
            <w:rFonts w:cs="Arial"/>
            <w:sz w:val="18"/>
            <w:szCs w:val="18"/>
          </w:rPr>
          <w:t>https://ec.europa.eu/eurostat/databrowser/view/hlth_dhc060/default/table?lang=en&amp;category=dsb.dsb_ilc.dsb_ilchc</w:t>
        </w:r>
      </w:hyperlink>
    </w:p>
  </w:footnote>
  <w:footnote w:id="134">
    <w:p w14:paraId="6710F658" w14:textId="54F5AC52" w:rsidR="0036022C" w:rsidRPr="00301974" w:rsidRDefault="0036022C">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w:t>
      </w:r>
      <w:hyperlink r:id="rId93" w:history="1">
        <w:r w:rsidR="004150A9" w:rsidRPr="00301974">
          <w:rPr>
            <w:rStyle w:val="Hyperlink"/>
            <w:rFonts w:cs="Arial"/>
            <w:sz w:val="18"/>
            <w:szCs w:val="18"/>
          </w:rPr>
          <w:t>https://ec.europa.eu/eurostat/databrowser/product/view/hlth_dm030?category=dsb.dsb_ilc.dsb_ilcms</w:t>
        </w:r>
      </w:hyperlink>
      <w:r w:rsidR="004150A9" w:rsidRPr="00301974">
        <w:rPr>
          <w:rFonts w:cs="Arial"/>
          <w:sz w:val="18"/>
          <w:szCs w:val="18"/>
        </w:rPr>
        <w:t xml:space="preserve"> </w:t>
      </w:r>
    </w:p>
  </w:footnote>
  <w:footnote w:id="135">
    <w:p w14:paraId="57B45D8F" w14:textId="4F72B448" w:rsidR="00011AB8" w:rsidRPr="00301974" w:rsidRDefault="00011AB8">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Austria, Denmark, Spain, Croatia, Italy, </w:t>
      </w:r>
      <w:r w:rsidR="00057EEF" w:rsidRPr="00301974">
        <w:rPr>
          <w:rFonts w:cs="Arial"/>
          <w:sz w:val="18"/>
          <w:szCs w:val="18"/>
        </w:rPr>
        <w:t>Netherlands,</w:t>
      </w:r>
      <w:r w:rsidRPr="00301974">
        <w:rPr>
          <w:rFonts w:cs="Arial"/>
          <w:sz w:val="18"/>
          <w:szCs w:val="18"/>
        </w:rPr>
        <w:t xml:space="preserve"> and Sweden.</w:t>
      </w:r>
    </w:p>
  </w:footnote>
  <w:footnote w:id="136">
    <w:p w14:paraId="2C6AF7B7" w14:textId="3F9634D6" w:rsidR="00C24140" w:rsidRPr="00301974" w:rsidRDefault="00C24140">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The Directive only requires Member States to encourage action plans developed by service providers to achieve accessibility and leaves the concrete steps and timelines to achieve this to the will of the service providers. </w:t>
      </w:r>
    </w:p>
  </w:footnote>
  <w:footnote w:id="137">
    <w:p w14:paraId="3881DE05" w14:textId="21877E62" w:rsidR="001123C1" w:rsidRPr="00301974" w:rsidRDefault="001123C1">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During the transposition EDF has tried to advocate for obligatory quotas and quality standards for audiovisual content prescribed by national law. See </w:t>
      </w:r>
      <w:hyperlink r:id="rId94" w:history="1">
        <w:r w:rsidRPr="00301974">
          <w:rPr>
            <w:rStyle w:val="Hyperlink"/>
            <w:rFonts w:cs="Arial"/>
            <w:sz w:val="18"/>
            <w:szCs w:val="18"/>
          </w:rPr>
          <w:t>EDF toolkit on transposition of the AVMSD</w:t>
        </w:r>
      </w:hyperlink>
      <w:r w:rsidRPr="00301974">
        <w:rPr>
          <w:rFonts w:cs="Arial"/>
          <w:sz w:val="18"/>
          <w:szCs w:val="18"/>
        </w:rPr>
        <w:t>.</w:t>
      </w:r>
    </w:p>
  </w:footnote>
  <w:footnote w:id="138">
    <w:p w14:paraId="6492E288" w14:textId="12E6D414" w:rsidR="00C24140" w:rsidRPr="00301974" w:rsidRDefault="00C24140">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As noted under </w:t>
      </w:r>
      <w:r w:rsidR="008B4697" w:rsidRPr="00301974">
        <w:rPr>
          <w:rFonts w:cs="Arial"/>
          <w:sz w:val="18"/>
          <w:szCs w:val="18"/>
        </w:rPr>
        <w:t>A</w:t>
      </w:r>
      <w:r w:rsidRPr="00301974">
        <w:rPr>
          <w:rFonts w:cs="Arial"/>
          <w:sz w:val="18"/>
          <w:szCs w:val="18"/>
        </w:rPr>
        <w:t>rticle 9, the European Accessibility Act does not ensure accessibility of the built environment, because transposing the relevant built environment requirements (Annex III)</w:t>
      </w:r>
      <w:r w:rsidR="008B4697" w:rsidRPr="00301974">
        <w:rPr>
          <w:rFonts w:cs="Arial"/>
          <w:sz w:val="18"/>
          <w:szCs w:val="18"/>
        </w:rPr>
        <w:t xml:space="preserve"> are voluntary for Member States. Only if those are transposed in national legislation they will need to be complied with. However, there is little motivation from most Member States to go beyond what the Act requires them, and even if some Member States do it (and others do not) this will create a fragmented picture for accessibility of the built environment for persons with disabilities. </w:t>
      </w:r>
    </w:p>
  </w:footnote>
  <w:footnote w:id="139">
    <w:p w14:paraId="57C17EBA" w14:textId="4A4E61F3" w:rsidR="009521A6" w:rsidRPr="00301974" w:rsidRDefault="009521A6">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See under article 18 in the report. </w:t>
      </w:r>
    </w:p>
  </w:footnote>
  <w:footnote w:id="140">
    <w:p w14:paraId="145344E5" w14:textId="2A640E46" w:rsidR="007051DA" w:rsidRPr="00301974" w:rsidRDefault="007051DA">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Unlike the </w:t>
      </w:r>
      <w:hyperlink r:id="rId95" w:history="1">
        <w:r w:rsidRPr="00301974">
          <w:rPr>
            <w:rStyle w:val="Hyperlink"/>
            <w:rFonts w:cs="Arial"/>
            <w:sz w:val="18"/>
            <w:szCs w:val="18"/>
          </w:rPr>
          <w:t>New European Bauhaus Prizes</w:t>
        </w:r>
      </w:hyperlink>
      <w:r w:rsidRPr="00301974">
        <w:rPr>
          <w:rFonts w:cs="Arial"/>
          <w:sz w:val="18"/>
          <w:szCs w:val="18"/>
        </w:rPr>
        <w:t>.</w:t>
      </w:r>
    </w:p>
  </w:footnote>
  <w:footnote w:id="141">
    <w:p w14:paraId="1CB8341C" w14:textId="77777777" w:rsidR="00351CAA" w:rsidRPr="00301974" w:rsidRDefault="00351CAA" w:rsidP="00351CAA">
      <w:pPr>
        <w:pStyle w:val="FootnoteRM"/>
        <w:rPr>
          <w:rFonts w:ascii="Arial" w:hAnsi="Arial" w:cs="Arial"/>
          <w:lang w:val="en-GB"/>
        </w:rPr>
      </w:pPr>
      <w:r w:rsidRPr="00301974">
        <w:rPr>
          <w:rStyle w:val="FootnoteReference"/>
          <w:rFonts w:ascii="Arial" w:hAnsi="Arial" w:cs="Arial"/>
        </w:rPr>
        <w:footnoteRef/>
      </w:r>
      <w:r w:rsidRPr="00301974">
        <w:rPr>
          <w:rFonts w:ascii="Arial" w:hAnsi="Arial" w:cs="Arial"/>
          <w:lang w:val="en-GB"/>
        </w:rPr>
        <w:t xml:space="preserve"> The programme is governed by Regulation No. 99/2013 of the Parliament and the Council of 15 January 2013 on the European statistical programme. It has been extended to 2020 by </w:t>
      </w:r>
      <w:r w:rsidRPr="00301974">
        <w:rPr>
          <w:rStyle w:val="Hyperlink"/>
          <w:rFonts w:ascii="Arial" w:hAnsi="Arial" w:cs="Arial"/>
          <w:lang w:val="en-GB"/>
        </w:rPr>
        <w:t>Regulation (EU) 1951/2017 2017/1951 of the European Parliament and of the Council of 25 October 2017.</w:t>
      </w:r>
    </w:p>
  </w:footnote>
  <w:footnote w:id="142">
    <w:p w14:paraId="0D8EF46C" w14:textId="55B69659" w:rsidR="00BA5BBB" w:rsidRPr="00301974" w:rsidRDefault="00BA5BBB" w:rsidP="00BA5BBB">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Agency of the European Union aimed at strengthening Europe’s defences against infectious diseases</w:t>
      </w:r>
    </w:p>
  </w:footnote>
  <w:footnote w:id="143">
    <w:p w14:paraId="39C6ADD9" w14:textId="093F3F16" w:rsidR="00030873" w:rsidRPr="00301974" w:rsidRDefault="00030873">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w:t>
      </w:r>
      <w:r w:rsidR="002D1FC7" w:rsidRPr="00301974">
        <w:rPr>
          <w:rFonts w:cs="Arial"/>
          <w:sz w:val="18"/>
          <w:szCs w:val="18"/>
        </w:rPr>
        <w:t xml:space="preserve">See Regulation (EEC, Euratom, ECSC) No 259/68 of the Council, as amended by </w:t>
      </w:r>
      <w:hyperlink r:id="rId96" w:history="1">
        <w:r w:rsidR="002D1FC7" w:rsidRPr="00301974">
          <w:rPr>
            <w:rStyle w:val="Hyperlink"/>
            <w:rFonts w:cs="Arial"/>
            <w:sz w:val="18"/>
            <w:szCs w:val="18"/>
            <w:lang w:val="en-US"/>
          </w:rPr>
          <w:t>Regulation (EU, Euratom) No 1023/2013 of the European Parliament and of the Council.</w:t>
        </w:r>
      </w:hyperlink>
    </w:p>
  </w:footnote>
  <w:footnote w:id="144">
    <w:p w14:paraId="4E13E17D" w14:textId="263BFDAE" w:rsidR="00386FE9" w:rsidRPr="00301974" w:rsidRDefault="00386FE9" w:rsidP="00386FE9">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See article 1d</w:t>
      </w:r>
      <w:r w:rsidR="002D1FC7" w:rsidRPr="00301974">
        <w:rPr>
          <w:rFonts w:cs="Arial"/>
          <w:sz w:val="18"/>
          <w:szCs w:val="18"/>
        </w:rPr>
        <w:t>(4)</w:t>
      </w:r>
      <w:r w:rsidRPr="00301974">
        <w:rPr>
          <w:rFonts w:cs="Arial"/>
          <w:sz w:val="18"/>
          <w:szCs w:val="18"/>
        </w:rPr>
        <w:t xml:space="preserve"> of the </w:t>
      </w:r>
      <w:r w:rsidR="002D1FC7" w:rsidRPr="00301974">
        <w:rPr>
          <w:rFonts w:cs="Arial"/>
          <w:sz w:val="18"/>
          <w:szCs w:val="18"/>
        </w:rPr>
        <w:t>R</w:t>
      </w:r>
      <w:r w:rsidRPr="00301974">
        <w:rPr>
          <w:rFonts w:cs="Arial"/>
          <w:sz w:val="18"/>
          <w:szCs w:val="18"/>
        </w:rPr>
        <w:t>egulation</w:t>
      </w:r>
      <w:r w:rsidR="002D1FC7" w:rsidRPr="00301974">
        <w:rPr>
          <w:rFonts w:cs="Arial"/>
          <w:sz w:val="18"/>
          <w:szCs w:val="18"/>
        </w:rPr>
        <w:t>s</w:t>
      </w:r>
      <w:r w:rsidRPr="00301974">
        <w:rPr>
          <w:rFonts w:cs="Arial"/>
          <w:sz w:val="18"/>
          <w:szCs w:val="18"/>
        </w:rPr>
        <w:t>.</w:t>
      </w:r>
    </w:p>
  </w:footnote>
  <w:footnote w:id="145">
    <w:p w14:paraId="4EE7C275" w14:textId="3E852CED" w:rsidR="00386FE9" w:rsidRPr="00301974" w:rsidRDefault="00386FE9" w:rsidP="00386FE9">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The implementation of positive actions for persons with disabilities still requires improvement. Only inequalities relating </w:t>
      </w:r>
      <w:r w:rsidRPr="00301974">
        <w:rPr>
          <w:rFonts w:cs="Arial"/>
          <w:i/>
          <w:sz w:val="18"/>
          <w:szCs w:val="18"/>
        </w:rPr>
        <w:t>de facto</w:t>
      </w:r>
      <w:r w:rsidRPr="00301974">
        <w:rPr>
          <w:rFonts w:cs="Arial"/>
          <w:sz w:val="18"/>
          <w:szCs w:val="18"/>
        </w:rPr>
        <w:t xml:space="preserve"> to women are explicitly mentioned in the Staff Regulations. According to the Commission, this does not prevent positive measures relating to persons with disabilities but neither does it require such measures: “Although not expressly required by the Staff Regulations, some institutions have also adopted implementing rules on the following matters dealt with in Title I of the Staff Regulations: equal opportunities, disability, measures of a social nature, health and safety standards and transfer. (</w:t>
      </w:r>
      <w:hyperlink r:id="rId97" w:history="1">
        <w:r w:rsidRPr="00301974">
          <w:rPr>
            <w:rStyle w:val="Hyperlink"/>
            <w:rFonts w:cs="Arial"/>
            <w:sz w:val="18"/>
            <w:szCs w:val="18"/>
          </w:rPr>
          <w:t>COM/2021/258 final</w:t>
        </w:r>
      </w:hyperlink>
      <w:r w:rsidR="002D1FC7" w:rsidRPr="00301974">
        <w:rPr>
          <w:rFonts w:cs="Arial"/>
          <w:sz w:val="18"/>
          <w:szCs w:val="18"/>
        </w:rPr>
        <w:t>)</w:t>
      </w:r>
      <w:r w:rsidRPr="00301974">
        <w:rPr>
          <w:rFonts w:cs="Arial"/>
          <w:sz w:val="18"/>
          <w:szCs w:val="18"/>
        </w:rPr>
        <w:t>.</w:t>
      </w:r>
    </w:p>
  </w:footnote>
  <w:footnote w:id="146">
    <w:p w14:paraId="1951476F" w14:textId="4FACB464" w:rsidR="00505463" w:rsidRPr="00301974" w:rsidRDefault="00505463">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See article 28e, chapter 3 article 12.2e, chapter 3 article 82.2e, chapter 3 article 128.2d of the regulation.</w:t>
      </w:r>
    </w:p>
  </w:footnote>
  <w:footnote w:id="147">
    <w:p w14:paraId="039FE4FA" w14:textId="4F256C17" w:rsidR="00867DF5" w:rsidRPr="00301974" w:rsidRDefault="00867DF5">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w:t>
      </w:r>
      <w:r w:rsidRPr="00301974">
        <w:rPr>
          <w:rFonts w:cs="Arial"/>
          <w:sz w:val="18"/>
          <w:szCs w:val="18"/>
          <w:lang w:val="en-US"/>
        </w:rPr>
        <w:t>See</w:t>
      </w:r>
      <w:r w:rsidR="00030873" w:rsidRPr="00301974">
        <w:rPr>
          <w:rFonts w:cs="Arial"/>
          <w:sz w:val="18"/>
          <w:szCs w:val="18"/>
          <w:lang w:val="en-US"/>
        </w:rPr>
        <w:t xml:space="preserve"> article 33 </w:t>
      </w:r>
    </w:p>
  </w:footnote>
  <w:footnote w:id="148">
    <w:p w14:paraId="5C3811B2" w14:textId="469A73FC" w:rsidR="00ED754A" w:rsidRPr="00301974" w:rsidRDefault="00ED754A">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Section 8.1 of the strategy </w:t>
      </w:r>
      <w:r w:rsidR="00D92798" w:rsidRPr="00301974">
        <w:rPr>
          <w:rFonts w:cs="Arial"/>
          <w:sz w:val="18"/>
          <w:szCs w:val="18"/>
        </w:rPr>
        <w:t>- but no further information is available as to how it should look like. The European Parliament for example has not provided a new human resources policy yet.</w:t>
      </w:r>
    </w:p>
  </w:footnote>
  <w:footnote w:id="149">
    <w:p w14:paraId="5973ACD4" w14:textId="7CA141AD" w:rsidR="00ED754A" w:rsidRPr="00301974" w:rsidRDefault="00ED754A">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Section 8.2 of the strategy </w:t>
      </w:r>
    </w:p>
  </w:footnote>
  <w:footnote w:id="150">
    <w:p w14:paraId="43BC3064" w14:textId="1B959A2C" w:rsidR="005F3DF9" w:rsidRPr="00301974" w:rsidRDefault="005F3DF9">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Section 5.3 of the strategy </w:t>
      </w:r>
    </w:p>
  </w:footnote>
  <w:footnote w:id="151">
    <w:p w14:paraId="6D789F1A" w14:textId="0C77C101" w:rsidR="00002675" w:rsidRPr="00301974" w:rsidRDefault="00002675">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w:t>
      </w:r>
      <w:r w:rsidRPr="00301974">
        <w:rPr>
          <w:rFonts w:cs="Arial"/>
          <w:sz w:val="18"/>
          <w:szCs w:val="18"/>
          <w:lang w:val="en-US"/>
        </w:rPr>
        <w:t>An example of lack of consultation is the</w:t>
      </w:r>
      <w:r w:rsidRPr="00301974">
        <w:rPr>
          <w:rFonts w:cs="Arial"/>
          <w:sz w:val="18"/>
          <w:szCs w:val="18"/>
        </w:rPr>
        <w:t xml:space="preserve"> ‘Autism Spectrum Disorder: Summary Sheet’ adopted in 2020 by the Inter-Institutional Medical Council of the EU Institutions in relation to the reimbursement of expenses for “therapy and Autism spectrum disorders”. The Medical Council restricted the recognition as “serious illness” and the corresponding ceiling of reimbursement to a limited number of cases of autism. It was reported that it had far-reaching implications EU institutions staff carers and their dependents on the autism spectrum, primarily children. The process that led to the adoption of the Medical Council’s Opinion lacked transparency and there was no prior consultation with the staff groups representing persons with disabilities. It should also be noted that autism should be considered as a disability and not an illness.</w:t>
      </w:r>
    </w:p>
  </w:footnote>
  <w:footnote w:id="152">
    <w:p w14:paraId="1A5CE1F8" w14:textId="6BB8EBAB" w:rsidR="005F4BA1" w:rsidRPr="00301974" w:rsidRDefault="005F4BA1" w:rsidP="005F4BA1">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w:t>
      </w:r>
      <w:r w:rsidR="00F6132B" w:rsidRPr="00301974">
        <w:rPr>
          <w:rFonts w:cs="Arial"/>
          <w:sz w:val="18"/>
          <w:szCs w:val="18"/>
        </w:rPr>
        <w:t xml:space="preserve">See resolutions </w:t>
      </w:r>
      <w:hyperlink r:id="rId98" w:history="1">
        <w:r w:rsidR="00F6132B" w:rsidRPr="00301974">
          <w:rPr>
            <w:rStyle w:val="Hyperlink"/>
            <w:rFonts w:cs="Arial"/>
            <w:sz w:val="18"/>
            <w:szCs w:val="18"/>
          </w:rPr>
          <w:t>2015/2258(INI)</w:t>
        </w:r>
      </w:hyperlink>
      <w:r w:rsidR="00F6132B" w:rsidRPr="00301974">
        <w:rPr>
          <w:rFonts w:cs="Arial"/>
          <w:sz w:val="18"/>
          <w:szCs w:val="18"/>
        </w:rPr>
        <w:t xml:space="preserve">, </w:t>
      </w:r>
      <w:hyperlink r:id="rId99" w:history="1">
        <w:r w:rsidR="00F6132B" w:rsidRPr="00301974">
          <w:rPr>
            <w:rStyle w:val="Hyperlink"/>
            <w:rFonts w:cs="Arial"/>
            <w:sz w:val="18"/>
            <w:szCs w:val="18"/>
          </w:rPr>
          <w:t>2017/2127(INI)</w:t>
        </w:r>
      </w:hyperlink>
      <w:r w:rsidR="00F6132B" w:rsidRPr="00301974">
        <w:rPr>
          <w:rFonts w:cs="Arial"/>
          <w:sz w:val="18"/>
          <w:szCs w:val="18"/>
        </w:rPr>
        <w:t xml:space="preserve"> and </w:t>
      </w:r>
      <w:hyperlink r:id="rId100" w:history="1">
        <w:r w:rsidR="00F6132B" w:rsidRPr="00301974">
          <w:rPr>
            <w:rStyle w:val="Hyperlink"/>
            <w:rFonts w:cs="Arial"/>
            <w:sz w:val="18"/>
            <w:szCs w:val="18"/>
          </w:rPr>
          <w:t>2019/2975(RSP)</w:t>
        </w:r>
      </w:hyperlink>
      <w:r w:rsidR="00F6132B" w:rsidRPr="00301974">
        <w:rPr>
          <w:rFonts w:cs="Arial"/>
          <w:sz w:val="18"/>
          <w:szCs w:val="18"/>
        </w:rPr>
        <w:t xml:space="preserve">, as well as Report on the Equal Employment Directive </w:t>
      </w:r>
      <w:hyperlink r:id="rId101" w:history="1">
        <w:r w:rsidR="00F6132B" w:rsidRPr="00301974">
          <w:rPr>
            <w:rStyle w:val="Hyperlink"/>
            <w:rFonts w:cs="Arial"/>
            <w:sz w:val="18"/>
            <w:szCs w:val="18"/>
          </w:rPr>
          <w:t>2020/2086(INI)</w:t>
        </w:r>
      </w:hyperlink>
      <w:r w:rsidR="00F6132B" w:rsidRPr="00301974">
        <w:rPr>
          <w:rFonts w:cs="Arial"/>
          <w:sz w:val="18"/>
          <w:szCs w:val="18"/>
        </w:rPr>
        <w:t xml:space="preserve"> of March 2021 (pt. 39) and Report on the protection of persons with disabilities through petitions: lessons learnt </w:t>
      </w:r>
      <w:hyperlink r:id="rId102" w:history="1">
        <w:r w:rsidR="00F6132B" w:rsidRPr="00301974">
          <w:rPr>
            <w:rStyle w:val="Hyperlink"/>
            <w:rFonts w:cs="Arial"/>
            <w:sz w:val="18"/>
            <w:szCs w:val="18"/>
          </w:rPr>
          <w:t>2020/2209(INI)</w:t>
        </w:r>
      </w:hyperlink>
      <w:r w:rsidR="00F6132B" w:rsidRPr="00301974">
        <w:rPr>
          <w:rFonts w:cs="Arial"/>
          <w:sz w:val="18"/>
          <w:szCs w:val="18"/>
        </w:rPr>
        <w:t xml:space="preserve"> of June 2021. </w:t>
      </w:r>
    </w:p>
    <w:p w14:paraId="785599AB" w14:textId="527FCC13" w:rsidR="005F4BA1" w:rsidRPr="00301974" w:rsidRDefault="005F4BA1" w:rsidP="005F4BA1">
      <w:pPr>
        <w:pStyle w:val="FootnoteText"/>
        <w:rPr>
          <w:rFonts w:cs="Arial"/>
          <w:sz w:val="18"/>
          <w:szCs w:val="18"/>
        </w:rPr>
      </w:pPr>
      <w:r w:rsidRPr="00301974">
        <w:rPr>
          <w:rFonts w:cs="Arial"/>
          <w:sz w:val="18"/>
          <w:szCs w:val="18"/>
        </w:rPr>
        <w:t xml:space="preserve"> and June 2020, plus the Langensiepen Report on the Equal Employment Directive of March 2021 (pt. 39) and the Agius Saliba Report on the protection of persons with disabilities through petitions: lessons learnt, June 2021</w:t>
      </w:r>
    </w:p>
  </w:footnote>
  <w:footnote w:id="153">
    <w:p w14:paraId="2AE23DC7" w14:textId="360AE201" w:rsidR="00D07637" w:rsidRPr="00301974" w:rsidRDefault="00D07637">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In the European Parliament, </w:t>
      </w:r>
      <w:r w:rsidR="00D80D7B" w:rsidRPr="00301974">
        <w:rPr>
          <w:rFonts w:cs="Arial"/>
          <w:sz w:val="18"/>
          <w:szCs w:val="18"/>
        </w:rPr>
        <w:t>it was reported</w:t>
      </w:r>
      <w:r w:rsidRPr="00301974">
        <w:rPr>
          <w:rFonts w:cs="Arial"/>
          <w:sz w:val="18"/>
          <w:szCs w:val="18"/>
        </w:rPr>
        <w:t xml:space="preserve"> cases of staff with long-term health conditions, or those with family members at higher risk to COVID-19 or its health or socioeconomic consequences, not initially being granted any accommodation to decrease their risk of exposure or other health or socioeconomic consequences of the pandemic. Some of these gaps are related to pre-crisis requirements for permission to telework in the Parliament staff regulations. For instance, before teleworking became mandatory for all staff, a request for teleworking would not necessarily be possible for parents whose child is in palliative care outside the home, hospitalised, or institutionalised, or for a staff member living with a person who is recognised as vulnerable but is not a direct relative. Further concerns on reasonable accommodation were raised in terms of teleworking, which has not been officially recognised as an area where reasonable accommodation apply, and return-to-work policies. </w:t>
      </w:r>
      <w:r w:rsidR="00447968" w:rsidRPr="00301974">
        <w:rPr>
          <w:rFonts w:cs="Arial"/>
          <w:sz w:val="18"/>
          <w:szCs w:val="18"/>
        </w:rPr>
        <w:t>Special COVID measures to support staff and carers kicked in extremely late, due to missing structures, i.e. focal point.</w:t>
      </w:r>
    </w:p>
  </w:footnote>
  <w:footnote w:id="154">
    <w:p w14:paraId="242DCC6A" w14:textId="1AE8CC4A" w:rsidR="001B1E73" w:rsidRPr="00301974" w:rsidRDefault="001B1E73" w:rsidP="001B1E73">
      <w:pPr>
        <w:autoSpaceDE w:val="0"/>
        <w:autoSpaceDN w:val="0"/>
        <w:adjustRightInd w:val="0"/>
        <w:spacing w:after="0" w:line="240" w:lineRule="auto"/>
        <w:rPr>
          <w:rFonts w:cs="Arial"/>
          <w:color w:val="000000"/>
          <w:sz w:val="18"/>
          <w:szCs w:val="18"/>
        </w:rPr>
      </w:pPr>
      <w:r w:rsidRPr="00301974">
        <w:rPr>
          <w:rStyle w:val="FootnoteReference"/>
          <w:rFonts w:cs="Arial"/>
          <w:sz w:val="18"/>
          <w:szCs w:val="18"/>
        </w:rPr>
        <w:footnoteRef/>
      </w:r>
      <w:r w:rsidRPr="00301974">
        <w:rPr>
          <w:rFonts w:cs="Arial"/>
          <w:sz w:val="18"/>
          <w:szCs w:val="18"/>
          <w:lang w:val="de-DE"/>
        </w:rPr>
        <w:t xml:space="preserve"> </w:t>
      </w:r>
      <w:r w:rsidRPr="00301974">
        <w:rPr>
          <w:rFonts w:cs="Arial"/>
          <w:color w:val="000000"/>
          <w:sz w:val="18"/>
          <w:szCs w:val="18"/>
          <w:lang w:val="de-DE"/>
        </w:rPr>
        <w:t xml:space="preserve">Projektbüro Mobilität und Verkehr (Prof. Dr.rer.nat. habil. Wilfried </w:t>
      </w:r>
      <w:r w:rsidR="008640EF" w:rsidRPr="00301974">
        <w:rPr>
          <w:rFonts w:cs="Arial"/>
          <w:color w:val="000000"/>
          <w:sz w:val="18"/>
          <w:szCs w:val="18"/>
          <w:lang w:val="de-DE"/>
        </w:rPr>
        <w:t>Echterhoff) Studie</w:t>
      </w:r>
      <w:r w:rsidRPr="00301974">
        <w:rPr>
          <w:rFonts w:cs="Arial"/>
          <w:color w:val="000000"/>
          <w:sz w:val="18"/>
          <w:szCs w:val="18"/>
          <w:lang w:val="de-DE"/>
        </w:rPr>
        <w:t xml:space="preserve"> Über Den Zugang Von Behinderten Menschen</w:t>
      </w:r>
      <w:r w:rsidRPr="00301974">
        <w:rPr>
          <w:rFonts w:cs="Arial"/>
          <w:kern w:val="1"/>
          <w:sz w:val="18"/>
          <w:szCs w:val="18"/>
          <w:lang w:val="de-DE"/>
        </w:rPr>
        <w:t xml:space="preserve"> </w:t>
      </w:r>
      <w:r w:rsidR="00447968" w:rsidRPr="00301974">
        <w:rPr>
          <w:rFonts w:cs="Arial"/>
          <w:color w:val="000000"/>
          <w:sz w:val="18"/>
          <w:szCs w:val="18"/>
          <w:lang w:val="de-DE"/>
        </w:rPr>
        <w:t>z</w:t>
      </w:r>
      <w:r w:rsidRPr="00301974">
        <w:rPr>
          <w:rFonts w:cs="Arial"/>
          <w:color w:val="000000"/>
          <w:sz w:val="18"/>
          <w:szCs w:val="18"/>
          <w:lang w:val="de-DE"/>
        </w:rPr>
        <w:t xml:space="preserve">u </w:t>
      </w:r>
      <w:r w:rsidR="00447968" w:rsidRPr="00301974">
        <w:rPr>
          <w:rFonts w:cs="Arial"/>
          <w:color w:val="000000"/>
          <w:sz w:val="18"/>
          <w:szCs w:val="18"/>
          <w:lang w:val="de-DE"/>
        </w:rPr>
        <w:t>d</w:t>
      </w:r>
      <w:r w:rsidRPr="00301974">
        <w:rPr>
          <w:rFonts w:cs="Arial"/>
          <w:color w:val="000000"/>
          <w:sz w:val="18"/>
          <w:szCs w:val="18"/>
          <w:lang w:val="de-DE"/>
        </w:rPr>
        <w:t xml:space="preserve">en Europäischen Institutionen, Abschlussbericht vom 31. </w:t>
      </w:r>
      <w:r w:rsidRPr="00301974">
        <w:rPr>
          <w:rFonts w:cs="Arial"/>
          <w:color w:val="000000"/>
          <w:sz w:val="18"/>
          <w:szCs w:val="18"/>
        </w:rPr>
        <w:t>August 2003. Europäisches Parlament Abteilung Gebäudeverwaltung L-2929 Luxemburg. Vergabenummer: 2002/S 193-151877.</w:t>
      </w:r>
    </w:p>
    <w:p w14:paraId="6A7CD2EF" w14:textId="49163E45" w:rsidR="00DA5448" w:rsidRPr="00301974" w:rsidRDefault="001B1E73" w:rsidP="00DA5448">
      <w:pPr>
        <w:autoSpaceDE w:val="0"/>
        <w:autoSpaceDN w:val="0"/>
        <w:adjustRightInd w:val="0"/>
        <w:spacing w:after="0" w:line="240" w:lineRule="auto"/>
        <w:rPr>
          <w:rFonts w:cs="Arial"/>
          <w:color w:val="000000"/>
          <w:sz w:val="18"/>
          <w:szCs w:val="18"/>
        </w:rPr>
      </w:pPr>
      <w:r w:rsidRPr="00301974">
        <w:rPr>
          <w:rFonts w:cs="Arial"/>
          <w:bCs/>
          <w:color w:val="000000"/>
          <w:sz w:val="18"/>
          <w:szCs w:val="18"/>
        </w:rPr>
        <w:t xml:space="preserve">European Commission Office for Infrastructure and Logistics in Brussels </w:t>
      </w:r>
      <w:hyperlink r:id="rId103" w:history="1">
        <w:r w:rsidRPr="00301974">
          <w:rPr>
            <w:rStyle w:val="Hyperlink"/>
            <w:rFonts w:cs="Arial"/>
            <w:bCs/>
            <w:sz w:val="18"/>
            <w:szCs w:val="18"/>
          </w:rPr>
          <w:t>Manual of Standard Building Specifications</w:t>
        </w:r>
      </w:hyperlink>
      <w:r w:rsidRPr="00301974">
        <w:rPr>
          <w:rFonts w:cs="Arial"/>
          <w:bCs/>
          <w:color w:val="000000"/>
          <w:sz w:val="18"/>
          <w:szCs w:val="18"/>
        </w:rPr>
        <w:t xml:space="preserve"> Version 05/04/2019 v1.1:</w:t>
      </w:r>
      <w:r w:rsidR="00A60508" w:rsidRPr="00301974">
        <w:rPr>
          <w:rFonts w:cs="Arial"/>
          <w:bCs/>
          <w:color w:val="000000"/>
          <w:sz w:val="18"/>
          <w:szCs w:val="18"/>
        </w:rPr>
        <w:t xml:space="preserve"> </w:t>
      </w:r>
      <w:r w:rsidRPr="00301974">
        <w:rPr>
          <w:rFonts w:cs="Arial"/>
          <w:color w:val="000000"/>
          <w:sz w:val="18"/>
          <w:szCs w:val="18"/>
        </w:rPr>
        <w:t>Improvements in the performance of renovated buildings (partial or major renovation, etc.) or redeveloped buildings must be appropriate, consistent and proportionate to the scope of the work, taking into account any existing legal, functional, technical and budgetary constraints and deadlines.</w:t>
      </w:r>
      <w:r w:rsidR="00DA5448" w:rsidRPr="00301974">
        <w:rPr>
          <w:rFonts w:cs="Arial"/>
          <w:sz w:val="18"/>
          <w:szCs w:val="18"/>
        </w:rPr>
        <w:t xml:space="preserve"> </w:t>
      </w:r>
      <w:r w:rsidR="00DA5448" w:rsidRPr="00301974">
        <w:rPr>
          <w:rFonts w:cs="Arial"/>
          <w:color w:val="000000"/>
          <w:sz w:val="18"/>
          <w:szCs w:val="18"/>
        </w:rPr>
        <w:t xml:space="preserve">Both the caveats and the limited scope of accessibility requirements make this fall short of the </w:t>
      </w:r>
      <w:hyperlink r:id="rId104" w:history="1">
        <w:r w:rsidR="00DA5448" w:rsidRPr="00301974">
          <w:rPr>
            <w:rStyle w:val="Hyperlink"/>
            <w:rFonts w:cs="Arial"/>
            <w:sz w:val="18"/>
            <w:szCs w:val="18"/>
          </w:rPr>
          <w:t>CRPD Committee’s General Comment No 2</w:t>
        </w:r>
      </w:hyperlink>
      <w:r w:rsidR="00DA5448" w:rsidRPr="00301974">
        <w:rPr>
          <w:rFonts w:cs="Arial"/>
          <w:color w:val="000000"/>
          <w:sz w:val="18"/>
          <w:szCs w:val="18"/>
        </w:rPr>
        <w:t xml:space="preserve"> on Article 9, Accessibility.</w:t>
      </w:r>
    </w:p>
    <w:p w14:paraId="38B3B01E" w14:textId="51B4F8B5" w:rsidR="001B1E73" w:rsidRPr="00301974" w:rsidRDefault="001B1E73" w:rsidP="004E5E29">
      <w:pPr>
        <w:autoSpaceDE w:val="0"/>
        <w:autoSpaceDN w:val="0"/>
        <w:adjustRightInd w:val="0"/>
        <w:spacing w:after="0" w:line="240" w:lineRule="auto"/>
        <w:rPr>
          <w:rFonts w:cs="Arial"/>
          <w:bCs/>
          <w:color w:val="000000"/>
          <w:sz w:val="18"/>
          <w:szCs w:val="18"/>
        </w:rPr>
      </w:pPr>
    </w:p>
  </w:footnote>
  <w:footnote w:id="155">
    <w:p w14:paraId="55A26D6F" w14:textId="77777777" w:rsidR="00E943CA" w:rsidRPr="00301974" w:rsidRDefault="00E943CA" w:rsidP="00E943CA">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Contrary to the Commission’s procurement guidelines which state that “for event organisation, the conference building should be accessible and the information should be accessible to all (e.g. sign language translator).” VADE-MECUM on Public Procurement in the Commission (updated January 2020).</w:t>
      </w:r>
    </w:p>
  </w:footnote>
  <w:footnote w:id="156">
    <w:p w14:paraId="7047A054" w14:textId="77777777" w:rsidR="00E943CA" w:rsidRPr="00301974" w:rsidRDefault="00E943CA" w:rsidP="00E943CA">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This also included the ‘AGM’ platform used by the European Commission for expert meetings, which is inaccessible. </w:t>
      </w:r>
    </w:p>
  </w:footnote>
  <w:footnote w:id="157">
    <w:p w14:paraId="481EC32E" w14:textId="1BA3B9F6" w:rsidR="0020057F" w:rsidRPr="00301974" w:rsidRDefault="0020057F">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w:t>
      </w:r>
      <w:hyperlink r:id="rId105" w:history="1">
        <w:r w:rsidRPr="00301974">
          <w:rPr>
            <w:rStyle w:val="Hyperlink"/>
            <w:rFonts w:cs="Arial"/>
            <w:sz w:val="18"/>
            <w:szCs w:val="18"/>
          </w:rPr>
          <w:t>https://commission.europa.eu/accessibility-statement_en</w:t>
        </w:r>
      </w:hyperlink>
    </w:p>
  </w:footnote>
  <w:footnote w:id="158">
    <w:p w14:paraId="4C0D0A5F" w14:textId="77777777" w:rsidR="0007596D" w:rsidRPr="00301974" w:rsidRDefault="0007596D" w:rsidP="0007596D">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For example, the regular meetings of the </w:t>
      </w:r>
      <w:hyperlink r:id="rId106" w:history="1">
        <w:r w:rsidRPr="00301974">
          <w:rPr>
            <w:rStyle w:val="Hyperlink"/>
            <w:rFonts w:cs="Arial"/>
            <w:sz w:val="18"/>
            <w:szCs w:val="18"/>
          </w:rPr>
          <w:t>Multi-Stakeholder Platform on ICT standardisation, which was set up by a Commission decision to advise on matters related to the implementation of ICT standardisation policies</w:t>
        </w:r>
      </w:hyperlink>
      <w:r w:rsidRPr="00301974">
        <w:rPr>
          <w:rFonts w:cs="Arial"/>
          <w:sz w:val="18"/>
          <w:szCs w:val="18"/>
        </w:rPr>
        <w:t xml:space="preserve">, do not provide access services such as captioning or sign language interpretation. </w:t>
      </w:r>
    </w:p>
  </w:footnote>
  <w:footnote w:id="159">
    <w:p w14:paraId="11086671" w14:textId="77777777" w:rsidR="00903B2B" w:rsidRPr="00301974" w:rsidRDefault="00903B2B" w:rsidP="00903B2B">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European Schools are intergovernmental schools principally designed for children of employees of EU institutions. The European Schools Board is made up of representatives of the EU Member States and the European Commission.</w:t>
      </w:r>
    </w:p>
  </w:footnote>
  <w:footnote w:id="160">
    <w:p w14:paraId="414ADAA0" w14:textId="77777777" w:rsidR="00306327" w:rsidRPr="00301974" w:rsidRDefault="00306327" w:rsidP="00306327">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Schola Europaea, </w:t>
      </w:r>
      <w:hyperlink r:id="rId107" w:history="1">
        <w:r w:rsidRPr="00301974">
          <w:rPr>
            <w:rStyle w:val="Hyperlink"/>
            <w:rFonts w:cs="Arial"/>
            <w:sz w:val="18"/>
            <w:szCs w:val="18"/>
          </w:rPr>
          <w:t>Facts and figures on the beginning of the 2018-2019 school year in the European Schools</w:t>
        </w:r>
      </w:hyperlink>
      <w:r w:rsidRPr="00301974">
        <w:rPr>
          <w:rFonts w:cs="Arial"/>
          <w:sz w:val="18"/>
          <w:szCs w:val="18"/>
        </w:rPr>
        <w:t xml:space="preserve"> (December 2018).</w:t>
      </w:r>
    </w:p>
  </w:footnote>
  <w:footnote w:id="161">
    <w:p w14:paraId="14F3A7AA" w14:textId="292C2E5A" w:rsidR="00306327" w:rsidRPr="00301974" w:rsidRDefault="00306327">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There are two forms of intensive support. For children with disabilities only type A is relevant. Type B is only short term for students new to the school and having to </w:t>
      </w:r>
      <w:r w:rsidR="002A402E" w:rsidRPr="00301974">
        <w:rPr>
          <w:rFonts w:cs="Arial"/>
          <w:sz w:val="18"/>
          <w:szCs w:val="18"/>
        </w:rPr>
        <w:t>quickly access</w:t>
      </w:r>
      <w:r w:rsidRPr="00301974">
        <w:rPr>
          <w:rFonts w:cs="Arial"/>
          <w:sz w:val="18"/>
          <w:szCs w:val="18"/>
        </w:rPr>
        <w:t xml:space="preserve"> a foreign language.</w:t>
      </w:r>
    </w:p>
  </w:footnote>
  <w:footnote w:id="162">
    <w:p w14:paraId="6FB20E34" w14:textId="77777777" w:rsidR="00306327" w:rsidRPr="00301974" w:rsidRDefault="00306327" w:rsidP="00306327">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Schola Europea, </w:t>
      </w:r>
      <w:hyperlink r:id="rId108" w:history="1">
        <w:r w:rsidRPr="00301974">
          <w:rPr>
            <w:rStyle w:val="Hyperlink"/>
            <w:rFonts w:cs="Arial"/>
            <w:sz w:val="18"/>
            <w:szCs w:val="18"/>
          </w:rPr>
          <w:t>Statistic Report on the Educational Support and on the Integration of Pupils with Special Educational Needs into the European Schools in the Year 2018-2019</w:t>
        </w:r>
      </w:hyperlink>
      <w:r w:rsidRPr="00301974">
        <w:rPr>
          <w:rFonts w:cs="Arial"/>
          <w:sz w:val="18"/>
          <w:szCs w:val="18"/>
        </w:rPr>
        <w:t xml:space="preserve"> (May 2020).</w:t>
      </w:r>
    </w:p>
  </w:footnote>
  <w:footnote w:id="163">
    <w:p w14:paraId="107FAE44" w14:textId="3AC39288" w:rsidR="00F27B3B" w:rsidRPr="00301974" w:rsidRDefault="00F27B3B" w:rsidP="00F27B3B">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w:t>
      </w:r>
      <w:r w:rsidR="00306327" w:rsidRPr="00301974">
        <w:rPr>
          <w:rFonts w:cs="Arial"/>
          <w:sz w:val="18"/>
          <w:szCs w:val="18"/>
        </w:rPr>
        <w:t xml:space="preserve">See </w:t>
      </w:r>
      <w:hyperlink r:id="rId109" w:history="1">
        <w:r w:rsidR="00306327" w:rsidRPr="00301974">
          <w:rPr>
            <w:rStyle w:val="Hyperlink"/>
            <w:rFonts w:cs="Arial"/>
            <w:sz w:val="18"/>
            <w:szCs w:val="18"/>
          </w:rPr>
          <w:t>UNIA report</w:t>
        </w:r>
      </w:hyperlink>
      <w:r w:rsidR="00306327" w:rsidRPr="00301974">
        <w:rPr>
          <w:rFonts w:cs="Arial"/>
          <w:sz w:val="18"/>
          <w:szCs w:val="18"/>
        </w:rPr>
        <w:t xml:space="preserve"> (2021)</w:t>
      </w:r>
      <w:r w:rsidR="004E5E29" w:rsidRPr="00301974">
        <w:rPr>
          <w:rFonts w:cs="Arial"/>
          <w:sz w:val="18"/>
          <w:szCs w:val="18"/>
        </w:rPr>
        <w:t xml:space="preserve"> </w:t>
      </w:r>
    </w:p>
  </w:footnote>
  <w:footnote w:id="164">
    <w:p w14:paraId="3EC3116E" w14:textId="0A2C9F99" w:rsidR="006E1FE3" w:rsidRPr="00301974" w:rsidRDefault="006E1FE3">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European Schools offer a single, highly academic curriculum leading to the European Baccalaureate. There is no other certificate prior to the Baccalaureate cycle (last two school years). The curriculum leading to the European Baccalaureate does not offer any flexibility to adapt to the needs, potential, and learning style of children with disabilities (</w:t>
      </w:r>
      <w:r w:rsidR="00950EC9" w:rsidRPr="00301974">
        <w:rPr>
          <w:rFonts w:cs="Arial"/>
          <w:sz w:val="18"/>
          <w:szCs w:val="18"/>
        </w:rPr>
        <w:t>e.g.,</w:t>
      </w:r>
      <w:r w:rsidRPr="00301974">
        <w:rPr>
          <w:rFonts w:cs="Arial"/>
          <w:sz w:val="18"/>
          <w:szCs w:val="18"/>
        </w:rPr>
        <w:t xml:space="preserve"> students with dyscalculia </w:t>
      </w:r>
      <w:r w:rsidR="002A402E" w:rsidRPr="00301974">
        <w:rPr>
          <w:rFonts w:cs="Arial"/>
          <w:sz w:val="18"/>
          <w:szCs w:val="18"/>
        </w:rPr>
        <w:t>must</w:t>
      </w:r>
      <w:r w:rsidRPr="00301974">
        <w:rPr>
          <w:rFonts w:cs="Arial"/>
          <w:sz w:val="18"/>
          <w:szCs w:val="18"/>
        </w:rPr>
        <w:t xml:space="preserve"> pass mathematics in the Baccalaureate). All European Baccalaureate candidates must have followed the full S6 and S7 curriculum </w:t>
      </w:r>
      <w:r w:rsidR="002A402E" w:rsidRPr="00301974">
        <w:rPr>
          <w:rFonts w:cs="Arial"/>
          <w:sz w:val="18"/>
          <w:szCs w:val="18"/>
        </w:rPr>
        <w:t>to</w:t>
      </w:r>
      <w:r w:rsidRPr="00301974">
        <w:rPr>
          <w:rFonts w:cs="Arial"/>
          <w:sz w:val="18"/>
          <w:szCs w:val="18"/>
        </w:rPr>
        <w:t xml:space="preserve"> qualify for award of the Baccalaureate diploma. </w:t>
      </w:r>
    </w:p>
  </w:footnote>
  <w:footnote w:id="165">
    <w:p w14:paraId="0EEECEE0" w14:textId="7A62FDF5" w:rsidR="006E1FE3" w:rsidRPr="00301974" w:rsidRDefault="006E1FE3">
      <w:pPr>
        <w:pStyle w:val="FootnoteText"/>
        <w:rPr>
          <w:rFonts w:cs="Arial"/>
          <w:sz w:val="18"/>
          <w:szCs w:val="18"/>
        </w:rPr>
      </w:pPr>
      <w:r w:rsidRPr="00301974">
        <w:rPr>
          <w:rStyle w:val="FootnoteReference"/>
          <w:rFonts w:cs="Arial"/>
          <w:sz w:val="18"/>
          <w:szCs w:val="18"/>
        </w:rPr>
        <w:footnoteRef/>
      </w:r>
      <w:r w:rsidRPr="00301974">
        <w:rPr>
          <w:rFonts w:cs="Arial"/>
          <w:sz w:val="18"/>
          <w:szCs w:val="18"/>
        </w:rPr>
        <w:t xml:space="preserve"> While the European Schools adopted in 2020 some new recommendations regarding the qualifications of support teachers and support coordinators, it remains unclear how those will be applied by schools. The Secretariat General of the European Schools does not foresee a proper monitoring to ensure that in the future all support teachers and support coordinators will have a relevant special qualification in inclusive education. </w:t>
      </w:r>
    </w:p>
  </w:footnote>
  <w:footnote w:id="166">
    <w:p w14:paraId="4996050B" w14:textId="0481BF7E" w:rsidR="00DE3E7C" w:rsidRPr="00DE3E7C" w:rsidRDefault="00DE3E7C">
      <w:pPr>
        <w:pStyle w:val="FootnoteText"/>
      </w:pPr>
      <w:r w:rsidRPr="00301974">
        <w:rPr>
          <w:rStyle w:val="FootnoteReference"/>
          <w:rFonts w:cs="Arial"/>
          <w:sz w:val="18"/>
          <w:szCs w:val="18"/>
        </w:rPr>
        <w:footnoteRef/>
      </w:r>
      <w:r w:rsidRPr="00301974">
        <w:rPr>
          <w:rFonts w:cs="Arial"/>
          <w:sz w:val="18"/>
          <w:szCs w:val="18"/>
        </w:rPr>
        <w:t xml:space="preserve"> Parents of a child with disabilities can only appeal to the Complaint Board when an application for enrolment or integration is rejected by the Director of a European School. However, there is no proper mechanism to challenge and to appeal other decisions of school directors affecting the education of a child with a disability such as decision to move a child to progression, refusal of applications for reasonable accommodation (related to classroom learning situations or to exams) or of support measures (type or hours of support).</w:t>
      </w:r>
      <w:r w:rsidRPr="00301974">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65654" w14:textId="60E05945" w:rsidR="00146AA7" w:rsidRDefault="00146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2"/>
    <w:multiLevelType w:val="hybridMultilevel"/>
    <w:tmpl w:val="00000012"/>
    <w:lvl w:ilvl="0" w:tplc="FFFFFFFF">
      <w:start w:val="1"/>
      <w:numFmt w:val="bullet"/>
      <w:lvlText w:val=""/>
      <w:lvlJc w:val="left"/>
      <w:pPr>
        <w:tabs>
          <w:tab w:val="num" w:pos="720"/>
        </w:tabs>
        <w:ind w:left="720" w:hanging="360"/>
      </w:pPr>
      <w:rPr>
        <w:rFonts w:ascii="Symbol" w:eastAsia="Times New Roman" w:hAnsi="Symbol" w:cs="OpenSymbol"/>
      </w:rPr>
    </w:lvl>
    <w:lvl w:ilvl="1" w:tplc="FFFFFFFF">
      <w:start w:val="1"/>
      <w:numFmt w:val="bullet"/>
      <w:lvlText w:val="◦"/>
      <w:lvlJc w:val="left"/>
      <w:pPr>
        <w:tabs>
          <w:tab w:val="num" w:pos="1080"/>
        </w:tabs>
        <w:ind w:left="1080" w:hanging="360"/>
      </w:pPr>
      <w:rPr>
        <w:rFonts w:ascii="OpenSymbol" w:eastAsia="Times New Roman" w:hAnsi="OpenSymbol" w:cs="OpenSymbol"/>
      </w:rPr>
    </w:lvl>
    <w:lvl w:ilvl="2" w:tplc="FFFFFFFF">
      <w:start w:val="1"/>
      <w:numFmt w:val="bullet"/>
      <w:lvlText w:val="▪"/>
      <w:lvlJc w:val="left"/>
      <w:pPr>
        <w:tabs>
          <w:tab w:val="num" w:pos="1440"/>
        </w:tabs>
        <w:ind w:left="1440" w:hanging="360"/>
      </w:pPr>
      <w:rPr>
        <w:rFonts w:ascii="OpenSymbol" w:eastAsia="Times New Roman" w:hAnsi="OpenSymbol" w:cs="OpenSymbol"/>
      </w:rPr>
    </w:lvl>
    <w:lvl w:ilvl="3" w:tplc="FFFFFFFF">
      <w:start w:val="1"/>
      <w:numFmt w:val="bullet"/>
      <w:lvlText w:val=""/>
      <w:lvlJc w:val="left"/>
      <w:pPr>
        <w:tabs>
          <w:tab w:val="num" w:pos="1800"/>
        </w:tabs>
        <w:ind w:left="1800" w:hanging="360"/>
      </w:pPr>
      <w:rPr>
        <w:rFonts w:ascii="Symbol" w:eastAsia="Times New Roman" w:hAnsi="Symbol" w:cs="OpenSymbol"/>
      </w:rPr>
    </w:lvl>
    <w:lvl w:ilvl="4" w:tplc="FFFFFFFF">
      <w:start w:val="1"/>
      <w:numFmt w:val="bullet"/>
      <w:lvlText w:val="◦"/>
      <w:lvlJc w:val="left"/>
      <w:pPr>
        <w:tabs>
          <w:tab w:val="num" w:pos="2160"/>
        </w:tabs>
        <w:ind w:left="2160" w:hanging="360"/>
      </w:pPr>
      <w:rPr>
        <w:rFonts w:ascii="OpenSymbol" w:eastAsia="Times New Roman" w:hAnsi="OpenSymbol" w:cs="OpenSymbol"/>
      </w:rPr>
    </w:lvl>
    <w:lvl w:ilvl="5" w:tplc="FFFFFFFF">
      <w:start w:val="1"/>
      <w:numFmt w:val="bullet"/>
      <w:lvlText w:val="▪"/>
      <w:lvlJc w:val="left"/>
      <w:pPr>
        <w:tabs>
          <w:tab w:val="num" w:pos="2520"/>
        </w:tabs>
        <w:ind w:left="2520" w:hanging="360"/>
      </w:pPr>
      <w:rPr>
        <w:rFonts w:ascii="OpenSymbol" w:eastAsia="Times New Roman" w:hAnsi="OpenSymbol" w:cs="OpenSymbol"/>
      </w:rPr>
    </w:lvl>
    <w:lvl w:ilvl="6" w:tplc="FFFFFFFF">
      <w:start w:val="1"/>
      <w:numFmt w:val="bullet"/>
      <w:lvlText w:val=""/>
      <w:lvlJc w:val="left"/>
      <w:pPr>
        <w:tabs>
          <w:tab w:val="num" w:pos="2880"/>
        </w:tabs>
        <w:ind w:left="2880" w:hanging="360"/>
      </w:pPr>
      <w:rPr>
        <w:rFonts w:ascii="Symbol" w:eastAsia="Times New Roman" w:hAnsi="Symbol" w:cs="OpenSymbol"/>
      </w:rPr>
    </w:lvl>
    <w:lvl w:ilvl="7" w:tplc="FFFFFFFF">
      <w:start w:val="1"/>
      <w:numFmt w:val="bullet"/>
      <w:lvlText w:val="◦"/>
      <w:lvlJc w:val="left"/>
      <w:pPr>
        <w:tabs>
          <w:tab w:val="num" w:pos="3240"/>
        </w:tabs>
        <w:ind w:left="3240" w:hanging="360"/>
      </w:pPr>
      <w:rPr>
        <w:rFonts w:ascii="OpenSymbol" w:eastAsia="Times New Roman" w:hAnsi="OpenSymbol" w:cs="OpenSymbol"/>
      </w:rPr>
    </w:lvl>
    <w:lvl w:ilvl="8" w:tplc="FFFFFFFF">
      <w:start w:val="1"/>
      <w:numFmt w:val="bullet"/>
      <w:lvlText w:val="▪"/>
      <w:lvlJc w:val="left"/>
      <w:pPr>
        <w:tabs>
          <w:tab w:val="num" w:pos="3600"/>
        </w:tabs>
        <w:ind w:left="3600" w:hanging="360"/>
      </w:pPr>
      <w:rPr>
        <w:rFonts w:ascii="OpenSymbol" w:eastAsia="Times New Roman" w:hAnsi="OpenSymbol" w:cs="OpenSymbol"/>
      </w:rPr>
    </w:lvl>
  </w:abstractNum>
  <w:abstractNum w:abstractNumId="1" w15:restartNumberingAfterBreak="0">
    <w:nsid w:val="042116EA"/>
    <w:multiLevelType w:val="hybridMultilevel"/>
    <w:tmpl w:val="7EFA9F0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50A0656"/>
    <w:multiLevelType w:val="multilevel"/>
    <w:tmpl w:val="8262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B3827"/>
    <w:multiLevelType w:val="multilevel"/>
    <w:tmpl w:val="E438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42135"/>
    <w:multiLevelType w:val="hybridMultilevel"/>
    <w:tmpl w:val="4164FE38"/>
    <w:lvl w:ilvl="0" w:tplc="7986792E">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9BB7F35"/>
    <w:multiLevelType w:val="hybridMultilevel"/>
    <w:tmpl w:val="F738BA9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0DAF3683"/>
    <w:multiLevelType w:val="hybridMultilevel"/>
    <w:tmpl w:val="226A9C0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0E3F44B7"/>
    <w:multiLevelType w:val="hybridMultilevel"/>
    <w:tmpl w:val="06901FB8"/>
    <w:lvl w:ilvl="0" w:tplc="D818C0D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59F209D"/>
    <w:multiLevelType w:val="hybridMultilevel"/>
    <w:tmpl w:val="A7641B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6B377B0"/>
    <w:multiLevelType w:val="hybridMultilevel"/>
    <w:tmpl w:val="FF340E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78B5C53"/>
    <w:multiLevelType w:val="hybridMultilevel"/>
    <w:tmpl w:val="6CAA26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945315A"/>
    <w:multiLevelType w:val="hybridMultilevel"/>
    <w:tmpl w:val="C5E46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546C9"/>
    <w:multiLevelType w:val="multilevel"/>
    <w:tmpl w:val="91C2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DC67AD"/>
    <w:multiLevelType w:val="hybridMultilevel"/>
    <w:tmpl w:val="47CA8F2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20C154A0"/>
    <w:multiLevelType w:val="hybridMultilevel"/>
    <w:tmpl w:val="867CD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D51B7E"/>
    <w:multiLevelType w:val="multilevel"/>
    <w:tmpl w:val="D9B8F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0C159B"/>
    <w:multiLevelType w:val="hybridMultilevel"/>
    <w:tmpl w:val="FFFFFFFF"/>
    <w:lvl w:ilvl="0" w:tplc="080C0001">
      <w:start w:val="1"/>
      <w:numFmt w:val="bullet"/>
      <w:lvlText w:val=""/>
      <w:lvlJc w:val="left"/>
      <w:pPr>
        <w:ind w:left="784" w:hanging="360"/>
      </w:pPr>
      <w:rPr>
        <w:rFonts w:ascii="Symbol" w:hAnsi="Symbol" w:hint="default"/>
      </w:rPr>
    </w:lvl>
    <w:lvl w:ilvl="1" w:tplc="080C0003" w:tentative="1">
      <w:start w:val="1"/>
      <w:numFmt w:val="bullet"/>
      <w:lvlText w:val="o"/>
      <w:lvlJc w:val="left"/>
      <w:pPr>
        <w:ind w:left="1504" w:hanging="360"/>
      </w:pPr>
      <w:rPr>
        <w:rFonts w:ascii="Courier New" w:hAnsi="Courier New" w:hint="default"/>
      </w:rPr>
    </w:lvl>
    <w:lvl w:ilvl="2" w:tplc="080C0005" w:tentative="1">
      <w:start w:val="1"/>
      <w:numFmt w:val="bullet"/>
      <w:lvlText w:val=""/>
      <w:lvlJc w:val="left"/>
      <w:pPr>
        <w:ind w:left="2224" w:hanging="360"/>
      </w:pPr>
      <w:rPr>
        <w:rFonts w:ascii="Wingdings" w:hAnsi="Wingdings" w:hint="default"/>
      </w:rPr>
    </w:lvl>
    <w:lvl w:ilvl="3" w:tplc="080C0001" w:tentative="1">
      <w:start w:val="1"/>
      <w:numFmt w:val="bullet"/>
      <w:lvlText w:val=""/>
      <w:lvlJc w:val="left"/>
      <w:pPr>
        <w:ind w:left="2944" w:hanging="360"/>
      </w:pPr>
      <w:rPr>
        <w:rFonts w:ascii="Symbol" w:hAnsi="Symbol" w:hint="default"/>
      </w:rPr>
    </w:lvl>
    <w:lvl w:ilvl="4" w:tplc="080C0003" w:tentative="1">
      <w:start w:val="1"/>
      <w:numFmt w:val="bullet"/>
      <w:lvlText w:val="o"/>
      <w:lvlJc w:val="left"/>
      <w:pPr>
        <w:ind w:left="3664" w:hanging="360"/>
      </w:pPr>
      <w:rPr>
        <w:rFonts w:ascii="Courier New" w:hAnsi="Courier New" w:hint="default"/>
      </w:rPr>
    </w:lvl>
    <w:lvl w:ilvl="5" w:tplc="080C0005" w:tentative="1">
      <w:start w:val="1"/>
      <w:numFmt w:val="bullet"/>
      <w:lvlText w:val=""/>
      <w:lvlJc w:val="left"/>
      <w:pPr>
        <w:ind w:left="4384" w:hanging="360"/>
      </w:pPr>
      <w:rPr>
        <w:rFonts w:ascii="Wingdings" w:hAnsi="Wingdings" w:hint="default"/>
      </w:rPr>
    </w:lvl>
    <w:lvl w:ilvl="6" w:tplc="080C0001" w:tentative="1">
      <w:start w:val="1"/>
      <w:numFmt w:val="bullet"/>
      <w:lvlText w:val=""/>
      <w:lvlJc w:val="left"/>
      <w:pPr>
        <w:ind w:left="5104" w:hanging="360"/>
      </w:pPr>
      <w:rPr>
        <w:rFonts w:ascii="Symbol" w:hAnsi="Symbol" w:hint="default"/>
      </w:rPr>
    </w:lvl>
    <w:lvl w:ilvl="7" w:tplc="080C0003" w:tentative="1">
      <w:start w:val="1"/>
      <w:numFmt w:val="bullet"/>
      <w:lvlText w:val="o"/>
      <w:lvlJc w:val="left"/>
      <w:pPr>
        <w:ind w:left="5824" w:hanging="360"/>
      </w:pPr>
      <w:rPr>
        <w:rFonts w:ascii="Courier New" w:hAnsi="Courier New" w:hint="default"/>
      </w:rPr>
    </w:lvl>
    <w:lvl w:ilvl="8" w:tplc="080C0005" w:tentative="1">
      <w:start w:val="1"/>
      <w:numFmt w:val="bullet"/>
      <w:lvlText w:val=""/>
      <w:lvlJc w:val="left"/>
      <w:pPr>
        <w:ind w:left="6544" w:hanging="360"/>
      </w:pPr>
      <w:rPr>
        <w:rFonts w:ascii="Wingdings" w:hAnsi="Wingdings" w:hint="default"/>
      </w:rPr>
    </w:lvl>
  </w:abstractNum>
  <w:abstractNum w:abstractNumId="17" w15:restartNumberingAfterBreak="0">
    <w:nsid w:val="24980401"/>
    <w:multiLevelType w:val="hybridMultilevel"/>
    <w:tmpl w:val="9E360F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9183D20"/>
    <w:multiLevelType w:val="multilevel"/>
    <w:tmpl w:val="773E28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715AF1"/>
    <w:multiLevelType w:val="hybridMultilevel"/>
    <w:tmpl w:val="31A6217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2C6E41D5"/>
    <w:multiLevelType w:val="hybridMultilevel"/>
    <w:tmpl w:val="7156866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2D5147B3"/>
    <w:multiLevelType w:val="hybridMultilevel"/>
    <w:tmpl w:val="AF66514A"/>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DB355E6"/>
    <w:multiLevelType w:val="hybridMultilevel"/>
    <w:tmpl w:val="F404030A"/>
    <w:lvl w:ilvl="0" w:tplc="64A6A160">
      <w:start w:val="10"/>
      <w:numFmt w:val="bullet"/>
      <w:lvlText w:val=""/>
      <w:lvlJc w:val="left"/>
      <w:pPr>
        <w:ind w:left="720" w:hanging="360"/>
      </w:pPr>
      <w:rPr>
        <w:rFonts w:ascii="Symbol" w:hAnsi="Symbol" w:cs="Times New Roman" w:hint="default"/>
        <w:color w:val="0070C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0740862"/>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2506100"/>
    <w:multiLevelType w:val="multilevel"/>
    <w:tmpl w:val="1F0C9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3A6224"/>
    <w:multiLevelType w:val="hybridMultilevel"/>
    <w:tmpl w:val="4BAEB86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38D92186"/>
    <w:multiLevelType w:val="hybridMultilevel"/>
    <w:tmpl w:val="6F6AC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7E1DC6"/>
    <w:multiLevelType w:val="hybridMultilevel"/>
    <w:tmpl w:val="1326FBFE"/>
    <w:lvl w:ilvl="0" w:tplc="F5265908">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3C432523"/>
    <w:multiLevelType w:val="hybridMultilevel"/>
    <w:tmpl w:val="EE56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A61EFF"/>
    <w:multiLevelType w:val="multilevel"/>
    <w:tmpl w:val="8E00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EF75B77"/>
    <w:multiLevelType w:val="multilevel"/>
    <w:tmpl w:val="38880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9B4C72"/>
    <w:multiLevelType w:val="hybridMultilevel"/>
    <w:tmpl w:val="7BBEBBDC"/>
    <w:lvl w:ilvl="0" w:tplc="6DBC50C2">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3FA13D7F"/>
    <w:multiLevelType w:val="hybridMultilevel"/>
    <w:tmpl w:val="F8E29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C3547D"/>
    <w:multiLevelType w:val="hybridMultilevel"/>
    <w:tmpl w:val="16A62B4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4" w15:restartNumberingAfterBreak="0">
    <w:nsid w:val="426853C9"/>
    <w:multiLevelType w:val="hybridMultilevel"/>
    <w:tmpl w:val="3D020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5602D81"/>
    <w:multiLevelType w:val="hybridMultilevel"/>
    <w:tmpl w:val="C79637E6"/>
    <w:lvl w:ilvl="0" w:tplc="C0F27884">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45DF4E93"/>
    <w:multiLevelType w:val="multilevel"/>
    <w:tmpl w:val="4336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7DA4AD6"/>
    <w:multiLevelType w:val="multilevel"/>
    <w:tmpl w:val="6314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82C7DE1"/>
    <w:multiLevelType w:val="multilevel"/>
    <w:tmpl w:val="F33A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9F871AB"/>
    <w:multiLevelType w:val="hybridMultilevel"/>
    <w:tmpl w:val="0D86247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0" w15:restartNumberingAfterBreak="0">
    <w:nsid w:val="4A956F5F"/>
    <w:multiLevelType w:val="multilevel"/>
    <w:tmpl w:val="DCE2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B460A76"/>
    <w:multiLevelType w:val="hybridMultilevel"/>
    <w:tmpl w:val="833E7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E4919BC"/>
    <w:multiLevelType w:val="multilevel"/>
    <w:tmpl w:val="4E491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E734BBE"/>
    <w:multiLevelType w:val="hybridMultilevel"/>
    <w:tmpl w:val="FC061D96"/>
    <w:lvl w:ilvl="0" w:tplc="532E5C24">
      <w:start w:val="1"/>
      <w:numFmt w:val="decimal"/>
      <w:lvlText w:val="%1."/>
      <w:lvlJc w:val="left"/>
      <w:pPr>
        <w:ind w:left="1440" w:hanging="360"/>
      </w:pPr>
    </w:lvl>
    <w:lvl w:ilvl="1" w:tplc="24C88CFE">
      <w:start w:val="1"/>
      <w:numFmt w:val="decimal"/>
      <w:lvlText w:val="%2."/>
      <w:lvlJc w:val="left"/>
      <w:pPr>
        <w:ind w:left="1440" w:hanging="360"/>
      </w:pPr>
    </w:lvl>
    <w:lvl w:ilvl="2" w:tplc="6728EEE0">
      <w:start w:val="1"/>
      <w:numFmt w:val="decimal"/>
      <w:lvlText w:val="%3."/>
      <w:lvlJc w:val="left"/>
      <w:pPr>
        <w:ind w:left="1440" w:hanging="360"/>
      </w:pPr>
    </w:lvl>
    <w:lvl w:ilvl="3" w:tplc="BD642F0A">
      <w:start w:val="1"/>
      <w:numFmt w:val="decimal"/>
      <w:lvlText w:val="%4."/>
      <w:lvlJc w:val="left"/>
      <w:pPr>
        <w:ind w:left="1440" w:hanging="360"/>
      </w:pPr>
    </w:lvl>
    <w:lvl w:ilvl="4" w:tplc="DCC04C66">
      <w:start w:val="1"/>
      <w:numFmt w:val="decimal"/>
      <w:lvlText w:val="%5."/>
      <w:lvlJc w:val="left"/>
      <w:pPr>
        <w:ind w:left="1440" w:hanging="360"/>
      </w:pPr>
    </w:lvl>
    <w:lvl w:ilvl="5" w:tplc="52D8C258">
      <w:start w:val="1"/>
      <w:numFmt w:val="decimal"/>
      <w:lvlText w:val="%6."/>
      <w:lvlJc w:val="left"/>
      <w:pPr>
        <w:ind w:left="1440" w:hanging="360"/>
      </w:pPr>
    </w:lvl>
    <w:lvl w:ilvl="6" w:tplc="5120BC16">
      <w:start w:val="1"/>
      <w:numFmt w:val="decimal"/>
      <w:lvlText w:val="%7."/>
      <w:lvlJc w:val="left"/>
      <w:pPr>
        <w:ind w:left="1440" w:hanging="360"/>
      </w:pPr>
    </w:lvl>
    <w:lvl w:ilvl="7" w:tplc="07328420">
      <w:start w:val="1"/>
      <w:numFmt w:val="decimal"/>
      <w:lvlText w:val="%8."/>
      <w:lvlJc w:val="left"/>
      <w:pPr>
        <w:ind w:left="1440" w:hanging="360"/>
      </w:pPr>
    </w:lvl>
    <w:lvl w:ilvl="8" w:tplc="56B25162">
      <w:start w:val="1"/>
      <w:numFmt w:val="decimal"/>
      <w:lvlText w:val="%9."/>
      <w:lvlJc w:val="left"/>
      <w:pPr>
        <w:ind w:left="1440" w:hanging="360"/>
      </w:pPr>
    </w:lvl>
  </w:abstractNum>
  <w:abstractNum w:abstractNumId="44" w15:restartNumberingAfterBreak="0">
    <w:nsid w:val="52B95A3B"/>
    <w:multiLevelType w:val="hybridMultilevel"/>
    <w:tmpl w:val="9C2813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53E84477"/>
    <w:multiLevelType w:val="multilevel"/>
    <w:tmpl w:val="B05C6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51727D9"/>
    <w:multiLevelType w:val="hybridMultilevel"/>
    <w:tmpl w:val="C6B0EE6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7" w15:restartNumberingAfterBreak="0">
    <w:nsid w:val="57662A75"/>
    <w:multiLevelType w:val="hybridMultilevel"/>
    <w:tmpl w:val="ED80035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8" w15:restartNumberingAfterBreak="0">
    <w:nsid w:val="5973576D"/>
    <w:multiLevelType w:val="multilevel"/>
    <w:tmpl w:val="6C22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CC37D55"/>
    <w:multiLevelType w:val="hybridMultilevel"/>
    <w:tmpl w:val="DA0813C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0" w15:restartNumberingAfterBreak="0">
    <w:nsid w:val="5D097181"/>
    <w:multiLevelType w:val="hybridMultilevel"/>
    <w:tmpl w:val="8A765772"/>
    <w:lvl w:ilvl="0" w:tplc="D444C998">
      <w:numFmt w:val="bullet"/>
      <w:lvlText w:val=""/>
      <w:lvlJc w:val="left"/>
      <w:pPr>
        <w:ind w:left="720" w:hanging="360"/>
      </w:pPr>
      <w:rPr>
        <w:rFonts w:ascii="Symbol" w:eastAsia="Calibri"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1" w15:restartNumberingAfterBreak="0">
    <w:nsid w:val="60A60F97"/>
    <w:multiLevelType w:val="hybridMultilevel"/>
    <w:tmpl w:val="A862219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2" w15:restartNumberingAfterBreak="0">
    <w:nsid w:val="62B743DF"/>
    <w:multiLevelType w:val="hybridMultilevel"/>
    <w:tmpl w:val="CD6E796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3" w15:restartNumberingAfterBreak="0">
    <w:nsid w:val="62D42931"/>
    <w:multiLevelType w:val="hybridMultilevel"/>
    <w:tmpl w:val="0566657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4" w15:restartNumberingAfterBreak="0">
    <w:nsid w:val="641414D6"/>
    <w:multiLevelType w:val="multilevel"/>
    <w:tmpl w:val="F37C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4235987"/>
    <w:multiLevelType w:val="hybridMultilevel"/>
    <w:tmpl w:val="C57484C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6" w15:restartNumberingAfterBreak="0">
    <w:nsid w:val="6629096B"/>
    <w:multiLevelType w:val="hybridMultilevel"/>
    <w:tmpl w:val="FFFFFFFF"/>
    <w:lvl w:ilvl="0" w:tplc="FFFFFFF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7" w15:restartNumberingAfterBreak="0">
    <w:nsid w:val="66701D14"/>
    <w:multiLevelType w:val="hybridMultilevel"/>
    <w:tmpl w:val="9DEE5B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66C7270B"/>
    <w:multiLevelType w:val="hybridMultilevel"/>
    <w:tmpl w:val="1A6ADA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9" w15:restartNumberingAfterBreak="0">
    <w:nsid w:val="6A755D26"/>
    <w:multiLevelType w:val="multilevel"/>
    <w:tmpl w:val="6A755D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A9D68A8"/>
    <w:multiLevelType w:val="hybridMultilevel"/>
    <w:tmpl w:val="9B3E4A2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1" w15:restartNumberingAfterBreak="0">
    <w:nsid w:val="70595F66"/>
    <w:multiLevelType w:val="multilevel"/>
    <w:tmpl w:val="1F7E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0EA0F61"/>
    <w:multiLevelType w:val="multilevel"/>
    <w:tmpl w:val="3EC0A8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2C53BEE"/>
    <w:multiLevelType w:val="multilevel"/>
    <w:tmpl w:val="906C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3C52D8D"/>
    <w:multiLevelType w:val="hybridMultilevel"/>
    <w:tmpl w:val="67F46A5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5" w15:restartNumberingAfterBreak="0">
    <w:nsid w:val="747B62E2"/>
    <w:multiLevelType w:val="multilevel"/>
    <w:tmpl w:val="93CE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4B336E0"/>
    <w:multiLevelType w:val="multilevel"/>
    <w:tmpl w:val="B792E5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5980D55"/>
    <w:multiLevelType w:val="hybridMultilevel"/>
    <w:tmpl w:val="5F8604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775B2206"/>
    <w:multiLevelType w:val="hybridMultilevel"/>
    <w:tmpl w:val="F3FE07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9" w15:restartNumberingAfterBreak="0">
    <w:nsid w:val="7B0E1D40"/>
    <w:multiLevelType w:val="hybridMultilevel"/>
    <w:tmpl w:val="8F02E3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7EC82382"/>
    <w:multiLevelType w:val="hybridMultilevel"/>
    <w:tmpl w:val="CC905094"/>
    <w:lvl w:ilvl="0" w:tplc="080C0001">
      <w:start w:val="1"/>
      <w:numFmt w:val="bullet"/>
      <w:lvlText w:val=""/>
      <w:lvlJc w:val="left"/>
      <w:pPr>
        <w:ind w:left="78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num w:numId="1" w16cid:durableId="2050297656">
    <w:abstractNumId w:val="27"/>
  </w:num>
  <w:num w:numId="2" w16cid:durableId="222178777">
    <w:abstractNumId w:val="20"/>
  </w:num>
  <w:num w:numId="3" w16cid:durableId="395251470">
    <w:abstractNumId w:val="33"/>
  </w:num>
  <w:num w:numId="4" w16cid:durableId="1703167617">
    <w:abstractNumId w:val="55"/>
  </w:num>
  <w:num w:numId="5" w16cid:durableId="872156017">
    <w:abstractNumId w:val="46"/>
  </w:num>
  <w:num w:numId="6" w16cid:durableId="266470856">
    <w:abstractNumId w:val="47"/>
  </w:num>
  <w:num w:numId="7" w16cid:durableId="1311061420">
    <w:abstractNumId w:val="25"/>
  </w:num>
  <w:num w:numId="8" w16cid:durableId="245961518">
    <w:abstractNumId w:val="13"/>
  </w:num>
  <w:num w:numId="9" w16cid:durableId="495266671">
    <w:abstractNumId w:val="53"/>
  </w:num>
  <w:num w:numId="10" w16cid:durableId="1377075059">
    <w:abstractNumId w:val="60"/>
  </w:num>
  <w:num w:numId="11" w16cid:durableId="652679906">
    <w:abstractNumId w:val="51"/>
  </w:num>
  <w:num w:numId="12" w16cid:durableId="126164151">
    <w:abstractNumId w:val="5"/>
  </w:num>
  <w:num w:numId="13" w16cid:durableId="525213432">
    <w:abstractNumId w:val="42"/>
  </w:num>
  <w:num w:numId="14" w16cid:durableId="1091315043">
    <w:abstractNumId w:val="59"/>
  </w:num>
  <w:num w:numId="15" w16cid:durableId="1298757988">
    <w:abstractNumId w:val="68"/>
  </w:num>
  <w:num w:numId="16" w16cid:durableId="1993943302">
    <w:abstractNumId w:val="32"/>
  </w:num>
  <w:num w:numId="17" w16cid:durableId="993950838">
    <w:abstractNumId w:val="11"/>
  </w:num>
  <w:num w:numId="18" w16cid:durableId="1147405776">
    <w:abstractNumId w:val="4"/>
  </w:num>
  <w:num w:numId="19" w16cid:durableId="1319964909">
    <w:abstractNumId w:val="17"/>
  </w:num>
  <w:num w:numId="20" w16cid:durableId="830755163">
    <w:abstractNumId w:val="49"/>
  </w:num>
  <w:num w:numId="21" w16cid:durableId="1954433703">
    <w:abstractNumId w:val="64"/>
  </w:num>
  <w:num w:numId="22" w16cid:durableId="815335234">
    <w:abstractNumId w:val="69"/>
  </w:num>
  <w:num w:numId="23" w16cid:durableId="1431466348">
    <w:abstractNumId w:val="0"/>
  </w:num>
  <w:num w:numId="24" w16cid:durableId="470291259">
    <w:abstractNumId w:val="67"/>
  </w:num>
  <w:num w:numId="25" w16cid:durableId="124012876">
    <w:abstractNumId w:val="14"/>
  </w:num>
  <w:num w:numId="26" w16cid:durableId="2124107116">
    <w:abstractNumId w:val="7"/>
  </w:num>
  <w:num w:numId="27" w16cid:durableId="838812546">
    <w:abstractNumId w:val="7"/>
  </w:num>
  <w:num w:numId="28" w16cid:durableId="1946427315">
    <w:abstractNumId w:val="34"/>
  </w:num>
  <w:num w:numId="29" w16cid:durableId="1461916196">
    <w:abstractNumId w:val="28"/>
  </w:num>
  <w:num w:numId="30" w16cid:durableId="1228758558">
    <w:abstractNumId w:val="57"/>
  </w:num>
  <w:num w:numId="31" w16cid:durableId="1662074546">
    <w:abstractNumId w:val="70"/>
  </w:num>
  <w:num w:numId="32" w16cid:durableId="1965426482">
    <w:abstractNumId w:val="35"/>
  </w:num>
  <w:num w:numId="33" w16cid:durableId="1814446800">
    <w:abstractNumId w:val="21"/>
  </w:num>
  <w:num w:numId="34" w16cid:durableId="1852603616">
    <w:abstractNumId w:val="50"/>
  </w:num>
  <w:num w:numId="35" w16cid:durableId="403644376">
    <w:abstractNumId w:val="9"/>
  </w:num>
  <w:num w:numId="36" w16cid:durableId="1166900054">
    <w:abstractNumId w:val="10"/>
  </w:num>
  <w:num w:numId="37" w16cid:durableId="75438551">
    <w:abstractNumId w:val="8"/>
  </w:num>
  <w:num w:numId="38" w16cid:durableId="795100643">
    <w:abstractNumId w:val="52"/>
  </w:num>
  <w:num w:numId="39" w16cid:durableId="967125977">
    <w:abstractNumId w:val="44"/>
  </w:num>
  <w:num w:numId="40" w16cid:durableId="589970026">
    <w:abstractNumId w:val="62"/>
  </w:num>
  <w:num w:numId="41" w16cid:durableId="115493701">
    <w:abstractNumId w:val="18"/>
  </w:num>
  <w:num w:numId="42" w16cid:durableId="1119881379">
    <w:abstractNumId w:val="45"/>
  </w:num>
  <w:num w:numId="43" w16cid:durableId="1558053589">
    <w:abstractNumId w:val="66"/>
  </w:num>
  <w:num w:numId="44" w16cid:durableId="1894850003">
    <w:abstractNumId w:val="15"/>
  </w:num>
  <w:num w:numId="45" w16cid:durableId="958413703">
    <w:abstractNumId w:val="30"/>
  </w:num>
  <w:num w:numId="46" w16cid:durableId="2027519625">
    <w:abstractNumId w:val="36"/>
  </w:num>
  <w:num w:numId="47" w16cid:durableId="1847985800">
    <w:abstractNumId w:val="2"/>
  </w:num>
  <w:num w:numId="48" w16cid:durableId="991906952">
    <w:abstractNumId w:val="26"/>
  </w:num>
  <w:num w:numId="49" w16cid:durableId="1942030922">
    <w:abstractNumId w:val="61"/>
  </w:num>
  <w:num w:numId="50" w16cid:durableId="1380744113">
    <w:abstractNumId w:val="16"/>
  </w:num>
  <w:num w:numId="51" w16cid:durableId="1715497168">
    <w:abstractNumId w:val="23"/>
  </w:num>
  <w:num w:numId="52" w16cid:durableId="1463884075">
    <w:abstractNumId w:val="56"/>
  </w:num>
  <w:num w:numId="53" w16cid:durableId="1346520947">
    <w:abstractNumId w:val="39"/>
  </w:num>
  <w:num w:numId="54" w16cid:durableId="879826494">
    <w:abstractNumId w:val="1"/>
  </w:num>
  <w:num w:numId="55" w16cid:durableId="1724673578">
    <w:abstractNumId w:val="48"/>
  </w:num>
  <w:num w:numId="56" w16cid:durableId="789057873">
    <w:abstractNumId w:val="12"/>
  </w:num>
  <w:num w:numId="57" w16cid:durableId="846477920">
    <w:abstractNumId w:val="65"/>
  </w:num>
  <w:num w:numId="58" w16cid:durableId="551700196">
    <w:abstractNumId w:val="29"/>
  </w:num>
  <w:num w:numId="59" w16cid:durableId="869537204">
    <w:abstractNumId w:val="40"/>
  </w:num>
  <w:num w:numId="60" w16cid:durableId="578291812">
    <w:abstractNumId w:val="37"/>
  </w:num>
  <w:num w:numId="61" w16cid:durableId="1154032431">
    <w:abstractNumId w:val="43"/>
  </w:num>
  <w:num w:numId="62" w16cid:durableId="1826968890">
    <w:abstractNumId w:val="22"/>
  </w:num>
  <w:num w:numId="63" w16cid:durableId="1599871160">
    <w:abstractNumId w:val="24"/>
  </w:num>
  <w:num w:numId="64" w16cid:durableId="1508327623">
    <w:abstractNumId w:val="63"/>
  </w:num>
  <w:num w:numId="65" w16cid:durableId="838079121">
    <w:abstractNumId w:val="54"/>
  </w:num>
  <w:num w:numId="66" w16cid:durableId="2070493214">
    <w:abstractNumId w:val="38"/>
  </w:num>
  <w:num w:numId="67" w16cid:durableId="1650792813">
    <w:abstractNumId w:val="3"/>
  </w:num>
  <w:num w:numId="68" w16cid:durableId="1981225857">
    <w:abstractNumId w:val="58"/>
  </w:num>
  <w:num w:numId="69" w16cid:durableId="1980451415">
    <w:abstractNumId w:val="31"/>
  </w:num>
  <w:num w:numId="70" w16cid:durableId="228999517">
    <w:abstractNumId w:val="41"/>
  </w:num>
  <w:num w:numId="71" w16cid:durableId="1029061533">
    <w:abstractNumId w:val="19"/>
  </w:num>
  <w:num w:numId="72" w16cid:durableId="648483190">
    <w:abstractNumId w:val="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6E9DE8-D376-4731-92C6-63C6D7124BE8}"/>
    <w:docVar w:name="dgnword-eventsink" w:val="446208128"/>
    <w:docVar w:name="dgnword-lastRevisionsView" w:val="0"/>
  </w:docVars>
  <w:rsids>
    <w:rsidRoot w:val="00567949"/>
    <w:rsid w:val="000004A7"/>
    <w:rsid w:val="00000B75"/>
    <w:rsid w:val="00001369"/>
    <w:rsid w:val="000015CA"/>
    <w:rsid w:val="00001680"/>
    <w:rsid w:val="000023A1"/>
    <w:rsid w:val="000023D5"/>
    <w:rsid w:val="000025B5"/>
    <w:rsid w:val="00002675"/>
    <w:rsid w:val="00002945"/>
    <w:rsid w:val="00002B03"/>
    <w:rsid w:val="00002DAC"/>
    <w:rsid w:val="000031D4"/>
    <w:rsid w:val="00004199"/>
    <w:rsid w:val="00004CFD"/>
    <w:rsid w:val="00004E38"/>
    <w:rsid w:val="00005ACA"/>
    <w:rsid w:val="00010CE1"/>
    <w:rsid w:val="00010E2F"/>
    <w:rsid w:val="00011AB8"/>
    <w:rsid w:val="00013322"/>
    <w:rsid w:val="000138F5"/>
    <w:rsid w:val="00013D87"/>
    <w:rsid w:val="00014120"/>
    <w:rsid w:val="000145B3"/>
    <w:rsid w:val="0001528E"/>
    <w:rsid w:val="00015E7D"/>
    <w:rsid w:val="00016311"/>
    <w:rsid w:val="000163B6"/>
    <w:rsid w:val="00016BC6"/>
    <w:rsid w:val="00017E2F"/>
    <w:rsid w:val="00020AB0"/>
    <w:rsid w:val="00020FEA"/>
    <w:rsid w:val="000215F2"/>
    <w:rsid w:val="0002253B"/>
    <w:rsid w:val="000225F1"/>
    <w:rsid w:val="00022B43"/>
    <w:rsid w:val="00023CDA"/>
    <w:rsid w:val="00024A52"/>
    <w:rsid w:val="00025BDC"/>
    <w:rsid w:val="0002644F"/>
    <w:rsid w:val="0002661A"/>
    <w:rsid w:val="000269AF"/>
    <w:rsid w:val="00026BAE"/>
    <w:rsid w:val="00026CA5"/>
    <w:rsid w:val="00027174"/>
    <w:rsid w:val="00027D68"/>
    <w:rsid w:val="00027DEA"/>
    <w:rsid w:val="00030123"/>
    <w:rsid w:val="000302B6"/>
    <w:rsid w:val="00030873"/>
    <w:rsid w:val="00030E5E"/>
    <w:rsid w:val="00031197"/>
    <w:rsid w:val="00031D5B"/>
    <w:rsid w:val="00032D70"/>
    <w:rsid w:val="0003338C"/>
    <w:rsid w:val="000334B0"/>
    <w:rsid w:val="00033B69"/>
    <w:rsid w:val="00033E02"/>
    <w:rsid w:val="00034757"/>
    <w:rsid w:val="00034845"/>
    <w:rsid w:val="00034A5B"/>
    <w:rsid w:val="00034A8E"/>
    <w:rsid w:val="00037476"/>
    <w:rsid w:val="0003766F"/>
    <w:rsid w:val="00040332"/>
    <w:rsid w:val="000404B9"/>
    <w:rsid w:val="000420FA"/>
    <w:rsid w:val="00043C6D"/>
    <w:rsid w:val="00043FEC"/>
    <w:rsid w:val="00044342"/>
    <w:rsid w:val="00044878"/>
    <w:rsid w:val="00044901"/>
    <w:rsid w:val="00044970"/>
    <w:rsid w:val="00044BF2"/>
    <w:rsid w:val="000451B7"/>
    <w:rsid w:val="00045B80"/>
    <w:rsid w:val="00046501"/>
    <w:rsid w:val="00047336"/>
    <w:rsid w:val="0004780B"/>
    <w:rsid w:val="000500E0"/>
    <w:rsid w:val="00050932"/>
    <w:rsid w:val="0005093E"/>
    <w:rsid w:val="00051709"/>
    <w:rsid w:val="0005355D"/>
    <w:rsid w:val="00053BF4"/>
    <w:rsid w:val="00055478"/>
    <w:rsid w:val="00055820"/>
    <w:rsid w:val="00055EDA"/>
    <w:rsid w:val="00056396"/>
    <w:rsid w:val="000564AD"/>
    <w:rsid w:val="000568A1"/>
    <w:rsid w:val="00057530"/>
    <w:rsid w:val="000577DD"/>
    <w:rsid w:val="000578E8"/>
    <w:rsid w:val="00057EEF"/>
    <w:rsid w:val="00057F21"/>
    <w:rsid w:val="00060100"/>
    <w:rsid w:val="00060A08"/>
    <w:rsid w:val="00060B9B"/>
    <w:rsid w:val="00060EA6"/>
    <w:rsid w:val="0006138E"/>
    <w:rsid w:val="00061A9F"/>
    <w:rsid w:val="0006276B"/>
    <w:rsid w:val="00062ABA"/>
    <w:rsid w:val="00062CDA"/>
    <w:rsid w:val="00064097"/>
    <w:rsid w:val="00064506"/>
    <w:rsid w:val="00064ECF"/>
    <w:rsid w:val="000654B5"/>
    <w:rsid w:val="00065CBE"/>
    <w:rsid w:val="00067B6B"/>
    <w:rsid w:val="00067FC7"/>
    <w:rsid w:val="0007074B"/>
    <w:rsid w:val="00070AC1"/>
    <w:rsid w:val="00072308"/>
    <w:rsid w:val="00072EC4"/>
    <w:rsid w:val="00073FF1"/>
    <w:rsid w:val="000752EA"/>
    <w:rsid w:val="0007596D"/>
    <w:rsid w:val="00076FC5"/>
    <w:rsid w:val="0008127E"/>
    <w:rsid w:val="000818B4"/>
    <w:rsid w:val="0008284A"/>
    <w:rsid w:val="00082FE6"/>
    <w:rsid w:val="000835CB"/>
    <w:rsid w:val="00083728"/>
    <w:rsid w:val="0008387E"/>
    <w:rsid w:val="00083FB2"/>
    <w:rsid w:val="00084F13"/>
    <w:rsid w:val="00085748"/>
    <w:rsid w:val="000857D5"/>
    <w:rsid w:val="0008583C"/>
    <w:rsid w:val="00085FE6"/>
    <w:rsid w:val="00086F67"/>
    <w:rsid w:val="00087204"/>
    <w:rsid w:val="0008786F"/>
    <w:rsid w:val="00087B8C"/>
    <w:rsid w:val="000920B0"/>
    <w:rsid w:val="000921A4"/>
    <w:rsid w:val="000922B3"/>
    <w:rsid w:val="0009288C"/>
    <w:rsid w:val="000933BF"/>
    <w:rsid w:val="00093E47"/>
    <w:rsid w:val="00095DEB"/>
    <w:rsid w:val="0009666C"/>
    <w:rsid w:val="00096D45"/>
    <w:rsid w:val="00096F19"/>
    <w:rsid w:val="00097714"/>
    <w:rsid w:val="000A0572"/>
    <w:rsid w:val="000A1568"/>
    <w:rsid w:val="000A1ECE"/>
    <w:rsid w:val="000A2A91"/>
    <w:rsid w:val="000A32C6"/>
    <w:rsid w:val="000A3F6F"/>
    <w:rsid w:val="000A4B4C"/>
    <w:rsid w:val="000A526A"/>
    <w:rsid w:val="000A52B3"/>
    <w:rsid w:val="000A53D0"/>
    <w:rsid w:val="000A5DF9"/>
    <w:rsid w:val="000A6EBB"/>
    <w:rsid w:val="000B0099"/>
    <w:rsid w:val="000B0A82"/>
    <w:rsid w:val="000B0B78"/>
    <w:rsid w:val="000B11BD"/>
    <w:rsid w:val="000B3DF2"/>
    <w:rsid w:val="000B4993"/>
    <w:rsid w:val="000B5274"/>
    <w:rsid w:val="000B584C"/>
    <w:rsid w:val="000B5DD5"/>
    <w:rsid w:val="000B60CB"/>
    <w:rsid w:val="000B6689"/>
    <w:rsid w:val="000B6950"/>
    <w:rsid w:val="000C0E9F"/>
    <w:rsid w:val="000C24A4"/>
    <w:rsid w:val="000C32B1"/>
    <w:rsid w:val="000C37C9"/>
    <w:rsid w:val="000C4DB2"/>
    <w:rsid w:val="000C5D90"/>
    <w:rsid w:val="000C5F96"/>
    <w:rsid w:val="000C5FDB"/>
    <w:rsid w:val="000C764D"/>
    <w:rsid w:val="000D03B7"/>
    <w:rsid w:val="000D0443"/>
    <w:rsid w:val="000D07F4"/>
    <w:rsid w:val="000D2407"/>
    <w:rsid w:val="000D25D4"/>
    <w:rsid w:val="000D426E"/>
    <w:rsid w:val="000D60FF"/>
    <w:rsid w:val="000D6B59"/>
    <w:rsid w:val="000D7206"/>
    <w:rsid w:val="000D75A0"/>
    <w:rsid w:val="000D768A"/>
    <w:rsid w:val="000D7E48"/>
    <w:rsid w:val="000E0B51"/>
    <w:rsid w:val="000E1DFB"/>
    <w:rsid w:val="000E2179"/>
    <w:rsid w:val="000E247B"/>
    <w:rsid w:val="000E2D50"/>
    <w:rsid w:val="000E5A74"/>
    <w:rsid w:val="000E5CD1"/>
    <w:rsid w:val="000E63E8"/>
    <w:rsid w:val="000E7DAF"/>
    <w:rsid w:val="000E7F72"/>
    <w:rsid w:val="000F0BA9"/>
    <w:rsid w:val="000F0DAA"/>
    <w:rsid w:val="000F17EB"/>
    <w:rsid w:val="000F227C"/>
    <w:rsid w:val="000F2DAF"/>
    <w:rsid w:val="000F3BF6"/>
    <w:rsid w:val="000F3C1D"/>
    <w:rsid w:val="000F5A47"/>
    <w:rsid w:val="000F60FE"/>
    <w:rsid w:val="00100420"/>
    <w:rsid w:val="0010053A"/>
    <w:rsid w:val="00100800"/>
    <w:rsid w:val="00100C96"/>
    <w:rsid w:val="001016A6"/>
    <w:rsid w:val="001018FF"/>
    <w:rsid w:val="00101A71"/>
    <w:rsid w:val="00101D84"/>
    <w:rsid w:val="00102E10"/>
    <w:rsid w:val="0010321B"/>
    <w:rsid w:val="00103F8C"/>
    <w:rsid w:val="0010642D"/>
    <w:rsid w:val="00106F29"/>
    <w:rsid w:val="00110800"/>
    <w:rsid w:val="00110C13"/>
    <w:rsid w:val="00110D85"/>
    <w:rsid w:val="001123C1"/>
    <w:rsid w:val="00112434"/>
    <w:rsid w:val="00112AD4"/>
    <w:rsid w:val="00112FED"/>
    <w:rsid w:val="00113D47"/>
    <w:rsid w:val="00113FA8"/>
    <w:rsid w:val="0011431E"/>
    <w:rsid w:val="00117605"/>
    <w:rsid w:val="00117E3A"/>
    <w:rsid w:val="00120B9D"/>
    <w:rsid w:val="00120D6C"/>
    <w:rsid w:val="00120FA7"/>
    <w:rsid w:val="00121D16"/>
    <w:rsid w:val="001235D7"/>
    <w:rsid w:val="00124383"/>
    <w:rsid w:val="00124E85"/>
    <w:rsid w:val="00125017"/>
    <w:rsid w:val="00125393"/>
    <w:rsid w:val="0012540A"/>
    <w:rsid w:val="001255DD"/>
    <w:rsid w:val="001267ED"/>
    <w:rsid w:val="00130573"/>
    <w:rsid w:val="0013084A"/>
    <w:rsid w:val="001309BE"/>
    <w:rsid w:val="001309D5"/>
    <w:rsid w:val="0013198C"/>
    <w:rsid w:val="00132624"/>
    <w:rsid w:val="00136166"/>
    <w:rsid w:val="00136C55"/>
    <w:rsid w:val="001374C4"/>
    <w:rsid w:val="00137E21"/>
    <w:rsid w:val="00137E92"/>
    <w:rsid w:val="001408B0"/>
    <w:rsid w:val="001432A6"/>
    <w:rsid w:val="00144ACC"/>
    <w:rsid w:val="00145CB1"/>
    <w:rsid w:val="0014658B"/>
    <w:rsid w:val="00146AA7"/>
    <w:rsid w:val="00147507"/>
    <w:rsid w:val="001506B0"/>
    <w:rsid w:val="00150AE1"/>
    <w:rsid w:val="00150C8A"/>
    <w:rsid w:val="00151909"/>
    <w:rsid w:val="00151D5D"/>
    <w:rsid w:val="00152FBA"/>
    <w:rsid w:val="001530DA"/>
    <w:rsid w:val="00153BD4"/>
    <w:rsid w:val="001543A4"/>
    <w:rsid w:val="00154797"/>
    <w:rsid w:val="00154A53"/>
    <w:rsid w:val="001555B4"/>
    <w:rsid w:val="001556D5"/>
    <w:rsid w:val="00155D48"/>
    <w:rsid w:val="001570FB"/>
    <w:rsid w:val="00157572"/>
    <w:rsid w:val="001578F5"/>
    <w:rsid w:val="0015797E"/>
    <w:rsid w:val="00157E08"/>
    <w:rsid w:val="00160B35"/>
    <w:rsid w:val="00162FC7"/>
    <w:rsid w:val="00162FD1"/>
    <w:rsid w:val="0016307A"/>
    <w:rsid w:val="00163232"/>
    <w:rsid w:val="001638D6"/>
    <w:rsid w:val="0016399F"/>
    <w:rsid w:val="001655D4"/>
    <w:rsid w:val="00165CBF"/>
    <w:rsid w:val="00166E67"/>
    <w:rsid w:val="00167A73"/>
    <w:rsid w:val="00167C27"/>
    <w:rsid w:val="0017008D"/>
    <w:rsid w:val="001712FA"/>
    <w:rsid w:val="0017185E"/>
    <w:rsid w:val="00171B07"/>
    <w:rsid w:val="0017435D"/>
    <w:rsid w:val="00174823"/>
    <w:rsid w:val="001754D3"/>
    <w:rsid w:val="001755AE"/>
    <w:rsid w:val="001756F8"/>
    <w:rsid w:val="00176D03"/>
    <w:rsid w:val="001802CE"/>
    <w:rsid w:val="00180BF7"/>
    <w:rsid w:val="00182822"/>
    <w:rsid w:val="001843A6"/>
    <w:rsid w:val="0018449F"/>
    <w:rsid w:val="0018464F"/>
    <w:rsid w:val="00184D64"/>
    <w:rsid w:val="00185AE4"/>
    <w:rsid w:val="00185CFC"/>
    <w:rsid w:val="001909D7"/>
    <w:rsid w:val="00190F1C"/>
    <w:rsid w:val="001917A0"/>
    <w:rsid w:val="001948E6"/>
    <w:rsid w:val="00194B7A"/>
    <w:rsid w:val="00195931"/>
    <w:rsid w:val="00195A91"/>
    <w:rsid w:val="00195F18"/>
    <w:rsid w:val="001962A0"/>
    <w:rsid w:val="00197080"/>
    <w:rsid w:val="001972AF"/>
    <w:rsid w:val="001977BA"/>
    <w:rsid w:val="00197B33"/>
    <w:rsid w:val="00197F54"/>
    <w:rsid w:val="001A0301"/>
    <w:rsid w:val="001A1261"/>
    <w:rsid w:val="001A16C7"/>
    <w:rsid w:val="001A203F"/>
    <w:rsid w:val="001A21EF"/>
    <w:rsid w:val="001A2566"/>
    <w:rsid w:val="001A2C7C"/>
    <w:rsid w:val="001A30A3"/>
    <w:rsid w:val="001A35FF"/>
    <w:rsid w:val="001A3ED1"/>
    <w:rsid w:val="001A503A"/>
    <w:rsid w:val="001A50EC"/>
    <w:rsid w:val="001A5F60"/>
    <w:rsid w:val="001A6F80"/>
    <w:rsid w:val="001A7A3D"/>
    <w:rsid w:val="001A7F00"/>
    <w:rsid w:val="001B19A5"/>
    <w:rsid w:val="001B1E3E"/>
    <w:rsid w:val="001B1E73"/>
    <w:rsid w:val="001B2A22"/>
    <w:rsid w:val="001B2B36"/>
    <w:rsid w:val="001B392A"/>
    <w:rsid w:val="001B3DBE"/>
    <w:rsid w:val="001B4915"/>
    <w:rsid w:val="001B4F41"/>
    <w:rsid w:val="001B63C3"/>
    <w:rsid w:val="001B647D"/>
    <w:rsid w:val="001B6561"/>
    <w:rsid w:val="001B6987"/>
    <w:rsid w:val="001B7244"/>
    <w:rsid w:val="001B7DD6"/>
    <w:rsid w:val="001C0323"/>
    <w:rsid w:val="001C0A50"/>
    <w:rsid w:val="001C0A83"/>
    <w:rsid w:val="001C1365"/>
    <w:rsid w:val="001C13C8"/>
    <w:rsid w:val="001C3040"/>
    <w:rsid w:val="001C33D2"/>
    <w:rsid w:val="001C3C40"/>
    <w:rsid w:val="001C4044"/>
    <w:rsid w:val="001C6BBB"/>
    <w:rsid w:val="001C70D4"/>
    <w:rsid w:val="001D03EC"/>
    <w:rsid w:val="001D1031"/>
    <w:rsid w:val="001D1114"/>
    <w:rsid w:val="001D13D6"/>
    <w:rsid w:val="001D30C9"/>
    <w:rsid w:val="001D3C67"/>
    <w:rsid w:val="001D545E"/>
    <w:rsid w:val="001D6372"/>
    <w:rsid w:val="001D6F6A"/>
    <w:rsid w:val="001D7378"/>
    <w:rsid w:val="001D7FA6"/>
    <w:rsid w:val="001E00C9"/>
    <w:rsid w:val="001E028F"/>
    <w:rsid w:val="001E03CD"/>
    <w:rsid w:val="001E03F6"/>
    <w:rsid w:val="001E0FEF"/>
    <w:rsid w:val="001E119E"/>
    <w:rsid w:val="001E2262"/>
    <w:rsid w:val="001E28E4"/>
    <w:rsid w:val="001E3689"/>
    <w:rsid w:val="001E3699"/>
    <w:rsid w:val="001E3BAD"/>
    <w:rsid w:val="001E3D2C"/>
    <w:rsid w:val="001E3E60"/>
    <w:rsid w:val="001E4BBC"/>
    <w:rsid w:val="001E4DF6"/>
    <w:rsid w:val="001E531B"/>
    <w:rsid w:val="001E536E"/>
    <w:rsid w:val="001E5B7A"/>
    <w:rsid w:val="001E5F1E"/>
    <w:rsid w:val="001E6BBE"/>
    <w:rsid w:val="001E724D"/>
    <w:rsid w:val="001E7801"/>
    <w:rsid w:val="001E7C62"/>
    <w:rsid w:val="001F0930"/>
    <w:rsid w:val="001F100D"/>
    <w:rsid w:val="001F10F2"/>
    <w:rsid w:val="001F121A"/>
    <w:rsid w:val="001F2D34"/>
    <w:rsid w:val="001F2E49"/>
    <w:rsid w:val="001F3686"/>
    <w:rsid w:val="001F43D0"/>
    <w:rsid w:val="001F4D94"/>
    <w:rsid w:val="001F53CB"/>
    <w:rsid w:val="001F56C7"/>
    <w:rsid w:val="001F5E2C"/>
    <w:rsid w:val="001F741C"/>
    <w:rsid w:val="001F7DE7"/>
    <w:rsid w:val="001F7FEA"/>
    <w:rsid w:val="00200263"/>
    <w:rsid w:val="0020051B"/>
    <w:rsid w:val="0020057F"/>
    <w:rsid w:val="00200916"/>
    <w:rsid w:val="00201B14"/>
    <w:rsid w:val="002020FB"/>
    <w:rsid w:val="00202FB8"/>
    <w:rsid w:val="002030C1"/>
    <w:rsid w:val="00203449"/>
    <w:rsid w:val="0020377A"/>
    <w:rsid w:val="00203A6F"/>
    <w:rsid w:val="00203DF1"/>
    <w:rsid w:val="0020480E"/>
    <w:rsid w:val="00206713"/>
    <w:rsid w:val="00206B75"/>
    <w:rsid w:val="0020792C"/>
    <w:rsid w:val="00207A7D"/>
    <w:rsid w:val="00207E0E"/>
    <w:rsid w:val="002101F3"/>
    <w:rsid w:val="00210D2B"/>
    <w:rsid w:val="00211290"/>
    <w:rsid w:val="002112C3"/>
    <w:rsid w:val="002158F8"/>
    <w:rsid w:val="00215CF8"/>
    <w:rsid w:val="00217486"/>
    <w:rsid w:val="00220080"/>
    <w:rsid w:val="00221020"/>
    <w:rsid w:val="00221D63"/>
    <w:rsid w:val="0022250B"/>
    <w:rsid w:val="00222576"/>
    <w:rsid w:val="002233D3"/>
    <w:rsid w:val="00223EA8"/>
    <w:rsid w:val="002243E5"/>
    <w:rsid w:val="00225891"/>
    <w:rsid w:val="00225959"/>
    <w:rsid w:val="00225AF0"/>
    <w:rsid w:val="00225E5A"/>
    <w:rsid w:val="0022652F"/>
    <w:rsid w:val="002268AA"/>
    <w:rsid w:val="00226DF5"/>
    <w:rsid w:val="00226F49"/>
    <w:rsid w:val="00227E5D"/>
    <w:rsid w:val="00230186"/>
    <w:rsid w:val="002303E7"/>
    <w:rsid w:val="00230818"/>
    <w:rsid w:val="00230AA4"/>
    <w:rsid w:val="00232B7B"/>
    <w:rsid w:val="0023331D"/>
    <w:rsid w:val="00233DDD"/>
    <w:rsid w:val="00233EC0"/>
    <w:rsid w:val="00234885"/>
    <w:rsid w:val="00235191"/>
    <w:rsid w:val="002359F0"/>
    <w:rsid w:val="00235EFE"/>
    <w:rsid w:val="002407C5"/>
    <w:rsid w:val="00240CE0"/>
    <w:rsid w:val="00242814"/>
    <w:rsid w:val="00243276"/>
    <w:rsid w:val="002437B9"/>
    <w:rsid w:val="00243F96"/>
    <w:rsid w:val="0024409B"/>
    <w:rsid w:val="0024435C"/>
    <w:rsid w:val="0024562A"/>
    <w:rsid w:val="00245690"/>
    <w:rsid w:val="00245982"/>
    <w:rsid w:val="00245BF0"/>
    <w:rsid w:val="00245C2E"/>
    <w:rsid w:val="0024649C"/>
    <w:rsid w:val="0024659E"/>
    <w:rsid w:val="00246A00"/>
    <w:rsid w:val="00246A61"/>
    <w:rsid w:val="00246A76"/>
    <w:rsid w:val="00247C06"/>
    <w:rsid w:val="002504F4"/>
    <w:rsid w:val="00250B0E"/>
    <w:rsid w:val="00250EC3"/>
    <w:rsid w:val="002511A0"/>
    <w:rsid w:val="002517A0"/>
    <w:rsid w:val="00252124"/>
    <w:rsid w:val="0025295F"/>
    <w:rsid w:val="00252B72"/>
    <w:rsid w:val="002533AD"/>
    <w:rsid w:val="00253970"/>
    <w:rsid w:val="002544E0"/>
    <w:rsid w:val="00255820"/>
    <w:rsid w:val="00256A49"/>
    <w:rsid w:val="00256BB0"/>
    <w:rsid w:val="002579CC"/>
    <w:rsid w:val="00260255"/>
    <w:rsid w:val="00260BE6"/>
    <w:rsid w:val="00262918"/>
    <w:rsid w:val="002633C0"/>
    <w:rsid w:val="00263731"/>
    <w:rsid w:val="002668A4"/>
    <w:rsid w:val="00266A81"/>
    <w:rsid w:val="00267260"/>
    <w:rsid w:val="002709C7"/>
    <w:rsid w:val="00270AF3"/>
    <w:rsid w:val="0027169B"/>
    <w:rsid w:val="002722F0"/>
    <w:rsid w:val="00272650"/>
    <w:rsid w:val="00273334"/>
    <w:rsid w:val="00273712"/>
    <w:rsid w:val="00273C83"/>
    <w:rsid w:val="00274905"/>
    <w:rsid w:val="00274E61"/>
    <w:rsid w:val="00276037"/>
    <w:rsid w:val="00276DD8"/>
    <w:rsid w:val="0027774A"/>
    <w:rsid w:val="00277F32"/>
    <w:rsid w:val="00280718"/>
    <w:rsid w:val="00280CD6"/>
    <w:rsid w:val="0028103F"/>
    <w:rsid w:val="00281550"/>
    <w:rsid w:val="00281A34"/>
    <w:rsid w:val="00281C53"/>
    <w:rsid w:val="00282941"/>
    <w:rsid w:val="00282AAB"/>
    <w:rsid w:val="002833D3"/>
    <w:rsid w:val="00283989"/>
    <w:rsid w:val="00284A9A"/>
    <w:rsid w:val="002860C4"/>
    <w:rsid w:val="002863B1"/>
    <w:rsid w:val="00286B02"/>
    <w:rsid w:val="00286D39"/>
    <w:rsid w:val="00287098"/>
    <w:rsid w:val="00287942"/>
    <w:rsid w:val="0029002A"/>
    <w:rsid w:val="00291245"/>
    <w:rsid w:val="002912EB"/>
    <w:rsid w:val="0029240A"/>
    <w:rsid w:val="0029258D"/>
    <w:rsid w:val="0029269C"/>
    <w:rsid w:val="00292F42"/>
    <w:rsid w:val="002932AE"/>
    <w:rsid w:val="002933B2"/>
    <w:rsid w:val="00294D2F"/>
    <w:rsid w:val="00295357"/>
    <w:rsid w:val="00295AA8"/>
    <w:rsid w:val="00295DA7"/>
    <w:rsid w:val="002971E2"/>
    <w:rsid w:val="0029732C"/>
    <w:rsid w:val="002A0AF4"/>
    <w:rsid w:val="002A0B93"/>
    <w:rsid w:val="002A1873"/>
    <w:rsid w:val="002A1D7D"/>
    <w:rsid w:val="002A2945"/>
    <w:rsid w:val="002A402E"/>
    <w:rsid w:val="002A426B"/>
    <w:rsid w:val="002A439C"/>
    <w:rsid w:val="002A49A7"/>
    <w:rsid w:val="002A5941"/>
    <w:rsid w:val="002A5BE1"/>
    <w:rsid w:val="002A61AE"/>
    <w:rsid w:val="002A6426"/>
    <w:rsid w:val="002A67F3"/>
    <w:rsid w:val="002A6FEB"/>
    <w:rsid w:val="002B066E"/>
    <w:rsid w:val="002B2AAA"/>
    <w:rsid w:val="002B2FAC"/>
    <w:rsid w:val="002B3A5A"/>
    <w:rsid w:val="002B3DEB"/>
    <w:rsid w:val="002B4498"/>
    <w:rsid w:val="002B5617"/>
    <w:rsid w:val="002B59AC"/>
    <w:rsid w:val="002B685C"/>
    <w:rsid w:val="002B6BFD"/>
    <w:rsid w:val="002B6FCA"/>
    <w:rsid w:val="002B7269"/>
    <w:rsid w:val="002B7CC1"/>
    <w:rsid w:val="002B7EAE"/>
    <w:rsid w:val="002C0289"/>
    <w:rsid w:val="002C1956"/>
    <w:rsid w:val="002C1CAB"/>
    <w:rsid w:val="002C2127"/>
    <w:rsid w:val="002C22E1"/>
    <w:rsid w:val="002C3E57"/>
    <w:rsid w:val="002C3FFC"/>
    <w:rsid w:val="002C4810"/>
    <w:rsid w:val="002C4D0C"/>
    <w:rsid w:val="002C536A"/>
    <w:rsid w:val="002C59D1"/>
    <w:rsid w:val="002C6318"/>
    <w:rsid w:val="002C6E8D"/>
    <w:rsid w:val="002C74B5"/>
    <w:rsid w:val="002C7723"/>
    <w:rsid w:val="002C7866"/>
    <w:rsid w:val="002D0BE4"/>
    <w:rsid w:val="002D0C14"/>
    <w:rsid w:val="002D0C67"/>
    <w:rsid w:val="002D0D82"/>
    <w:rsid w:val="002D1B2E"/>
    <w:rsid w:val="002D1FC7"/>
    <w:rsid w:val="002D3A9F"/>
    <w:rsid w:val="002D4276"/>
    <w:rsid w:val="002D506B"/>
    <w:rsid w:val="002D5AEF"/>
    <w:rsid w:val="002D72A6"/>
    <w:rsid w:val="002E0680"/>
    <w:rsid w:val="002E0C78"/>
    <w:rsid w:val="002E171A"/>
    <w:rsid w:val="002E1887"/>
    <w:rsid w:val="002E2D4E"/>
    <w:rsid w:val="002E32C4"/>
    <w:rsid w:val="002E3BB4"/>
    <w:rsid w:val="002E5274"/>
    <w:rsid w:val="002E5BD3"/>
    <w:rsid w:val="002E5C24"/>
    <w:rsid w:val="002E5C48"/>
    <w:rsid w:val="002F0421"/>
    <w:rsid w:val="002F136D"/>
    <w:rsid w:val="002F1C80"/>
    <w:rsid w:val="002F1CBB"/>
    <w:rsid w:val="002F31D2"/>
    <w:rsid w:val="002F567C"/>
    <w:rsid w:val="002F5967"/>
    <w:rsid w:val="002F642C"/>
    <w:rsid w:val="002F79F3"/>
    <w:rsid w:val="002F7D07"/>
    <w:rsid w:val="002F7DA1"/>
    <w:rsid w:val="002F7F47"/>
    <w:rsid w:val="00301253"/>
    <w:rsid w:val="003013E0"/>
    <w:rsid w:val="00301974"/>
    <w:rsid w:val="0030225D"/>
    <w:rsid w:val="0030336C"/>
    <w:rsid w:val="00303731"/>
    <w:rsid w:val="00303E34"/>
    <w:rsid w:val="00305087"/>
    <w:rsid w:val="00305878"/>
    <w:rsid w:val="00305EA4"/>
    <w:rsid w:val="003060BE"/>
    <w:rsid w:val="00306327"/>
    <w:rsid w:val="003065AE"/>
    <w:rsid w:val="00307458"/>
    <w:rsid w:val="00307DCA"/>
    <w:rsid w:val="00311065"/>
    <w:rsid w:val="0031161B"/>
    <w:rsid w:val="00311698"/>
    <w:rsid w:val="00313426"/>
    <w:rsid w:val="0031368B"/>
    <w:rsid w:val="00313FBE"/>
    <w:rsid w:val="00314048"/>
    <w:rsid w:val="003151EB"/>
    <w:rsid w:val="00315C18"/>
    <w:rsid w:val="00315D65"/>
    <w:rsid w:val="00316774"/>
    <w:rsid w:val="0031724E"/>
    <w:rsid w:val="00320B88"/>
    <w:rsid w:val="00320CDB"/>
    <w:rsid w:val="00321322"/>
    <w:rsid w:val="00321883"/>
    <w:rsid w:val="00323EC0"/>
    <w:rsid w:val="00324609"/>
    <w:rsid w:val="0032592C"/>
    <w:rsid w:val="00325EA5"/>
    <w:rsid w:val="00331321"/>
    <w:rsid w:val="00331C50"/>
    <w:rsid w:val="00331C6F"/>
    <w:rsid w:val="00331DA7"/>
    <w:rsid w:val="00331E1B"/>
    <w:rsid w:val="0033287D"/>
    <w:rsid w:val="00332CC8"/>
    <w:rsid w:val="003333CB"/>
    <w:rsid w:val="00333424"/>
    <w:rsid w:val="00333A70"/>
    <w:rsid w:val="00333B26"/>
    <w:rsid w:val="00333D93"/>
    <w:rsid w:val="0033409E"/>
    <w:rsid w:val="00334738"/>
    <w:rsid w:val="00334A1F"/>
    <w:rsid w:val="00334A57"/>
    <w:rsid w:val="0033609C"/>
    <w:rsid w:val="00336307"/>
    <w:rsid w:val="003364A3"/>
    <w:rsid w:val="003365C4"/>
    <w:rsid w:val="00336B2D"/>
    <w:rsid w:val="00336C49"/>
    <w:rsid w:val="00336DDF"/>
    <w:rsid w:val="00337575"/>
    <w:rsid w:val="003376E0"/>
    <w:rsid w:val="0033773F"/>
    <w:rsid w:val="003379B0"/>
    <w:rsid w:val="00337A83"/>
    <w:rsid w:val="00340AAA"/>
    <w:rsid w:val="00341385"/>
    <w:rsid w:val="00342EA0"/>
    <w:rsid w:val="00342ED8"/>
    <w:rsid w:val="00344043"/>
    <w:rsid w:val="00344077"/>
    <w:rsid w:val="003444EA"/>
    <w:rsid w:val="00344AFB"/>
    <w:rsid w:val="003453CB"/>
    <w:rsid w:val="00346681"/>
    <w:rsid w:val="00347235"/>
    <w:rsid w:val="00347AA5"/>
    <w:rsid w:val="00347AAD"/>
    <w:rsid w:val="00347E26"/>
    <w:rsid w:val="0035005E"/>
    <w:rsid w:val="00350762"/>
    <w:rsid w:val="0035095E"/>
    <w:rsid w:val="00351CAA"/>
    <w:rsid w:val="003523F0"/>
    <w:rsid w:val="00352828"/>
    <w:rsid w:val="00352FD7"/>
    <w:rsid w:val="0035378F"/>
    <w:rsid w:val="00353987"/>
    <w:rsid w:val="003539F3"/>
    <w:rsid w:val="00353C9F"/>
    <w:rsid w:val="00354F4C"/>
    <w:rsid w:val="00354F55"/>
    <w:rsid w:val="0035546D"/>
    <w:rsid w:val="00355BF2"/>
    <w:rsid w:val="00356109"/>
    <w:rsid w:val="003564FC"/>
    <w:rsid w:val="0035671E"/>
    <w:rsid w:val="00356825"/>
    <w:rsid w:val="0035758D"/>
    <w:rsid w:val="0036022C"/>
    <w:rsid w:val="00360879"/>
    <w:rsid w:val="00360E44"/>
    <w:rsid w:val="00360E6B"/>
    <w:rsid w:val="00360FA1"/>
    <w:rsid w:val="003614D8"/>
    <w:rsid w:val="003615B0"/>
    <w:rsid w:val="003615BE"/>
    <w:rsid w:val="0036160E"/>
    <w:rsid w:val="00362BEA"/>
    <w:rsid w:val="0036346C"/>
    <w:rsid w:val="00364792"/>
    <w:rsid w:val="00366C1C"/>
    <w:rsid w:val="00367362"/>
    <w:rsid w:val="003701F4"/>
    <w:rsid w:val="0037069F"/>
    <w:rsid w:val="00372D21"/>
    <w:rsid w:val="00372F05"/>
    <w:rsid w:val="00373454"/>
    <w:rsid w:val="00373DC8"/>
    <w:rsid w:val="0038083D"/>
    <w:rsid w:val="0038084A"/>
    <w:rsid w:val="003818B5"/>
    <w:rsid w:val="00382E8B"/>
    <w:rsid w:val="003832D4"/>
    <w:rsid w:val="003843F5"/>
    <w:rsid w:val="00385283"/>
    <w:rsid w:val="00385724"/>
    <w:rsid w:val="00385F5F"/>
    <w:rsid w:val="00385FF7"/>
    <w:rsid w:val="00386C02"/>
    <w:rsid w:val="00386D03"/>
    <w:rsid w:val="00386F50"/>
    <w:rsid w:val="00386FE9"/>
    <w:rsid w:val="00387FF3"/>
    <w:rsid w:val="00390B10"/>
    <w:rsid w:val="00390ECE"/>
    <w:rsid w:val="0039139A"/>
    <w:rsid w:val="00391884"/>
    <w:rsid w:val="00392336"/>
    <w:rsid w:val="003939C8"/>
    <w:rsid w:val="0039492D"/>
    <w:rsid w:val="0039620A"/>
    <w:rsid w:val="003962A0"/>
    <w:rsid w:val="00396348"/>
    <w:rsid w:val="003966B5"/>
    <w:rsid w:val="0039762C"/>
    <w:rsid w:val="003A001D"/>
    <w:rsid w:val="003A0CDB"/>
    <w:rsid w:val="003A0D17"/>
    <w:rsid w:val="003A1735"/>
    <w:rsid w:val="003A3B17"/>
    <w:rsid w:val="003A3C15"/>
    <w:rsid w:val="003A3E4F"/>
    <w:rsid w:val="003A4CCE"/>
    <w:rsid w:val="003A4EE4"/>
    <w:rsid w:val="003A5623"/>
    <w:rsid w:val="003A6BDE"/>
    <w:rsid w:val="003A70D7"/>
    <w:rsid w:val="003A748E"/>
    <w:rsid w:val="003A7BED"/>
    <w:rsid w:val="003B0392"/>
    <w:rsid w:val="003B09DC"/>
    <w:rsid w:val="003B0AAA"/>
    <w:rsid w:val="003B1A55"/>
    <w:rsid w:val="003B1EB4"/>
    <w:rsid w:val="003B2232"/>
    <w:rsid w:val="003B54D3"/>
    <w:rsid w:val="003B5EC2"/>
    <w:rsid w:val="003B6DA1"/>
    <w:rsid w:val="003C02B2"/>
    <w:rsid w:val="003C038F"/>
    <w:rsid w:val="003C07F3"/>
    <w:rsid w:val="003C08AF"/>
    <w:rsid w:val="003C1594"/>
    <w:rsid w:val="003C1C5F"/>
    <w:rsid w:val="003C383C"/>
    <w:rsid w:val="003C3870"/>
    <w:rsid w:val="003C394C"/>
    <w:rsid w:val="003C6997"/>
    <w:rsid w:val="003C6CB7"/>
    <w:rsid w:val="003C7EB1"/>
    <w:rsid w:val="003D0652"/>
    <w:rsid w:val="003D0FB4"/>
    <w:rsid w:val="003D1A63"/>
    <w:rsid w:val="003D1F68"/>
    <w:rsid w:val="003D25ED"/>
    <w:rsid w:val="003D2EF4"/>
    <w:rsid w:val="003D4776"/>
    <w:rsid w:val="003D4B9D"/>
    <w:rsid w:val="003D4E12"/>
    <w:rsid w:val="003D6309"/>
    <w:rsid w:val="003D6B22"/>
    <w:rsid w:val="003D6DA7"/>
    <w:rsid w:val="003D718D"/>
    <w:rsid w:val="003E189B"/>
    <w:rsid w:val="003E1AD3"/>
    <w:rsid w:val="003E2352"/>
    <w:rsid w:val="003E2C71"/>
    <w:rsid w:val="003E2CF6"/>
    <w:rsid w:val="003E39DC"/>
    <w:rsid w:val="003E3FC9"/>
    <w:rsid w:val="003E5F47"/>
    <w:rsid w:val="003E7479"/>
    <w:rsid w:val="003E771B"/>
    <w:rsid w:val="003F086D"/>
    <w:rsid w:val="003F0EBD"/>
    <w:rsid w:val="003F10E9"/>
    <w:rsid w:val="003F12C7"/>
    <w:rsid w:val="003F224B"/>
    <w:rsid w:val="003F273C"/>
    <w:rsid w:val="003F3191"/>
    <w:rsid w:val="003F3E6F"/>
    <w:rsid w:val="003F4D93"/>
    <w:rsid w:val="003F55D2"/>
    <w:rsid w:val="003F6A8D"/>
    <w:rsid w:val="003F6AB5"/>
    <w:rsid w:val="003F6E9A"/>
    <w:rsid w:val="003F75CA"/>
    <w:rsid w:val="003F7D0C"/>
    <w:rsid w:val="00401497"/>
    <w:rsid w:val="0040228E"/>
    <w:rsid w:val="00403B1F"/>
    <w:rsid w:val="004046EF"/>
    <w:rsid w:val="0040494C"/>
    <w:rsid w:val="00405D77"/>
    <w:rsid w:val="00405EF3"/>
    <w:rsid w:val="00406C6D"/>
    <w:rsid w:val="00410BE2"/>
    <w:rsid w:val="004113A2"/>
    <w:rsid w:val="00411665"/>
    <w:rsid w:val="00412523"/>
    <w:rsid w:val="00412F54"/>
    <w:rsid w:val="004135D6"/>
    <w:rsid w:val="00413F81"/>
    <w:rsid w:val="004144AB"/>
    <w:rsid w:val="004147A0"/>
    <w:rsid w:val="00414F7A"/>
    <w:rsid w:val="004150A9"/>
    <w:rsid w:val="00415173"/>
    <w:rsid w:val="00415C04"/>
    <w:rsid w:val="00416432"/>
    <w:rsid w:val="00416B36"/>
    <w:rsid w:val="00420C2A"/>
    <w:rsid w:val="0042107E"/>
    <w:rsid w:val="004232C4"/>
    <w:rsid w:val="00423A29"/>
    <w:rsid w:val="00425A09"/>
    <w:rsid w:val="0042633E"/>
    <w:rsid w:val="00426A0E"/>
    <w:rsid w:val="00427EA5"/>
    <w:rsid w:val="00430038"/>
    <w:rsid w:val="004300C4"/>
    <w:rsid w:val="0043017F"/>
    <w:rsid w:val="00431BA5"/>
    <w:rsid w:val="004330E0"/>
    <w:rsid w:val="00434C1C"/>
    <w:rsid w:val="0043548E"/>
    <w:rsid w:val="0043614B"/>
    <w:rsid w:val="004377A8"/>
    <w:rsid w:val="0043788B"/>
    <w:rsid w:val="004415A1"/>
    <w:rsid w:val="004418A2"/>
    <w:rsid w:val="00441D2E"/>
    <w:rsid w:val="004424AF"/>
    <w:rsid w:val="0044286B"/>
    <w:rsid w:val="004428F8"/>
    <w:rsid w:val="00443DFB"/>
    <w:rsid w:val="004448B6"/>
    <w:rsid w:val="00444A0D"/>
    <w:rsid w:val="004458F7"/>
    <w:rsid w:val="0044594C"/>
    <w:rsid w:val="00447659"/>
    <w:rsid w:val="00447968"/>
    <w:rsid w:val="0045069E"/>
    <w:rsid w:val="00450A7A"/>
    <w:rsid w:val="00450D60"/>
    <w:rsid w:val="00450F8C"/>
    <w:rsid w:val="00451ECD"/>
    <w:rsid w:val="004528A3"/>
    <w:rsid w:val="00454150"/>
    <w:rsid w:val="00454672"/>
    <w:rsid w:val="004555EB"/>
    <w:rsid w:val="00455971"/>
    <w:rsid w:val="004561A2"/>
    <w:rsid w:val="00456606"/>
    <w:rsid w:val="00456A5B"/>
    <w:rsid w:val="00456A74"/>
    <w:rsid w:val="00456DF9"/>
    <w:rsid w:val="00460291"/>
    <w:rsid w:val="00460EE5"/>
    <w:rsid w:val="00461366"/>
    <w:rsid w:val="00463156"/>
    <w:rsid w:val="00463BF7"/>
    <w:rsid w:val="00464232"/>
    <w:rsid w:val="00464DBD"/>
    <w:rsid w:val="0046531B"/>
    <w:rsid w:val="00467A85"/>
    <w:rsid w:val="00470100"/>
    <w:rsid w:val="00470536"/>
    <w:rsid w:val="00470795"/>
    <w:rsid w:val="004707C1"/>
    <w:rsid w:val="00470A1F"/>
    <w:rsid w:val="00470A4E"/>
    <w:rsid w:val="00471133"/>
    <w:rsid w:val="00471CAA"/>
    <w:rsid w:val="00472696"/>
    <w:rsid w:val="00475E79"/>
    <w:rsid w:val="004767E0"/>
    <w:rsid w:val="0047720D"/>
    <w:rsid w:val="00477B41"/>
    <w:rsid w:val="00480268"/>
    <w:rsid w:val="00480318"/>
    <w:rsid w:val="00480B03"/>
    <w:rsid w:val="00481970"/>
    <w:rsid w:val="0048387C"/>
    <w:rsid w:val="004848DC"/>
    <w:rsid w:val="0048685B"/>
    <w:rsid w:val="00486E4F"/>
    <w:rsid w:val="004879E3"/>
    <w:rsid w:val="00487EDA"/>
    <w:rsid w:val="00490AFE"/>
    <w:rsid w:val="00491891"/>
    <w:rsid w:val="00492645"/>
    <w:rsid w:val="00494476"/>
    <w:rsid w:val="00494CB9"/>
    <w:rsid w:val="00494E53"/>
    <w:rsid w:val="00495A28"/>
    <w:rsid w:val="00495FCA"/>
    <w:rsid w:val="00496146"/>
    <w:rsid w:val="00496BEF"/>
    <w:rsid w:val="00496C71"/>
    <w:rsid w:val="00496CEC"/>
    <w:rsid w:val="00496DC4"/>
    <w:rsid w:val="00496E45"/>
    <w:rsid w:val="00497967"/>
    <w:rsid w:val="004A3E54"/>
    <w:rsid w:val="004A3F57"/>
    <w:rsid w:val="004A537A"/>
    <w:rsid w:val="004A578A"/>
    <w:rsid w:val="004A59E1"/>
    <w:rsid w:val="004A59E5"/>
    <w:rsid w:val="004A5B5E"/>
    <w:rsid w:val="004A6AA3"/>
    <w:rsid w:val="004A6B07"/>
    <w:rsid w:val="004A6ED6"/>
    <w:rsid w:val="004A70F7"/>
    <w:rsid w:val="004A7CD4"/>
    <w:rsid w:val="004B0F25"/>
    <w:rsid w:val="004B13C2"/>
    <w:rsid w:val="004B1689"/>
    <w:rsid w:val="004B3417"/>
    <w:rsid w:val="004B4492"/>
    <w:rsid w:val="004B460F"/>
    <w:rsid w:val="004B4654"/>
    <w:rsid w:val="004B4742"/>
    <w:rsid w:val="004B477E"/>
    <w:rsid w:val="004B585B"/>
    <w:rsid w:val="004B6185"/>
    <w:rsid w:val="004B7503"/>
    <w:rsid w:val="004C018B"/>
    <w:rsid w:val="004C03C5"/>
    <w:rsid w:val="004C20F6"/>
    <w:rsid w:val="004C28E0"/>
    <w:rsid w:val="004C2B59"/>
    <w:rsid w:val="004C2DCF"/>
    <w:rsid w:val="004C36B0"/>
    <w:rsid w:val="004C3854"/>
    <w:rsid w:val="004C4260"/>
    <w:rsid w:val="004C439E"/>
    <w:rsid w:val="004C44DA"/>
    <w:rsid w:val="004C5C94"/>
    <w:rsid w:val="004C66AD"/>
    <w:rsid w:val="004C79A0"/>
    <w:rsid w:val="004C7DF1"/>
    <w:rsid w:val="004D118A"/>
    <w:rsid w:val="004D15EE"/>
    <w:rsid w:val="004D1CF7"/>
    <w:rsid w:val="004D23FA"/>
    <w:rsid w:val="004D2E69"/>
    <w:rsid w:val="004D3DC5"/>
    <w:rsid w:val="004D42F7"/>
    <w:rsid w:val="004D45E7"/>
    <w:rsid w:val="004D5904"/>
    <w:rsid w:val="004D5970"/>
    <w:rsid w:val="004E0747"/>
    <w:rsid w:val="004E0E05"/>
    <w:rsid w:val="004E105B"/>
    <w:rsid w:val="004E141D"/>
    <w:rsid w:val="004E1E7C"/>
    <w:rsid w:val="004E281F"/>
    <w:rsid w:val="004E2D04"/>
    <w:rsid w:val="004E2E7B"/>
    <w:rsid w:val="004E34A2"/>
    <w:rsid w:val="004E36A3"/>
    <w:rsid w:val="004E46B6"/>
    <w:rsid w:val="004E5E29"/>
    <w:rsid w:val="004E6A3C"/>
    <w:rsid w:val="004E6A6D"/>
    <w:rsid w:val="004E6CF8"/>
    <w:rsid w:val="004E77E6"/>
    <w:rsid w:val="004F03A7"/>
    <w:rsid w:val="004F0776"/>
    <w:rsid w:val="004F0E0E"/>
    <w:rsid w:val="004F1075"/>
    <w:rsid w:val="004F145F"/>
    <w:rsid w:val="004F1E85"/>
    <w:rsid w:val="004F1EA5"/>
    <w:rsid w:val="004F2327"/>
    <w:rsid w:val="004F307A"/>
    <w:rsid w:val="004F3F8D"/>
    <w:rsid w:val="004F49AB"/>
    <w:rsid w:val="004F4A49"/>
    <w:rsid w:val="004F6140"/>
    <w:rsid w:val="004F6185"/>
    <w:rsid w:val="005026ED"/>
    <w:rsid w:val="00502717"/>
    <w:rsid w:val="00505128"/>
    <w:rsid w:val="00505373"/>
    <w:rsid w:val="00505463"/>
    <w:rsid w:val="00505E41"/>
    <w:rsid w:val="00506781"/>
    <w:rsid w:val="00507ECF"/>
    <w:rsid w:val="005108B0"/>
    <w:rsid w:val="00510FAE"/>
    <w:rsid w:val="00511763"/>
    <w:rsid w:val="00512DEF"/>
    <w:rsid w:val="00514677"/>
    <w:rsid w:val="00514E6E"/>
    <w:rsid w:val="005151B0"/>
    <w:rsid w:val="00516B15"/>
    <w:rsid w:val="00516F87"/>
    <w:rsid w:val="00517D10"/>
    <w:rsid w:val="0052095D"/>
    <w:rsid w:val="00521717"/>
    <w:rsid w:val="00523A4A"/>
    <w:rsid w:val="00523C40"/>
    <w:rsid w:val="00523F74"/>
    <w:rsid w:val="00523FC1"/>
    <w:rsid w:val="005241CA"/>
    <w:rsid w:val="00524783"/>
    <w:rsid w:val="00527217"/>
    <w:rsid w:val="005272AF"/>
    <w:rsid w:val="00527C32"/>
    <w:rsid w:val="005318AA"/>
    <w:rsid w:val="0053465F"/>
    <w:rsid w:val="00535089"/>
    <w:rsid w:val="0053534C"/>
    <w:rsid w:val="00535B86"/>
    <w:rsid w:val="00536091"/>
    <w:rsid w:val="005364DA"/>
    <w:rsid w:val="0053666B"/>
    <w:rsid w:val="0053673D"/>
    <w:rsid w:val="005369D5"/>
    <w:rsid w:val="005373E3"/>
    <w:rsid w:val="00537710"/>
    <w:rsid w:val="00540184"/>
    <w:rsid w:val="005403AB"/>
    <w:rsid w:val="0054087C"/>
    <w:rsid w:val="00540FFF"/>
    <w:rsid w:val="005415B4"/>
    <w:rsid w:val="005417B3"/>
    <w:rsid w:val="00541825"/>
    <w:rsid w:val="005418F3"/>
    <w:rsid w:val="00541A27"/>
    <w:rsid w:val="00542065"/>
    <w:rsid w:val="00542250"/>
    <w:rsid w:val="0054498A"/>
    <w:rsid w:val="00544BA4"/>
    <w:rsid w:val="0054515A"/>
    <w:rsid w:val="005455EC"/>
    <w:rsid w:val="00545672"/>
    <w:rsid w:val="00545897"/>
    <w:rsid w:val="00545E9F"/>
    <w:rsid w:val="005477F4"/>
    <w:rsid w:val="00550783"/>
    <w:rsid w:val="00552977"/>
    <w:rsid w:val="00552CDE"/>
    <w:rsid w:val="0055398A"/>
    <w:rsid w:val="005539E2"/>
    <w:rsid w:val="005540E7"/>
    <w:rsid w:val="005542F6"/>
    <w:rsid w:val="00554689"/>
    <w:rsid w:val="00554793"/>
    <w:rsid w:val="00554DB9"/>
    <w:rsid w:val="005557D7"/>
    <w:rsid w:val="005575FE"/>
    <w:rsid w:val="005604DD"/>
    <w:rsid w:val="00560D36"/>
    <w:rsid w:val="005617C7"/>
    <w:rsid w:val="0056230B"/>
    <w:rsid w:val="00563596"/>
    <w:rsid w:val="005640FC"/>
    <w:rsid w:val="0056546E"/>
    <w:rsid w:val="005668C5"/>
    <w:rsid w:val="00566BE4"/>
    <w:rsid w:val="00567420"/>
    <w:rsid w:val="005675BB"/>
    <w:rsid w:val="00567949"/>
    <w:rsid w:val="0056795C"/>
    <w:rsid w:val="00567A41"/>
    <w:rsid w:val="005703D0"/>
    <w:rsid w:val="005706C0"/>
    <w:rsid w:val="00570A1F"/>
    <w:rsid w:val="00570E16"/>
    <w:rsid w:val="005712F4"/>
    <w:rsid w:val="005713ED"/>
    <w:rsid w:val="00573EBF"/>
    <w:rsid w:val="00574A7D"/>
    <w:rsid w:val="00574EEB"/>
    <w:rsid w:val="00575D6A"/>
    <w:rsid w:val="00576068"/>
    <w:rsid w:val="00576636"/>
    <w:rsid w:val="00576BD0"/>
    <w:rsid w:val="0057758E"/>
    <w:rsid w:val="005810A0"/>
    <w:rsid w:val="00581377"/>
    <w:rsid w:val="005814C3"/>
    <w:rsid w:val="005818EC"/>
    <w:rsid w:val="0058226F"/>
    <w:rsid w:val="00584E9F"/>
    <w:rsid w:val="005857EB"/>
    <w:rsid w:val="005858CC"/>
    <w:rsid w:val="0058648D"/>
    <w:rsid w:val="00586F46"/>
    <w:rsid w:val="00587373"/>
    <w:rsid w:val="005903BC"/>
    <w:rsid w:val="00590BF9"/>
    <w:rsid w:val="00590FED"/>
    <w:rsid w:val="0059249F"/>
    <w:rsid w:val="00592C7A"/>
    <w:rsid w:val="005941E3"/>
    <w:rsid w:val="00595354"/>
    <w:rsid w:val="00595E0F"/>
    <w:rsid w:val="00596EA4"/>
    <w:rsid w:val="00596FE5"/>
    <w:rsid w:val="00597F1A"/>
    <w:rsid w:val="005A1AC7"/>
    <w:rsid w:val="005A29E6"/>
    <w:rsid w:val="005A352A"/>
    <w:rsid w:val="005A3B11"/>
    <w:rsid w:val="005A4355"/>
    <w:rsid w:val="005A4F6F"/>
    <w:rsid w:val="005A6823"/>
    <w:rsid w:val="005A75B1"/>
    <w:rsid w:val="005A7D61"/>
    <w:rsid w:val="005B00AE"/>
    <w:rsid w:val="005B2300"/>
    <w:rsid w:val="005B3111"/>
    <w:rsid w:val="005B390E"/>
    <w:rsid w:val="005B3C7F"/>
    <w:rsid w:val="005B4133"/>
    <w:rsid w:val="005B4647"/>
    <w:rsid w:val="005B49F8"/>
    <w:rsid w:val="005B50D3"/>
    <w:rsid w:val="005B51C9"/>
    <w:rsid w:val="005B5AE9"/>
    <w:rsid w:val="005B5E60"/>
    <w:rsid w:val="005B6626"/>
    <w:rsid w:val="005B7412"/>
    <w:rsid w:val="005B75D3"/>
    <w:rsid w:val="005B7DEF"/>
    <w:rsid w:val="005C1F8A"/>
    <w:rsid w:val="005C22B9"/>
    <w:rsid w:val="005C33E4"/>
    <w:rsid w:val="005C4A1E"/>
    <w:rsid w:val="005C62A0"/>
    <w:rsid w:val="005C6718"/>
    <w:rsid w:val="005C7DB8"/>
    <w:rsid w:val="005D0D91"/>
    <w:rsid w:val="005D264C"/>
    <w:rsid w:val="005D2C8B"/>
    <w:rsid w:val="005D36B5"/>
    <w:rsid w:val="005D5308"/>
    <w:rsid w:val="005D62B1"/>
    <w:rsid w:val="005D631C"/>
    <w:rsid w:val="005D6B46"/>
    <w:rsid w:val="005D737B"/>
    <w:rsid w:val="005D76C5"/>
    <w:rsid w:val="005D7C5C"/>
    <w:rsid w:val="005E13BE"/>
    <w:rsid w:val="005E1F42"/>
    <w:rsid w:val="005E1F50"/>
    <w:rsid w:val="005E1F82"/>
    <w:rsid w:val="005E30EE"/>
    <w:rsid w:val="005E3EED"/>
    <w:rsid w:val="005E3FE5"/>
    <w:rsid w:val="005E41DD"/>
    <w:rsid w:val="005E4331"/>
    <w:rsid w:val="005E4A11"/>
    <w:rsid w:val="005E56EF"/>
    <w:rsid w:val="005E5773"/>
    <w:rsid w:val="005E68D0"/>
    <w:rsid w:val="005E7ADC"/>
    <w:rsid w:val="005F0606"/>
    <w:rsid w:val="005F1FA1"/>
    <w:rsid w:val="005F2352"/>
    <w:rsid w:val="005F246F"/>
    <w:rsid w:val="005F24AF"/>
    <w:rsid w:val="005F3167"/>
    <w:rsid w:val="005F3177"/>
    <w:rsid w:val="005F340A"/>
    <w:rsid w:val="005F3832"/>
    <w:rsid w:val="005F3869"/>
    <w:rsid w:val="005F3DEA"/>
    <w:rsid w:val="005F3DF9"/>
    <w:rsid w:val="005F42D2"/>
    <w:rsid w:val="005F457C"/>
    <w:rsid w:val="005F491B"/>
    <w:rsid w:val="005F4BA1"/>
    <w:rsid w:val="005F4D5B"/>
    <w:rsid w:val="005F50D6"/>
    <w:rsid w:val="005F52AB"/>
    <w:rsid w:val="005F5AC5"/>
    <w:rsid w:val="005F673F"/>
    <w:rsid w:val="005F6C59"/>
    <w:rsid w:val="005F6FD9"/>
    <w:rsid w:val="005F70B8"/>
    <w:rsid w:val="005F7C0F"/>
    <w:rsid w:val="00600B5F"/>
    <w:rsid w:val="006013E7"/>
    <w:rsid w:val="00601495"/>
    <w:rsid w:val="006028A1"/>
    <w:rsid w:val="00603797"/>
    <w:rsid w:val="00603B28"/>
    <w:rsid w:val="00606373"/>
    <w:rsid w:val="006063EB"/>
    <w:rsid w:val="00606540"/>
    <w:rsid w:val="006066B3"/>
    <w:rsid w:val="0060678E"/>
    <w:rsid w:val="0060725B"/>
    <w:rsid w:val="0060746D"/>
    <w:rsid w:val="00607B4B"/>
    <w:rsid w:val="0061058C"/>
    <w:rsid w:val="0061077C"/>
    <w:rsid w:val="00610EDE"/>
    <w:rsid w:val="00612574"/>
    <w:rsid w:val="00612829"/>
    <w:rsid w:val="00612E09"/>
    <w:rsid w:val="00613725"/>
    <w:rsid w:val="00613901"/>
    <w:rsid w:val="0061479A"/>
    <w:rsid w:val="00615035"/>
    <w:rsid w:val="006155A0"/>
    <w:rsid w:val="00615F4D"/>
    <w:rsid w:val="006166AF"/>
    <w:rsid w:val="00617332"/>
    <w:rsid w:val="00617549"/>
    <w:rsid w:val="00617EA0"/>
    <w:rsid w:val="0062013B"/>
    <w:rsid w:val="006205DF"/>
    <w:rsid w:val="00620CDC"/>
    <w:rsid w:val="00622DA7"/>
    <w:rsid w:val="006240CD"/>
    <w:rsid w:val="00624404"/>
    <w:rsid w:val="006246E3"/>
    <w:rsid w:val="006246FF"/>
    <w:rsid w:val="00624B5E"/>
    <w:rsid w:val="006262FC"/>
    <w:rsid w:val="00630A7A"/>
    <w:rsid w:val="00630DD8"/>
    <w:rsid w:val="006324DA"/>
    <w:rsid w:val="00633BB2"/>
    <w:rsid w:val="00634BE7"/>
    <w:rsid w:val="00634D5E"/>
    <w:rsid w:val="0063662A"/>
    <w:rsid w:val="00636DCA"/>
    <w:rsid w:val="006378B7"/>
    <w:rsid w:val="00637C82"/>
    <w:rsid w:val="00637CA0"/>
    <w:rsid w:val="00640449"/>
    <w:rsid w:val="006407F2"/>
    <w:rsid w:val="00640E22"/>
    <w:rsid w:val="00640FC7"/>
    <w:rsid w:val="00641953"/>
    <w:rsid w:val="00641AB1"/>
    <w:rsid w:val="006421FE"/>
    <w:rsid w:val="00643DE2"/>
    <w:rsid w:val="0064453E"/>
    <w:rsid w:val="0064494A"/>
    <w:rsid w:val="00646617"/>
    <w:rsid w:val="006473AF"/>
    <w:rsid w:val="006522E2"/>
    <w:rsid w:val="006523F6"/>
    <w:rsid w:val="00653E54"/>
    <w:rsid w:val="006549D0"/>
    <w:rsid w:val="00654FFD"/>
    <w:rsid w:val="006551E2"/>
    <w:rsid w:val="00656239"/>
    <w:rsid w:val="00656411"/>
    <w:rsid w:val="00656530"/>
    <w:rsid w:val="00657AED"/>
    <w:rsid w:val="006601CD"/>
    <w:rsid w:val="0066090D"/>
    <w:rsid w:val="0066129A"/>
    <w:rsid w:val="00661C9C"/>
    <w:rsid w:val="006625BF"/>
    <w:rsid w:val="0066381F"/>
    <w:rsid w:val="00664372"/>
    <w:rsid w:val="0066558A"/>
    <w:rsid w:val="006662DC"/>
    <w:rsid w:val="006669B7"/>
    <w:rsid w:val="006670DD"/>
    <w:rsid w:val="00667B84"/>
    <w:rsid w:val="00671FDC"/>
    <w:rsid w:val="006734A0"/>
    <w:rsid w:val="006744F8"/>
    <w:rsid w:val="006753F0"/>
    <w:rsid w:val="006764B7"/>
    <w:rsid w:val="00676D21"/>
    <w:rsid w:val="00677943"/>
    <w:rsid w:val="00677B6B"/>
    <w:rsid w:val="00680235"/>
    <w:rsid w:val="006804DA"/>
    <w:rsid w:val="00680902"/>
    <w:rsid w:val="006810C2"/>
    <w:rsid w:val="00681A54"/>
    <w:rsid w:val="00681AD5"/>
    <w:rsid w:val="006827FF"/>
    <w:rsid w:val="0068293E"/>
    <w:rsid w:val="00685709"/>
    <w:rsid w:val="00685723"/>
    <w:rsid w:val="00686FBD"/>
    <w:rsid w:val="00687393"/>
    <w:rsid w:val="00687C2A"/>
    <w:rsid w:val="00691FCF"/>
    <w:rsid w:val="00692925"/>
    <w:rsid w:val="00692E80"/>
    <w:rsid w:val="00693E05"/>
    <w:rsid w:val="0069420A"/>
    <w:rsid w:val="00694355"/>
    <w:rsid w:val="0069556E"/>
    <w:rsid w:val="00695C62"/>
    <w:rsid w:val="00695F40"/>
    <w:rsid w:val="00697EAF"/>
    <w:rsid w:val="006A112F"/>
    <w:rsid w:val="006A173D"/>
    <w:rsid w:val="006A2457"/>
    <w:rsid w:val="006A3DBA"/>
    <w:rsid w:val="006A3F57"/>
    <w:rsid w:val="006A443B"/>
    <w:rsid w:val="006A4802"/>
    <w:rsid w:val="006A4851"/>
    <w:rsid w:val="006A4AE8"/>
    <w:rsid w:val="006A5E80"/>
    <w:rsid w:val="006A66A4"/>
    <w:rsid w:val="006A6948"/>
    <w:rsid w:val="006A6CDD"/>
    <w:rsid w:val="006A6F53"/>
    <w:rsid w:val="006B06FC"/>
    <w:rsid w:val="006B20CE"/>
    <w:rsid w:val="006B2E03"/>
    <w:rsid w:val="006B3FAF"/>
    <w:rsid w:val="006B4008"/>
    <w:rsid w:val="006B4027"/>
    <w:rsid w:val="006B4F90"/>
    <w:rsid w:val="006B53D8"/>
    <w:rsid w:val="006B5CD6"/>
    <w:rsid w:val="006B6D5F"/>
    <w:rsid w:val="006B6D95"/>
    <w:rsid w:val="006B7A87"/>
    <w:rsid w:val="006C0E5F"/>
    <w:rsid w:val="006C14AF"/>
    <w:rsid w:val="006C1803"/>
    <w:rsid w:val="006C1FCF"/>
    <w:rsid w:val="006C2035"/>
    <w:rsid w:val="006C20B6"/>
    <w:rsid w:val="006C2ED7"/>
    <w:rsid w:val="006C38E5"/>
    <w:rsid w:val="006C39B8"/>
    <w:rsid w:val="006C3B9C"/>
    <w:rsid w:val="006C431D"/>
    <w:rsid w:val="006C5171"/>
    <w:rsid w:val="006C58D3"/>
    <w:rsid w:val="006C7549"/>
    <w:rsid w:val="006C7FDC"/>
    <w:rsid w:val="006D138A"/>
    <w:rsid w:val="006D1E57"/>
    <w:rsid w:val="006D200F"/>
    <w:rsid w:val="006D31D1"/>
    <w:rsid w:val="006D4285"/>
    <w:rsid w:val="006D54FE"/>
    <w:rsid w:val="006D7CC2"/>
    <w:rsid w:val="006E00C5"/>
    <w:rsid w:val="006E1056"/>
    <w:rsid w:val="006E1960"/>
    <w:rsid w:val="006E1DD2"/>
    <w:rsid w:val="006E1FE3"/>
    <w:rsid w:val="006E2335"/>
    <w:rsid w:val="006E4727"/>
    <w:rsid w:val="006E53B6"/>
    <w:rsid w:val="006E5724"/>
    <w:rsid w:val="006E5E2B"/>
    <w:rsid w:val="006E78B4"/>
    <w:rsid w:val="006E7FE2"/>
    <w:rsid w:val="006F043B"/>
    <w:rsid w:val="006F135C"/>
    <w:rsid w:val="006F25AB"/>
    <w:rsid w:val="006F2EA2"/>
    <w:rsid w:val="006F313C"/>
    <w:rsid w:val="006F4E6D"/>
    <w:rsid w:val="006F64D1"/>
    <w:rsid w:val="006F72C6"/>
    <w:rsid w:val="006F7F17"/>
    <w:rsid w:val="00701207"/>
    <w:rsid w:val="00701CC2"/>
    <w:rsid w:val="0070244E"/>
    <w:rsid w:val="007026D4"/>
    <w:rsid w:val="00702822"/>
    <w:rsid w:val="00704173"/>
    <w:rsid w:val="007051DA"/>
    <w:rsid w:val="007054C8"/>
    <w:rsid w:val="007073EF"/>
    <w:rsid w:val="00707D40"/>
    <w:rsid w:val="007112E9"/>
    <w:rsid w:val="0071151C"/>
    <w:rsid w:val="0071319B"/>
    <w:rsid w:val="00713471"/>
    <w:rsid w:val="00713792"/>
    <w:rsid w:val="00713F25"/>
    <w:rsid w:val="0071599D"/>
    <w:rsid w:val="00715EF0"/>
    <w:rsid w:val="007160CF"/>
    <w:rsid w:val="0071653F"/>
    <w:rsid w:val="0072114F"/>
    <w:rsid w:val="0072116C"/>
    <w:rsid w:val="007218C2"/>
    <w:rsid w:val="0072194F"/>
    <w:rsid w:val="0072256E"/>
    <w:rsid w:val="007237A2"/>
    <w:rsid w:val="00724008"/>
    <w:rsid w:val="00725841"/>
    <w:rsid w:val="00726482"/>
    <w:rsid w:val="007264F8"/>
    <w:rsid w:val="00726820"/>
    <w:rsid w:val="00727024"/>
    <w:rsid w:val="007276B9"/>
    <w:rsid w:val="00731419"/>
    <w:rsid w:val="0073179A"/>
    <w:rsid w:val="007319F9"/>
    <w:rsid w:val="00731A8E"/>
    <w:rsid w:val="00732BA7"/>
    <w:rsid w:val="00732C87"/>
    <w:rsid w:val="00732D14"/>
    <w:rsid w:val="007331A1"/>
    <w:rsid w:val="00733A2F"/>
    <w:rsid w:val="00733DA4"/>
    <w:rsid w:val="00733EE3"/>
    <w:rsid w:val="007346BF"/>
    <w:rsid w:val="00734A9B"/>
    <w:rsid w:val="00735610"/>
    <w:rsid w:val="00735708"/>
    <w:rsid w:val="007364E6"/>
    <w:rsid w:val="0073741F"/>
    <w:rsid w:val="00737CC9"/>
    <w:rsid w:val="0074003B"/>
    <w:rsid w:val="007409CD"/>
    <w:rsid w:val="00740F76"/>
    <w:rsid w:val="00741A73"/>
    <w:rsid w:val="007424CE"/>
    <w:rsid w:val="00742BDE"/>
    <w:rsid w:val="00742F25"/>
    <w:rsid w:val="0074316B"/>
    <w:rsid w:val="00743226"/>
    <w:rsid w:val="007432B0"/>
    <w:rsid w:val="007437E8"/>
    <w:rsid w:val="007444FC"/>
    <w:rsid w:val="0074476E"/>
    <w:rsid w:val="007456F8"/>
    <w:rsid w:val="00746491"/>
    <w:rsid w:val="0074688D"/>
    <w:rsid w:val="00746ADB"/>
    <w:rsid w:val="00747774"/>
    <w:rsid w:val="00750B1E"/>
    <w:rsid w:val="007512A4"/>
    <w:rsid w:val="00751B99"/>
    <w:rsid w:val="00751F6B"/>
    <w:rsid w:val="007524AF"/>
    <w:rsid w:val="00752533"/>
    <w:rsid w:val="007528B0"/>
    <w:rsid w:val="00752A6A"/>
    <w:rsid w:val="00752DCE"/>
    <w:rsid w:val="00753D2A"/>
    <w:rsid w:val="007540BC"/>
    <w:rsid w:val="00754F5C"/>
    <w:rsid w:val="00755607"/>
    <w:rsid w:val="00755764"/>
    <w:rsid w:val="00755B59"/>
    <w:rsid w:val="00755E45"/>
    <w:rsid w:val="00755F5A"/>
    <w:rsid w:val="00756538"/>
    <w:rsid w:val="007565CE"/>
    <w:rsid w:val="007615D4"/>
    <w:rsid w:val="00761A5A"/>
    <w:rsid w:val="00762B9D"/>
    <w:rsid w:val="00763F6B"/>
    <w:rsid w:val="00764411"/>
    <w:rsid w:val="00764594"/>
    <w:rsid w:val="007645C1"/>
    <w:rsid w:val="00766A90"/>
    <w:rsid w:val="007674E4"/>
    <w:rsid w:val="00770173"/>
    <w:rsid w:val="00770867"/>
    <w:rsid w:val="0077097B"/>
    <w:rsid w:val="007717F2"/>
    <w:rsid w:val="007723EC"/>
    <w:rsid w:val="0077341F"/>
    <w:rsid w:val="00773C8A"/>
    <w:rsid w:val="00774F6D"/>
    <w:rsid w:val="007754B5"/>
    <w:rsid w:val="00775C0F"/>
    <w:rsid w:val="00775DD8"/>
    <w:rsid w:val="007767C6"/>
    <w:rsid w:val="00776FA0"/>
    <w:rsid w:val="00777774"/>
    <w:rsid w:val="00777DEE"/>
    <w:rsid w:val="00777E78"/>
    <w:rsid w:val="007802ED"/>
    <w:rsid w:val="007806F3"/>
    <w:rsid w:val="00780AAB"/>
    <w:rsid w:val="0078172A"/>
    <w:rsid w:val="00782553"/>
    <w:rsid w:val="007830E0"/>
    <w:rsid w:val="00784188"/>
    <w:rsid w:val="00784C67"/>
    <w:rsid w:val="00784C81"/>
    <w:rsid w:val="00785ABB"/>
    <w:rsid w:val="0078614D"/>
    <w:rsid w:val="007867BF"/>
    <w:rsid w:val="00786CC5"/>
    <w:rsid w:val="00787377"/>
    <w:rsid w:val="00787824"/>
    <w:rsid w:val="007903EE"/>
    <w:rsid w:val="00790695"/>
    <w:rsid w:val="0079264D"/>
    <w:rsid w:val="00792BB9"/>
    <w:rsid w:val="00793369"/>
    <w:rsid w:val="00793E8A"/>
    <w:rsid w:val="00793F46"/>
    <w:rsid w:val="007940AB"/>
    <w:rsid w:val="007945DD"/>
    <w:rsid w:val="00794E3D"/>
    <w:rsid w:val="0079531F"/>
    <w:rsid w:val="007956D0"/>
    <w:rsid w:val="007959AC"/>
    <w:rsid w:val="0079626C"/>
    <w:rsid w:val="00797138"/>
    <w:rsid w:val="007973D9"/>
    <w:rsid w:val="007A0A41"/>
    <w:rsid w:val="007A0BCC"/>
    <w:rsid w:val="007A170C"/>
    <w:rsid w:val="007A2B82"/>
    <w:rsid w:val="007A3822"/>
    <w:rsid w:val="007A3C29"/>
    <w:rsid w:val="007A419F"/>
    <w:rsid w:val="007A46D2"/>
    <w:rsid w:val="007A4861"/>
    <w:rsid w:val="007A4D06"/>
    <w:rsid w:val="007A668F"/>
    <w:rsid w:val="007A6865"/>
    <w:rsid w:val="007A7A6B"/>
    <w:rsid w:val="007A7C79"/>
    <w:rsid w:val="007B08EF"/>
    <w:rsid w:val="007B4678"/>
    <w:rsid w:val="007B5470"/>
    <w:rsid w:val="007B590B"/>
    <w:rsid w:val="007B5F49"/>
    <w:rsid w:val="007B6083"/>
    <w:rsid w:val="007B75BF"/>
    <w:rsid w:val="007C0371"/>
    <w:rsid w:val="007C1595"/>
    <w:rsid w:val="007C1607"/>
    <w:rsid w:val="007C165F"/>
    <w:rsid w:val="007C17B3"/>
    <w:rsid w:val="007C231D"/>
    <w:rsid w:val="007C2FD8"/>
    <w:rsid w:val="007C3104"/>
    <w:rsid w:val="007C390A"/>
    <w:rsid w:val="007C4DC0"/>
    <w:rsid w:val="007C5237"/>
    <w:rsid w:val="007C6007"/>
    <w:rsid w:val="007C753A"/>
    <w:rsid w:val="007C7EF8"/>
    <w:rsid w:val="007D0FD9"/>
    <w:rsid w:val="007D1254"/>
    <w:rsid w:val="007D304F"/>
    <w:rsid w:val="007D3C46"/>
    <w:rsid w:val="007D4404"/>
    <w:rsid w:val="007D4E9A"/>
    <w:rsid w:val="007D5A7C"/>
    <w:rsid w:val="007D676B"/>
    <w:rsid w:val="007D7AFA"/>
    <w:rsid w:val="007D7BC7"/>
    <w:rsid w:val="007E02FF"/>
    <w:rsid w:val="007E0B1A"/>
    <w:rsid w:val="007E1219"/>
    <w:rsid w:val="007E3772"/>
    <w:rsid w:val="007E3F00"/>
    <w:rsid w:val="007E403E"/>
    <w:rsid w:val="007E41E0"/>
    <w:rsid w:val="007E44D4"/>
    <w:rsid w:val="007E4F93"/>
    <w:rsid w:val="007E5084"/>
    <w:rsid w:val="007E50D1"/>
    <w:rsid w:val="007E512B"/>
    <w:rsid w:val="007E5292"/>
    <w:rsid w:val="007E58F0"/>
    <w:rsid w:val="007E653B"/>
    <w:rsid w:val="007E784C"/>
    <w:rsid w:val="007E7DE3"/>
    <w:rsid w:val="007F0595"/>
    <w:rsid w:val="007F0C5E"/>
    <w:rsid w:val="007F16AE"/>
    <w:rsid w:val="007F1962"/>
    <w:rsid w:val="007F1D4C"/>
    <w:rsid w:val="007F242C"/>
    <w:rsid w:val="007F2D6A"/>
    <w:rsid w:val="007F3360"/>
    <w:rsid w:val="007F33FD"/>
    <w:rsid w:val="007F393E"/>
    <w:rsid w:val="007F4A11"/>
    <w:rsid w:val="007F4B78"/>
    <w:rsid w:val="007F5964"/>
    <w:rsid w:val="008001A5"/>
    <w:rsid w:val="00801028"/>
    <w:rsid w:val="00801E3A"/>
    <w:rsid w:val="00801FDF"/>
    <w:rsid w:val="0080213E"/>
    <w:rsid w:val="0080291E"/>
    <w:rsid w:val="00803143"/>
    <w:rsid w:val="00803A15"/>
    <w:rsid w:val="00803FF9"/>
    <w:rsid w:val="00805428"/>
    <w:rsid w:val="00806D2F"/>
    <w:rsid w:val="00811673"/>
    <w:rsid w:val="008116B2"/>
    <w:rsid w:val="00811AD4"/>
    <w:rsid w:val="00811B01"/>
    <w:rsid w:val="00812DB7"/>
    <w:rsid w:val="00812F7B"/>
    <w:rsid w:val="00813836"/>
    <w:rsid w:val="0081463E"/>
    <w:rsid w:val="00816739"/>
    <w:rsid w:val="00817C81"/>
    <w:rsid w:val="0082005E"/>
    <w:rsid w:val="00821EDA"/>
    <w:rsid w:val="0082250A"/>
    <w:rsid w:val="00823033"/>
    <w:rsid w:val="00823655"/>
    <w:rsid w:val="008238EB"/>
    <w:rsid w:val="008239FA"/>
    <w:rsid w:val="0082408F"/>
    <w:rsid w:val="0082416C"/>
    <w:rsid w:val="008244C8"/>
    <w:rsid w:val="0082510E"/>
    <w:rsid w:val="008257A0"/>
    <w:rsid w:val="008257FE"/>
    <w:rsid w:val="00825F40"/>
    <w:rsid w:val="008264BE"/>
    <w:rsid w:val="00827134"/>
    <w:rsid w:val="008279B9"/>
    <w:rsid w:val="00830CBF"/>
    <w:rsid w:val="0083159F"/>
    <w:rsid w:val="00831C93"/>
    <w:rsid w:val="00831EF3"/>
    <w:rsid w:val="00831F22"/>
    <w:rsid w:val="008328E8"/>
    <w:rsid w:val="00832CBD"/>
    <w:rsid w:val="00832F2C"/>
    <w:rsid w:val="00833221"/>
    <w:rsid w:val="00833FFD"/>
    <w:rsid w:val="00835E77"/>
    <w:rsid w:val="0083605F"/>
    <w:rsid w:val="00836749"/>
    <w:rsid w:val="00837829"/>
    <w:rsid w:val="0083796A"/>
    <w:rsid w:val="00837A48"/>
    <w:rsid w:val="00840DC9"/>
    <w:rsid w:val="00840E52"/>
    <w:rsid w:val="00842D18"/>
    <w:rsid w:val="0084581E"/>
    <w:rsid w:val="0084618C"/>
    <w:rsid w:val="008464F7"/>
    <w:rsid w:val="00846D77"/>
    <w:rsid w:val="00847E29"/>
    <w:rsid w:val="0085106F"/>
    <w:rsid w:val="008516DA"/>
    <w:rsid w:val="00851F01"/>
    <w:rsid w:val="0085238C"/>
    <w:rsid w:val="00852B14"/>
    <w:rsid w:val="00854F85"/>
    <w:rsid w:val="0085545D"/>
    <w:rsid w:val="00855666"/>
    <w:rsid w:val="00855FD8"/>
    <w:rsid w:val="00856944"/>
    <w:rsid w:val="008579BB"/>
    <w:rsid w:val="008601A8"/>
    <w:rsid w:val="00860658"/>
    <w:rsid w:val="00861AD5"/>
    <w:rsid w:val="008622B2"/>
    <w:rsid w:val="008625CB"/>
    <w:rsid w:val="00862DAC"/>
    <w:rsid w:val="00863472"/>
    <w:rsid w:val="008640EF"/>
    <w:rsid w:val="00864371"/>
    <w:rsid w:val="00865B82"/>
    <w:rsid w:val="00865D48"/>
    <w:rsid w:val="00866157"/>
    <w:rsid w:val="008662E6"/>
    <w:rsid w:val="008663EF"/>
    <w:rsid w:val="00867DF5"/>
    <w:rsid w:val="00870926"/>
    <w:rsid w:val="00870E98"/>
    <w:rsid w:val="00871000"/>
    <w:rsid w:val="008711EE"/>
    <w:rsid w:val="00871A22"/>
    <w:rsid w:val="00871A2B"/>
    <w:rsid w:val="00871AFA"/>
    <w:rsid w:val="00872352"/>
    <w:rsid w:val="008728D2"/>
    <w:rsid w:val="00873336"/>
    <w:rsid w:val="008735ED"/>
    <w:rsid w:val="00874203"/>
    <w:rsid w:val="0087456E"/>
    <w:rsid w:val="0087579B"/>
    <w:rsid w:val="00876172"/>
    <w:rsid w:val="00876A04"/>
    <w:rsid w:val="008813C4"/>
    <w:rsid w:val="008816DC"/>
    <w:rsid w:val="008818EF"/>
    <w:rsid w:val="00882D16"/>
    <w:rsid w:val="00882F00"/>
    <w:rsid w:val="00883203"/>
    <w:rsid w:val="00883E53"/>
    <w:rsid w:val="008842D6"/>
    <w:rsid w:val="00884442"/>
    <w:rsid w:val="00884590"/>
    <w:rsid w:val="00885ABF"/>
    <w:rsid w:val="008865CC"/>
    <w:rsid w:val="00886AE0"/>
    <w:rsid w:val="008871A6"/>
    <w:rsid w:val="00887321"/>
    <w:rsid w:val="008875F1"/>
    <w:rsid w:val="0089083F"/>
    <w:rsid w:val="00892F4D"/>
    <w:rsid w:val="0089336A"/>
    <w:rsid w:val="00893C09"/>
    <w:rsid w:val="0089408E"/>
    <w:rsid w:val="00894792"/>
    <w:rsid w:val="00894DFD"/>
    <w:rsid w:val="00894E42"/>
    <w:rsid w:val="008A0A09"/>
    <w:rsid w:val="008A0A5D"/>
    <w:rsid w:val="008A0AA0"/>
    <w:rsid w:val="008A1997"/>
    <w:rsid w:val="008A4E54"/>
    <w:rsid w:val="008A5546"/>
    <w:rsid w:val="008A5841"/>
    <w:rsid w:val="008A5AA5"/>
    <w:rsid w:val="008A5BA7"/>
    <w:rsid w:val="008A5FF1"/>
    <w:rsid w:val="008A6EA9"/>
    <w:rsid w:val="008A71C1"/>
    <w:rsid w:val="008B072D"/>
    <w:rsid w:val="008B0CE0"/>
    <w:rsid w:val="008B174B"/>
    <w:rsid w:val="008B21FD"/>
    <w:rsid w:val="008B367E"/>
    <w:rsid w:val="008B39E9"/>
    <w:rsid w:val="008B3C01"/>
    <w:rsid w:val="008B4697"/>
    <w:rsid w:val="008B471E"/>
    <w:rsid w:val="008B4E73"/>
    <w:rsid w:val="008B5AE9"/>
    <w:rsid w:val="008B6955"/>
    <w:rsid w:val="008B7D7F"/>
    <w:rsid w:val="008C0219"/>
    <w:rsid w:val="008C17A5"/>
    <w:rsid w:val="008C193A"/>
    <w:rsid w:val="008C1C5E"/>
    <w:rsid w:val="008C1EEB"/>
    <w:rsid w:val="008C3578"/>
    <w:rsid w:val="008C3C5E"/>
    <w:rsid w:val="008C4511"/>
    <w:rsid w:val="008C69FD"/>
    <w:rsid w:val="008C6FE0"/>
    <w:rsid w:val="008C732B"/>
    <w:rsid w:val="008C7B46"/>
    <w:rsid w:val="008D0FE4"/>
    <w:rsid w:val="008D1435"/>
    <w:rsid w:val="008D314B"/>
    <w:rsid w:val="008D3A22"/>
    <w:rsid w:val="008D3D9F"/>
    <w:rsid w:val="008D3F13"/>
    <w:rsid w:val="008D436C"/>
    <w:rsid w:val="008D5545"/>
    <w:rsid w:val="008D563B"/>
    <w:rsid w:val="008D5705"/>
    <w:rsid w:val="008D58D8"/>
    <w:rsid w:val="008D7323"/>
    <w:rsid w:val="008D77B7"/>
    <w:rsid w:val="008D7F5E"/>
    <w:rsid w:val="008E0455"/>
    <w:rsid w:val="008E05B1"/>
    <w:rsid w:val="008E05BE"/>
    <w:rsid w:val="008E0ADB"/>
    <w:rsid w:val="008E0D73"/>
    <w:rsid w:val="008E1CD8"/>
    <w:rsid w:val="008E1FE0"/>
    <w:rsid w:val="008E2117"/>
    <w:rsid w:val="008E3683"/>
    <w:rsid w:val="008E49BD"/>
    <w:rsid w:val="008E4D6E"/>
    <w:rsid w:val="008E6093"/>
    <w:rsid w:val="008E6238"/>
    <w:rsid w:val="008E680F"/>
    <w:rsid w:val="008E6942"/>
    <w:rsid w:val="008E7873"/>
    <w:rsid w:val="008F0BB7"/>
    <w:rsid w:val="008F18C7"/>
    <w:rsid w:val="008F1983"/>
    <w:rsid w:val="008F3387"/>
    <w:rsid w:val="008F4F3E"/>
    <w:rsid w:val="008F640D"/>
    <w:rsid w:val="00900646"/>
    <w:rsid w:val="00900C17"/>
    <w:rsid w:val="00901B2C"/>
    <w:rsid w:val="00901E87"/>
    <w:rsid w:val="00903AFD"/>
    <w:rsid w:val="00903B2B"/>
    <w:rsid w:val="00903B38"/>
    <w:rsid w:val="00905BE8"/>
    <w:rsid w:val="009061E5"/>
    <w:rsid w:val="00906806"/>
    <w:rsid w:val="00907268"/>
    <w:rsid w:val="00907A0A"/>
    <w:rsid w:val="00907ABE"/>
    <w:rsid w:val="00907BAF"/>
    <w:rsid w:val="00910203"/>
    <w:rsid w:val="009108D9"/>
    <w:rsid w:val="009119D5"/>
    <w:rsid w:val="00911EDD"/>
    <w:rsid w:val="0091218A"/>
    <w:rsid w:val="00913021"/>
    <w:rsid w:val="00913B5A"/>
    <w:rsid w:val="00915BC0"/>
    <w:rsid w:val="00916061"/>
    <w:rsid w:val="0091667F"/>
    <w:rsid w:val="00916A58"/>
    <w:rsid w:val="00916B4B"/>
    <w:rsid w:val="009173CE"/>
    <w:rsid w:val="009178DD"/>
    <w:rsid w:val="00917BED"/>
    <w:rsid w:val="00917CDD"/>
    <w:rsid w:val="00920CB2"/>
    <w:rsid w:val="00921027"/>
    <w:rsid w:val="00921783"/>
    <w:rsid w:val="00921EFA"/>
    <w:rsid w:val="00922212"/>
    <w:rsid w:val="00924B06"/>
    <w:rsid w:val="00924CDB"/>
    <w:rsid w:val="00924D03"/>
    <w:rsid w:val="00926252"/>
    <w:rsid w:val="00927C92"/>
    <w:rsid w:val="00930FFB"/>
    <w:rsid w:val="009311B9"/>
    <w:rsid w:val="009312A1"/>
    <w:rsid w:val="00931F06"/>
    <w:rsid w:val="009321D8"/>
    <w:rsid w:val="0093513C"/>
    <w:rsid w:val="0093523F"/>
    <w:rsid w:val="00935FA7"/>
    <w:rsid w:val="00936080"/>
    <w:rsid w:val="00936434"/>
    <w:rsid w:val="0093750B"/>
    <w:rsid w:val="009379AA"/>
    <w:rsid w:val="009420F4"/>
    <w:rsid w:val="00942541"/>
    <w:rsid w:val="00943621"/>
    <w:rsid w:val="00943FFA"/>
    <w:rsid w:val="00944B86"/>
    <w:rsid w:val="00944CAA"/>
    <w:rsid w:val="0094532D"/>
    <w:rsid w:val="00945933"/>
    <w:rsid w:val="00945C92"/>
    <w:rsid w:val="00947814"/>
    <w:rsid w:val="00947B11"/>
    <w:rsid w:val="00947BC3"/>
    <w:rsid w:val="00950A67"/>
    <w:rsid w:val="00950EC9"/>
    <w:rsid w:val="00950F02"/>
    <w:rsid w:val="009515DC"/>
    <w:rsid w:val="009521A6"/>
    <w:rsid w:val="00952220"/>
    <w:rsid w:val="00952F50"/>
    <w:rsid w:val="009538E0"/>
    <w:rsid w:val="0095411D"/>
    <w:rsid w:val="009545F1"/>
    <w:rsid w:val="00955437"/>
    <w:rsid w:val="00956ED8"/>
    <w:rsid w:val="009572EF"/>
    <w:rsid w:val="00957CFF"/>
    <w:rsid w:val="00960270"/>
    <w:rsid w:val="009615B4"/>
    <w:rsid w:val="00961739"/>
    <w:rsid w:val="00962156"/>
    <w:rsid w:val="00962806"/>
    <w:rsid w:val="00965205"/>
    <w:rsid w:val="00965879"/>
    <w:rsid w:val="009664B0"/>
    <w:rsid w:val="009668BC"/>
    <w:rsid w:val="00967490"/>
    <w:rsid w:val="00970541"/>
    <w:rsid w:val="00970CD4"/>
    <w:rsid w:val="00971285"/>
    <w:rsid w:val="00971A59"/>
    <w:rsid w:val="009722AF"/>
    <w:rsid w:val="00972E53"/>
    <w:rsid w:val="009730F0"/>
    <w:rsid w:val="0097327C"/>
    <w:rsid w:val="009738B8"/>
    <w:rsid w:val="009741FF"/>
    <w:rsid w:val="00974465"/>
    <w:rsid w:val="00974C3D"/>
    <w:rsid w:val="00975AA8"/>
    <w:rsid w:val="0097665B"/>
    <w:rsid w:val="00976C67"/>
    <w:rsid w:val="00976E77"/>
    <w:rsid w:val="00980497"/>
    <w:rsid w:val="00980929"/>
    <w:rsid w:val="00980E22"/>
    <w:rsid w:val="00981484"/>
    <w:rsid w:val="00981564"/>
    <w:rsid w:val="00981F27"/>
    <w:rsid w:val="0098294B"/>
    <w:rsid w:val="00983950"/>
    <w:rsid w:val="00985402"/>
    <w:rsid w:val="009871DE"/>
    <w:rsid w:val="009906A6"/>
    <w:rsid w:val="00991675"/>
    <w:rsid w:val="00992181"/>
    <w:rsid w:val="009923F4"/>
    <w:rsid w:val="0099262F"/>
    <w:rsid w:val="0099278C"/>
    <w:rsid w:val="00993332"/>
    <w:rsid w:val="00993486"/>
    <w:rsid w:val="00993AB9"/>
    <w:rsid w:val="00993E83"/>
    <w:rsid w:val="00994B3F"/>
    <w:rsid w:val="00994BA5"/>
    <w:rsid w:val="009951D9"/>
    <w:rsid w:val="00995DF7"/>
    <w:rsid w:val="0099679D"/>
    <w:rsid w:val="00996C71"/>
    <w:rsid w:val="0099732D"/>
    <w:rsid w:val="0099762E"/>
    <w:rsid w:val="00997DC7"/>
    <w:rsid w:val="009A0993"/>
    <w:rsid w:val="009A0BD9"/>
    <w:rsid w:val="009A0CAD"/>
    <w:rsid w:val="009A205C"/>
    <w:rsid w:val="009A2551"/>
    <w:rsid w:val="009A36B6"/>
    <w:rsid w:val="009A3C1C"/>
    <w:rsid w:val="009A5EA7"/>
    <w:rsid w:val="009A6319"/>
    <w:rsid w:val="009A78E7"/>
    <w:rsid w:val="009B2EA6"/>
    <w:rsid w:val="009B320C"/>
    <w:rsid w:val="009B34C0"/>
    <w:rsid w:val="009B3978"/>
    <w:rsid w:val="009B3F0C"/>
    <w:rsid w:val="009B595A"/>
    <w:rsid w:val="009B5F46"/>
    <w:rsid w:val="009B61C0"/>
    <w:rsid w:val="009B6B39"/>
    <w:rsid w:val="009C025F"/>
    <w:rsid w:val="009C08B5"/>
    <w:rsid w:val="009C124E"/>
    <w:rsid w:val="009C12F7"/>
    <w:rsid w:val="009C1D33"/>
    <w:rsid w:val="009C24CB"/>
    <w:rsid w:val="009C33BA"/>
    <w:rsid w:val="009C3AAE"/>
    <w:rsid w:val="009C609E"/>
    <w:rsid w:val="009C6C92"/>
    <w:rsid w:val="009C7C17"/>
    <w:rsid w:val="009D0048"/>
    <w:rsid w:val="009D036B"/>
    <w:rsid w:val="009D0DC9"/>
    <w:rsid w:val="009D2B5E"/>
    <w:rsid w:val="009D2C72"/>
    <w:rsid w:val="009D2E52"/>
    <w:rsid w:val="009D2FCE"/>
    <w:rsid w:val="009D317B"/>
    <w:rsid w:val="009D3FAA"/>
    <w:rsid w:val="009D41AF"/>
    <w:rsid w:val="009D4290"/>
    <w:rsid w:val="009D432F"/>
    <w:rsid w:val="009D45AA"/>
    <w:rsid w:val="009D4633"/>
    <w:rsid w:val="009D5352"/>
    <w:rsid w:val="009D542C"/>
    <w:rsid w:val="009D5657"/>
    <w:rsid w:val="009D595C"/>
    <w:rsid w:val="009D5D1B"/>
    <w:rsid w:val="009D64DC"/>
    <w:rsid w:val="009D69E7"/>
    <w:rsid w:val="009D6F0D"/>
    <w:rsid w:val="009D6FF2"/>
    <w:rsid w:val="009D75F8"/>
    <w:rsid w:val="009E1C60"/>
    <w:rsid w:val="009E2528"/>
    <w:rsid w:val="009E4983"/>
    <w:rsid w:val="009E49E5"/>
    <w:rsid w:val="009E4A94"/>
    <w:rsid w:val="009E4EC3"/>
    <w:rsid w:val="009E5623"/>
    <w:rsid w:val="009E5E56"/>
    <w:rsid w:val="009E65A6"/>
    <w:rsid w:val="009E6BF6"/>
    <w:rsid w:val="009E6F0E"/>
    <w:rsid w:val="009E77AD"/>
    <w:rsid w:val="009E79AC"/>
    <w:rsid w:val="009F0446"/>
    <w:rsid w:val="009F0517"/>
    <w:rsid w:val="009F111F"/>
    <w:rsid w:val="009F1654"/>
    <w:rsid w:val="009F1ABE"/>
    <w:rsid w:val="009F1D4C"/>
    <w:rsid w:val="009F1FE1"/>
    <w:rsid w:val="009F233D"/>
    <w:rsid w:val="009F3B49"/>
    <w:rsid w:val="009F471F"/>
    <w:rsid w:val="009F5575"/>
    <w:rsid w:val="009F573A"/>
    <w:rsid w:val="009F5CA4"/>
    <w:rsid w:val="00A001B9"/>
    <w:rsid w:val="00A00819"/>
    <w:rsid w:val="00A010B8"/>
    <w:rsid w:val="00A0260A"/>
    <w:rsid w:val="00A027A8"/>
    <w:rsid w:val="00A02A9F"/>
    <w:rsid w:val="00A042C6"/>
    <w:rsid w:val="00A04852"/>
    <w:rsid w:val="00A04922"/>
    <w:rsid w:val="00A05829"/>
    <w:rsid w:val="00A059B5"/>
    <w:rsid w:val="00A06565"/>
    <w:rsid w:val="00A06E66"/>
    <w:rsid w:val="00A115D5"/>
    <w:rsid w:val="00A11A43"/>
    <w:rsid w:val="00A12197"/>
    <w:rsid w:val="00A12202"/>
    <w:rsid w:val="00A127AC"/>
    <w:rsid w:val="00A14145"/>
    <w:rsid w:val="00A1459E"/>
    <w:rsid w:val="00A14627"/>
    <w:rsid w:val="00A157C1"/>
    <w:rsid w:val="00A16534"/>
    <w:rsid w:val="00A16548"/>
    <w:rsid w:val="00A17280"/>
    <w:rsid w:val="00A172A5"/>
    <w:rsid w:val="00A1799D"/>
    <w:rsid w:val="00A20F16"/>
    <w:rsid w:val="00A21FE3"/>
    <w:rsid w:val="00A2280B"/>
    <w:rsid w:val="00A22EBC"/>
    <w:rsid w:val="00A230AA"/>
    <w:rsid w:val="00A230F8"/>
    <w:rsid w:val="00A236D1"/>
    <w:rsid w:val="00A23BDE"/>
    <w:rsid w:val="00A2479D"/>
    <w:rsid w:val="00A24DEB"/>
    <w:rsid w:val="00A24F5F"/>
    <w:rsid w:val="00A25407"/>
    <w:rsid w:val="00A25DF6"/>
    <w:rsid w:val="00A2700B"/>
    <w:rsid w:val="00A27393"/>
    <w:rsid w:val="00A30C6E"/>
    <w:rsid w:val="00A31041"/>
    <w:rsid w:val="00A319D0"/>
    <w:rsid w:val="00A31D2C"/>
    <w:rsid w:val="00A321B9"/>
    <w:rsid w:val="00A32A93"/>
    <w:rsid w:val="00A3437B"/>
    <w:rsid w:val="00A34FD8"/>
    <w:rsid w:val="00A36A58"/>
    <w:rsid w:val="00A37388"/>
    <w:rsid w:val="00A37853"/>
    <w:rsid w:val="00A37FAF"/>
    <w:rsid w:val="00A37FEF"/>
    <w:rsid w:val="00A43253"/>
    <w:rsid w:val="00A43AAA"/>
    <w:rsid w:val="00A44451"/>
    <w:rsid w:val="00A44973"/>
    <w:rsid w:val="00A449B7"/>
    <w:rsid w:val="00A453CD"/>
    <w:rsid w:val="00A4599F"/>
    <w:rsid w:val="00A46107"/>
    <w:rsid w:val="00A464DF"/>
    <w:rsid w:val="00A46EEC"/>
    <w:rsid w:val="00A47EA9"/>
    <w:rsid w:val="00A50E23"/>
    <w:rsid w:val="00A50E47"/>
    <w:rsid w:val="00A52242"/>
    <w:rsid w:val="00A52539"/>
    <w:rsid w:val="00A5345F"/>
    <w:rsid w:val="00A5399B"/>
    <w:rsid w:val="00A53CEB"/>
    <w:rsid w:val="00A540DD"/>
    <w:rsid w:val="00A54D06"/>
    <w:rsid w:val="00A55511"/>
    <w:rsid w:val="00A558C2"/>
    <w:rsid w:val="00A55E96"/>
    <w:rsid w:val="00A56780"/>
    <w:rsid w:val="00A56E4D"/>
    <w:rsid w:val="00A572CB"/>
    <w:rsid w:val="00A572CC"/>
    <w:rsid w:val="00A572F3"/>
    <w:rsid w:val="00A57FDC"/>
    <w:rsid w:val="00A6034D"/>
    <w:rsid w:val="00A60508"/>
    <w:rsid w:val="00A606A7"/>
    <w:rsid w:val="00A60B0D"/>
    <w:rsid w:val="00A61B20"/>
    <w:rsid w:val="00A6303D"/>
    <w:rsid w:val="00A6330A"/>
    <w:rsid w:val="00A633B1"/>
    <w:rsid w:val="00A63B9B"/>
    <w:rsid w:val="00A64CFB"/>
    <w:rsid w:val="00A64E80"/>
    <w:rsid w:val="00A64FCD"/>
    <w:rsid w:val="00A65530"/>
    <w:rsid w:val="00A65BA4"/>
    <w:rsid w:val="00A66372"/>
    <w:rsid w:val="00A663F3"/>
    <w:rsid w:val="00A66CA7"/>
    <w:rsid w:val="00A7032A"/>
    <w:rsid w:val="00A70BB8"/>
    <w:rsid w:val="00A70C70"/>
    <w:rsid w:val="00A717F8"/>
    <w:rsid w:val="00A71A85"/>
    <w:rsid w:val="00A722B1"/>
    <w:rsid w:val="00A73B93"/>
    <w:rsid w:val="00A73E6F"/>
    <w:rsid w:val="00A742E2"/>
    <w:rsid w:val="00A74BFD"/>
    <w:rsid w:val="00A7710A"/>
    <w:rsid w:val="00A77303"/>
    <w:rsid w:val="00A77542"/>
    <w:rsid w:val="00A77919"/>
    <w:rsid w:val="00A8053A"/>
    <w:rsid w:val="00A809B5"/>
    <w:rsid w:val="00A81584"/>
    <w:rsid w:val="00A818FC"/>
    <w:rsid w:val="00A81B39"/>
    <w:rsid w:val="00A82269"/>
    <w:rsid w:val="00A8399A"/>
    <w:rsid w:val="00A85BBB"/>
    <w:rsid w:val="00A860EC"/>
    <w:rsid w:val="00A91559"/>
    <w:rsid w:val="00A9314C"/>
    <w:rsid w:val="00A943B6"/>
    <w:rsid w:val="00A946BD"/>
    <w:rsid w:val="00A94AC7"/>
    <w:rsid w:val="00A94E9F"/>
    <w:rsid w:val="00A95D15"/>
    <w:rsid w:val="00A96E57"/>
    <w:rsid w:val="00AA1D5E"/>
    <w:rsid w:val="00AA298A"/>
    <w:rsid w:val="00AA321F"/>
    <w:rsid w:val="00AA448A"/>
    <w:rsid w:val="00AA5EA9"/>
    <w:rsid w:val="00AA7214"/>
    <w:rsid w:val="00AA7855"/>
    <w:rsid w:val="00AA7F62"/>
    <w:rsid w:val="00AB01CB"/>
    <w:rsid w:val="00AB0466"/>
    <w:rsid w:val="00AB14DD"/>
    <w:rsid w:val="00AB166F"/>
    <w:rsid w:val="00AB1D75"/>
    <w:rsid w:val="00AB2F04"/>
    <w:rsid w:val="00AB3B4E"/>
    <w:rsid w:val="00AB492A"/>
    <w:rsid w:val="00AB5EFC"/>
    <w:rsid w:val="00AB6993"/>
    <w:rsid w:val="00AB6DCD"/>
    <w:rsid w:val="00AB6DE3"/>
    <w:rsid w:val="00AB7355"/>
    <w:rsid w:val="00AB739B"/>
    <w:rsid w:val="00AC0B61"/>
    <w:rsid w:val="00AC2535"/>
    <w:rsid w:val="00AC31E2"/>
    <w:rsid w:val="00AC363B"/>
    <w:rsid w:val="00AC3A74"/>
    <w:rsid w:val="00AC3F40"/>
    <w:rsid w:val="00AC3F9D"/>
    <w:rsid w:val="00AC4052"/>
    <w:rsid w:val="00AC4587"/>
    <w:rsid w:val="00AC4D87"/>
    <w:rsid w:val="00AC60DC"/>
    <w:rsid w:val="00AC6FA9"/>
    <w:rsid w:val="00AC715D"/>
    <w:rsid w:val="00AC74F3"/>
    <w:rsid w:val="00AC7C25"/>
    <w:rsid w:val="00AD0B55"/>
    <w:rsid w:val="00AD1721"/>
    <w:rsid w:val="00AD1816"/>
    <w:rsid w:val="00AD19EA"/>
    <w:rsid w:val="00AD21B6"/>
    <w:rsid w:val="00AD28E2"/>
    <w:rsid w:val="00AD2BBC"/>
    <w:rsid w:val="00AD428C"/>
    <w:rsid w:val="00AD54E5"/>
    <w:rsid w:val="00AD576D"/>
    <w:rsid w:val="00AD58AF"/>
    <w:rsid w:val="00AD6470"/>
    <w:rsid w:val="00AD6E4C"/>
    <w:rsid w:val="00AD6F5A"/>
    <w:rsid w:val="00AD700C"/>
    <w:rsid w:val="00AD70F3"/>
    <w:rsid w:val="00AE02F3"/>
    <w:rsid w:val="00AE05A0"/>
    <w:rsid w:val="00AE0A0F"/>
    <w:rsid w:val="00AE10CA"/>
    <w:rsid w:val="00AE1FB3"/>
    <w:rsid w:val="00AE2410"/>
    <w:rsid w:val="00AE2947"/>
    <w:rsid w:val="00AE6A01"/>
    <w:rsid w:val="00AE7681"/>
    <w:rsid w:val="00AE7A4E"/>
    <w:rsid w:val="00AF036C"/>
    <w:rsid w:val="00AF16ED"/>
    <w:rsid w:val="00AF26F1"/>
    <w:rsid w:val="00AF2E6E"/>
    <w:rsid w:val="00AF301A"/>
    <w:rsid w:val="00AF4393"/>
    <w:rsid w:val="00AF4959"/>
    <w:rsid w:val="00AF4A51"/>
    <w:rsid w:val="00AF533D"/>
    <w:rsid w:val="00AF6C5A"/>
    <w:rsid w:val="00AF6DDC"/>
    <w:rsid w:val="00B002DF"/>
    <w:rsid w:val="00B00A0B"/>
    <w:rsid w:val="00B03009"/>
    <w:rsid w:val="00B03E1F"/>
    <w:rsid w:val="00B04B84"/>
    <w:rsid w:val="00B05112"/>
    <w:rsid w:val="00B063F5"/>
    <w:rsid w:val="00B06E55"/>
    <w:rsid w:val="00B06FE1"/>
    <w:rsid w:val="00B073E2"/>
    <w:rsid w:val="00B0771D"/>
    <w:rsid w:val="00B07B55"/>
    <w:rsid w:val="00B07DF8"/>
    <w:rsid w:val="00B10A12"/>
    <w:rsid w:val="00B1105C"/>
    <w:rsid w:val="00B11DDD"/>
    <w:rsid w:val="00B12D8E"/>
    <w:rsid w:val="00B13007"/>
    <w:rsid w:val="00B13065"/>
    <w:rsid w:val="00B13266"/>
    <w:rsid w:val="00B1403E"/>
    <w:rsid w:val="00B14ACE"/>
    <w:rsid w:val="00B14F1F"/>
    <w:rsid w:val="00B15471"/>
    <w:rsid w:val="00B1645E"/>
    <w:rsid w:val="00B1698C"/>
    <w:rsid w:val="00B16BEA"/>
    <w:rsid w:val="00B16D27"/>
    <w:rsid w:val="00B17772"/>
    <w:rsid w:val="00B20D69"/>
    <w:rsid w:val="00B21130"/>
    <w:rsid w:val="00B21554"/>
    <w:rsid w:val="00B21568"/>
    <w:rsid w:val="00B21F39"/>
    <w:rsid w:val="00B23C3D"/>
    <w:rsid w:val="00B24817"/>
    <w:rsid w:val="00B24C89"/>
    <w:rsid w:val="00B24CDB"/>
    <w:rsid w:val="00B24D1C"/>
    <w:rsid w:val="00B25660"/>
    <w:rsid w:val="00B25881"/>
    <w:rsid w:val="00B265FA"/>
    <w:rsid w:val="00B278AF"/>
    <w:rsid w:val="00B27A05"/>
    <w:rsid w:val="00B27AF5"/>
    <w:rsid w:val="00B27FCD"/>
    <w:rsid w:val="00B303F2"/>
    <w:rsid w:val="00B30FE6"/>
    <w:rsid w:val="00B3275F"/>
    <w:rsid w:val="00B3281B"/>
    <w:rsid w:val="00B329DE"/>
    <w:rsid w:val="00B32D21"/>
    <w:rsid w:val="00B34B12"/>
    <w:rsid w:val="00B362B5"/>
    <w:rsid w:val="00B36A53"/>
    <w:rsid w:val="00B36F48"/>
    <w:rsid w:val="00B4094D"/>
    <w:rsid w:val="00B4116F"/>
    <w:rsid w:val="00B42D53"/>
    <w:rsid w:val="00B45694"/>
    <w:rsid w:val="00B4574C"/>
    <w:rsid w:val="00B50656"/>
    <w:rsid w:val="00B50A0B"/>
    <w:rsid w:val="00B50B32"/>
    <w:rsid w:val="00B50FDD"/>
    <w:rsid w:val="00B51111"/>
    <w:rsid w:val="00B51427"/>
    <w:rsid w:val="00B516C8"/>
    <w:rsid w:val="00B51F81"/>
    <w:rsid w:val="00B5242D"/>
    <w:rsid w:val="00B52F00"/>
    <w:rsid w:val="00B53BC2"/>
    <w:rsid w:val="00B53D72"/>
    <w:rsid w:val="00B54293"/>
    <w:rsid w:val="00B54738"/>
    <w:rsid w:val="00B55A03"/>
    <w:rsid w:val="00B56159"/>
    <w:rsid w:val="00B56E6E"/>
    <w:rsid w:val="00B57350"/>
    <w:rsid w:val="00B60E11"/>
    <w:rsid w:val="00B611BE"/>
    <w:rsid w:val="00B61342"/>
    <w:rsid w:val="00B6171D"/>
    <w:rsid w:val="00B6205D"/>
    <w:rsid w:val="00B62AD6"/>
    <w:rsid w:val="00B6483A"/>
    <w:rsid w:val="00B64D3E"/>
    <w:rsid w:val="00B6505D"/>
    <w:rsid w:val="00B65907"/>
    <w:rsid w:val="00B65AC4"/>
    <w:rsid w:val="00B65F6E"/>
    <w:rsid w:val="00B672D7"/>
    <w:rsid w:val="00B678A6"/>
    <w:rsid w:val="00B702EB"/>
    <w:rsid w:val="00B71B42"/>
    <w:rsid w:val="00B7278E"/>
    <w:rsid w:val="00B72A61"/>
    <w:rsid w:val="00B74F4A"/>
    <w:rsid w:val="00B7518F"/>
    <w:rsid w:val="00B753D4"/>
    <w:rsid w:val="00B75834"/>
    <w:rsid w:val="00B766C6"/>
    <w:rsid w:val="00B76DC7"/>
    <w:rsid w:val="00B76E76"/>
    <w:rsid w:val="00B77158"/>
    <w:rsid w:val="00B77722"/>
    <w:rsid w:val="00B80600"/>
    <w:rsid w:val="00B813DB"/>
    <w:rsid w:val="00B82C34"/>
    <w:rsid w:val="00B8348E"/>
    <w:rsid w:val="00B83578"/>
    <w:rsid w:val="00B8386F"/>
    <w:rsid w:val="00B83A65"/>
    <w:rsid w:val="00B83BCC"/>
    <w:rsid w:val="00B85229"/>
    <w:rsid w:val="00B8671B"/>
    <w:rsid w:val="00B877A6"/>
    <w:rsid w:val="00B87974"/>
    <w:rsid w:val="00B902E8"/>
    <w:rsid w:val="00B90E38"/>
    <w:rsid w:val="00B922E7"/>
    <w:rsid w:val="00B92E05"/>
    <w:rsid w:val="00B92EEB"/>
    <w:rsid w:val="00B931C6"/>
    <w:rsid w:val="00B9374A"/>
    <w:rsid w:val="00B937C1"/>
    <w:rsid w:val="00B93C2B"/>
    <w:rsid w:val="00B94067"/>
    <w:rsid w:val="00B94E4D"/>
    <w:rsid w:val="00B95F47"/>
    <w:rsid w:val="00B9648A"/>
    <w:rsid w:val="00B96809"/>
    <w:rsid w:val="00B97D0B"/>
    <w:rsid w:val="00BA15B1"/>
    <w:rsid w:val="00BA1F26"/>
    <w:rsid w:val="00BA22B1"/>
    <w:rsid w:val="00BA2405"/>
    <w:rsid w:val="00BA32AF"/>
    <w:rsid w:val="00BA5319"/>
    <w:rsid w:val="00BA5BBB"/>
    <w:rsid w:val="00BA6179"/>
    <w:rsid w:val="00BA6AAA"/>
    <w:rsid w:val="00BA742F"/>
    <w:rsid w:val="00BA7CAB"/>
    <w:rsid w:val="00BA7D41"/>
    <w:rsid w:val="00BB135A"/>
    <w:rsid w:val="00BB1F9B"/>
    <w:rsid w:val="00BB253D"/>
    <w:rsid w:val="00BB28E9"/>
    <w:rsid w:val="00BB35CE"/>
    <w:rsid w:val="00BB4C83"/>
    <w:rsid w:val="00BB596E"/>
    <w:rsid w:val="00BB72F2"/>
    <w:rsid w:val="00BB73FB"/>
    <w:rsid w:val="00BB78E0"/>
    <w:rsid w:val="00BB7BF9"/>
    <w:rsid w:val="00BC0737"/>
    <w:rsid w:val="00BC296E"/>
    <w:rsid w:val="00BC2986"/>
    <w:rsid w:val="00BC31E9"/>
    <w:rsid w:val="00BC3537"/>
    <w:rsid w:val="00BC379B"/>
    <w:rsid w:val="00BC48DA"/>
    <w:rsid w:val="00BC4BA9"/>
    <w:rsid w:val="00BC4D4E"/>
    <w:rsid w:val="00BC4D55"/>
    <w:rsid w:val="00BC5586"/>
    <w:rsid w:val="00BC78CB"/>
    <w:rsid w:val="00BD0C16"/>
    <w:rsid w:val="00BD1E11"/>
    <w:rsid w:val="00BD1E4B"/>
    <w:rsid w:val="00BD2A6D"/>
    <w:rsid w:val="00BD2D38"/>
    <w:rsid w:val="00BD3D83"/>
    <w:rsid w:val="00BD4304"/>
    <w:rsid w:val="00BD5124"/>
    <w:rsid w:val="00BD6285"/>
    <w:rsid w:val="00BD62BA"/>
    <w:rsid w:val="00BD7637"/>
    <w:rsid w:val="00BD7A01"/>
    <w:rsid w:val="00BE1AD9"/>
    <w:rsid w:val="00BE23DF"/>
    <w:rsid w:val="00BE26D2"/>
    <w:rsid w:val="00BE28C6"/>
    <w:rsid w:val="00BE2F38"/>
    <w:rsid w:val="00BE46A6"/>
    <w:rsid w:val="00BE4E23"/>
    <w:rsid w:val="00BE5250"/>
    <w:rsid w:val="00BE589C"/>
    <w:rsid w:val="00BE596D"/>
    <w:rsid w:val="00BE5F73"/>
    <w:rsid w:val="00BE67F2"/>
    <w:rsid w:val="00BE6924"/>
    <w:rsid w:val="00BE7794"/>
    <w:rsid w:val="00BE7FBF"/>
    <w:rsid w:val="00BF0402"/>
    <w:rsid w:val="00BF1047"/>
    <w:rsid w:val="00BF11CB"/>
    <w:rsid w:val="00BF1811"/>
    <w:rsid w:val="00BF36A8"/>
    <w:rsid w:val="00BF4B57"/>
    <w:rsid w:val="00BF4F90"/>
    <w:rsid w:val="00BF55C0"/>
    <w:rsid w:val="00BF587A"/>
    <w:rsid w:val="00BF69F5"/>
    <w:rsid w:val="00BF7853"/>
    <w:rsid w:val="00BF7D4A"/>
    <w:rsid w:val="00BF7F37"/>
    <w:rsid w:val="00C00A97"/>
    <w:rsid w:val="00C00E09"/>
    <w:rsid w:val="00C04135"/>
    <w:rsid w:val="00C045E9"/>
    <w:rsid w:val="00C05770"/>
    <w:rsid w:val="00C0593F"/>
    <w:rsid w:val="00C05D9A"/>
    <w:rsid w:val="00C060D8"/>
    <w:rsid w:val="00C06DD5"/>
    <w:rsid w:val="00C07516"/>
    <w:rsid w:val="00C1011F"/>
    <w:rsid w:val="00C10B1A"/>
    <w:rsid w:val="00C12007"/>
    <w:rsid w:val="00C13B53"/>
    <w:rsid w:val="00C14330"/>
    <w:rsid w:val="00C15787"/>
    <w:rsid w:val="00C1599D"/>
    <w:rsid w:val="00C165AA"/>
    <w:rsid w:val="00C20924"/>
    <w:rsid w:val="00C20C7F"/>
    <w:rsid w:val="00C21607"/>
    <w:rsid w:val="00C2241D"/>
    <w:rsid w:val="00C226A0"/>
    <w:rsid w:val="00C22FF2"/>
    <w:rsid w:val="00C234BE"/>
    <w:rsid w:val="00C23B12"/>
    <w:rsid w:val="00C24140"/>
    <w:rsid w:val="00C2422A"/>
    <w:rsid w:val="00C24775"/>
    <w:rsid w:val="00C25616"/>
    <w:rsid w:val="00C2567C"/>
    <w:rsid w:val="00C25CA0"/>
    <w:rsid w:val="00C26BA0"/>
    <w:rsid w:val="00C26BF2"/>
    <w:rsid w:val="00C26C7B"/>
    <w:rsid w:val="00C274D9"/>
    <w:rsid w:val="00C275A6"/>
    <w:rsid w:val="00C2778E"/>
    <w:rsid w:val="00C302D8"/>
    <w:rsid w:val="00C3357D"/>
    <w:rsid w:val="00C34DCE"/>
    <w:rsid w:val="00C357AB"/>
    <w:rsid w:val="00C35A85"/>
    <w:rsid w:val="00C35EE4"/>
    <w:rsid w:val="00C369A5"/>
    <w:rsid w:val="00C36CFB"/>
    <w:rsid w:val="00C37C80"/>
    <w:rsid w:val="00C37EFF"/>
    <w:rsid w:val="00C40285"/>
    <w:rsid w:val="00C408CE"/>
    <w:rsid w:val="00C40B99"/>
    <w:rsid w:val="00C4164F"/>
    <w:rsid w:val="00C42CCF"/>
    <w:rsid w:val="00C43E8F"/>
    <w:rsid w:val="00C44541"/>
    <w:rsid w:val="00C450CE"/>
    <w:rsid w:val="00C46ECE"/>
    <w:rsid w:val="00C53001"/>
    <w:rsid w:val="00C53696"/>
    <w:rsid w:val="00C53F36"/>
    <w:rsid w:val="00C547E8"/>
    <w:rsid w:val="00C558B4"/>
    <w:rsid w:val="00C55A6B"/>
    <w:rsid w:val="00C55A70"/>
    <w:rsid w:val="00C5651A"/>
    <w:rsid w:val="00C569A4"/>
    <w:rsid w:val="00C577DD"/>
    <w:rsid w:val="00C60121"/>
    <w:rsid w:val="00C60E40"/>
    <w:rsid w:val="00C61869"/>
    <w:rsid w:val="00C618CA"/>
    <w:rsid w:val="00C62C34"/>
    <w:rsid w:val="00C62CA7"/>
    <w:rsid w:val="00C62D93"/>
    <w:rsid w:val="00C63C84"/>
    <w:rsid w:val="00C66BAD"/>
    <w:rsid w:val="00C66EC2"/>
    <w:rsid w:val="00C670F4"/>
    <w:rsid w:val="00C67286"/>
    <w:rsid w:val="00C676E6"/>
    <w:rsid w:val="00C67CC5"/>
    <w:rsid w:val="00C70F6A"/>
    <w:rsid w:val="00C70F9E"/>
    <w:rsid w:val="00C7181E"/>
    <w:rsid w:val="00C72448"/>
    <w:rsid w:val="00C725C8"/>
    <w:rsid w:val="00C733C2"/>
    <w:rsid w:val="00C736B6"/>
    <w:rsid w:val="00C738A7"/>
    <w:rsid w:val="00C747CD"/>
    <w:rsid w:val="00C74817"/>
    <w:rsid w:val="00C74F52"/>
    <w:rsid w:val="00C74FBE"/>
    <w:rsid w:val="00C75BBA"/>
    <w:rsid w:val="00C7606C"/>
    <w:rsid w:val="00C773B0"/>
    <w:rsid w:val="00C77CC3"/>
    <w:rsid w:val="00C77CD3"/>
    <w:rsid w:val="00C77DDC"/>
    <w:rsid w:val="00C80F3F"/>
    <w:rsid w:val="00C820EE"/>
    <w:rsid w:val="00C82837"/>
    <w:rsid w:val="00C82931"/>
    <w:rsid w:val="00C82DCD"/>
    <w:rsid w:val="00C83AA7"/>
    <w:rsid w:val="00C84376"/>
    <w:rsid w:val="00C84503"/>
    <w:rsid w:val="00C85A1E"/>
    <w:rsid w:val="00C85E30"/>
    <w:rsid w:val="00C86F57"/>
    <w:rsid w:val="00C87006"/>
    <w:rsid w:val="00C875A4"/>
    <w:rsid w:val="00C877EA"/>
    <w:rsid w:val="00C902A7"/>
    <w:rsid w:val="00C9050B"/>
    <w:rsid w:val="00C90583"/>
    <w:rsid w:val="00C91288"/>
    <w:rsid w:val="00C9284F"/>
    <w:rsid w:val="00C92E7B"/>
    <w:rsid w:val="00C939DA"/>
    <w:rsid w:val="00C94084"/>
    <w:rsid w:val="00C947DF"/>
    <w:rsid w:val="00C94815"/>
    <w:rsid w:val="00C94929"/>
    <w:rsid w:val="00C94AC9"/>
    <w:rsid w:val="00C950D4"/>
    <w:rsid w:val="00C955E0"/>
    <w:rsid w:val="00C95E0C"/>
    <w:rsid w:val="00C970B3"/>
    <w:rsid w:val="00C9742F"/>
    <w:rsid w:val="00C97D0A"/>
    <w:rsid w:val="00C97F25"/>
    <w:rsid w:val="00CA051C"/>
    <w:rsid w:val="00CA0747"/>
    <w:rsid w:val="00CA0938"/>
    <w:rsid w:val="00CA4739"/>
    <w:rsid w:val="00CA4903"/>
    <w:rsid w:val="00CA65C9"/>
    <w:rsid w:val="00CA677A"/>
    <w:rsid w:val="00CA7BFD"/>
    <w:rsid w:val="00CA7F42"/>
    <w:rsid w:val="00CB2011"/>
    <w:rsid w:val="00CB2550"/>
    <w:rsid w:val="00CB2944"/>
    <w:rsid w:val="00CB346A"/>
    <w:rsid w:val="00CB36C0"/>
    <w:rsid w:val="00CB4958"/>
    <w:rsid w:val="00CB4F13"/>
    <w:rsid w:val="00CB61DF"/>
    <w:rsid w:val="00CB681F"/>
    <w:rsid w:val="00CB7125"/>
    <w:rsid w:val="00CB7D1C"/>
    <w:rsid w:val="00CB7F1D"/>
    <w:rsid w:val="00CC25D7"/>
    <w:rsid w:val="00CC3256"/>
    <w:rsid w:val="00CC383B"/>
    <w:rsid w:val="00CC3A09"/>
    <w:rsid w:val="00CC3EA6"/>
    <w:rsid w:val="00CC437E"/>
    <w:rsid w:val="00CC4BAE"/>
    <w:rsid w:val="00CC59E5"/>
    <w:rsid w:val="00CC7252"/>
    <w:rsid w:val="00CC7CF1"/>
    <w:rsid w:val="00CD0A88"/>
    <w:rsid w:val="00CD0E88"/>
    <w:rsid w:val="00CD1643"/>
    <w:rsid w:val="00CD1C76"/>
    <w:rsid w:val="00CD30EE"/>
    <w:rsid w:val="00CD35B5"/>
    <w:rsid w:val="00CD40FF"/>
    <w:rsid w:val="00CD4874"/>
    <w:rsid w:val="00CD5016"/>
    <w:rsid w:val="00CD676C"/>
    <w:rsid w:val="00CD6BFD"/>
    <w:rsid w:val="00CD792C"/>
    <w:rsid w:val="00CD7E37"/>
    <w:rsid w:val="00CD7F03"/>
    <w:rsid w:val="00CE0824"/>
    <w:rsid w:val="00CE0E0B"/>
    <w:rsid w:val="00CE1D73"/>
    <w:rsid w:val="00CE243F"/>
    <w:rsid w:val="00CE24DC"/>
    <w:rsid w:val="00CE2AED"/>
    <w:rsid w:val="00CE309C"/>
    <w:rsid w:val="00CE37DC"/>
    <w:rsid w:val="00CE4087"/>
    <w:rsid w:val="00CE492B"/>
    <w:rsid w:val="00CE4E42"/>
    <w:rsid w:val="00CE58F7"/>
    <w:rsid w:val="00CE6019"/>
    <w:rsid w:val="00CE7042"/>
    <w:rsid w:val="00CE74D9"/>
    <w:rsid w:val="00CF001F"/>
    <w:rsid w:val="00CF0062"/>
    <w:rsid w:val="00CF026D"/>
    <w:rsid w:val="00CF02A6"/>
    <w:rsid w:val="00CF07DF"/>
    <w:rsid w:val="00CF083A"/>
    <w:rsid w:val="00CF1825"/>
    <w:rsid w:val="00CF1E85"/>
    <w:rsid w:val="00CF2DD9"/>
    <w:rsid w:val="00CF31F0"/>
    <w:rsid w:val="00CF3396"/>
    <w:rsid w:val="00CF37EE"/>
    <w:rsid w:val="00CF499B"/>
    <w:rsid w:val="00CF5242"/>
    <w:rsid w:val="00CF55BC"/>
    <w:rsid w:val="00CF604E"/>
    <w:rsid w:val="00CF6876"/>
    <w:rsid w:val="00CF6B03"/>
    <w:rsid w:val="00CF710A"/>
    <w:rsid w:val="00CF7EE0"/>
    <w:rsid w:val="00D0200D"/>
    <w:rsid w:val="00D02288"/>
    <w:rsid w:val="00D02D8F"/>
    <w:rsid w:val="00D02E88"/>
    <w:rsid w:val="00D04587"/>
    <w:rsid w:val="00D04EE3"/>
    <w:rsid w:val="00D054A0"/>
    <w:rsid w:val="00D0576E"/>
    <w:rsid w:val="00D05F9D"/>
    <w:rsid w:val="00D063C3"/>
    <w:rsid w:val="00D06686"/>
    <w:rsid w:val="00D07637"/>
    <w:rsid w:val="00D10363"/>
    <w:rsid w:val="00D10864"/>
    <w:rsid w:val="00D10C6A"/>
    <w:rsid w:val="00D10CE8"/>
    <w:rsid w:val="00D1134A"/>
    <w:rsid w:val="00D11C82"/>
    <w:rsid w:val="00D13254"/>
    <w:rsid w:val="00D135A1"/>
    <w:rsid w:val="00D13D7F"/>
    <w:rsid w:val="00D13E7D"/>
    <w:rsid w:val="00D14EC0"/>
    <w:rsid w:val="00D15005"/>
    <w:rsid w:val="00D16A7C"/>
    <w:rsid w:val="00D16CC8"/>
    <w:rsid w:val="00D1776E"/>
    <w:rsid w:val="00D17A21"/>
    <w:rsid w:val="00D17D1A"/>
    <w:rsid w:val="00D20490"/>
    <w:rsid w:val="00D2156C"/>
    <w:rsid w:val="00D2189B"/>
    <w:rsid w:val="00D228E7"/>
    <w:rsid w:val="00D246D4"/>
    <w:rsid w:val="00D248E3"/>
    <w:rsid w:val="00D24C8E"/>
    <w:rsid w:val="00D24EFB"/>
    <w:rsid w:val="00D25550"/>
    <w:rsid w:val="00D26B26"/>
    <w:rsid w:val="00D270EA"/>
    <w:rsid w:val="00D300E1"/>
    <w:rsid w:val="00D30D88"/>
    <w:rsid w:val="00D31101"/>
    <w:rsid w:val="00D31BBB"/>
    <w:rsid w:val="00D31BC7"/>
    <w:rsid w:val="00D3255A"/>
    <w:rsid w:val="00D3255E"/>
    <w:rsid w:val="00D3323F"/>
    <w:rsid w:val="00D33830"/>
    <w:rsid w:val="00D340BB"/>
    <w:rsid w:val="00D35A22"/>
    <w:rsid w:val="00D3632A"/>
    <w:rsid w:val="00D36D3E"/>
    <w:rsid w:val="00D36E46"/>
    <w:rsid w:val="00D404B4"/>
    <w:rsid w:val="00D40FC8"/>
    <w:rsid w:val="00D436CA"/>
    <w:rsid w:val="00D43790"/>
    <w:rsid w:val="00D43BE0"/>
    <w:rsid w:val="00D43E4A"/>
    <w:rsid w:val="00D4487C"/>
    <w:rsid w:val="00D449FA"/>
    <w:rsid w:val="00D457BF"/>
    <w:rsid w:val="00D47487"/>
    <w:rsid w:val="00D519F5"/>
    <w:rsid w:val="00D53AE4"/>
    <w:rsid w:val="00D54306"/>
    <w:rsid w:val="00D5441D"/>
    <w:rsid w:val="00D554F8"/>
    <w:rsid w:val="00D555C4"/>
    <w:rsid w:val="00D55D72"/>
    <w:rsid w:val="00D55DA7"/>
    <w:rsid w:val="00D56AF0"/>
    <w:rsid w:val="00D57CC2"/>
    <w:rsid w:val="00D57F4A"/>
    <w:rsid w:val="00D605BD"/>
    <w:rsid w:val="00D60A22"/>
    <w:rsid w:val="00D60E0A"/>
    <w:rsid w:val="00D627EF"/>
    <w:rsid w:val="00D62D0E"/>
    <w:rsid w:val="00D6409A"/>
    <w:rsid w:val="00D64E23"/>
    <w:rsid w:val="00D65B71"/>
    <w:rsid w:val="00D66535"/>
    <w:rsid w:val="00D677D4"/>
    <w:rsid w:val="00D677EE"/>
    <w:rsid w:val="00D702EA"/>
    <w:rsid w:val="00D703EB"/>
    <w:rsid w:val="00D72A4C"/>
    <w:rsid w:val="00D73710"/>
    <w:rsid w:val="00D73A07"/>
    <w:rsid w:val="00D74F8C"/>
    <w:rsid w:val="00D75A94"/>
    <w:rsid w:val="00D7644B"/>
    <w:rsid w:val="00D76661"/>
    <w:rsid w:val="00D76832"/>
    <w:rsid w:val="00D775F5"/>
    <w:rsid w:val="00D80624"/>
    <w:rsid w:val="00D8068B"/>
    <w:rsid w:val="00D80D7B"/>
    <w:rsid w:val="00D81D2C"/>
    <w:rsid w:val="00D83134"/>
    <w:rsid w:val="00D83A58"/>
    <w:rsid w:val="00D842C0"/>
    <w:rsid w:val="00D84992"/>
    <w:rsid w:val="00D854C1"/>
    <w:rsid w:val="00D85B26"/>
    <w:rsid w:val="00D8660E"/>
    <w:rsid w:val="00D86E20"/>
    <w:rsid w:val="00D8773D"/>
    <w:rsid w:val="00D906F6"/>
    <w:rsid w:val="00D91643"/>
    <w:rsid w:val="00D9243C"/>
    <w:rsid w:val="00D92798"/>
    <w:rsid w:val="00D9285F"/>
    <w:rsid w:val="00D92A6F"/>
    <w:rsid w:val="00D94150"/>
    <w:rsid w:val="00D95031"/>
    <w:rsid w:val="00D957C6"/>
    <w:rsid w:val="00D968A5"/>
    <w:rsid w:val="00D96BD2"/>
    <w:rsid w:val="00D97883"/>
    <w:rsid w:val="00D97929"/>
    <w:rsid w:val="00DA01CC"/>
    <w:rsid w:val="00DA05CB"/>
    <w:rsid w:val="00DA0ECF"/>
    <w:rsid w:val="00DA1B3F"/>
    <w:rsid w:val="00DA2F9F"/>
    <w:rsid w:val="00DA4330"/>
    <w:rsid w:val="00DA4348"/>
    <w:rsid w:val="00DA4796"/>
    <w:rsid w:val="00DA5148"/>
    <w:rsid w:val="00DA5448"/>
    <w:rsid w:val="00DA5919"/>
    <w:rsid w:val="00DA5D2F"/>
    <w:rsid w:val="00DA6580"/>
    <w:rsid w:val="00DA67B5"/>
    <w:rsid w:val="00DB01D9"/>
    <w:rsid w:val="00DB0523"/>
    <w:rsid w:val="00DB07B6"/>
    <w:rsid w:val="00DB0E6A"/>
    <w:rsid w:val="00DB1FA0"/>
    <w:rsid w:val="00DB39EA"/>
    <w:rsid w:val="00DB4368"/>
    <w:rsid w:val="00DB43FE"/>
    <w:rsid w:val="00DB6FDF"/>
    <w:rsid w:val="00DB7CC1"/>
    <w:rsid w:val="00DB7D74"/>
    <w:rsid w:val="00DC06C0"/>
    <w:rsid w:val="00DC09AE"/>
    <w:rsid w:val="00DC0DB3"/>
    <w:rsid w:val="00DC121D"/>
    <w:rsid w:val="00DC138E"/>
    <w:rsid w:val="00DC207C"/>
    <w:rsid w:val="00DC2365"/>
    <w:rsid w:val="00DC238B"/>
    <w:rsid w:val="00DC2794"/>
    <w:rsid w:val="00DC3FB2"/>
    <w:rsid w:val="00DC4355"/>
    <w:rsid w:val="00DC48AA"/>
    <w:rsid w:val="00DC5058"/>
    <w:rsid w:val="00DC572A"/>
    <w:rsid w:val="00DC669B"/>
    <w:rsid w:val="00DC69CE"/>
    <w:rsid w:val="00DC77A1"/>
    <w:rsid w:val="00DD0459"/>
    <w:rsid w:val="00DD04AF"/>
    <w:rsid w:val="00DD07FA"/>
    <w:rsid w:val="00DD0A3F"/>
    <w:rsid w:val="00DD10EE"/>
    <w:rsid w:val="00DD12D6"/>
    <w:rsid w:val="00DD171C"/>
    <w:rsid w:val="00DD1823"/>
    <w:rsid w:val="00DD1873"/>
    <w:rsid w:val="00DD2244"/>
    <w:rsid w:val="00DD256E"/>
    <w:rsid w:val="00DD292A"/>
    <w:rsid w:val="00DD2E1C"/>
    <w:rsid w:val="00DD2F8F"/>
    <w:rsid w:val="00DD343D"/>
    <w:rsid w:val="00DD37FF"/>
    <w:rsid w:val="00DD387B"/>
    <w:rsid w:val="00DD4028"/>
    <w:rsid w:val="00DD7653"/>
    <w:rsid w:val="00DD777D"/>
    <w:rsid w:val="00DE0E40"/>
    <w:rsid w:val="00DE1101"/>
    <w:rsid w:val="00DE1191"/>
    <w:rsid w:val="00DE12B7"/>
    <w:rsid w:val="00DE138E"/>
    <w:rsid w:val="00DE143B"/>
    <w:rsid w:val="00DE1BCF"/>
    <w:rsid w:val="00DE3525"/>
    <w:rsid w:val="00DE354C"/>
    <w:rsid w:val="00DE3E7C"/>
    <w:rsid w:val="00DE43D0"/>
    <w:rsid w:val="00DE4B42"/>
    <w:rsid w:val="00DE5055"/>
    <w:rsid w:val="00DE5980"/>
    <w:rsid w:val="00DE7924"/>
    <w:rsid w:val="00DE7F18"/>
    <w:rsid w:val="00DF0358"/>
    <w:rsid w:val="00DF0607"/>
    <w:rsid w:val="00DF0BB2"/>
    <w:rsid w:val="00DF0F04"/>
    <w:rsid w:val="00DF10FC"/>
    <w:rsid w:val="00DF1802"/>
    <w:rsid w:val="00DF1DBB"/>
    <w:rsid w:val="00DF3108"/>
    <w:rsid w:val="00DF42ED"/>
    <w:rsid w:val="00DF4673"/>
    <w:rsid w:val="00DF48C3"/>
    <w:rsid w:val="00DF5DCD"/>
    <w:rsid w:val="00DF6062"/>
    <w:rsid w:val="00DF64D8"/>
    <w:rsid w:val="00DF6A5E"/>
    <w:rsid w:val="00DF6E6C"/>
    <w:rsid w:val="00DF7DAB"/>
    <w:rsid w:val="00DF7FA9"/>
    <w:rsid w:val="00E00244"/>
    <w:rsid w:val="00E00D09"/>
    <w:rsid w:val="00E01D89"/>
    <w:rsid w:val="00E035A0"/>
    <w:rsid w:val="00E0449B"/>
    <w:rsid w:val="00E05376"/>
    <w:rsid w:val="00E06835"/>
    <w:rsid w:val="00E06982"/>
    <w:rsid w:val="00E06BD5"/>
    <w:rsid w:val="00E06CCA"/>
    <w:rsid w:val="00E07BFF"/>
    <w:rsid w:val="00E103BB"/>
    <w:rsid w:val="00E10889"/>
    <w:rsid w:val="00E11482"/>
    <w:rsid w:val="00E11740"/>
    <w:rsid w:val="00E1410F"/>
    <w:rsid w:val="00E145E3"/>
    <w:rsid w:val="00E14BF4"/>
    <w:rsid w:val="00E1544B"/>
    <w:rsid w:val="00E16121"/>
    <w:rsid w:val="00E164AF"/>
    <w:rsid w:val="00E2090B"/>
    <w:rsid w:val="00E22685"/>
    <w:rsid w:val="00E22D77"/>
    <w:rsid w:val="00E22DA4"/>
    <w:rsid w:val="00E236CD"/>
    <w:rsid w:val="00E246EB"/>
    <w:rsid w:val="00E24EE1"/>
    <w:rsid w:val="00E256A2"/>
    <w:rsid w:val="00E25FBC"/>
    <w:rsid w:val="00E26ABE"/>
    <w:rsid w:val="00E26B7B"/>
    <w:rsid w:val="00E27798"/>
    <w:rsid w:val="00E27877"/>
    <w:rsid w:val="00E300D0"/>
    <w:rsid w:val="00E3079B"/>
    <w:rsid w:val="00E30F53"/>
    <w:rsid w:val="00E32876"/>
    <w:rsid w:val="00E332AE"/>
    <w:rsid w:val="00E33998"/>
    <w:rsid w:val="00E33BD9"/>
    <w:rsid w:val="00E342DC"/>
    <w:rsid w:val="00E34485"/>
    <w:rsid w:val="00E3556C"/>
    <w:rsid w:val="00E35B25"/>
    <w:rsid w:val="00E36203"/>
    <w:rsid w:val="00E37D04"/>
    <w:rsid w:val="00E37FCF"/>
    <w:rsid w:val="00E40643"/>
    <w:rsid w:val="00E40715"/>
    <w:rsid w:val="00E40FA3"/>
    <w:rsid w:val="00E41435"/>
    <w:rsid w:val="00E4189B"/>
    <w:rsid w:val="00E42A32"/>
    <w:rsid w:val="00E431D1"/>
    <w:rsid w:val="00E43287"/>
    <w:rsid w:val="00E43440"/>
    <w:rsid w:val="00E441DD"/>
    <w:rsid w:val="00E45AB0"/>
    <w:rsid w:val="00E45FDC"/>
    <w:rsid w:val="00E46E20"/>
    <w:rsid w:val="00E47ACE"/>
    <w:rsid w:val="00E502BC"/>
    <w:rsid w:val="00E5031C"/>
    <w:rsid w:val="00E505A1"/>
    <w:rsid w:val="00E50A86"/>
    <w:rsid w:val="00E521A9"/>
    <w:rsid w:val="00E52906"/>
    <w:rsid w:val="00E53124"/>
    <w:rsid w:val="00E534CD"/>
    <w:rsid w:val="00E545A2"/>
    <w:rsid w:val="00E55227"/>
    <w:rsid w:val="00E5693A"/>
    <w:rsid w:val="00E57645"/>
    <w:rsid w:val="00E57A5D"/>
    <w:rsid w:val="00E60571"/>
    <w:rsid w:val="00E60986"/>
    <w:rsid w:val="00E60A0F"/>
    <w:rsid w:val="00E62823"/>
    <w:rsid w:val="00E62AC6"/>
    <w:rsid w:val="00E63081"/>
    <w:rsid w:val="00E63BE6"/>
    <w:rsid w:val="00E645FC"/>
    <w:rsid w:val="00E65815"/>
    <w:rsid w:val="00E6608D"/>
    <w:rsid w:val="00E66110"/>
    <w:rsid w:val="00E662BF"/>
    <w:rsid w:val="00E66C61"/>
    <w:rsid w:val="00E703E3"/>
    <w:rsid w:val="00E70579"/>
    <w:rsid w:val="00E705E1"/>
    <w:rsid w:val="00E731AB"/>
    <w:rsid w:val="00E73502"/>
    <w:rsid w:val="00E73FC0"/>
    <w:rsid w:val="00E74431"/>
    <w:rsid w:val="00E74E9F"/>
    <w:rsid w:val="00E775EC"/>
    <w:rsid w:val="00E776AC"/>
    <w:rsid w:val="00E7781D"/>
    <w:rsid w:val="00E80F76"/>
    <w:rsid w:val="00E81010"/>
    <w:rsid w:val="00E810EA"/>
    <w:rsid w:val="00E811B2"/>
    <w:rsid w:val="00E83B46"/>
    <w:rsid w:val="00E8527B"/>
    <w:rsid w:val="00E8531C"/>
    <w:rsid w:val="00E85BD7"/>
    <w:rsid w:val="00E86153"/>
    <w:rsid w:val="00E8755F"/>
    <w:rsid w:val="00E878A1"/>
    <w:rsid w:val="00E90050"/>
    <w:rsid w:val="00E90A72"/>
    <w:rsid w:val="00E91516"/>
    <w:rsid w:val="00E91A39"/>
    <w:rsid w:val="00E91CF5"/>
    <w:rsid w:val="00E93827"/>
    <w:rsid w:val="00E942F1"/>
    <w:rsid w:val="00E943CA"/>
    <w:rsid w:val="00E94D0B"/>
    <w:rsid w:val="00E95BE8"/>
    <w:rsid w:val="00E95EDA"/>
    <w:rsid w:val="00E9644E"/>
    <w:rsid w:val="00E97045"/>
    <w:rsid w:val="00E9786F"/>
    <w:rsid w:val="00EA082A"/>
    <w:rsid w:val="00EA0834"/>
    <w:rsid w:val="00EA0A6A"/>
    <w:rsid w:val="00EA14D5"/>
    <w:rsid w:val="00EA2064"/>
    <w:rsid w:val="00EA2FEB"/>
    <w:rsid w:val="00EA3971"/>
    <w:rsid w:val="00EA4C83"/>
    <w:rsid w:val="00EA58F5"/>
    <w:rsid w:val="00EA6FDE"/>
    <w:rsid w:val="00EA731B"/>
    <w:rsid w:val="00EA7A2E"/>
    <w:rsid w:val="00EA7A95"/>
    <w:rsid w:val="00EB05AD"/>
    <w:rsid w:val="00EB2F16"/>
    <w:rsid w:val="00EB3B32"/>
    <w:rsid w:val="00EB3B3F"/>
    <w:rsid w:val="00EB4EDA"/>
    <w:rsid w:val="00EB4F20"/>
    <w:rsid w:val="00EB567E"/>
    <w:rsid w:val="00EB5DEF"/>
    <w:rsid w:val="00EB64CC"/>
    <w:rsid w:val="00EB6883"/>
    <w:rsid w:val="00EC2F3C"/>
    <w:rsid w:val="00EC3B42"/>
    <w:rsid w:val="00EC3EF6"/>
    <w:rsid w:val="00EC5B4C"/>
    <w:rsid w:val="00EC6470"/>
    <w:rsid w:val="00EC6938"/>
    <w:rsid w:val="00EC6EB0"/>
    <w:rsid w:val="00EC7350"/>
    <w:rsid w:val="00EC7D14"/>
    <w:rsid w:val="00ED0894"/>
    <w:rsid w:val="00ED19DB"/>
    <w:rsid w:val="00ED1C46"/>
    <w:rsid w:val="00ED1F0E"/>
    <w:rsid w:val="00ED2250"/>
    <w:rsid w:val="00ED2812"/>
    <w:rsid w:val="00ED3064"/>
    <w:rsid w:val="00ED36EB"/>
    <w:rsid w:val="00ED3A01"/>
    <w:rsid w:val="00ED4863"/>
    <w:rsid w:val="00ED5362"/>
    <w:rsid w:val="00ED5455"/>
    <w:rsid w:val="00ED56FA"/>
    <w:rsid w:val="00ED5A1B"/>
    <w:rsid w:val="00ED5AAF"/>
    <w:rsid w:val="00ED6332"/>
    <w:rsid w:val="00ED754A"/>
    <w:rsid w:val="00EE05A6"/>
    <w:rsid w:val="00EE0800"/>
    <w:rsid w:val="00EE20D0"/>
    <w:rsid w:val="00EE249C"/>
    <w:rsid w:val="00EE24EE"/>
    <w:rsid w:val="00EE2619"/>
    <w:rsid w:val="00EE2A65"/>
    <w:rsid w:val="00EE2B84"/>
    <w:rsid w:val="00EE34FA"/>
    <w:rsid w:val="00EE757F"/>
    <w:rsid w:val="00EE7BA7"/>
    <w:rsid w:val="00EE7E21"/>
    <w:rsid w:val="00EF035C"/>
    <w:rsid w:val="00EF09BA"/>
    <w:rsid w:val="00EF0AC7"/>
    <w:rsid w:val="00EF146D"/>
    <w:rsid w:val="00EF262A"/>
    <w:rsid w:val="00EF4022"/>
    <w:rsid w:val="00EF45F4"/>
    <w:rsid w:val="00EF470E"/>
    <w:rsid w:val="00EF49DB"/>
    <w:rsid w:val="00EF59A5"/>
    <w:rsid w:val="00EF6196"/>
    <w:rsid w:val="00EF6DF8"/>
    <w:rsid w:val="00EF7656"/>
    <w:rsid w:val="00EF767A"/>
    <w:rsid w:val="00EF78D1"/>
    <w:rsid w:val="00F02970"/>
    <w:rsid w:val="00F02B46"/>
    <w:rsid w:val="00F031D5"/>
    <w:rsid w:val="00F031E8"/>
    <w:rsid w:val="00F05856"/>
    <w:rsid w:val="00F0623D"/>
    <w:rsid w:val="00F06DFC"/>
    <w:rsid w:val="00F072B9"/>
    <w:rsid w:val="00F07344"/>
    <w:rsid w:val="00F07B84"/>
    <w:rsid w:val="00F07C1D"/>
    <w:rsid w:val="00F107C9"/>
    <w:rsid w:val="00F10AA5"/>
    <w:rsid w:val="00F10AC4"/>
    <w:rsid w:val="00F11C97"/>
    <w:rsid w:val="00F125EB"/>
    <w:rsid w:val="00F12E25"/>
    <w:rsid w:val="00F12F45"/>
    <w:rsid w:val="00F13998"/>
    <w:rsid w:val="00F1485C"/>
    <w:rsid w:val="00F15864"/>
    <w:rsid w:val="00F15D27"/>
    <w:rsid w:val="00F15E84"/>
    <w:rsid w:val="00F1725B"/>
    <w:rsid w:val="00F175A5"/>
    <w:rsid w:val="00F17685"/>
    <w:rsid w:val="00F20C41"/>
    <w:rsid w:val="00F2155B"/>
    <w:rsid w:val="00F21E41"/>
    <w:rsid w:val="00F221A4"/>
    <w:rsid w:val="00F23014"/>
    <w:rsid w:val="00F230A9"/>
    <w:rsid w:val="00F232FF"/>
    <w:rsid w:val="00F243A4"/>
    <w:rsid w:val="00F25396"/>
    <w:rsid w:val="00F26376"/>
    <w:rsid w:val="00F26D90"/>
    <w:rsid w:val="00F27783"/>
    <w:rsid w:val="00F27B3B"/>
    <w:rsid w:val="00F301B8"/>
    <w:rsid w:val="00F31846"/>
    <w:rsid w:val="00F31D72"/>
    <w:rsid w:val="00F31F34"/>
    <w:rsid w:val="00F32A32"/>
    <w:rsid w:val="00F337AE"/>
    <w:rsid w:val="00F33CEF"/>
    <w:rsid w:val="00F33FCE"/>
    <w:rsid w:val="00F3400D"/>
    <w:rsid w:val="00F34696"/>
    <w:rsid w:val="00F34D9B"/>
    <w:rsid w:val="00F34DED"/>
    <w:rsid w:val="00F34F26"/>
    <w:rsid w:val="00F359E4"/>
    <w:rsid w:val="00F36106"/>
    <w:rsid w:val="00F36356"/>
    <w:rsid w:val="00F402E6"/>
    <w:rsid w:val="00F40772"/>
    <w:rsid w:val="00F4086A"/>
    <w:rsid w:val="00F40978"/>
    <w:rsid w:val="00F4100A"/>
    <w:rsid w:val="00F41259"/>
    <w:rsid w:val="00F4180A"/>
    <w:rsid w:val="00F42277"/>
    <w:rsid w:val="00F4253B"/>
    <w:rsid w:val="00F42A66"/>
    <w:rsid w:val="00F443E4"/>
    <w:rsid w:val="00F444F0"/>
    <w:rsid w:val="00F44624"/>
    <w:rsid w:val="00F447A8"/>
    <w:rsid w:val="00F46F34"/>
    <w:rsid w:val="00F4716B"/>
    <w:rsid w:val="00F47203"/>
    <w:rsid w:val="00F47E16"/>
    <w:rsid w:val="00F506CB"/>
    <w:rsid w:val="00F51262"/>
    <w:rsid w:val="00F51BD2"/>
    <w:rsid w:val="00F530E5"/>
    <w:rsid w:val="00F5356C"/>
    <w:rsid w:val="00F53F1F"/>
    <w:rsid w:val="00F5420A"/>
    <w:rsid w:val="00F5499A"/>
    <w:rsid w:val="00F54BFB"/>
    <w:rsid w:val="00F55155"/>
    <w:rsid w:val="00F55F3C"/>
    <w:rsid w:val="00F5666D"/>
    <w:rsid w:val="00F56AED"/>
    <w:rsid w:val="00F57500"/>
    <w:rsid w:val="00F57589"/>
    <w:rsid w:val="00F57992"/>
    <w:rsid w:val="00F579DD"/>
    <w:rsid w:val="00F57F7F"/>
    <w:rsid w:val="00F60745"/>
    <w:rsid w:val="00F60C18"/>
    <w:rsid w:val="00F6132B"/>
    <w:rsid w:val="00F61343"/>
    <w:rsid w:val="00F61BFB"/>
    <w:rsid w:val="00F62BBF"/>
    <w:rsid w:val="00F62C0E"/>
    <w:rsid w:val="00F62C30"/>
    <w:rsid w:val="00F62E4C"/>
    <w:rsid w:val="00F6362C"/>
    <w:rsid w:val="00F638F2"/>
    <w:rsid w:val="00F6426A"/>
    <w:rsid w:val="00F64353"/>
    <w:rsid w:val="00F651ED"/>
    <w:rsid w:val="00F656B8"/>
    <w:rsid w:val="00F65BDB"/>
    <w:rsid w:val="00F65FAB"/>
    <w:rsid w:val="00F6669B"/>
    <w:rsid w:val="00F66A8C"/>
    <w:rsid w:val="00F66BB1"/>
    <w:rsid w:val="00F672EE"/>
    <w:rsid w:val="00F675E8"/>
    <w:rsid w:val="00F67D8C"/>
    <w:rsid w:val="00F7077A"/>
    <w:rsid w:val="00F70887"/>
    <w:rsid w:val="00F70CDF"/>
    <w:rsid w:val="00F71C5D"/>
    <w:rsid w:val="00F71D25"/>
    <w:rsid w:val="00F71E18"/>
    <w:rsid w:val="00F721F2"/>
    <w:rsid w:val="00F74348"/>
    <w:rsid w:val="00F743E1"/>
    <w:rsid w:val="00F74D15"/>
    <w:rsid w:val="00F751B0"/>
    <w:rsid w:val="00F75BAB"/>
    <w:rsid w:val="00F75CFE"/>
    <w:rsid w:val="00F76B66"/>
    <w:rsid w:val="00F76F44"/>
    <w:rsid w:val="00F80ABA"/>
    <w:rsid w:val="00F80BC2"/>
    <w:rsid w:val="00F80F96"/>
    <w:rsid w:val="00F81095"/>
    <w:rsid w:val="00F81180"/>
    <w:rsid w:val="00F8146B"/>
    <w:rsid w:val="00F8154C"/>
    <w:rsid w:val="00F81652"/>
    <w:rsid w:val="00F82C71"/>
    <w:rsid w:val="00F83822"/>
    <w:rsid w:val="00F85A7C"/>
    <w:rsid w:val="00F85D39"/>
    <w:rsid w:val="00F863DE"/>
    <w:rsid w:val="00F87C99"/>
    <w:rsid w:val="00F91F6C"/>
    <w:rsid w:val="00F920F9"/>
    <w:rsid w:val="00F92561"/>
    <w:rsid w:val="00F92E55"/>
    <w:rsid w:val="00F942F2"/>
    <w:rsid w:val="00F945BC"/>
    <w:rsid w:val="00F94AB8"/>
    <w:rsid w:val="00F9527A"/>
    <w:rsid w:val="00F95469"/>
    <w:rsid w:val="00F97316"/>
    <w:rsid w:val="00FA0093"/>
    <w:rsid w:val="00FA018D"/>
    <w:rsid w:val="00FA0554"/>
    <w:rsid w:val="00FA0FD2"/>
    <w:rsid w:val="00FA198A"/>
    <w:rsid w:val="00FA244B"/>
    <w:rsid w:val="00FA2759"/>
    <w:rsid w:val="00FA2A61"/>
    <w:rsid w:val="00FA2BCE"/>
    <w:rsid w:val="00FA335E"/>
    <w:rsid w:val="00FA37F0"/>
    <w:rsid w:val="00FA3DAC"/>
    <w:rsid w:val="00FA4F3F"/>
    <w:rsid w:val="00FA4FB1"/>
    <w:rsid w:val="00FA51E3"/>
    <w:rsid w:val="00FA576F"/>
    <w:rsid w:val="00FA5EFC"/>
    <w:rsid w:val="00FA7206"/>
    <w:rsid w:val="00FA7B1F"/>
    <w:rsid w:val="00FA7CB4"/>
    <w:rsid w:val="00FB00BA"/>
    <w:rsid w:val="00FB053D"/>
    <w:rsid w:val="00FB1114"/>
    <w:rsid w:val="00FB127B"/>
    <w:rsid w:val="00FB23BF"/>
    <w:rsid w:val="00FB2792"/>
    <w:rsid w:val="00FB3798"/>
    <w:rsid w:val="00FB3FF7"/>
    <w:rsid w:val="00FB43E5"/>
    <w:rsid w:val="00FB502C"/>
    <w:rsid w:val="00FB57E3"/>
    <w:rsid w:val="00FB5BEC"/>
    <w:rsid w:val="00FB5EFD"/>
    <w:rsid w:val="00FB6279"/>
    <w:rsid w:val="00FB7B86"/>
    <w:rsid w:val="00FB7F99"/>
    <w:rsid w:val="00FC13A8"/>
    <w:rsid w:val="00FC19BE"/>
    <w:rsid w:val="00FC2134"/>
    <w:rsid w:val="00FC23E0"/>
    <w:rsid w:val="00FC4A09"/>
    <w:rsid w:val="00FC4CC1"/>
    <w:rsid w:val="00FC7357"/>
    <w:rsid w:val="00FC7735"/>
    <w:rsid w:val="00FC77B6"/>
    <w:rsid w:val="00FD0623"/>
    <w:rsid w:val="00FD136F"/>
    <w:rsid w:val="00FD192C"/>
    <w:rsid w:val="00FD2736"/>
    <w:rsid w:val="00FD2B78"/>
    <w:rsid w:val="00FD2BEF"/>
    <w:rsid w:val="00FD2DEC"/>
    <w:rsid w:val="00FD3EF6"/>
    <w:rsid w:val="00FE0029"/>
    <w:rsid w:val="00FE025B"/>
    <w:rsid w:val="00FE1FBD"/>
    <w:rsid w:val="00FE2292"/>
    <w:rsid w:val="00FE2D63"/>
    <w:rsid w:val="00FE4633"/>
    <w:rsid w:val="00FE4C1D"/>
    <w:rsid w:val="00FE4C2E"/>
    <w:rsid w:val="00FE51A2"/>
    <w:rsid w:val="00FE5F36"/>
    <w:rsid w:val="00FE65D6"/>
    <w:rsid w:val="00FE66C6"/>
    <w:rsid w:val="00FE6F5D"/>
    <w:rsid w:val="00FE7AEF"/>
    <w:rsid w:val="00FE7F7F"/>
    <w:rsid w:val="00FF1C92"/>
    <w:rsid w:val="00FF2F1B"/>
    <w:rsid w:val="00FF3424"/>
    <w:rsid w:val="00FF3D95"/>
    <w:rsid w:val="00FF4A00"/>
    <w:rsid w:val="00FF5D08"/>
    <w:rsid w:val="00FF62A1"/>
    <w:rsid w:val="00FF7482"/>
    <w:rsid w:val="00FF75A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FD9369"/>
  <w15:chartTrackingRefBased/>
  <w15:docId w15:val="{366C4429-E65C-482C-A66A-AE2108BF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54C"/>
    <w:rPr>
      <w:rFonts w:ascii="Arial" w:hAnsi="Arial"/>
      <w:lang w:val="en-GB"/>
    </w:rPr>
  </w:style>
  <w:style w:type="paragraph" w:styleId="Heading1">
    <w:name w:val="heading 1"/>
    <w:basedOn w:val="Normal"/>
    <w:next w:val="Normal"/>
    <w:link w:val="Heading1Char"/>
    <w:uiPriority w:val="9"/>
    <w:qFormat/>
    <w:rsid w:val="00FB053D"/>
    <w:pPr>
      <w:keepNext/>
      <w:keepLines/>
      <w:spacing w:before="240" w:after="0"/>
      <w:outlineLvl w:val="0"/>
    </w:pPr>
    <w:rPr>
      <w:rFonts w:eastAsiaTheme="majorEastAsia" w:cstheme="majorBidi"/>
      <w:b/>
      <w:color w:val="365F91" w:themeColor="accent1" w:themeShade="BF"/>
      <w:sz w:val="28"/>
      <w:szCs w:val="32"/>
    </w:rPr>
  </w:style>
  <w:style w:type="paragraph" w:styleId="Heading2">
    <w:name w:val="heading 2"/>
    <w:basedOn w:val="Normal"/>
    <w:next w:val="Normal"/>
    <w:link w:val="Heading2Char"/>
    <w:uiPriority w:val="9"/>
    <w:qFormat/>
    <w:rsid w:val="00055820"/>
    <w:pPr>
      <w:keepNext/>
      <w:keepLines/>
      <w:spacing w:before="200" w:after="0" w:line="360" w:lineRule="auto"/>
      <w:outlineLvl w:val="1"/>
    </w:pPr>
    <w:rPr>
      <w:rFonts w:eastAsia="Times New Roman" w:cs="Times New Roman"/>
      <w:b/>
      <w:bCs/>
      <w:color w:val="0A77B3"/>
      <w:sz w:val="24"/>
      <w:szCs w:val="26"/>
      <w:lang w:val="en-US" w:bidi="en-US"/>
    </w:rPr>
  </w:style>
  <w:style w:type="paragraph" w:styleId="Heading3">
    <w:name w:val="heading 3"/>
    <w:basedOn w:val="Normal"/>
    <w:next w:val="Normal"/>
    <w:link w:val="Heading3Char"/>
    <w:uiPriority w:val="9"/>
    <w:unhideWhenUsed/>
    <w:qFormat/>
    <w:rsid w:val="00447659"/>
    <w:pPr>
      <w:keepNext/>
      <w:keepLines/>
      <w:spacing w:before="40" w:after="240"/>
      <w:ind w:left="708"/>
      <w:outlineLvl w:val="2"/>
    </w:pPr>
    <w:rPr>
      <w:rFonts w:eastAsiaTheme="majorEastAsia" w:cstheme="majorBidi"/>
      <w:b/>
      <w:color w:val="243F60"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1AC7"/>
    <w:rPr>
      <w:rFonts w:ascii="Arial" w:eastAsia="Times New Roman" w:hAnsi="Arial" w:cs="Times New Roman"/>
      <w:b/>
      <w:bCs/>
      <w:color w:val="0A77B3"/>
      <w:sz w:val="24"/>
      <w:szCs w:val="26"/>
      <w:lang w:val="en-US" w:bidi="en-US"/>
    </w:rPr>
  </w:style>
  <w:style w:type="character" w:styleId="Hyperlink">
    <w:name w:val="Hyperlink"/>
    <w:uiPriority w:val="99"/>
    <w:unhideWhenUsed/>
    <w:rsid w:val="005A1AC7"/>
    <w:rPr>
      <w:color w:val="0000FF"/>
      <w:u w:val="single"/>
    </w:rPr>
  </w:style>
  <w:style w:type="character" w:customStyle="1" w:styleId="Heading1Char">
    <w:name w:val="Heading 1 Char"/>
    <w:basedOn w:val="DefaultParagraphFont"/>
    <w:link w:val="Heading1"/>
    <w:uiPriority w:val="9"/>
    <w:rsid w:val="00FB053D"/>
    <w:rPr>
      <w:rFonts w:ascii="Arial" w:eastAsiaTheme="majorEastAsia" w:hAnsi="Arial" w:cstheme="majorBidi"/>
      <w:b/>
      <w:color w:val="365F91" w:themeColor="accent1" w:themeShade="BF"/>
      <w:sz w:val="28"/>
      <w:szCs w:val="32"/>
      <w:lang w:val="en-GB"/>
    </w:rPr>
  </w:style>
  <w:style w:type="paragraph" w:styleId="Title">
    <w:name w:val="Title"/>
    <w:basedOn w:val="Normal"/>
    <w:next w:val="Normal"/>
    <w:link w:val="TitleChar"/>
    <w:uiPriority w:val="10"/>
    <w:qFormat/>
    <w:rsid w:val="00A54D06"/>
    <w:pPr>
      <w:spacing w:after="0" w:line="240" w:lineRule="auto"/>
      <w:contextualSpacing/>
    </w:pPr>
    <w:rPr>
      <w:rFonts w:eastAsiaTheme="majorEastAsia" w:cstheme="majorBidi"/>
      <w:b/>
      <w:color w:val="0070C0"/>
      <w:spacing w:val="-10"/>
      <w:kern w:val="28"/>
      <w:sz w:val="28"/>
      <w:szCs w:val="56"/>
    </w:rPr>
  </w:style>
  <w:style w:type="character" w:customStyle="1" w:styleId="TitleChar">
    <w:name w:val="Title Char"/>
    <w:basedOn w:val="DefaultParagraphFont"/>
    <w:link w:val="Title"/>
    <w:rsid w:val="00A54D06"/>
    <w:rPr>
      <w:rFonts w:ascii="Arial" w:eastAsiaTheme="majorEastAsia" w:hAnsi="Arial" w:cstheme="majorBidi"/>
      <w:b/>
      <w:color w:val="0070C0"/>
      <w:spacing w:val="-10"/>
      <w:kern w:val="28"/>
      <w:sz w:val="28"/>
      <w:szCs w:val="56"/>
      <w:lang w:val="en-GB"/>
    </w:rPr>
  </w:style>
  <w:style w:type="paragraph" w:styleId="NoSpacing">
    <w:name w:val="No Spacing"/>
    <w:uiPriority w:val="1"/>
    <w:qFormat/>
    <w:rsid w:val="00CC3256"/>
    <w:pPr>
      <w:spacing w:after="0" w:line="240" w:lineRule="auto"/>
    </w:pPr>
    <w:rPr>
      <w:lang w:val="en-GB"/>
    </w:rPr>
  </w:style>
  <w:style w:type="paragraph" w:styleId="Header">
    <w:name w:val="header"/>
    <w:basedOn w:val="Normal"/>
    <w:link w:val="HeaderChar"/>
    <w:uiPriority w:val="99"/>
    <w:unhideWhenUsed/>
    <w:rsid w:val="00F62C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62C0E"/>
    <w:rPr>
      <w:rFonts w:ascii="Arial" w:hAnsi="Arial"/>
      <w:lang w:val="en-GB"/>
    </w:rPr>
  </w:style>
  <w:style w:type="paragraph" w:styleId="Footer">
    <w:name w:val="footer"/>
    <w:basedOn w:val="Normal"/>
    <w:link w:val="FooterChar"/>
    <w:uiPriority w:val="99"/>
    <w:unhideWhenUsed/>
    <w:rsid w:val="00F62C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62C0E"/>
    <w:rPr>
      <w:rFonts w:ascii="Arial" w:hAnsi="Arial"/>
      <w:lang w:val="en-GB"/>
    </w:rPr>
  </w:style>
  <w:style w:type="character" w:styleId="FollowedHyperlink">
    <w:name w:val="FollowedHyperlink"/>
    <w:basedOn w:val="DefaultParagraphFont"/>
    <w:uiPriority w:val="99"/>
    <w:semiHidden/>
    <w:unhideWhenUsed/>
    <w:rsid w:val="000A4B4C"/>
    <w:rPr>
      <w:color w:val="800080" w:themeColor="followedHyperlink"/>
      <w:u w:val="single"/>
    </w:rPr>
  </w:style>
  <w:style w:type="character" w:styleId="Mention">
    <w:name w:val="Mention"/>
    <w:basedOn w:val="DefaultParagraphFont"/>
    <w:uiPriority w:val="99"/>
    <w:semiHidden/>
    <w:unhideWhenUsed/>
    <w:rsid w:val="000A4B4C"/>
    <w:rPr>
      <w:color w:val="2B579A"/>
      <w:shd w:val="clear" w:color="auto" w:fill="E6E6E6"/>
    </w:rPr>
  </w:style>
  <w:style w:type="paragraph" w:styleId="ListParagraph">
    <w:name w:val="List Paragraph"/>
    <w:basedOn w:val="Normal"/>
    <w:uiPriority w:val="34"/>
    <w:qFormat/>
    <w:rsid w:val="003A3B17"/>
    <w:pPr>
      <w:ind w:left="720"/>
      <w:contextualSpacing/>
    </w:pPr>
  </w:style>
  <w:style w:type="character" w:styleId="CommentReference">
    <w:name w:val="annotation reference"/>
    <w:basedOn w:val="DefaultParagraphFont"/>
    <w:uiPriority w:val="99"/>
    <w:semiHidden/>
    <w:unhideWhenUsed/>
    <w:qFormat/>
    <w:rsid w:val="00784C67"/>
    <w:rPr>
      <w:sz w:val="16"/>
      <w:szCs w:val="16"/>
    </w:rPr>
  </w:style>
  <w:style w:type="paragraph" w:styleId="CommentText">
    <w:name w:val="annotation text"/>
    <w:basedOn w:val="Normal"/>
    <w:link w:val="CommentTextChar"/>
    <w:uiPriority w:val="99"/>
    <w:unhideWhenUsed/>
    <w:qFormat/>
    <w:rsid w:val="00784C67"/>
    <w:pPr>
      <w:spacing w:line="240" w:lineRule="auto"/>
    </w:pPr>
    <w:rPr>
      <w:sz w:val="20"/>
      <w:szCs w:val="20"/>
    </w:rPr>
  </w:style>
  <w:style w:type="character" w:customStyle="1" w:styleId="CommentTextChar">
    <w:name w:val="Comment Text Char"/>
    <w:basedOn w:val="DefaultParagraphFont"/>
    <w:link w:val="CommentText"/>
    <w:uiPriority w:val="99"/>
    <w:qFormat/>
    <w:rsid w:val="00784C6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784C67"/>
    <w:rPr>
      <w:b/>
      <w:bCs/>
    </w:rPr>
  </w:style>
  <w:style w:type="character" w:customStyle="1" w:styleId="CommentSubjectChar">
    <w:name w:val="Comment Subject Char"/>
    <w:basedOn w:val="CommentTextChar"/>
    <w:link w:val="CommentSubject"/>
    <w:uiPriority w:val="99"/>
    <w:semiHidden/>
    <w:rsid w:val="00784C67"/>
    <w:rPr>
      <w:rFonts w:ascii="Arial" w:hAnsi="Arial"/>
      <w:b/>
      <w:bCs/>
      <w:sz w:val="20"/>
      <w:szCs w:val="20"/>
      <w:lang w:val="en-GB"/>
    </w:rPr>
  </w:style>
  <w:style w:type="paragraph" w:styleId="BalloonText">
    <w:name w:val="Balloon Text"/>
    <w:basedOn w:val="Normal"/>
    <w:link w:val="BalloonTextChar"/>
    <w:uiPriority w:val="99"/>
    <w:semiHidden/>
    <w:unhideWhenUsed/>
    <w:rsid w:val="00784C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C67"/>
    <w:rPr>
      <w:rFonts w:ascii="Segoe UI" w:hAnsi="Segoe UI" w:cs="Segoe UI"/>
      <w:sz w:val="18"/>
      <w:szCs w:val="18"/>
      <w:lang w:val="en-GB"/>
    </w:rPr>
  </w:style>
  <w:style w:type="character" w:customStyle="1" w:styleId="UnresolvedMention1">
    <w:name w:val="Unresolved Mention1"/>
    <w:basedOn w:val="DefaultParagraphFont"/>
    <w:uiPriority w:val="99"/>
    <w:semiHidden/>
    <w:unhideWhenUsed/>
    <w:rsid w:val="009379AA"/>
    <w:rPr>
      <w:color w:val="605E5C"/>
      <w:shd w:val="clear" w:color="auto" w:fill="E1DFDD"/>
    </w:rPr>
  </w:style>
  <w:style w:type="paragraph" w:styleId="EndnoteText">
    <w:name w:val="endnote text"/>
    <w:basedOn w:val="Normal"/>
    <w:link w:val="EndnoteTextChar"/>
    <w:uiPriority w:val="99"/>
    <w:unhideWhenUsed/>
    <w:rsid w:val="00DA5D2F"/>
    <w:pPr>
      <w:spacing w:after="0" w:line="240" w:lineRule="auto"/>
    </w:pPr>
    <w:rPr>
      <w:rFonts w:asciiTheme="minorHAnsi" w:hAnsiTheme="minorHAnsi"/>
      <w:sz w:val="20"/>
      <w:szCs w:val="20"/>
      <w:lang w:val="fr-BE"/>
    </w:rPr>
  </w:style>
  <w:style w:type="character" w:customStyle="1" w:styleId="EndnoteTextChar">
    <w:name w:val="Endnote Text Char"/>
    <w:basedOn w:val="DefaultParagraphFont"/>
    <w:link w:val="EndnoteText"/>
    <w:uiPriority w:val="99"/>
    <w:rsid w:val="00DA5D2F"/>
    <w:rPr>
      <w:sz w:val="20"/>
      <w:szCs w:val="20"/>
    </w:rPr>
  </w:style>
  <w:style w:type="character" w:styleId="EndnoteReference">
    <w:name w:val="endnote reference"/>
    <w:basedOn w:val="DefaultParagraphFont"/>
    <w:uiPriority w:val="99"/>
    <w:semiHidden/>
    <w:unhideWhenUsed/>
    <w:rsid w:val="00DA5D2F"/>
    <w:rPr>
      <w:vertAlign w:val="superscript"/>
    </w:rPr>
  </w:style>
  <w:style w:type="paragraph" w:styleId="NormalWeb">
    <w:name w:val="Normal (Web)"/>
    <w:basedOn w:val="Normal"/>
    <w:uiPriority w:val="99"/>
    <w:semiHidden/>
    <w:unhideWhenUsed/>
    <w:rsid w:val="0089408E"/>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E811B2"/>
    <w:rPr>
      <w:color w:val="605E5C"/>
      <w:shd w:val="clear" w:color="auto" w:fill="E1DFDD"/>
    </w:rPr>
  </w:style>
  <w:style w:type="paragraph" w:styleId="FootnoteText">
    <w:name w:val="footnote text"/>
    <w:basedOn w:val="Normal"/>
    <w:link w:val="FootnoteTextChar"/>
    <w:uiPriority w:val="99"/>
    <w:unhideWhenUsed/>
    <w:qFormat/>
    <w:rsid w:val="00AD700C"/>
    <w:pPr>
      <w:spacing w:after="0" w:line="240" w:lineRule="auto"/>
    </w:pPr>
    <w:rPr>
      <w:sz w:val="20"/>
      <w:szCs w:val="20"/>
    </w:rPr>
  </w:style>
  <w:style w:type="character" w:customStyle="1" w:styleId="FootnoteTextChar">
    <w:name w:val="Footnote Text Char"/>
    <w:basedOn w:val="DefaultParagraphFont"/>
    <w:link w:val="FootnoteText"/>
    <w:uiPriority w:val="99"/>
    <w:qFormat/>
    <w:rsid w:val="00AD700C"/>
    <w:rPr>
      <w:rFonts w:ascii="Arial" w:hAnsi="Arial"/>
      <w:sz w:val="20"/>
      <w:szCs w:val="20"/>
      <w:lang w:val="en-GB"/>
    </w:rPr>
  </w:style>
  <w:style w:type="character" w:styleId="FootnoteReference">
    <w:name w:val="footnote reference"/>
    <w:aliases w:val="Footnote Reference (Alt+R),ftref,Ref,de nota al pie,4_G"/>
    <w:basedOn w:val="DefaultParagraphFont"/>
    <w:uiPriority w:val="99"/>
    <w:unhideWhenUsed/>
    <w:qFormat/>
    <w:rsid w:val="00AD700C"/>
    <w:rPr>
      <w:vertAlign w:val="superscript"/>
    </w:rPr>
  </w:style>
  <w:style w:type="character" w:customStyle="1" w:styleId="Heading3Char">
    <w:name w:val="Heading 3 Char"/>
    <w:basedOn w:val="DefaultParagraphFont"/>
    <w:link w:val="Heading3"/>
    <w:uiPriority w:val="9"/>
    <w:rsid w:val="00447659"/>
    <w:rPr>
      <w:rFonts w:ascii="Arial" w:eastAsiaTheme="majorEastAsia" w:hAnsi="Arial" w:cstheme="majorBidi"/>
      <w:b/>
      <w:color w:val="243F60" w:themeColor="accent1" w:themeShade="7F"/>
      <w:szCs w:val="24"/>
      <w:lang w:val="en-GB"/>
    </w:rPr>
  </w:style>
  <w:style w:type="character" w:customStyle="1" w:styleId="Mentionnonrsolue1">
    <w:name w:val="Mention non résolue1"/>
    <w:basedOn w:val="DefaultParagraphFont"/>
    <w:uiPriority w:val="99"/>
    <w:semiHidden/>
    <w:unhideWhenUsed/>
    <w:rsid w:val="0007074B"/>
    <w:rPr>
      <w:color w:val="605E5C"/>
      <w:shd w:val="clear" w:color="auto" w:fill="E1DFDD"/>
    </w:rPr>
  </w:style>
  <w:style w:type="paragraph" w:customStyle="1" w:styleId="Default">
    <w:name w:val="Default"/>
    <w:rsid w:val="00031197"/>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8622B2"/>
    <w:pPr>
      <w:spacing w:line="259" w:lineRule="auto"/>
      <w:outlineLvl w:val="9"/>
    </w:pPr>
    <w:rPr>
      <w:rFonts w:asciiTheme="majorHAnsi" w:hAnsiTheme="majorHAnsi"/>
      <w:b w:val="0"/>
      <w:sz w:val="32"/>
      <w:lang w:val="en-US"/>
    </w:rPr>
  </w:style>
  <w:style w:type="paragraph" w:styleId="TOC1">
    <w:name w:val="toc 1"/>
    <w:basedOn w:val="Normal"/>
    <w:next w:val="Normal"/>
    <w:autoRedefine/>
    <w:uiPriority w:val="39"/>
    <w:unhideWhenUsed/>
    <w:rsid w:val="008622B2"/>
    <w:pPr>
      <w:spacing w:after="100"/>
    </w:pPr>
  </w:style>
  <w:style w:type="paragraph" w:styleId="TOC2">
    <w:name w:val="toc 2"/>
    <w:basedOn w:val="Normal"/>
    <w:next w:val="Normal"/>
    <w:autoRedefine/>
    <w:uiPriority w:val="39"/>
    <w:unhideWhenUsed/>
    <w:rsid w:val="008622B2"/>
    <w:pPr>
      <w:spacing w:after="100"/>
      <w:ind w:left="220"/>
    </w:pPr>
  </w:style>
  <w:style w:type="paragraph" w:styleId="TOC3">
    <w:name w:val="toc 3"/>
    <w:basedOn w:val="Normal"/>
    <w:next w:val="Normal"/>
    <w:autoRedefine/>
    <w:uiPriority w:val="39"/>
    <w:unhideWhenUsed/>
    <w:rsid w:val="008622B2"/>
    <w:pPr>
      <w:spacing w:after="100"/>
      <w:ind w:left="440"/>
    </w:pPr>
  </w:style>
  <w:style w:type="character" w:customStyle="1" w:styleId="A10">
    <w:name w:val="A10"/>
    <w:uiPriority w:val="99"/>
    <w:rsid w:val="00CD0E88"/>
    <w:rPr>
      <w:rFonts w:cs="QNFQU P+ Interstate"/>
      <w:color w:val="000000"/>
      <w:sz w:val="12"/>
      <w:szCs w:val="12"/>
    </w:rPr>
  </w:style>
  <w:style w:type="character" w:styleId="Strong">
    <w:name w:val="Strong"/>
    <w:basedOn w:val="DefaultParagraphFont"/>
    <w:uiPriority w:val="22"/>
    <w:qFormat/>
    <w:rsid w:val="00061A9F"/>
    <w:rPr>
      <w:b/>
      <w:bCs/>
    </w:rPr>
  </w:style>
  <w:style w:type="paragraph" w:customStyle="1" w:styleId="Pa4">
    <w:name w:val="Pa4"/>
    <w:basedOn w:val="Default"/>
    <w:next w:val="Default"/>
    <w:uiPriority w:val="99"/>
    <w:rsid w:val="00ED4863"/>
    <w:pPr>
      <w:spacing w:line="220" w:lineRule="atLeast"/>
    </w:pPr>
    <w:rPr>
      <w:rFonts w:ascii="Interstate Light" w:hAnsi="Interstate Light" w:cstheme="minorBidi"/>
      <w:color w:val="auto"/>
    </w:rPr>
  </w:style>
  <w:style w:type="paragraph" w:customStyle="1" w:styleId="Normal1">
    <w:name w:val="Normal1"/>
    <w:basedOn w:val="Normal"/>
    <w:rsid w:val="00F06DFC"/>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customStyle="1" w:styleId="p11">
    <w:name w:val="p11"/>
    <w:basedOn w:val="Normal"/>
    <w:rsid w:val="006A3F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6A3F57"/>
  </w:style>
  <w:style w:type="character" w:customStyle="1" w:styleId="s21">
    <w:name w:val="s21"/>
    <w:basedOn w:val="DefaultParagraphFont"/>
    <w:rsid w:val="006A3F57"/>
  </w:style>
  <w:style w:type="character" w:customStyle="1" w:styleId="Mentionnonrsolue2">
    <w:name w:val="Mention non résolue2"/>
    <w:basedOn w:val="DefaultParagraphFont"/>
    <w:uiPriority w:val="99"/>
    <w:semiHidden/>
    <w:unhideWhenUsed/>
    <w:rsid w:val="006A3F57"/>
    <w:rPr>
      <w:color w:val="605E5C"/>
      <w:shd w:val="clear" w:color="auto" w:fill="E1DFDD"/>
    </w:rPr>
  </w:style>
  <w:style w:type="character" w:customStyle="1" w:styleId="A5">
    <w:name w:val="A5"/>
    <w:uiPriority w:val="99"/>
    <w:rsid w:val="00F1725B"/>
    <w:rPr>
      <w:rFonts w:cs="DaxlinePro"/>
      <w:color w:val="000000"/>
      <w:sz w:val="10"/>
      <w:szCs w:val="10"/>
    </w:rPr>
  </w:style>
  <w:style w:type="table" w:styleId="TableGrid">
    <w:name w:val="Table Grid"/>
    <w:basedOn w:val="TableNormal"/>
    <w:uiPriority w:val="59"/>
    <w:rsid w:val="00FB6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RMChar">
    <w:name w:val="FootnoteRM Char"/>
    <w:basedOn w:val="DefaultParagraphFont"/>
    <w:link w:val="FootnoteRM"/>
    <w:locked/>
    <w:rsid w:val="00A37FAF"/>
    <w:rPr>
      <w:rFonts w:cstheme="minorHAnsi"/>
      <w:sz w:val="18"/>
      <w:szCs w:val="18"/>
    </w:rPr>
  </w:style>
  <w:style w:type="paragraph" w:customStyle="1" w:styleId="FootnoteRM">
    <w:name w:val="FootnoteRM"/>
    <w:basedOn w:val="FootnoteText"/>
    <w:link w:val="FootnoteRMChar"/>
    <w:qFormat/>
    <w:rsid w:val="00A37FAF"/>
    <w:pPr>
      <w:jc w:val="both"/>
    </w:pPr>
    <w:rPr>
      <w:rFonts w:asciiTheme="minorHAnsi" w:hAnsiTheme="minorHAnsi" w:cstheme="minorHAnsi"/>
      <w:sz w:val="18"/>
      <w:szCs w:val="18"/>
      <w:lang w:val="fr-BE"/>
    </w:rPr>
  </w:style>
  <w:style w:type="character" w:styleId="UnresolvedMention">
    <w:name w:val="Unresolved Mention"/>
    <w:basedOn w:val="DefaultParagraphFont"/>
    <w:uiPriority w:val="99"/>
    <w:semiHidden/>
    <w:unhideWhenUsed/>
    <w:rsid w:val="004C5C94"/>
    <w:rPr>
      <w:color w:val="605E5C"/>
      <w:shd w:val="clear" w:color="auto" w:fill="E1DFDD"/>
    </w:rPr>
  </w:style>
  <w:style w:type="paragraph" w:styleId="Revision">
    <w:name w:val="Revision"/>
    <w:hidden/>
    <w:uiPriority w:val="99"/>
    <w:semiHidden/>
    <w:rsid w:val="0017435D"/>
    <w:pPr>
      <w:spacing w:after="0" w:line="240" w:lineRule="auto"/>
    </w:pPr>
    <w:rPr>
      <w:rFonts w:ascii="Arial" w:hAnsi="Arial"/>
      <w:lang w:val="en-GB"/>
    </w:rPr>
  </w:style>
  <w:style w:type="character" w:customStyle="1" w:styleId="Caractresdenotedebasdepage">
    <w:name w:val="Caractères de note de bas de page"/>
    <w:rsid w:val="009C24CB"/>
    <w:rPr>
      <w:rFonts w:ascii="TimesNewRomanPS" w:hAnsi="TimesNewRomanPS" w:cs="TimesNewRomanPS"/>
      <w:position w:val="6"/>
    </w:rPr>
  </w:style>
  <w:style w:type="paragraph" w:customStyle="1" w:styleId="Pa1">
    <w:name w:val="Pa1"/>
    <w:basedOn w:val="Default"/>
    <w:next w:val="Default"/>
    <w:uiPriority w:val="99"/>
    <w:rsid w:val="00B23C3D"/>
    <w:pPr>
      <w:spacing w:line="221" w:lineRule="atLeast"/>
    </w:pPr>
    <w:rPr>
      <w:rFonts w:ascii="NXCAE V+ Interstate" w:hAnsi="NXCAE V+ Interstate" w:cstheme="minorBidi"/>
      <w:color w:val="auto"/>
    </w:rPr>
  </w:style>
  <w:style w:type="character" w:customStyle="1" w:styleId="A16">
    <w:name w:val="A16"/>
    <w:uiPriority w:val="99"/>
    <w:rsid w:val="00976C67"/>
    <w:rPr>
      <w:rFonts w:cs="NXCAE V+ Interstate"/>
      <w:color w:val="000000"/>
      <w:sz w:val="19"/>
      <w:szCs w:val="19"/>
    </w:rPr>
  </w:style>
  <w:style w:type="paragraph" w:customStyle="1" w:styleId="CoverTitle">
    <w:name w:val="Cover Title"/>
    <w:basedOn w:val="Normal"/>
    <w:next w:val="Normal"/>
    <w:link w:val="CoverTitleChar"/>
    <w:qFormat/>
    <w:rsid w:val="00F443E4"/>
    <w:pPr>
      <w:spacing w:before="840" w:after="0" w:line="240" w:lineRule="auto"/>
    </w:pPr>
    <w:rPr>
      <w:b/>
      <w:color w:val="FFFFFF" w:themeColor="background1"/>
      <w:sz w:val="96"/>
    </w:rPr>
  </w:style>
  <w:style w:type="paragraph" w:styleId="Subtitle">
    <w:name w:val="Subtitle"/>
    <w:basedOn w:val="Normal"/>
    <w:next w:val="Normal"/>
    <w:link w:val="SubtitleChar"/>
    <w:qFormat/>
    <w:rsid w:val="00E55227"/>
    <w:pPr>
      <w:numPr>
        <w:ilvl w:val="1"/>
      </w:numPr>
      <w:spacing w:before="120" w:after="120" w:line="259" w:lineRule="auto"/>
    </w:pPr>
    <w:rPr>
      <w:rFonts w:eastAsiaTheme="minorEastAsia" w:cs="Times New Roman"/>
      <w:b/>
      <w:color w:val="FFFFFF" w:themeColor="background1"/>
      <w:spacing w:val="15"/>
      <w:sz w:val="40"/>
      <w:lang w:val="en-US"/>
    </w:rPr>
  </w:style>
  <w:style w:type="character" w:customStyle="1" w:styleId="CoverTitleChar">
    <w:name w:val="Cover Title Char"/>
    <w:basedOn w:val="TitleChar"/>
    <w:link w:val="CoverTitle"/>
    <w:rsid w:val="00F443E4"/>
    <w:rPr>
      <w:rFonts w:ascii="Arial" w:eastAsiaTheme="majorEastAsia" w:hAnsi="Arial" w:cstheme="majorBidi"/>
      <w:b/>
      <w:color w:val="FFFFFF" w:themeColor="background1"/>
      <w:spacing w:val="-10"/>
      <w:kern w:val="28"/>
      <w:sz w:val="96"/>
      <w:szCs w:val="56"/>
      <w:lang w:val="en-GB"/>
    </w:rPr>
  </w:style>
  <w:style w:type="character" w:customStyle="1" w:styleId="SubtitleChar">
    <w:name w:val="Subtitle Char"/>
    <w:basedOn w:val="DefaultParagraphFont"/>
    <w:link w:val="Subtitle"/>
    <w:rsid w:val="00E55227"/>
    <w:rPr>
      <w:rFonts w:ascii="Arial" w:eastAsiaTheme="minorEastAsia" w:hAnsi="Arial" w:cs="Times New Roman"/>
      <w:b/>
      <w:color w:val="FFFFFF" w:themeColor="background1"/>
      <w:spacing w:val="15"/>
      <w:sz w:val="40"/>
      <w:lang w:val="en-US"/>
    </w:rPr>
  </w:style>
  <w:style w:type="paragraph" w:customStyle="1" w:styleId="paragraph">
    <w:name w:val="paragraph"/>
    <w:basedOn w:val="Normal"/>
    <w:rsid w:val="001B7244"/>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normaltextrun">
    <w:name w:val="normaltextrun"/>
    <w:basedOn w:val="DefaultParagraphFont"/>
    <w:rsid w:val="001B7244"/>
  </w:style>
  <w:style w:type="character" w:customStyle="1" w:styleId="eop">
    <w:name w:val="eop"/>
    <w:basedOn w:val="DefaultParagraphFont"/>
    <w:rsid w:val="001B7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11381">
      <w:bodyDiv w:val="1"/>
      <w:marLeft w:val="0"/>
      <w:marRight w:val="0"/>
      <w:marTop w:val="0"/>
      <w:marBottom w:val="0"/>
      <w:divBdr>
        <w:top w:val="none" w:sz="0" w:space="0" w:color="auto"/>
        <w:left w:val="none" w:sz="0" w:space="0" w:color="auto"/>
        <w:bottom w:val="none" w:sz="0" w:space="0" w:color="auto"/>
        <w:right w:val="none" w:sz="0" w:space="0" w:color="auto"/>
      </w:divBdr>
    </w:div>
    <w:div w:id="42750436">
      <w:bodyDiv w:val="1"/>
      <w:marLeft w:val="0"/>
      <w:marRight w:val="0"/>
      <w:marTop w:val="0"/>
      <w:marBottom w:val="0"/>
      <w:divBdr>
        <w:top w:val="none" w:sz="0" w:space="0" w:color="auto"/>
        <w:left w:val="none" w:sz="0" w:space="0" w:color="auto"/>
        <w:bottom w:val="none" w:sz="0" w:space="0" w:color="auto"/>
        <w:right w:val="none" w:sz="0" w:space="0" w:color="auto"/>
      </w:divBdr>
    </w:div>
    <w:div w:id="43068729">
      <w:bodyDiv w:val="1"/>
      <w:marLeft w:val="0"/>
      <w:marRight w:val="0"/>
      <w:marTop w:val="0"/>
      <w:marBottom w:val="0"/>
      <w:divBdr>
        <w:top w:val="none" w:sz="0" w:space="0" w:color="auto"/>
        <w:left w:val="none" w:sz="0" w:space="0" w:color="auto"/>
        <w:bottom w:val="none" w:sz="0" w:space="0" w:color="auto"/>
        <w:right w:val="none" w:sz="0" w:space="0" w:color="auto"/>
      </w:divBdr>
    </w:div>
    <w:div w:id="64954656">
      <w:bodyDiv w:val="1"/>
      <w:marLeft w:val="0"/>
      <w:marRight w:val="0"/>
      <w:marTop w:val="0"/>
      <w:marBottom w:val="0"/>
      <w:divBdr>
        <w:top w:val="none" w:sz="0" w:space="0" w:color="auto"/>
        <w:left w:val="none" w:sz="0" w:space="0" w:color="auto"/>
        <w:bottom w:val="none" w:sz="0" w:space="0" w:color="auto"/>
        <w:right w:val="none" w:sz="0" w:space="0" w:color="auto"/>
      </w:divBdr>
    </w:div>
    <w:div w:id="69279431">
      <w:bodyDiv w:val="1"/>
      <w:marLeft w:val="0"/>
      <w:marRight w:val="0"/>
      <w:marTop w:val="0"/>
      <w:marBottom w:val="0"/>
      <w:divBdr>
        <w:top w:val="none" w:sz="0" w:space="0" w:color="auto"/>
        <w:left w:val="none" w:sz="0" w:space="0" w:color="auto"/>
        <w:bottom w:val="none" w:sz="0" w:space="0" w:color="auto"/>
        <w:right w:val="none" w:sz="0" w:space="0" w:color="auto"/>
      </w:divBdr>
      <w:divsChild>
        <w:div w:id="1566834711">
          <w:marLeft w:val="0"/>
          <w:marRight w:val="0"/>
          <w:marTop w:val="0"/>
          <w:marBottom w:val="0"/>
          <w:divBdr>
            <w:top w:val="none" w:sz="0" w:space="0" w:color="auto"/>
            <w:left w:val="none" w:sz="0" w:space="0" w:color="auto"/>
            <w:bottom w:val="none" w:sz="0" w:space="0" w:color="auto"/>
            <w:right w:val="none" w:sz="0" w:space="0" w:color="auto"/>
          </w:divBdr>
          <w:divsChild>
            <w:div w:id="10876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7492">
      <w:bodyDiv w:val="1"/>
      <w:marLeft w:val="0"/>
      <w:marRight w:val="0"/>
      <w:marTop w:val="0"/>
      <w:marBottom w:val="0"/>
      <w:divBdr>
        <w:top w:val="none" w:sz="0" w:space="0" w:color="auto"/>
        <w:left w:val="none" w:sz="0" w:space="0" w:color="auto"/>
        <w:bottom w:val="none" w:sz="0" w:space="0" w:color="auto"/>
        <w:right w:val="none" w:sz="0" w:space="0" w:color="auto"/>
      </w:divBdr>
    </w:div>
    <w:div w:id="98839805">
      <w:bodyDiv w:val="1"/>
      <w:marLeft w:val="0"/>
      <w:marRight w:val="0"/>
      <w:marTop w:val="0"/>
      <w:marBottom w:val="0"/>
      <w:divBdr>
        <w:top w:val="none" w:sz="0" w:space="0" w:color="auto"/>
        <w:left w:val="none" w:sz="0" w:space="0" w:color="auto"/>
        <w:bottom w:val="none" w:sz="0" w:space="0" w:color="auto"/>
        <w:right w:val="none" w:sz="0" w:space="0" w:color="auto"/>
      </w:divBdr>
    </w:div>
    <w:div w:id="154078336">
      <w:bodyDiv w:val="1"/>
      <w:marLeft w:val="0"/>
      <w:marRight w:val="0"/>
      <w:marTop w:val="0"/>
      <w:marBottom w:val="0"/>
      <w:divBdr>
        <w:top w:val="none" w:sz="0" w:space="0" w:color="auto"/>
        <w:left w:val="none" w:sz="0" w:space="0" w:color="auto"/>
        <w:bottom w:val="none" w:sz="0" w:space="0" w:color="auto"/>
        <w:right w:val="none" w:sz="0" w:space="0" w:color="auto"/>
      </w:divBdr>
    </w:div>
    <w:div w:id="186256321">
      <w:bodyDiv w:val="1"/>
      <w:marLeft w:val="0"/>
      <w:marRight w:val="0"/>
      <w:marTop w:val="0"/>
      <w:marBottom w:val="0"/>
      <w:divBdr>
        <w:top w:val="none" w:sz="0" w:space="0" w:color="auto"/>
        <w:left w:val="none" w:sz="0" w:space="0" w:color="auto"/>
        <w:bottom w:val="none" w:sz="0" w:space="0" w:color="auto"/>
        <w:right w:val="none" w:sz="0" w:space="0" w:color="auto"/>
      </w:divBdr>
    </w:div>
    <w:div w:id="252252094">
      <w:bodyDiv w:val="1"/>
      <w:marLeft w:val="0"/>
      <w:marRight w:val="0"/>
      <w:marTop w:val="0"/>
      <w:marBottom w:val="0"/>
      <w:divBdr>
        <w:top w:val="none" w:sz="0" w:space="0" w:color="auto"/>
        <w:left w:val="none" w:sz="0" w:space="0" w:color="auto"/>
        <w:bottom w:val="none" w:sz="0" w:space="0" w:color="auto"/>
        <w:right w:val="none" w:sz="0" w:space="0" w:color="auto"/>
      </w:divBdr>
    </w:div>
    <w:div w:id="271597674">
      <w:bodyDiv w:val="1"/>
      <w:marLeft w:val="0"/>
      <w:marRight w:val="0"/>
      <w:marTop w:val="0"/>
      <w:marBottom w:val="0"/>
      <w:divBdr>
        <w:top w:val="none" w:sz="0" w:space="0" w:color="auto"/>
        <w:left w:val="none" w:sz="0" w:space="0" w:color="auto"/>
        <w:bottom w:val="none" w:sz="0" w:space="0" w:color="auto"/>
        <w:right w:val="none" w:sz="0" w:space="0" w:color="auto"/>
      </w:divBdr>
    </w:div>
    <w:div w:id="327904071">
      <w:bodyDiv w:val="1"/>
      <w:marLeft w:val="0"/>
      <w:marRight w:val="0"/>
      <w:marTop w:val="0"/>
      <w:marBottom w:val="0"/>
      <w:divBdr>
        <w:top w:val="none" w:sz="0" w:space="0" w:color="auto"/>
        <w:left w:val="none" w:sz="0" w:space="0" w:color="auto"/>
        <w:bottom w:val="none" w:sz="0" w:space="0" w:color="auto"/>
        <w:right w:val="none" w:sz="0" w:space="0" w:color="auto"/>
      </w:divBdr>
    </w:div>
    <w:div w:id="341049779">
      <w:bodyDiv w:val="1"/>
      <w:marLeft w:val="0"/>
      <w:marRight w:val="0"/>
      <w:marTop w:val="0"/>
      <w:marBottom w:val="0"/>
      <w:divBdr>
        <w:top w:val="none" w:sz="0" w:space="0" w:color="auto"/>
        <w:left w:val="none" w:sz="0" w:space="0" w:color="auto"/>
        <w:bottom w:val="none" w:sz="0" w:space="0" w:color="auto"/>
        <w:right w:val="none" w:sz="0" w:space="0" w:color="auto"/>
      </w:divBdr>
    </w:div>
    <w:div w:id="353969462">
      <w:bodyDiv w:val="1"/>
      <w:marLeft w:val="0"/>
      <w:marRight w:val="0"/>
      <w:marTop w:val="0"/>
      <w:marBottom w:val="0"/>
      <w:divBdr>
        <w:top w:val="none" w:sz="0" w:space="0" w:color="auto"/>
        <w:left w:val="none" w:sz="0" w:space="0" w:color="auto"/>
        <w:bottom w:val="none" w:sz="0" w:space="0" w:color="auto"/>
        <w:right w:val="none" w:sz="0" w:space="0" w:color="auto"/>
      </w:divBdr>
    </w:div>
    <w:div w:id="359162882">
      <w:bodyDiv w:val="1"/>
      <w:marLeft w:val="0"/>
      <w:marRight w:val="0"/>
      <w:marTop w:val="0"/>
      <w:marBottom w:val="0"/>
      <w:divBdr>
        <w:top w:val="none" w:sz="0" w:space="0" w:color="auto"/>
        <w:left w:val="none" w:sz="0" w:space="0" w:color="auto"/>
        <w:bottom w:val="none" w:sz="0" w:space="0" w:color="auto"/>
        <w:right w:val="none" w:sz="0" w:space="0" w:color="auto"/>
      </w:divBdr>
    </w:div>
    <w:div w:id="377440260">
      <w:bodyDiv w:val="1"/>
      <w:marLeft w:val="0"/>
      <w:marRight w:val="0"/>
      <w:marTop w:val="0"/>
      <w:marBottom w:val="0"/>
      <w:divBdr>
        <w:top w:val="none" w:sz="0" w:space="0" w:color="auto"/>
        <w:left w:val="none" w:sz="0" w:space="0" w:color="auto"/>
        <w:bottom w:val="none" w:sz="0" w:space="0" w:color="auto"/>
        <w:right w:val="none" w:sz="0" w:space="0" w:color="auto"/>
      </w:divBdr>
    </w:div>
    <w:div w:id="406735584">
      <w:bodyDiv w:val="1"/>
      <w:marLeft w:val="0"/>
      <w:marRight w:val="0"/>
      <w:marTop w:val="0"/>
      <w:marBottom w:val="0"/>
      <w:divBdr>
        <w:top w:val="none" w:sz="0" w:space="0" w:color="auto"/>
        <w:left w:val="none" w:sz="0" w:space="0" w:color="auto"/>
        <w:bottom w:val="none" w:sz="0" w:space="0" w:color="auto"/>
        <w:right w:val="none" w:sz="0" w:space="0" w:color="auto"/>
      </w:divBdr>
    </w:div>
    <w:div w:id="410736454">
      <w:bodyDiv w:val="1"/>
      <w:marLeft w:val="0"/>
      <w:marRight w:val="0"/>
      <w:marTop w:val="0"/>
      <w:marBottom w:val="0"/>
      <w:divBdr>
        <w:top w:val="none" w:sz="0" w:space="0" w:color="auto"/>
        <w:left w:val="none" w:sz="0" w:space="0" w:color="auto"/>
        <w:bottom w:val="none" w:sz="0" w:space="0" w:color="auto"/>
        <w:right w:val="none" w:sz="0" w:space="0" w:color="auto"/>
      </w:divBdr>
    </w:div>
    <w:div w:id="464469648">
      <w:bodyDiv w:val="1"/>
      <w:marLeft w:val="0"/>
      <w:marRight w:val="0"/>
      <w:marTop w:val="0"/>
      <w:marBottom w:val="0"/>
      <w:divBdr>
        <w:top w:val="none" w:sz="0" w:space="0" w:color="auto"/>
        <w:left w:val="none" w:sz="0" w:space="0" w:color="auto"/>
        <w:bottom w:val="none" w:sz="0" w:space="0" w:color="auto"/>
        <w:right w:val="none" w:sz="0" w:space="0" w:color="auto"/>
      </w:divBdr>
    </w:div>
    <w:div w:id="466433780">
      <w:bodyDiv w:val="1"/>
      <w:marLeft w:val="0"/>
      <w:marRight w:val="0"/>
      <w:marTop w:val="0"/>
      <w:marBottom w:val="0"/>
      <w:divBdr>
        <w:top w:val="none" w:sz="0" w:space="0" w:color="auto"/>
        <w:left w:val="none" w:sz="0" w:space="0" w:color="auto"/>
        <w:bottom w:val="none" w:sz="0" w:space="0" w:color="auto"/>
        <w:right w:val="none" w:sz="0" w:space="0" w:color="auto"/>
      </w:divBdr>
    </w:div>
    <w:div w:id="472790748">
      <w:bodyDiv w:val="1"/>
      <w:marLeft w:val="0"/>
      <w:marRight w:val="0"/>
      <w:marTop w:val="0"/>
      <w:marBottom w:val="0"/>
      <w:divBdr>
        <w:top w:val="none" w:sz="0" w:space="0" w:color="auto"/>
        <w:left w:val="none" w:sz="0" w:space="0" w:color="auto"/>
        <w:bottom w:val="none" w:sz="0" w:space="0" w:color="auto"/>
        <w:right w:val="none" w:sz="0" w:space="0" w:color="auto"/>
      </w:divBdr>
      <w:divsChild>
        <w:div w:id="1593005605">
          <w:marLeft w:val="0"/>
          <w:marRight w:val="0"/>
          <w:marTop w:val="0"/>
          <w:marBottom w:val="0"/>
          <w:divBdr>
            <w:top w:val="none" w:sz="0" w:space="0" w:color="auto"/>
            <w:left w:val="none" w:sz="0" w:space="0" w:color="auto"/>
            <w:bottom w:val="none" w:sz="0" w:space="0" w:color="auto"/>
            <w:right w:val="none" w:sz="0" w:space="0" w:color="auto"/>
          </w:divBdr>
        </w:div>
        <w:div w:id="1573470861">
          <w:marLeft w:val="0"/>
          <w:marRight w:val="0"/>
          <w:marTop w:val="0"/>
          <w:marBottom w:val="0"/>
          <w:divBdr>
            <w:top w:val="none" w:sz="0" w:space="0" w:color="auto"/>
            <w:left w:val="none" w:sz="0" w:space="0" w:color="auto"/>
            <w:bottom w:val="none" w:sz="0" w:space="0" w:color="auto"/>
            <w:right w:val="none" w:sz="0" w:space="0" w:color="auto"/>
          </w:divBdr>
        </w:div>
        <w:div w:id="775906904">
          <w:marLeft w:val="0"/>
          <w:marRight w:val="0"/>
          <w:marTop w:val="0"/>
          <w:marBottom w:val="0"/>
          <w:divBdr>
            <w:top w:val="none" w:sz="0" w:space="0" w:color="auto"/>
            <w:left w:val="none" w:sz="0" w:space="0" w:color="auto"/>
            <w:bottom w:val="none" w:sz="0" w:space="0" w:color="auto"/>
            <w:right w:val="none" w:sz="0" w:space="0" w:color="auto"/>
          </w:divBdr>
        </w:div>
      </w:divsChild>
    </w:div>
    <w:div w:id="484472962">
      <w:bodyDiv w:val="1"/>
      <w:marLeft w:val="0"/>
      <w:marRight w:val="0"/>
      <w:marTop w:val="0"/>
      <w:marBottom w:val="0"/>
      <w:divBdr>
        <w:top w:val="none" w:sz="0" w:space="0" w:color="auto"/>
        <w:left w:val="none" w:sz="0" w:space="0" w:color="auto"/>
        <w:bottom w:val="none" w:sz="0" w:space="0" w:color="auto"/>
        <w:right w:val="none" w:sz="0" w:space="0" w:color="auto"/>
      </w:divBdr>
    </w:div>
    <w:div w:id="552426245">
      <w:bodyDiv w:val="1"/>
      <w:marLeft w:val="0"/>
      <w:marRight w:val="0"/>
      <w:marTop w:val="0"/>
      <w:marBottom w:val="0"/>
      <w:divBdr>
        <w:top w:val="none" w:sz="0" w:space="0" w:color="auto"/>
        <w:left w:val="none" w:sz="0" w:space="0" w:color="auto"/>
        <w:bottom w:val="none" w:sz="0" w:space="0" w:color="auto"/>
        <w:right w:val="none" w:sz="0" w:space="0" w:color="auto"/>
      </w:divBdr>
    </w:div>
    <w:div w:id="561529831">
      <w:bodyDiv w:val="1"/>
      <w:marLeft w:val="0"/>
      <w:marRight w:val="0"/>
      <w:marTop w:val="0"/>
      <w:marBottom w:val="0"/>
      <w:divBdr>
        <w:top w:val="none" w:sz="0" w:space="0" w:color="auto"/>
        <w:left w:val="none" w:sz="0" w:space="0" w:color="auto"/>
        <w:bottom w:val="none" w:sz="0" w:space="0" w:color="auto"/>
        <w:right w:val="none" w:sz="0" w:space="0" w:color="auto"/>
      </w:divBdr>
    </w:div>
    <w:div w:id="567232270">
      <w:bodyDiv w:val="1"/>
      <w:marLeft w:val="0"/>
      <w:marRight w:val="0"/>
      <w:marTop w:val="0"/>
      <w:marBottom w:val="0"/>
      <w:divBdr>
        <w:top w:val="none" w:sz="0" w:space="0" w:color="auto"/>
        <w:left w:val="none" w:sz="0" w:space="0" w:color="auto"/>
        <w:bottom w:val="none" w:sz="0" w:space="0" w:color="auto"/>
        <w:right w:val="none" w:sz="0" w:space="0" w:color="auto"/>
      </w:divBdr>
    </w:div>
    <w:div w:id="585386750">
      <w:bodyDiv w:val="1"/>
      <w:marLeft w:val="0"/>
      <w:marRight w:val="0"/>
      <w:marTop w:val="0"/>
      <w:marBottom w:val="0"/>
      <w:divBdr>
        <w:top w:val="none" w:sz="0" w:space="0" w:color="auto"/>
        <w:left w:val="none" w:sz="0" w:space="0" w:color="auto"/>
        <w:bottom w:val="none" w:sz="0" w:space="0" w:color="auto"/>
        <w:right w:val="none" w:sz="0" w:space="0" w:color="auto"/>
      </w:divBdr>
    </w:div>
    <w:div w:id="601111732">
      <w:bodyDiv w:val="1"/>
      <w:marLeft w:val="0"/>
      <w:marRight w:val="0"/>
      <w:marTop w:val="0"/>
      <w:marBottom w:val="0"/>
      <w:divBdr>
        <w:top w:val="none" w:sz="0" w:space="0" w:color="auto"/>
        <w:left w:val="none" w:sz="0" w:space="0" w:color="auto"/>
        <w:bottom w:val="none" w:sz="0" w:space="0" w:color="auto"/>
        <w:right w:val="none" w:sz="0" w:space="0" w:color="auto"/>
      </w:divBdr>
    </w:div>
    <w:div w:id="719211941">
      <w:bodyDiv w:val="1"/>
      <w:marLeft w:val="0"/>
      <w:marRight w:val="0"/>
      <w:marTop w:val="0"/>
      <w:marBottom w:val="0"/>
      <w:divBdr>
        <w:top w:val="none" w:sz="0" w:space="0" w:color="auto"/>
        <w:left w:val="none" w:sz="0" w:space="0" w:color="auto"/>
        <w:bottom w:val="none" w:sz="0" w:space="0" w:color="auto"/>
        <w:right w:val="none" w:sz="0" w:space="0" w:color="auto"/>
      </w:divBdr>
    </w:div>
    <w:div w:id="733312569">
      <w:bodyDiv w:val="1"/>
      <w:marLeft w:val="0"/>
      <w:marRight w:val="0"/>
      <w:marTop w:val="0"/>
      <w:marBottom w:val="0"/>
      <w:divBdr>
        <w:top w:val="none" w:sz="0" w:space="0" w:color="auto"/>
        <w:left w:val="none" w:sz="0" w:space="0" w:color="auto"/>
        <w:bottom w:val="none" w:sz="0" w:space="0" w:color="auto"/>
        <w:right w:val="none" w:sz="0" w:space="0" w:color="auto"/>
      </w:divBdr>
    </w:div>
    <w:div w:id="746461332">
      <w:bodyDiv w:val="1"/>
      <w:marLeft w:val="0"/>
      <w:marRight w:val="0"/>
      <w:marTop w:val="0"/>
      <w:marBottom w:val="0"/>
      <w:divBdr>
        <w:top w:val="none" w:sz="0" w:space="0" w:color="auto"/>
        <w:left w:val="none" w:sz="0" w:space="0" w:color="auto"/>
        <w:bottom w:val="none" w:sz="0" w:space="0" w:color="auto"/>
        <w:right w:val="none" w:sz="0" w:space="0" w:color="auto"/>
      </w:divBdr>
    </w:div>
    <w:div w:id="747576943">
      <w:bodyDiv w:val="1"/>
      <w:marLeft w:val="0"/>
      <w:marRight w:val="0"/>
      <w:marTop w:val="0"/>
      <w:marBottom w:val="0"/>
      <w:divBdr>
        <w:top w:val="none" w:sz="0" w:space="0" w:color="auto"/>
        <w:left w:val="none" w:sz="0" w:space="0" w:color="auto"/>
        <w:bottom w:val="none" w:sz="0" w:space="0" w:color="auto"/>
        <w:right w:val="none" w:sz="0" w:space="0" w:color="auto"/>
      </w:divBdr>
    </w:div>
    <w:div w:id="812988421">
      <w:bodyDiv w:val="1"/>
      <w:marLeft w:val="0"/>
      <w:marRight w:val="0"/>
      <w:marTop w:val="0"/>
      <w:marBottom w:val="0"/>
      <w:divBdr>
        <w:top w:val="none" w:sz="0" w:space="0" w:color="auto"/>
        <w:left w:val="none" w:sz="0" w:space="0" w:color="auto"/>
        <w:bottom w:val="none" w:sz="0" w:space="0" w:color="auto"/>
        <w:right w:val="none" w:sz="0" w:space="0" w:color="auto"/>
      </w:divBdr>
    </w:div>
    <w:div w:id="825825859">
      <w:bodyDiv w:val="1"/>
      <w:marLeft w:val="0"/>
      <w:marRight w:val="0"/>
      <w:marTop w:val="0"/>
      <w:marBottom w:val="0"/>
      <w:divBdr>
        <w:top w:val="none" w:sz="0" w:space="0" w:color="auto"/>
        <w:left w:val="none" w:sz="0" w:space="0" w:color="auto"/>
        <w:bottom w:val="none" w:sz="0" w:space="0" w:color="auto"/>
        <w:right w:val="none" w:sz="0" w:space="0" w:color="auto"/>
      </w:divBdr>
    </w:div>
    <w:div w:id="844520471">
      <w:bodyDiv w:val="1"/>
      <w:marLeft w:val="0"/>
      <w:marRight w:val="0"/>
      <w:marTop w:val="0"/>
      <w:marBottom w:val="0"/>
      <w:divBdr>
        <w:top w:val="none" w:sz="0" w:space="0" w:color="auto"/>
        <w:left w:val="none" w:sz="0" w:space="0" w:color="auto"/>
        <w:bottom w:val="none" w:sz="0" w:space="0" w:color="auto"/>
        <w:right w:val="none" w:sz="0" w:space="0" w:color="auto"/>
      </w:divBdr>
    </w:div>
    <w:div w:id="866522908">
      <w:bodyDiv w:val="1"/>
      <w:marLeft w:val="0"/>
      <w:marRight w:val="0"/>
      <w:marTop w:val="0"/>
      <w:marBottom w:val="0"/>
      <w:divBdr>
        <w:top w:val="none" w:sz="0" w:space="0" w:color="auto"/>
        <w:left w:val="none" w:sz="0" w:space="0" w:color="auto"/>
        <w:bottom w:val="none" w:sz="0" w:space="0" w:color="auto"/>
        <w:right w:val="none" w:sz="0" w:space="0" w:color="auto"/>
      </w:divBdr>
    </w:div>
    <w:div w:id="894505348">
      <w:bodyDiv w:val="1"/>
      <w:marLeft w:val="0"/>
      <w:marRight w:val="0"/>
      <w:marTop w:val="0"/>
      <w:marBottom w:val="0"/>
      <w:divBdr>
        <w:top w:val="none" w:sz="0" w:space="0" w:color="auto"/>
        <w:left w:val="none" w:sz="0" w:space="0" w:color="auto"/>
        <w:bottom w:val="none" w:sz="0" w:space="0" w:color="auto"/>
        <w:right w:val="none" w:sz="0" w:space="0" w:color="auto"/>
      </w:divBdr>
    </w:div>
    <w:div w:id="931161743">
      <w:bodyDiv w:val="1"/>
      <w:marLeft w:val="0"/>
      <w:marRight w:val="0"/>
      <w:marTop w:val="0"/>
      <w:marBottom w:val="0"/>
      <w:divBdr>
        <w:top w:val="none" w:sz="0" w:space="0" w:color="auto"/>
        <w:left w:val="none" w:sz="0" w:space="0" w:color="auto"/>
        <w:bottom w:val="none" w:sz="0" w:space="0" w:color="auto"/>
        <w:right w:val="none" w:sz="0" w:space="0" w:color="auto"/>
      </w:divBdr>
    </w:div>
    <w:div w:id="942150216">
      <w:bodyDiv w:val="1"/>
      <w:marLeft w:val="0"/>
      <w:marRight w:val="0"/>
      <w:marTop w:val="0"/>
      <w:marBottom w:val="0"/>
      <w:divBdr>
        <w:top w:val="none" w:sz="0" w:space="0" w:color="auto"/>
        <w:left w:val="none" w:sz="0" w:space="0" w:color="auto"/>
        <w:bottom w:val="none" w:sz="0" w:space="0" w:color="auto"/>
        <w:right w:val="none" w:sz="0" w:space="0" w:color="auto"/>
      </w:divBdr>
    </w:div>
    <w:div w:id="943347959">
      <w:bodyDiv w:val="1"/>
      <w:marLeft w:val="0"/>
      <w:marRight w:val="0"/>
      <w:marTop w:val="0"/>
      <w:marBottom w:val="0"/>
      <w:divBdr>
        <w:top w:val="none" w:sz="0" w:space="0" w:color="auto"/>
        <w:left w:val="none" w:sz="0" w:space="0" w:color="auto"/>
        <w:bottom w:val="none" w:sz="0" w:space="0" w:color="auto"/>
        <w:right w:val="none" w:sz="0" w:space="0" w:color="auto"/>
      </w:divBdr>
    </w:div>
    <w:div w:id="957837982">
      <w:bodyDiv w:val="1"/>
      <w:marLeft w:val="0"/>
      <w:marRight w:val="0"/>
      <w:marTop w:val="0"/>
      <w:marBottom w:val="0"/>
      <w:divBdr>
        <w:top w:val="none" w:sz="0" w:space="0" w:color="auto"/>
        <w:left w:val="none" w:sz="0" w:space="0" w:color="auto"/>
        <w:bottom w:val="none" w:sz="0" w:space="0" w:color="auto"/>
        <w:right w:val="none" w:sz="0" w:space="0" w:color="auto"/>
      </w:divBdr>
    </w:div>
    <w:div w:id="965619287">
      <w:bodyDiv w:val="1"/>
      <w:marLeft w:val="0"/>
      <w:marRight w:val="0"/>
      <w:marTop w:val="0"/>
      <w:marBottom w:val="0"/>
      <w:divBdr>
        <w:top w:val="none" w:sz="0" w:space="0" w:color="auto"/>
        <w:left w:val="none" w:sz="0" w:space="0" w:color="auto"/>
        <w:bottom w:val="none" w:sz="0" w:space="0" w:color="auto"/>
        <w:right w:val="none" w:sz="0" w:space="0" w:color="auto"/>
      </w:divBdr>
    </w:div>
    <w:div w:id="1065028251">
      <w:bodyDiv w:val="1"/>
      <w:marLeft w:val="0"/>
      <w:marRight w:val="0"/>
      <w:marTop w:val="0"/>
      <w:marBottom w:val="0"/>
      <w:divBdr>
        <w:top w:val="none" w:sz="0" w:space="0" w:color="auto"/>
        <w:left w:val="none" w:sz="0" w:space="0" w:color="auto"/>
        <w:bottom w:val="none" w:sz="0" w:space="0" w:color="auto"/>
        <w:right w:val="none" w:sz="0" w:space="0" w:color="auto"/>
      </w:divBdr>
    </w:div>
    <w:div w:id="1111899284">
      <w:bodyDiv w:val="1"/>
      <w:marLeft w:val="0"/>
      <w:marRight w:val="0"/>
      <w:marTop w:val="0"/>
      <w:marBottom w:val="0"/>
      <w:divBdr>
        <w:top w:val="none" w:sz="0" w:space="0" w:color="auto"/>
        <w:left w:val="none" w:sz="0" w:space="0" w:color="auto"/>
        <w:bottom w:val="none" w:sz="0" w:space="0" w:color="auto"/>
        <w:right w:val="none" w:sz="0" w:space="0" w:color="auto"/>
      </w:divBdr>
      <w:divsChild>
        <w:div w:id="1358431100">
          <w:marLeft w:val="0"/>
          <w:marRight w:val="0"/>
          <w:marTop w:val="0"/>
          <w:marBottom w:val="0"/>
          <w:divBdr>
            <w:top w:val="none" w:sz="0" w:space="0" w:color="auto"/>
            <w:left w:val="none" w:sz="0" w:space="0" w:color="auto"/>
            <w:bottom w:val="none" w:sz="0" w:space="0" w:color="auto"/>
            <w:right w:val="none" w:sz="0" w:space="0" w:color="auto"/>
          </w:divBdr>
          <w:divsChild>
            <w:div w:id="18593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8664">
      <w:bodyDiv w:val="1"/>
      <w:marLeft w:val="0"/>
      <w:marRight w:val="0"/>
      <w:marTop w:val="0"/>
      <w:marBottom w:val="0"/>
      <w:divBdr>
        <w:top w:val="none" w:sz="0" w:space="0" w:color="auto"/>
        <w:left w:val="none" w:sz="0" w:space="0" w:color="auto"/>
        <w:bottom w:val="none" w:sz="0" w:space="0" w:color="auto"/>
        <w:right w:val="none" w:sz="0" w:space="0" w:color="auto"/>
      </w:divBdr>
    </w:div>
    <w:div w:id="1164199528">
      <w:bodyDiv w:val="1"/>
      <w:marLeft w:val="0"/>
      <w:marRight w:val="0"/>
      <w:marTop w:val="0"/>
      <w:marBottom w:val="0"/>
      <w:divBdr>
        <w:top w:val="none" w:sz="0" w:space="0" w:color="auto"/>
        <w:left w:val="none" w:sz="0" w:space="0" w:color="auto"/>
        <w:bottom w:val="none" w:sz="0" w:space="0" w:color="auto"/>
        <w:right w:val="none" w:sz="0" w:space="0" w:color="auto"/>
      </w:divBdr>
    </w:div>
    <w:div w:id="1170102784">
      <w:bodyDiv w:val="1"/>
      <w:marLeft w:val="0"/>
      <w:marRight w:val="0"/>
      <w:marTop w:val="0"/>
      <w:marBottom w:val="0"/>
      <w:divBdr>
        <w:top w:val="none" w:sz="0" w:space="0" w:color="auto"/>
        <w:left w:val="none" w:sz="0" w:space="0" w:color="auto"/>
        <w:bottom w:val="none" w:sz="0" w:space="0" w:color="auto"/>
        <w:right w:val="none" w:sz="0" w:space="0" w:color="auto"/>
      </w:divBdr>
    </w:div>
    <w:div w:id="1192382359">
      <w:bodyDiv w:val="1"/>
      <w:marLeft w:val="0"/>
      <w:marRight w:val="0"/>
      <w:marTop w:val="0"/>
      <w:marBottom w:val="0"/>
      <w:divBdr>
        <w:top w:val="none" w:sz="0" w:space="0" w:color="auto"/>
        <w:left w:val="none" w:sz="0" w:space="0" w:color="auto"/>
        <w:bottom w:val="none" w:sz="0" w:space="0" w:color="auto"/>
        <w:right w:val="none" w:sz="0" w:space="0" w:color="auto"/>
      </w:divBdr>
    </w:div>
    <w:div w:id="1232697830">
      <w:bodyDiv w:val="1"/>
      <w:marLeft w:val="0"/>
      <w:marRight w:val="0"/>
      <w:marTop w:val="0"/>
      <w:marBottom w:val="0"/>
      <w:divBdr>
        <w:top w:val="none" w:sz="0" w:space="0" w:color="auto"/>
        <w:left w:val="none" w:sz="0" w:space="0" w:color="auto"/>
        <w:bottom w:val="none" w:sz="0" w:space="0" w:color="auto"/>
        <w:right w:val="none" w:sz="0" w:space="0" w:color="auto"/>
      </w:divBdr>
    </w:div>
    <w:div w:id="1265108598">
      <w:bodyDiv w:val="1"/>
      <w:marLeft w:val="0"/>
      <w:marRight w:val="0"/>
      <w:marTop w:val="0"/>
      <w:marBottom w:val="0"/>
      <w:divBdr>
        <w:top w:val="none" w:sz="0" w:space="0" w:color="auto"/>
        <w:left w:val="none" w:sz="0" w:space="0" w:color="auto"/>
        <w:bottom w:val="none" w:sz="0" w:space="0" w:color="auto"/>
        <w:right w:val="none" w:sz="0" w:space="0" w:color="auto"/>
      </w:divBdr>
    </w:div>
    <w:div w:id="1295870488">
      <w:bodyDiv w:val="1"/>
      <w:marLeft w:val="0"/>
      <w:marRight w:val="0"/>
      <w:marTop w:val="0"/>
      <w:marBottom w:val="0"/>
      <w:divBdr>
        <w:top w:val="none" w:sz="0" w:space="0" w:color="auto"/>
        <w:left w:val="none" w:sz="0" w:space="0" w:color="auto"/>
        <w:bottom w:val="none" w:sz="0" w:space="0" w:color="auto"/>
        <w:right w:val="none" w:sz="0" w:space="0" w:color="auto"/>
      </w:divBdr>
    </w:div>
    <w:div w:id="1320118176">
      <w:bodyDiv w:val="1"/>
      <w:marLeft w:val="0"/>
      <w:marRight w:val="0"/>
      <w:marTop w:val="0"/>
      <w:marBottom w:val="0"/>
      <w:divBdr>
        <w:top w:val="none" w:sz="0" w:space="0" w:color="auto"/>
        <w:left w:val="none" w:sz="0" w:space="0" w:color="auto"/>
        <w:bottom w:val="none" w:sz="0" w:space="0" w:color="auto"/>
        <w:right w:val="none" w:sz="0" w:space="0" w:color="auto"/>
      </w:divBdr>
    </w:div>
    <w:div w:id="1320386174">
      <w:bodyDiv w:val="1"/>
      <w:marLeft w:val="0"/>
      <w:marRight w:val="0"/>
      <w:marTop w:val="0"/>
      <w:marBottom w:val="0"/>
      <w:divBdr>
        <w:top w:val="none" w:sz="0" w:space="0" w:color="auto"/>
        <w:left w:val="none" w:sz="0" w:space="0" w:color="auto"/>
        <w:bottom w:val="none" w:sz="0" w:space="0" w:color="auto"/>
        <w:right w:val="none" w:sz="0" w:space="0" w:color="auto"/>
      </w:divBdr>
    </w:div>
    <w:div w:id="1334526479">
      <w:bodyDiv w:val="1"/>
      <w:marLeft w:val="0"/>
      <w:marRight w:val="0"/>
      <w:marTop w:val="0"/>
      <w:marBottom w:val="0"/>
      <w:divBdr>
        <w:top w:val="none" w:sz="0" w:space="0" w:color="auto"/>
        <w:left w:val="none" w:sz="0" w:space="0" w:color="auto"/>
        <w:bottom w:val="none" w:sz="0" w:space="0" w:color="auto"/>
        <w:right w:val="none" w:sz="0" w:space="0" w:color="auto"/>
      </w:divBdr>
    </w:div>
    <w:div w:id="1376000622">
      <w:bodyDiv w:val="1"/>
      <w:marLeft w:val="0"/>
      <w:marRight w:val="0"/>
      <w:marTop w:val="0"/>
      <w:marBottom w:val="0"/>
      <w:divBdr>
        <w:top w:val="none" w:sz="0" w:space="0" w:color="auto"/>
        <w:left w:val="none" w:sz="0" w:space="0" w:color="auto"/>
        <w:bottom w:val="none" w:sz="0" w:space="0" w:color="auto"/>
        <w:right w:val="none" w:sz="0" w:space="0" w:color="auto"/>
      </w:divBdr>
    </w:div>
    <w:div w:id="1381054995">
      <w:bodyDiv w:val="1"/>
      <w:marLeft w:val="0"/>
      <w:marRight w:val="0"/>
      <w:marTop w:val="0"/>
      <w:marBottom w:val="0"/>
      <w:divBdr>
        <w:top w:val="none" w:sz="0" w:space="0" w:color="auto"/>
        <w:left w:val="none" w:sz="0" w:space="0" w:color="auto"/>
        <w:bottom w:val="none" w:sz="0" w:space="0" w:color="auto"/>
        <w:right w:val="none" w:sz="0" w:space="0" w:color="auto"/>
      </w:divBdr>
    </w:div>
    <w:div w:id="1390837731">
      <w:bodyDiv w:val="1"/>
      <w:marLeft w:val="0"/>
      <w:marRight w:val="0"/>
      <w:marTop w:val="0"/>
      <w:marBottom w:val="0"/>
      <w:divBdr>
        <w:top w:val="none" w:sz="0" w:space="0" w:color="auto"/>
        <w:left w:val="none" w:sz="0" w:space="0" w:color="auto"/>
        <w:bottom w:val="none" w:sz="0" w:space="0" w:color="auto"/>
        <w:right w:val="none" w:sz="0" w:space="0" w:color="auto"/>
      </w:divBdr>
    </w:div>
    <w:div w:id="1398936807">
      <w:bodyDiv w:val="1"/>
      <w:marLeft w:val="0"/>
      <w:marRight w:val="0"/>
      <w:marTop w:val="0"/>
      <w:marBottom w:val="0"/>
      <w:divBdr>
        <w:top w:val="none" w:sz="0" w:space="0" w:color="auto"/>
        <w:left w:val="none" w:sz="0" w:space="0" w:color="auto"/>
        <w:bottom w:val="none" w:sz="0" w:space="0" w:color="auto"/>
        <w:right w:val="none" w:sz="0" w:space="0" w:color="auto"/>
      </w:divBdr>
      <w:divsChild>
        <w:div w:id="1248271778">
          <w:marLeft w:val="0"/>
          <w:marRight w:val="0"/>
          <w:marTop w:val="0"/>
          <w:marBottom w:val="0"/>
          <w:divBdr>
            <w:top w:val="none" w:sz="0" w:space="0" w:color="auto"/>
            <w:left w:val="none" w:sz="0" w:space="0" w:color="auto"/>
            <w:bottom w:val="none" w:sz="0" w:space="0" w:color="auto"/>
            <w:right w:val="none" w:sz="0" w:space="0" w:color="auto"/>
          </w:divBdr>
          <w:divsChild>
            <w:div w:id="185638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4428">
      <w:bodyDiv w:val="1"/>
      <w:marLeft w:val="0"/>
      <w:marRight w:val="0"/>
      <w:marTop w:val="0"/>
      <w:marBottom w:val="0"/>
      <w:divBdr>
        <w:top w:val="none" w:sz="0" w:space="0" w:color="auto"/>
        <w:left w:val="none" w:sz="0" w:space="0" w:color="auto"/>
        <w:bottom w:val="none" w:sz="0" w:space="0" w:color="auto"/>
        <w:right w:val="none" w:sz="0" w:space="0" w:color="auto"/>
      </w:divBdr>
    </w:div>
    <w:div w:id="1461606172">
      <w:bodyDiv w:val="1"/>
      <w:marLeft w:val="0"/>
      <w:marRight w:val="0"/>
      <w:marTop w:val="0"/>
      <w:marBottom w:val="0"/>
      <w:divBdr>
        <w:top w:val="none" w:sz="0" w:space="0" w:color="auto"/>
        <w:left w:val="none" w:sz="0" w:space="0" w:color="auto"/>
        <w:bottom w:val="none" w:sz="0" w:space="0" w:color="auto"/>
        <w:right w:val="none" w:sz="0" w:space="0" w:color="auto"/>
      </w:divBdr>
    </w:div>
    <w:div w:id="1516649535">
      <w:bodyDiv w:val="1"/>
      <w:marLeft w:val="0"/>
      <w:marRight w:val="0"/>
      <w:marTop w:val="0"/>
      <w:marBottom w:val="0"/>
      <w:divBdr>
        <w:top w:val="none" w:sz="0" w:space="0" w:color="auto"/>
        <w:left w:val="none" w:sz="0" w:space="0" w:color="auto"/>
        <w:bottom w:val="none" w:sz="0" w:space="0" w:color="auto"/>
        <w:right w:val="none" w:sz="0" w:space="0" w:color="auto"/>
      </w:divBdr>
    </w:div>
    <w:div w:id="1551305362">
      <w:bodyDiv w:val="1"/>
      <w:marLeft w:val="0"/>
      <w:marRight w:val="0"/>
      <w:marTop w:val="0"/>
      <w:marBottom w:val="0"/>
      <w:divBdr>
        <w:top w:val="none" w:sz="0" w:space="0" w:color="auto"/>
        <w:left w:val="none" w:sz="0" w:space="0" w:color="auto"/>
        <w:bottom w:val="none" w:sz="0" w:space="0" w:color="auto"/>
        <w:right w:val="none" w:sz="0" w:space="0" w:color="auto"/>
      </w:divBdr>
    </w:div>
    <w:div w:id="1554780069">
      <w:bodyDiv w:val="1"/>
      <w:marLeft w:val="0"/>
      <w:marRight w:val="0"/>
      <w:marTop w:val="0"/>
      <w:marBottom w:val="0"/>
      <w:divBdr>
        <w:top w:val="none" w:sz="0" w:space="0" w:color="auto"/>
        <w:left w:val="none" w:sz="0" w:space="0" w:color="auto"/>
        <w:bottom w:val="none" w:sz="0" w:space="0" w:color="auto"/>
        <w:right w:val="none" w:sz="0" w:space="0" w:color="auto"/>
      </w:divBdr>
      <w:divsChild>
        <w:div w:id="567768565">
          <w:marLeft w:val="0"/>
          <w:marRight w:val="0"/>
          <w:marTop w:val="0"/>
          <w:marBottom w:val="0"/>
          <w:divBdr>
            <w:top w:val="none" w:sz="0" w:space="0" w:color="auto"/>
            <w:left w:val="none" w:sz="0" w:space="0" w:color="auto"/>
            <w:bottom w:val="none" w:sz="0" w:space="0" w:color="auto"/>
            <w:right w:val="none" w:sz="0" w:space="0" w:color="auto"/>
          </w:divBdr>
          <w:divsChild>
            <w:div w:id="68374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50594">
      <w:bodyDiv w:val="1"/>
      <w:marLeft w:val="0"/>
      <w:marRight w:val="0"/>
      <w:marTop w:val="0"/>
      <w:marBottom w:val="0"/>
      <w:divBdr>
        <w:top w:val="none" w:sz="0" w:space="0" w:color="auto"/>
        <w:left w:val="none" w:sz="0" w:space="0" w:color="auto"/>
        <w:bottom w:val="none" w:sz="0" w:space="0" w:color="auto"/>
        <w:right w:val="none" w:sz="0" w:space="0" w:color="auto"/>
      </w:divBdr>
    </w:div>
    <w:div w:id="1572081355">
      <w:bodyDiv w:val="1"/>
      <w:marLeft w:val="0"/>
      <w:marRight w:val="0"/>
      <w:marTop w:val="0"/>
      <w:marBottom w:val="0"/>
      <w:divBdr>
        <w:top w:val="none" w:sz="0" w:space="0" w:color="auto"/>
        <w:left w:val="none" w:sz="0" w:space="0" w:color="auto"/>
        <w:bottom w:val="none" w:sz="0" w:space="0" w:color="auto"/>
        <w:right w:val="none" w:sz="0" w:space="0" w:color="auto"/>
      </w:divBdr>
    </w:div>
    <w:div w:id="1581132492">
      <w:bodyDiv w:val="1"/>
      <w:marLeft w:val="0"/>
      <w:marRight w:val="0"/>
      <w:marTop w:val="0"/>
      <w:marBottom w:val="0"/>
      <w:divBdr>
        <w:top w:val="none" w:sz="0" w:space="0" w:color="auto"/>
        <w:left w:val="none" w:sz="0" w:space="0" w:color="auto"/>
        <w:bottom w:val="none" w:sz="0" w:space="0" w:color="auto"/>
        <w:right w:val="none" w:sz="0" w:space="0" w:color="auto"/>
      </w:divBdr>
      <w:divsChild>
        <w:div w:id="1095977518">
          <w:marLeft w:val="0"/>
          <w:marRight w:val="0"/>
          <w:marTop w:val="0"/>
          <w:marBottom w:val="0"/>
          <w:divBdr>
            <w:top w:val="none" w:sz="0" w:space="0" w:color="auto"/>
            <w:left w:val="none" w:sz="0" w:space="0" w:color="auto"/>
            <w:bottom w:val="none" w:sz="0" w:space="0" w:color="auto"/>
            <w:right w:val="none" w:sz="0" w:space="0" w:color="auto"/>
          </w:divBdr>
          <w:divsChild>
            <w:div w:id="17786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23036">
      <w:bodyDiv w:val="1"/>
      <w:marLeft w:val="0"/>
      <w:marRight w:val="0"/>
      <w:marTop w:val="0"/>
      <w:marBottom w:val="0"/>
      <w:divBdr>
        <w:top w:val="none" w:sz="0" w:space="0" w:color="auto"/>
        <w:left w:val="none" w:sz="0" w:space="0" w:color="auto"/>
        <w:bottom w:val="none" w:sz="0" w:space="0" w:color="auto"/>
        <w:right w:val="none" w:sz="0" w:space="0" w:color="auto"/>
      </w:divBdr>
    </w:div>
    <w:div w:id="1611357259">
      <w:bodyDiv w:val="1"/>
      <w:marLeft w:val="0"/>
      <w:marRight w:val="0"/>
      <w:marTop w:val="0"/>
      <w:marBottom w:val="0"/>
      <w:divBdr>
        <w:top w:val="none" w:sz="0" w:space="0" w:color="auto"/>
        <w:left w:val="none" w:sz="0" w:space="0" w:color="auto"/>
        <w:bottom w:val="none" w:sz="0" w:space="0" w:color="auto"/>
        <w:right w:val="none" w:sz="0" w:space="0" w:color="auto"/>
      </w:divBdr>
    </w:div>
    <w:div w:id="1639067082">
      <w:bodyDiv w:val="1"/>
      <w:marLeft w:val="0"/>
      <w:marRight w:val="0"/>
      <w:marTop w:val="0"/>
      <w:marBottom w:val="0"/>
      <w:divBdr>
        <w:top w:val="none" w:sz="0" w:space="0" w:color="auto"/>
        <w:left w:val="none" w:sz="0" w:space="0" w:color="auto"/>
        <w:bottom w:val="none" w:sz="0" w:space="0" w:color="auto"/>
        <w:right w:val="none" w:sz="0" w:space="0" w:color="auto"/>
      </w:divBdr>
    </w:div>
    <w:div w:id="1647931243">
      <w:bodyDiv w:val="1"/>
      <w:marLeft w:val="0"/>
      <w:marRight w:val="0"/>
      <w:marTop w:val="0"/>
      <w:marBottom w:val="0"/>
      <w:divBdr>
        <w:top w:val="none" w:sz="0" w:space="0" w:color="auto"/>
        <w:left w:val="none" w:sz="0" w:space="0" w:color="auto"/>
        <w:bottom w:val="none" w:sz="0" w:space="0" w:color="auto"/>
        <w:right w:val="none" w:sz="0" w:space="0" w:color="auto"/>
      </w:divBdr>
    </w:div>
    <w:div w:id="1718697888">
      <w:bodyDiv w:val="1"/>
      <w:marLeft w:val="0"/>
      <w:marRight w:val="0"/>
      <w:marTop w:val="0"/>
      <w:marBottom w:val="0"/>
      <w:divBdr>
        <w:top w:val="none" w:sz="0" w:space="0" w:color="auto"/>
        <w:left w:val="none" w:sz="0" w:space="0" w:color="auto"/>
        <w:bottom w:val="none" w:sz="0" w:space="0" w:color="auto"/>
        <w:right w:val="none" w:sz="0" w:space="0" w:color="auto"/>
      </w:divBdr>
    </w:div>
    <w:div w:id="1721976975">
      <w:bodyDiv w:val="1"/>
      <w:marLeft w:val="0"/>
      <w:marRight w:val="0"/>
      <w:marTop w:val="0"/>
      <w:marBottom w:val="0"/>
      <w:divBdr>
        <w:top w:val="none" w:sz="0" w:space="0" w:color="auto"/>
        <w:left w:val="none" w:sz="0" w:space="0" w:color="auto"/>
        <w:bottom w:val="none" w:sz="0" w:space="0" w:color="auto"/>
        <w:right w:val="none" w:sz="0" w:space="0" w:color="auto"/>
      </w:divBdr>
    </w:div>
    <w:div w:id="1729451361">
      <w:bodyDiv w:val="1"/>
      <w:marLeft w:val="0"/>
      <w:marRight w:val="0"/>
      <w:marTop w:val="0"/>
      <w:marBottom w:val="0"/>
      <w:divBdr>
        <w:top w:val="none" w:sz="0" w:space="0" w:color="auto"/>
        <w:left w:val="none" w:sz="0" w:space="0" w:color="auto"/>
        <w:bottom w:val="none" w:sz="0" w:space="0" w:color="auto"/>
        <w:right w:val="none" w:sz="0" w:space="0" w:color="auto"/>
      </w:divBdr>
    </w:div>
    <w:div w:id="1736274165">
      <w:bodyDiv w:val="1"/>
      <w:marLeft w:val="0"/>
      <w:marRight w:val="0"/>
      <w:marTop w:val="0"/>
      <w:marBottom w:val="0"/>
      <w:divBdr>
        <w:top w:val="none" w:sz="0" w:space="0" w:color="auto"/>
        <w:left w:val="none" w:sz="0" w:space="0" w:color="auto"/>
        <w:bottom w:val="none" w:sz="0" w:space="0" w:color="auto"/>
        <w:right w:val="none" w:sz="0" w:space="0" w:color="auto"/>
      </w:divBdr>
    </w:div>
    <w:div w:id="1744064746">
      <w:bodyDiv w:val="1"/>
      <w:marLeft w:val="0"/>
      <w:marRight w:val="0"/>
      <w:marTop w:val="0"/>
      <w:marBottom w:val="0"/>
      <w:divBdr>
        <w:top w:val="none" w:sz="0" w:space="0" w:color="auto"/>
        <w:left w:val="none" w:sz="0" w:space="0" w:color="auto"/>
        <w:bottom w:val="none" w:sz="0" w:space="0" w:color="auto"/>
        <w:right w:val="none" w:sz="0" w:space="0" w:color="auto"/>
      </w:divBdr>
    </w:div>
    <w:div w:id="1747722008">
      <w:bodyDiv w:val="1"/>
      <w:marLeft w:val="0"/>
      <w:marRight w:val="0"/>
      <w:marTop w:val="0"/>
      <w:marBottom w:val="0"/>
      <w:divBdr>
        <w:top w:val="none" w:sz="0" w:space="0" w:color="auto"/>
        <w:left w:val="none" w:sz="0" w:space="0" w:color="auto"/>
        <w:bottom w:val="none" w:sz="0" w:space="0" w:color="auto"/>
        <w:right w:val="none" w:sz="0" w:space="0" w:color="auto"/>
      </w:divBdr>
    </w:div>
    <w:div w:id="1750346880">
      <w:bodyDiv w:val="1"/>
      <w:marLeft w:val="0"/>
      <w:marRight w:val="0"/>
      <w:marTop w:val="0"/>
      <w:marBottom w:val="0"/>
      <w:divBdr>
        <w:top w:val="none" w:sz="0" w:space="0" w:color="auto"/>
        <w:left w:val="none" w:sz="0" w:space="0" w:color="auto"/>
        <w:bottom w:val="none" w:sz="0" w:space="0" w:color="auto"/>
        <w:right w:val="none" w:sz="0" w:space="0" w:color="auto"/>
      </w:divBdr>
    </w:div>
    <w:div w:id="1772434581">
      <w:bodyDiv w:val="1"/>
      <w:marLeft w:val="0"/>
      <w:marRight w:val="0"/>
      <w:marTop w:val="0"/>
      <w:marBottom w:val="0"/>
      <w:divBdr>
        <w:top w:val="none" w:sz="0" w:space="0" w:color="auto"/>
        <w:left w:val="none" w:sz="0" w:space="0" w:color="auto"/>
        <w:bottom w:val="none" w:sz="0" w:space="0" w:color="auto"/>
        <w:right w:val="none" w:sz="0" w:space="0" w:color="auto"/>
      </w:divBdr>
    </w:div>
    <w:div w:id="1776250359">
      <w:bodyDiv w:val="1"/>
      <w:marLeft w:val="0"/>
      <w:marRight w:val="0"/>
      <w:marTop w:val="0"/>
      <w:marBottom w:val="0"/>
      <w:divBdr>
        <w:top w:val="none" w:sz="0" w:space="0" w:color="auto"/>
        <w:left w:val="none" w:sz="0" w:space="0" w:color="auto"/>
        <w:bottom w:val="none" w:sz="0" w:space="0" w:color="auto"/>
        <w:right w:val="none" w:sz="0" w:space="0" w:color="auto"/>
      </w:divBdr>
    </w:div>
    <w:div w:id="1790122191">
      <w:bodyDiv w:val="1"/>
      <w:marLeft w:val="0"/>
      <w:marRight w:val="0"/>
      <w:marTop w:val="0"/>
      <w:marBottom w:val="0"/>
      <w:divBdr>
        <w:top w:val="none" w:sz="0" w:space="0" w:color="auto"/>
        <w:left w:val="none" w:sz="0" w:space="0" w:color="auto"/>
        <w:bottom w:val="none" w:sz="0" w:space="0" w:color="auto"/>
        <w:right w:val="none" w:sz="0" w:space="0" w:color="auto"/>
      </w:divBdr>
    </w:div>
    <w:div w:id="1836531631">
      <w:bodyDiv w:val="1"/>
      <w:marLeft w:val="0"/>
      <w:marRight w:val="0"/>
      <w:marTop w:val="0"/>
      <w:marBottom w:val="0"/>
      <w:divBdr>
        <w:top w:val="none" w:sz="0" w:space="0" w:color="auto"/>
        <w:left w:val="none" w:sz="0" w:space="0" w:color="auto"/>
        <w:bottom w:val="none" w:sz="0" w:space="0" w:color="auto"/>
        <w:right w:val="none" w:sz="0" w:space="0" w:color="auto"/>
      </w:divBdr>
    </w:div>
    <w:div w:id="1857307125">
      <w:bodyDiv w:val="1"/>
      <w:marLeft w:val="0"/>
      <w:marRight w:val="0"/>
      <w:marTop w:val="0"/>
      <w:marBottom w:val="0"/>
      <w:divBdr>
        <w:top w:val="none" w:sz="0" w:space="0" w:color="auto"/>
        <w:left w:val="none" w:sz="0" w:space="0" w:color="auto"/>
        <w:bottom w:val="none" w:sz="0" w:space="0" w:color="auto"/>
        <w:right w:val="none" w:sz="0" w:space="0" w:color="auto"/>
      </w:divBdr>
      <w:divsChild>
        <w:div w:id="1484078471">
          <w:marLeft w:val="0"/>
          <w:marRight w:val="0"/>
          <w:marTop w:val="0"/>
          <w:marBottom w:val="0"/>
          <w:divBdr>
            <w:top w:val="none" w:sz="0" w:space="0" w:color="auto"/>
            <w:left w:val="none" w:sz="0" w:space="0" w:color="auto"/>
            <w:bottom w:val="none" w:sz="0" w:space="0" w:color="auto"/>
            <w:right w:val="none" w:sz="0" w:space="0" w:color="auto"/>
          </w:divBdr>
        </w:div>
        <w:div w:id="1992709416">
          <w:marLeft w:val="0"/>
          <w:marRight w:val="0"/>
          <w:marTop w:val="0"/>
          <w:marBottom w:val="0"/>
          <w:divBdr>
            <w:top w:val="none" w:sz="0" w:space="0" w:color="auto"/>
            <w:left w:val="none" w:sz="0" w:space="0" w:color="auto"/>
            <w:bottom w:val="none" w:sz="0" w:space="0" w:color="auto"/>
            <w:right w:val="none" w:sz="0" w:space="0" w:color="auto"/>
          </w:divBdr>
        </w:div>
      </w:divsChild>
    </w:div>
    <w:div w:id="1883639934">
      <w:bodyDiv w:val="1"/>
      <w:marLeft w:val="0"/>
      <w:marRight w:val="0"/>
      <w:marTop w:val="0"/>
      <w:marBottom w:val="0"/>
      <w:divBdr>
        <w:top w:val="none" w:sz="0" w:space="0" w:color="auto"/>
        <w:left w:val="none" w:sz="0" w:space="0" w:color="auto"/>
        <w:bottom w:val="none" w:sz="0" w:space="0" w:color="auto"/>
        <w:right w:val="none" w:sz="0" w:space="0" w:color="auto"/>
      </w:divBdr>
    </w:div>
    <w:div w:id="1890796861">
      <w:bodyDiv w:val="1"/>
      <w:marLeft w:val="0"/>
      <w:marRight w:val="0"/>
      <w:marTop w:val="0"/>
      <w:marBottom w:val="0"/>
      <w:divBdr>
        <w:top w:val="none" w:sz="0" w:space="0" w:color="auto"/>
        <w:left w:val="none" w:sz="0" w:space="0" w:color="auto"/>
        <w:bottom w:val="none" w:sz="0" w:space="0" w:color="auto"/>
        <w:right w:val="none" w:sz="0" w:space="0" w:color="auto"/>
      </w:divBdr>
    </w:div>
    <w:div w:id="1903952555">
      <w:bodyDiv w:val="1"/>
      <w:marLeft w:val="0"/>
      <w:marRight w:val="0"/>
      <w:marTop w:val="0"/>
      <w:marBottom w:val="0"/>
      <w:divBdr>
        <w:top w:val="none" w:sz="0" w:space="0" w:color="auto"/>
        <w:left w:val="none" w:sz="0" w:space="0" w:color="auto"/>
        <w:bottom w:val="none" w:sz="0" w:space="0" w:color="auto"/>
        <w:right w:val="none" w:sz="0" w:space="0" w:color="auto"/>
      </w:divBdr>
    </w:div>
    <w:div w:id="1947348373">
      <w:bodyDiv w:val="1"/>
      <w:marLeft w:val="0"/>
      <w:marRight w:val="0"/>
      <w:marTop w:val="0"/>
      <w:marBottom w:val="0"/>
      <w:divBdr>
        <w:top w:val="none" w:sz="0" w:space="0" w:color="auto"/>
        <w:left w:val="none" w:sz="0" w:space="0" w:color="auto"/>
        <w:bottom w:val="none" w:sz="0" w:space="0" w:color="auto"/>
        <w:right w:val="none" w:sz="0" w:space="0" w:color="auto"/>
      </w:divBdr>
    </w:div>
    <w:div w:id="1966231759">
      <w:bodyDiv w:val="1"/>
      <w:marLeft w:val="0"/>
      <w:marRight w:val="0"/>
      <w:marTop w:val="0"/>
      <w:marBottom w:val="0"/>
      <w:divBdr>
        <w:top w:val="none" w:sz="0" w:space="0" w:color="auto"/>
        <w:left w:val="none" w:sz="0" w:space="0" w:color="auto"/>
        <w:bottom w:val="none" w:sz="0" w:space="0" w:color="auto"/>
        <w:right w:val="none" w:sz="0" w:space="0" w:color="auto"/>
      </w:divBdr>
    </w:div>
    <w:div w:id="1976830331">
      <w:bodyDiv w:val="1"/>
      <w:marLeft w:val="0"/>
      <w:marRight w:val="0"/>
      <w:marTop w:val="0"/>
      <w:marBottom w:val="0"/>
      <w:divBdr>
        <w:top w:val="none" w:sz="0" w:space="0" w:color="auto"/>
        <w:left w:val="none" w:sz="0" w:space="0" w:color="auto"/>
        <w:bottom w:val="none" w:sz="0" w:space="0" w:color="auto"/>
        <w:right w:val="none" w:sz="0" w:space="0" w:color="auto"/>
      </w:divBdr>
    </w:div>
    <w:div w:id="1982150250">
      <w:bodyDiv w:val="1"/>
      <w:marLeft w:val="0"/>
      <w:marRight w:val="0"/>
      <w:marTop w:val="0"/>
      <w:marBottom w:val="0"/>
      <w:divBdr>
        <w:top w:val="none" w:sz="0" w:space="0" w:color="auto"/>
        <w:left w:val="none" w:sz="0" w:space="0" w:color="auto"/>
        <w:bottom w:val="none" w:sz="0" w:space="0" w:color="auto"/>
        <w:right w:val="none" w:sz="0" w:space="0" w:color="auto"/>
      </w:divBdr>
      <w:divsChild>
        <w:div w:id="904335861">
          <w:marLeft w:val="0"/>
          <w:marRight w:val="0"/>
          <w:marTop w:val="0"/>
          <w:marBottom w:val="0"/>
          <w:divBdr>
            <w:top w:val="none" w:sz="0" w:space="0" w:color="auto"/>
            <w:left w:val="none" w:sz="0" w:space="0" w:color="auto"/>
            <w:bottom w:val="none" w:sz="0" w:space="0" w:color="auto"/>
            <w:right w:val="none" w:sz="0" w:space="0" w:color="auto"/>
          </w:divBdr>
          <w:divsChild>
            <w:div w:id="150439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16075">
      <w:bodyDiv w:val="1"/>
      <w:marLeft w:val="0"/>
      <w:marRight w:val="0"/>
      <w:marTop w:val="0"/>
      <w:marBottom w:val="0"/>
      <w:divBdr>
        <w:top w:val="none" w:sz="0" w:space="0" w:color="auto"/>
        <w:left w:val="none" w:sz="0" w:space="0" w:color="auto"/>
        <w:bottom w:val="none" w:sz="0" w:space="0" w:color="auto"/>
        <w:right w:val="none" w:sz="0" w:space="0" w:color="auto"/>
      </w:divBdr>
      <w:divsChild>
        <w:div w:id="17437479">
          <w:marLeft w:val="0"/>
          <w:marRight w:val="0"/>
          <w:marTop w:val="0"/>
          <w:marBottom w:val="0"/>
          <w:divBdr>
            <w:top w:val="none" w:sz="0" w:space="0" w:color="auto"/>
            <w:left w:val="none" w:sz="0" w:space="0" w:color="auto"/>
            <w:bottom w:val="none" w:sz="0" w:space="0" w:color="auto"/>
            <w:right w:val="none" w:sz="0" w:space="0" w:color="auto"/>
          </w:divBdr>
        </w:div>
        <w:div w:id="1415206734">
          <w:marLeft w:val="0"/>
          <w:marRight w:val="0"/>
          <w:marTop w:val="0"/>
          <w:marBottom w:val="0"/>
          <w:divBdr>
            <w:top w:val="none" w:sz="0" w:space="0" w:color="auto"/>
            <w:left w:val="none" w:sz="0" w:space="0" w:color="auto"/>
            <w:bottom w:val="none" w:sz="0" w:space="0" w:color="auto"/>
            <w:right w:val="none" w:sz="0" w:space="0" w:color="auto"/>
          </w:divBdr>
        </w:div>
      </w:divsChild>
    </w:div>
    <w:div w:id="1997955844">
      <w:bodyDiv w:val="1"/>
      <w:marLeft w:val="0"/>
      <w:marRight w:val="0"/>
      <w:marTop w:val="0"/>
      <w:marBottom w:val="0"/>
      <w:divBdr>
        <w:top w:val="none" w:sz="0" w:space="0" w:color="auto"/>
        <w:left w:val="none" w:sz="0" w:space="0" w:color="auto"/>
        <w:bottom w:val="none" w:sz="0" w:space="0" w:color="auto"/>
        <w:right w:val="none" w:sz="0" w:space="0" w:color="auto"/>
      </w:divBdr>
    </w:div>
    <w:div w:id="2005431722">
      <w:bodyDiv w:val="1"/>
      <w:marLeft w:val="0"/>
      <w:marRight w:val="0"/>
      <w:marTop w:val="0"/>
      <w:marBottom w:val="0"/>
      <w:divBdr>
        <w:top w:val="none" w:sz="0" w:space="0" w:color="auto"/>
        <w:left w:val="none" w:sz="0" w:space="0" w:color="auto"/>
        <w:bottom w:val="none" w:sz="0" w:space="0" w:color="auto"/>
        <w:right w:val="none" w:sz="0" w:space="0" w:color="auto"/>
      </w:divBdr>
    </w:div>
    <w:div w:id="2043626346">
      <w:bodyDiv w:val="1"/>
      <w:marLeft w:val="0"/>
      <w:marRight w:val="0"/>
      <w:marTop w:val="0"/>
      <w:marBottom w:val="0"/>
      <w:divBdr>
        <w:top w:val="none" w:sz="0" w:space="0" w:color="auto"/>
        <w:left w:val="none" w:sz="0" w:space="0" w:color="auto"/>
        <w:bottom w:val="none" w:sz="0" w:space="0" w:color="auto"/>
        <w:right w:val="none" w:sz="0" w:space="0" w:color="auto"/>
      </w:divBdr>
    </w:div>
    <w:div w:id="2085486625">
      <w:bodyDiv w:val="1"/>
      <w:marLeft w:val="0"/>
      <w:marRight w:val="0"/>
      <w:marTop w:val="0"/>
      <w:marBottom w:val="0"/>
      <w:divBdr>
        <w:top w:val="none" w:sz="0" w:space="0" w:color="auto"/>
        <w:left w:val="none" w:sz="0" w:space="0" w:color="auto"/>
        <w:bottom w:val="none" w:sz="0" w:space="0" w:color="auto"/>
        <w:right w:val="none" w:sz="0" w:space="0" w:color="auto"/>
      </w:divBdr>
    </w:div>
    <w:div w:id="2086758004">
      <w:bodyDiv w:val="1"/>
      <w:marLeft w:val="0"/>
      <w:marRight w:val="0"/>
      <w:marTop w:val="0"/>
      <w:marBottom w:val="0"/>
      <w:divBdr>
        <w:top w:val="none" w:sz="0" w:space="0" w:color="auto"/>
        <w:left w:val="none" w:sz="0" w:space="0" w:color="auto"/>
        <w:bottom w:val="none" w:sz="0" w:space="0" w:color="auto"/>
        <w:right w:val="none" w:sz="0" w:space="0" w:color="auto"/>
      </w:divBdr>
    </w:div>
    <w:div w:id="211335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health.ec.europa.eu/ehealth-digital-health-and-care/european-health-data-space_en" TargetMode="External"/><Relationship Id="rId21" Type="http://schemas.openxmlformats.org/officeDocument/2006/relationships/hyperlink" Target="https://ec.europa.eu/info/files/union-equality-eu-action-plan-against-racism-2020-2025_en" TargetMode="External"/><Relationship Id="rId42" Type="http://schemas.openxmlformats.org/officeDocument/2006/relationships/hyperlink" Target="https://www.edf-feph.org/what-is-the-artificial-intelligence-act/" TargetMode="External"/><Relationship Id="rId63" Type="http://schemas.openxmlformats.org/officeDocument/2006/relationships/hyperlink" Target="https://ec.europa.eu/echo/files/policies/sectoral/doc_echo_og_inclusion_en.pdf" TargetMode="External"/><Relationship Id="rId84" Type="http://schemas.openxmlformats.org/officeDocument/2006/relationships/hyperlink" Target="https://eur-lex.europa.eu/legal-content/EN/TXT/?uri=CELEX:52020DC0258" TargetMode="External"/><Relationship Id="rId138" Type="http://schemas.openxmlformats.org/officeDocument/2006/relationships/hyperlink" Target="https://eur-lex.europa.eu/legal-content/EN/TXT/PDF/?uri=CELEX:32023L0970" TargetMode="External"/><Relationship Id="rId159" Type="http://schemas.openxmlformats.org/officeDocument/2006/relationships/hyperlink" Target="https://ec.europa.eu/eurostat/web/disability/database" TargetMode="External"/><Relationship Id="rId170" Type="http://schemas.openxmlformats.org/officeDocument/2006/relationships/hyperlink" Target="https://international-partnerships.ec.europa.eu/news-and-events/events/human-rights-based-approach-eu-toolbox-placing-rights-holders-centre-international-partnerships-2021-09-16_en" TargetMode="External"/><Relationship Id="rId191" Type="http://schemas.openxmlformats.org/officeDocument/2006/relationships/hyperlink" Target="https://audiovisual.ec.europa.eu/en/" TargetMode="External"/><Relationship Id="rId205" Type="http://schemas.openxmlformats.org/officeDocument/2006/relationships/header" Target="header1.xml"/><Relationship Id="rId107" Type="http://schemas.openxmlformats.org/officeDocument/2006/relationships/hyperlink" Target="https://deinstitutionalisationdotcom.files.wordpress.com/2019/11/eeg_checklist_onlineoffice.pdf" TargetMode="External"/><Relationship Id="rId11" Type="http://schemas.openxmlformats.org/officeDocument/2006/relationships/image" Target="media/image4.png"/><Relationship Id="rId32" Type="http://schemas.openxmlformats.org/officeDocument/2006/relationships/hyperlink" Target="https://victims-rights.campaign.europa.eu/" TargetMode="External"/><Relationship Id="rId53" Type="http://schemas.openxmlformats.org/officeDocument/2006/relationships/hyperlink" Target="https://www.preventionweb.net/files/43291_sendaiframeworkfordrren.pdf" TargetMode="External"/><Relationship Id="rId74" Type="http://schemas.openxmlformats.org/officeDocument/2006/relationships/hyperlink" Target="https://www.edf-feph.org/eu-justice-scoreboard-now-includes-access-by-persons-with-disabilities/" TargetMode="External"/><Relationship Id="rId128" Type="http://schemas.openxmlformats.org/officeDocument/2006/relationships/hyperlink" Target="https://eige.europa.eu/gender-equality-index/2023/domain/health/disability" TargetMode="External"/><Relationship Id="rId149" Type="http://schemas.openxmlformats.org/officeDocument/2006/relationships/hyperlink" Target="https://www.edf-feph.org/publications/human-rights-report-2022-political-participation-of-persons-with-disabilities/" TargetMode="External"/><Relationship Id="rId5" Type="http://schemas.openxmlformats.org/officeDocument/2006/relationships/webSettings" Target="webSettings.xml"/><Relationship Id="rId95" Type="http://schemas.openxmlformats.org/officeDocument/2006/relationships/hyperlink" Target="https://ec.europa.eu/info/funding-tenders/opportunities/docs/2021-2027/common/guidance/how-to-complete-your-ethics-self-assessment_en.pdf" TargetMode="External"/><Relationship Id="rId160" Type="http://schemas.openxmlformats.org/officeDocument/2006/relationships/hyperlink" Target="https://www.washingtongroup-disability.com/question-sets/wg-short-set-on-functioning-wg-ss/" TargetMode="External"/><Relationship Id="rId181" Type="http://schemas.openxmlformats.org/officeDocument/2006/relationships/hyperlink" Target="https://www.edf-feph.org/content/uploads/2024/01/Marker-report-final.docx'" TargetMode="External"/><Relationship Id="rId22" Type="http://schemas.openxmlformats.org/officeDocument/2006/relationships/hyperlink" Target="https://ec.europa.eu/info/sites/default/files/eu_roma_strategic_framework_for_equality_inclusion_and_participation_for_2020_-_2030_0.pdf" TargetMode="External"/><Relationship Id="rId43" Type="http://schemas.openxmlformats.org/officeDocument/2006/relationships/hyperlink" Target="https://www.edf-feph.org/digital-services-act-fails-to-ensure-accessibility-for-persons-with-disabilities-edf-calls-the-eu-to-rectify-this-political-agreement/" TargetMode="External"/><Relationship Id="rId64" Type="http://schemas.openxmlformats.org/officeDocument/2006/relationships/hyperlink" Target="https://home-affairs.ec.europa.eu/policies/migration-and-asylum/pact-migration-and-asylum_en" TargetMode="External"/><Relationship Id="rId118" Type="http://schemas.openxmlformats.org/officeDocument/2006/relationships/hyperlink" Target="https://ec.europa.eu/social/main.jsp?catId=1311&amp;langId=en" TargetMode="External"/><Relationship Id="rId139" Type="http://schemas.openxmlformats.org/officeDocument/2006/relationships/hyperlink" Target="https://eur-lex.europa.eu/EN/legal-content/summary/minimum-wages-in-the-eu.html" TargetMode="External"/><Relationship Id="rId85" Type="http://schemas.openxmlformats.org/officeDocument/2006/relationships/hyperlink" Target="https://ec.europa.eu/home-affairs/sites/default/files/pdf/14042021_eu_strategy_on_combatting_trafficking_in_human_beings_2021-2025_com-2021-171-1_en.pdf" TargetMode="External"/><Relationship Id="rId150" Type="http://schemas.openxmlformats.org/officeDocument/2006/relationships/hyperlink" Target="https://www.edf-feph.org/the-eu-parliament-proposes-a-new-electoral-law-ensuring-the-political-rights-of-persons-with-disabilities/" TargetMode="External"/><Relationship Id="rId171" Type="http://schemas.openxmlformats.org/officeDocument/2006/relationships/hyperlink" Target="https://www.edf-feph.org/a-first-concrete-action-by-the-european-commission-its-human-rights-toolbox-is-more-inclusive-of-persons-with-disabilities/" TargetMode="External"/><Relationship Id="rId192" Type="http://schemas.openxmlformats.org/officeDocument/2006/relationships/hyperlink" Target="https://video.consilium.europa.eu/home/en" TargetMode="External"/><Relationship Id="rId206" Type="http://schemas.openxmlformats.org/officeDocument/2006/relationships/footer" Target="footer1.xml"/><Relationship Id="rId12" Type="http://schemas.openxmlformats.org/officeDocument/2006/relationships/hyperlink" Target="https://europa.eu/european-union/about-eu/countries/member-countries_en" TargetMode="External"/><Relationship Id="rId33" Type="http://schemas.openxmlformats.org/officeDocument/2006/relationships/hyperlink" Target="https://ec.europa.eu/commission/presscorner/detail/en/IP_21_4747" TargetMode="External"/><Relationship Id="rId108" Type="http://schemas.openxmlformats.org/officeDocument/2006/relationships/hyperlink" Target="https://eur-lex.europa.eu/legal-content/EN/TXT/?uri=CELEX%3A32004R0261&amp;qid=1633956992568" TargetMode="External"/><Relationship Id="rId129" Type="http://schemas.openxmlformats.org/officeDocument/2006/relationships/hyperlink" Target="https://hadea.ec.europa.eu/programmes/eu4health_en" TargetMode="External"/><Relationship Id="rId54" Type="http://schemas.openxmlformats.org/officeDocument/2006/relationships/hyperlink" Target="https://efdrr.undrr.org/sites/default/files/2021-11/EFDRR%20Roadmap%202021-2030.pdf" TargetMode="External"/><Relationship Id="rId75" Type="http://schemas.openxmlformats.org/officeDocument/2006/relationships/hyperlink" Target="https://ec.europa.eu/commission/presscorner/detail/en/ip_24_3164" TargetMode="External"/><Relationship Id="rId96" Type="http://schemas.openxmlformats.org/officeDocument/2006/relationships/hyperlink" Target="https://www.cencenelec.eu/media/CEN-CENELEC/CWAs/RI/cwa17933_2023.pdf" TargetMode="External"/><Relationship Id="rId140" Type="http://schemas.openxmlformats.org/officeDocument/2006/relationships/hyperlink" Target="https://eur-lex.europa.eu/legal-content/EN/TXT/?uri=CELEX%3A32022L2464" TargetMode="External"/><Relationship Id="rId161" Type="http://schemas.openxmlformats.org/officeDocument/2006/relationships/hyperlink" Target="https://fra.europa.eu/en/publication/2023/implementing-un-convention-rights-persons-disabilities-human-rights-indicators" TargetMode="External"/><Relationship Id="rId182" Type="http://schemas.openxmlformats.org/officeDocument/2006/relationships/hyperlink" Target="https://www.edf-feph.org/publications/toolkit-for-eu-delegations-including-organisations-of-persons-with-disabilities/" TargetMode="External"/><Relationship Id="rId6" Type="http://schemas.openxmlformats.org/officeDocument/2006/relationships/footnotes" Target="footnotes.xml"/><Relationship Id="rId23" Type="http://schemas.openxmlformats.org/officeDocument/2006/relationships/hyperlink" Target="https://ec.europa.eu/home-affairs/sites/default/files/pdf/action_plan_on_integration_and_inclusion_2021-2027.pdf" TargetMode="External"/><Relationship Id="rId119" Type="http://schemas.openxmlformats.org/officeDocument/2006/relationships/hyperlink" Target="https://www.edf-feph.org/publications/european-semester-outcomes-spring-package-2024-european-disability-forum/" TargetMode="External"/><Relationship Id="rId44" Type="http://schemas.openxmlformats.org/officeDocument/2006/relationships/hyperlink" Target="https://ec.europa.eu/info/strategy/priorities-2019-2024/europe-fit-digital-age/europes-digital-decade-digital-targets-2030_en" TargetMode="External"/><Relationship Id="rId65" Type="http://schemas.openxmlformats.org/officeDocument/2006/relationships/hyperlink" Target="https://www.edf-feph.org/publications/human-rights-report-2024-legal-capacity/" TargetMode="External"/><Relationship Id="rId86" Type="http://schemas.openxmlformats.org/officeDocument/2006/relationships/hyperlink" Target="https://ec.europa.eu/home-affairs/sites/default/files/what-we-do/policies/european-agenda-security/20200724_com-2020-607-commission-communication_en.pdf" TargetMode="External"/><Relationship Id="rId130" Type="http://schemas.openxmlformats.org/officeDocument/2006/relationships/hyperlink" Target="https://ec.europa.eu/info/strategy/priorities-2019-2024/promoting-our-european-way-life/european-health-union_en" TargetMode="External"/><Relationship Id="rId151" Type="http://schemas.openxmlformats.org/officeDocument/2006/relationships/hyperlink" Target="https://www.politico.eu/wp-content/uploads/2024/06/03/Council-questionnaire_cleanned.pdf" TargetMode="External"/><Relationship Id="rId172" Type="http://schemas.openxmlformats.org/officeDocument/2006/relationships/hyperlink" Target="https://www.edf-feph.org/publications/eu-guidance-note-on-inclusion-of-persons-with-disabilities-in-eu-global-actions-joint-reaction-by-edf-and-iddc/" TargetMode="External"/><Relationship Id="rId193" Type="http://schemas.openxmlformats.org/officeDocument/2006/relationships/hyperlink" Target="https://www.edf-feph.org/state-of-the-european-union-improved-accessibility-but-important-features-missing/" TargetMode="External"/><Relationship Id="rId207" Type="http://schemas.openxmlformats.org/officeDocument/2006/relationships/fontTable" Target="fontTable.xml"/><Relationship Id="rId13" Type="http://schemas.openxmlformats.org/officeDocument/2006/relationships/hyperlink" Target="https://ec.europa.eu/commission/commissioners/2019-2024_en" TargetMode="External"/><Relationship Id="rId109" Type="http://schemas.openxmlformats.org/officeDocument/2006/relationships/hyperlink" Target="https://eur-lex.europa.eu/eli/reg/2006/1107/oj" TargetMode="External"/><Relationship Id="rId34" Type="http://schemas.openxmlformats.org/officeDocument/2006/relationships/hyperlink" Target="https://ec.europa.eu/eurostat/ramon/nomenclatures/index.cfm?TargetUrl=LST_NOM_DTL&amp;StrNom=NACE_REV2&amp;StrLanguageCode=EN&amp;IntPcKey=18520844&amp;StrLayoutCode=&amp;IntCurrentPage=1" TargetMode="External"/><Relationship Id="rId55" Type="http://schemas.openxmlformats.org/officeDocument/2006/relationships/hyperlink" Target="https://ec.europa.eu/echo/files/policies/prevention_preparedness/sendai_framework_for_disaster_risk_reduction_midterm_review_2023.pdf" TargetMode="External"/><Relationship Id="rId76" Type="http://schemas.openxmlformats.org/officeDocument/2006/relationships/hyperlink" Target="https://www.coe.int/en/" TargetMode="External"/><Relationship Id="rId97" Type="http://schemas.openxmlformats.org/officeDocument/2006/relationships/hyperlink" Target="https://eur-lex.europa.eu/legal-content/EN/TXT/?uri=CELEX%3A52023PC0512" TargetMode="External"/><Relationship Id="rId120" Type="http://schemas.openxmlformats.org/officeDocument/2006/relationships/hyperlink" Target="https://ec.europa.eu/social/main.jsp?catId=1428&amp;langId=en" TargetMode="External"/><Relationship Id="rId141" Type="http://schemas.openxmlformats.org/officeDocument/2006/relationships/hyperlink" Target="https://www.edf-feph.org/companies-in-the-eu-will-have-to-report-on-disability-inclusion/" TargetMode="External"/><Relationship Id="rId7" Type="http://schemas.openxmlformats.org/officeDocument/2006/relationships/endnotes" Target="endnotes.xml"/><Relationship Id="rId162" Type="http://schemas.openxmlformats.org/officeDocument/2006/relationships/hyperlink" Target="https://ec.europa.eu/social/main.jsp?catId=1532&amp;langId=en" TargetMode="External"/><Relationship Id="rId183" Type="http://schemas.openxmlformats.org/officeDocument/2006/relationships/hyperlink" Target="https://ec.europa.eu/transparency/expert-groups-register/screen/expert-groups/consult?lang=en&amp;groupID=3820" TargetMode="External"/><Relationship Id="rId24" Type="http://schemas.openxmlformats.org/officeDocument/2006/relationships/hyperlink" Target="https://ec.europa.eu/info/sites/default/files/1_en_act_part1_v8_0.pdf" TargetMode="External"/><Relationship Id="rId40" Type="http://schemas.openxmlformats.org/officeDocument/2006/relationships/hyperlink" Target="https://ec.europa.eu/info/strategy/priorities-2019-2024/europe-fit-digital-age/digital-markets-act-ensuring-fair-and-open-digital-markets_en" TargetMode="External"/><Relationship Id="rId45" Type="http://schemas.openxmlformats.org/officeDocument/2006/relationships/hyperlink" Target="https://www.edf-feph.org/newsroom-news-tragic-fire-czechia-segregating-persons-disabilities-has-end/" TargetMode="External"/><Relationship Id="rId66" Type="http://schemas.openxmlformats.org/officeDocument/2006/relationships/hyperlink" Target="https://eur-lex.europa.eu/legal-content/EN/TXT/?uri=CELEX%3A52023PC0280" TargetMode="External"/><Relationship Id="rId87" Type="http://schemas.openxmlformats.org/officeDocument/2006/relationships/hyperlink" Target="https://www.coe.int/fr/web/conventions/full-list/-/conventions/rms/090000168008482e" TargetMode="External"/><Relationship Id="rId110" Type="http://schemas.openxmlformats.org/officeDocument/2006/relationships/hyperlink" Target="https://eur-lex.europa.eu/legal-content/EN/TXT/?uri=CELEX%3A32014R1300&amp;qid=1633957251906" TargetMode="External"/><Relationship Id="rId115" Type="http://schemas.openxmlformats.org/officeDocument/2006/relationships/hyperlink" Target="https://eur-lex.europa.eu/eli/dir/2018/1808/oj" TargetMode="External"/><Relationship Id="rId131" Type="http://schemas.openxmlformats.org/officeDocument/2006/relationships/hyperlink" Target="https://ec.europa.eu/info/strategy/priorities-2019-2024/promoting-our-european-way-life/european-health-union/cancer-plan-europe_en" TargetMode="External"/><Relationship Id="rId136" Type="http://schemas.openxmlformats.org/officeDocument/2006/relationships/hyperlink" Target="https://eur-lex.europa.eu/legal-content/EN/TXT/?uri=CELEX%3A32021R1057" TargetMode="External"/><Relationship Id="rId157" Type="http://schemas.openxmlformats.org/officeDocument/2006/relationships/hyperlink" Target="https://ec.europa.eu/eurostat" TargetMode="External"/><Relationship Id="rId178" Type="http://schemas.openxmlformats.org/officeDocument/2006/relationships/hyperlink" Target="https://www.edf-feph.org/content/uploads/2021/06/EDF-IDDC-Analysis-of-EU-Strategy-on-the-rights-of-persons-with-disabilities-Priorities-plus-Annex.pdf" TargetMode="External"/><Relationship Id="rId61" Type="http://schemas.openxmlformats.org/officeDocument/2006/relationships/hyperlink" Target="https://eur-lex.europa.eu/eli/dir/2018/1808/oj" TargetMode="External"/><Relationship Id="rId82" Type="http://schemas.openxmlformats.org/officeDocument/2006/relationships/hyperlink" Target="https://eur-lex.europa.eu/eli/dir/2024/1346/oj" TargetMode="External"/><Relationship Id="rId152" Type="http://schemas.openxmlformats.org/officeDocument/2006/relationships/hyperlink" Target="https://www.edf-feph.org/publications/edf-position-paper-on-mobile-eu-citizens-directives/" TargetMode="External"/><Relationship Id="rId173" Type="http://schemas.openxmlformats.org/officeDocument/2006/relationships/hyperlink" Target="https://international-partnerships.ec.europa.eu/policies/european-development-policy/european-consensus-development_en" TargetMode="External"/><Relationship Id="rId194" Type="http://schemas.openxmlformats.org/officeDocument/2006/relationships/hyperlink" Target="https://www.politico.eu/wp-content/uploads/2023/08/13/EDF-23-69-YV-AM-Letter-to-President-Von-der-Leyen-and-President-Metsola-on-SOTEU-3.pdf" TargetMode="External"/><Relationship Id="rId199" Type="http://schemas.openxmlformats.org/officeDocument/2006/relationships/hyperlink" Target="https://www.eursc.eu/Documents/2021-02-D-38-en-3.pdf" TargetMode="External"/><Relationship Id="rId203" Type="http://schemas.openxmlformats.org/officeDocument/2006/relationships/hyperlink" Target="https://petiport.secure.europarl.europa.eu/petitions/fr/registration/register" TargetMode="External"/><Relationship Id="rId208" Type="http://schemas.openxmlformats.org/officeDocument/2006/relationships/theme" Target="theme/theme1.xml"/><Relationship Id="rId19" Type="http://schemas.openxmlformats.org/officeDocument/2006/relationships/hyperlink" Target="https://ec.europa.eu/info/policies/justice-and-fundamental-rights/gender-equality/gender-equality-strategy_en" TargetMode="External"/><Relationship Id="rId14" Type="http://schemas.openxmlformats.org/officeDocument/2006/relationships/hyperlink" Target="https://ec.europa.eu/info/law/law-making-process/planning-and-proposing-law/better-regulation-why-and-how/better-regulation-guidelines-and-toolbox_en" TargetMode="External"/><Relationship Id="rId30" Type="http://schemas.openxmlformats.org/officeDocument/2006/relationships/hyperlink" Target="https://ec.europa.eu/social/main.jsp?catId=1428&amp;langId=en" TargetMode="External"/><Relationship Id="rId35" Type="http://schemas.openxmlformats.org/officeDocument/2006/relationships/hyperlink" Target="https://eur-lex.europa.eu/legal-content/EN/TXT/?uri=CELEX%3A32019L0882" TargetMode="External"/><Relationship Id="rId56" Type="http://schemas.openxmlformats.org/officeDocument/2006/relationships/hyperlink" Target="https://civil-protection-humanitarian-aid.ec.europa.eu/what/civil-protection/european-disaster-risk-management/european-disaster-resilience-goals_en" TargetMode="External"/><Relationship Id="rId77" Type="http://schemas.openxmlformats.org/officeDocument/2006/relationships/hyperlink" Target="https://rm.coe.int/16804e437b" TargetMode="External"/><Relationship Id="rId100" Type="http://schemas.openxmlformats.org/officeDocument/2006/relationships/hyperlink" Target="https://www.ombudsman.europa.eu/en/decision/en/119185" TargetMode="External"/><Relationship Id="rId105" Type="http://schemas.openxmlformats.org/officeDocument/2006/relationships/hyperlink" Target="https://ec.europa.eu/info/business-economy-euro/economic-and-fiscal-policy-coordination/eueconomyexplained/recovery-and-resilience-facility_en" TargetMode="External"/><Relationship Id="rId126" Type="http://schemas.openxmlformats.org/officeDocument/2006/relationships/hyperlink" Target="https://erasmus-plus.ec.europa.eu/fr" TargetMode="External"/><Relationship Id="rId147" Type="http://schemas.openxmlformats.org/officeDocument/2006/relationships/hyperlink" Target="https://www.eesc.europa.eu/en/our-work/opinions-information-reports/opinions/need-guarantee-real-rights-persons-disabilities-vote-european-parliament-elections-additional-opinion" TargetMode="External"/><Relationship Id="rId168" Type="http://schemas.openxmlformats.org/officeDocument/2006/relationships/hyperlink" Target="https://www.eesc.europa.eu/en/news-media/news/denied-right-health-persons-disabilities-have-more-difficulty-accessing-healthcare" TargetMode="External"/><Relationship Id="rId8" Type="http://schemas.openxmlformats.org/officeDocument/2006/relationships/image" Target="media/image1.png"/><Relationship Id="rId51" Type="http://schemas.openxmlformats.org/officeDocument/2006/relationships/hyperlink" Target="https://www.dgecho-partners-helpdesk.eu/reference-documents-ngo" TargetMode="External"/><Relationship Id="rId72" Type="http://schemas.openxmlformats.org/officeDocument/2006/relationships/hyperlink" Target="https://eur-lex.europa.eu/eli/reg/2023/2844" TargetMode="External"/><Relationship Id="rId93" Type="http://schemas.openxmlformats.org/officeDocument/2006/relationships/hyperlink" Target="https://digital-strategy.ec.europa.eu/en/activities/digital-programme" TargetMode="External"/><Relationship Id="rId98" Type="http://schemas.openxmlformats.org/officeDocument/2006/relationships/hyperlink" Target="https://www.edf-feph.org/stop-eu-funding-of-new-institutions-for-people-with-disabilities-in-poland-eeg-says/" TargetMode="External"/><Relationship Id="rId121" Type="http://schemas.openxmlformats.org/officeDocument/2006/relationships/hyperlink" Target="https://ec.europa.eu/social/main.jsp?langId=en&amp;catId=89&amp;furtherNews=yes&amp;newsId=10382" TargetMode="External"/><Relationship Id="rId142" Type="http://schemas.openxmlformats.org/officeDocument/2006/relationships/hyperlink" Target="https://home-affairs.ec.europa.eu/regulation-establishing-eu-talent-pool_en" TargetMode="External"/><Relationship Id="rId163" Type="http://schemas.openxmlformats.org/officeDocument/2006/relationships/hyperlink" Target="https://eige.europa.eu/" TargetMode="External"/><Relationship Id="rId184" Type="http://schemas.openxmlformats.org/officeDocument/2006/relationships/hyperlink" Target="https://eur-lex.europa.eu/legal-content/EN/TXT/?uri=CELEX%3A01962R0031-20210101" TargetMode="External"/><Relationship Id="rId189" Type="http://schemas.openxmlformats.org/officeDocument/2006/relationships/hyperlink" Target="https://eur-lex.europa.eu/legal-content/en/TXT/?uri=CELEX%3A32016L2102" TargetMode="External"/><Relationship Id="rId3" Type="http://schemas.openxmlformats.org/officeDocument/2006/relationships/styles" Target="styles.xml"/><Relationship Id="rId25" Type="http://schemas.openxmlformats.org/officeDocument/2006/relationships/hyperlink" Target="https://eur-lex.europa.eu/legal-content/EN/TXT/?uri=OJ:C:2018:456:FULL" TargetMode="External"/><Relationship Id="rId46" Type="http://schemas.openxmlformats.org/officeDocument/2006/relationships/hyperlink" Target="http://www.socioforum.sk/index.php/aktuality/35-aktuality/325-vyhlasenie-sociofora-k-tragickemu-poiaru-v-osadnom" TargetMode="External"/><Relationship Id="rId67" Type="http://schemas.openxmlformats.org/officeDocument/2006/relationships/hyperlink" Target="https://www.ohchr.org/sites/default/files/documents/issues/disability/olderpersons/Annex-Joint-Submission-Towards-Greater-Coherence-International-Law.pdf" TargetMode="External"/><Relationship Id="rId116" Type="http://schemas.openxmlformats.org/officeDocument/2006/relationships/hyperlink" Target="https://eur-lex.europa.eu/legal-content/EN/TXT/?uri=CELEX%3A02016R0679-20160504&amp;qid=1532348683434" TargetMode="External"/><Relationship Id="rId137" Type="http://schemas.openxmlformats.org/officeDocument/2006/relationships/hyperlink" Target="https://eige.europa.eu/gender-equality-index/2023/domain/money/disability" TargetMode="External"/><Relationship Id="rId158" Type="http://schemas.openxmlformats.org/officeDocument/2006/relationships/hyperlink" Target="https://ec.europa.eu/eurostat/web/disability/overview" TargetMode="External"/><Relationship Id="rId20" Type="http://schemas.openxmlformats.org/officeDocument/2006/relationships/hyperlink" Target="https://ec.europa.eu/info/policies/justice-and-fundamental-rights/combatting-discrimination/lesbian-gay-bi-trans-and-intersex-equality/lgbtiq-equality-strategy-2020-2025_en" TargetMode="External"/><Relationship Id="rId41" Type="http://schemas.openxmlformats.org/officeDocument/2006/relationships/hyperlink" Target="https://digital-strategy.ec.europa.eu/en/policies/european-approach-artificial-intelligence" TargetMode="External"/><Relationship Id="rId62" Type="http://schemas.openxmlformats.org/officeDocument/2006/relationships/hyperlink" Target="https://international-partnerships.ec.europa.eu/policies/youth/youth-action-plan_en" TargetMode="External"/><Relationship Id="rId83" Type="http://schemas.openxmlformats.org/officeDocument/2006/relationships/hyperlink" Target="https://www.consilium.europa.eu/media/40644/guidelines-st12107-en19.pdf" TargetMode="External"/><Relationship Id="rId88" Type="http://schemas.openxmlformats.org/officeDocument/2006/relationships/hyperlink" Target="https://eur-lex.europa.eu/legal-content/EN/TXT/?uri=CELEX%3A32024L1385&amp;qid=1726245808481" TargetMode="External"/><Relationship Id="rId111" Type="http://schemas.openxmlformats.org/officeDocument/2006/relationships/hyperlink" Target="https://eur-lex.europa.eu/legal-content/EN/TXT/?uri=CELEX%3A32024R1679" TargetMode="External"/><Relationship Id="rId132" Type="http://schemas.openxmlformats.org/officeDocument/2006/relationships/hyperlink" Target="https://data.consilium.europa.eu/doc/document/ST-10128-2024-INIT/en/pdf" TargetMode="External"/><Relationship Id="rId153" Type="http://schemas.openxmlformats.org/officeDocument/2006/relationships/hyperlink" Target="https://commission.europa.eu/publications/guide-good-electoral-practices-member-states-addressing-participation-citizens-disabilities_en" TargetMode="External"/><Relationship Id="rId174" Type="http://schemas.openxmlformats.org/officeDocument/2006/relationships/hyperlink" Target="file:///\\192.168.254.21\new%20folder%20structure\Policy\Human%20Rights%20and%20Non-Discrimination\EU%20review%20by%20CRPD%20Committee%202022-2025\2024\Update%20alternative%20report\EU%20Action%20Plan%20on%20Human%20Rights%20and%20Democracy%202020-2027" TargetMode="External"/><Relationship Id="rId179" Type="http://schemas.openxmlformats.org/officeDocument/2006/relationships/hyperlink" Target="https://www.edf-feph.org/content/uploads/2021/06/EDF-IDDC-Analysis-of-EU-Strategy-on-the-rights-of-persons-with-disabilities-Priorities-plus-Annex.pdf" TargetMode="External"/><Relationship Id="rId195" Type="http://schemas.openxmlformats.org/officeDocument/2006/relationships/hyperlink" Target="https://www.politico.eu/newsletter/brussels-playbook/germany-debates-sending-more-arms-to-ukraine-again/" TargetMode="External"/><Relationship Id="rId190" Type="http://schemas.openxmlformats.org/officeDocument/2006/relationships/hyperlink" Target="https://multimedia.europarl.europa.eu/en/webstreaming?view=day" TargetMode="External"/><Relationship Id="rId204" Type="http://schemas.openxmlformats.org/officeDocument/2006/relationships/hyperlink" Target="https://www.edf-feph.org/the-platform-of-the-conference-on-the-future-of-europe-must-fix-its-accessibility-problems/" TargetMode="External"/><Relationship Id="rId15" Type="http://schemas.openxmlformats.org/officeDocument/2006/relationships/hyperlink" Target="https://www.edf-feph.org/protection-of-adults-across-borders/" TargetMode="External"/><Relationship Id="rId36" Type="http://schemas.openxmlformats.org/officeDocument/2006/relationships/hyperlink" Target="https://ec.europa.eu/info/law/better-regulation/have-your-say/initiatives/13446-European-standardisation-evaluation_en" TargetMode="External"/><Relationship Id="rId57" Type="http://schemas.openxmlformats.org/officeDocument/2006/relationships/hyperlink" Target="https://eur-lex.europa.eu/legal-content/EN/TXT/HTML/?uri=CELEX:52021DC0082&amp;from=EN" TargetMode="External"/><Relationship Id="rId106" Type="http://schemas.openxmlformats.org/officeDocument/2006/relationships/hyperlink" Target="https://deinstitutionalisation.com/" TargetMode="External"/><Relationship Id="rId127" Type="http://schemas.openxmlformats.org/officeDocument/2006/relationships/hyperlink" Target="https://eur-lex.europa.eu/legal-content/EN/TXT/?uri=celex%3A32000L0078" TargetMode="External"/><Relationship Id="rId10" Type="http://schemas.openxmlformats.org/officeDocument/2006/relationships/image" Target="media/image3.png"/><Relationship Id="rId31" Type="http://schemas.openxmlformats.org/officeDocument/2006/relationships/hyperlink" Target="https://ec.europa.eu/social/main.jsp?catId=1559&amp;langId=en" TargetMode="External"/><Relationship Id="rId52" Type="http://schemas.openxmlformats.org/officeDocument/2006/relationships/hyperlink" Target="https://ec.europa.eu/echo/sites/echo-site/files/1_en_document_travail_service_part1_v2.pdf" TargetMode="External"/><Relationship Id="rId73" Type="http://schemas.openxmlformats.org/officeDocument/2006/relationships/hyperlink" Target="https://ec.europa.eu/commission/presscorner/detail/en/ip_21_3523" TargetMode="External"/><Relationship Id="rId78" Type="http://schemas.openxmlformats.org/officeDocument/2006/relationships/hyperlink" Target="https://www.withdrawoviedo.info/join" TargetMode="External"/><Relationship Id="rId94" Type="http://schemas.openxmlformats.org/officeDocument/2006/relationships/hyperlink" Target="https://ec.europa.eu/defence-industry-space/eu-defence-industry/european-defence-fund-edf_fr" TargetMode="External"/><Relationship Id="rId99" Type="http://schemas.openxmlformats.org/officeDocument/2006/relationships/hyperlink" Target="https://www.edf-feph.org/content/uploads/2023/02/UNSR-Report-on-visit-to-Europe.pdf" TargetMode="External"/><Relationship Id="rId101" Type="http://schemas.openxmlformats.org/officeDocument/2006/relationships/hyperlink" Target="https://ec.europa.eu/regional_policy/policy/what/glossary/european-code-of-conduct_en" TargetMode="External"/><Relationship Id="rId122" Type="http://schemas.openxmlformats.org/officeDocument/2006/relationships/hyperlink" Target="https://www.edf-feph.org/the-eu-care-strategy-is-promising-but-lacks-binding-measures/" TargetMode="External"/><Relationship Id="rId143" Type="http://schemas.openxmlformats.org/officeDocument/2006/relationships/hyperlink" Target="https://home-affairs.ec.europa.eu/policies/migration-and-asylum/legal-migration-and-integration/integration/action-plan-integration-and-inclusion_en" TargetMode="External"/><Relationship Id="rId148" Type="http://schemas.openxmlformats.org/officeDocument/2006/relationships/hyperlink" Target="https://fra.europa.eu/en/publication/2024/political-participation?page=2" TargetMode="External"/><Relationship Id="rId164" Type="http://schemas.openxmlformats.org/officeDocument/2006/relationships/hyperlink" Target="https://eige.europa.eu/gender-equality-index/2020/domain/power" TargetMode="External"/><Relationship Id="rId169" Type="http://schemas.openxmlformats.org/officeDocument/2006/relationships/hyperlink" Target="file://\\192.168.254.21\new%20folder%20structure\Policy\Human%20Rights%20and%20Non-Discrimination\EU%20review%20by%20CRPD%20Committee%202022-2025\2024\Update%20alternative%20report\EU%20introduced%20the%20Neighbourhood,%20Development%20and%20International%20Cooperation%20Instrument%20&#8211;%20Global%20Europe%20(NDICI-GE" TargetMode="External"/><Relationship Id="rId185" Type="http://schemas.openxmlformats.org/officeDocument/2006/relationships/hyperlink" Target="https://www.ombudsman.europa.eu/en/decision/en/10796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www.edf-feph.org/content/uploads/2024/01/Marker-report-final.docx'" TargetMode="External"/><Relationship Id="rId26" Type="http://schemas.openxmlformats.org/officeDocument/2006/relationships/hyperlink" Target="https://eur-lex.europa.eu/legal-content/EN/TXT/?uri=OJ:L_202401689" TargetMode="External"/><Relationship Id="rId47" Type="http://schemas.openxmlformats.org/officeDocument/2006/relationships/hyperlink" Target="https://www.edf-feph.org/europe-flooding-disability-inclusion-must-be-a-priority-in-disaster-risk-reduction/" TargetMode="External"/><Relationship Id="rId68" Type="http://schemas.openxmlformats.org/officeDocument/2006/relationships/hyperlink" Target="https://eur-lex.europa.eu/legal-content/EN/TXT/?uri=CELEX:52020DC0258" TargetMode="External"/><Relationship Id="rId89" Type="http://schemas.openxmlformats.org/officeDocument/2006/relationships/hyperlink" Target="https://eur-lex.europa.eu/eli/dir/2024/1712" TargetMode="External"/><Relationship Id="rId112" Type="http://schemas.openxmlformats.org/officeDocument/2006/relationships/hyperlink" Target="https://eur-lex.europa.eu/legal-content/EN/TXT/?uri=CELEX%3A32009L0045" TargetMode="External"/><Relationship Id="rId133" Type="http://schemas.openxmlformats.org/officeDocument/2006/relationships/hyperlink" Target="https://commission.europa.eu/strategy-and-policy/priorities-2019-2024/promoting-our-european-way-life/european-health-union/comprehensive-approach-mental-health_en" TargetMode="External"/><Relationship Id="rId154" Type="http://schemas.openxmlformats.org/officeDocument/2006/relationships/hyperlink" Target="https://commission.europa.eu/document/c797a16d-f2f6-4540-baf8-a05e8bcb33df_en" TargetMode="External"/><Relationship Id="rId175" Type="http://schemas.openxmlformats.org/officeDocument/2006/relationships/hyperlink" Target="https://data.consilium.europa.eu/doc/document/ST-6337-2019-INIT/en/pdf" TargetMode="External"/><Relationship Id="rId196" Type="http://schemas.openxmlformats.org/officeDocument/2006/relationships/hyperlink" Target="https://european-union.europa.eu/easy-read_en" TargetMode="External"/><Relationship Id="rId200" Type="http://schemas.openxmlformats.org/officeDocument/2006/relationships/hyperlink" Target="https://www.ombudsman.europa.eu/en/decision/en/112191" TargetMode="External"/><Relationship Id="rId16" Type="http://schemas.openxmlformats.org/officeDocument/2006/relationships/hyperlink" Target="https://www.consilium.europa.eu/en/council-eu/preparatory-bodies/working-party-human-rights/" TargetMode="External"/><Relationship Id="rId37" Type="http://schemas.openxmlformats.org/officeDocument/2006/relationships/hyperlink" Target="https://eur-lex.europa.eu/legal-content/EN/TXT/?uri=celex%3A32012R1025" TargetMode="External"/><Relationship Id="rId58" Type="http://schemas.openxmlformats.org/officeDocument/2006/relationships/hyperlink" Target="https://www.consilium.europa.eu/en/press/press-releases/2023/10/16/paris-agreement-council-submits-updated-ndc-on-behalf-of-eu-and-member-states/" TargetMode="External"/><Relationship Id="rId79" Type="http://schemas.openxmlformats.org/officeDocument/2006/relationships/hyperlink" Target="https://www.europarl.europa.eu/doceo/document/TA-8-2017-0385_EN.html?redirect" TargetMode="External"/><Relationship Id="rId102" Type="http://schemas.openxmlformats.org/officeDocument/2006/relationships/hyperlink" Target="https://eur-lex.europa.eu/legal-content/EN/TXT/?uri=CELEX%3A32021R1057" TargetMode="External"/><Relationship Id="rId123" Type="http://schemas.openxmlformats.org/officeDocument/2006/relationships/hyperlink" Target="https://commission.europa.eu/funding-tenders/find-funding/eu-funding-programmes/technical-support-instrument/technical-support-instrument-tsi_en" TargetMode="External"/><Relationship Id="rId144" Type="http://schemas.openxmlformats.org/officeDocument/2006/relationships/hyperlink" Target="https://ec.europa.eu/eurostat/databrowser/view/hlth_dhc050/default/table?lang=en&amp;category=dsb.dsb_ilc.dsb_ilchc" TargetMode="External"/><Relationship Id="rId90" Type="http://schemas.openxmlformats.org/officeDocument/2006/relationships/hyperlink" Target="https://eige.europa.eu/" TargetMode="External"/><Relationship Id="rId165" Type="http://schemas.openxmlformats.org/officeDocument/2006/relationships/hyperlink" Target="https://drmkc.jrc.ec.europa.eu/" TargetMode="External"/><Relationship Id="rId186" Type="http://schemas.openxmlformats.org/officeDocument/2006/relationships/hyperlink" Target="https://www.edf-feph.org/a-look-at-the-european-commission-web-accessibility-action-plan/" TargetMode="External"/><Relationship Id="rId27" Type="http://schemas.openxmlformats.org/officeDocument/2006/relationships/hyperlink" Target="https://ec.europa.eu/info/policies/justice-and-fundamental-rights/gender-equality/gender-equality-strategy_en" TargetMode="External"/><Relationship Id="rId48" Type="http://schemas.openxmlformats.org/officeDocument/2006/relationships/hyperlink" Target="https://www.ecdc.europa.eu/en/publications-data/guidance-medically-and-socially-vulnerable-populations-covid-19" TargetMode="External"/><Relationship Id="rId69" Type="http://schemas.openxmlformats.org/officeDocument/2006/relationships/hyperlink" Target="https://ec.europa.eu/info/policies/justice-and-fundamental-rights/rights-child/eu-strategy-rights-child-and-european-child-guarantee_en" TargetMode="External"/><Relationship Id="rId113" Type="http://schemas.openxmlformats.org/officeDocument/2006/relationships/hyperlink" Target="https://eur-lex.europa.eu/legal-content/en/ALL/?uri=CELEX:32010R1177" TargetMode="External"/><Relationship Id="rId134" Type="http://schemas.openxmlformats.org/officeDocument/2006/relationships/hyperlink" Target="https://eur-lex.europa.eu/legal-content/EN/ALL/?uri=celex%3A32011L0024" TargetMode="External"/><Relationship Id="rId80" Type="http://schemas.openxmlformats.org/officeDocument/2006/relationships/hyperlink" Target="https://assembly.coe.int/nw/xml/XRef/Xref-XML2HTML-en.asp?fileid=24756&amp;lang=en" TargetMode="External"/><Relationship Id="rId155" Type="http://schemas.openxmlformats.org/officeDocument/2006/relationships/hyperlink" Target="https://eur-lex.europa.eu/eli/dir/2018/1808/oj" TargetMode="External"/><Relationship Id="rId176" Type="http://schemas.openxmlformats.org/officeDocument/2006/relationships/hyperlink" Target="https://www.edf-feph.org/content/uploads/2024/01/Marker-report-final.docx" TargetMode="External"/><Relationship Id="rId197" Type="http://schemas.openxmlformats.org/officeDocument/2006/relationships/hyperlink" Target="https://www.hrw.org/sites/default/files/report_pdf/eu1218_web2_0.pdf" TargetMode="External"/><Relationship Id="rId201" Type="http://schemas.openxmlformats.org/officeDocument/2006/relationships/hyperlink" Target="https://eu-careers.europa.eu/en" TargetMode="External"/><Relationship Id="rId17" Type="http://schemas.openxmlformats.org/officeDocument/2006/relationships/hyperlink" Target="https://www.edf-feph.org/content/uploads/2021/03/KE0221257ENN_002-proof-2.pdf" TargetMode="External"/><Relationship Id="rId38" Type="http://schemas.openxmlformats.org/officeDocument/2006/relationships/hyperlink" Target="https://eur-lex.europa.eu/legal-content/EN/TXT/?uri=celex%3A32014L0024" TargetMode="External"/><Relationship Id="rId59" Type="http://schemas.openxmlformats.org/officeDocument/2006/relationships/hyperlink" Target="https://home-affairs.ec.europa.eu/policies/migration-and-asylum/pact-migration-and-asylum_en" TargetMode="External"/><Relationship Id="rId103" Type="http://schemas.openxmlformats.org/officeDocument/2006/relationships/hyperlink" Target="https://eur-lex.europa.eu/eli/reg/2021/1058" TargetMode="External"/><Relationship Id="rId124" Type="http://schemas.openxmlformats.org/officeDocument/2006/relationships/hyperlink" Target="https://ec.europa.eu/education/education-in-the-eu/digital-education-action-plan_en" TargetMode="External"/><Relationship Id="rId70" Type="http://schemas.openxmlformats.org/officeDocument/2006/relationships/hyperlink" Target="https://eur-lex.europa.eu/legal-content/EN/TXT/?uri=CELEX%3A52023PC0424" TargetMode="External"/><Relationship Id="rId91" Type="http://schemas.openxmlformats.org/officeDocument/2006/relationships/hyperlink" Target="https://fra.europa.eu/sites/default/files/fra_uploads/fra-2015-violence-against-children-with-disabilities_en.pdf" TargetMode="External"/><Relationship Id="rId145" Type="http://schemas.openxmlformats.org/officeDocument/2006/relationships/hyperlink" Target="https://ec.europa.eu/eurostat/databrowser/view/hlth_dm030/default/table?lang=en&amp;category=dsb.dsb_ilc.dsb_ilcms" TargetMode="External"/><Relationship Id="rId166" Type="http://schemas.openxmlformats.org/officeDocument/2006/relationships/hyperlink" Target="https://ec.europa.eu/jrc/en" TargetMode="External"/><Relationship Id="rId187" Type="http://schemas.openxmlformats.org/officeDocument/2006/relationships/hyperlink" Target="https://siteimprove.com/media/5009/accessible-report-eu-democracy.pdf" TargetMode="External"/><Relationship Id="rId1" Type="http://schemas.openxmlformats.org/officeDocument/2006/relationships/customXml" Target="../customXml/item1.xml"/><Relationship Id="rId28" Type="http://schemas.openxmlformats.org/officeDocument/2006/relationships/hyperlink" Target="https://ec.europa.eu/commission/presscorner/detail/en/ip_20_2184" TargetMode="External"/><Relationship Id="rId49" Type="http://schemas.openxmlformats.org/officeDocument/2006/relationships/hyperlink" Target="https://ec.europa.eu/echo/sites/echo-site/files/2019-01_disability_inclusion_guidance_note.pdf" TargetMode="External"/><Relationship Id="rId114" Type="http://schemas.openxmlformats.org/officeDocument/2006/relationships/hyperlink" Target="https://eur-lex.europa.eu/legal-content/EN/ALL/?uri=celex%3A32006R1107" TargetMode="External"/><Relationship Id="rId60" Type="http://schemas.openxmlformats.org/officeDocument/2006/relationships/hyperlink" Target="https://eur-lex.europa.eu/legal-content/EN/TXT/PDF/?uri=CELEX:32018L1972" TargetMode="External"/><Relationship Id="rId81" Type="http://schemas.openxmlformats.org/officeDocument/2006/relationships/hyperlink" Target="https://eur-lex.europa.eu/legal-content/EN/TXT/?uri=celex%3A32023H0681" TargetMode="External"/><Relationship Id="rId135" Type="http://schemas.openxmlformats.org/officeDocument/2006/relationships/hyperlink" Target="https://ec.europa.eu/social/main.jsp?catId=738&amp;langId=en&amp;pubId=8612&amp;furtherPubs=yes" TargetMode="External"/><Relationship Id="rId156" Type="http://schemas.openxmlformats.org/officeDocument/2006/relationships/hyperlink" Target="https://ec.europa.eu/culture/fr/node/821" TargetMode="External"/><Relationship Id="rId177" Type="http://schemas.openxmlformats.org/officeDocument/2006/relationships/hyperlink" Target="https://www.edf-feph.org/content/uploads/2021/06/EDF-IDDC-Analysis-of-EU-Strategy-on-the-rights-of-persons-with-disabilities-Priorities-plus-Annex.pdf" TargetMode="External"/><Relationship Id="rId198" Type="http://schemas.openxmlformats.org/officeDocument/2006/relationships/hyperlink" Target="https://www.eursc.eu/Documents/2018-12-D-34-en-5.pdf" TargetMode="External"/><Relationship Id="rId202" Type="http://schemas.openxmlformats.org/officeDocument/2006/relationships/hyperlink" Target="https://www.europarl.europa.eu/committees/en/peti/about" TargetMode="External"/><Relationship Id="rId18" Type="http://schemas.openxmlformats.org/officeDocument/2006/relationships/hyperlink" Target="https://www.consilium.europa.eu/en/press/press-releases/2024/05/07/strengthening-the-role-of-equality-bodies-across-the-eu-council-adopts-two-directives/" TargetMode="External"/><Relationship Id="rId39" Type="http://schemas.openxmlformats.org/officeDocument/2006/relationships/hyperlink" Target="https://ec.europa.eu/info/strategy/priorities-2019-2024/europe-fit-digital-age/digital-services-act-ensuring-safe-and-accountable-online-environment_en" TargetMode="External"/><Relationship Id="rId50" Type="http://schemas.openxmlformats.org/officeDocument/2006/relationships/hyperlink" Target="https://interagencystandingcommittee.org/iasc-task-team-inclusion-persons-disabilities-humanitarian-action/documents/iasc-guidelines" TargetMode="External"/><Relationship Id="rId104" Type="http://schemas.openxmlformats.org/officeDocument/2006/relationships/hyperlink" Target="https://eur-lex.europa.eu/legal-content/EN/TXT/?uri=CELEX%3A32021R1060" TargetMode="External"/><Relationship Id="rId125" Type="http://schemas.openxmlformats.org/officeDocument/2006/relationships/hyperlink" Target="https://ec.europa.eu/education/sites/default/files/document-library-docs/deap-communication-sept2020_en.pdf" TargetMode="External"/><Relationship Id="rId146" Type="http://schemas.openxmlformats.org/officeDocument/2006/relationships/hyperlink" Target="https://www.edf-feph.org/report-social-protection-schemes-for-persons-with-disabilities-across-europe/" TargetMode="External"/><Relationship Id="rId167" Type="http://schemas.openxmlformats.org/officeDocument/2006/relationships/hyperlink" Target="https://www.undrr.org/implementing-sendai-framework/monitoring-sendai-framework" TargetMode="External"/><Relationship Id="rId188" Type="http://schemas.openxmlformats.org/officeDocument/2006/relationships/hyperlink" Target="https://ec.europa.eu/info/law/better-regulation/have-your-say_en" TargetMode="External"/><Relationship Id="rId71" Type="http://schemas.openxmlformats.org/officeDocument/2006/relationships/hyperlink" Target="https://eur-lex.europa.eu/legal-content/EN/ALL/?uri=COM:2020:710:FIN" TargetMode="External"/><Relationship Id="rId92" Type="http://schemas.openxmlformats.org/officeDocument/2006/relationships/hyperlink" Target="https://ec.europa.eu/info/research-and-innovation/funding/funding-opportunities/funding-programmes-and-open-calls/horizon-europe_en" TargetMode="External"/><Relationship Id="rId2" Type="http://schemas.openxmlformats.org/officeDocument/2006/relationships/numbering" Target="numbering.xml"/><Relationship Id="rId29" Type="http://schemas.openxmlformats.org/officeDocument/2006/relationships/hyperlink" Target="https://ec.europa.eu/info/policies/justice-and-fundamental-rights/rights-child/eu-strategy-rights-child-and-european-child-guarantee_en"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www.uildm.org/wp-content/uploads/2011/11/2ndmanifestoEN.pdf" TargetMode="External"/><Relationship Id="rId21" Type="http://schemas.openxmlformats.org/officeDocument/2006/relationships/hyperlink" Target="https://digital-strategy.ec.europa.eu/en/library/2022-report-implementation-112-eu-emergency-number" TargetMode="External"/><Relationship Id="rId42" Type="http://schemas.openxmlformats.org/officeDocument/2006/relationships/hyperlink" Target="https://fra.europa.eu/sites/default/files/fra_uploads/fra-2021-crime-safety-victims-rights_en.pdf" TargetMode="External"/><Relationship Id="rId47" Type="http://schemas.openxmlformats.org/officeDocument/2006/relationships/hyperlink" Target="https://www.edf-feph.org/end-forced-sterilisation-in-the-eu/" TargetMode="External"/><Relationship Id="rId63" Type="http://schemas.openxmlformats.org/officeDocument/2006/relationships/hyperlink" Target="https://eur-lex.europa.eu/legal-content/EN/ALL/?uri=celex%3A32006R1107" TargetMode="External"/><Relationship Id="rId68" Type="http://schemas.openxmlformats.org/officeDocument/2006/relationships/hyperlink" Target="https://www.european-agency.org/resources/publications/EASIE-2020-2021-cross-country-report" TargetMode="External"/><Relationship Id="rId84" Type="http://schemas.openxmlformats.org/officeDocument/2006/relationships/hyperlink" Target="https://ainowinstitute.org/disabilitybiasai-2019.pdf" TargetMode="External"/><Relationship Id="rId89" Type="http://schemas.openxmlformats.org/officeDocument/2006/relationships/hyperlink" Target="https://ec.europa.eu/eurostat/databrowser/view/hlth_dpe010/default/table?lang=en&amp;category=dsb.dsb_ilc.dsb_ilcip" TargetMode="External"/><Relationship Id="rId16" Type="http://schemas.openxmlformats.org/officeDocument/2006/relationships/hyperlink" Target="https://ltccovid.org/2020/04/12/mortality-associated-with-covid-19-outbreaks-in-care-homes-early-international-evidence/" TargetMode="External"/><Relationship Id="rId107" Type="http://schemas.openxmlformats.org/officeDocument/2006/relationships/hyperlink" Target="https://www.eursc.eu/Documents/2018-10-D-17-en-3.pdf" TargetMode="External"/><Relationship Id="rId11" Type="http://schemas.openxmlformats.org/officeDocument/2006/relationships/hyperlink" Target="https://ec.europa.eu/atwork/applying-eu-law/infringements-proceedings/infringement_decisions/?langCode=EN&amp;version=v1&amp;typeOfSearch=byDecision&amp;title=accessibility%20act&amp;page=1&amp;size=10&amp;order=desc&amp;sortColumns=decisionDate" TargetMode="External"/><Relationship Id="rId32" Type="http://schemas.openxmlformats.org/officeDocument/2006/relationships/hyperlink" Target="https://www.coe.int/en/web/about-us/our-member-states" TargetMode="External"/><Relationship Id="rId37" Type="http://schemas.openxmlformats.org/officeDocument/2006/relationships/hyperlink" Target="http://www.eesc.europa.eu/" TargetMode="External"/><Relationship Id="rId53" Type="http://schemas.openxmlformats.org/officeDocument/2006/relationships/hyperlink" Target="https://deinstitutionalisationdotcom.files.wordpress.com/2017/07/guidelines-final-english.pdf" TargetMode="External"/><Relationship Id="rId58" Type="http://schemas.openxmlformats.org/officeDocument/2006/relationships/hyperlink" Target="https://eur-lex.europa.eu/LexUriServ/LexUriServ.do?uri=OJ:L:2010:162:0001:0135:EN:PDF" TargetMode="External"/><Relationship Id="rId74" Type="http://schemas.openxmlformats.org/officeDocument/2006/relationships/hyperlink" Target="https://www.mentalhealtheurope.org/library/briefing-on-recent-eu-policy-developments-on-mental-he" TargetMode="External"/><Relationship Id="rId79" Type="http://schemas.openxmlformats.org/officeDocument/2006/relationships/hyperlink" Target="https://health.ec.europa.eu/system/files/2022-05/crossborder_evaluation-dir201124eu_study_frep_en.pdf" TargetMode="External"/><Relationship Id="rId102" Type="http://schemas.openxmlformats.org/officeDocument/2006/relationships/hyperlink" Target="https://oeil.secure.europarl.europa.eu/oeil/popups/ficheprocedure.do?lang=en&amp;reference=2020/2209(INI)" TargetMode="External"/><Relationship Id="rId5" Type="http://schemas.openxmlformats.org/officeDocument/2006/relationships/hyperlink" Target="https://eur-lex.europa.eu/legal-content/EN/TXT/PDF/?uri=CONSIL:ST_10740_2019_INIT&amp;from=EN" TargetMode="External"/><Relationship Id="rId90" Type="http://schemas.openxmlformats.org/officeDocument/2006/relationships/hyperlink" Target="https://ec.europa.eu/eurostat/databrowser/view/hlth_dpe010/default/table?lang=en&amp;category=dsb.dsb_ilc.dsb_ilcip" TargetMode="External"/><Relationship Id="rId95" Type="http://schemas.openxmlformats.org/officeDocument/2006/relationships/hyperlink" Target="https://europa.eu/new-european-bauhaus/2021-prizes_en" TargetMode="External"/><Relationship Id="rId22" Type="http://schemas.openxmlformats.org/officeDocument/2006/relationships/hyperlink" Target="https://commission.europa.eu/document/9f84a9a4-324a-48db-9b71-871c5c04d3c7_en" TargetMode="External"/><Relationship Id="rId27" Type="http://schemas.openxmlformats.org/officeDocument/2006/relationships/hyperlink" Target="https://eur-lex.europa.eu/legal-content/EN/TXT/?uri=celex:32003L0008" TargetMode="External"/><Relationship Id="rId43" Type="http://schemas.openxmlformats.org/officeDocument/2006/relationships/hyperlink" Target="https://www.europarl.europa.eu/doceo/document/TA-8-2018-0484_EN.html" TargetMode="External"/><Relationship Id="rId48" Type="http://schemas.openxmlformats.org/officeDocument/2006/relationships/hyperlink" Target="https://www.euronews.com/tag/forced-sterilisations-of-women-with-disabilities" TargetMode="External"/><Relationship Id="rId64" Type="http://schemas.openxmlformats.org/officeDocument/2006/relationships/hyperlink" Target="https://www.edf-feph.org/publications/at/" TargetMode="External"/><Relationship Id="rId69" Type="http://schemas.openxmlformats.org/officeDocument/2006/relationships/hyperlink" Target="https://www.european-agency.org/resources/publications/EASIE-2020-2021-cross-country-report" TargetMode="External"/><Relationship Id="rId80" Type="http://schemas.openxmlformats.org/officeDocument/2006/relationships/hyperlink" Target="https://ec.europa.eu/eurostat/databrowser/view/lfsa_egaidl/default/table?lang=en&amp;category=dsb.dsb_lab" TargetMode="External"/><Relationship Id="rId85" Type="http://schemas.openxmlformats.org/officeDocument/2006/relationships/hyperlink" Target="https://benetech.org/wp-content/uploads/2018/11/Tech-and-Disability-Employment-Report-November-2018.pdf" TargetMode="External"/><Relationship Id="rId12" Type="http://schemas.openxmlformats.org/officeDocument/2006/relationships/hyperlink" Target="https://anec.eu/" TargetMode="External"/><Relationship Id="rId17" Type="http://schemas.openxmlformats.org/officeDocument/2006/relationships/hyperlink" Target="https://www.alzheimer-europe.org/policy/positions/wellbeing-people-dementia-and-carers-during-covid-19-pandemic" TargetMode="External"/><Relationship Id="rId33" Type="http://schemas.openxmlformats.org/officeDocument/2006/relationships/hyperlink" Target="https://www.edf-feph.org/content/uploads/2019/06/EDF-21-49-YV-MU-Letter-COSCE-draft-additional-protocol-to-the-Oviedo-Convention-1.pdf" TargetMode="External"/><Relationship Id="rId38" Type="http://schemas.openxmlformats.org/officeDocument/2006/relationships/hyperlink" Target="http://www.eesc.europa.eu/?i=portal.en.news.40684" TargetMode="External"/><Relationship Id="rId59" Type="http://schemas.openxmlformats.org/officeDocument/2006/relationships/hyperlink" Target="https://accessible-eu-centre.ec.europa.eu/accessible-public-transport-eu-what-law-says-and-what-it-means_en" TargetMode="External"/><Relationship Id="rId103" Type="http://schemas.openxmlformats.org/officeDocument/2006/relationships/hyperlink" Target="https://ec.europa.eu/info/sites/default/files/mit-1-performance-and-technical-performance-specification_en.pdf" TargetMode="External"/><Relationship Id="rId108" Type="http://schemas.openxmlformats.org/officeDocument/2006/relationships/hyperlink" Target="https://www.eursc.eu/Documents/2019-11-D-11-en-5.pdf" TargetMode="External"/><Relationship Id="rId54" Type="http://schemas.openxmlformats.org/officeDocument/2006/relationships/hyperlink" Target="https://commission.europa.eu/document/download/e6cd4328-673c-4e7a-8683-f63ffb2cf648_en?filename=Political%20Guidelines%202024-2029_EN.pdf" TargetMode="External"/><Relationship Id="rId70" Type="http://schemas.openxmlformats.org/officeDocument/2006/relationships/hyperlink" Target="https://eur-lex.europa.eu/legal-content/EN/TXT/HTML/?uri=OJ:L_202401689" TargetMode="External"/><Relationship Id="rId75" Type="http://schemas.openxmlformats.org/officeDocument/2006/relationships/hyperlink" Target="https://health.ec.europa.eu/system/files/2022-05/crossborder_evaluation-dir201124eu_study_frep_en.pdf" TargetMode="External"/><Relationship Id="rId91" Type="http://schemas.openxmlformats.org/officeDocument/2006/relationships/hyperlink" Target="https://link.springer.com/content/pdf/10.1007%2Fs13209-016-0146-5.pdf" TargetMode="External"/><Relationship Id="rId96" Type="http://schemas.openxmlformats.org/officeDocument/2006/relationships/hyperlink" Target="https://eur-lex.europa.eu/legal-content/EN/TXT/?uri=celex%3A32013R1023" TargetMode="External"/><Relationship Id="rId1" Type="http://schemas.openxmlformats.org/officeDocument/2006/relationships/hyperlink" Target="https://eur-lex.europa.eu/legal-content/EN/TXT/PDF/?uri=CELEX:32010D0048&amp;from=PL" TargetMode="External"/><Relationship Id="rId6" Type="http://schemas.openxmlformats.org/officeDocument/2006/relationships/hyperlink" Target="https://www.edf-feph.org/publications/eus-ai-act-fails-to-set-gold-standard-for-human-rights/" TargetMode="External"/><Relationship Id="rId15" Type="http://schemas.openxmlformats.org/officeDocument/2006/relationships/hyperlink" Target="https://www.autismeurope.org/wp-content/uploads/2020/12/Impact-of-COVID-19_report-_Autism-Europe_December-2020.pdf" TargetMode="External"/><Relationship Id="rId23" Type="http://schemas.openxmlformats.org/officeDocument/2006/relationships/hyperlink" Target="https://www.edf-feph.org/protection-of-adults-across-borders/" TargetMode="External"/><Relationship Id="rId28" Type="http://schemas.openxmlformats.org/officeDocument/2006/relationships/hyperlink" Target="https://ec.europa.eu/info/strategy/priorities-2019-2024/europe-fit-digital-age/europes-digital-decade-digital-targets-2030_en" TargetMode="External"/><Relationship Id="rId36" Type="http://schemas.openxmlformats.org/officeDocument/2006/relationships/hyperlink" Target="http://www.eesc.europa.eu/?i=portal.en.news.40684" TargetMode="External"/><Relationship Id="rId49" Type="http://schemas.openxmlformats.org/officeDocument/2006/relationships/hyperlink" Target="https://eur-lex.europa.eu/legal-content/EN/TXT/?uri=celex%3A12012M%2FTXT" TargetMode="External"/><Relationship Id="rId57" Type="http://schemas.openxmlformats.org/officeDocument/2006/relationships/hyperlink" Target="https://eur-lex.europa.eu/eli/reg/2015/107/oj" TargetMode="External"/><Relationship Id="rId106" Type="http://schemas.openxmlformats.org/officeDocument/2006/relationships/hyperlink" Target="https://digital-strategy.ec.europa.eu/en/policies/multi-stakeholder-platform-ict-standardisation" TargetMode="External"/><Relationship Id="rId10" Type="http://schemas.openxmlformats.org/officeDocument/2006/relationships/hyperlink" Target="https://eur-lex.europa.eu/legal-content/EN/TXT/?uri=LEGISSUM%3Al33131" TargetMode="External"/><Relationship Id="rId31" Type="http://schemas.openxmlformats.org/officeDocument/2006/relationships/hyperlink" Target="https://ec.europa.eu/info/files/eu-justice-scoreboard-2021" TargetMode="External"/><Relationship Id="rId44" Type="http://schemas.openxmlformats.org/officeDocument/2006/relationships/hyperlink" Target="https://www.wma.net/policies-post/wma-declaration-of-helsinki-ethical-principles-for-medical-research-involving-human-subjects/" TargetMode="External"/><Relationship Id="rId52" Type="http://schemas.openxmlformats.org/officeDocument/2006/relationships/hyperlink" Target="https://www.edf-feph.org/publications/edf-freedom-guide-2011/" TargetMode="External"/><Relationship Id="rId60" Type="http://schemas.openxmlformats.org/officeDocument/2006/relationships/hyperlink" Target="https://www.edf-feph.org/content/uploads/2022/01/EDF-Feedback-to-Call-for-Evidence-for-an-Impact-Assessment-of-EU-Passenger-Rights-Regulations.pdf" TargetMode="External"/><Relationship Id="rId65" Type="http://schemas.openxmlformats.org/officeDocument/2006/relationships/hyperlink" Target="https://www.edf-feph.org/publications/plug-and-pray-2018/" TargetMode="External"/><Relationship Id="rId73" Type="http://schemas.openxmlformats.org/officeDocument/2006/relationships/hyperlink" Target="https://health.ec.europa.eu/document/download/f74b4fd9-fa02-44d6-93b0-8a4aeeee279b_en?filename=hera_shp-report-2022_en_0.pdf" TargetMode="External"/><Relationship Id="rId78" Type="http://schemas.openxmlformats.org/officeDocument/2006/relationships/hyperlink" Target="https://www.ifglobal.org/publications/if-report-impact-of-cross-border-healthcare-on-persons-with-disabilities-and-chronic-conditions/" TargetMode="External"/><Relationship Id="rId81" Type="http://schemas.openxmlformats.org/officeDocument/2006/relationships/hyperlink" Target="https://eige.europa.eu/gender-equality-index/2023/domain/work/disability" TargetMode="External"/><Relationship Id="rId86" Type="http://schemas.openxmlformats.org/officeDocument/2006/relationships/hyperlink" Target="https://benetech.org/wp-content/uploads/2018/11/Tech-and-Disability-Employment-Report-November-2018.pdf" TargetMode="External"/><Relationship Id="rId94" Type="http://schemas.openxmlformats.org/officeDocument/2006/relationships/hyperlink" Target="https://www.edf-feph.org/publications/accessibility-of-audiovisual-media/" TargetMode="External"/><Relationship Id="rId99" Type="http://schemas.openxmlformats.org/officeDocument/2006/relationships/hyperlink" Target="https://oeil.secure.europarl.europa.eu/oeil/popups/ficheprocedure.do?lang=en&amp;reference=2017/2127(INI)" TargetMode="External"/><Relationship Id="rId101" Type="http://schemas.openxmlformats.org/officeDocument/2006/relationships/hyperlink" Target="https://oeil.secure.europarl.europa.eu/oeil/popups/ficheprocedure.do?lang=en&amp;reference=2020/2086(INI)" TargetMode="External"/><Relationship Id="rId4" Type="http://schemas.openxmlformats.org/officeDocument/2006/relationships/hyperlink" Target="https://eur-lex.europa.eu/legal-content/EN/TXT/?uri=celex%3A32000L0078" TargetMode="External"/><Relationship Id="rId9" Type="http://schemas.openxmlformats.org/officeDocument/2006/relationships/hyperlink" Target="https://www.ladepeche.fr/2021/03/31/incestehandicap-les-enfants-handicapes-victimes-dinceste-un-sujet-encore-tabou-qui-manque-de-temoignages-9461244.php" TargetMode="External"/><Relationship Id="rId13" Type="http://schemas.openxmlformats.org/officeDocument/2006/relationships/hyperlink" Target="https://www.edf-feph.org/publications/edf-position-paper-on-european-commissions-draft-standardisation-request-for-the-european-accessibility-act/" TargetMode="External"/><Relationship Id="rId18" Type="http://schemas.openxmlformats.org/officeDocument/2006/relationships/hyperlink" Target="https://www.ecdc.europa.eu/sites/default/files/documents/Medically-and-socially-vulnerable-populations-COVID-19.pdf" TargetMode="External"/><Relationship Id="rId39" Type="http://schemas.openxmlformats.org/officeDocument/2006/relationships/hyperlink" Target="https://www.hrw.org/news/2017/01/18/greece-refugees-disabilities-overlooked-underserved" TargetMode="External"/><Relationship Id="rId109" Type="http://schemas.openxmlformats.org/officeDocument/2006/relationships/hyperlink" Target="https://www.unia.be/en/publications-statistics/publications/parallel-report-to-the-committee-on-the-rights-of-persons-with-disabilities-crpd-2021" TargetMode="External"/><Relationship Id="rId34" Type="http://schemas.openxmlformats.org/officeDocument/2006/relationships/hyperlink" Target="https://www.edf-feph.org/withdrawoviedo-joint-letter-from-meps-to-the-council-of-europe-against-the-adoption-of-the-additional-protocol/" TargetMode="External"/><Relationship Id="rId50" Type="http://schemas.openxmlformats.org/officeDocument/2006/relationships/hyperlink" Target="https://eur-lex.europa.eu/legal-content/EN/TXT/?uri=celex:12012E/TXT" TargetMode="External"/><Relationship Id="rId55" Type="http://schemas.openxmlformats.org/officeDocument/2006/relationships/hyperlink" Target="https://ec.europa.eu/eurostat/databrowser/view/hlth_dhc060/default/table?lang=en&amp;category=dsb.dsb_ilc.dsb_ilchc" TargetMode="External"/><Relationship Id="rId76" Type="http://schemas.openxmlformats.org/officeDocument/2006/relationships/hyperlink" Target="https://www.edf-feph.org/publications/access-to-cross-border-healthcare-by-patients-with-disabilities-in-the-european-union/" TargetMode="External"/><Relationship Id="rId97" Type="http://schemas.openxmlformats.org/officeDocument/2006/relationships/hyperlink" Target="https://eur-lex.europa.eu/legal-content/EN/TXT/?uri=CELEX%3A52021DC0258" TargetMode="External"/><Relationship Id="rId104" Type="http://schemas.openxmlformats.org/officeDocument/2006/relationships/hyperlink" Target="https://tbinternet.ohchr.org/_layouts/15/treatybodyexternal/Download.aspx?symbolno=CRPD/C/GC/2&amp;Lang=en" TargetMode="External"/><Relationship Id="rId7" Type="http://schemas.openxmlformats.org/officeDocument/2006/relationships/hyperlink" Target="https://op.europa.eu/en/publication-detail/-/publication/1f1a8b2c-e44d-11eb-895a-01aa75ed71a1" TargetMode="External"/><Relationship Id="rId71" Type="http://schemas.openxmlformats.org/officeDocument/2006/relationships/hyperlink" Target="https://eige.europa.eu/gender-equality-index/2020/domain/health/disability" TargetMode="External"/><Relationship Id="rId92" Type="http://schemas.openxmlformats.org/officeDocument/2006/relationships/hyperlink" Target="https://ec.europa.eu/eurostat/databrowser/view/hlth_dhc060/default/table?lang=en&amp;category=dsb.dsb_ilc.dsb_ilchc" TargetMode="External"/><Relationship Id="rId2" Type="http://schemas.openxmlformats.org/officeDocument/2006/relationships/hyperlink" Target="https://ec.europa.eu/info/law/law-making-process/planning-and-proposing-law/impact-assessments_en" TargetMode="External"/><Relationship Id="rId29" Type="http://schemas.openxmlformats.org/officeDocument/2006/relationships/hyperlink" Target="https://cyberpsychology.eu/article/view/6767/6262" TargetMode="External"/><Relationship Id="rId24" Type="http://schemas.openxmlformats.org/officeDocument/2006/relationships/hyperlink" Target="https://eur-lex.europa.eu/legal-content/EN/TXT/?qid=1421925131614&amp;uri=CELEX:32012L0029" TargetMode="External"/><Relationship Id="rId40" Type="http://schemas.openxmlformats.org/officeDocument/2006/relationships/hyperlink" Target="http://www.edf-feph.org/newsroom/news/did-eu-know-infringement-procedures" TargetMode="External"/><Relationship Id="rId45" Type="http://schemas.openxmlformats.org/officeDocument/2006/relationships/hyperlink" Target="https://www.coe.int/en/web/conventions/full-list?module=treaty-detail&amp;treatynum=164" TargetMode="External"/><Relationship Id="rId66" Type="http://schemas.openxmlformats.org/officeDocument/2006/relationships/hyperlink" Target="https://www.joedolson.com/2014/03/detecting-assistive-technology/" TargetMode="External"/><Relationship Id="rId87" Type="http://schemas.openxmlformats.org/officeDocument/2006/relationships/hyperlink" Target="https://www.cnbc.com/2018/08/08/transgender-uber-driver-suspended-tech-oversight-facial-recognition.html" TargetMode="External"/><Relationship Id="rId61" Type="http://schemas.openxmlformats.org/officeDocument/2006/relationships/hyperlink" Target="https://eur-lex.europa.eu/legal-content/EN/TXT/?uri=CELEX%3A32014R1300&amp;qid=1633957251906" TargetMode="External"/><Relationship Id="rId82" Type="http://schemas.openxmlformats.org/officeDocument/2006/relationships/hyperlink" Target="https://ec.europa.eu/social/main.jsp?catId=166&amp;langId=en" TargetMode="External"/><Relationship Id="rId19" Type="http://schemas.openxmlformats.org/officeDocument/2006/relationships/hyperlink" Target="https://www.breakingthesilenceongaza.org/disability-data-in-gaza" TargetMode="External"/><Relationship Id="rId14" Type="http://schemas.openxmlformats.org/officeDocument/2006/relationships/hyperlink" Target="https://de.euronews.com/2021/04/29/potsdam-4-tote-in-behindertenwohnstaette-mitarbeiterin-51-festgenommen" TargetMode="External"/><Relationship Id="rId30" Type="http://schemas.openxmlformats.org/officeDocument/2006/relationships/hyperlink" Target="https://www.edf-feph.org/content/uploads/2021/03/KE0221257ENN_002-proof-2.pdf" TargetMode="External"/><Relationship Id="rId35" Type="http://schemas.openxmlformats.org/officeDocument/2006/relationships/hyperlink" Target="https://assembly.coe.int/nw/xml/XRef/Xref-XML2HTML-en.asp?fileid=24756&amp;lang=en" TargetMode="External"/><Relationship Id="rId56" Type="http://schemas.openxmlformats.org/officeDocument/2006/relationships/hyperlink" Target="https://eur-lex.europa.eu/eli/reg/2014/1300/oj" TargetMode="External"/><Relationship Id="rId77" Type="http://schemas.openxmlformats.org/officeDocument/2006/relationships/hyperlink" Target="https://health.ec.europa.eu/system/files/2022-05/crossborder_evaluation-dir201124eu_study_frep_en.pdf" TargetMode="External"/><Relationship Id="rId100" Type="http://schemas.openxmlformats.org/officeDocument/2006/relationships/hyperlink" Target="https://oeil.secure.europarl.europa.eu/oeil/popups/ficheprocedure.do?lang=en&amp;reference=2019/2975(RSP)" TargetMode="External"/><Relationship Id="rId105" Type="http://schemas.openxmlformats.org/officeDocument/2006/relationships/hyperlink" Target="https://commission.europa.eu/accessibility-statement_en" TargetMode="External"/><Relationship Id="rId8" Type="http://schemas.openxmlformats.org/officeDocument/2006/relationships/hyperlink" Target="https://www.edf-feph.org/women-and-gender-equality/" TargetMode="External"/><Relationship Id="rId51" Type="http://schemas.openxmlformats.org/officeDocument/2006/relationships/hyperlink" Target="https://ec.europa.eu/social/main.jsp?catId=25&amp;langId=en" TargetMode="External"/><Relationship Id="rId72" Type="http://schemas.openxmlformats.org/officeDocument/2006/relationships/hyperlink" Target="https://www.edf-feph.org/publications/european-health-union-package/" TargetMode="External"/><Relationship Id="rId93" Type="http://schemas.openxmlformats.org/officeDocument/2006/relationships/hyperlink" Target="https://ec.europa.eu/eurostat/databrowser/product/view/hlth_dm030?category=dsb.dsb_ilc.dsb_ilcms" TargetMode="External"/><Relationship Id="rId98" Type="http://schemas.openxmlformats.org/officeDocument/2006/relationships/hyperlink" Target="https://oeil.secure.europarl.europa.eu/oeil/popups/ficheprocedure.do?lang=en&amp;reference=2015/2258(INI)" TargetMode="External"/><Relationship Id="rId3" Type="http://schemas.openxmlformats.org/officeDocument/2006/relationships/hyperlink" Target="https://fra.europa.eu/sites/default/files/fra_uploads/fra-2021-crime-safety-victims-rights_en.pdf" TargetMode="External"/><Relationship Id="rId25" Type="http://schemas.openxmlformats.org/officeDocument/2006/relationships/hyperlink" Target="https://eur-lex.europa.eu/legal-content/EN/TXT/?uri=CELEX%3A32016L0800" TargetMode="External"/><Relationship Id="rId46" Type="http://schemas.openxmlformats.org/officeDocument/2006/relationships/hyperlink" Target="https://www.europarl.europa.eu/doceo/document/TA-8-2018-0484_EN.html" TargetMode="External"/><Relationship Id="rId67" Type="http://schemas.openxmlformats.org/officeDocument/2006/relationships/hyperlink" Target="https://www.edf-feph.org/publications/disability-perspective-on-regulating-artificial-intelligence/" TargetMode="External"/><Relationship Id="rId20" Type="http://schemas.openxmlformats.org/officeDocument/2006/relationships/hyperlink" Target="https://www.dinf.ne.jp/doc/english/twg/escap_121031/fujii.html" TargetMode="External"/><Relationship Id="rId41" Type="http://schemas.openxmlformats.org/officeDocument/2006/relationships/hyperlink" Target="https://www.edf-feph.org/publications/edf-position-paper-on-violence-against-women-and-girls-with-disabilities-in-the-european-union/" TargetMode="External"/><Relationship Id="rId62" Type="http://schemas.openxmlformats.org/officeDocument/2006/relationships/hyperlink" Target="https://eur-lex.europa.eu/legal-content/en/ALL/?uri=CELEX:32010R1177" TargetMode="External"/><Relationship Id="rId83" Type="http://schemas.openxmlformats.org/officeDocument/2006/relationships/hyperlink" Target="https://eur-lex.europa.eu/legal-content/EN/TXT/?qid=1623335154975&amp;uri=CELEX%3A52021PC0206" TargetMode="External"/><Relationship Id="rId88" Type="http://schemas.openxmlformats.org/officeDocument/2006/relationships/hyperlink" Target="https://www.edf-feph.org/publications/disability-perspective-on-regulating-artificial-intellig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85BF31-844A-43E1-9E0D-5FC8698E8CB9}">
  <we:reference id="wa200005121" version="1.2.0.0" store="en-US" storeType="OMEX"/>
  <we:alternateReferences>
    <we:reference id="wa20000512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B285C-704A-480D-9BD5-9E73CC313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68</Pages>
  <Words>25585</Words>
  <Characters>170268</Characters>
  <Application>Microsoft Office Word</Application>
  <DocSecurity>0</DocSecurity>
  <Lines>1418</Lines>
  <Paragraphs>390</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195463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Sofie Leenknecht</dc:creator>
  <cp:keywords/>
  <dc:description/>
  <cp:lastModifiedBy>Marine Uldry</cp:lastModifiedBy>
  <cp:revision>4</cp:revision>
  <cp:lastPrinted>2022-02-22T15:10:00Z</cp:lastPrinted>
  <dcterms:created xsi:type="dcterms:W3CDTF">2024-10-09T15:23:00Z</dcterms:created>
  <dcterms:modified xsi:type="dcterms:W3CDTF">2024-10-09T15:24:00Z</dcterms:modified>
</cp:coreProperties>
</file>