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54BEB350" w:rsidR="008054A7" w:rsidRDefault="001B73FC" w:rsidP="00541EBA">
      <w:pPr>
        <w:spacing w:before="240"/>
        <w:jc w:val="center"/>
      </w:pPr>
      <w:r w:rsidRPr="00606390">
        <w:rPr>
          <w:noProof/>
        </w:rPr>
        <mc:AlternateContent>
          <mc:Choice Requires="wps">
            <w:drawing>
              <wp:anchor distT="0" distB="0" distL="114300" distR="114300" simplePos="0" relativeHeight="251659264" behindDoc="1" locked="0" layoutInCell="1" allowOverlap="1" wp14:anchorId="0C463329" wp14:editId="30498D19">
                <wp:simplePos x="0" y="0"/>
                <wp:positionH relativeFrom="page">
                  <wp:posOffset>0</wp:posOffset>
                </wp:positionH>
                <wp:positionV relativeFrom="paragraph">
                  <wp:posOffset>-890905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2E7BA8" id="Rectangle 1" o:spid="_x0000_s1026" alt="&quot;&quot;" style="position:absolute;margin-left:0;margin-top:-70.15pt;width:593.55pt;height:870.6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" fillcolor="#2e73ac" strokecolor="#1f3763 [1604]" strokeweight="1pt">
                <w10:wrap anchorx="page"/>
              </v:rect>
            </w:pict>
          </mc:Fallback>
        </mc:AlternateContent>
      </w:r>
      <w:r w:rsidR="008054A7">
        <w:rPr>
          <w:noProof/>
        </w:rPr>
        <mc:AlternateContent>
          <mc:Choice Requires="wps">
            <w:drawing>
              <wp:anchor distT="0" distB="0" distL="114300" distR="114300" simplePos="0" relativeHeight="251659775" behindDoc="1" locked="0" layoutInCell="1" allowOverlap="1" wp14:anchorId="445129B1" wp14:editId="2B2DEC09">
                <wp:simplePos x="0" y="0"/>
                <wp:positionH relativeFrom="margin">
                  <wp:posOffset>-463771</wp:posOffset>
                </wp:positionH>
                <wp:positionV relativeFrom="paragraph">
                  <wp:posOffset>-541020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FB43BB" id="Rectangle 6" o:spid="_x0000_s1026" alt="&quot;&quot;" style="position:absolute;margin-left:-36.5pt;margin-top:-42.6pt;width:528.85pt;height:790pt;z-index:-25165670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" filled="f" strokecolor="white [3212]" strokeweight="6pt">
                <w10:wrap anchorx="margin"/>
              </v:rect>
            </w:pict>
          </mc:Fallback>
        </mc:AlternateContent>
      </w:r>
      <w:r w:rsidR="008054A7">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359A4C3" w14:textId="711D66A0" w:rsidR="00DF5837" w:rsidRPr="00DF5837" w:rsidRDefault="00DF5837" w:rsidP="00DF5837">
      <w:pPr>
        <w:pStyle w:val="Subtitle"/>
        <w:spacing w:before="480"/>
        <w:rPr>
          <w:rFonts w:eastAsiaTheme="majorEastAsia" w:cstheme="majorBidi"/>
          <w:bCs/>
          <w:spacing w:val="-10"/>
          <w:kern w:val="28"/>
          <w:sz w:val="72"/>
          <w:szCs w:val="52"/>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r w:rsidRPr="00DF5837">
        <w:rPr>
          <w:rFonts w:eastAsiaTheme="majorEastAsia" w:cstheme="majorBidi"/>
          <w:bCs/>
          <w:spacing w:val="-10"/>
          <w:kern w:val="28"/>
          <w:sz w:val="72"/>
          <w:szCs w:val="52"/>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The EU Accession Process: Guidance for Organisations of Persons with Disabilities</w:t>
      </w:r>
    </w:p>
    <w:p w14:paraId="2BCF485D" w14:textId="64BF022E" w:rsidR="008054A7" w:rsidRDefault="00E47FF5" w:rsidP="00355289">
      <w:pPr>
        <w:pStyle w:val="Subtitle"/>
        <w:spacing w:before="480"/>
      </w:pPr>
      <w:r w:rsidRPr="00606390">
        <w:t xml:space="preserve">European Disability </w:t>
      </w:r>
      <w:r w:rsidR="00606390">
        <w:t>Forum</w:t>
      </w:r>
    </w:p>
    <w:p w14:paraId="1C5853C0" w14:textId="3E9834BE" w:rsidR="00D11DAB" w:rsidRDefault="00DF5837" w:rsidP="00D11DAB">
      <w:pPr>
        <w:pStyle w:val="Subtitle"/>
        <w:spacing w:after="360"/>
      </w:pPr>
      <w:r>
        <w:t>October</w:t>
      </w:r>
      <w:r w:rsidR="00D11DAB">
        <w:t xml:space="preserve"> </w:t>
      </w:r>
      <w:r w:rsidR="00606390">
        <w:t>202</w:t>
      </w:r>
      <w:r>
        <w:t>4</w:t>
      </w:r>
    </w:p>
    <w:p w14:paraId="64A7132D" w14:textId="731625D7" w:rsidR="005D3C15" w:rsidRDefault="005D3C15" w:rsidP="005D3C15"/>
    <w:p w14:paraId="6A8C1CDA" w14:textId="1602B178" w:rsidR="005D3C15" w:rsidRPr="005D3C15" w:rsidRDefault="005D3C15" w:rsidP="005D3C15">
      <w:pPr>
        <w:rPr>
          <w:color w:val="FFFFFF" w:themeColor="background1"/>
        </w:rPr>
      </w:pPr>
      <w:r w:rsidRPr="005D3C15">
        <w:rPr>
          <w:color w:val="FFFFFF" w:themeColor="background1"/>
        </w:rPr>
        <w:t>The Guidance was developed under the Ukraine (Phase 2) project with funding from CBM.</w:t>
      </w:r>
    </w:p>
    <w:p w14:paraId="75770BC9" w14:textId="0FF704BC" w:rsidR="00E62CBF" w:rsidRDefault="005D3C15" w:rsidP="00D11DAB">
      <w:pPr>
        <w:spacing w:before="360" w:after="840"/>
        <w:rPr>
          <w:b/>
          <w:bCs/>
          <w:color w:val="FFFFFF" w:themeColor="background1"/>
          <w:sz w:val="28"/>
          <w:szCs w:val="28"/>
        </w:rPr>
      </w:pPr>
      <w:r w:rsidRPr="005D3C15">
        <w:rPr>
          <w:noProof/>
        </w:rPr>
        <w:drawing>
          <wp:anchor distT="0" distB="0" distL="114300" distR="114300" simplePos="0" relativeHeight="251660799" behindDoc="0" locked="0" layoutInCell="1" allowOverlap="1" wp14:anchorId="55FE0AE2" wp14:editId="36276543">
            <wp:simplePos x="0" y="0"/>
            <wp:positionH relativeFrom="margin">
              <wp:posOffset>1714500</wp:posOffset>
            </wp:positionH>
            <wp:positionV relativeFrom="paragraph">
              <wp:posOffset>130810</wp:posOffset>
            </wp:positionV>
            <wp:extent cx="1866900" cy="1219420"/>
            <wp:effectExtent l="0" t="0" r="0" b="0"/>
            <wp:wrapNone/>
            <wp:docPr id="952167441" name="Picture 1" descr="CB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67441" name="Picture 1" descr="CBM logo"/>
                    <pic:cNvPicPr/>
                  </pic:nvPicPr>
                  <pic:blipFill>
                    <a:blip r:embed="rId12">
                      <a:extLst>
                        <a:ext uri="{28A0092B-C50C-407E-A947-70E740481C1C}">
                          <a14:useLocalDpi xmlns:a14="http://schemas.microsoft.com/office/drawing/2010/main" val="0"/>
                        </a:ext>
                      </a:extLst>
                    </a:blip>
                    <a:stretch>
                      <a:fillRect/>
                    </a:stretch>
                  </pic:blipFill>
                  <pic:spPr>
                    <a:xfrm>
                      <a:off x="0" y="0"/>
                      <a:ext cx="1866900" cy="1219420"/>
                    </a:xfrm>
                    <a:prstGeom prst="rect">
                      <a:avLst/>
                    </a:prstGeom>
                  </pic:spPr>
                </pic:pic>
              </a:graphicData>
            </a:graphic>
            <wp14:sizeRelH relativeFrom="page">
              <wp14:pctWidth>0</wp14:pctWidth>
            </wp14:sizeRelH>
            <wp14:sizeRelV relativeFrom="page">
              <wp14:pctHeight>0</wp14:pctHeight>
            </wp14:sizeRelV>
          </wp:anchor>
        </w:drawing>
      </w:r>
    </w:p>
    <w:p w14:paraId="70E2E70D" w14:textId="77777777" w:rsidR="002D3717" w:rsidRDefault="002D3717" w:rsidP="00DF5837">
      <w:pPr>
        <w:widowControl w:val="0"/>
        <w:spacing w:before="480" w:after="384"/>
        <w:contextualSpacing/>
      </w:pPr>
      <w:bookmarkStart w:id="0" w:name="_Toc64897224"/>
    </w:p>
    <w:p w14:paraId="232C0DAA" w14:textId="77777777" w:rsidR="002D3717" w:rsidRDefault="002D3717" w:rsidP="00DF5837">
      <w:pPr>
        <w:widowControl w:val="0"/>
        <w:spacing w:before="480" w:after="384"/>
        <w:contextualSpacing/>
      </w:pPr>
    </w:p>
    <w:p w14:paraId="7924B9B7" w14:textId="77777777" w:rsidR="002D3717" w:rsidRDefault="002D3717" w:rsidP="00DF5837">
      <w:pPr>
        <w:widowControl w:val="0"/>
        <w:spacing w:before="480" w:after="384"/>
        <w:contextualSpacing/>
      </w:pPr>
    </w:p>
    <w:p w14:paraId="39909099" w14:textId="77777777" w:rsidR="002D3717" w:rsidRDefault="002D3717" w:rsidP="00DF5837">
      <w:pPr>
        <w:widowControl w:val="0"/>
        <w:spacing w:before="480" w:after="384"/>
        <w:contextualSpacing/>
      </w:pPr>
    </w:p>
    <w:p w14:paraId="23B978EF" w14:textId="77777777" w:rsidR="002D3717" w:rsidRDefault="002D3717" w:rsidP="00DF5837">
      <w:pPr>
        <w:widowControl w:val="0"/>
        <w:spacing w:before="480" w:after="384"/>
        <w:contextualSpacing/>
      </w:pPr>
    </w:p>
    <w:p w14:paraId="3484253F" w14:textId="77777777" w:rsidR="002D3717" w:rsidRDefault="002D3717" w:rsidP="00DF5837">
      <w:pPr>
        <w:widowControl w:val="0"/>
        <w:spacing w:before="480" w:after="384"/>
        <w:contextualSpacing/>
      </w:pPr>
    </w:p>
    <w:p w14:paraId="23F1470B" w14:textId="77777777" w:rsidR="002D3717" w:rsidRDefault="002D3717" w:rsidP="00DF5837">
      <w:pPr>
        <w:widowControl w:val="0"/>
        <w:spacing w:before="480" w:after="384"/>
        <w:contextualSpacing/>
      </w:pPr>
    </w:p>
    <w:p w14:paraId="64A33967" w14:textId="77777777" w:rsidR="002D3717" w:rsidRDefault="002D3717" w:rsidP="00DF5837">
      <w:pPr>
        <w:widowControl w:val="0"/>
        <w:spacing w:before="480" w:after="384"/>
        <w:contextualSpacing/>
      </w:pPr>
    </w:p>
    <w:p w14:paraId="346CF045" w14:textId="77777777" w:rsidR="002D3717" w:rsidRDefault="002D3717" w:rsidP="00DF5837">
      <w:pPr>
        <w:widowControl w:val="0"/>
        <w:spacing w:before="480" w:after="384"/>
        <w:contextualSpacing/>
      </w:pPr>
    </w:p>
    <w:p w14:paraId="07C854BD" w14:textId="77777777" w:rsidR="002D3717" w:rsidRDefault="002D3717" w:rsidP="00DF5837">
      <w:pPr>
        <w:widowControl w:val="0"/>
        <w:spacing w:before="480" w:after="384"/>
        <w:contextualSpacing/>
      </w:pPr>
    </w:p>
    <w:p w14:paraId="3B9BCFE0" w14:textId="77777777" w:rsidR="002D3717" w:rsidRDefault="002D3717" w:rsidP="00DF5837">
      <w:pPr>
        <w:widowControl w:val="0"/>
        <w:spacing w:before="480" w:after="384"/>
        <w:contextualSpacing/>
      </w:pPr>
    </w:p>
    <w:p w14:paraId="21FFD80E" w14:textId="77777777" w:rsidR="002D3717" w:rsidRDefault="002D3717" w:rsidP="00DF5837">
      <w:pPr>
        <w:widowControl w:val="0"/>
        <w:spacing w:before="480" w:after="384"/>
        <w:contextualSpacing/>
      </w:pPr>
    </w:p>
    <w:p w14:paraId="615EF4BD" w14:textId="77777777" w:rsidR="002D3717" w:rsidRDefault="002D3717" w:rsidP="00DF5837">
      <w:pPr>
        <w:widowControl w:val="0"/>
        <w:spacing w:before="480" w:after="384"/>
        <w:contextualSpacing/>
      </w:pPr>
    </w:p>
    <w:p w14:paraId="18A7C2E8" w14:textId="6F105A23" w:rsidR="00DF5837" w:rsidRDefault="00DF5837" w:rsidP="00DF5837">
      <w:pPr>
        <w:widowControl w:val="0"/>
        <w:spacing w:before="480" w:after="384"/>
        <w:contextualSpacing/>
      </w:pPr>
      <w:r w:rsidRPr="00CC5BD3">
        <w:t>This document was prepared by</w:t>
      </w:r>
      <w:r>
        <w:t xml:space="preserve"> Iryna Tekuchova, PhD researcher, Maynooth University (Ireland).</w:t>
      </w:r>
    </w:p>
    <w:p w14:paraId="76ECF4FA" w14:textId="77777777" w:rsidR="00DF5837" w:rsidRPr="00CC5BD3" w:rsidRDefault="00DF5837" w:rsidP="00DF5837">
      <w:pPr>
        <w:widowControl w:val="0"/>
        <w:spacing w:before="480" w:after="384"/>
        <w:contextualSpacing/>
      </w:pPr>
    </w:p>
    <w:p w14:paraId="7B7F0B96" w14:textId="2CF4D2F0" w:rsidR="00DF5837" w:rsidRDefault="00DF5837" w:rsidP="00DF5837">
      <w:pPr>
        <w:widowControl w:val="0"/>
        <w:spacing w:before="480" w:after="384"/>
        <w:contextualSpacing/>
      </w:pPr>
      <w:r w:rsidRPr="00CC5BD3">
        <w:t>Supervised by</w:t>
      </w:r>
      <w:r>
        <w:t xml:space="preserve"> Giulia Traversi, </w:t>
      </w:r>
      <w:r w:rsidR="006F5ACB">
        <w:t xml:space="preserve">EDF </w:t>
      </w:r>
      <w:r w:rsidRPr="00C910AB">
        <w:t xml:space="preserve">Humanitarian </w:t>
      </w:r>
      <w:r w:rsidR="006F5ACB">
        <w:t>Policy</w:t>
      </w:r>
      <w:r w:rsidRPr="00C910AB">
        <w:t xml:space="preserve"> Officer</w:t>
      </w:r>
      <w:r>
        <w:t>.</w:t>
      </w:r>
    </w:p>
    <w:p w14:paraId="6E19A6E3" w14:textId="77777777" w:rsidR="00DF5837" w:rsidRDefault="00DF5837" w:rsidP="00DF5837">
      <w:pPr>
        <w:widowControl w:val="0"/>
        <w:spacing w:before="480" w:after="384"/>
        <w:contextualSpacing/>
      </w:pPr>
    </w:p>
    <w:p w14:paraId="543734B4" w14:textId="77777777" w:rsidR="00DF5837" w:rsidRDefault="00DF5837" w:rsidP="00DF5837">
      <w:pPr>
        <w:widowControl w:val="0"/>
        <w:spacing w:before="480"/>
      </w:pPr>
      <w:r>
        <w:rPr>
          <w:noProof/>
        </w:rPr>
        <w:drawing>
          <wp:inline distT="0" distB="0" distL="0" distR="0" wp14:anchorId="4CD96BC4" wp14:editId="4C080CE1">
            <wp:extent cx="998043" cy="1105786"/>
            <wp:effectExtent l="0" t="0" r="0" b="0"/>
            <wp:docPr id="1129010422" name="Picture 112901042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64EDB607" w14:textId="77777777" w:rsidR="00DF5837" w:rsidRPr="009277BC" w:rsidRDefault="00DF5837" w:rsidP="00DF5837">
      <w:pPr>
        <w:widowControl w:val="0"/>
        <w:spacing w:before="480"/>
      </w:pPr>
      <w:r>
        <w:t>The European Disability Forum</w:t>
      </w:r>
      <w:r>
        <w:br/>
      </w:r>
      <w:r w:rsidRPr="009277BC">
        <w:t>Mundo Madou</w:t>
      </w:r>
      <w:r>
        <w:br/>
      </w:r>
      <w:r w:rsidRPr="009277BC">
        <w:t>Avenue des Arts 7-8</w:t>
      </w:r>
      <w:r w:rsidRPr="009277BC">
        <w:br/>
        <w:t>1210 Brussels, Belgium.</w:t>
      </w:r>
    </w:p>
    <w:p w14:paraId="0E6D262E" w14:textId="77777777" w:rsidR="00DF5837" w:rsidRDefault="00DF5837" w:rsidP="00DF5837">
      <w:pPr>
        <w:widowControl w:val="0"/>
        <w:spacing w:before="480"/>
      </w:pPr>
      <w:hyperlink r:id="rId13" w:history="1">
        <w:r w:rsidRPr="009277BC">
          <w:rPr>
            <w:rStyle w:val="Hyperlink"/>
          </w:rPr>
          <w:t>www.edf-feph.org</w:t>
        </w:r>
      </w:hyperlink>
    </w:p>
    <w:p w14:paraId="0C5E5AF3" w14:textId="77777777" w:rsidR="00DF5837" w:rsidRPr="009277BC" w:rsidRDefault="00DF5837" w:rsidP="00DF5837">
      <w:pPr>
        <w:widowControl w:val="0"/>
        <w:spacing w:before="480"/>
      </w:pPr>
      <w:hyperlink r:id="rId14" w:history="1">
        <w:r w:rsidRPr="008C480E">
          <w:rPr>
            <w:rStyle w:val="Hyperlink"/>
          </w:rPr>
          <w:t>info@edf-feph.org</w:t>
        </w:r>
      </w:hyperlink>
    </w:p>
    <w:p w14:paraId="4DF22CF6" w14:textId="0006FF02" w:rsidR="00313333" w:rsidRDefault="00313333">
      <w:r>
        <w:br w:type="page"/>
      </w:r>
    </w:p>
    <w:p w14:paraId="3497766D" w14:textId="2C32B3C6" w:rsidR="002D3717" w:rsidRPr="002D3717" w:rsidRDefault="002D3717" w:rsidP="002D3717">
      <w:pPr>
        <w:pStyle w:val="Heading1"/>
      </w:pPr>
      <w:bookmarkStart w:id="1" w:name="_Toc178622013"/>
      <w:bookmarkEnd w:id="0"/>
      <w:r>
        <w:lastRenderedPageBreak/>
        <w:t>Table of Contents</w:t>
      </w:r>
      <w:bookmarkEnd w:id="1"/>
    </w:p>
    <w:sdt>
      <w:sdtPr>
        <w:rPr>
          <w:rFonts w:cstheme="minorBidi"/>
          <w:bCs w:val="0"/>
          <w:szCs w:val="22"/>
        </w:rPr>
        <w:id w:val="-1832211608"/>
        <w:docPartObj>
          <w:docPartGallery w:val="Table of Contents"/>
          <w:docPartUnique/>
        </w:docPartObj>
      </w:sdtPr>
      <w:sdtEndPr>
        <w:rPr>
          <w:b/>
          <w:noProof/>
        </w:rPr>
      </w:sdtEndPr>
      <w:sdtContent>
        <w:p w14:paraId="483A6D75" w14:textId="77777777" w:rsidR="002D3717" w:rsidRDefault="002D3717">
          <w:pPr>
            <w:pStyle w:val="TOC1"/>
            <w:tabs>
              <w:tab w:val="right" w:leader="dot" w:pos="9016"/>
            </w:tabs>
          </w:pPr>
        </w:p>
        <w:p w14:paraId="7AF5E2A6" w14:textId="121D681B"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r>
            <w:rPr>
              <w:bCs w:val="0"/>
              <w:sz w:val="20"/>
            </w:rPr>
            <w:fldChar w:fldCharType="begin"/>
          </w:r>
          <w:r>
            <w:rPr>
              <w:bCs w:val="0"/>
              <w:sz w:val="20"/>
            </w:rPr>
            <w:instrText xml:space="preserve"> TOC \o "1-3" \h \z \u </w:instrText>
          </w:r>
          <w:r>
            <w:rPr>
              <w:bCs w:val="0"/>
              <w:sz w:val="20"/>
            </w:rPr>
            <w:fldChar w:fldCharType="separate"/>
          </w:r>
          <w:hyperlink w:anchor="_Toc178622013" w:history="1">
            <w:r w:rsidRPr="0018022F">
              <w:rPr>
                <w:rStyle w:val="Hyperlink"/>
                <w:noProof/>
              </w:rPr>
              <w:t>Table of Contents</w:t>
            </w:r>
            <w:r>
              <w:rPr>
                <w:noProof/>
                <w:webHidden/>
              </w:rPr>
              <w:tab/>
            </w:r>
            <w:r>
              <w:rPr>
                <w:noProof/>
                <w:webHidden/>
              </w:rPr>
              <w:fldChar w:fldCharType="begin"/>
            </w:r>
            <w:r>
              <w:rPr>
                <w:noProof/>
                <w:webHidden/>
              </w:rPr>
              <w:instrText xml:space="preserve"> PAGEREF _Toc178622013 \h </w:instrText>
            </w:r>
            <w:r>
              <w:rPr>
                <w:noProof/>
                <w:webHidden/>
              </w:rPr>
            </w:r>
            <w:r>
              <w:rPr>
                <w:noProof/>
                <w:webHidden/>
              </w:rPr>
              <w:fldChar w:fldCharType="separate"/>
            </w:r>
            <w:r w:rsidR="00973579">
              <w:rPr>
                <w:noProof/>
                <w:webHidden/>
              </w:rPr>
              <w:t>3</w:t>
            </w:r>
            <w:r>
              <w:rPr>
                <w:noProof/>
                <w:webHidden/>
              </w:rPr>
              <w:fldChar w:fldCharType="end"/>
            </w:r>
          </w:hyperlink>
        </w:p>
        <w:p w14:paraId="4604F483" w14:textId="5DFE758C"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4" w:history="1">
            <w:r w:rsidRPr="0018022F">
              <w:rPr>
                <w:rStyle w:val="Hyperlink"/>
                <w:noProof/>
              </w:rPr>
              <w:t>Background information</w:t>
            </w:r>
            <w:r>
              <w:rPr>
                <w:noProof/>
                <w:webHidden/>
              </w:rPr>
              <w:tab/>
            </w:r>
            <w:r>
              <w:rPr>
                <w:noProof/>
                <w:webHidden/>
              </w:rPr>
              <w:fldChar w:fldCharType="begin"/>
            </w:r>
            <w:r>
              <w:rPr>
                <w:noProof/>
                <w:webHidden/>
              </w:rPr>
              <w:instrText xml:space="preserve"> PAGEREF _Toc178622014 \h </w:instrText>
            </w:r>
            <w:r>
              <w:rPr>
                <w:noProof/>
                <w:webHidden/>
              </w:rPr>
            </w:r>
            <w:r>
              <w:rPr>
                <w:noProof/>
                <w:webHidden/>
              </w:rPr>
              <w:fldChar w:fldCharType="separate"/>
            </w:r>
            <w:r w:rsidR="00973579">
              <w:rPr>
                <w:noProof/>
                <w:webHidden/>
              </w:rPr>
              <w:t>3</w:t>
            </w:r>
            <w:r>
              <w:rPr>
                <w:noProof/>
                <w:webHidden/>
              </w:rPr>
              <w:fldChar w:fldCharType="end"/>
            </w:r>
          </w:hyperlink>
        </w:p>
        <w:p w14:paraId="47252952" w14:textId="6F9BCB21"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5" w:history="1">
            <w:r w:rsidRPr="0018022F">
              <w:rPr>
                <w:rStyle w:val="Hyperlink"/>
                <w:noProof/>
              </w:rPr>
              <w:t>Why is it important for OPDs to participate in the accession process?</w:t>
            </w:r>
            <w:r>
              <w:rPr>
                <w:noProof/>
                <w:webHidden/>
              </w:rPr>
              <w:tab/>
            </w:r>
            <w:r>
              <w:rPr>
                <w:noProof/>
                <w:webHidden/>
              </w:rPr>
              <w:fldChar w:fldCharType="begin"/>
            </w:r>
            <w:r>
              <w:rPr>
                <w:noProof/>
                <w:webHidden/>
              </w:rPr>
              <w:instrText xml:space="preserve"> PAGEREF _Toc178622015 \h </w:instrText>
            </w:r>
            <w:r>
              <w:rPr>
                <w:noProof/>
                <w:webHidden/>
              </w:rPr>
            </w:r>
            <w:r>
              <w:rPr>
                <w:noProof/>
                <w:webHidden/>
              </w:rPr>
              <w:fldChar w:fldCharType="separate"/>
            </w:r>
            <w:r w:rsidR="00973579">
              <w:rPr>
                <w:noProof/>
                <w:webHidden/>
              </w:rPr>
              <w:t>4</w:t>
            </w:r>
            <w:r>
              <w:rPr>
                <w:noProof/>
                <w:webHidden/>
              </w:rPr>
              <w:fldChar w:fldCharType="end"/>
            </w:r>
          </w:hyperlink>
        </w:p>
        <w:p w14:paraId="77AEFF8F" w14:textId="32D697A8"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6" w:history="1">
            <w:r w:rsidRPr="0018022F">
              <w:rPr>
                <w:rStyle w:val="Hyperlink"/>
                <w:noProof/>
              </w:rPr>
              <w:t>At what stage are Ukraine, Moldova, and Georgia in the accession process?</w:t>
            </w:r>
            <w:r>
              <w:rPr>
                <w:noProof/>
                <w:webHidden/>
              </w:rPr>
              <w:tab/>
            </w:r>
            <w:r>
              <w:rPr>
                <w:noProof/>
                <w:webHidden/>
              </w:rPr>
              <w:fldChar w:fldCharType="begin"/>
            </w:r>
            <w:r>
              <w:rPr>
                <w:noProof/>
                <w:webHidden/>
              </w:rPr>
              <w:instrText xml:space="preserve"> PAGEREF _Toc178622016 \h </w:instrText>
            </w:r>
            <w:r>
              <w:rPr>
                <w:noProof/>
                <w:webHidden/>
              </w:rPr>
            </w:r>
            <w:r>
              <w:rPr>
                <w:noProof/>
                <w:webHidden/>
              </w:rPr>
              <w:fldChar w:fldCharType="separate"/>
            </w:r>
            <w:r w:rsidR="00973579">
              <w:rPr>
                <w:noProof/>
                <w:webHidden/>
              </w:rPr>
              <w:t>5</w:t>
            </w:r>
            <w:r>
              <w:rPr>
                <w:noProof/>
                <w:webHidden/>
              </w:rPr>
              <w:fldChar w:fldCharType="end"/>
            </w:r>
          </w:hyperlink>
        </w:p>
        <w:p w14:paraId="0F8F09D0" w14:textId="1BF42F8B"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7" w:history="1">
            <w:r w:rsidRPr="0018022F">
              <w:rPr>
                <w:rStyle w:val="Hyperlink"/>
                <w:noProof/>
              </w:rPr>
              <w:t>How to participate for the OPDs in the accession process?</w:t>
            </w:r>
            <w:r>
              <w:rPr>
                <w:noProof/>
                <w:webHidden/>
              </w:rPr>
              <w:tab/>
            </w:r>
            <w:r>
              <w:rPr>
                <w:noProof/>
                <w:webHidden/>
              </w:rPr>
              <w:fldChar w:fldCharType="begin"/>
            </w:r>
            <w:r>
              <w:rPr>
                <w:noProof/>
                <w:webHidden/>
              </w:rPr>
              <w:instrText xml:space="preserve"> PAGEREF _Toc178622017 \h </w:instrText>
            </w:r>
            <w:r>
              <w:rPr>
                <w:noProof/>
                <w:webHidden/>
              </w:rPr>
            </w:r>
            <w:r>
              <w:rPr>
                <w:noProof/>
                <w:webHidden/>
              </w:rPr>
              <w:fldChar w:fldCharType="separate"/>
            </w:r>
            <w:r w:rsidR="00973579">
              <w:rPr>
                <w:noProof/>
                <w:webHidden/>
              </w:rPr>
              <w:t>6</w:t>
            </w:r>
            <w:r>
              <w:rPr>
                <w:noProof/>
                <w:webHidden/>
              </w:rPr>
              <w:fldChar w:fldCharType="end"/>
            </w:r>
          </w:hyperlink>
        </w:p>
        <w:p w14:paraId="7D782396" w14:textId="3BAACA8F" w:rsidR="00952B77" w:rsidRDefault="00952B77">
          <w:pPr>
            <w:pStyle w:val="TOC1"/>
            <w:tabs>
              <w:tab w:val="right" w:leader="dot" w:pos="9016"/>
            </w:tabs>
            <w:rPr>
              <w:rFonts w:asciiTheme="minorHAnsi" w:eastAsiaTheme="minorEastAsia" w:hAnsiTheme="minorHAnsi" w:cstheme="minorBidi"/>
              <w:bCs w:val="0"/>
              <w:noProof/>
              <w:kern w:val="2"/>
              <w:szCs w:val="24"/>
              <w:lang w:eastAsia="en-GB"/>
              <w14:ligatures w14:val="standardContextual"/>
            </w:rPr>
          </w:pPr>
          <w:hyperlink w:anchor="_Toc178622018" w:history="1">
            <w:r w:rsidRPr="0018022F">
              <w:rPr>
                <w:rStyle w:val="Hyperlink"/>
                <w:noProof/>
                <w:lang w:val="en-GB"/>
              </w:rPr>
              <w:t>What should you know before deciding to engage in the accession process?</w:t>
            </w:r>
            <w:r>
              <w:rPr>
                <w:noProof/>
                <w:webHidden/>
              </w:rPr>
              <w:tab/>
            </w:r>
            <w:r>
              <w:rPr>
                <w:noProof/>
                <w:webHidden/>
              </w:rPr>
              <w:fldChar w:fldCharType="begin"/>
            </w:r>
            <w:r>
              <w:rPr>
                <w:noProof/>
                <w:webHidden/>
              </w:rPr>
              <w:instrText xml:space="preserve"> PAGEREF _Toc178622018 \h </w:instrText>
            </w:r>
            <w:r>
              <w:rPr>
                <w:noProof/>
                <w:webHidden/>
              </w:rPr>
            </w:r>
            <w:r>
              <w:rPr>
                <w:noProof/>
                <w:webHidden/>
              </w:rPr>
              <w:fldChar w:fldCharType="separate"/>
            </w:r>
            <w:r w:rsidR="00973579">
              <w:rPr>
                <w:noProof/>
                <w:webHidden/>
              </w:rPr>
              <w:t>7</w:t>
            </w:r>
            <w:r>
              <w:rPr>
                <w:noProof/>
                <w:webHidden/>
              </w:rPr>
              <w:fldChar w:fldCharType="end"/>
            </w:r>
          </w:hyperlink>
        </w:p>
        <w:p w14:paraId="4D3D51F8" w14:textId="1A3C6B1C" w:rsidR="002D3717" w:rsidRDefault="00952B77" w:rsidP="00313333">
          <w:r>
            <w:rPr>
              <w:rFonts w:cstheme="minorHAnsi"/>
              <w:bCs/>
              <w:sz w:val="20"/>
              <w:szCs w:val="20"/>
            </w:rPr>
            <w:fldChar w:fldCharType="end"/>
          </w:r>
        </w:p>
      </w:sdtContent>
    </w:sdt>
    <w:p w14:paraId="70F30724" w14:textId="27BB0862" w:rsidR="00282B80" w:rsidRPr="002D3717" w:rsidRDefault="00282B80" w:rsidP="002D3717">
      <w:pPr>
        <w:rPr>
          <w:b/>
          <w:bCs/>
          <w:color w:val="C00000"/>
          <w:sz w:val="28"/>
          <w:szCs w:val="24"/>
        </w:rPr>
      </w:pPr>
      <w:r w:rsidRPr="002D3717">
        <w:rPr>
          <w:b/>
          <w:bCs/>
          <w:color w:val="C00000"/>
          <w:sz w:val="28"/>
          <w:szCs w:val="24"/>
        </w:rPr>
        <w:t>The European Disability Forum</w:t>
      </w:r>
    </w:p>
    <w:p w14:paraId="06C637A5" w14:textId="155F7CE2" w:rsidR="001E0F08" w:rsidRDefault="00282B80" w:rsidP="00282B80">
      <w:r w:rsidRPr="00282B80">
        <w:t xml:space="preserve">The European Disability Forum is an independent NGO that </w:t>
      </w:r>
      <w:r w:rsidR="001630BB">
        <w:t xml:space="preserve">advocates for the rights of </w:t>
      </w:r>
      <w:r>
        <w:t>10</w:t>
      </w:r>
      <w:r w:rsidRPr="00282B80">
        <w:t xml:space="preserve">0 million Europeans with disabilities. EDF is a unique platform which brings together representative organisation of persons with disabilities from across Europe. EDF is run by </w:t>
      </w:r>
      <w:proofErr w:type="gramStart"/>
      <w:r w:rsidRPr="00282B80">
        <w:t>persons</w:t>
      </w:r>
      <w:proofErr w:type="gramEnd"/>
      <w:r w:rsidRPr="00282B80">
        <w:t xml:space="preserve"> with disabilities and their families. We are a strong, united voice of persons with disabilities in Europe.</w:t>
      </w:r>
    </w:p>
    <w:p w14:paraId="1E38724D" w14:textId="77777777" w:rsidR="00DF5837" w:rsidRDefault="00DF5837" w:rsidP="00DF5837">
      <w:pPr>
        <w:pStyle w:val="NormalWeb"/>
        <w:spacing w:after="384" w:afterAutospacing="0" w:line="259" w:lineRule="auto"/>
        <w:contextualSpacing/>
        <w:rPr>
          <w:rFonts w:ascii="Verdana" w:hAnsi="Verdana" w:cs="Arial"/>
          <w:b/>
          <w:bCs/>
          <w:lang w:val="en-US"/>
        </w:rPr>
      </w:pPr>
    </w:p>
    <w:p w14:paraId="7685BC0D" w14:textId="4F214175" w:rsidR="00313333" w:rsidRDefault="00313333">
      <w:pPr>
        <w:rPr>
          <w:rFonts w:eastAsia="Times New Roman" w:cs="Arial"/>
          <w:b/>
          <w:bCs/>
          <w:szCs w:val="24"/>
          <w:lang w:eastAsia="en-GB"/>
        </w:rPr>
      </w:pPr>
      <w:r>
        <w:rPr>
          <w:rFonts w:cs="Arial"/>
          <w:b/>
          <w:bCs/>
        </w:rPr>
        <w:br w:type="page"/>
      </w:r>
    </w:p>
    <w:p w14:paraId="038C34E3" w14:textId="77777777" w:rsidR="00DF5837" w:rsidRPr="00CC5BD3" w:rsidRDefault="00DF5837" w:rsidP="002D3717">
      <w:pPr>
        <w:pStyle w:val="Heading1"/>
      </w:pPr>
      <w:bookmarkStart w:id="2" w:name="_Toc178620131"/>
      <w:bookmarkStart w:id="3" w:name="_Toc178622014"/>
      <w:r w:rsidRPr="00CC5BD3">
        <w:lastRenderedPageBreak/>
        <w:t>Background information</w:t>
      </w:r>
      <w:bookmarkEnd w:id="2"/>
      <w:bookmarkEnd w:id="3"/>
    </w:p>
    <w:p w14:paraId="34D5AD2D"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Since June 2024, Ukraine and Moldova have begun accession negotiations with the European Union (EU). The path to joining the EU is often extremely difficult and complex for candidate countries. It requires strong commitment from both the government and civil society. For Ukraine and Moldova, to succeed in this process, they </w:t>
      </w:r>
      <w:proofErr w:type="gramStart"/>
      <w:r w:rsidRPr="00CC5BD3">
        <w:rPr>
          <w:rFonts w:ascii="Verdana" w:hAnsi="Verdana" w:cs="Arial"/>
          <w:lang w:val="en-US"/>
        </w:rPr>
        <w:t>have to</w:t>
      </w:r>
      <w:proofErr w:type="gramEnd"/>
      <w:r w:rsidRPr="00CC5BD3">
        <w:rPr>
          <w:rFonts w:ascii="Verdana" w:hAnsi="Verdana" w:cs="Arial"/>
          <w:lang w:val="en-US"/>
        </w:rPr>
        <w:t xml:space="preserve">: </w:t>
      </w:r>
    </w:p>
    <w:p w14:paraId="0461607B"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26BF0CF3" w14:textId="77777777" w:rsidR="00DF5837" w:rsidRPr="00CC5BD3" w:rsidRDefault="00DF5837" w:rsidP="00DF5837">
      <w:pPr>
        <w:pStyle w:val="NormalWeb"/>
        <w:numPr>
          <w:ilvl w:val="0"/>
          <w:numId w:val="3"/>
        </w:numPr>
        <w:spacing w:after="384" w:afterAutospacing="0" w:line="259" w:lineRule="auto"/>
        <w:contextualSpacing/>
        <w:rPr>
          <w:rFonts w:ascii="Verdana" w:hAnsi="Verdana" w:cs="Arial"/>
          <w:lang w:val="en-US"/>
        </w:rPr>
      </w:pPr>
      <w:r w:rsidRPr="00CC5BD3">
        <w:rPr>
          <w:rFonts w:ascii="Verdana" w:hAnsi="Verdana" w:cs="Arial"/>
          <w:lang w:val="en-US"/>
        </w:rPr>
        <w:t xml:space="preserve">Meet the Copenhagen </w:t>
      </w:r>
      <w:proofErr w:type="gramStart"/>
      <w:r w:rsidRPr="00CC5BD3">
        <w:rPr>
          <w:rFonts w:ascii="Verdana" w:hAnsi="Verdana" w:cs="Arial"/>
          <w:lang w:val="en-US"/>
        </w:rPr>
        <w:t>criteria;</w:t>
      </w:r>
      <w:proofErr w:type="gramEnd"/>
    </w:p>
    <w:p w14:paraId="0A609DF2" w14:textId="77777777" w:rsidR="00DF5837" w:rsidRPr="00CC5BD3" w:rsidRDefault="00DF5837" w:rsidP="00DF5837">
      <w:pPr>
        <w:pStyle w:val="NormalWeb"/>
        <w:numPr>
          <w:ilvl w:val="0"/>
          <w:numId w:val="3"/>
        </w:numPr>
        <w:spacing w:after="384" w:afterAutospacing="0" w:line="259" w:lineRule="auto"/>
        <w:contextualSpacing/>
        <w:rPr>
          <w:rFonts w:ascii="Verdana" w:hAnsi="Verdana" w:cs="Arial"/>
          <w:lang w:val="en-US"/>
        </w:rPr>
      </w:pPr>
      <w:r w:rsidRPr="00CC5BD3">
        <w:rPr>
          <w:rFonts w:ascii="Verdana" w:hAnsi="Verdana" w:cs="Arial"/>
          <w:lang w:val="en-US"/>
        </w:rPr>
        <w:t>Fulfill obligations under the Association Agreements with Deep and Comprehensive Free Trade Area (AA/DCFTA</w:t>
      </w:r>
      <w:proofErr w:type="gramStart"/>
      <w:r w:rsidRPr="00CC5BD3">
        <w:rPr>
          <w:rFonts w:ascii="Verdana" w:hAnsi="Verdana" w:cs="Arial"/>
          <w:lang w:val="en-US"/>
        </w:rPr>
        <w:t>);</w:t>
      </w:r>
      <w:proofErr w:type="gramEnd"/>
    </w:p>
    <w:p w14:paraId="37981452" w14:textId="77777777" w:rsidR="00DF5837" w:rsidRDefault="00DF5837" w:rsidP="00DF5837">
      <w:pPr>
        <w:pStyle w:val="NormalWeb"/>
        <w:numPr>
          <w:ilvl w:val="0"/>
          <w:numId w:val="3"/>
        </w:numPr>
        <w:spacing w:after="384" w:afterAutospacing="0" w:line="259" w:lineRule="auto"/>
        <w:contextualSpacing/>
        <w:rPr>
          <w:rFonts w:ascii="Verdana" w:hAnsi="Verdana" w:cs="Arial"/>
          <w:lang w:val="en-US"/>
        </w:rPr>
      </w:pPr>
      <w:r w:rsidRPr="00CC5BD3">
        <w:rPr>
          <w:rFonts w:ascii="Verdana" w:hAnsi="Verdana" w:cs="Arial"/>
          <w:lang w:val="en-US"/>
        </w:rPr>
        <w:t xml:space="preserve">Follow the recommendations in the ‘Enlargement Package’. </w:t>
      </w:r>
    </w:p>
    <w:p w14:paraId="60506B99" w14:textId="77777777" w:rsidR="00DF5837" w:rsidRPr="00CC5BD3" w:rsidRDefault="00DF5837" w:rsidP="00DF5837">
      <w:pPr>
        <w:pStyle w:val="NormalWeb"/>
        <w:spacing w:after="384" w:afterAutospacing="0" w:line="259" w:lineRule="auto"/>
        <w:ind w:left="720"/>
        <w:contextualSpacing/>
        <w:rPr>
          <w:rFonts w:ascii="Verdana" w:hAnsi="Verdana" w:cs="Arial"/>
          <w:lang w:val="en-US"/>
        </w:rPr>
      </w:pPr>
    </w:p>
    <w:p w14:paraId="083CB64F"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Respect and advancement of human rights is one of key conditions for joining the EU. The EU pays particular attention to the rights of people with disabilities in candidate countries. Deinsitutionalisation, ensuring accessibility of infrastructure, information, and services, promoting inclusive education, reforming the disability assessment model, are among the tasks Ukraine and Moldova must complete to advance in the accession negotiations. </w:t>
      </w:r>
    </w:p>
    <w:p w14:paraId="1C2AB37E"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2D34A47E"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Even though the accession negotiations </w:t>
      </w:r>
      <w:proofErr w:type="gramStart"/>
      <w:r>
        <w:rPr>
          <w:rFonts w:ascii="Verdana" w:hAnsi="Verdana" w:cs="Arial"/>
          <w:lang w:val="en-US"/>
        </w:rPr>
        <w:t>is</w:t>
      </w:r>
      <w:proofErr w:type="gramEnd"/>
      <w:r>
        <w:rPr>
          <w:rFonts w:ascii="Verdana" w:hAnsi="Verdana" w:cs="Arial"/>
          <w:lang w:val="en-US"/>
        </w:rPr>
        <w:t xml:space="preserve"> </w:t>
      </w:r>
      <w:r w:rsidRPr="00CC5BD3">
        <w:rPr>
          <w:rFonts w:ascii="Verdana" w:hAnsi="Verdana" w:cs="Arial"/>
          <w:lang w:val="en-US"/>
        </w:rPr>
        <w:t>an intergovernmental process, participation of civil society is becoming increasingly important. Various instruments for participation are available for civil society organisations</w:t>
      </w:r>
      <w:r>
        <w:rPr>
          <w:rFonts w:ascii="Verdana" w:hAnsi="Verdana" w:cs="Arial"/>
          <w:lang w:val="en-US"/>
        </w:rPr>
        <w:t xml:space="preserve"> (CSOs)</w:t>
      </w:r>
      <w:r w:rsidRPr="00CC5BD3">
        <w:rPr>
          <w:rFonts w:ascii="Verdana" w:hAnsi="Verdana" w:cs="Arial"/>
          <w:lang w:val="en-US"/>
        </w:rPr>
        <w:t xml:space="preserve">, including organisations of people with disabilities (OPDs). </w:t>
      </w:r>
      <w:r>
        <w:rPr>
          <w:rFonts w:ascii="Verdana" w:hAnsi="Verdana" w:cs="Arial"/>
          <w:lang w:val="en-US"/>
        </w:rPr>
        <w:t>You</w:t>
      </w:r>
      <w:r w:rsidRPr="00CC5BD3">
        <w:rPr>
          <w:rFonts w:ascii="Verdana" w:hAnsi="Verdana" w:cs="Arial"/>
          <w:lang w:val="en-US"/>
        </w:rPr>
        <w:t xml:space="preserve"> can participate directly by contributing to drafting laws, strategies, and plans, </w:t>
      </w:r>
      <w:proofErr w:type="spellStart"/>
      <w:r w:rsidRPr="00CC5BD3">
        <w:rPr>
          <w:rFonts w:ascii="Verdana" w:hAnsi="Verdana" w:cs="Arial"/>
          <w:lang w:val="en-US"/>
        </w:rPr>
        <w:t>analysing</w:t>
      </w:r>
      <w:proofErr w:type="spellEnd"/>
      <w:r w:rsidRPr="00CC5BD3">
        <w:rPr>
          <w:rFonts w:ascii="Verdana" w:hAnsi="Verdana" w:cs="Arial"/>
          <w:lang w:val="en-US"/>
        </w:rPr>
        <w:t xml:space="preserve"> national and EU legislation. Alternatively, </w:t>
      </w:r>
      <w:r>
        <w:rPr>
          <w:rFonts w:ascii="Verdana" w:hAnsi="Verdana" w:cs="Arial"/>
          <w:lang w:val="en-US"/>
        </w:rPr>
        <w:t>you</w:t>
      </w:r>
      <w:r w:rsidRPr="00CC5BD3">
        <w:rPr>
          <w:rFonts w:ascii="Verdana" w:hAnsi="Verdana" w:cs="Arial"/>
          <w:lang w:val="en-US"/>
        </w:rPr>
        <w:t xml:space="preserve"> can contribute indirectly by implementing projects or initiatives that help governments meet their obligations in the disability domain. The level of involvement often depends on the capacity of the organisation.</w:t>
      </w:r>
    </w:p>
    <w:p w14:paraId="272C7C2E" w14:textId="77777777" w:rsidR="00CE0150" w:rsidRDefault="00CE0150" w:rsidP="00DF5837">
      <w:pPr>
        <w:pStyle w:val="NormalWeb"/>
        <w:spacing w:after="384" w:afterAutospacing="0" w:line="259" w:lineRule="auto"/>
        <w:contextualSpacing/>
        <w:rPr>
          <w:rFonts w:ascii="Verdana" w:hAnsi="Verdana" w:cs="Arial"/>
          <w:lang w:val="en-US"/>
        </w:rPr>
      </w:pPr>
    </w:p>
    <w:p w14:paraId="1DF39375" w14:textId="2DAA289F" w:rsidR="00CE0150" w:rsidRDefault="00952B77" w:rsidP="00DF5837">
      <w:pPr>
        <w:pStyle w:val="NormalWeb"/>
        <w:spacing w:after="384" w:afterAutospacing="0" w:line="259" w:lineRule="auto"/>
        <w:contextualSpacing/>
        <w:rPr>
          <w:rFonts w:ascii="Verdana" w:hAnsi="Verdana" w:cs="Arial"/>
          <w:lang w:val="en-US"/>
        </w:rPr>
      </w:pPr>
      <w:r w:rsidRPr="00952B77">
        <w:rPr>
          <w:rFonts w:ascii="Verdana" w:hAnsi="Verdana" w:cs="Arial"/>
          <w:lang w:val="en-US"/>
        </w:rPr>
        <w:t>This guidance provides a summary of the key findings from the report</w:t>
      </w:r>
      <w:r>
        <w:rPr>
          <w:rFonts w:ascii="Verdana" w:hAnsi="Verdana" w:cs="Arial"/>
          <w:lang w:val="en-US"/>
        </w:rPr>
        <w:t xml:space="preserve"> </w:t>
      </w:r>
      <w:r w:rsidRPr="00952B77">
        <w:rPr>
          <w:rFonts w:ascii="Verdana" w:hAnsi="Verdana" w:cs="Arial"/>
          <w:lang w:val="en-US"/>
        </w:rPr>
        <w:t xml:space="preserve">‘Disability-Inclusive Accession Process to the European Union: The Case of Ukraine, Moldova, and </w:t>
      </w:r>
      <w:r w:rsidRPr="009B350E">
        <w:rPr>
          <w:rFonts w:ascii="Verdana" w:hAnsi="Verdana" w:cs="Arial"/>
          <w:lang w:val="en-US"/>
        </w:rPr>
        <w:t>Georgia’.</w:t>
      </w:r>
      <w:r w:rsidR="00CE0150">
        <w:rPr>
          <w:rFonts w:ascii="Verdana" w:hAnsi="Verdana" w:cs="Arial"/>
          <w:lang w:val="en-US"/>
        </w:rPr>
        <w:t xml:space="preserve"> </w:t>
      </w:r>
    </w:p>
    <w:p w14:paraId="579746B2"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617FFB18" w14:textId="77777777" w:rsidR="00DF5837" w:rsidRPr="00CC5BD3" w:rsidRDefault="00DF5837" w:rsidP="002D3717">
      <w:pPr>
        <w:pStyle w:val="Heading1"/>
      </w:pPr>
      <w:bookmarkStart w:id="4" w:name="_Toc178620132"/>
      <w:bookmarkStart w:id="5" w:name="_Toc178622015"/>
      <w:r w:rsidRPr="00CC5BD3">
        <w:t>Why is it important for OPDs to participate in the accession process?</w:t>
      </w:r>
      <w:bookmarkEnd w:id="4"/>
      <w:bookmarkEnd w:id="5"/>
    </w:p>
    <w:p w14:paraId="05D0BF29"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In the upcoming years, Ukraine and Moldova, will have to pass dozens of disability-related laws and reforms to align with EU standards. In this process, OPDs can play an important role. </w:t>
      </w:r>
    </w:p>
    <w:p w14:paraId="3442298A"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69405BF6" w14:textId="0F5D9864"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Firstly, </w:t>
      </w:r>
      <w:r>
        <w:rPr>
          <w:rFonts w:ascii="Verdana" w:hAnsi="Verdana" w:cs="Arial"/>
          <w:lang w:val="en-US"/>
        </w:rPr>
        <w:t>you</w:t>
      </w:r>
      <w:r w:rsidRPr="00CC5BD3">
        <w:rPr>
          <w:rFonts w:ascii="Verdana" w:hAnsi="Verdana" w:cs="Arial"/>
          <w:lang w:val="en-US"/>
        </w:rPr>
        <w:t xml:space="preserve"> can bring </w:t>
      </w:r>
      <w:r w:rsidRPr="00CC5BD3">
        <w:rPr>
          <w:rFonts w:ascii="Verdana" w:hAnsi="Verdana" w:cs="Arial"/>
          <w:b/>
          <w:bCs/>
          <w:lang w:val="en-US"/>
        </w:rPr>
        <w:t>valuable expertise and first-hand experience</w:t>
      </w:r>
      <w:r w:rsidRPr="00CC5BD3">
        <w:rPr>
          <w:rFonts w:ascii="Verdana" w:hAnsi="Verdana" w:cs="Arial"/>
          <w:lang w:val="en-US"/>
        </w:rPr>
        <w:t xml:space="preserve">. By actively participating in drafting, revising, and implementing disability-related laws and reforms, OPDs can provide practical insights and solutions that governments might overlook. </w:t>
      </w:r>
      <w:r w:rsidR="00952B77">
        <w:rPr>
          <w:rFonts w:ascii="Verdana" w:hAnsi="Verdana" w:cs="Arial"/>
          <w:lang w:val="en-US"/>
        </w:rPr>
        <w:t>Your</w:t>
      </w:r>
      <w:r w:rsidRPr="00CC5BD3">
        <w:rPr>
          <w:rFonts w:ascii="Verdana" w:hAnsi="Verdana" w:cs="Arial"/>
          <w:lang w:val="en-US"/>
        </w:rPr>
        <w:t xml:space="preserve"> involvement ensures that policies are not only comprehensive but also </w:t>
      </w:r>
      <w:proofErr w:type="gramStart"/>
      <w:r w:rsidRPr="00CC5BD3">
        <w:rPr>
          <w:rFonts w:ascii="Verdana" w:hAnsi="Verdana" w:cs="Arial"/>
          <w:lang w:val="en-US"/>
        </w:rPr>
        <w:t>grounded in reality, which</w:t>
      </w:r>
      <w:proofErr w:type="gramEnd"/>
      <w:r w:rsidRPr="00CC5BD3">
        <w:rPr>
          <w:rFonts w:ascii="Verdana" w:hAnsi="Verdana" w:cs="Arial"/>
          <w:lang w:val="en-US"/>
        </w:rPr>
        <w:t xml:space="preserve"> can reduce delays and missteps in the legislative process. This accelerates the alignment with EU standards and contributes to a more efficient accession process. </w:t>
      </w:r>
    </w:p>
    <w:p w14:paraId="6514DB7C"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6C350C32" w14:textId="2431E00C" w:rsidR="00DF5837" w:rsidRPr="00CC5BD3"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Secondly, </w:t>
      </w:r>
      <w:r w:rsidR="00952B77">
        <w:rPr>
          <w:rFonts w:ascii="Verdana" w:hAnsi="Verdana" w:cs="Arial"/>
          <w:lang w:val="en-GB"/>
        </w:rPr>
        <w:t>you</w:t>
      </w:r>
      <w:r w:rsidRPr="00CC5BD3">
        <w:rPr>
          <w:rFonts w:ascii="Verdana" w:hAnsi="Verdana" w:cs="Arial"/>
          <w:lang w:val="en-GB"/>
        </w:rPr>
        <w:t xml:space="preserve"> can play a </w:t>
      </w:r>
      <w:r w:rsidRPr="00CC5BD3">
        <w:rPr>
          <w:rFonts w:ascii="Verdana" w:hAnsi="Verdana" w:cs="Arial"/>
          <w:b/>
          <w:bCs/>
          <w:lang w:val="en-GB"/>
        </w:rPr>
        <w:t>watchdog role</w:t>
      </w:r>
      <w:r w:rsidRPr="00CC5BD3">
        <w:rPr>
          <w:rFonts w:ascii="Verdana" w:hAnsi="Verdana" w:cs="Arial"/>
          <w:lang w:val="en-GB"/>
        </w:rPr>
        <w:t xml:space="preserve">, holding governments accountable to their commitments under obligations under the accession process. Thirdly, the participation of OPDs fosters </w:t>
      </w:r>
      <w:r w:rsidRPr="00CC5BD3">
        <w:rPr>
          <w:rFonts w:ascii="Verdana" w:hAnsi="Verdana" w:cs="Arial"/>
          <w:b/>
          <w:bCs/>
          <w:lang w:val="en-GB"/>
        </w:rPr>
        <w:t>transparency and inclusivity</w:t>
      </w:r>
      <w:r w:rsidRPr="00CC5BD3">
        <w:rPr>
          <w:rFonts w:ascii="Verdana" w:hAnsi="Verdana" w:cs="Arial"/>
          <w:lang w:val="en-GB"/>
        </w:rPr>
        <w:t xml:space="preserve">, aligning with the EU's emphasis on and civil society engagement. This not only strengthens the legitimacy of the reforms but also empowers the disability community by giving them a </w:t>
      </w:r>
      <w:r w:rsidRPr="00CC5BD3">
        <w:rPr>
          <w:rFonts w:ascii="Verdana" w:hAnsi="Verdana" w:cs="Arial"/>
          <w:b/>
          <w:bCs/>
          <w:lang w:val="en-GB"/>
        </w:rPr>
        <w:t xml:space="preserve">voice </w:t>
      </w:r>
      <w:r w:rsidRPr="00CC5BD3">
        <w:rPr>
          <w:rFonts w:ascii="Verdana" w:hAnsi="Verdana" w:cs="Arial"/>
          <w:lang w:val="en-GB"/>
        </w:rPr>
        <w:t>in shaping their own future. </w:t>
      </w:r>
    </w:p>
    <w:p w14:paraId="4A21C66F" w14:textId="77777777" w:rsidR="00DF5837" w:rsidRPr="00CC5BD3" w:rsidRDefault="00DF5837" w:rsidP="002D3717">
      <w:pPr>
        <w:pStyle w:val="Heading1"/>
      </w:pPr>
      <w:bookmarkStart w:id="6" w:name="_Toc178620133"/>
      <w:bookmarkStart w:id="7" w:name="_Toc178622016"/>
      <w:r w:rsidRPr="00CC5BD3">
        <w:t>At what stage are Ukraine, Moldova, and Georgia in the accession process?</w:t>
      </w:r>
      <w:bookmarkEnd w:id="6"/>
      <w:bookmarkEnd w:id="7"/>
    </w:p>
    <w:p w14:paraId="0CC67C4D"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The European Commission outlines 9 steps to becoming an EU member.</w:t>
      </w:r>
      <w:r>
        <w:rPr>
          <w:rStyle w:val="FootnoteReference"/>
          <w:rFonts w:ascii="Verdana" w:hAnsi="Verdana" w:cs="Arial"/>
          <w:lang w:val="en-US"/>
        </w:rPr>
        <w:footnoteReference w:id="1"/>
      </w:r>
      <w:r w:rsidRPr="00CC5BD3">
        <w:rPr>
          <w:rFonts w:ascii="Verdana" w:hAnsi="Verdana" w:cs="Arial"/>
          <w:lang w:val="en-US"/>
        </w:rPr>
        <w:t xml:space="preserve"> </w:t>
      </w:r>
      <w:r w:rsidRPr="00CC5BD3">
        <w:rPr>
          <w:rFonts w:ascii="Verdana" w:hAnsi="Verdana" w:cs="Arial"/>
          <w:lang w:val="en-GB"/>
        </w:rPr>
        <w:t xml:space="preserve">How quickly a candidate country moves through these steps depends on how effectively it fulfils EU requirements. </w:t>
      </w:r>
      <w:r>
        <w:rPr>
          <w:rFonts w:ascii="Verdana" w:hAnsi="Verdana" w:cs="Arial"/>
          <w:lang w:val="en-GB"/>
        </w:rPr>
        <w:t xml:space="preserve">As of </w:t>
      </w:r>
      <w:r w:rsidRPr="00F30F45">
        <w:rPr>
          <w:rFonts w:ascii="Verdana" w:hAnsi="Verdana" w:cs="Arial"/>
          <w:b/>
          <w:bCs/>
          <w:lang w:val="en-GB"/>
        </w:rPr>
        <w:t>October 2024</w:t>
      </w:r>
      <w:r>
        <w:rPr>
          <w:rFonts w:ascii="Verdana" w:hAnsi="Verdana" w:cs="Arial"/>
          <w:lang w:val="en-GB"/>
        </w:rPr>
        <w:t xml:space="preserve">, </w:t>
      </w:r>
      <w:r w:rsidRPr="00CC5BD3">
        <w:rPr>
          <w:rFonts w:ascii="Verdana" w:hAnsi="Verdana" w:cs="Arial"/>
          <w:lang w:val="en-GB"/>
        </w:rPr>
        <w:t xml:space="preserve">Ukraine and Moldova are working on opening negotiations for Chapter 23 </w:t>
      </w:r>
      <w:r w:rsidRPr="00CC5BD3">
        <w:rPr>
          <w:rFonts w:ascii="Verdana" w:hAnsi="Verdana" w:cs="Arial"/>
          <w:lang w:val="en-US"/>
        </w:rPr>
        <w:t xml:space="preserve">‘Judiciary and </w:t>
      </w:r>
      <w:r>
        <w:rPr>
          <w:rFonts w:ascii="Verdana" w:hAnsi="Verdana" w:cs="Arial"/>
          <w:lang w:val="en-US"/>
        </w:rPr>
        <w:t>F</w:t>
      </w:r>
      <w:r w:rsidRPr="00CC5BD3">
        <w:rPr>
          <w:rFonts w:ascii="Verdana" w:hAnsi="Verdana" w:cs="Arial"/>
          <w:lang w:val="en-US"/>
        </w:rPr>
        <w:t xml:space="preserve">undamental </w:t>
      </w:r>
      <w:r>
        <w:rPr>
          <w:rFonts w:ascii="Verdana" w:hAnsi="Verdana" w:cs="Arial"/>
          <w:lang w:val="en-US"/>
        </w:rPr>
        <w:t>R</w:t>
      </w:r>
      <w:r w:rsidRPr="00CC5BD3">
        <w:rPr>
          <w:rFonts w:ascii="Verdana" w:hAnsi="Verdana" w:cs="Arial"/>
          <w:lang w:val="en-US"/>
        </w:rPr>
        <w:t>ights’</w:t>
      </w:r>
      <w:r w:rsidRPr="00CC5BD3">
        <w:rPr>
          <w:rFonts w:ascii="Verdana" w:hAnsi="Verdana" w:cs="Arial"/>
          <w:lang w:val="en-GB"/>
        </w:rPr>
        <w:t xml:space="preserve"> (</w:t>
      </w:r>
      <w:r>
        <w:rPr>
          <w:rFonts w:ascii="Verdana" w:hAnsi="Verdana" w:cs="Arial"/>
          <w:lang w:val="en-GB"/>
        </w:rPr>
        <w:t>step</w:t>
      </w:r>
      <w:r w:rsidRPr="00CC5BD3">
        <w:rPr>
          <w:rFonts w:ascii="Verdana" w:hAnsi="Verdana" w:cs="Arial"/>
          <w:lang w:val="en-GB"/>
        </w:rPr>
        <w:t xml:space="preserve"> 6</w:t>
      </w:r>
      <w:r>
        <w:rPr>
          <w:rFonts w:ascii="Verdana" w:hAnsi="Verdana" w:cs="Arial"/>
          <w:lang w:val="en-GB"/>
        </w:rPr>
        <w:t xml:space="preserve"> of the accession process</w:t>
      </w:r>
      <w:r w:rsidRPr="00CC5BD3">
        <w:rPr>
          <w:rFonts w:ascii="Verdana" w:hAnsi="Verdana" w:cs="Arial"/>
          <w:lang w:val="en-GB"/>
        </w:rPr>
        <w:t xml:space="preserve">). This chapter is crucial because </w:t>
      </w:r>
      <w:r>
        <w:rPr>
          <w:rFonts w:ascii="Verdana" w:hAnsi="Verdana" w:cs="Arial"/>
          <w:lang w:val="en-GB"/>
        </w:rPr>
        <w:t xml:space="preserve">as it demonstrates a </w:t>
      </w:r>
      <w:r w:rsidRPr="00CC5BD3">
        <w:rPr>
          <w:rFonts w:ascii="Verdana" w:hAnsi="Verdana" w:cs="Arial"/>
          <w:lang w:val="en-GB"/>
        </w:rPr>
        <w:t xml:space="preserve">country’s commitment to </w:t>
      </w:r>
      <w:r>
        <w:rPr>
          <w:rFonts w:ascii="Verdana" w:hAnsi="Verdana" w:cs="Arial"/>
          <w:lang w:val="en-GB"/>
        </w:rPr>
        <w:t xml:space="preserve">the </w:t>
      </w:r>
      <w:r w:rsidRPr="00CC5BD3">
        <w:rPr>
          <w:rFonts w:ascii="Verdana" w:hAnsi="Verdana" w:cs="Arial"/>
          <w:lang w:val="en-GB"/>
        </w:rPr>
        <w:t>EU</w:t>
      </w:r>
      <w:r>
        <w:rPr>
          <w:rFonts w:ascii="Verdana" w:hAnsi="Verdana" w:cs="Arial"/>
          <w:lang w:val="en-GB"/>
        </w:rPr>
        <w:t>’s</w:t>
      </w:r>
      <w:r w:rsidRPr="00CC5BD3">
        <w:rPr>
          <w:rFonts w:ascii="Verdana" w:hAnsi="Verdana" w:cs="Arial"/>
          <w:lang w:val="en-GB"/>
        </w:rPr>
        <w:t xml:space="preserve"> core values and principles. </w:t>
      </w:r>
      <w:r>
        <w:rPr>
          <w:rFonts w:ascii="Verdana" w:hAnsi="Verdana" w:cs="Arial"/>
          <w:lang w:val="en-GB"/>
        </w:rPr>
        <w:t>Therefore</w:t>
      </w:r>
      <w:r w:rsidRPr="00CC5BD3">
        <w:rPr>
          <w:rFonts w:ascii="Verdana" w:hAnsi="Verdana" w:cs="Arial"/>
          <w:lang w:val="en-GB"/>
        </w:rPr>
        <w:t xml:space="preserve">, negotiations under this chapter open first and close last. Once negotiations for </w:t>
      </w:r>
      <w:r w:rsidRPr="00CC5BD3">
        <w:rPr>
          <w:rFonts w:ascii="Verdana" w:hAnsi="Verdana" w:cs="Arial"/>
          <w:lang w:val="en-US"/>
        </w:rPr>
        <w:t>Chapter 23 are open, other 3</w:t>
      </w:r>
      <w:r>
        <w:rPr>
          <w:rFonts w:ascii="Verdana" w:hAnsi="Verdana" w:cs="Arial"/>
          <w:lang w:val="en-US"/>
        </w:rPr>
        <w:t>4</w:t>
      </w:r>
      <w:r w:rsidRPr="00CC5BD3">
        <w:rPr>
          <w:rFonts w:ascii="Verdana" w:hAnsi="Verdana" w:cs="Arial"/>
          <w:lang w:val="en-US"/>
        </w:rPr>
        <w:t xml:space="preserve"> chapters can be negotiated at the same time. Georgia currently holds candidate status (</w:t>
      </w:r>
      <w:r>
        <w:rPr>
          <w:rFonts w:ascii="Verdana" w:hAnsi="Verdana" w:cs="Arial"/>
          <w:lang w:val="en-US"/>
        </w:rPr>
        <w:t>step</w:t>
      </w:r>
      <w:r w:rsidRPr="00CC5BD3">
        <w:rPr>
          <w:rFonts w:ascii="Verdana" w:hAnsi="Verdana" w:cs="Arial"/>
          <w:lang w:val="en-US"/>
        </w:rPr>
        <w:t xml:space="preserve"> 3</w:t>
      </w:r>
      <w:r>
        <w:rPr>
          <w:rFonts w:ascii="Verdana" w:hAnsi="Verdana" w:cs="Arial"/>
          <w:lang w:val="en-US"/>
        </w:rPr>
        <w:t xml:space="preserve"> of the accession process</w:t>
      </w:r>
      <w:r w:rsidRPr="00CC5BD3">
        <w:rPr>
          <w:rFonts w:ascii="Verdana" w:hAnsi="Verdana" w:cs="Arial"/>
          <w:lang w:val="en-US"/>
        </w:rPr>
        <w:t>). As of July 2024, Georgia’s EU accession process has been paused.</w:t>
      </w:r>
      <w:r w:rsidRPr="00CC5BD3">
        <w:rPr>
          <w:rStyle w:val="FootnoteReference"/>
          <w:rFonts w:ascii="Verdana" w:hAnsi="Verdana" w:cs="Arial"/>
          <w:lang w:val="en-US"/>
        </w:rPr>
        <w:footnoteReference w:id="2"/>
      </w:r>
      <w:r w:rsidRPr="00CC5BD3">
        <w:rPr>
          <w:rFonts w:ascii="Verdana" w:hAnsi="Verdana" w:cs="Arial"/>
          <w:lang w:val="en-US"/>
        </w:rPr>
        <w:t xml:space="preserve"> </w:t>
      </w:r>
    </w:p>
    <w:p w14:paraId="359B3FA2" w14:textId="77777777" w:rsidR="00DF5837" w:rsidRDefault="00DF5837" w:rsidP="00DF5837">
      <w:pPr>
        <w:pStyle w:val="NormalWeb"/>
        <w:spacing w:after="384" w:afterAutospacing="0" w:line="259" w:lineRule="auto"/>
        <w:contextualSpacing/>
        <w:rPr>
          <w:rFonts w:ascii="Verdana" w:hAnsi="Verdana" w:cs="Arial"/>
          <w:lang w:val="en-US"/>
        </w:rPr>
      </w:pPr>
    </w:p>
    <w:p w14:paraId="1FE50365" w14:textId="77777777" w:rsidR="00DF5837" w:rsidRPr="00780495" w:rsidRDefault="00DF5837" w:rsidP="00DF5837">
      <w:pPr>
        <w:pStyle w:val="NormalWeb"/>
        <w:spacing w:after="384" w:afterAutospacing="0" w:line="259" w:lineRule="auto"/>
        <w:contextualSpacing/>
        <w:rPr>
          <w:rFonts w:ascii="Verdana" w:hAnsi="Verdana" w:cs="Arial"/>
          <w:b/>
          <w:bCs/>
          <w:lang w:val="en-US"/>
        </w:rPr>
      </w:pPr>
      <w:r w:rsidRPr="00780495">
        <w:rPr>
          <w:rFonts w:ascii="Verdana" w:hAnsi="Verdana" w:cs="Arial"/>
          <w:b/>
          <w:bCs/>
          <w:lang w:val="en-US"/>
        </w:rPr>
        <w:t>Steps towards membership in the EU</w:t>
      </w:r>
    </w:p>
    <w:p w14:paraId="2FBFEF7E" w14:textId="77777777" w:rsidR="00DF5837" w:rsidRDefault="00DF5837" w:rsidP="00DF5837">
      <w:pPr>
        <w:pStyle w:val="NormalWeb"/>
        <w:spacing w:after="384" w:afterAutospacing="0" w:line="259" w:lineRule="auto"/>
        <w:contextualSpacing/>
        <w:rPr>
          <w:rFonts w:ascii="Verdana" w:hAnsi="Verdana" w:cs="Arial"/>
          <w:lang w:val="en-US"/>
        </w:rPr>
      </w:pPr>
    </w:p>
    <w:p w14:paraId="71537848"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CC5BD3">
        <w:rPr>
          <w:rFonts w:ascii="Verdana" w:hAnsi="Verdana" w:cs="Arial"/>
          <w:b/>
          <w:bCs/>
          <w:lang w:val="en-US"/>
        </w:rPr>
        <w:t>Application Submission</w:t>
      </w:r>
      <w:r>
        <w:rPr>
          <w:rFonts w:ascii="Verdana" w:hAnsi="Verdana" w:cs="Arial"/>
          <w:b/>
          <w:bCs/>
          <w:lang w:val="en-US"/>
        </w:rPr>
        <w:t xml:space="preserve">. </w:t>
      </w:r>
      <w:r w:rsidRPr="00CC5BD3">
        <w:rPr>
          <w:rFonts w:ascii="Verdana" w:hAnsi="Verdana" w:cs="Arial"/>
          <w:lang w:val="en-US"/>
        </w:rPr>
        <w:t>The country submits its application to join the EU</w:t>
      </w:r>
      <w:r>
        <w:rPr>
          <w:rFonts w:ascii="Verdana" w:hAnsi="Verdana" w:cs="Arial"/>
          <w:lang w:val="en-US"/>
        </w:rPr>
        <w:t>.</w:t>
      </w:r>
    </w:p>
    <w:p w14:paraId="2A3A553F"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lastRenderedPageBreak/>
        <w:t xml:space="preserve">Commission Opinion. </w:t>
      </w:r>
      <w:r w:rsidRPr="00780495">
        <w:rPr>
          <w:rFonts w:ascii="Verdana" w:hAnsi="Verdana" w:cs="Arial"/>
          <w:lang w:val="en-GB"/>
        </w:rPr>
        <w:t>The European Commission reviews the application and issues an opinion based on the Copenhagen criteria.</w:t>
      </w:r>
    </w:p>
    <w:p w14:paraId="1AE52BBA"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Candidate Status. </w:t>
      </w:r>
      <w:r w:rsidRPr="00780495">
        <w:rPr>
          <w:rFonts w:ascii="Verdana" w:hAnsi="Verdana" w:cs="Arial"/>
          <w:lang w:val="en-GB"/>
        </w:rPr>
        <w:t>The EU decides to grant the country candidate status</w:t>
      </w:r>
      <w:r>
        <w:rPr>
          <w:rFonts w:ascii="Verdana" w:hAnsi="Verdana" w:cs="Arial"/>
          <w:lang w:val="en-GB"/>
        </w:rPr>
        <w:t>.</w:t>
      </w:r>
    </w:p>
    <w:p w14:paraId="64CB503D"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Opening Negotiations</w:t>
      </w:r>
      <w:r>
        <w:rPr>
          <w:rFonts w:ascii="Verdana" w:hAnsi="Verdana" w:cs="Arial"/>
          <w:b/>
          <w:bCs/>
          <w:lang w:val="en-US"/>
        </w:rPr>
        <w:t>.</w:t>
      </w:r>
      <w:r w:rsidRPr="00780495">
        <w:rPr>
          <w:rFonts w:ascii="Verdana" w:hAnsi="Verdana" w:cs="Arial"/>
          <w:lang w:val="en-US"/>
        </w:rPr>
        <w:t xml:space="preserve"> The EU decides to open accession negotiations with the country candidate.</w:t>
      </w:r>
    </w:p>
    <w:p w14:paraId="66D233E9"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Negotiation Framework. </w:t>
      </w:r>
      <w:r w:rsidRPr="00780495">
        <w:rPr>
          <w:rFonts w:ascii="Verdana" w:hAnsi="Verdana" w:cs="Arial"/>
          <w:lang w:val="en-US"/>
        </w:rPr>
        <w:t xml:space="preserve">The EU </w:t>
      </w:r>
      <w:proofErr w:type="gramStart"/>
      <w:r w:rsidRPr="00780495">
        <w:rPr>
          <w:rFonts w:ascii="Verdana" w:hAnsi="Verdana" w:cs="Arial"/>
          <w:lang w:val="en-US"/>
        </w:rPr>
        <w:t>adoptions</w:t>
      </w:r>
      <w:proofErr w:type="gramEnd"/>
      <w:r w:rsidRPr="00780495">
        <w:rPr>
          <w:rFonts w:ascii="Verdana" w:hAnsi="Verdana" w:cs="Arial"/>
          <w:lang w:val="en-US"/>
        </w:rPr>
        <w:t xml:space="preserve"> Negotiation framework and formally launches negotiations.</w:t>
      </w:r>
    </w:p>
    <w:p w14:paraId="291E663C"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GB"/>
        </w:rPr>
        <w:t>Chapters’ Negotiations</w:t>
      </w:r>
      <w:r>
        <w:rPr>
          <w:rFonts w:ascii="Verdana" w:hAnsi="Verdana" w:cs="Arial"/>
          <w:b/>
          <w:bCs/>
          <w:lang w:val="en-GB"/>
        </w:rPr>
        <w:t>.</w:t>
      </w:r>
      <w:r w:rsidRPr="00780495">
        <w:rPr>
          <w:rFonts w:ascii="Verdana" w:hAnsi="Verdana" w:cs="Arial"/>
          <w:b/>
          <w:bCs/>
          <w:lang w:val="en-GB"/>
        </w:rPr>
        <w:t xml:space="preserve"> </w:t>
      </w:r>
      <w:r w:rsidRPr="00780495">
        <w:rPr>
          <w:rFonts w:ascii="Verdana" w:hAnsi="Verdana" w:cs="Arial"/>
          <w:lang w:val="en-GB"/>
        </w:rPr>
        <w:t>The candidate country works on aligning with EU law and standards under 3</w:t>
      </w:r>
      <w:r>
        <w:rPr>
          <w:rFonts w:ascii="Verdana" w:hAnsi="Verdana" w:cs="Arial"/>
          <w:lang w:val="en-GB"/>
        </w:rPr>
        <w:t>5</w:t>
      </w:r>
      <w:r w:rsidRPr="00780495">
        <w:rPr>
          <w:rFonts w:ascii="Verdana" w:hAnsi="Verdana" w:cs="Arial"/>
          <w:lang w:val="en-GB"/>
        </w:rPr>
        <w:t xml:space="preserve"> chapters of EU laws </w:t>
      </w:r>
      <w:r>
        <w:rPr>
          <w:rFonts w:ascii="Verdana" w:hAnsi="Verdana" w:cs="Arial"/>
          <w:lang w:val="en-GB"/>
        </w:rPr>
        <w:t xml:space="preserve">and </w:t>
      </w:r>
      <w:r w:rsidRPr="00780495">
        <w:rPr>
          <w:rFonts w:ascii="Verdana" w:hAnsi="Verdana" w:cs="Arial"/>
          <w:lang w:val="en-GB"/>
        </w:rPr>
        <w:t>s</w:t>
      </w:r>
      <w:r>
        <w:rPr>
          <w:rFonts w:ascii="Verdana" w:hAnsi="Verdana" w:cs="Arial"/>
          <w:lang w:val="en-GB"/>
        </w:rPr>
        <w:t>ix</w:t>
      </w:r>
      <w:r w:rsidRPr="00780495">
        <w:rPr>
          <w:rFonts w:ascii="Verdana" w:hAnsi="Verdana" w:cs="Arial"/>
          <w:lang w:val="en-GB"/>
        </w:rPr>
        <w:t xml:space="preserve"> thematic clusters.</w:t>
      </w:r>
    </w:p>
    <w:p w14:paraId="0E44D78E"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Closing Negotiations. </w:t>
      </w:r>
      <w:r w:rsidRPr="00780495">
        <w:rPr>
          <w:rFonts w:ascii="Verdana" w:hAnsi="Verdana" w:cs="Arial"/>
          <w:lang w:val="en-US"/>
        </w:rPr>
        <w:t>Once all chapters are closed, the EU assesses the country’s readiness for membership and decides to accept the country candidate.</w:t>
      </w:r>
    </w:p>
    <w:p w14:paraId="020E0834" w14:textId="77777777" w:rsidR="00DF5837"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Accession Treaty. </w:t>
      </w:r>
      <w:r w:rsidRPr="00780495">
        <w:rPr>
          <w:rFonts w:ascii="Verdana" w:hAnsi="Verdana" w:cs="Arial"/>
          <w:lang w:val="en-US"/>
        </w:rPr>
        <w:t>The EU drafts the Accession Treaty, which is signed and ratified by all EU Member States and the candidate country.</w:t>
      </w:r>
    </w:p>
    <w:p w14:paraId="6F5D6D68" w14:textId="77777777" w:rsidR="00DF5837" w:rsidRPr="00780495" w:rsidRDefault="00DF5837" w:rsidP="00DF5837">
      <w:pPr>
        <w:pStyle w:val="NormalWeb"/>
        <w:numPr>
          <w:ilvl w:val="2"/>
          <w:numId w:val="2"/>
        </w:numPr>
        <w:spacing w:after="384" w:afterAutospacing="0" w:line="259" w:lineRule="auto"/>
        <w:ind w:left="851" w:hanging="425"/>
        <w:contextualSpacing/>
        <w:rPr>
          <w:rFonts w:ascii="Verdana" w:hAnsi="Verdana" w:cs="Arial"/>
          <w:lang w:val="en-US"/>
        </w:rPr>
      </w:pPr>
      <w:r w:rsidRPr="00780495">
        <w:rPr>
          <w:rFonts w:ascii="Verdana" w:hAnsi="Verdana" w:cs="Arial"/>
          <w:b/>
          <w:bCs/>
          <w:lang w:val="en-US"/>
        </w:rPr>
        <w:t xml:space="preserve">Membership. </w:t>
      </w:r>
      <w:r w:rsidRPr="00780495">
        <w:rPr>
          <w:rFonts w:ascii="Verdana" w:hAnsi="Verdana" w:cs="Arial"/>
          <w:lang w:val="en-US"/>
        </w:rPr>
        <w:t xml:space="preserve">After ratification, </w:t>
      </w:r>
      <w:r>
        <w:rPr>
          <w:rFonts w:ascii="Verdana" w:hAnsi="Verdana" w:cs="Arial"/>
          <w:lang w:val="en-US"/>
        </w:rPr>
        <w:t xml:space="preserve">a </w:t>
      </w:r>
      <w:r w:rsidRPr="00780495">
        <w:rPr>
          <w:rFonts w:ascii="Verdana" w:hAnsi="Verdana" w:cs="Arial"/>
          <w:lang w:val="en-US"/>
        </w:rPr>
        <w:t>country officially becomes an EU Member State.</w:t>
      </w:r>
    </w:p>
    <w:p w14:paraId="6E3B29AA" w14:textId="77777777" w:rsidR="00DF5837" w:rsidRPr="00CC5BD3" w:rsidRDefault="00DF5837" w:rsidP="00DF5837">
      <w:pPr>
        <w:pStyle w:val="NormalWeb"/>
        <w:spacing w:after="384" w:afterAutospacing="0" w:line="259" w:lineRule="auto"/>
        <w:contextualSpacing/>
        <w:rPr>
          <w:rFonts w:ascii="Verdana" w:hAnsi="Verdana" w:cs="Arial"/>
          <w:b/>
          <w:bCs/>
          <w:lang w:val="en-US"/>
        </w:rPr>
      </w:pPr>
    </w:p>
    <w:p w14:paraId="6EBA4B54" w14:textId="77777777" w:rsidR="00DF5837" w:rsidRPr="00CC5BD3" w:rsidRDefault="00DF5837" w:rsidP="002D3717">
      <w:pPr>
        <w:pStyle w:val="Heading1"/>
      </w:pPr>
      <w:bookmarkStart w:id="8" w:name="_Toc178620134"/>
      <w:bookmarkStart w:id="9" w:name="_Toc178622017"/>
      <w:r w:rsidRPr="00CC5BD3">
        <w:t>How to participate for the OPDs in the accession process?</w:t>
      </w:r>
      <w:bookmarkEnd w:id="8"/>
      <w:bookmarkEnd w:id="9"/>
    </w:p>
    <w:p w14:paraId="7BE8B6FE"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US"/>
        </w:rPr>
        <w:t xml:space="preserve">OPDs have various instruments to participate in the accession process. For convenience, they are divided into structured, semi-structured, and ‘ad hoc’ instruments. </w:t>
      </w:r>
      <w:r w:rsidRPr="00CC5BD3">
        <w:rPr>
          <w:rFonts w:ascii="Verdana" w:hAnsi="Verdana" w:cs="Arial"/>
          <w:b/>
          <w:bCs/>
          <w:lang w:val="en-US"/>
        </w:rPr>
        <w:t>Structured instruments</w:t>
      </w:r>
      <w:r w:rsidRPr="00CC5BD3">
        <w:rPr>
          <w:rFonts w:ascii="Verdana" w:hAnsi="Verdana" w:cs="Arial"/>
          <w:lang w:val="en-US"/>
        </w:rPr>
        <w:t xml:space="preserve"> have an established procedure for participation or membership, which is publicly available and open to any eligible organisation. Membership is often competitive, gained through either periodic open public calls or ongoing calls. </w:t>
      </w:r>
      <w:r w:rsidRPr="00CC5BD3">
        <w:rPr>
          <w:rFonts w:ascii="Verdana" w:hAnsi="Verdana" w:cs="Arial"/>
          <w:b/>
          <w:bCs/>
          <w:lang w:val="en-US"/>
        </w:rPr>
        <w:t>Semi-structured instruments</w:t>
      </w:r>
      <w:r w:rsidRPr="00CC5BD3">
        <w:rPr>
          <w:rFonts w:ascii="Verdana" w:hAnsi="Verdana" w:cs="Arial"/>
          <w:lang w:val="en-US"/>
        </w:rPr>
        <w:t xml:space="preserve"> also have an established procedure for participation, but participation is typically by invitation. </w:t>
      </w:r>
      <w:r w:rsidRPr="00CC5BD3">
        <w:rPr>
          <w:rFonts w:ascii="Verdana" w:hAnsi="Verdana" w:cs="Arial"/>
          <w:b/>
          <w:bCs/>
          <w:lang w:val="en-US"/>
        </w:rPr>
        <w:t>‘Ad hoc’ instruments</w:t>
      </w:r>
      <w:r w:rsidRPr="00CC5BD3">
        <w:rPr>
          <w:rFonts w:ascii="Verdana" w:hAnsi="Verdana" w:cs="Arial"/>
          <w:lang w:val="en-US"/>
        </w:rPr>
        <w:t xml:space="preserve"> refer to opportunities arising from advocacy work, cooperation, networking, </w:t>
      </w:r>
      <w:proofErr w:type="gramStart"/>
      <w:r w:rsidRPr="00CC5BD3">
        <w:rPr>
          <w:rFonts w:ascii="Verdana" w:hAnsi="Verdana" w:cs="Arial"/>
          <w:lang w:val="en-US"/>
        </w:rPr>
        <w:t>or  initiatives</w:t>
      </w:r>
      <w:proofErr w:type="gramEnd"/>
      <w:r w:rsidRPr="00CC5BD3">
        <w:rPr>
          <w:rFonts w:ascii="Verdana" w:hAnsi="Verdana" w:cs="Arial"/>
          <w:lang w:val="en-US"/>
        </w:rPr>
        <w:t xml:space="preserve"> that are often time-limited.</w:t>
      </w:r>
      <w:r>
        <w:rPr>
          <w:rFonts w:ascii="Verdana" w:hAnsi="Verdana" w:cs="Arial"/>
          <w:lang w:val="en-US"/>
        </w:rPr>
        <w:t xml:space="preserve">  </w:t>
      </w:r>
      <w:r w:rsidRPr="00893921">
        <w:rPr>
          <w:rFonts w:ascii="Verdana" w:hAnsi="Verdana" w:cs="Arial"/>
          <w:lang w:val="en-US"/>
        </w:rPr>
        <w:t xml:space="preserve">The </w:t>
      </w:r>
      <w:r>
        <w:rPr>
          <w:rFonts w:ascii="Verdana" w:hAnsi="Verdana" w:cs="Arial"/>
          <w:lang w:val="en-US"/>
        </w:rPr>
        <w:t>tools</w:t>
      </w:r>
      <w:r w:rsidRPr="00893921">
        <w:rPr>
          <w:rFonts w:ascii="Verdana" w:hAnsi="Verdana" w:cs="Arial"/>
          <w:lang w:val="en-US"/>
        </w:rPr>
        <w:t xml:space="preserve"> described below are not an exhaustive list, but rather a selection of the most well-known opportunities available to civil society. Each serves a distinct function and purpose.</w:t>
      </w:r>
    </w:p>
    <w:p w14:paraId="29C13A9E" w14:textId="77777777" w:rsidR="00DF5837" w:rsidRDefault="00DF5837" w:rsidP="00DF5837">
      <w:pPr>
        <w:pStyle w:val="NormalWeb"/>
        <w:spacing w:after="384" w:afterAutospacing="0" w:line="259" w:lineRule="auto"/>
        <w:contextualSpacing/>
        <w:rPr>
          <w:rFonts w:ascii="Verdana" w:hAnsi="Verdana" w:cs="Arial"/>
          <w:lang w:val="en-US"/>
        </w:rPr>
      </w:pPr>
    </w:p>
    <w:p w14:paraId="74F27B1D" w14:textId="77777777" w:rsidR="00DF5837" w:rsidRPr="00780495" w:rsidRDefault="00DF5837" w:rsidP="00DF5837">
      <w:pPr>
        <w:pStyle w:val="NormalWeb"/>
        <w:spacing w:after="384" w:afterAutospacing="0" w:line="259" w:lineRule="auto"/>
        <w:contextualSpacing/>
        <w:rPr>
          <w:rFonts w:ascii="Verdana" w:hAnsi="Verdana" w:cs="Arial"/>
          <w:b/>
          <w:bCs/>
          <w:lang w:val="en-US"/>
        </w:rPr>
      </w:pPr>
      <w:r w:rsidRPr="00780495">
        <w:rPr>
          <w:rFonts w:ascii="Verdana" w:hAnsi="Verdana" w:cs="Arial"/>
          <w:b/>
          <w:bCs/>
          <w:lang w:val="en-US"/>
        </w:rPr>
        <w:t>Structured instruments</w:t>
      </w:r>
    </w:p>
    <w:p w14:paraId="1569FED3" w14:textId="77777777" w:rsidR="00DF5837" w:rsidRDefault="00DF5837" w:rsidP="00DF5837">
      <w:pPr>
        <w:pStyle w:val="NormalWeb"/>
        <w:spacing w:after="384" w:afterAutospacing="0" w:line="259" w:lineRule="auto"/>
        <w:contextualSpacing/>
        <w:rPr>
          <w:rFonts w:ascii="Verdana" w:hAnsi="Verdana" w:cs="Arial"/>
          <w:lang w:val="en-US"/>
        </w:rPr>
      </w:pPr>
    </w:p>
    <w:p w14:paraId="1E619EB9"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5033BB">
        <w:rPr>
          <w:rFonts w:ascii="Verdana" w:hAnsi="Verdana" w:cs="Arial"/>
          <w:lang w:val="en-GB"/>
        </w:rPr>
        <w:t>Via</w:t>
      </w:r>
      <w:r>
        <w:rPr>
          <w:rFonts w:ascii="Verdana" w:hAnsi="Verdana" w:cs="Arial"/>
          <w:b/>
          <w:bCs/>
          <w:lang w:val="en-GB"/>
        </w:rPr>
        <w:t xml:space="preserve"> </w:t>
      </w:r>
      <w:r w:rsidRPr="00CC5BD3">
        <w:rPr>
          <w:rFonts w:ascii="Verdana" w:hAnsi="Verdana" w:cs="Arial"/>
          <w:b/>
          <w:bCs/>
          <w:lang w:val="en-GB"/>
        </w:rPr>
        <w:t>Membership in the Eastern Partnership Civil Society Forum (CSF)</w:t>
      </w:r>
      <w:r>
        <w:rPr>
          <w:rFonts w:ascii="Verdana" w:hAnsi="Verdana" w:cs="Arial"/>
          <w:b/>
          <w:bCs/>
          <w:lang w:val="en-GB"/>
        </w:rPr>
        <w:t xml:space="preserve"> </w:t>
      </w:r>
      <w:r w:rsidRPr="005033BB">
        <w:rPr>
          <w:rFonts w:ascii="Verdana" w:hAnsi="Verdana" w:cs="Arial"/>
          <w:lang w:val="en-GB"/>
        </w:rPr>
        <w:t>OPDs</w:t>
      </w:r>
      <w:r>
        <w:rPr>
          <w:rFonts w:ascii="Verdana" w:hAnsi="Verdana" w:cs="Arial"/>
          <w:b/>
          <w:bCs/>
          <w:lang w:val="en-GB"/>
        </w:rPr>
        <w:t xml:space="preserve"> </w:t>
      </w:r>
      <w:r w:rsidRPr="004F27BB">
        <w:rPr>
          <w:rFonts w:ascii="Verdana" w:hAnsi="Verdana" w:cs="Arial"/>
          <w:lang w:val="en-GB"/>
        </w:rPr>
        <w:t>can facilitate the implementation of AA/DCFTAs in Ukraine, Moldova, and Georgia</w:t>
      </w:r>
      <w:r w:rsidRPr="00CC5BD3">
        <w:rPr>
          <w:rFonts w:ascii="Verdana" w:hAnsi="Verdana" w:cs="Arial"/>
          <w:lang w:val="en-GB"/>
        </w:rPr>
        <w:t>.</w:t>
      </w:r>
    </w:p>
    <w:p w14:paraId="2212F048"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4F27BB">
        <w:rPr>
          <w:rFonts w:ascii="Verdana" w:hAnsi="Verdana" w:cs="Arial"/>
          <w:b/>
          <w:bCs/>
          <w:lang w:val="en-US"/>
        </w:rPr>
        <w:lastRenderedPageBreak/>
        <w:t xml:space="preserve">Membership in the Civil Society Platforms (CSPs) </w:t>
      </w:r>
      <w:r w:rsidRPr="004F27BB">
        <w:rPr>
          <w:rFonts w:ascii="Verdana" w:hAnsi="Verdana" w:cs="Arial"/>
          <w:lang w:val="en-US"/>
        </w:rPr>
        <w:t>offers direct communication with the EU institutions and European civil society networks.</w:t>
      </w:r>
    </w:p>
    <w:p w14:paraId="4B98C229"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4F27BB">
        <w:rPr>
          <w:rFonts w:ascii="Verdana" w:hAnsi="Verdana" w:cs="Arial"/>
          <w:b/>
          <w:bCs/>
          <w:lang w:val="en-GB"/>
        </w:rPr>
        <w:t>Membership in the negotiating working groups</w:t>
      </w:r>
      <w:r w:rsidRPr="004F27BB">
        <w:rPr>
          <w:rFonts w:ascii="Verdana" w:hAnsi="Verdana" w:cs="Arial"/>
          <w:lang w:val="uk-UA"/>
        </w:rPr>
        <w:t xml:space="preserve"> </w:t>
      </w:r>
      <w:r w:rsidRPr="004F27BB">
        <w:rPr>
          <w:rFonts w:ascii="Verdana" w:hAnsi="Verdana" w:cs="Arial"/>
          <w:lang w:val="en-US"/>
        </w:rPr>
        <w:t xml:space="preserve">allows to advance national legislation and ensure its alignment with EU standards under the accession process. </w:t>
      </w:r>
    </w:p>
    <w:p w14:paraId="3E5D8E17" w14:textId="77777777" w:rsidR="00DF5837" w:rsidRDefault="00DF5837" w:rsidP="00DF5837">
      <w:pPr>
        <w:pStyle w:val="NormalWeb"/>
        <w:spacing w:after="384" w:afterAutospacing="0" w:line="259" w:lineRule="auto"/>
        <w:ind w:left="720"/>
        <w:contextualSpacing/>
        <w:rPr>
          <w:rFonts w:ascii="Verdana" w:hAnsi="Verdana" w:cs="Arial"/>
          <w:lang w:val="en-US"/>
        </w:rPr>
      </w:pPr>
    </w:p>
    <w:p w14:paraId="2620D11D" w14:textId="77777777" w:rsidR="00DF5837" w:rsidRPr="00CC5BD3" w:rsidRDefault="00DF5837" w:rsidP="00DF5837">
      <w:pPr>
        <w:pStyle w:val="NormalWeb"/>
        <w:spacing w:after="384" w:afterAutospacing="0" w:line="259" w:lineRule="auto"/>
        <w:contextualSpacing/>
        <w:rPr>
          <w:rFonts w:ascii="Verdana" w:hAnsi="Verdana" w:cs="Arial"/>
          <w:b/>
          <w:bCs/>
          <w:lang w:val="en-US"/>
        </w:rPr>
      </w:pPr>
      <w:r w:rsidRPr="00CC5BD3">
        <w:rPr>
          <w:rFonts w:ascii="Verdana" w:hAnsi="Verdana" w:cs="Arial"/>
          <w:b/>
          <w:bCs/>
          <w:lang w:val="en-US"/>
        </w:rPr>
        <w:t>Semi-structured instruments</w:t>
      </w:r>
    </w:p>
    <w:p w14:paraId="54030752" w14:textId="77777777" w:rsidR="00DF5837" w:rsidRPr="004F27BB" w:rsidRDefault="00DF5837" w:rsidP="00DF5837">
      <w:pPr>
        <w:pStyle w:val="NormalWeb"/>
        <w:spacing w:after="384" w:afterAutospacing="0" w:line="259" w:lineRule="auto"/>
        <w:ind w:left="360"/>
        <w:contextualSpacing/>
        <w:rPr>
          <w:rFonts w:ascii="Verdana" w:hAnsi="Verdana" w:cs="Arial"/>
          <w:lang w:val="en-US"/>
        </w:rPr>
      </w:pPr>
    </w:p>
    <w:p w14:paraId="133CC110" w14:textId="77777777" w:rsidR="00DF5837" w:rsidRPr="00CC5BD3" w:rsidRDefault="00DF5837" w:rsidP="00DF5837">
      <w:pPr>
        <w:pStyle w:val="NormalWeb"/>
        <w:numPr>
          <w:ilvl w:val="0"/>
          <w:numId w:val="5"/>
        </w:numPr>
        <w:spacing w:after="384" w:afterAutospacing="0" w:line="259" w:lineRule="auto"/>
        <w:contextualSpacing/>
        <w:rPr>
          <w:rFonts w:ascii="Verdana" w:hAnsi="Verdana" w:cs="Arial"/>
          <w:lang w:val="en-US"/>
        </w:rPr>
      </w:pPr>
      <w:r w:rsidRPr="00CC5BD3">
        <w:rPr>
          <w:rFonts w:ascii="Verdana" w:hAnsi="Verdana" w:cs="Arial"/>
          <w:b/>
          <w:bCs/>
          <w:lang w:val="en-US"/>
        </w:rPr>
        <w:t>Inputs under the EU Human Rights Dialogues</w:t>
      </w:r>
      <w:r>
        <w:rPr>
          <w:rFonts w:ascii="Verdana" w:hAnsi="Verdana" w:cs="Arial"/>
          <w:b/>
          <w:bCs/>
          <w:lang w:val="en-US"/>
        </w:rPr>
        <w:t xml:space="preserve"> </w:t>
      </w:r>
      <w:r w:rsidRPr="005033BB">
        <w:rPr>
          <w:rFonts w:ascii="Verdana" w:hAnsi="Verdana" w:cs="Arial"/>
          <w:lang w:val="en-US"/>
        </w:rPr>
        <w:t>allow</w:t>
      </w:r>
      <w:r w:rsidRPr="004F27BB">
        <w:rPr>
          <w:rFonts w:ascii="Verdana" w:hAnsi="Verdana" w:cs="Arial"/>
          <w:lang w:val="en-US"/>
        </w:rPr>
        <w:t xml:space="preserve"> </w:t>
      </w:r>
      <w:r>
        <w:rPr>
          <w:rFonts w:ascii="Verdana" w:hAnsi="Verdana" w:cs="Arial"/>
          <w:lang w:val="en-US"/>
        </w:rPr>
        <w:t>to d</w:t>
      </w:r>
      <w:r w:rsidRPr="00CC5BD3">
        <w:rPr>
          <w:rFonts w:ascii="Verdana" w:hAnsi="Verdana" w:cs="Arial"/>
          <w:lang w:val="en-US"/>
        </w:rPr>
        <w:t>irectly inform the EU on the state of implementation of rights of people with disabilities in the country.</w:t>
      </w:r>
    </w:p>
    <w:p w14:paraId="1CC74859" w14:textId="77777777" w:rsidR="00DF5837" w:rsidRDefault="00DF5837" w:rsidP="00DF5837">
      <w:pPr>
        <w:pStyle w:val="NormalWeb"/>
        <w:numPr>
          <w:ilvl w:val="0"/>
          <w:numId w:val="4"/>
        </w:numPr>
        <w:spacing w:after="384" w:afterAutospacing="0" w:line="259" w:lineRule="auto"/>
        <w:contextualSpacing/>
        <w:rPr>
          <w:rFonts w:ascii="Verdana" w:hAnsi="Verdana" w:cs="Arial"/>
          <w:lang w:val="en-US"/>
        </w:rPr>
      </w:pPr>
      <w:r w:rsidRPr="00CC5BD3">
        <w:rPr>
          <w:rFonts w:ascii="Verdana" w:hAnsi="Verdana" w:cs="Arial"/>
          <w:b/>
          <w:bCs/>
          <w:lang w:val="en-GB"/>
        </w:rPr>
        <w:t>Observer status at the European Commission’s Disability Platform</w:t>
      </w:r>
      <w:r>
        <w:rPr>
          <w:rFonts w:ascii="Verdana" w:hAnsi="Verdana" w:cs="Arial"/>
          <w:b/>
          <w:bCs/>
          <w:lang w:val="en-GB"/>
        </w:rPr>
        <w:t xml:space="preserve"> </w:t>
      </w:r>
      <w:r w:rsidRPr="00893921">
        <w:rPr>
          <w:rFonts w:ascii="Verdana" w:hAnsi="Verdana" w:cs="Arial"/>
          <w:lang w:val="en-GB"/>
        </w:rPr>
        <w:t>allows to</w:t>
      </w:r>
      <w:r>
        <w:rPr>
          <w:rFonts w:ascii="Verdana" w:hAnsi="Verdana" w:cs="Arial"/>
          <w:b/>
          <w:bCs/>
          <w:lang w:val="en-GB"/>
        </w:rPr>
        <w:t xml:space="preserve"> </w:t>
      </w:r>
      <w:r>
        <w:rPr>
          <w:rFonts w:ascii="Verdana" w:hAnsi="Verdana" w:cs="Arial"/>
          <w:lang w:val="en-US"/>
        </w:rPr>
        <w:t>b</w:t>
      </w:r>
      <w:r w:rsidRPr="00CC5BD3">
        <w:rPr>
          <w:rFonts w:ascii="Verdana" w:hAnsi="Verdana" w:cs="Arial"/>
          <w:lang w:val="en-US"/>
        </w:rPr>
        <w:t>ecome acquainted with the EU’s functioning, decision-making processes, alongside inform the Commission on the state of disability rights in home country.</w:t>
      </w:r>
    </w:p>
    <w:p w14:paraId="242F4764" w14:textId="77777777" w:rsidR="00DF5837" w:rsidRDefault="00DF5837" w:rsidP="00DF5837">
      <w:pPr>
        <w:pStyle w:val="NormalWeb"/>
        <w:spacing w:after="384" w:afterAutospacing="0" w:line="259" w:lineRule="auto"/>
        <w:contextualSpacing/>
        <w:rPr>
          <w:rFonts w:ascii="Verdana" w:hAnsi="Verdana" w:cs="Arial"/>
          <w:b/>
          <w:bCs/>
          <w:lang w:val="en-US"/>
        </w:rPr>
      </w:pPr>
    </w:p>
    <w:p w14:paraId="44D27EA0" w14:textId="77777777" w:rsidR="00DF5837" w:rsidRDefault="00DF5837" w:rsidP="00DF5837">
      <w:pPr>
        <w:pStyle w:val="NormalWeb"/>
        <w:spacing w:after="384" w:afterAutospacing="0" w:line="259" w:lineRule="auto"/>
        <w:contextualSpacing/>
        <w:rPr>
          <w:rFonts w:ascii="Verdana" w:hAnsi="Verdana" w:cs="Arial"/>
          <w:b/>
          <w:bCs/>
          <w:lang w:val="en-US"/>
        </w:rPr>
      </w:pPr>
      <w:r w:rsidRPr="00CC5BD3">
        <w:rPr>
          <w:rFonts w:ascii="Verdana" w:hAnsi="Verdana" w:cs="Arial"/>
          <w:b/>
          <w:bCs/>
          <w:lang w:val="en-US"/>
        </w:rPr>
        <w:t>‘Ad hoc’ instruments</w:t>
      </w:r>
    </w:p>
    <w:p w14:paraId="5A509BE9" w14:textId="77777777" w:rsidR="00DF5837" w:rsidRDefault="00DF5837" w:rsidP="00DF5837">
      <w:pPr>
        <w:pStyle w:val="NormalWeb"/>
        <w:spacing w:after="384" w:afterAutospacing="0" w:line="259" w:lineRule="auto"/>
        <w:contextualSpacing/>
        <w:rPr>
          <w:rFonts w:ascii="Verdana" w:hAnsi="Verdana" w:cs="Arial"/>
          <w:b/>
          <w:bCs/>
          <w:lang w:val="en-US"/>
        </w:rPr>
      </w:pPr>
    </w:p>
    <w:p w14:paraId="617A270A"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CC5BD3">
        <w:rPr>
          <w:rFonts w:ascii="Verdana" w:hAnsi="Verdana" w:cs="Arial"/>
          <w:lang w:val="en-GB"/>
        </w:rPr>
        <w:t xml:space="preserve">Regular </w:t>
      </w:r>
      <w:r w:rsidRPr="00CC5BD3">
        <w:rPr>
          <w:rFonts w:ascii="Verdana" w:hAnsi="Verdana" w:cs="Arial"/>
          <w:b/>
          <w:bCs/>
          <w:lang w:val="en-GB"/>
        </w:rPr>
        <w:t>communication with ‘Brussels’</w:t>
      </w:r>
      <w:r>
        <w:rPr>
          <w:rFonts w:ascii="Verdana" w:hAnsi="Verdana" w:cs="Arial"/>
          <w:b/>
          <w:bCs/>
          <w:lang w:val="en-GB"/>
        </w:rPr>
        <w:t xml:space="preserve"> </w:t>
      </w:r>
      <w:r w:rsidRPr="005033BB">
        <w:rPr>
          <w:rFonts w:ascii="Verdana" w:hAnsi="Verdana" w:cs="Arial"/>
          <w:lang w:val="en-GB"/>
        </w:rPr>
        <w:t>helps to build</w:t>
      </w:r>
      <w:r w:rsidRPr="00CC5BD3">
        <w:rPr>
          <w:rFonts w:ascii="Verdana" w:hAnsi="Verdana" w:cs="Arial"/>
          <w:lang w:val="en-GB"/>
        </w:rPr>
        <w:t xml:space="preserve"> sustainable relationships with EU representatives and convey messages, concerns, submit written inputs directly.</w:t>
      </w:r>
    </w:p>
    <w:p w14:paraId="26388BF7"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Pr>
          <w:rFonts w:ascii="Verdana" w:hAnsi="Verdana" w:cs="Arial"/>
          <w:lang w:val="en-GB"/>
        </w:rPr>
        <w:t xml:space="preserve">By </w:t>
      </w:r>
      <w:r>
        <w:rPr>
          <w:rFonts w:ascii="Verdana" w:hAnsi="Verdana" w:cs="Arial"/>
          <w:b/>
          <w:bCs/>
          <w:lang w:val="en-GB"/>
        </w:rPr>
        <w:t>e</w:t>
      </w:r>
      <w:r w:rsidRPr="005033BB">
        <w:rPr>
          <w:rFonts w:ascii="Verdana" w:hAnsi="Verdana" w:cs="Arial"/>
          <w:b/>
          <w:bCs/>
          <w:lang w:val="en-GB"/>
        </w:rPr>
        <w:t>ngaging with EU Delegations</w:t>
      </w:r>
      <w:r>
        <w:rPr>
          <w:rFonts w:ascii="Verdana" w:hAnsi="Verdana" w:cs="Arial"/>
          <w:b/>
          <w:bCs/>
          <w:lang w:val="en-GB"/>
        </w:rPr>
        <w:t xml:space="preserve"> </w:t>
      </w:r>
      <w:r w:rsidRPr="005033BB">
        <w:rPr>
          <w:rFonts w:ascii="Verdana" w:hAnsi="Verdana" w:cs="Arial"/>
          <w:lang w:val="en-GB"/>
        </w:rPr>
        <w:t>OPDs</w:t>
      </w:r>
      <w:r w:rsidRPr="005033BB">
        <w:rPr>
          <w:rFonts w:ascii="Verdana" w:hAnsi="Verdana" w:cs="Arial"/>
          <w:lang w:val="en-US"/>
        </w:rPr>
        <w:t xml:space="preserve"> influence the EU’s ‘disability rights agenda’ at the national level, get financial support for implementing initiatives.</w:t>
      </w:r>
    </w:p>
    <w:p w14:paraId="625E5AB2"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5033BB">
        <w:rPr>
          <w:rFonts w:ascii="Verdana" w:hAnsi="Verdana" w:cs="Arial"/>
          <w:b/>
          <w:bCs/>
          <w:lang w:val="en-GB"/>
        </w:rPr>
        <w:t>Consultative status at the European Economic and Social Committee (EESC)</w:t>
      </w:r>
      <w:r w:rsidRPr="005033BB">
        <w:rPr>
          <w:rFonts w:ascii="Verdana" w:hAnsi="Verdana" w:cs="Arial"/>
          <w:lang w:val="en-US"/>
        </w:rPr>
        <w:t xml:space="preserve"> </w:t>
      </w:r>
      <w:r>
        <w:rPr>
          <w:rFonts w:ascii="Verdana" w:hAnsi="Verdana" w:cs="Arial"/>
          <w:lang w:val="en-US"/>
        </w:rPr>
        <w:t>helps to s</w:t>
      </w:r>
      <w:r w:rsidRPr="005033BB">
        <w:rPr>
          <w:rFonts w:ascii="Verdana" w:hAnsi="Verdana" w:cs="Arial"/>
          <w:lang w:val="en-US"/>
        </w:rPr>
        <w:t>hare local expertise</w:t>
      </w:r>
      <w:r>
        <w:rPr>
          <w:rFonts w:ascii="Verdana" w:hAnsi="Verdana" w:cs="Arial"/>
          <w:lang w:val="en-US"/>
        </w:rPr>
        <w:t xml:space="preserve">, </w:t>
      </w:r>
      <w:r w:rsidRPr="005033BB">
        <w:rPr>
          <w:rFonts w:ascii="Verdana" w:hAnsi="Verdana" w:cs="Arial"/>
          <w:lang w:val="en-US"/>
        </w:rPr>
        <w:t>knowledge</w:t>
      </w:r>
      <w:r>
        <w:rPr>
          <w:rFonts w:ascii="Verdana" w:hAnsi="Verdana" w:cs="Arial"/>
          <w:lang w:val="en-US"/>
        </w:rPr>
        <w:t xml:space="preserve"> and information on current situation in a country</w:t>
      </w:r>
      <w:r w:rsidRPr="005033BB">
        <w:rPr>
          <w:rFonts w:ascii="Verdana" w:hAnsi="Verdana" w:cs="Arial"/>
          <w:lang w:val="en-US"/>
        </w:rPr>
        <w:t xml:space="preserve"> with the EU.</w:t>
      </w:r>
    </w:p>
    <w:p w14:paraId="58CA41F1"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5033BB">
        <w:rPr>
          <w:rFonts w:ascii="Verdana" w:hAnsi="Verdana" w:cs="Arial"/>
          <w:b/>
          <w:bCs/>
          <w:lang w:val="en-GB"/>
        </w:rPr>
        <w:t>Cooperation with other OPDs</w:t>
      </w:r>
      <w:r>
        <w:rPr>
          <w:rFonts w:ascii="Verdana" w:hAnsi="Verdana" w:cs="Arial"/>
          <w:b/>
          <w:bCs/>
          <w:lang w:val="en-GB"/>
        </w:rPr>
        <w:t xml:space="preserve"> </w:t>
      </w:r>
      <w:r>
        <w:rPr>
          <w:rFonts w:ascii="Verdana" w:hAnsi="Verdana" w:cs="Arial"/>
          <w:lang w:val="en-GB"/>
        </w:rPr>
        <w:t>f</w:t>
      </w:r>
      <w:r w:rsidRPr="005033BB">
        <w:rPr>
          <w:rFonts w:ascii="Verdana" w:hAnsi="Verdana" w:cs="Arial"/>
          <w:lang w:val="en-GB"/>
        </w:rPr>
        <w:t>acilitate</w:t>
      </w:r>
      <w:r>
        <w:rPr>
          <w:rFonts w:ascii="Verdana" w:hAnsi="Verdana" w:cs="Arial"/>
          <w:lang w:val="en-GB"/>
        </w:rPr>
        <w:t>s</w:t>
      </w:r>
      <w:r w:rsidRPr="005033BB">
        <w:rPr>
          <w:rFonts w:ascii="Verdana" w:hAnsi="Verdana" w:cs="Arial"/>
          <w:lang w:val="en-GB"/>
        </w:rPr>
        <w:t xml:space="preserve"> knowledge sharing.</w:t>
      </w:r>
    </w:p>
    <w:p w14:paraId="6250AE3D" w14:textId="77777777" w:rsidR="00DF5837" w:rsidRDefault="00DF5837" w:rsidP="00DF5837">
      <w:pPr>
        <w:pStyle w:val="NormalWeb"/>
        <w:numPr>
          <w:ilvl w:val="0"/>
          <w:numId w:val="4"/>
        </w:numPr>
        <w:spacing w:after="384" w:afterAutospacing="0" w:line="259" w:lineRule="auto"/>
        <w:contextualSpacing/>
        <w:rPr>
          <w:rFonts w:ascii="Verdana" w:hAnsi="Verdana" w:cs="Arial"/>
          <w:lang w:val="en-GB"/>
        </w:rPr>
      </w:pPr>
      <w:r w:rsidRPr="00780495">
        <w:rPr>
          <w:rFonts w:ascii="Verdana" w:hAnsi="Verdana" w:cs="Arial"/>
          <w:b/>
          <w:bCs/>
          <w:lang w:val="en-GB"/>
        </w:rPr>
        <w:t>Networking with regional and global coalitions</w:t>
      </w:r>
      <w:r>
        <w:rPr>
          <w:rFonts w:ascii="Verdana" w:hAnsi="Verdana" w:cs="Arial"/>
          <w:b/>
          <w:bCs/>
          <w:lang w:val="en-GB"/>
        </w:rPr>
        <w:t xml:space="preserve"> </w:t>
      </w:r>
      <w:r w:rsidRPr="00893921">
        <w:rPr>
          <w:rFonts w:ascii="Verdana" w:hAnsi="Verdana" w:cs="Arial"/>
          <w:lang w:val="en-GB"/>
        </w:rPr>
        <w:t>allows to</w:t>
      </w:r>
      <w:r>
        <w:rPr>
          <w:rFonts w:ascii="Verdana" w:hAnsi="Verdana" w:cs="Arial"/>
          <w:b/>
          <w:bCs/>
          <w:lang w:val="en-GB"/>
        </w:rPr>
        <w:t xml:space="preserve"> </w:t>
      </w:r>
      <w:r>
        <w:rPr>
          <w:rFonts w:ascii="Verdana" w:hAnsi="Verdana" w:cs="Arial"/>
          <w:lang w:val="en-GB"/>
        </w:rPr>
        <w:t>s</w:t>
      </w:r>
      <w:r w:rsidRPr="00780495">
        <w:rPr>
          <w:rFonts w:ascii="Verdana" w:hAnsi="Verdana" w:cs="Arial"/>
          <w:lang w:val="en-GB"/>
        </w:rPr>
        <w:t>trengthen advocacy</w:t>
      </w:r>
      <w:r>
        <w:rPr>
          <w:rFonts w:ascii="Verdana" w:hAnsi="Verdana" w:cs="Arial"/>
          <w:lang w:val="en-GB"/>
        </w:rPr>
        <w:t xml:space="preserve"> efforts</w:t>
      </w:r>
      <w:r w:rsidRPr="00780495">
        <w:rPr>
          <w:rFonts w:ascii="Verdana" w:hAnsi="Verdana" w:cs="Arial"/>
          <w:lang w:val="en-GB"/>
        </w:rPr>
        <w:t xml:space="preserve"> </w:t>
      </w:r>
      <w:r>
        <w:rPr>
          <w:rFonts w:ascii="Verdana" w:hAnsi="Verdana" w:cs="Arial"/>
          <w:lang w:val="en-GB"/>
        </w:rPr>
        <w:t>by</w:t>
      </w:r>
      <w:r w:rsidRPr="00780495">
        <w:rPr>
          <w:rFonts w:ascii="Verdana" w:hAnsi="Verdana" w:cs="Arial"/>
          <w:lang w:val="en-GB"/>
        </w:rPr>
        <w:t xml:space="preserve"> unifying voice</w:t>
      </w:r>
      <w:r>
        <w:rPr>
          <w:rFonts w:ascii="Verdana" w:hAnsi="Verdana" w:cs="Arial"/>
          <w:lang w:val="en-GB"/>
        </w:rPr>
        <w:t>s</w:t>
      </w:r>
      <w:r w:rsidRPr="00780495">
        <w:rPr>
          <w:rFonts w:ascii="Verdana" w:hAnsi="Verdana" w:cs="Arial"/>
          <w:lang w:val="en-GB"/>
        </w:rPr>
        <w:t xml:space="preserve"> with</w:t>
      </w:r>
      <w:r>
        <w:rPr>
          <w:rFonts w:ascii="Verdana" w:hAnsi="Verdana" w:cs="Arial"/>
          <w:lang w:val="en-GB"/>
        </w:rPr>
        <w:t>in the</w:t>
      </w:r>
      <w:r w:rsidRPr="00780495">
        <w:rPr>
          <w:rFonts w:ascii="Verdana" w:hAnsi="Verdana" w:cs="Arial"/>
          <w:lang w:val="en-GB"/>
        </w:rPr>
        <w:t xml:space="preserve"> coalitions.</w:t>
      </w:r>
    </w:p>
    <w:p w14:paraId="4C394562" w14:textId="77777777" w:rsidR="00DF5837" w:rsidRPr="00780495" w:rsidRDefault="00DF5837" w:rsidP="00DF5837">
      <w:pPr>
        <w:pStyle w:val="NormalWeb"/>
        <w:numPr>
          <w:ilvl w:val="0"/>
          <w:numId w:val="4"/>
        </w:numPr>
        <w:spacing w:after="384" w:afterAutospacing="0" w:line="259" w:lineRule="auto"/>
        <w:contextualSpacing/>
        <w:rPr>
          <w:rFonts w:ascii="Verdana" w:hAnsi="Verdana" w:cs="Arial"/>
          <w:lang w:val="en-GB"/>
        </w:rPr>
      </w:pPr>
      <w:r w:rsidRPr="00780495">
        <w:rPr>
          <w:rFonts w:ascii="Verdana" w:hAnsi="Verdana" w:cs="Arial"/>
          <w:lang w:val="en-GB"/>
        </w:rPr>
        <w:t xml:space="preserve">Via </w:t>
      </w:r>
      <w:r>
        <w:rPr>
          <w:rFonts w:ascii="Verdana" w:hAnsi="Verdana" w:cs="Arial"/>
          <w:b/>
          <w:bCs/>
          <w:lang w:val="en-GB"/>
        </w:rPr>
        <w:t>e</w:t>
      </w:r>
      <w:r w:rsidRPr="00780495">
        <w:rPr>
          <w:rFonts w:ascii="Verdana" w:hAnsi="Verdana" w:cs="Arial"/>
          <w:b/>
          <w:bCs/>
          <w:lang w:val="en-GB"/>
        </w:rPr>
        <w:t>ngagement with international organisations</w:t>
      </w:r>
      <w:r>
        <w:rPr>
          <w:rFonts w:ascii="Verdana" w:hAnsi="Verdana" w:cs="Arial"/>
          <w:b/>
          <w:bCs/>
          <w:lang w:val="en-US"/>
        </w:rPr>
        <w:t xml:space="preserve"> OPDs </w:t>
      </w:r>
      <w:r w:rsidRPr="00780495">
        <w:rPr>
          <w:rFonts w:ascii="Verdana" w:hAnsi="Verdana" w:cs="Arial"/>
          <w:lang w:val="en-US"/>
        </w:rPr>
        <w:t xml:space="preserve">can </w:t>
      </w:r>
      <w:r>
        <w:rPr>
          <w:rFonts w:ascii="Verdana" w:hAnsi="Verdana" w:cs="Arial"/>
          <w:lang w:val="en-GB"/>
        </w:rPr>
        <w:t>a</w:t>
      </w:r>
      <w:r w:rsidRPr="00780495">
        <w:rPr>
          <w:rFonts w:ascii="Verdana" w:hAnsi="Verdana" w:cs="Arial"/>
          <w:lang w:val="en-GB"/>
        </w:rPr>
        <w:t>dvance disability rights at the national level in areas that directly or indirectly contribute to facilitating the accession process.</w:t>
      </w:r>
    </w:p>
    <w:p w14:paraId="5D13EEA4" w14:textId="77777777" w:rsidR="00DF5837" w:rsidRPr="002216D7" w:rsidRDefault="00DF5837" w:rsidP="00DF5837">
      <w:pPr>
        <w:pStyle w:val="NormalWeb"/>
        <w:spacing w:after="384" w:afterAutospacing="0" w:line="259" w:lineRule="auto"/>
        <w:contextualSpacing/>
        <w:rPr>
          <w:rFonts w:ascii="Verdana" w:hAnsi="Verdana" w:cs="Arial"/>
          <w:lang w:val="en-US"/>
        </w:rPr>
      </w:pPr>
    </w:p>
    <w:p w14:paraId="60B6F04E" w14:textId="77777777" w:rsidR="00DF5837" w:rsidRPr="00CC5BD3" w:rsidRDefault="00DF5837" w:rsidP="002D3717">
      <w:pPr>
        <w:pStyle w:val="Heading1"/>
        <w:rPr>
          <w:lang w:val="en-GB"/>
        </w:rPr>
      </w:pPr>
      <w:bookmarkStart w:id="10" w:name="_Toc178620135"/>
      <w:bookmarkStart w:id="11" w:name="_Toc178622018"/>
      <w:r w:rsidRPr="00CC5BD3">
        <w:rPr>
          <w:lang w:val="en-GB"/>
        </w:rPr>
        <w:t>What should you know before deciding to engage in the accession process?</w:t>
      </w:r>
      <w:bookmarkEnd w:id="10"/>
      <w:bookmarkEnd w:id="11"/>
      <w:r w:rsidRPr="00CC5BD3">
        <w:rPr>
          <w:lang w:val="en-GB"/>
        </w:rPr>
        <w:t xml:space="preserve"> </w:t>
      </w:r>
    </w:p>
    <w:p w14:paraId="652DBB4C" w14:textId="77777777" w:rsidR="00DF5837" w:rsidRPr="006F5ACB" w:rsidRDefault="00DF5837" w:rsidP="00DF5837">
      <w:pPr>
        <w:pStyle w:val="NormalWeb"/>
        <w:spacing w:after="384" w:afterAutospacing="0" w:line="259" w:lineRule="auto"/>
        <w:contextualSpacing/>
        <w:rPr>
          <w:rFonts w:ascii="Verdana" w:hAnsi="Verdana" w:cs="Arial"/>
          <w:lang w:val="en-GB"/>
        </w:rPr>
      </w:pPr>
      <w:r w:rsidRPr="00CC5BD3">
        <w:rPr>
          <w:rFonts w:ascii="Verdana" w:hAnsi="Verdana" w:cs="Arial"/>
          <w:lang w:val="en-US"/>
        </w:rPr>
        <w:t xml:space="preserve">The accession process requires a long-term commitment. </w:t>
      </w:r>
      <w:r w:rsidRPr="00CC5BD3">
        <w:rPr>
          <w:rFonts w:ascii="Verdana" w:hAnsi="Verdana" w:cs="Arial"/>
          <w:lang w:val="en-GB"/>
        </w:rPr>
        <w:t xml:space="preserve">It involves building connections, networking, increasing staff knowledge, expanding expertise, developing advocacy strategies — tasks typically established organisations can handle. </w:t>
      </w:r>
      <w:r w:rsidRPr="00CC5BD3">
        <w:rPr>
          <w:rFonts w:ascii="Verdana" w:hAnsi="Verdana" w:cs="Arial"/>
          <w:lang w:val="en-US"/>
        </w:rPr>
        <w:t xml:space="preserve">However, it does not mean that grassroot level </w:t>
      </w:r>
      <w:r w:rsidRPr="00CC5BD3">
        <w:rPr>
          <w:rFonts w:ascii="Verdana" w:hAnsi="Verdana" w:cs="Arial"/>
          <w:lang w:val="en-US"/>
        </w:rPr>
        <w:lastRenderedPageBreak/>
        <w:t xml:space="preserve">OPDs or newly established organisations </w:t>
      </w:r>
      <w:proofErr w:type="gramStart"/>
      <w:r w:rsidRPr="00CC5BD3">
        <w:rPr>
          <w:rFonts w:ascii="Verdana" w:hAnsi="Verdana" w:cs="Arial"/>
          <w:lang w:val="en-US"/>
        </w:rPr>
        <w:t>can not</w:t>
      </w:r>
      <w:proofErr w:type="gramEnd"/>
      <w:r w:rsidRPr="00CC5BD3">
        <w:rPr>
          <w:rFonts w:ascii="Verdana" w:hAnsi="Verdana" w:cs="Arial"/>
          <w:lang w:val="en-US"/>
        </w:rPr>
        <w:t xml:space="preserve"> engage in the accession process. While the level of engagement or commitment may vary, </w:t>
      </w:r>
      <w:r w:rsidRPr="00CC5BD3">
        <w:rPr>
          <w:rFonts w:ascii="Verdana" w:hAnsi="Verdana" w:cs="Arial"/>
          <w:b/>
          <w:bCs/>
          <w:lang w:val="en-US"/>
        </w:rPr>
        <w:t>consistency is key</w:t>
      </w:r>
      <w:r w:rsidRPr="00CC5BD3">
        <w:rPr>
          <w:rFonts w:ascii="Verdana" w:hAnsi="Verdana" w:cs="Arial"/>
          <w:lang w:val="en-US"/>
        </w:rPr>
        <w:t xml:space="preserve">. For instance, if an OPD decides to focus </w:t>
      </w:r>
      <w:r w:rsidRPr="00CC5BD3">
        <w:rPr>
          <w:rFonts w:ascii="Verdana" w:hAnsi="Verdana" w:cs="Arial"/>
          <w:lang w:val="en-GB"/>
        </w:rPr>
        <w:t>on contributing to the civil society reports for the European Commission under the 'Enlargement Package', it is beneficial to engage annually in this process. </w:t>
      </w:r>
      <w:r w:rsidRPr="00CC5BD3">
        <w:rPr>
          <w:rFonts w:ascii="Verdana" w:hAnsi="Verdana" w:cs="Arial"/>
          <w:lang w:val="en-US"/>
        </w:rPr>
        <w:t xml:space="preserve"> </w:t>
      </w:r>
      <w:r w:rsidRPr="00CC5BD3">
        <w:rPr>
          <w:rFonts w:ascii="Verdana" w:hAnsi="Verdana" w:cs="Arial"/>
          <w:lang w:val="en-GB"/>
        </w:rPr>
        <w:t xml:space="preserve">This can help increase your visibility with both the European Commission and the national government, making you a valuable contact for this specific area. </w:t>
      </w:r>
      <w:r w:rsidRPr="00CC5BD3">
        <w:rPr>
          <w:rFonts w:ascii="Verdana" w:hAnsi="Verdana" w:cs="Arial"/>
          <w:lang w:val="en-US"/>
        </w:rPr>
        <w:t xml:space="preserve">Assessing your own capacities (time, human, and financial resources) and areas of advocacy interest can </w:t>
      </w:r>
      <w:r w:rsidRPr="006F5ACB">
        <w:rPr>
          <w:rFonts w:ascii="Verdana" w:hAnsi="Verdana" w:cs="Arial"/>
          <w:lang w:val="en-GB"/>
        </w:rPr>
        <w:t xml:space="preserve">help you decide where you can contribute most effectively. </w:t>
      </w:r>
    </w:p>
    <w:p w14:paraId="26774015" w14:textId="77777777" w:rsidR="00DF5837" w:rsidRPr="00CC5BD3" w:rsidRDefault="00DF5837" w:rsidP="00DF5837">
      <w:pPr>
        <w:pStyle w:val="NormalWeb"/>
        <w:spacing w:after="384" w:afterAutospacing="0" w:line="259" w:lineRule="auto"/>
        <w:contextualSpacing/>
        <w:rPr>
          <w:rFonts w:ascii="Verdana" w:hAnsi="Verdana" w:cs="Arial"/>
          <w:lang w:val="en-GB"/>
        </w:rPr>
      </w:pPr>
    </w:p>
    <w:p w14:paraId="47E22791" w14:textId="77777777" w:rsidR="00DF5837"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GB"/>
        </w:rPr>
        <w:t xml:space="preserve">It’s also important to </w:t>
      </w:r>
      <w:r w:rsidRPr="00CC5BD3">
        <w:rPr>
          <w:rFonts w:ascii="Verdana" w:hAnsi="Verdana" w:cs="Arial"/>
          <w:b/>
          <w:bCs/>
          <w:lang w:val="en-GB"/>
        </w:rPr>
        <w:t>avoid wasting resources or causing harm</w:t>
      </w:r>
      <w:r w:rsidRPr="00CC5BD3">
        <w:rPr>
          <w:rFonts w:ascii="Verdana" w:hAnsi="Verdana" w:cs="Arial"/>
          <w:lang w:val="en-US"/>
        </w:rPr>
        <w:t xml:space="preserve">. For instance, if an </w:t>
      </w:r>
      <w:r w:rsidRPr="00CC5BD3">
        <w:rPr>
          <w:rFonts w:ascii="Verdana" w:hAnsi="Verdana" w:cs="Arial"/>
          <w:lang w:val="en-GB"/>
        </w:rPr>
        <w:t>OPD joins a negotiating working group but doesn't attend meetings or lacks the expertise to contribute meaningfully</w:t>
      </w:r>
      <w:r w:rsidRPr="00CC5BD3">
        <w:rPr>
          <w:rFonts w:ascii="Verdana" w:hAnsi="Verdana" w:cs="Arial"/>
          <w:lang w:val="en-US"/>
        </w:rPr>
        <w:t xml:space="preserve"> (draft, analyse laws, propose amendments, etc.), </w:t>
      </w:r>
      <w:r w:rsidRPr="00CC5BD3">
        <w:rPr>
          <w:rFonts w:ascii="Verdana" w:hAnsi="Verdana" w:cs="Arial"/>
          <w:lang w:val="en-GB"/>
        </w:rPr>
        <w:t>it might just be taking up space</w:t>
      </w:r>
      <w:r w:rsidRPr="00CC5BD3">
        <w:rPr>
          <w:rFonts w:ascii="Verdana" w:hAnsi="Verdana" w:cs="Arial"/>
          <w:lang w:val="en-US"/>
        </w:rPr>
        <w:t xml:space="preserve">. Since negotiating working groups are composed primarily of the state authorities’ representatives, there are often limited places for </w:t>
      </w:r>
      <w:proofErr w:type="gramStart"/>
      <w:r w:rsidRPr="00CC5BD3">
        <w:rPr>
          <w:rFonts w:ascii="Verdana" w:hAnsi="Verdana" w:cs="Arial"/>
          <w:lang w:val="en-US"/>
        </w:rPr>
        <w:t>the civil</w:t>
      </w:r>
      <w:proofErr w:type="gramEnd"/>
      <w:r w:rsidRPr="00CC5BD3">
        <w:rPr>
          <w:rFonts w:ascii="Verdana" w:hAnsi="Verdana" w:cs="Arial"/>
          <w:lang w:val="en-US"/>
        </w:rPr>
        <w:t xml:space="preserve"> society. Therefore, be mindful and realistic about your capacities. </w:t>
      </w:r>
    </w:p>
    <w:p w14:paraId="4A14B985" w14:textId="77777777" w:rsidR="00DF5837" w:rsidRPr="006F5ACB" w:rsidRDefault="00DF5837" w:rsidP="00DF5837">
      <w:pPr>
        <w:pStyle w:val="NormalWeb"/>
        <w:spacing w:after="384" w:afterAutospacing="0" w:line="259" w:lineRule="auto"/>
        <w:contextualSpacing/>
        <w:rPr>
          <w:rFonts w:ascii="Verdana" w:hAnsi="Verdana" w:cs="Arial"/>
          <w:lang w:val="en-GB"/>
        </w:rPr>
      </w:pPr>
    </w:p>
    <w:p w14:paraId="181E06F9" w14:textId="77777777" w:rsidR="00DF5837" w:rsidRPr="00CC5BD3" w:rsidRDefault="00DF5837" w:rsidP="00DF5837">
      <w:pPr>
        <w:pStyle w:val="NormalWeb"/>
        <w:spacing w:after="384" w:afterAutospacing="0" w:line="259" w:lineRule="auto"/>
        <w:contextualSpacing/>
        <w:rPr>
          <w:rFonts w:ascii="Verdana" w:hAnsi="Verdana" w:cs="Arial"/>
          <w:lang w:val="en-US"/>
        </w:rPr>
      </w:pPr>
      <w:r w:rsidRPr="00CC5BD3">
        <w:rPr>
          <w:rFonts w:ascii="Verdana" w:hAnsi="Verdana" w:cs="Arial"/>
          <w:lang w:val="en-GB"/>
        </w:rPr>
        <w:t xml:space="preserve">Finally, it’s helpful for the disability community in a country to </w:t>
      </w:r>
      <w:r w:rsidRPr="00CC5BD3">
        <w:rPr>
          <w:rFonts w:ascii="Verdana" w:hAnsi="Verdana" w:cs="Arial"/>
          <w:b/>
          <w:bCs/>
          <w:lang w:val="en-GB"/>
        </w:rPr>
        <w:t>present a unified voice</w:t>
      </w:r>
      <w:r w:rsidRPr="00CC5BD3">
        <w:rPr>
          <w:rFonts w:ascii="Verdana" w:hAnsi="Verdana" w:cs="Arial"/>
          <w:lang w:val="en-GB"/>
        </w:rPr>
        <w:t xml:space="preserve"> to the EU and own government. By dividing areas of expertise and engagement, you can complement each other’s work and avoid overlap or conflicting positions inside the community</w:t>
      </w:r>
      <w:r w:rsidRPr="00CC5BD3">
        <w:rPr>
          <w:rFonts w:ascii="Verdana" w:hAnsi="Verdana" w:cs="Arial"/>
          <w:lang w:val="en-US"/>
        </w:rPr>
        <w:t xml:space="preserve">. </w:t>
      </w:r>
    </w:p>
    <w:p w14:paraId="52FE4843" w14:textId="77777777" w:rsidR="00DF5837" w:rsidRPr="00CC5BD3" w:rsidRDefault="00DF5837" w:rsidP="00DF5837">
      <w:pPr>
        <w:pStyle w:val="NormalWeb"/>
        <w:spacing w:after="384" w:afterAutospacing="0" w:line="259" w:lineRule="auto"/>
        <w:contextualSpacing/>
        <w:rPr>
          <w:rFonts w:ascii="Verdana" w:hAnsi="Verdana" w:cs="Arial"/>
          <w:lang w:val="en-US"/>
        </w:rPr>
      </w:pPr>
    </w:p>
    <w:p w14:paraId="3ADC155E" w14:textId="77777777" w:rsidR="00DF5837" w:rsidRDefault="00DF5837" w:rsidP="009277BC">
      <w:pPr>
        <w:widowControl w:val="0"/>
        <w:spacing w:before="120"/>
        <w:jc w:val="center"/>
      </w:pPr>
    </w:p>
    <w:sectPr w:rsidR="00DF5837" w:rsidSect="006D0B23">
      <w:footerReference w:type="default" r:id="rId1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34174" w14:textId="77777777" w:rsidR="00B0583E" w:rsidRDefault="00B0583E" w:rsidP="00E47FF5">
      <w:pPr>
        <w:spacing w:after="0" w:line="240" w:lineRule="auto"/>
      </w:pPr>
      <w:r>
        <w:separator/>
      </w:r>
    </w:p>
  </w:endnote>
  <w:endnote w:type="continuationSeparator" w:id="0">
    <w:p w14:paraId="0E67E1A1" w14:textId="77777777" w:rsidR="00B0583E" w:rsidRDefault="00B0583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97284" w14:textId="77777777" w:rsidR="00B0583E" w:rsidRDefault="00B0583E" w:rsidP="00E47FF5">
      <w:pPr>
        <w:spacing w:after="0" w:line="240" w:lineRule="auto"/>
      </w:pPr>
      <w:r>
        <w:separator/>
      </w:r>
    </w:p>
  </w:footnote>
  <w:footnote w:type="continuationSeparator" w:id="0">
    <w:p w14:paraId="0F9B0DF0" w14:textId="77777777" w:rsidR="00B0583E" w:rsidRDefault="00B0583E" w:rsidP="00E47FF5">
      <w:pPr>
        <w:spacing w:after="0" w:line="240" w:lineRule="auto"/>
      </w:pPr>
      <w:r>
        <w:continuationSeparator/>
      </w:r>
    </w:p>
  </w:footnote>
  <w:footnote w:id="1">
    <w:p w14:paraId="002708F6" w14:textId="77777777" w:rsidR="00DF5837" w:rsidRPr="00F30F45" w:rsidRDefault="00DF5837" w:rsidP="00DF5837">
      <w:pPr>
        <w:pStyle w:val="FootnoteText"/>
        <w:spacing w:after="384"/>
        <w:contextualSpacing/>
      </w:pPr>
      <w:r>
        <w:rPr>
          <w:rStyle w:val="FootnoteReference"/>
        </w:rPr>
        <w:footnoteRef/>
      </w:r>
      <w:r>
        <w:t xml:space="preserve"> </w:t>
      </w:r>
      <w:r w:rsidRPr="009B350E">
        <w:rPr>
          <w:rFonts w:ascii="Verdana" w:hAnsi="Verdana" w:cs="Arial"/>
        </w:rPr>
        <w:t xml:space="preserve">European Commission, </w:t>
      </w:r>
      <w:hyperlink r:id="rId1" w:history="1">
        <w:r w:rsidRPr="009B350E">
          <w:rPr>
            <w:rStyle w:val="Hyperlink"/>
            <w:rFonts w:ascii="Verdana" w:hAnsi="Verdana" w:cs="Arial"/>
          </w:rPr>
          <w:t>‘Factsheet: The EU Accession Process Step-by-Step’</w:t>
        </w:r>
      </w:hyperlink>
      <w:r w:rsidRPr="009B350E">
        <w:rPr>
          <w:rStyle w:val="Hyperlink"/>
          <w:rFonts w:ascii="Verdana" w:hAnsi="Verdana" w:cs="Arial"/>
        </w:rPr>
        <w:t xml:space="preserve">, </w:t>
      </w:r>
      <w:r w:rsidRPr="009B350E">
        <w:rPr>
          <w:rStyle w:val="Hyperlink"/>
          <w:rFonts w:ascii="Verdana" w:hAnsi="Verdana" w:cs="Arial"/>
          <w:color w:val="000000" w:themeColor="text1"/>
        </w:rPr>
        <w:t>2023.</w:t>
      </w:r>
    </w:p>
  </w:footnote>
  <w:footnote w:id="2">
    <w:p w14:paraId="748F77F1" w14:textId="77777777" w:rsidR="00DF5837" w:rsidRPr="006A462A" w:rsidRDefault="00DF5837" w:rsidP="00DF5837">
      <w:pPr>
        <w:pStyle w:val="FootnoteText"/>
        <w:spacing w:afterLines="0"/>
        <w:contextualSpacing/>
        <w:rPr>
          <w:rFonts w:ascii="Verdana" w:hAnsi="Verdana"/>
          <w:lang w:val="en-US"/>
        </w:rPr>
      </w:pPr>
      <w:r w:rsidRPr="006A462A">
        <w:rPr>
          <w:rStyle w:val="FootnoteReference"/>
          <w:rFonts w:ascii="Verdana" w:hAnsi="Verdana"/>
        </w:rPr>
        <w:footnoteRef/>
      </w:r>
      <w:r w:rsidRPr="006A462A">
        <w:rPr>
          <w:rFonts w:ascii="Verdana" w:hAnsi="Verdana"/>
        </w:rPr>
        <w:t xml:space="preserve"> </w:t>
      </w:r>
      <w:r w:rsidRPr="006A462A">
        <w:rPr>
          <w:rFonts w:ascii="Verdana" w:hAnsi="Verdana"/>
          <w:lang w:val="en-US"/>
        </w:rPr>
        <w:t xml:space="preserve">EU NeighbourhoodEast, </w:t>
      </w:r>
      <w:hyperlink r:id="rId2" w:history="1">
        <w:r w:rsidRPr="006A462A">
          <w:rPr>
            <w:rStyle w:val="Hyperlink"/>
            <w:rFonts w:ascii="Verdana" w:hAnsi="Verdana"/>
            <w:lang w:val="en-US"/>
          </w:rPr>
          <w:t>‘EU: Georgia’s EU accession process is stopped for now’</w:t>
        </w:r>
      </w:hyperlink>
      <w:r w:rsidRPr="006A462A">
        <w:rPr>
          <w:rFonts w:ascii="Verdana" w:hAnsi="Verdana"/>
          <w:lang w:val="en-US"/>
        </w:rPr>
        <w:t>, 9 July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A2B03"/>
    <w:multiLevelType w:val="hybridMultilevel"/>
    <w:tmpl w:val="0E86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133B"/>
    <w:multiLevelType w:val="multilevel"/>
    <w:tmpl w:val="E5545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A6E65"/>
    <w:multiLevelType w:val="hybridMultilevel"/>
    <w:tmpl w:val="D0B6851A"/>
    <w:lvl w:ilvl="0" w:tplc="73EA3E48">
      <w:numFmt w:val="bullet"/>
      <w:lvlText w:val="-"/>
      <w:lvlJc w:val="left"/>
      <w:pPr>
        <w:ind w:left="720" w:hanging="360"/>
      </w:pPr>
      <w:rPr>
        <w:rFonts w:ascii="PT Sans" w:eastAsia="Times New Roman" w:hAnsi="PT San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45317B"/>
    <w:multiLevelType w:val="hybridMultilevel"/>
    <w:tmpl w:val="DBE6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225297">
    <w:abstractNumId w:val="1"/>
  </w:num>
  <w:num w:numId="2" w16cid:durableId="1933077494">
    <w:abstractNumId w:val="2"/>
  </w:num>
  <w:num w:numId="3" w16cid:durableId="170074235">
    <w:abstractNumId w:val="3"/>
  </w:num>
  <w:num w:numId="4" w16cid:durableId="1478297997">
    <w:abstractNumId w:val="0"/>
  </w:num>
  <w:num w:numId="5" w16cid:durableId="1624262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19DD"/>
    <w:rsid w:val="00054D5A"/>
    <w:rsid w:val="0008516E"/>
    <w:rsid w:val="000D37E5"/>
    <w:rsid w:val="000F5ED8"/>
    <w:rsid w:val="001528B7"/>
    <w:rsid w:val="001630BB"/>
    <w:rsid w:val="00187E62"/>
    <w:rsid w:val="001B73FC"/>
    <w:rsid w:val="001E0F08"/>
    <w:rsid w:val="002216D7"/>
    <w:rsid w:val="00282B80"/>
    <w:rsid w:val="002D3717"/>
    <w:rsid w:val="00313333"/>
    <w:rsid w:val="00355289"/>
    <w:rsid w:val="00373651"/>
    <w:rsid w:val="003C78D1"/>
    <w:rsid w:val="003D1BF3"/>
    <w:rsid w:val="004136FE"/>
    <w:rsid w:val="004406E0"/>
    <w:rsid w:val="00512961"/>
    <w:rsid w:val="00541EBA"/>
    <w:rsid w:val="00573E19"/>
    <w:rsid w:val="005A7629"/>
    <w:rsid w:val="005B01F0"/>
    <w:rsid w:val="005C3E69"/>
    <w:rsid w:val="005D3C15"/>
    <w:rsid w:val="005D414D"/>
    <w:rsid w:val="00606390"/>
    <w:rsid w:val="00634038"/>
    <w:rsid w:val="0066798D"/>
    <w:rsid w:val="00687AFF"/>
    <w:rsid w:val="006A6BD9"/>
    <w:rsid w:val="006C1A26"/>
    <w:rsid w:val="006D0B23"/>
    <w:rsid w:val="006F5ACB"/>
    <w:rsid w:val="00734CD5"/>
    <w:rsid w:val="007C7CD3"/>
    <w:rsid w:val="007D5FEA"/>
    <w:rsid w:val="008054A7"/>
    <w:rsid w:val="008065A5"/>
    <w:rsid w:val="00810B28"/>
    <w:rsid w:val="008923D3"/>
    <w:rsid w:val="009277BC"/>
    <w:rsid w:val="00952B77"/>
    <w:rsid w:val="00962A5C"/>
    <w:rsid w:val="00973579"/>
    <w:rsid w:val="009B350E"/>
    <w:rsid w:val="009E796F"/>
    <w:rsid w:val="00A9576D"/>
    <w:rsid w:val="00AD55B8"/>
    <w:rsid w:val="00B0583E"/>
    <w:rsid w:val="00B30927"/>
    <w:rsid w:val="00B515CD"/>
    <w:rsid w:val="00B63D38"/>
    <w:rsid w:val="00B845DC"/>
    <w:rsid w:val="00BE2C7B"/>
    <w:rsid w:val="00CD5C83"/>
    <w:rsid w:val="00CE0150"/>
    <w:rsid w:val="00D11DAB"/>
    <w:rsid w:val="00D40587"/>
    <w:rsid w:val="00D455EB"/>
    <w:rsid w:val="00D6130D"/>
    <w:rsid w:val="00D71C17"/>
    <w:rsid w:val="00D925C4"/>
    <w:rsid w:val="00D967CE"/>
    <w:rsid w:val="00DC6F8C"/>
    <w:rsid w:val="00DD4B4D"/>
    <w:rsid w:val="00DD5F5A"/>
    <w:rsid w:val="00DF5837"/>
    <w:rsid w:val="00E41423"/>
    <w:rsid w:val="00E47FF5"/>
    <w:rsid w:val="00E62CBF"/>
    <w:rsid w:val="00EA0706"/>
    <w:rsid w:val="00EC688E"/>
    <w:rsid w:val="00F34A74"/>
    <w:rsid w:val="00F50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952B77"/>
    <w:pPr>
      <w:spacing w:before="240" w:after="120"/>
    </w:pPr>
    <w:rPr>
      <w:rFonts w:cstheme="minorHAnsi"/>
      <w:bCs/>
      <w:szCs w:val="20"/>
    </w:r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DF5837"/>
    <w:pPr>
      <w:spacing w:before="120" w:after="0"/>
      <w:ind w:left="240"/>
    </w:pPr>
    <w:rPr>
      <w:rFonts w:cstheme="minorHAnsi"/>
      <w:iCs/>
      <w:sz w:val="20"/>
      <w:szCs w:val="20"/>
    </w:r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unhideWhenUsed/>
    <w:rsid w:val="00DF5837"/>
    <w:pPr>
      <w:spacing w:afterLines="160" w:after="0" w:line="240" w:lineRule="auto"/>
    </w:pPr>
    <w:rPr>
      <w:rFonts w:asciiTheme="minorHAnsi" w:hAnsiTheme="minorHAnsi"/>
      <w:kern w:val="2"/>
      <w:sz w:val="20"/>
      <w:szCs w:val="20"/>
      <w:lang w:val="en-GB"/>
      <w14:ligatures w14:val="standardContextual"/>
    </w:rPr>
  </w:style>
  <w:style w:type="character" w:customStyle="1" w:styleId="FootnoteTextChar">
    <w:name w:val="Footnote Text Char"/>
    <w:basedOn w:val="DefaultParagraphFont"/>
    <w:link w:val="FootnoteText"/>
    <w:uiPriority w:val="99"/>
    <w:rsid w:val="00DF5837"/>
    <w:rPr>
      <w:kern w:val="2"/>
      <w:sz w:val="20"/>
      <w:szCs w:val="20"/>
      <w:lang w:val="en-GB"/>
      <w14:ligatures w14:val="standardContextual"/>
    </w:rPr>
  </w:style>
  <w:style w:type="character" w:styleId="FootnoteReference">
    <w:name w:val="footnote reference"/>
    <w:basedOn w:val="DefaultParagraphFont"/>
    <w:uiPriority w:val="99"/>
    <w:semiHidden/>
    <w:unhideWhenUsed/>
    <w:rsid w:val="00DF5837"/>
    <w:rPr>
      <w:vertAlign w:val="superscript"/>
    </w:rPr>
  </w:style>
  <w:style w:type="paragraph" w:styleId="NormalWeb">
    <w:name w:val="Normal (Web)"/>
    <w:basedOn w:val="Normal"/>
    <w:uiPriority w:val="99"/>
    <w:unhideWhenUsed/>
    <w:rsid w:val="00DF5837"/>
    <w:pPr>
      <w:spacing w:before="100" w:beforeAutospacing="1" w:afterLines="160" w:after="100" w:afterAutospacing="1" w:line="240" w:lineRule="auto"/>
    </w:pPr>
    <w:rPr>
      <w:rFonts w:ascii="Times New Roman" w:eastAsia="Times New Roman" w:hAnsi="Times New Roman" w:cs="Times New Roman"/>
      <w:szCs w:val="24"/>
      <w:lang w:val="it-IT" w:eastAsia="en-GB"/>
    </w:rPr>
  </w:style>
  <w:style w:type="paragraph" w:styleId="TOC3">
    <w:name w:val="toc 3"/>
    <w:basedOn w:val="Normal"/>
    <w:next w:val="Normal"/>
    <w:autoRedefine/>
    <w:uiPriority w:val="39"/>
    <w:unhideWhenUsed/>
    <w:rsid w:val="00DF5837"/>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F5837"/>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F5837"/>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F5837"/>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F5837"/>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F5837"/>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F5837"/>
    <w:pPr>
      <w:spacing w:after="0"/>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973579"/>
    <w:rPr>
      <w:sz w:val="16"/>
      <w:szCs w:val="16"/>
    </w:rPr>
  </w:style>
  <w:style w:type="paragraph" w:styleId="CommentText">
    <w:name w:val="annotation text"/>
    <w:basedOn w:val="Normal"/>
    <w:link w:val="CommentTextChar"/>
    <w:uiPriority w:val="99"/>
    <w:unhideWhenUsed/>
    <w:rsid w:val="00973579"/>
    <w:pPr>
      <w:spacing w:line="240" w:lineRule="auto"/>
    </w:pPr>
    <w:rPr>
      <w:sz w:val="20"/>
      <w:szCs w:val="20"/>
    </w:rPr>
  </w:style>
  <w:style w:type="character" w:customStyle="1" w:styleId="CommentTextChar">
    <w:name w:val="Comment Text Char"/>
    <w:basedOn w:val="DefaultParagraphFont"/>
    <w:link w:val="CommentText"/>
    <w:uiPriority w:val="99"/>
    <w:rsid w:val="0097357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73579"/>
    <w:rPr>
      <w:b/>
      <w:bCs/>
    </w:rPr>
  </w:style>
  <w:style w:type="character" w:customStyle="1" w:styleId="CommentSubjectChar">
    <w:name w:val="Comment Subject Char"/>
    <w:basedOn w:val="CommentTextChar"/>
    <w:link w:val="CommentSubject"/>
    <w:uiPriority w:val="99"/>
    <w:semiHidden/>
    <w:rsid w:val="00973579"/>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df-feph.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neighbourseast.eu/news/latest-news/eu-georgias-eu-accession-process-is-stopped-for-now/" TargetMode="External"/><Relationship Id="rId1" Type="http://schemas.openxmlformats.org/officeDocument/2006/relationships/hyperlink" Target="https://euneighbourseast.eu/news/publications/eu-accession-process-step-by-st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68DCD-C31E-436D-A6BB-9392C81AEC02}">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4AE62B00-A8E2-47B6-86F7-858B1497DFEA}">
  <ds:schemaRefs>
    <ds:schemaRef ds:uri="http://schemas.microsoft.com/sharepoint/v3/contenttype/forms"/>
  </ds:schemaRefs>
</ds:datastoreItem>
</file>

<file path=customXml/itemProps3.xml><?xml version="1.0" encoding="utf-8"?>
<ds:datastoreItem xmlns:ds="http://schemas.openxmlformats.org/officeDocument/2006/customXml" ds:itemID="{10A2D4CB-50E2-4D38-975F-D4AB18E9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511A0-E111-934F-ABDE-B0544ADC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1721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Natalia Suarez</cp:lastModifiedBy>
  <cp:revision>6</cp:revision>
  <cp:lastPrinted>2024-10-21T10:25:00Z</cp:lastPrinted>
  <dcterms:created xsi:type="dcterms:W3CDTF">2024-10-14T15:52:00Z</dcterms:created>
  <dcterms:modified xsi:type="dcterms:W3CDTF">2024-10-25T14:28:00Z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ies>
</file>