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0C64F1" w14:textId="77777777" w:rsidR="00750D12" w:rsidRPr="009710B6" w:rsidRDefault="003C04D4" w:rsidP="00D120F2">
      <w:pPr>
        <w:pStyle w:val="Footer"/>
        <w:jc w:val="both"/>
      </w:pPr>
      <w:r>
        <w:rPr>
          <w:noProof/>
          <w:lang w:val="fr-BE" w:eastAsia="fr-BE"/>
        </w:rPr>
        <w:drawing>
          <wp:anchor distT="0" distB="0" distL="114300" distR="114300" simplePos="0" relativeHeight="251658240" behindDoc="0" locked="0" layoutInCell="1" allowOverlap="1" wp14:anchorId="0E92B860" wp14:editId="2DB80355">
            <wp:simplePos x="0" y="0"/>
            <wp:positionH relativeFrom="column">
              <wp:posOffset>-763905</wp:posOffset>
            </wp:positionH>
            <wp:positionV relativeFrom="paragraph">
              <wp:posOffset>-1200150</wp:posOffset>
            </wp:positionV>
            <wp:extent cx="7840980" cy="9133205"/>
            <wp:effectExtent l="0" t="0" r="7620" b="0"/>
            <wp:wrapNone/>
            <wp:docPr id="9" name="Picture 2" descr="Description: POSITION_COUV_L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POSITION_COUV_LAW"/>
                    <pic:cNvPicPr>
                      <a:picLocks noChangeAspect="1" noChangeArrowheads="1"/>
                    </pic:cNvPicPr>
                  </pic:nvPicPr>
                  <pic:blipFill>
                    <a:blip r:embed="rId8" cstate="print">
                      <a:extLst>
                        <a:ext uri="{28A0092B-C50C-407E-A947-70E740481C1C}">
                          <a14:useLocalDpi xmlns:a14="http://schemas.microsoft.com/office/drawing/2010/main" val="0"/>
                        </a:ext>
                      </a:extLst>
                    </a:blip>
                    <a:srcRect b="5954"/>
                    <a:stretch>
                      <a:fillRect/>
                    </a:stretch>
                  </pic:blipFill>
                  <pic:spPr bwMode="auto">
                    <a:xfrm>
                      <a:off x="0" y="0"/>
                      <a:ext cx="7840980" cy="9133205"/>
                    </a:xfrm>
                    <a:prstGeom prst="rect">
                      <a:avLst/>
                    </a:prstGeom>
                    <a:noFill/>
                    <a:ln>
                      <a:noFill/>
                    </a:ln>
                  </pic:spPr>
                </pic:pic>
              </a:graphicData>
            </a:graphic>
          </wp:anchor>
        </w:drawing>
      </w:r>
      <w:r w:rsidR="008E1F16" w:rsidRPr="009710B6">
        <w:t xml:space="preserve"> </w:t>
      </w:r>
    </w:p>
    <w:p w14:paraId="5C8944F2" w14:textId="77777777" w:rsidR="008E1F16" w:rsidRPr="009710B6" w:rsidRDefault="008E1F16" w:rsidP="00D120F2">
      <w:pPr>
        <w:pStyle w:val="Footer"/>
        <w:jc w:val="both"/>
      </w:pPr>
    </w:p>
    <w:p w14:paraId="1926D820" w14:textId="77777777" w:rsidR="008E1F16" w:rsidRPr="009710B6" w:rsidRDefault="008E1F16" w:rsidP="00D120F2">
      <w:pPr>
        <w:pStyle w:val="Footer"/>
        <w:jc w:val="both"/>
      </w:pPr>
    </w:p>
    <w:p w14:paraId="023DFFCC" w14:textId="77777777" w:rsidR="008E1F16" w:rsidRPr="009710B6" w:rsidRDefault="008E1F16" w:rsidP="00D120F2">
      <w:pPr>
        <w:pStyle w:val="Footer"/>
        <w:jc w:val="both"/>
      </w:pPr>
    </w:p>
    <w:p w14:paraId="1F8AE31E" w14:textId="77777777" w:rsidR="008E1F16" w:rsidRPr="009710B6" w:rsidRDefault="008E1F16" w:rsidP="00D120F2">
      <w:pPr>
        <w:pStyle w:val="Footer"/>
        <w:jc w:val="both"/>
      </w:pPr>
    </w:p>
    <w:p w14:paraId="2E37BD9C" w14:textId="77777777" w:rsidR="008E1F16" w:rsidRPr="009710B6" w:rsidRDefault="008E1F16" w:rsidP="00D120F2">
      <w:pPr>
        <w:pStyle w:val="Footer"/>
        <w:jc w:val="both"/>
      </w:pPr>
    </w:p>
    <w:p w14:paraId="2B71CDA2" w14:textId="77777777" w:rsidR="008E1F16" w:rsidRPr="009710B6" w:rsidRDefault="008E1F16" w:rsidP="00D120F2">
      <w:pPr>
        <w:pStyle w:val="Footer"/>
        <w:jc w:val="both"/>
      </w:pPr>
    </w:p>
    <w:p w14:paraId="47EA9006" w14:textId="68D40A7C" w:rsidR="005066EF" w:rsidRDefault="00195746" w:rsidP="00510BF6">
      <w:pPr>
        <w:pStyle w:val="Heading1"/>
        <w:rPr>
          <w:lang w:val="en-US"/>
        </w:rPr>
      </w:pPr>
      <w:bookmarkStart w:id="0" w:name="_Toc157095457"/>
      <w:bookmarkStart w:id="1" w:name="_Toc164171868"/>
      <w:r>
        <w:rPr>
          <w:noProof/>
          <w:lang w:val="fr-BE" w:eastAsia="fr-BE"/>
        </w:rPr>
        <mc:AlternateContent>
          <mc:Choice Requires="wps">
            <w:drawing>
              <wp:anchor distT="0" distB="0" distL="114300" distR="114300" simplePos="0" relativeHeight="251660288" behindDoc="0" locked="0" layoutInCell="1" allowOverlap="1" wp14:anchorId="34A0EC22" wp14:editId="7E2E4E3C">
                <wp:simplePos x="0" y="0"/>
                <wp:positionH relativeFrom="column">
                  <wp:posOffset>-402038</wp:posOffset>
                </wp:positionH>
                <wp:positionV relativeFrom="paragraph">
                  <wp:posOffset>1811931</wp:posOffset>
                </wp:positionV>
                <wp:extent cx="7136130" cy="3387256"/>
                <wp:effectExtent l="0" t="0" r="0" b="3810"/>
                <wp:wrapNone/>
                <wp:docPr id="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36130" cy="33872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B13551" w14:textId="13A68AA4" w:rsidR="00D7792D" w:rsidRDefault="00F853A9" w:rsidP="00510BF6">
                            <w:pPr>
                              <w:pStyle w:val="Title"/>
                              <w:rPr>
                                <w:sz w:val="72"/>
                                <w:szCs w:val="44"/>
                              </w:rPr>
                            </w:pPr>
                            <w:r w:rsidRPr="00195746">
                              <w:rPr>
                                <w:sz w:val="72"/>
                                <w:szCs w:val="44"/>
                              </w:rPr>
                              <w:t xml:space="preserve">EDF proposed </w:t>
                            </w:r>
                            <w:r w:rsidR="00195746" w:rsidRPr="00195746">
                              <w:rPr>
                                <w:sz w:val="72"/>
                                <w:szCs w:val="44"/>
                              </w:rPr>
                              <w:t>amendments to the p</w:t>
                            </w:r>
                            <w:r w:rsidR="00AC1ECA">
                              <w:rPr>
                                <w:sz w:val="72"/>
                                <w:szCs w:val="44"/>
                              </w:rPr>
                              <w:t>roposal for a</w:t>
                            </w:r>
                            <w:r w:rsidR="00195746" w:rsidRPr="00195746">
                              <w:rPr>
                                <w:sz w:val="72"/>
                                <w:szCs w:val="44"/>
                              </w:rPr>
                              <w:t xml:space="preserve"> Regulation on enforcement of Passenger Rights</w:t>
                            </w:r>
                          </w:p>
                          <w:p w14:paraId="577591CD" w14:textId="77777777" w:rsidR="00195746" w:rsidRPr="00195746" w:rsidRDefault="00195746" w:rsidP="00195746">
                            <w:pPr>
                              <w:ind w:left="284" w:right="235"/>
                              <w:jc w:val="center"/>
                              <w:rPr>
                                <w:rFonts w:cs="Arial"/>
                                <w:color w:val="FFFFFF" w:themeColor="background1"/>
                                <w:sz w:val="28"/>
                                <w:szCs w:val="28"/>
                              </w:rPr>
                            </w:pPr>
                            <w:r w:rsidRPr="00195746">
                              <w:rPr>
                                <w:rFonts w:cs="Arial"/>
                                <w:color w:val="FFFFFF" w:themeColor="background1"/>
                                <w:sz w:val="28"/>
                                <w:szCs w:val="28"/>
                              </w:rPr>
                              <w:t>Proposal for a Regulation of the European Parliament and of the Council amending Regulations (EC) No 261/2004, (EC) No 1107/2006, (EU) No 1177/2010, (EU) No 181/2011 and (EU) 2021/782 as regards enforcement of passenger rights in the Union</w:t>
                            </w:r>
                          </w:p>
                          <w:p w14:paraId="293AFFD7" w14:textId="77777777" w:rsidR="00195746" w:rsidRPr="00195746" w:rsidRDefault="00195746" w:rsidP="0019574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A0EC22" id="_x0000_t202" coordsize="21600,21600" o:spt="202" path="m,l,21600r21600,l21600,xe">
                <v:stroke joinstyle="miter"/>
                <v:path gradientshapeok="t" o:connecttype="rect"/>
              </v:shapetype>
              <v:shape id="Text Box 14" o:spid="_x0000_s1026" type="#_x0000_t202" style="position:absolute;margin-left:-31.65pt;margin-top:142.65pt;width:561.9pt;height:266.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" filled="f" stroked="f">
                <v:textbox>
                  <w:txbxContent>
                    <w:p w14:paraId="13B13551" w14:textId="13A68AA4" w:rsidR="00D7792D" w:rsidRDefault="00F853A9" w:rsidP="00510BF6">
                      <w:pPr>
                        <w:pStyle w:val="Title"/>
                        <w:rPr>
                          <w:sz w:val="72"/>
                          <w:szCs w:val="44"/>
                        </w:rPr>
                      </w:pPr>
                      <w:r w:rsidRPr="00195746">
                        <w:rPr>
                          <w:sz w:val="72"/>
                          <w:szCs w:val="44"/>
                        </w:rPr>
                        <w:t xml:space="preserve">EDF proposed </w:t>
                      </w:r>
                      <w:r w:rsidR="00195746" w:rsidRPr="00195746">
                        <w:rPr>
                          <w:sz w:val="72"/>
                          <w:szCs w:val="44"/>
                        </w:rPr>
                        <w:t>amendments to the p</w:t>
                      </w:r>
                      <w:r w:rsidR="00AC1ECA">
                        <w:rPr>
                          <w:sz w:val="72"/>
                          <w:szCs w:val="44"/>
                        </w:rPr>
                        <w:t>roposal for a</w:t>
                      </w:r>
                      <w:r w:rsidR="00195746" w:rsidRPr="00195746">
                        <w:rPr>
                          <w:sz w:val="72"/>
                          <w:szCs w:val="44"/>
                        </w:rPr>
                        <w:t xml:space="preserve"> Regulation on enforcement of Passenger Rights</w:t>
                      </w:r>
                    </w:p>
                    <w:p w14:paraId="577591CD" w14:textId="77777777" w:rsidR="00195746" w:rsidRPr="00195746" w:rsidRDefault="00195746" w:rsidP="00195746">
                      <w:pPr>
                        <w:ind w:left="284" w:right="235"/>
                        <w:jc w:val="center"/>
                        <w:rPr>
                          <w:rFonts w:cs="Arial"/>
                          <w:color w:val="FFFFFF" w:themeColor="background1"/>
                          <w:sz w:val="28"/>
                          <w:szCs w:val="28"/>
                        </w:rPr>
                      </w:pPr>
                      <w:r w:rsidRPr="00195746">
                        <w:rPr>
                          <w:rFonts w:cs="Arial"/>
                          <w:color w:val="FFFFFF" w:themeColor="background1"/>
                          <w:sz w:val="28"/>
                          <w:szCs w:val="28"/>
                        </w:rPr>
                        <w:t>Proposal for a Regulation of the European Parliament and of the Council amending Regulations (EC) No 261/2004, (EC) No 1107/2006, (EU) No 1177/2010, (EU) No 181/2011 and (EU) 2021/782 as regards enforcement of passenger rights in the Union</w:t>
                      </w:r>
                    </w:p>
                    <w:p w14:paraId="293AFFD7" w14:textId="77777777" w:rsidR="00195746" w:rsidRPr="00195746" w:rsidRDefault="00195746" w:rsidP="00195746"/>
                  </w:txbxContent>
                </v:textbox>
              </v:shape>
            </w:pict>
          </mc:Fallback>
        </mc:AlternateContent>
      </w:r>
      <w:r w:rsidR="0030679B">
        <w:rPr>
          <w:noProof/>
          <w:lang w:val="fr-BE" w:eastAsia="fr-BE"/>
        </w:rPr>
        <mc:AlternateContent>
          <mc:Choice Requires="wps">
            <w:drawing>
              <wp:anchor distT="0" distB="0" distL="114300" distR="114300" simplePos="0" relativeHeight="251659264" behindDoc="0" locked="0" layoutInCell="1" allowOverlap="1" wp14:anchorId="0764A029" wp14:editId="15B25137">
                <wp:simplePos x="0" y="0"/>
                <wp:positionH relativeFrom="column">
                  <wp:posOffset>-453694</wp:posOffset>
                </wp:positionH>
                <wp:positionV relativeFrom="paragraph">
                  <wp:posOffset>5922507</wp:posOffset>
                </wp:positionV>
                <wp:extent cx="1997710" cy="365760"/>
                <wp:effectExtent l="0" t="0" r="0" b="0"/>
                <wp:wrapNone/>
                <wp:docPr id="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7710" cy="365760"/>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0EBFC4" w14:textId="4D95385B" w:rsidR="00D7792D" w:rsidRPr="00DA2918" w:rsidRDefault="00F853A9" w:rsidP="00510BF6">
                            <w:pPr>
                              <w:pStyle w:val="Subtitle"/>
                            </w:pPr>
                            <w:r>
                              <w:t xml:space="preserve"> </w:t>
                            </w:r>
                            <w:r w:rsidR="00195746">
                              <w:t>January 2024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64A029" id="Text Box 13" o:spid="_x0000_s1027" type="#_x0000_t202" style="position:absolute;margin-left:-35.7pt;margin-top:466.35pt;width:157.3pt;height:2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" fillcolor="red" stroked="f">
                <v:textbox>
                  <w:txbxContent>
                    <w:p w14:paraId="3D0EBFC4" w14:textId="4D95385B" w:rsidR="00D7792D" w:rsidRPr="00DA2918" w:rsidRDefault="00F853A9" w:rsidP="00510BF6">
                      <w:pPr>
                        <w:pStyle w:val="Subtitle"/>
                      </w:pPr>
                      <w:r>
                        <w:t xml:space="preserve"> </w:t>
                      </w:r>
                      <w:r w:rsidR="00195746">
                        <w:t>January 2024</w:t>
                      </w:r>
                    </w:p>
                  </w:txbxContent>
                </v:textbox>
              </v:shape>
            </w:pict>
          </mc:Fallback>
        </mc:AlternateContent>
      </w:r>
      <w:r w:rsidR="0030679B">
        <w:rPr>
          <w:noProof/>
          <w:lang w:val="fr-BE" w:eastAsia="fr-BE"/>
        </w:rPr>
        <mc:AlternateContent>
          <mc:Choice Requires="wps">
            <w:drawing>
              <wp:anchor distT="0" distB="0" distL="114300" distR="114300" simplePos="0" relativeHeight="251661312" behindDoc="0" locked="0" layoutInCell="1" allowOverlap="1" wp14:anchorId="4EB2E421" wp14:editId="3FE69A48">
                <wp:simplePos x="0" y="0"/>
                <wp:positionH relativeFrom="column">
                  <wp:posOffset>-310515</wp:posOffset>
                </wp:positionH>
                <wp:positionV relativeFrom="paragraph">
                  <wp:posOffset>6998335</wp:posOffset>
                </wp:positionV>
                <wp:extent cx="6858000" cy="457200"/>
                <wp:effectExtent l="0" t="0" r="0" b="0"/>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9E8631" w14:textId="6075DB44" w:rsidR="00D7792D" w:rsidRPr="007E1B1F" w:rsidRDefault="00D7792D" w:rsidP="00AD1A0C">
                            <w:pPr>
                              <w:pStyle w:val="Footer"/>
                              <w:pBdr>
                                <w:left w:val="single" w:sz="2" w:space="31" w:color="000000"/>
                              </w:pBdr>
                              <w:tabs>
                                <w:tab w:val="left" w:pos="1440"/>
                                <w:tab w:val="left" w:pos="4320"/>
                                <w:tab w:val="center" w:pos="5310"/>
                                <w:tab w:val="left" w:pos="6930"/>
                                <w:tab w:val="left" w:pos="7650"/>
                                <w:tab w:val="right" w:pos="7740"/>
                              </w:tabs>
                              <w:ind w:left="-787"/>
                              <w:rPr>
                                <w:rFonts w:cs="Arial"/>
                                <w:sz w:val="20"/>
                                <w:lang w:val="fr-BE"/>
                              </w:rPr>
                            </w:pPr>
                            <w:r w:rsidRPr="007A60C9">
                              <w:rPr>
                                <w:sz w:val="20"/>
                              </w:rPr>
                              <w:tab/>
                            </w:r>
                            <w:r w:rsidR="007E1B1F" w:rsidRPr="007E1B1F">
                              <w:rPr>
                                <w:rFonts w:cs="Arial"/>
                                <w:sz w:val="20"/>
                                <w:lang w:val="fr-BE"/>
                              </w:rPr>
                              <w:t xml:space="preserve">Avenue des Arts 7-8, </w:t>
                            </w:r>
                            <w:r w:rsidRPr="007E1B1F">
                              <w:rPr>
                                <w:rFonts w:cs="Arial"/>
                                <w:sz w:val="20"/>
                                <w:lang w:val="fr-BE"/>
                              </w:rPr>
                              <w:tab/>
                            </w:r>
                            <w:r w:rsidRPr="007E1B1F">
                              <w:rPr>
                                <w:rFonts w:cs="Arial"/>
                                <w:b/>
                                <w:color w:val="007AB7"/>
                                <w:sz w:val="20"/>
                                <w:lang w:val="fr-BE"/>
                              </w:rPr>
                              <w:t>tel</w:t>
                            </w:r>
                            <w:r w:rsidRPr="007E1B1F">
                              <w:rPr>
                                <w:rFonts w:cs="Arial"/>
                                <w:sz w:val="20"/>
                                <w:lang w:val="fr-BE"/>
                              </w:rPr>
                              <w:t xml:space="preserve"> +32 2 282 46 00</w:t>
                            </w:r>
                            <w:r w:rsidRPr="007E1B1F">
                              <w:rPr>
                                <w:rFonts w:cs="Arial"/>
                                <w:sz w:val="20"/>
                                <w:lang w:val="fr-BE"/>
                              </w:rPr>
                              <w:tab/>
                            </w:r>
                            <w:r w:rsidR="00000000">
                              <w:fldChar w:fldCharType="begin"/>
                            </w:r>
                            <w:r w:rsidR="00000000" w:rsidRPr="00694886">
                              <w:rPr>
                                <w:lang w:val="fr-BE"/>
                              </w:rPr>
                              <w:instrText>HYPERLINK "mailto:info@edf-feph.og"</w:instrText>
                            </w:r>
                            <w:r w:rsidR="00000000">
                              <w:fldChar w:fldCharType="separate"/>
                            </w:r>
                            <w:r w:rsidRPr="007E1B1F">
                              <w:rPr>
                                <w:rStyle w:val="Hyperlink"/>
                                <w:rFonts w:cs="Arial"/>
                                <w:color w:val="auto"/>
                                <w:sz w:val="20"/>
                                <w:lang w:val="fr-BE"/>
                              </w:rPr>
                              <w:t>info@edf-feph.og</w:t>
                            </w:r>
                            <w:r w:rsidR="00000000">
                              <w:rPr>
                                <w:rStyle w:val="Hyperlink"/>
                                <w:rFonts w:cs="Arial"/>
                                <w:color w:val="auto"/>
                                <w:sz w:val="20"/>
                                <w:lang w:val="fr-BE"/>
                              </w:rPr>
                              <w:fldChar w:fldCharType="end"/>
                            </w:r>
                          </w:p>
                          <w:p w14:paraId="748EEC86" w14:textId="76B48C99" w:rsidR="00D7792D" w:rsidRDefault="00D7792D" w:rsidP="008E1F16">
                            <w:pPr>
                              <w:pStyle w:val="Footer"/>
                              <w:tabs>
                                <w:tab w:val="left" w:pos="1440"/>
                                <w:tab w:val="left" w:pos="4320"/>
                                <w:tab w:val="center" w:pos="5310"/>
                                <w:tab w:val="left" w:pos="6930"/>
                                <w:tab w:val="left" w:pos="7650"/>
                                <w:tab w:val="right" w:pos="7740"/>
                              </w:tabs>
                              <w:rPr>
                                <w:rStyle w:val="Hyperlink"/>
                                <w:rFonts w:cs="Arial"/>
                                <w:b/>
                                <w:color w:val="auto"/>
                                <w:sz w:val="20"/>
                              </w:rPr>
                            </w:pPr>
                            <w:r w:rsidRPr="007E1B1F">
                              <w:rPr>
                                <w:rFonts w:cs="Arial"/>
                                <w:sz w:val="20"/>
                                <w:lang w:val="fr-BE"/>
                              </w:rPr>
                              <w:tab/>
                            </w:r>
                            <w:r w:rsidRPr="00DA2918">
                              <w:rPr>
                                <w:rFonts w:cs="Arial"/>
                                <w:sz w:val="20"/>
                              </w:rPr>
                              <w:t>1</w:t>
                            </w:r>
                            <w:r w:rsidR="007E1B1F">
                              <w:rPr>
                                <w:rFonts w:cs="Arial"/>
                                <w:sz w:val="20"/>
                              </w:rPr>
                              <w:t>21</w:t>
                            </w:r>
                            <w:r w:rsidRPr="00DA2918">
                              <w:rPr>
                                <w:rFonts w:cs="Arial"/>
                                <w:sz w:val="20"/>
                              </w:rPr>
                              <w:t>0 Brussels - Belgium</w:t>
                            </w:r>
                            <w:r w:rsidRPr="00DA2918">
                              <w:rPr>
                                <w:rFonts w:cs="Arial"/>
                                <w:sz w:val="20"/>
                              </w:rPr>
                              <w:tab/>
                            </w:r>
                            <w:r w:rsidRPr="00DA2918">
                              <w:rPr>
                                <w:rFonts w:cs="Arial"/>
                                <w:b/>
                                <w:color w:val="007AB7"/>
                                <w:sz w:val="20"/>
                              </w:rPr>
                              <w:t>fax</w:t>
                            </w:r>
                            <w:r w:rsidRPr="00DA2918">
                              <w:rPr>
                                <w:rFonts w:cs="Arial"/>
                                <w:sz w:val="20"/>
                              </w:rPr>
                              <w:t xml:space="preserve"> +32 2 282 46 09</w:t>
                            </w:r>
                            <w:r w:rsidRPr="00DA2918">
                              <w:rPr>
                                <w:rFonts w:cs="Arial"/>
                                <w:sz w:val="20"/>
                              </w:rPr>
                              <w:tab/>
                            </w:r>
                            <w:hyperlink r:id="rId9" w:history="1">
                              <w:r w:rsidRPr="0041231C">
                                <w:rPr>
                                  <w:rStyle w:val="Hyperlink"/>
                                  <w:rFonts w:cs="Arial"/>
                                  <w:color w:val="auto"/>
                                  <w:sz w:val="20"/>
                                </w:rPr>
                                <w:t>www.edf-feph.org</w:t>
                              </w:r>
                            </w:hyperlink>
                          </w:p>
                          <w:p w14:paraId="2A14D215" w14:textId="77777777" w:rsidR="00D7792D" w:rsidRDefault="00D7792D" w:rsidP="008E1F16">
                            <w:pPr>
                              <w:pStyle w:val="Footer"/>
                              <w:tabs>
                                <w:tab w:val="left" w:pos="1440"/>
                                <w:tab w:val="left" w:pos="4320"/>
                                <w:tab w:val="center" w:pos="5310"/>
                                <w:tab w:val="left" w:pos="6930"/>
                                <w:tab w:val="left" w:pos="7650"/>
                                <w:tab w:val="right" w:pos="7740"/>
                              </w:tabs>
                              <w:rPr>
                                <w:rStyle w:val="Hyperlink"/>
                                <w:rFonts w:cs="Arial"/>
                                <w:b/>
                                <w:color w:val="auto"/>
                                <w:sz w:val="20"/>
                              </w:rPr>
                            </w:pPr>
                          </w:p>
                          <w:p w14:paraId="7BCC3DC7" w14:textId="77777777" w:rsidR="00D7792D" w:rsidRDefault="00D7792D" w:rsidP="008E1F16">
                            <w:pPr>
                              <w:pStyle w:val="Footer"/>
                              <w:tabs>
                                <w:tab w:val="left" w:pos="1440"/>
                                <w:tab w:val="left" w:pos="4320"/>
                                <w:tab w:val="center" w:pos="5310"/>
                                <w:tab w:val="left" w:pos="6930"/>
                                <w:tab w:val="left" w:pos="7650"/>
                                <w:tab w:val="right" w:pos="7740"/>
                              </w:tabs>
                              <w:rPr>
                                <w:rStyle w:val="Hyperlink"/>
                                <w:rFonts w:cs="Arial"/>
                                <w:b/>
                                <w:color w:val="auto"/>
                                <w:sz w:val="20"/>
                              </w:rPr>
                            </w:pPr>
                          </w:p>
                          <w:p w14:paraId="656AE670" w14:textId="77777777" w:rsidR="00D7792D" w:rsidRDefault="00D7792D" w:rsidP="008E1F16">
                            <w:pPr>
                              <w:pStyle w:val="Footer"/>
                              <w:tabs>
                                <w:tab w:val="left" w:pos="1440"/>
                                <w:tab w:val="left" w:pos="4320"/>
                                <w:tab w:val="center" w:pos="5310"/>
                                <w:tab w:val="left" w:pos="6930"/>
                                <w:tab w:val="left" w:pos="7650"/>
                                <w:tab w:val="right" w:pos="7740"/>
                              </w:tabs>
                              <w:rPr>
                                <w:rStyle w:val="Hyperlink"/>
                                <w:rFonts w:cs="Arial"/>
                                <w:b/>
                                <w:color w:val="auto"/>
                                <w:sz w:val="20"/>
                              </w:rPr>
                            </w:pPr>
                          </w:p>
                          <w:p w14:paraId="51174D4C" w14:textId="77777777" w:rsidR="00D7792D" w:rsidRDefault="00D7792D" w:rsidP="008E1F16">
                            <w:pPr>
                              <w:pStyle w:val="Footer"/>
                              <w:tabs>
                                <w:tab w:val="left" w:pos="1440"/>
                                <w:tab w:val="left" w:pos="4320"/>
                                <w:tab w:val="center" w:pos="5310"/>
                                <w:tab w:val="left" w:pos="6930"/>
                                <w:tab w:val="left" w:pos="7650"/>
                                <w:tab w:val="right" w:pos="7740"/>
                              </w:tabs>
                              <w:rPr>
                                <w:rStyle w:val="Hyperlink"/>
                                <w:rFonts w:cs="Arial"/>
                                <w:b/>
                                <w:color w:val="auto"/>
                                <w:sz w:val="20"/>
                              </w:rPr>
                            </w:pPr>
                          </w:p>
                          <w:p w14:paraId="05FD4B0F" w14:textId="77777777" w:rsidR="00D7792D" w:rsidRPr="00DA2918" w:rsidRDefault="00D7792D" w:rsidP="008E1F16">
                            <w:pPr>
                              <w:pStyle w:val="Footer"/>
                              <w:tabs>
                                <w:tab w:val="left" w:pos="1440"/>
                                <w:tab w:val="left" w:pos="4320"/>
                                <w:tab w:val="center" w:pos="5310"/>
                                <w:tab w:val="left" w:pos="6930"/>
                                <w:tab w:val="left" w:pos="7650"/>
                                <w:tab w:val="right" w:pos="7740"/>
                              </w:tabs>
                              <w:rPr>
                                <w:rFonts w:cs="Arial"/>
                                <w:b/>
                                <w:color w:val="FF0000"/>
                                <w:sz w:val="20"/>
                              </w:rPr>
                            </w:pPr>
                          </w:p>
                          <w:p w14:paraId="613527E2" w14:textId="77777777" w:rsidR="00D7792D" w:rsidRDefault="00D7792D" w:rsidP="008E1F16">
                            <w:pPr>
                              <w:tabs>
                                <w:tab w:val="left" w:pos="1440"/>
                                <w:tab w:val="left" w:pos="2160"/>
                                <w:tab w:val="left" w:pos="3960"/>
                                <w:tab w:val="center" w:pos="5310"/>
                                <w:tab w:val="left" w:pos="6750"/>
                              </w:tabs>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B2E421" id="Text Box 11" o:spid="_x0000_s1028" type="#_x0000_t202" style="position:absolute;margin-left:-24.45pt;margin-top:551.05pt;width:540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" filled="f" stroked="f">
                <v:textbox>
                  <w:txbxContent>
                    <w:p w14:paraId="789E8631" w14:textId="6075DB44" w:rsidR="00D7792D" w:rsidRPr="007E1B1F" w:rsidRDefault="00D7792D" w:rsidP="00AD1A0C">
                      <w:pPr>
                        <w:pStyle w:val="Footer"/>
                        <w:pBdr>
                          <w:left w:val="single" w:sz="2" w:space="31" w:color="000000"/>
                        </w:pBdr>
                        <w:tabs>
                          <w:tab w:val="left" w:pos="1440"/>
                          <w:tab w:val="left" w:pos="4320"/>
                          <w:tab w:val="center" w:pos="5310"/>
                          <w:tab w:val="left" w:pos="6930"/>
                          <w:tab w:val="left" w:pos="7650"/>
                          <w:tab w:val="right" w:pos="7740"/>
                        </w:tabs>
                        <w:ind w:left="-787"/>
                        <w:rPr>
                          <w:rFonts w:cs="Arial"/>
                          <w:sz w:val="20"/>
                          <w:lang w:val="fr-BE"/>
                        </w:rPr>
                      </w:pPr>
                      <w:r w:rsidRPr="007A60C9">
                        <w:rPr>
                          <w:sz w:val="20"/>
                        </w:rPr>
                        <w:tab/>
                      </w:r>
                      <w:r w:rsidR="007E1B1F" w:rsidRPr="007E1B1F">
                        <w:rPr>
                          <w:rFonts w:cs="Arial"/>
                          <w:sz w:val="20"/>
                          <w:lang w:val="fr-BE"/>
                        </w:rPr>
                        <w:t xml:space="preserve">Avenue des Arts 7-8, </w:t>
                      </w:r>
                      <w:r w:rsidRPr="007E1B1F">
                        <w:rPr>
                          <w:rFonts w:cs="Arial"/>
                          <w:sz w:val="20"/>
                          <w:lang w:val="fr-BE"/>
                        </w:rPr>
                        <w:tab/>
                      </w:r>
                      <w:r w:rsidRPr="007E1B1F">
                        <w:rPr>
                          <w:rFonts w:cs="Arial"/>
                          <w:b/>
                          <w:color w:val="007AB7"/>
                          <w:sz w:val="20"/>
                          <w:lang w:val="fr-BE"/>
                        </w:rPr>
                        <w:t>tel</w:t>
                      </w:r>
                      <w:r w:rsidRPr="007E1B1F">
                        <w:rPr>
                          <w:rFonts w:cs="Arial"/>
                          <w:sz w:val="20"/>
                          <w:lang w:val="fr-BE"/>
                        </w:rPr>
                        <w:t xml:space="preserve"> +32 2 282 46 00</w:t>
                      </w:r>
                      <w:r w:rsidRPr="007E1B1F">
                        <w:rPr>
                          <w:rFonts w:cs="Arial"/>
                          <w:sz w:val="20"/>
                          <w:lang w:val="fr-BE"/>
                        </w:rPr>
                        <w:tab/>
                      </w:r>
                      <w:r w:rsidR="00000000">
                        <w:fldChar w:fldCharType="begin"/>
                      </w:r>
                      <w:r w:rsidR="00000000" w:rsidRPr="00694886">
                        <w:rPr>
                          <w:lang w:val="fr-BE"/>
                        </w:rPr>
                        <w:instrText>HYPERLINK "mailto:info@edf-feph.og"</w:instrText>
                      </w:r>
                      <w:r w:rsidR="00000000">
                        <w:fldChar w:fldCharType="separate"/>
                      </w:r>
                      <w:r w:rsidRPr="007E1B1F">
                        <w:rPr>
                          <w:rStyle w:val="Hyperlink"/>
                          <w:rFonts w:cs="Arial"/>
                          <w:color w:val="auto"/>
                          <w:sz w:val="20"/>
                          <w:lang w:val="fr-BE"/>
                        </w:rPr>
                        <w:t>info@edf-feph.og</w:t>
                      </w:r>
                      <w:r w:rsidR="00000000">
                        <w:rPr>
                          <w:rStyle w:val="Hyperlink"/>
                          <w:rFonts w:cs="Arial"/>
                          <w:color w:val="auto"/>
                          <w:sz w:val="20"/>
                          <w:lang w:val="fr-BE"/>
                        </w:rPr>
                        <w:fldChar w:fldCharType="end"/>
                      </w:r>
                    </w:p>
                    <w:p w14:paraId="748EEC86" w14:textId="76B48C99" w:rsidR="00D7792D" w:rsidRDefault="00D7792D" w:rsidP="008E1F16">
                      <w:pPr>
                        <w:pStyle w:val="Footer"/>
                        <w:tabs>
                          <w:tab w:val="left" w:pos="1440"/>
                          <w:tab w:val="left" w:pos="4320"/>
                          <w:tab w:val="center" w:pos="5310"/>
                          <w:tab w:val="left" w:pos="6930"/>
                          <w:tab w:val="left" w:pos="7650"/>
                          <w:tab w:val="right" w:pos="7740"/>
                        </w:tabs>
                        <w:rPr>
                          <w:rStyle w:val="Hyperlink"/>
                          <w:rFonts w:cs="Arial"/>
                          <w:b/>
                          <w:color w:val="auto"/>
                          <w:sz w:val="20"/>
                        </w:rPr>
                      </w:pPr>
                      <w:r w:rsidRPr="007E1B1F">
                        <w:rPr>
                          <w:rFonts w:cs="Arial"/>
                          <w:sz w:val="20"/>
                          <w:lang w:val="fr-BE"/>
                        </w:rPr>
                        <w:tab/>
                      </w:r>
                      <w:r w:rsidRPr="00DA2918">
                        <w:rPr>
                          <w:rFonts w:cs="Arial"/>
                          <w:sz w:val="20"/>
                        </w:rPr>
                        <w:t>1</w:t>
                      </w:r>
                      <w:r w:rsidR="007E1B1F">
                        <w:rPr>
                          <w:rFonts w:cs="Arial"/>
                          <w:sz w:val="20"/>
                        </w:rPr>
                        <w:t>21</w:t>
                      </w:r>
                      <w:r w:rsidRPr="00DA2918">
                        <w:rPr>
                          <w:rFonts w:cs="Arial"/>
                          <w:sz w:val="20"/>
                        </w:rPr>
                        <w:t>0 Brussels - Belgium</w:t>
                      </w:r>
                      <w:r w:rsidRPr="00DA2918">
                        <w:rPr>
                          <w:rFonts w:cs="Arial"/>
                          <w:sz w:val="20"/>
                        </w:rPr>
                        <w:tab/>
                      </w:r>
                      <w:r w:rsidRPr="00DA2918">
                        <w:rPr>
                          <w:rFonts w:cs="Arial"/>
                          <w:b/>
                          <w:color w:val="007AB7"/>
                          <w:sz w:val="20"/>
                        </w:rPr>
                        <w:t>fax</w:t>
                      </w:r>
                      <w:r w:rsidRPr="00DA2918">
                        <w:rPr>
                          <w:rFonts w:cs="Arial"/>
                          <w:sz w:val="20"/>
                        </w:rPr>
                        <w:t xml:space="preserve"> +32 2 282 46 09</w:t>
                      </w:r>
                      <w:r w:rsidRPr="00DA2918">
                        <w:rPr>
                          <w:rFonts w:cs="Arial"/>
                          <w:sz w:val="20"/>
                        </w:rPr>
                        <w:tab/>
                      </w:r>
                      <w:hyperlink r:id="rId10" w:history="1">
                        <w:r w:rsidRPr="0041231C">
                          <w:rPr>
                            <w:rStyle w:val="Hyperlink"/>
                            <w:rFonts w:cs="Arial"/>
                            <w:color w:val="auto"/>
                            <w:sz w:val="20"/>
                          </w:rPr>
                          <w:t>www.edf-feph.org</w:t>
                        </w:r>
                      </w:hyperlink>
                    </w:p>
                    <w:p w14:paraId="2A14D215" w14:textId="77777777" w:rsidR="00D7792D" w:rsidRDefault="00D7792D" w:rsidP="008E1F16">
                      <w:pPr>
                        <w:pStyle w:val="Footer"/>
                        <w:tabs>
                          <w:tab w:val="left" w:pos="1440"/>
                          <w:tab w:val="left" w:pos="4320"/>
                          <w:tab w:val="center" w:pos="5310"/>
                          <w:tab w:val="left" w:pos="6930"/>
                          <w:tab w:val="left" w:pos="7650"/>
                          <w:tab w:val="right" w:pos="7740"/>
                        </w:tabs>
                        <w:rPr>
                          <w:rStyle w:val="Hyperlink"/>
                          <w:rFonts w:cs="Arial"/>
                          <w:b/>
                          <w:color w:val="auto"/>
                          <w:sz w:val="20"/>
                        </w:rPr>
                      </w:pPr>
                    </w:p>
                    <w:p w14:paraId="7BCC3DC7" w14:textId="77777777" w:rsidR="00D7792D" w:rsidRDefault="00D7792D" w:rsidP="008E1F16">
                      <w:pPr>
                        <w:pStyle w:val="Footer"/>
                        <w:tabs>
                          <w:tab w:val="left" w:pos="1440"/>
                          <w:tab w:val="left" w:pos="4320"/>
                          <w:tab w:val="center" w:pos="5310"/>
                          <w:tab w:val="left" w:pos="6930"/>
                          <w:tab w:val="left" w:pos="7650"/>
                          <w:tab w:val="right" w:pos="7740"/>
                        </w:tabs>
                        <w:rPr>
                          <w:rStyle w:val="Hyperlink"/>
                          <w:rFonts w:cs="Arial"/>
                          <w:b/>
                          <w:color w:val="auto"/>
                          <w:sz w:val="20"/>
                        </w:rPr>
                      </w:pPr>
                    </w:p>
                    <w:p w14:paraId="656AE670" w14:textId="77777777" w:rsidR="00D7792D" w:rsidRDefault="00D7792D" w:rsidP="008E1F16">
                      <w:pPr>
                        <w:pStyle w:val="Footer"/>
                        <w:tabs>
                          <w:tab w:val="left" w:pos="1440"/>
                          <w:tab w:val="left" w:pos="4320"/>
                          <w:tab w:val="center" w:pos="5310"/>
                          <w:tab w:val="left" w:pos="6930"/>
                          <w:tab w:val="left" w:pos="7650"/>
                          <w:tab w:val="right" w:pos="7740"/>
                        </w:tabs>
                        <w:rPr>
                          <w:rStyle w:val="Hyperlink"/>
                          <w:rFonts w:cs="Arial"/>
                          <w:b/>
                          <w:color w:val="auto"/>
                          <w:sz w:val="20"/>
                        </w:rPr>
                      </w:pPr>
                    </w:p>
                    <w:p w14:paraId="51174D4C" w14:textId="77777777" w:rsidR="00D7792D" w:rsidRDefault="00D7792D" w:rsidP="008E1F16">
                      <w:pPr>
                        <w:pStyle w:val="Footer"/>
                        <w:tabs>
                          <w:tab w:val="left" w:pos="1440"/>
                          <w:tab w:val="left" w:pos="4320"/>
                          <w:tab w:val="center" w:pos="5310"/>
                          <w:tab w:val="left" w:pos="6930"/>
                          <w:tab w:val="left" w:pos="7650"/>
                          <w:tab w:val="right" w:pos="7740"/>
                        </w:tabs>
                        <w:rPr>
                          <w:rStyle w:val="Hyperlink"/>
                          <w:rFonts w:cs="Arial"/>
                          <w:b/>
                          <w:color w:val="auto"/>
                          <w:sz w:val="20"/>
                        </w:rPr>
                      </w:pPr>
                    </w:p>
                    <w:p w14:paraId="05FD4B0F" w14:textId="77777777" w:rsidR="00D7792D" w:rsidRPr="00DA2918" w:rsidRDefault="00D7792D" w:rsidP="008E1F16">
                      <w:pPr>
                        <w:pStyle w:val="Footer"/>
                        <w:tabs>
                          <w:tab w:val="left" w:pos="1440"/>
                          <w:tab w:val="left" w:pos="4320"/>
                          <w:tab w:val="center" w:pos="5310"/>
                          <w:tab w:val="left" w:pos="6930"/>
                          <w:tab w:val="left" w:pos="7650"/>
                          <w:tab w:val="right" w:pos="7740"/>
                        </w:tabs>
                        <w:rPr>
                          <w:rFonts w:cs="Arial"/>
                          <w:b/>
                          <w:color w:val="FF0000"/>
                          <w:sz w:val="20"/>
                        </w:rPr>
                      </w:pPr>
                    </w:p>
                    <w:p w14:paraId="613527E2" w14:textId="77777777" w:rsidR="00D7792D" w:rsidRDefault="00D7792D" w:rsidP="008E1F16">
                      <w:pPr>
                        <w:tabs>
                          <w:tab w:val="left" w:pos="1440"/>
                          <w:tab w:val="left" w:pos="2160"/>
                          <w:tab w:val="left" w:pos="3960"/>
                          <w:tab w:val="center" w:pos="5310"/>
                          <w:tab w:val="left" w:pos="6750"/>
                        </w:tabs>
                      </w:pPr>
                    </w:p>
                  </w:txbxContent>
                </v:textbox>
              </v:shape>
            </w:pict>
          </mc:Fallback>
        </mc:AlternateContent>
      </w:r>
      <w:bookmarkEnd w:id="0"/>
      <w:bookmarkEnd w:id="1"/>
      <w:r w:rsidR="008E1F16" w:rsidRPr="00721C13">
        <w:rPr>
          <w:lang w:val="en-US"/>
        </w:rPr>
        <w:br w:type="page"/>
      </w:r>
    </w:p>
    <w:sdt>
      <w:sdtPr>
        <w:rPr>
          <w:b/>
          <w:bCs/>
        </w:rPr>
        <w:id w:val="733288961"/>
        <w:docPartObj>
          <w:docPartGallery w:val="Table of Contents"/>
          <w:docPartUnique/>
        </w:docPartObj>
      </w:sdtPr>
      <w:sdtEndPr>
        <w:rPr>
          <w:b w:val="0"/>
          <w:bCs w:val="0"/>
          <w:noProof/>
        </w:rPr>
      </w:sdtEndPr>
      <w:sdtContent>
        <w:p w14:paraId="7D98FD99" w14:textId="77777777" w:rsidR="00694886" w:rsidRDefault="00991FAB">
          <w:pPr>
            <w:pStyle w:val="TOC1"/>
            <w:tabs>
              <w:tab w:val="right" w:leader="dot" w:pos="9962"/>
            </w:tabs>
            <w:rPr>
              <w:noProof/>
            </w:rPr>
          </w:pPr>
          <w:r>
            <w:rPr>
              <w:b/>
              <w:bCs/>
            </w:rPr>
            <w:t>Table of Contents</w:t>
          </w:r>
          <w:r w:rsidR="00B07EFB">
            <w:fldChar w:fldCharType="begin"/>
          </w:r>
          <w:r w:rsidR="005066EF">
            <w:instrText xml:space="preserve"> TOC \o "1-3" \h \z \u </w:instrText>
          </w:r>
          <w:r w:rsidR="00B07EFB">
            <w:fldChar w:fldCharType="separate"/>
          </w:r>
        </w:p>
        <w:p w14:paraId="459A33EF" w14:textId="62411A69" w:rsidR="00694886" w:rsidRDefault="00694886">
          <w:pPr>
            <w:pStyle w:val="TOC1"/>
            <w:tabs>
              <w:tab w:val="right" w:leader="dot" w:pos="9962"/>
            </w:tabs>
            <w:rPr>
              <w:rFonts w:asciiTheme="minorHAnsi" w:eastAsiaTheme="minorEastAsia" w:hAnsiTheme="minorHAnsi" w:cstheme="minorBidi"/>
              <w:noProof/>
              <w:kern w:val="2"/>
              <w:lang w:val="fr-BE" w:eastAsia="fr-BE"/>
              <w14:ligatures w14:val="standardContextual"/>
            </w:rPr>
          </w:pPr>
          <w:hyperlink w:anchor="_Toc164171868" w:history="1">
            <w:r>
              <w:rPr>
                <w:noProof/>
                <w:webHidden/>
              </w:rPr>
              <w:tab/>
            </w:r>
            <w:r>
              <w:rPr>
                <w:noProof/>
                <w:webHidden/>
              </w:rPr>
              <w:fldChar w:fldCharType="begin"/>
            </w:r>
            <w:r>
              <w:rPr>
                <w:noProof/>
                <w:webHidden/>
              </w:rPr>
              <w:instrText xml:space="preserve"> PAGEREF _Toc164171868 \h </w:instrText>
            </w:r>
            <w:r>
              <w:rPr>
                <w:noProof/>
                <w:webHidden/>
              </w:rPr>
            </w:r>
            <w:r>
              <w:rPr>
                <w:noProof/>
                <w:webHidden/>
              </w:rPr>
              <w:fldChar w:fldCharType="separate"/>
            </w:r>
            <w:r>
              <w:rPr>
                <w:noProof/>
                <w:webHidden/>
              </w:rPr>
              <w:t>1</w:t>
            </w:r>
            <w:r>
              <w:rPr>
                <w:noProof/>
                <w:webHidden/>
              </w:rPr>
              <w:fldChar w:fldCharType="end"/>
            </w:r>
          </w:hyperlink>
        </w:p>
        <w:p w14:paraId="47C7253A" w14:textId="223ACB27" w:rsidR="00694886" w:rsidRDefault="00694886">
          <w:pPr>
            <w:pStyle w:val="TOC1"/>
            <w:tabs>
              <w:tab w:val="right" w:leader="dot" w:pos="9962"/>
            </w:tabs>
            <w:rPr>
              <w:rFonts w:asciiTheme="minorHAnsi" w:eastAsiaTheme="minorEastAsia" w:hAnsiTheme="minorHAnsi" w:cstheme="minorBidi"/>
              <w:noProof/>
              <w:kern w:val="2"/>
              <w:lang w:val="fr-BE" w:eastAsia="fr-BE"/>
              <w14:ligatures w14:val="standardContextual"/>
            </w:rPr>
          </w:pPr>
          <w:hyperlink w:anchor="_Toc164171869" w:history="1">
            <w:r w:rsidRPr="006606AB">
              <w:rPr>
                <w:rStyle w:val="Hyperlink"/>
                <w:noProof/>
              </w:rPr>
              <w:t>EDF proposed amendments to the Regulation Proposal</w:t>
            </w:r>
            <w:r>
              <w:rPr>
                <w:noProof/>
                <w:webHidden/>
              </w:rPr>
              <w:tab/>
            </w:r>
            <w:r>
              <w:rPr>
                <w:noProof/>
                <w:webHidden/>
              </w:rPr>
              <w:fldChar w:fldCharType="begin"/>
            </w:r>
            <w:r>
              <w:rPr>
                <w:noProof/>
                <w:webHidden/>
              </w:rPr>
              <w:instrText xml:space="preserve"> PAGEREF _Toc164171869 \h </w:instrText>
            </w:r>
            <w:r>
              <w:rPr>
                <w:noProof/>
                <w:webHidden/>
              </w:rPr>
            </w:r>
            <w:r>
              <w:rPr>
                <w:noProof/>
                <w:webHidden/>
              </w:rPr>
              <w:fldChar w:fldCharType="separate"/>
            </w:r>
            <w:r>
              <w:rPr>
                <w:noProof/>
                <w:webHidden/>
              </w:rPr>
              <w:t>3</w:t>
            </w:r>
            <w:r>
              <w:rPr>
                <w:noProof/>
                <w:webHidden/>
              </w:rPr>
              <w:fldChar w:fldCharType="end"/>
            </w:r>
          </w:hyperlink>
        </w:p>
        <w:p w14:paraId="3DEBEDE6" w14:textId="21AD4E4C" w:rsidR="00694886" w:rsidRDefault="00694886">
          <w:pPr>
            <w:pStyle w:val="TOC2"/>
            <w:tabs>
              <w:tab w:val="right" w:leader="dot" w:pos="9962"/>
            </w:tabs>
            <w:rPr>
              <w:rFonts w:asciiTheme="minorHAnsi" w:eastAsiaTheme="minorEastAsia" w:hAnsiTheme="minorHAnsi" w:cstheme="minorBidi"/>
              <w:noProof/>
              <w:kern w:val="2"/>
              <w:lang w:val="fr-BE" w:eastAsia="fr-BE"/>
              <w14:ligatures w14:val="standardContextual"/>
            </w:rPr>
          </w:pPr>
          <w:hyperlink w:anchor="_Toc164171870" w:history="1">
            <w:r w:rsidRPr="006606AB">
              <w:rPr>
                <w:rStyle w:val="Hyperlink"/>
                <w:noProof/>
              </w:rPr>
              <w:t>Summary of EDF’s position</w:t>
            </w:r>
            <w:r>
              <w:rPr>
                <w:noProof/>
                <w:webHidden/>
              </w:rPr>
              <w:tab/>
            </w:r>
            <w:r>
              <w:rPr>
                <w:noProof/>
                <w:webHidden/>
              </w:rPr>
              <w:fldChar w:fldCharType="begin"/>
            </w:r>
            <w:r>
              <w:rPr>
                <w:noProof/>
                <w:webHidden/>
              </w:rPr>
              <w:instrText xml:space="preserve"> PAGEREF _Toc164171870 \h </w:instrText>
            </w:r>
            <w:r>
              <w:rPr>
                <w:noProof/>
                <w:webHidden/>
              </w:rPr>
            </w:r>
            <w:r>
              <w:rPr>
                <w:noProof/>
                <w:webHidden/>
              </w:rPr>
              <w:fldChar w:fldCharType="separate"/>
            </w:r>
            <w:r>
              <w:rPr>
                <w:noProof/>
                <w:webHidden/>
              </w:rPr>
              <w:t>4</w:t>
            </w:r>
            <w:r>
              <w:rPr>
                <w:noProof/>
                <w:webHidden/>
              </w:rPr>
              <w:fldChar w:fldCharType="end"/>
            </w:r>
          </w:hyperlink>
        </w:p>
        <w:p w14:paraId="1F126381" w14:textId="1FF16C6A" w:rsidR="00694886" w:rsidRDefault="00694886">
          <w:pPr>
            <w:pStyle w:val="TOC2"/>
            <w:tabs>
              <w:tab w:val="right" w:leader="dot" w:pos="9962"/>
            </w:tabs>
            <w:rPr>
              <w:rFonts w:asciiTheme="minorHAnsi" w:eastAsiaTheme="minorEastAsia" w:hAnsiTheme="minorHAnsi" w:cstheme="minorBidi"/>
              <w:noProof/>
              <w:kern w:val="2"/>
              <w:lang w:val="fr-BE" w:eastAsia="fr-BE"/>
              <w14:ligatures w14:val="standardContextual"/>
            </w:rPr>
          </w:pPr>
          <w:hyperlink w:anchor="_Toc164171871" w:history="1">
            <w:r w:rsidRPr="006606AB">
              <w:rPr>
                <w:rStyle w:val="Hyperlink"/>
                <w:noProof/>
              </w:rPr>
              <w:t>Recital 17</w:t>
            </w:r>
            <w:r>
              <w:rPr>
                <w:noProof/>
                <w:webHidden/>
              </w:rPr>
              <w:tab/>
            </w:r>
            <w:r>
              <w:rPr>
                <w:noProof/>
                <w:webHidden/>
              </w:rPr>
              <w:fldChar w:fldCharType="begin"/>
            </w:r>
            <w:r>
              <w:rPr>
                <w:noProof/>
                <w:webHidden/>
              </w:rPr>
              <w:instrText xml:space="preserve"> PAGEREF _Toc164171871 \h </w:instrText>
            </w:r>
            <w:r>
              <w:rPr>
                <w:noProof/>
                <w:webHidden/>
              </w:rPr>
            </w:r>
            <w:r>
              <w:rPr>
                <w:noProof/>
                <w:webHidden/>
              </w:rPr>
              <w:fldChar w:fldCharType="separate"/>
            </w:r>
            <w:r>
              <w:rPr>
                <w:noProof/>
                <w:webHidden/>
              </w:rPr>
              <w:t>5</w:t>
            </w:r>
            <w:r>
              <w:rPr>
                <w:noProof/>
                <w:webHidden/>
              </w:rPr>
              <w:fldChar w:fldCharType="end"/>
            </w:r>
          </w:hyperlink>
        </w:p>
        <w:p w14:paraId="1F800243" w14:textId="1015EAF0" w:rsidR="00694886" w:rsidRDefault="00694886">
          <w:pPr>
            <w:pStyle w:val="TOC2"/>
            <w:tabs>
              <w:tab w:val="right" w:leader="dot" w:pos="9962"/>
            </w:tabs>
            <w:rPr>
              <w:rFonts w:asciiTheme="minorHAnsi" w:eastAsiaTheme="minorEastAsia" w:hAnsiTheme="minorHAnsi" w:cstheme="minorBidi"/>
              <w:noProof/>
              <w:kern w:val="2"/>
              <w:lang w:val="fr-BE" w:eastAsia="fr-BE"/>
              <w14:ligatures w14:val="standardContextual"/>
            </w:rPr>
          </w:pPr>
          <w:hyperlink w:anchor="_Toc164171872" w:history="1">
            <w:r w:rsidRPr="006606AB">
              <w:rPr>
                <w:rStyle w:val="Hyperlink"/>
                <w:noProof/>
              </w:rPr>
              <w:t>Amendment to Regulation (EC) 1007/2006 – Article 6 (2) new</w:t>
            </w:r>
            <w:r>
              <w:rPr>
                <w:noProof/>
                <w:webHidden/>
              </w:rPr>
              <w:tab/>
            </w:r>
            <w:r>
              <w:rPr>
                <w:noProof/>
                <w:webHidden/>
              </w:rPr>
              <w:fldChar w:fldCharType="begin"/>
            </w:r>
            <w:r>
              <w:rPr>
                <w:noProof/>
                <w:webHidden/>
              </w:rPr>
              <w:instrText xml:space="preserve"> PAGEREF _Toc164171872 \h </w:instrText>
            </w:r>
            <w:r>
              <w:rPr>
                <w:noProof/>
                <w:webHidden/>
              </w:rPr>
            </w:r>
            <w:r>
              <w:rPr>
                <w:noProof/>
                <w:webHidden/>
              </w:rPr>
              <w:fldChar w:fldCharType="separate"/>
            </w:r>
            <w:r>
              <w:rPr>
                <w:noProof/>
                <w:webHidden/>
              </w:rPr>
              <w:t>6</w:t>
            </w:r>
            <w:r>
              <w:rPr>
                <w:noProof/>
                <w:webHidden/>
              </w:rPr>
              <w:fldChar w:fldCharType="end"/>
            </w:r>
          </w:hyperlink>
        </w:p>
        <w:p w14:paraId="0CE3993D" w14:textId="282E8B55" w:rsidR="00694886" w:rsidRDefault="00694886">
          <w:pPr>
            <w:pStyle w:val="TOC2"/>
            <w:tabs>
              <w:tab w:val="right" w:leader="dot" w:pos="9962"/>
            </w:tabs>
            <w:rPr>
              <w:rFonts w:asciiTheme="minorHAnsi" w:eastAsiaTheme="minorEastAsia" w:hAnsiTheme="minorHAnsi" w:cstheme="minorBidi"/>
              <w:noProof/>
              <w:kern w:val="2"/>
              <w:lang w:val="fr-BE" w:eastAsia="fr-BE"/>
              <w14:ligatures w14:val="standardContextual"/>
            </w:rPr>
          </w:pPr>
          <w:hyperlink w:anchor="_Toc164171873" w:history="1">
            <w:r w:rsidRPr="006606AB">
              <w:rPr>
                <w:rStyle w:val="Hyperlink"/>
                <w:noProof/>
              </w:rPr>
              <w:t>Amendment to Regulation (EC) 1007/2006 – Article 7 (1) new</w:t>
            </w:r>
            <w:r>
              <w:rPr>
                <w:noProof/>
                <w:webHidden/>
              </w:rPr>
              <w:tab/>
            </w:r>
            <w:r>
              <w:rPr>
                <w:noProof/>
                <w:webHidden/>
              </w:rPr>
              <w:fldChar w:fldCharType="begin"/>
            </w:r>
            <w:r>
              <w:rPr>
                <w:noProof/>
                <w:webHidden/>
              </w:rPr>
              <w:instrText xml:space="preserve"> PAGEREF _Toc164171873 \h </w:instrText>
            </w:r>
            <w:r>
              <w:rPr>
                <w:noProof/>
                <w:webHidden/>
              </w:rPr>
            </w:r>
            <w:r>
              <w:rPr>
                <w:noProof/>
                <w:webHidden/>
              </w:rPr>
              <w:fldChar w:fldCharType="separate"/>
            </w:r>
            <w:r>
              <w:rPr>
                <w:noProof/>
                <w:webHidden/>
              </w:rPr>
              <w:t>6</w:t>
            </w:r>
            <w:r>
              <w:rPr>
                <w:noProof/>
                <w:webHidden/>
              </w:rPr>
              <w:fldChar w:fldCharType="end"/>
            </w:r>
          </w:hyperlink>
        </w:p>
        <w:p w14:paraId="127A64EC" w14:textId="4B319422" w:rsidR="00694886" w:rsidRDefault="00694886">
          <w:pPr>
            <w:pStyle w:val="TOC2"/>
            <w:tabs>
              <w:tab w:val="right" w:leader="dot" w:pos="9962"/>
            </w:tabs>
            <w:rPr>
              <w:rFonts w:asciiTheme="minorHAnsi" w:eastAsiaTheme="minorEastAsia" w:hAnsiTheme="minorHAnsi" w:cstheme="minorBidi"/>
              <w:noProof/>
              <w:kern w:val="2"/>
              <w:lang w:val="fr-BE" w:eastAsia="fr-BE"/>
              <w14:ligatures w14:val="standardContextual"/>
            </w:rPr>
          </w:pPr>
          <w:hyperlink w:anchor="_Toc164171874" w:history="1">
            <w:r w:rsidRPr="006606AB">
              <w:rPr>
                <w:rStyle w:val="Hyperlink"/>
                <w:noProof/>
              </w:rPr>
              <w:t>Amendment to Regulation (EC) 1107 / 2006 – Article 10a</w:t>
            </w:r>
            <w:r>
              <w:rPr>
                <w:noProof/>
                <w:webHidden/>
              </w:rPr>
              <w:tab/>
            </w:r>
            <w:r>
              <w:rPr>
                <w:noProof/>
                <w:webHidden/>
              </w:rPr>
              <w:fldChar w:fldCharType="begin"/>
            </w:r>
            <w:r>
              <w:rPr>
                <w:noProof/>
                <w:webHidden/>
              </w:rPr>
              <w:instrText xml:space="preserve"> PAGEREF _Toc164171874 \h </w:instrText>
            </w:r>
            <w:r>
              <w:rPr>
                <w:noProof/>
                <w:webHidden/>
              </w:rPr>
            </w:r>
            <w:r>
              <w:rPr>
                <w:noProof/>
                <w:webHidden/>
              </w:rPr>
              <w:fldChar w:fldCharType="separate"/>
            </w:r>
            <w:r>
              <w:rPr>
                <w:noProof/>
                <w:webHidden/>
              </w:rPr>
              <w:t>7</w:t>
            </w:r>
            <w:r>
              <w:rPr>
                <w:noProof/>
                <w:webHidden/>
              </w:rPr>
              <w:fldChar w:fldCharType="end"/>
            </w:r>
          </w:hyperlink>
        </w:p>
        <w:p w14:paraId="7C7E6834" w14:textId="2BF9E249" w:rsidR="00694886" w:rsidRDefault="00694886">
          <w:pPr>
            <w:pStyle w:val="TOC2"/>
            <w:tabs>
              <w:tab w:val="right" w:leader="dot" w:pos="9962"/>
            </w:tabs>
            <w:rPr>
              <w:rFonts w:asciiTheme="minorHAnsi" w:eastAsiaTheme="minorEastAsia" w:hAnsiTheme="minorHAnsi" w:cstheme="minorBidi"/>
              <w:noProof/>
              <w:kern w:val="2"/>
              <w:lang w:val="fr-BE" w:eastAsia="fr-BE"/>
              <w14:ligatures w14:val="standardContextual"/>
            </w:rPr>
          </w:pPr>
          <w:hyperlink w:anchor="_Toc164171875" w:history="1">
            <w:r w:rsidRPr="006606AB">
              <w:rPr>
                <w:rStyle w:val="Hyperlink"/>
                <w:noProof/>
              </w:rPr>
              <w:t>Amendment to Regulation (EC) 1107 / 2006 – Article 12 (new)</w:t>
            </w:r>
            <w:r>
              <w:rPr>
                <w:noProof/>
                <w:webHidden/>
              </w:rPr>
              <w:tab/>
            </w:r>
            <w:r>
              <w:rPr>
                <w:noProof/>
                <w:webHidden/>
              </w:rPr>
              <w:fldChar w:fldCharType="begin"/>
            </w:r>
            <w:r>
              <w:rPr>
                <w:noProof/>
                <w:webHidden/>
              </w:rPr>
              <w:instrText xml:space="preserve"> PAGEREF _Toc164171875 \h </w:instrText>
            </w:r>
            <w:r>
              <w:rPr>
                <w:noProof/>
                <w:webHidden/>
              </w:rPr>
            </w:r>
            <w:r>
              <w:rPr>
                <w:noProof/>
                <w:webHidden/>
              </w:rPr>
              <w:fldChar w:fldCharType="separate"/>
            </w:r>
            <w:r>
              <w:rPr>
                <w:noProof/>
                <w:webHidden/>
              </w:rPr>
              <w:t>8</w:t>
            </w:r>
            <w:r>
              <w:rPr>
                <w:noProof/>
                <w:webHidden/>
              </w:rPr>
              <w:fldChar w:fldCharType="end"/>
            </w:r>
          </w:hyperlink>
        </w:p>
        <w:p w14:paraId="1870951E" w14:textId="7ED933BC" w:rsidR="00694886" w:rsidRDefault="00694886">
          <w:pPr>
            <w:pStyle w:val="TOC2"/>
            <w:tabs>
              <w:tab w:val="right" w:leader="dot" w:pos="9962"/>
            </w:tabs>
            <w:rPr>
              <w:rFonts w:asciiTheme="minorHAnsi" w:eastAsiaTheme="minorEastAsia" w:hAnsiTheme="minorHAnsi" w:cstheme="minorBidi"/>
              <w:noProof/>
              <w:kern w:val="2"/>
              <w:lang w:val="fr-BE" w:eastAsia="fr-BE"/>
              <w14:ligatures w14:val="standardContextual"/>
            </w:rPr>
          </w:pPr>
          <w:hyperlink w:anchor="_Toc164171876" w:history="1">
            <w:r w:rsidRPr="006606AB">
              <w:rPr>
                <w:rStyle w:val="Hyperlink"/>
                <w:noProof/>
              </w:rPr>
              <w:t>Amendment to Regulation (EC) 1107 / 2006 – Article 14a (4 and 6)</w:t>
            </w:r>
            <w:r>
              <w:rPr>
                <w:noProof/>
                <w:webHidden/>
              </w:rPr>
              <w:tab/>
            </w:r>
            <w:r>
              <w:rPr>
                <w:noProof/>
                <w:webHidden/>
              </w:rPr>
              <w:fldChar w:fldCharType="begin"/>
            </w:r>
            <w:r>
              <w:rPr>
                <w:noProof/>
                <w:webHidden/>
              </w:rPr>
              <w:instrText xml:space="preserve"> PAGEREF _Toc164171876 \h </w:instrText>
            </w:r>
            <w:r>
              <w:rPr>
                <w:noProof/>
                <w:webHidden/>
              </w:rPr>
            </w:r>
            <w:r>
              <w:rPr>
                <w:noProof/>
                <w:webHidden/>
              </w:rPr>
              <w:fldChar w:fldCharType="separate"/>
            </w:r>
            <w:r>
              <w:rPr>
                <w:noProof/>
                <w:webHidden/>
              </w:rPr>
              <w:t>10</w:t>
            </w:r>
            <w:r>
              <w:rPr>
                <w:noProof/>
                <w:webHidden/>
              </w:rPr>
              <w:fldChar w:fldCharType="end"/>
            </w:r>
          </w:hyperlink>
        </w:p>
        <w:p w14:paraId="32156E0D" w14:textId="50BE4077" w:rsidR="00694886" w:rsidRDefault="00694886">
          <w:pPr>
            <w:pStyle w:val="TOC2"/>
            <w:tabs>
              <w:tab w:val="right" w:leader="dot" w:pos="9962"/>
            </w:tabs>
            <w:rPr>
              <w:rFonts w:asciiTheme="minorHAnsi" w:eastAsiaTheme="minorEastAsia" w:hAnsiTheme="minorHAnsi" w:cstheme="minorBidi"/>
              <w:noProof/>
              <w:kern w:val="2"/>
              <w:lang w:val="fr-BE" w:eastAsia="fr-BE"/>
              <w14:ligatures w14:val="standardContextual"/>
            </w:rPr>
          </w:pPr>
          <w:hyperlink w:anchor="_Toc164171877" w:history="1">
            <w:r w:rsidRPr="006606AB">
              <w:rPr>
                <w:rStyle w:val="Hyperlink"/>
                <w:noProof/>
              </w:rPr>
              <w:t>Amendment to Regulation (EC) 1107 / 2006 – Article 14 (new)</w:t>
            </w:r>
            <w:r>
              <w:rPr>
                <w:noProof/>
                <w:webHidden/>
              </w:rPr>
              <w:tab/>
            </w:r>
            <w:r>
              <w:rPr>
                <w:noProof/>
                <w:webHidden/>
              </w:rPr>
              <w:fldChar w:fldCharType="begin"/>
            </w:r>
            <w:r>
              <w:rPr>
                <w:noProof/>
                <w:webHidden/>
              </w:rPr>
              <w:instrText xml:space="preserve"> PAGEREF _Toc164171877 \h </w:instrText>
            </w:r>
            <w:r>
              <w:rPr>
                <w:noProof/>
                <w:webHidden/>
              </w:rPr>
            </w:r>
            <w:r>
              <w:rPr>
                <w:noProof/>
                <w:webHidden/>
              </w:rPr>
              <w:fldChar w:fldCharType="separate"/>
            </w:r>
            <w:r>
              <w:rPr>
                <w:noProof/>
                <w:webHidden/>
              </w:rPr>
              <w:t>11</w:t>
            </w:r>
            <w:r>
              <w:rPr>
                <w:noProof/>
                <w:webHidden/>
              </w:rPr>
              <w:fldChar w:fldCharType="end"/>
            </w:r>
          </w:hyperlink>
        </w:p>
        <w:p w14:paraId="7B2BAD81" w14:textId="3E4A7395" w:rsidR="00694886" w:rsidRDefault="00694886">
          <w:pPr>
            <w:pStyle w:val="TOC2"/>
            <w:tabs>
              <w:tab w:val="right" w:leader="dot" w:pos="9962"/>
            </w:tabs>
            <w:rPr>
              <w:rFonts w:asciiTheme="minorHAnsi" w:eastAsiaTheme="minorEastAsia" w:hAnsiTheme="minorHAnsi" w:cstheme="minorBidi"/>
              <w:noProof/>
              <w:kern w:val="2"/>
              <w:lang w:val="fr-BE" w:eastAsia="fr-BE"/>
              <w14:ligatures w14:val="standardContextual"/>
            </w:rPr>
          </w:pPr>
          <w:hyperlink w:anchor="_Toc164171878" w:history="1">
            <w:r w:rsidRPr="006606AB">
              <w:rPr>
                <w:rStyle w:val="Hyperlink"/>
                <w:noProof/>
              </w:rPr>
              <w:t>Amendment to Regulation (EC) 1107 / 2006 – Article 14c</w:t>
            </w:r>
            <w:r>
              <w:rPr>
                <w:noProof/>
                <w:webHidden/>
              </w:rPr>
              <w:tab/>
            </w:r>
            <w:r>
              <w:rPr>
                <w:noProof/>
                <w:webHidden/>
              </w:rPr>
              <w:fldChar w:fldCharType="begin"/>
            </w:r>
            <w:r>
              <w:rPr>
                <w:noProof/>
                <w:webHidden/>
              </w:rPr>
              <w:instrText xml:space="preserve"> PAGEREF _Toc164171878 \h </w:instrText>
            </w:r>
            <w:r>
              <w:rPr>
                <w:noProof/>
                <w:webHidden/>
              </w:rPr>
            </w:r>
            <w:r>
              <w:rPr>
                <w:noProof/>
                <w:webHidden/>
              </w:rPr>
              <w:fldChar w:fldCharType="separate"/>
            </w:r>
            <w:r>
              <w:rPr>
                <w:noProof/>
                <w:webHidden/>
              </w:rPr>
              <w:t>12</w:t>
            </w:r>
            <w:r>
              <w:rPr>
                <w:noProof/>
                <w:webHidden/>
              </w:rPr>
              <w:fldChar w:fldCharType="end"/>
            </w:r>
          </w:hyperlink>
        </w:p>
        <w:p w14:paraId="55AC2453" w14:textId="5BC62C70" w:rsidR="00694886" w:rsidRDefault="00694886">
          <w:pPr>
            <w:pStyle w:val="TOC2"/>
            <w:tabs>
              <w:tab w:val="right" w:leader="dot" w:pos="9962"/>
            </w:tabs>
            <w:rPr>
              <w:rFonts w:asciiTheme="minorHAnsi" w:eastAsiaTheme="minorEastAsia" w:hAnsiTheme="minorHAnsi" w:cstheme="minorBidi"/>
              <w:noProof/>
              <w:kern w:val="2"/>
              <w:lang w:val="fr-BE" w:eastAsia="fr-BE"/>
              <w14:ligatures w14:val="standardContextual"/>
            </w:rPr>
          </w:pPr>
          <w:hyperlink w:anchor="_Toc164171879" w:history="1">
            <w:r w:rsidRPr="006606AB">
              <w:rPr>
                <w:rStyle w:val="Hyperlink"/>
                <w:noProof/>
              </w:rPr>
              <w:t>Amendment to Regulation (EC) 1107 / 2006 – Article 14d</w:t>
            </w:r>
            <w:r>
              <w:rPr>
                <w:noProof/>
                <w:webHidden/>
              </w:rPr>
              <w:tab/>
            </w:r>
            <w:r>
              <w:rPr>
                <w:noProof/>
                <w:webHidden/>
              </w:rPr>
              <w:fldChar w:fldCharType="begin"/>
            </w:r>
            <w:r>
              <w:rPr>
                <w:noProof/>
                <w:webHidden/>
              </w:rPr>
              <w:instrText xml:space="preserve"> PAGEREF _Toc164171879 \h </w:instrText>
            </w:r>
            <w:r>
              <w:rPr>
                <w:noProof/>
                <w:webHidden/>
              </w:rPr>
            </w:r>
            <w:r>
              <w:rPr>
                <w:noProof/>
                <w:webHidden/>
              </w:rPr>
              <w:fldChar w:fldCharType="separate"/>
            </w:r>
            <w:r>
              <w:rPr>
                <w:noProof/>
                <w:webHidden/>
              </w:rPr>
              <w:t>12</w:t>
            </w:r>
            <w:r>
              <w:rPr>
                <w:noProof/>
                <w:webHidden/>
              </w:rPr>
              <w:fldChar w:fldCharType="end"/>
            </w:r>
          </w:hyperlink>
        </w:p>
        <w:p w14:paraId="47FA64BC" w14:textId="33B3870E" w:rsidR="00694886" w:rsidRDefault="00694886">
          <w:pPr>
            <w:pStyle w:val="TOC2"/>
            <w:tabs>
              <w:tab w:val="right" w:leader="dot" w:pos="9962"/>
            </w:tabs>
            <w:rPr>
              <w:rFonts w:asciiTheme="minorHAnsi" w:eastAsiaTheme="minorEastAsia" w:hAnsiTheme="minorHAnsi" w:cstheme="minorBidi"/>
              <w:noProof/>
              <w:kern w:val="2"/>
              <w:lang w:val="fr-BE" w:eastAsia="fr-BE"/>
              <w14:ligatures w14:val="standardContextual"/>
            </w:rPr>
          </w:pPr>
          <w:hyperlink w:anchor="_Toc164171880" w:history="1">
            <w:r w:rsidRPr="006606AB">
              <w:rPr>
                <w:rStyle w:val="Hyperlink"/>
                <w:noProof/>
              </w:rPr>
              <w:t>Amendment to Regulation (EC) 1107 / 2006 – Article 15a (new)</w:t>
            </w:r>
            <w:r>
              <w:rPr>
                <w:noProof/>
                <w:webHidden/>
              </w:rPr>
              <w:tab/>
            </w:r>
            <w:r>
              <w:rPr>
                <w:noProof/>
                <w:webHidden/>
              </w:rPr>
              <w:fldChar w:fldCharType="begin"/>
            </w:r>
            <w:r>
              <w:rPr>
                <w:noProof/>
                <w:webHidden/>
              </w:rPr>
              <w:instrText xml:space="preserve"> PAGEREF _Toc164171880 \h </w:instrText>
            </w:r>
            <w:r>
              <w:rPr>
                <w:noProof/>
                <w:webHidden/>
              </w:rPr>
            </w:r>
            <w:r>
              <w:rPr>
                <w:noProof/>
                <w:webHidden/>
              </w:rPr>
              <w:fldChar w:fldCharType="separate"/>
            </w:r>
            <w:r>
              <w:rPr>
                <w:noProof/>
                <w:webHidden/>
              </w:rPr>
              <w:t>13</w:t>
            </w:r>
            <w:r>
              <w:rPr>
                <w:noProof/>
                <w:webHidden/>
              </w:rPr>
              <w:fldChar w:fldCharType="end"/>
            </w:r>
          </w:hyperlink>
        </w:p>
        <w:p w14:paraId="6BF75F4E" w14:textId="35D1A3C6" w:rsidR="00694886" w:rsidRDefault="00694886">
          <w:pPr>
            <w:pStyle w:val="TOC2"/>
            <w:tabs>
              <w:tab w:val="right" w:leader="dot" w:pos="9962"/>
            </w:tabs>
            <w:rPr>
              <w:rFonts w:asciiTheme="minorHAnsi" w:eastAsiaTheme="minorEastAsia" w:hAnsiTheme="minorHAnsi" w:cstheme="minorBidi"/>
              <w:noProof/>
              <w:kern w:val="2"/>
              <w:lang w:val="fr-BE" w:eastAsia="fr-BE"/>
              <w14:ligatures w14:val="standardContextual"/>
            </w:rPr>
          </w:pPr>
          <w:hyperlink w:anchor="_Toc164171881" w:history="1">
            <w:r w:rsidRPr="006606AB">
              <w:rPr>
                <w:rStyle w:val="Hyperlink"/>
                <w:noProof/>
              </w:rPr>
              <w:t>Amendment to Regulation (EC) 1107/2006 – Annex I new</w:t>
            </w:r>
            <w:r>
              <w:rPr>
                <w:noProof/>
                <w:webHidden/>
              </w:rPr>
              <w:tab/>
            </w:r>
            <w:r>
              <w:rPr>
                <w:noProof/>
                <w:webHidden/>
              </w:rPr>
              <w:fldChar w:fldCharType="begin"/>
            </w:r>
            <w:r>
              <w:rPr>
                <w:noProof/>
                <w:webHidden/>
              </w:rPr>
              <w:instrText xml:space="preserve"> PAGEREF _Toc164171881 \h </w:instrText>
            </w:r>
            <w:r>
              <w:rPr>
                <w:noProof/>
                <w:webHidden/>
              </w:rPr>
            </w:r>
            <w:r>
              <w:rPr>
                <w:noProof/>
                <w:webHidden/>
              </w:rPr>
              <w:fldChar w:fldCharType="separate"/>
            </w:r>
            <w:r>
              <w:rPr>
                <w:noProof/>
                <w:webHidden/>
              </w:rPr>
              <w:t>14</w:t>
            </w:r>
            <w:r>
              <w:rPr>
                <w:noProof/>
                <w:webHidden/>
              </w:rPr>
              <w:fldChar w:fldCharType="end"/>
            </w:r>
          </w:hyperlink>
        </w:p>
        <w:p w14:paraId="0C101977" w14:textId="7D75098D" w:rsidR="00694886" w:rsidRDefault="00694886">
          <w:pPr>
            <w:pStyle w:val="TOC2"/>
            <w:tabs>
              <w:tab w:val="right" w:leader="dot" w:pos="9962"/>
            </w:tabs>
            <w:rPr>
              <w:rFonts w:asciiTheme="minorHAnsi" w:eastAsiaTheme="minorEastAsia" w:hAnsiTheme="minorHAnsi" w:cstheme="minorBidi"/>
              <w:noProof/>
              <w:kern w:val="2"/>
              <w:lang w:val="fr-BE" w:eastAsia="fr-BE"/>
              <w14:ligatures w14:val="standardContextual"/>
            </w:rPr>
          </w:pPr>
          <w:hyperlink w:anchor="_Toc164171882" w:history="1">
            <w:r w:rsidRPr="006606AB">
              <w:rPr>
                <w:rStyle w:val="Hyperlink"/>
                <w:noProof/>
              </w:rPr>
              <w:t>Amendment to Regulation (EC) 1177 / 2010 – Article 16</w:t>
            </w:r>
            <w:r>
              <w:rPr>
                <w:noProof/>
                <w:webHidden/>
              </w:rPr>
              <w:tab/>
            </w:r>
            <w:r>
              <w:rPr>
                <w:noProof/>
                <w:webHidden/>
              </w:rPr>
              <w:fldChar w:fldCharType="begin"/>
            </w:r>
            <w:r>
              <w:rPr>
                <w:noProof/>
                <w:webHidden/>
              </w:rPr>
              <w:instrText xml:space="preserve"> PAGEREF _Toc164171882 \h </w:instrText>
            </w:r>
            <w:r>
              <w:rPr>
                <w:noProof/>
                <w:webHidden/>
              </w:rPr>
            </w:r>
            <w:r>
              <w:rPr>
                <w:noProof/>
                <w:webHidden/>
              </w:rPr>
              <w:fldChar w:fldCharType="separate"/>
            </w:r>
            <w:r>
              <w:rPr>
                <w:noProof/>
                <w:webHidden/>
              </w:rPr>
              <w:t>15</w:t>
            </w:r>
            <w:r>
              <w:rPr>
                <w:noProof/>
                <w:webHidden/>
              </w:rPr>
              <w:fldChar w:fldCharType="end"/>
            </w:r>
          </w:hyperlink>
        </w:p>
        <w:p w14:paraId="60ADB3E2" w14:textId="191DB55E" w:rsidR="00694886" w:rsidRDefault="00694886">
          <w:pPr>
            <w:pStyle w:val="TOC2"/>
            <w:tabs>
              <w:tab w:val="right" w:leader="dot" w:pos="9962"/>
            </w:tabs>
            <w:rPr>
              <w:rFonts w:asciiTheme="minorHAnsi" w:eastAsiaTheme="minorEastAsia" w:hAnsiTheme="minorHAnsi" w:cstheme="minorBidi"/>
              <w:noProof/>
              <w:kern w:val="2"/>
              <w:lang w:val="fr-BE" w:eastAsia="fr-BE"/>
              <w14:ligatures w14:val="standardContextual"/>
            </w:rPr>
          </w:pPr>
          <w:hyperlink w:anchor="_Toc164171883" w:history="1">
            <w:r w:rsidRPr="006606AB">
              <w:rPr>
                <w:rStyle w:val="Hyperlink"/>
                <w:noProof/>
              </w:rPr>
              <w:t>Amendment to Regulation (EC) 1177 / 2010 – Article 19a</w:t>
            </w:r>
            <w:r>
              <w:rPr>
                <w:noProof/>
                <w:webHidden/>
              </w:rPr>
              <w:tab/>
            </w:r>
            <w:r>
              <w:rPr>
                <w:noProof/>
                <w:webHidden/>
              </w:rPr>
              <w:fldChar w:fldCharType="begin"/>
            </w:r>
            <w:r>
              <w:rPr>
                <w:noProof/>
                <w:webHidden/>
              </w:rPr>
              <w:instrText xml:space="preserve"> PAGEREF _Toc164171883 \h </w:instrText>
            </w:r>
            <w:r>
              <w:rPr>
                <w:noProof/>
                <w:webHidden/>
              </w:rPr>
            </w:r>
            <w:r>
              <w:rPr>
                <w:noProof/>
                <w:webHidden/>
              </w:rPr>
              <w:fldChar w:fldCharType="separate"/>
            </w:r>
            <w:r>
              <w:rPr>
                <w:noProof/>
                <w:webHidden/>
              </w:rPr>
              <w:t>16</w:t>
            </w:r>
            <w:r>
              <w:rPr>
                <w:noProof/>
                <w:webHidden/>
              </w:rPr>
              <w:fldChar w:fldCharType="end"/>
            </w:r>
          </w:hyperlink>
        </w:p>
        <w:p w14:paraId="02DAD426" w14:textId="4747D3A0" w:rsidR="00694886" w:rsidRDefault="00694886">
          <w:pPr>
            <w:pStyle w:val="TOC2"/>
            <w:tabs>
              <w:tab w:val="right" w:leader="dot" w:pos="9962"/>
            </w:tabs>
            <w:rPr>
              <w:rFonts w:asciiTheme="minorHAnsi" w:eastAsiaTheme="minorEastAsia" w:hAnsiTheme="minorHAnsi" w:cstheme="minorBidi"/>
              <w:noProof/>
              <w:kern w:val="2"/>
              <w:lang w:val="fr-BE" w:eastAsia="fr-BE"/>
              <w14:ligatures w14:val="standardContextual"/>
            </w:rPr>
          </w:pPr>
          <w:hyperlink w:anchor="_Toc164171884" w:history="1">
            <w:r w:rsidRPr="006606AB">
              <w:rPr>
                <w:rStyle w:val="Hyperlink"/>
                <w:noProof/>
              </w:rPr>
              <w:t>Amendment to Regulation (EC) 1177 / 2010 – Article 23</w:t>
            </w:r>
            <w:r>
              <w:rPr>
                <w:noProof/>
                <w:webHidden/>
              </w:rPr>
              <w:tab/>
            </w:r>
            <w:r>
              <w:rPr>
                <w:noProof/>
                <w:webHidden/>
              </w:rPr>
              <w:fldChar w:fldCharType="begin"/>
            </w:r>
            <w:r>
              <w:rPr>
                <w:noProof/>
                <w:webHidden/>
              </w:rPr>
              <w:instrText xml:space="preserve"> PAGEREF _Toc164171884 \h </w:instrText>
            </w:r>
            <w:r>
              <w:rPr>
                <w:noProof/>
                <w:webHidden/>
              </w:rPr>
            </w:r>
            <w:r>
              <w:rPr>
                <w:noProof/>
                <w:webHidden/>
              </w:rPr>
              <w:fldChar w:fldCharType="separate"/>
            </w:r>
            <w:r>
              <w:rPr>
                <w:noProof/>
                <w:webHidden/>
              </w:rPr>
              <w:t>17</w:t>
            </w:r>
            <w:r>
              <w:rPr>
                <w:noProof/>
                <w:webHidden/>
              </w:rPr>
              <w:fldChar w:fldCharType="end"/>
            </w:r>
          </w:hyperlink>
        </w:p>
        <w:p w14:paraId="200970A0" w14:textId="2F22E262" w:rsidR="00694886" w:rsidRDefault="00694886">
          <w:pPr>
            <w:pStyle w:val="TOC2"/>
            <w:tabs>
              <w:tab w:val="right" w:leader="dot" w:pos="9962"/>
            </w:tabs>
            <w:rPr>
              <w:rFonts w:asciiTheme="minorHAnsi" w:eastAsiaTheme="minorEastAsia" w:hAnsiTheme="minorHAnsi" w:cstheme="minorBidi"/>
              <w:noProof/>
              <w:kern w:val="2"/>
              <w:lang w:val="fr-BE" w:eastAsia="fr-BE"/>
              <w14:ligatures w14:val="standardContextual"/>
            </w:rPr>
          </w:pPr>
          <w:hyperlink w:anchor="_Toc164171885" w:history="1">
            <w:r w:rsidRPr="006606AB">
              <w:rPr>
                <w:rStyle w:val="Hyperlink"/>
                <w:noProof/>
              </w:rPr>
              <w:t>Amendment to Regulation (EC) 1177 / 2010 – Article 23a</w:t>
            </w:r>
            <w:r>
              <w:rPr>
                <w:noProof/>
                <w:webHidden/>
              </w:rPr>
              <w:tab/>
            </w:r>
            <w:r>
              <w:rPr>
                <w:noProof/>
                <w:webHidden/>
              </w:rPr>
              <w:fldChar w:fldCharType="begin"/>
            </w:r>
            <w:r>
              <w:rPr>
                <w:noProof/>
                <w:webHidden/>
              </w:rPr>
              <w:instrText xml:space="preserve"> PAGEREF _Toc164171885 \h </w:instrText>
            </w:r>
            <w:r>
              <w:rPr>
                <w:noProof/>
                <w:webHidden/>
              </w:rPr>
            </w:r>
            <w:r>
              <w:rPr>
                <w:noProof/>
                <w:webHidden/>
              </w:rPr>
              <w:fldChar w:fldCharType="separate"/>
            </w:r>
            <w:r>
              <w:rPr>
                <w:noProof/>
                <w:webHidden/>
              </w:rPr>
              <w:t>18</w:t>
            </w:r>
            <w:r>
              <w:rPr>
                <w:noProof/>
                <w:webHidden/>
              </w:rPr>
              <w:fldChar w:fldCharType="end"/>
            </w:r>
          </w:hyperlink>
        </w:p>
        <w:p w14:paraId="25327429" w14:textId="3D83216F" w:rsidR="00694886" w:rsidRDefault="00694886">
          <w:pPr>
            <w:pStyle w:val="TOC2"/>
            <w:tabs>
              <w:tab w:val="right" w:leader="dot" w:pos="9962"/>
            </w:tabs>
            <w:rPr>
              <w:rFonts w:asciiTheme="minorHAnsi" w:eastAsiaTheme="minorEastAsia" w:hAnsiTheme="minorHAnsi" w:cstheme="minorBidi"/>
              <w:noProof/>
              <w:kern w:val="2"/>
              <w:lang w:val="fr-BE" w:eastAsia="fr-BE"/>
              <w14:ligatures w14:val="standardContextual"/>
            </w:rPr>
          </w:pPr>
          <w:hyperlink w:anchor="_Toc164171886" w:history="1">
            <w:r w:rsidRPr="006606AB">
              <w:rPr>
                <w:rStyle w:val="Hyperlink"/>
                <w:noProof/>
              </w:rPr>
              <w:t>Amendment to Regulation (EC) 1177 / 2010 – Article 24a (3)</w:t>
            </w:r>
            <w:r>
              <w:rPr>
                <w:noProof/>
                <w:webHidden/>
              </w:rPr>
              <w:tab/>
            </w:r>
            <w:r>
              <w:rPr>
                <w:noProof/>
                <w:webHidden/>
              </w:rPr>
              <w:fldChar w:fldCharType="begin"/>
            </w:r>
            <w:r>
              <w:rPr>
                <w:noProof/>
                <w:webHidden/>
              </w:rPr>
              <w:instrText xml:space="preserve"> PAGEREF _Toc164171886 \h </w:instrText>
            </w:r>
            <w:r>
              <w:rPr>
                <w:noProof/>
                <w:webHidden/>
              </w:rPr>
            </w:r>
            <w:r>
              <w:rPr>
                <w:noProof/>
                <w:webHidden/>
              </w:rPr>
              <w:fldChar w:fldCharType="separate"/>
            </w:r>
            <w:r>
              <w:rPr>
                <w:noProof/>
                <w:webHidden/>
              </w:rPr>
              <w:t>19</w:t>
            </w:r>
            <w:r>
              <w:rPr>
                <w:noProof/>
                <w:webHidden/>
              </w:rPr>
              <w:fldChar w:fldCharType="end"/>
            </w:r>
          </w:hyperlink>
        </w:p>
        <w:p w14:paraId="1B9EFEB2" w14:textId="7F8A4703" w:rsidR="00694886" w:rsidRDefault="00694886">
          <w:pPr>
            <w:pStyle w:val="TOC2"/>
            <w:tabs>
              <w:tab w:val="right" w:leader="dot" w:pos="9962"/>
            </w:tabs>
            <w:rPr>
              <w:rFonts w:asciiTheme="minorHAnsi" w:eastAsiaTheme="minorEastAsia" w:hAnsiTheme="minorHAnsi" w:cstheme="minorBidi"/>
              <w:noProof/>
              <w:kern w:val="2"/>
              <w:lang w:val="fr-BE" w:eastAsia="fr-BE"/>
              <w14:ligatures w14:val="standardContextual"/>
            </w:rPr>
          </w:pPr>
          <w:hyperlink w:anchor="_Toc164171887" w:history="1">
            <w:r w:rsidRPr="006606AB">
              <w:rPr>
                <w:rStyle w:val="Hyperlink"/>
                <w:noProof/>
              </w:rPr>
              <w:t>Amendment to Regulation (EC) 1177 / 2010 – Article 25a (4 and 6)</w:t>
            </w:r>
            <w:r>
              <w:rPr>
                <w:noProof/>
                <w:webHidden/>
              </w:rPr>
              <w:tab/>
            </w:r>
            <w:r>
              <w:rPr>
                <w:noProof/>
                <w:webHidden/>
              </w:rPr>
              <w:fldChar w:fldCharType="begin"/>
            </w:r>
            <w:r>
              <w:rPr>
                <w:noProof/>
                <w:webHidden/>
              </w:rPr>
              <w:instrText xml:space="preserve"> PAGEREF _Toc164171887 \h </w:instrText>
            </w:r>
            <w:r>
              <w:rPr>
                <w:noProof/>
                <w:webHidden/>
              </w:rPr>
            </w:r>
            <w:r>
              <w:rPr>
                <w:noProof/>
                <w:webHidden/>
              </w:rPr>
              <w:fldChar w:fldCharType="separate"/>
            </w:r>
            <w:r>
              <w:rPr>
                <w:noProof/>
                <w:webHidden/>
              </w:rPr>
              <w:t>20</w:t>
            </w:r>
            <w:r>
              <w:rPr>
                <w:noProof/>
                <w:webHidden/>
              </w:rPr>
              <w:fldChar w:fldCharType="end"/>
            </w:r>
          </w:hyperlink>
        </w:p>
        <w:p w14:paraId="3D9DB62D" w14:textId="5EBC1682" w:rsidR="00694886" w:rsidRDefault="00694886">
          <w:pPr>
            <w:pStyle w:val="TOC2"/>
            <w:tabs>
              <w:tab w:val="right" w:leader="dot" w:pos="9962"/>
            </w:tabs>
            <w:rPr>
              <w:rFonts w:asciiTheme="minorHAnsi" w:eastAsiaTheme="minorEastAsia" w:hAnsiTheme="minorHAnsi" w:cstheme="minorBidi"/>
              <w:noProof/>
              <w:kern w:val="2"/>
              <w:lang w:val="fr-BE" w:eastAsia="fr-BE"/>
              <w14:ligatures w14:val="standardContextual"/>
            </w:rPr>
          </w:pPr>
          <w:hyperlink w:anchor="_Toc164171888" w:history="1">
            <w:r w:rsidRPr="006606AB">
              <w:rPr>
                <w:rStyle w:val="Hyperlink"/>
                <w:noProof/>
              </w:rPr>
              <w:t>Amendment to Regulation (EC) 1177 / 2010 – Article 25c</w:t>
            </w:r>
            <w:r>
              <w:rPr>
                <w:noProof/>
                <w:webHidden/>
              </w:rPr>
              <w:tab/>
            </w:r>
            <w:r>
              <w:rPr>
                <w:noProof/>
                <w:webHidden/>
              </w:rPr>
              <w:fldChar w:fldCharType="begin"/>
            </w:r>
            <w:r>
              <w:rPr>
                <w:noProof/>
                <w:webHidden/>
              </w:rPr>
              <w:instrText xml:space="preserve"> PAGEREF _Toc164171888 \h </w:instrText>
            </w:r>
            <w:r>
              <w:rPr>
                <w:noProof/>
                <w:webHidden/>
              </w:rPr>
            </w:r>
            <w:r>
              <w:rPr>
                <w:noProof/>
                <w:webHidden/>
              </w:rPr>
              <w:fldChar w:fldCharType="separate"/>
            </w:r>
            <w:r>
              <w:rPr>
                <w:noProof/>
                <w:webHidden/>
              </w:rPr>
              <w:t>21</w:t>
            </w:r>
            <w:r>
              <w:rPr>
                <w:noProof/>
                <w:webHidden/>
              </w:rPr>
              <w:fldChar w:fldCharType="end"/>
            </w:r>
          </w:hyperlink>
        </w:p>
        <w:p w14:paraId="6662A912" w14:textId="2E4D2E2B" w:rsidR="00694886" w:rsidRDefault="00694886">
          <w:pPr>
            <w:pStyle w:val="TOC2"/>
            <w:tabs>
              <w:tab w:val="right" w:leader="dot" w:pos="9962"/>
            </w:tabs>
            <w:rPr>
              <w:rFonts w:asciiTheme="minorHAnsi" w:eastAsiaTheme="minorEastAsia" w:hAnsiTheme="minorHAnsi" w:cstheme="minorBidi"/>
              <w:noProof/>
              <w:kern w:val="2"/>
              <w:lang w:val="fr-BE" w:eastAsia="fr-BE"/>
              <w14:ligatures w14:val="standardContextual"/>
            </w:rPr>
          </w:pPr>
          <w:hyperlink w:anchor="_Toc164171889" w:history="1">
            <w:r w:rsidRPr="006606AB">
              <w:rPr>
                <w:rStyle w:val="Hyperlink"/>
                <w:noProof/>
              </w:rPr>
              <w:t>Amendment to Regulation (EC) 1177 / 2010 – Article 27a</w:t>
            </w:r>
            <w:r>
              <w:rPr>
                <w:noProof/>
                <w:webHidden/>
              </w:rPr>
              <w:tab/>
            </w:r>
            <w:r>
              <w:rPr>
                <w:noProof/>
                <w:webHidden/>
              </w:rPr>
              <w:fldChar w:fldCharType="begin"/>
            </w:r>
            <w:r>
              <w:rPr>
                <w:noProof/>
                <w:webHidden/>
              </w:rPr>
              <w:instrText xml:space="preserve"> PAGEREF _Toc164171889 \h </w:instrText>
            </w:r>
            <w:r>
              <w:rPr>
                <w:noProof/>
                <w:webHidden/>
              </w:rPr>
            </w:r>
            <w:r>
              <w:rPr>
                <w:noProof/>
                <w:webHidden/>
              </w:rPr>
              <w:fldChar w:fldCharType="separate"/>
            </w:r>
            <w:r>
              <w:rPr>
                <w:noProof/>
                <w:webHidden/>
              </w:rPr>
              <w:t>21</w:t>
            </w:r>
            <w:r>
              <w:rPr>
                <w:noProof/>
                <w:webHidden/>
              </w:rPr>
              <w:fldChar w:fldCharType="end"/>
            </w:r>
          </w:hyperlink>
        </w:p>
        <w:p w14:paraId="71FD17BD" w14:textId="649A8879" w:rsidR="00694886" w:rsidRDefault="00694886">
          <w:pPr>
            <w:pStyle w:val="TOC2"/>
            <w:tabs>
              <w:tab w:val="right" w:leader="dot" w:pos="9962"/>
            </w:tabs>
            <w:rPr>
              <w:rFonts w:asciiTheme="minorHAnsi" w:eastAsiaTheme="minorEastAsia" w:hAnsiTheme="minorHAnsi" w:cstheme="minorBidi"/>
              <w:noProof/>
              <w:kern w:val="2"/>
              <w:lang w:val="fr-BE" w:eastAsia="fr-BE"/>
              <w14:ligatures w14:val="standardContextual"/>
            </w:rPr>
          </w:pPr>
          <w:hyperlink w:anchor="_Toc164171890" w:history="1">
            <w:r w:rsidRPr="006606AB">
              <w:rPr>
                <w:rStyle w:val="Hyperlink"/>
                <w:noProof/>
              </w:rPr>
              <w:t>Amendment to Regulation (EU) 181 / 2011 – Article 19a</w:t>
            </w:r>
            <w:r>
              <w:rPr>
                <w:noProof/>
                <w:webHidden/>
              </w:rPr>
              <w:tab/>
            </w:r>
            <w:r>
              <w:rPr>
                <w:noProof/>
                <w:webHidden/>
              </w:rPr>
              <w:fldChar w:fldCharType="begin"/>
            </w:r>
            <w:r>
              <w:rPr>
                <w:noProof/>
                <w:webHidden/>
              </w:rPr>
              <w:instrText xml:space="preserve"> PAGEREF _Toc164171890 \h </w:instrText>
            </w:r>
            <w:r>
              <w:rPr>
                <w:noProof/>
                <w:webHidden/>
              </w:rPr>
            </w:r>
            <w:r>
              <w:rPr>
                <w:noProof/>
                <w:webHidden/>
              </w:rPr>
              <w:fldChar w:fldCharType="separate"/>
            </w:r>
            <w:r>
              <w:rPr>
                <w:noProof/>
                <w:webHidden/>
              </w:rPr>
              <w:t>22</w:t>
            </w:r>
            <w:r>
              <w:rPr>
                <w:noProof/>
                <w:webHidden/>
              </w:rPr>
              <w:fldChar w:fldCharType="end"/>
            </w:r>
          </w:hyperlink>
        </w:p>
        <w:p w14:paraId="1584A5B3" w14:textId="387250C0" w:rsidR="00694886" w:rsidRDefault="00694886">
          <w:pPr>
            <w:pStyle w:val="TOC2"/>
            <w:tabs>
              <w:tab w:val="right" w:leader="dot" w:pos="9962"/>
            </w:tabs>
            <w:rPr>
              <w:rFonts w:asciiTheme="minorHAnsi" w:eastAsiaTheme="minorEastAsia" w:hAnsiTheme="minorHAnsi" w:cstheme="minorBidi"/>
              <w:noProof/>
              <w:kern w:val="2"/>
              <w:lang w:val="fr-BE" w:eastAsia="fr-BE"/>
              <w14:ligatures w14:val="standardContextual"/>
            </w:rPr>
          </w:pPr>
          <w:hyperlink w:anchor="_Toc164171891" w:history="1">
            <w:r w:rsidRPr="006606AB">
              <w:rPr>
                <w:rStyle w:val="Hyperlink"/>
                <w:noProof/>
              </w:rPr>
              <w:t>Amendment to Regulation (EU) 181 / 2011 – Article 20</w:t>
            </w:r>
            <w:r>
              <w:rPr>
                <w:noProof/>
                <w:webHidden/>
              </w:rPr>
              <w:tab/>
            </w:r>
            <w:r>
              <w:rPr>
                <w:noProof/>
                <w:webHidden/>
              </w:rPr>
              <w:fldChar w:fldCharType="begin"/>
            </w:r>
            <w:r>
              <w:rPr>
                <w:noProof/>
                <w:webHidden/>
              </w:rPr>
              <w:instrText xml:space="preserve"> PAGEREF _Toc164171891 \h </w:instrText>
            </w:r>
            <w:r>
              <w:rPr>
                <w:noProof/>
                <w:webHidden/>
              </w:rPr>
            </w:r>
            <w:r>
              <w:rPr>
                <w:noProof/>
                <w:webHidden/>
              </w:rPr>
              <w:fldChar w:fldCharType="separate"/>
            </w:r>
            <w:r>
              <w:rPr>
                <w:noProof/>
                <w:webHidden/>
              </w:rPr>
              <w:t>23</w:t>
            </w:r>
            <w:r>
              <w:rPr>
                <w:noProof/>
                <w:webHidden/>
              </w:rPr>
              <w:fldChar w:fldCharType="end"/>
            </w:r>
          </w:hyperlink>
        </w:p>
        <w:p w14:paraId="1CD57735" w14:textId="3263A7D1" w:rsidR="00694886" w:rsidRDefault="00694886">
          <w:pPr>
            <w:pStyle w:val="TOC2"/>
            <w:tabs>
              <w:tab w:val="right" w:leader="dot" w:pos="9962"/>
            </w:tabs>
            <w:rPr>
              <w:rFonts w:asciiTheme="minorHAnsi" w:eastAsiaTheme="minorEastAsia" w:hAnsiTheme="minorHAnsi" w:cstheme="minorBidi"/>
              <w:noProof/>
              <w:kern w:val="2"/>
              <w:lang w:val="fr-BE" w:eastAsia="fr-BE"/>
              <w14:ligatures w14:val="standardContextual"/>
            </w:rPr>
          </w:pPr>
          <w:hyperlink w:anchor="_Toc164171892" w:history="1">
            <w:r w:rsidRPr="006606AB">
              <w:rPr>
                <w:rStyle w:val="Hyperlink"/>
                <w:noProof/>
              </w:rPr>
              <w:t>Amendment to Regulation (EU) 181 / 2011 – Article 24</w:t>
            </w:r>
            <w:r>
              <w:rPr>
                <w:noProof/>
                <w:webHidden/>
              </w:rPr>
              <w:tab/>
            </w:r>
            <w:r>
              <w:rPr>
                <w:noProof/>
                <w:webHidden/>
              </w:rPr>
              <w:fldChar w:fldCharType="begin"/>
            </w:r>
            <w:r>
              <w:rPr>
                <w:noProof/>
                <w:webHidden/>
              </w:rPr>
              <w:instrText xml:space="preserve"> PAGEREF _Toc164171892 \h </w:instrText>
            </w:r>
            <w:r>
              <w:rPr>
                <w:noProof/>
                <w:webHidden/>
              </w:rPr>
            </w:r>
            <w:r>
              <w:rPr>
                <w:noProof/>
                <w:webHidden/>
              </w:rPr>
              <w:fldChar w:fldCharType="separate"/>
            </w:r>
            <w:r>
              <w:rPr>
                <w:noProof/>
                <w:webHidden/>
              </w:rPr>
              <w:t>24</w:t>
            </w:r>
            <w:r>
              <w:rPr>
                <w:noProof/>
                <w:webHidden/>
              </w:rPr>
              <w:fldChar w:fldCharType="end"/>
            </w:r>
          </w:hyperlink>
        </w:p>
        <w:p w14:paraId="444AE20D" w14:textId="46CF1FA9" w:rsidR="00694886" w:rsidRDefault="00694886">
          <w:pPr>
            <w:pStyle w:val="TOC2"/>
            <w:tabs>
              <w:tab w:val="right" w:leader="dot" w:pos="9962"/>
            </w:tabs>
            <w:rPr>
              <w:rFonts w:asciiTheme="minorHAnsi" w:eastAsiaTheme="minorEastAsia" w:hAnsiTheme="minorHAnsi" w:cstheme="minorBidi"/>
              <w:noProof/>
              <w:kern w:val="2"/>
              <w:lang w:val="fr-BE" w:eastAsia="fr-BE"/>
              <w14:ligatures w14:val="standardContextual"/>
            </w:rPr>
          </w:pPr>
          <w:hyperlink w:anchor="_Toc164171893" w:history="1">
            <w:r w:rsidRPr="006606AB">
              <w:rPr>
                <w:rStyle w:val="Hyperlink"/>
                <w:noProof/>
              </w:rPr>
              <w:t>Amendments to Regulation (EU) 181 / 2011 – Article 25</w:t>
            </w:r>
            <w:r>
              <w:rPr>
                <w:noProof/>
                <w:webHidden/>
              </w:rPr>
              <w:tab/>
            </w:r>
            <w:r>
              <w:rPr>
                <w:noProof/>
                <w:webHidden/>
              </w:rPr>
              <w:fldChar w:fldCharType="begin"/>
            </w:r>
            <w:r>
              <w:rPr>
                <w:noProof/>
                <w:webHidden/>
              </w:rPr>
              <w:instrText xml:space="preserve"> PAGEREF _Toc164171893 \h </w:instrText>
            </w:r>
            <w:r>
              <w:rPr>
                <w:noProof/>
                <w:webHidden/>
              </w:rPr>
            </w:r>
            <w:r>
              <w:rPr>
                <w:noProof/>
                <w:webHidden/>
              </w:rPr>
              <w:fldChar w:fldCharType="separate"/>
            </w:r>
            <w:r>
              <w:rPr>
                <w:noProof/>
                <w:webHidden/>
              </w:rPr>
              <w:t>25</w:t>
            </w:r>
            <w:r>
              <w:rPr>
                <w:noProof/>
                <w:webHidden/>
              </w:rPr>
              <w:fldChar w:fldCharType="end"/>
            </w:r>
          </w:hyperlink>
        </w:p>
        <w:p w14:paraId="07CEF69A" w14:textId="0CC36D7A" w:rsidR="00694886" w:rsidRDefault="00694886">
          <w:pPr>
            <w:pStyle w:val="TOC2"/>
            <w:tabs>
              <w:tab w:val="right" w:leader="dot" w:pos="9962"/>
            </w:tabs>
            <w:rPr>
              <w:rFonts w:asciiTheme="minorHAnsi" w:eastAsiaTheme="minorEastAsia" w:hAnsiTheme="minorHAnsi" w:cstheme="minorBidi"/>
              <w:noProof/>
              <w:kern w:val="2"/>
              <w:lang w:val="fr-BE" w:eastAsia="fr-BE"/>
              <w14:ligatures w14:val="standardContextual"/>
            </w:rPr>
          </w:pPr>
          <w:hyperlink w:anchor="_Toc164171894" w:history="1">
            <w:r w:rsidRPr="006606AB">
              <w:rPr>
                <w:rStyle w:val="Hyperlink"/>
                <w:noProof/>
              </w:rPr>
              <w:t>Amendment to Regulation (EU) 181 / 2011 – Article 25a</w:t>
            </w:r>
            <w:r>
              <w:rPr>
                <w:noProof/>
                <w:webHidden/>
              </w:rPr>
              <w:tab/>
            </w:r>
            <w:r>
              <w:rPr>
                <w:noProof/>
                <w:webHidden/>
              </w:rPr>
              <w:fldChar w:fldCharType="begin"/>
            </w:r>
            <w:r>
              <w:rPr>
                <w:noProof/>
                <w:webHidden/>
              </w:rPr>
              <w:instrText xml:space="preserve"> PAGEREF _Toc164171894 \h </w:instrText>
            </w:r>
            <w:r>
              <w:rPr>
                <w:noProof/>
                <w:webHidden/>
              </w:rPr>
            </w:r>
            <w:r>
              <w:rPr>
                <w:noProof/>
                <w:webHidden/>
              </w:rPr>
              <w:fldChar w:fldCharType="separate"/>
            </w:r>
            <w:r>
              <w:rPr>
                <w:noProof/>
                <w:webHidden/>
              </w:rPr>
              <w:t>25</w:t>
            </w:r>
            <w:r>
              <w:rPr>
                <w:noProof/>
                <w:webHidden/>
              </w:rPr>
              <w:fldChar w:fldCharType="end"/>
            </w:r>
          </w:hyperlink>
        </w:p>
        <w:p w14:paraId="29D7184F" w14:textId="066F636E" w:rsidR="00694886" w:rsidRDefault="00694886">
          <w:pPr>
            <w:pStyle w:val="TOC2"/>
            <w:tabs>
              <w:tab w:val="right" w:leader="dot" w:pos="9962"/>
            </w:tabs>
            <w:rPr>
              <w:rFonts w:asciiTheme="minorHAnsi" w:eastAsiaTheme="minorEastAsia" w:hAnsiTheme="minorHAnsi" w:cstheme="minorBidi"/>
              <w:noProof/>
              <w:kern w:val="2"/>
              <w:lang w:val="fr-BE" w:eastAsia="fr-BE"/>
              <w14:ligatures w14:val="standardContextual"/>
            </w:rPr>
          </w:pPr>
          <w:hyperlink w:anchor="_Toc164171895" w:history="1">
            <w:r w:rsidRPr="006606AB">
              <w:rPr>
                <w:rStyle w:val="Hyperlink"/>
                <w:noProof/>
              </w:rPr>
              <w:t>Amendment to Regulation (EU) 181 / 2011 – Article 26a</w:t>
            </w:r>
            <w:r>
              <w:rPr>
                <w:noProof/>
                <w:webHidden/>
              </w:rPr>
              <w:tab/>
            </w:r>
            <w:r>
              <w:rPr>
                <w:noProof/>
                <w:webHidden/>
              </w:rPr>
              <w:fldChar w:fldCharType="begin"/>
            </w:r>
            <w:r>
              <w:rPr>
                <w:noProof/>
                <w:webHidden/>
              </w:rPr>
              <w:instrText xml:space="preserve"> PAGEREF _Toc164171895 \h </w:instrText>
            </w:r>
            <w:r>
              <w:rPr>
                <w:noProof/>
                <w:webHidden/>
              </w:rPr>
            </w:r>
            <w:r>
              <w:rPr>
                <w:noProof/>
                <w:webHidden/>
              </w:rPr>
              <w:fldChar w:fldCharType="separate"/>
            </w:r>
            <w:r>
              <w:rPr>
                <w:noProof/>
                <w:webHidden/>
              </w:rPr>
              <w:t>26</w:t>
            </w:r>
            <w:r>
              <w:rPr>
                <w:noProof/>
                <w:webHidden/>
              </w:rPr>
              <w:fldChar w:fldCharType="end"/>
            </w:r>
          </w:hyperlink>
        </w:p>
        <w:p w14:paraId="3BCC688A" w14:textId="366985B5" w:rsidR="00694886" w:rsidRDefault="00694886">
          <w:pPr>
            <w:pStyle w:val="TOC2"/>
            <w:tabs>
              <w:tab w:val="right" w:leader="dot" w:pos="9962"/>
            </w:tabs>
            <w:rPr>
              <w:rFonts w:asciiTheme="minorHAnsi" w:eastAsiaTheme="minorEastAsia" w:hAnsiTheme="minorHAnsi" w:cstheme="minorBidi"/>
              <w:noProof/>
              <w:kern w:val="2"/>
              <w:lang w:val="fr-BE" w:eastAsia="fr-BE"/>
              <w14:ligatures w14:val="standardContextual"/>
            </w:rPr>
          </w:pPr>
          <w:hyperlink w:anchor="_Toc164171896" w:history="1">
            <w:r w:rsidRPr="006606AB">
              <w:rPr>
                <w:rStyle w:val="Hyperlink"/>
                <w:noProof/>
              </w:rPr>
              <w:t>Amendment to Regulation (EU) 181 / 2011 – Article 28a (4 and 6)</w:t>
            </w:r>
            <w:r>
              <w:rPr>
                <w:noProof/>
                <w:webHidden/>
              </w:rPr>
              <w:tab/>
            </w:r>
            <w:r>
              <w:rPr>
                <w:noProof/>
                <w:webHidden/>
              </w:rPr>
              <w:fldChar w:fldCharType="begin"/>
            </w:r>
            <w:r>
              <w:rPr>
                <w:noProof/>
                <w:webHidden/>
              </w:rPr>
              <w:instrText xml:space="preserve"> PAGEREF _Toc164171896 \h </w:instrText>
            </w:r>
            <w:r>
              <w:rPr>
                <w:noProof/>
                <w:webHidden/>
              </w:rPr>
            </w:r>
            <w:r>
              <w:rPr>
                <w:noProof/>
                <w:webHidden/>
              </w:rPr>
              <w:fldChar w:fldCharType="separate"/>
            </w:r>
            <w:r>
              <w:rPr>
                <w:noProof/>
                <w:webHidden/>
              </w:rPr>
              <w:t>27</w:t>
            </w:r>
            <w:r>
              <w:rPr>
                <w:noProof/>
                <w:webHidden/>
              </w:rPr>
              <w:fldChar w:fldCharType="end"/>
            </w:r>
          </w:hyperlink>
        </w:p>
        <w:p w14:paraId="2BD347CE" w14:textId="638D3106" w:rsidR="00694886" w:rsidRDefault="00694886">
          <w:pPr>
            <w:pStyle w:val="TOC2"/>
            <w:tabs>
              <w:tab w:val="right" w:leader="dot" w:pos="9962"/>
            </w:tabs>
            <w:rPr>
              <w:rFonts w:asciiTheme="minorHAnsi" w:eastAsiaTheme="minorEastAsia" w:hAnsiTheme="minorHAnsi" w:cstheme="minorBidi"/>
              <w:noProof/>
              <w:kern w:val="2"/>
              <w:lang w:val="fr-BE" w:eastAsia="fr-BE"/>
              <w14:ligatures w14:val="standardContextual"/>
            </w:rPr>
          </w:pPr>
          <w:hyperlink w:anchor="_Toc164171897" w:history="1">
            <w:r w:rsidRPr="006606AB">
              <w:rPr>
                <w:rStyle w:val="Hyperlink"/>
                <w:noProof/>
              </w:rPr>
              <w:t>Amendment to Regulation (EU) 181 / 2011 – Article 28c</w:t>
            </w:r>
            <w:r>
              <w:rPr>
                <w:noProof/>
                <w:webHidden/>
              </w:rPr>
              <w:tab/>
            </w:r>
            <w:r>
              <w:rPr>
                <w:noProof/>
                <w:webHidden/>
              </w:rPr>
              <w:fldChar w:fldCharType="begin"/>
            </w:r>
            <w:r>
              <w:rPr>
                <w:noProof/>
                <w:webHidden/>
              </w:rPr>
              <w:instrText xml:space="preserve"> PAGEREF _Toc164171897 \h </w:instrText>
            </w:r>
            <w:r>
              <w:rPr>
                <w:noProof/>
                <w:webHidden/>
              </w:rPr>
            </w:r>
            <w:r>
              <w:rPr>
                <w:noProof/>
                <w:webHidden/>
              </w:rPr>
              <w:fldChar w:fldCharType="separate"/>
            </w:r>
            <w:r>
              <w:rPr>
                <w:noProof/>
                <w:webHidden/>
              </w:rPr>
              <w:t>28</w:t>
            </w:r>
            <w:r>
              <w:rPr>
                <w:noProof/>
                <w:webHidden/>
              </w:rPr>
              <w:fldChar w:fldCharType="end"/>
            </w:r>
          </w:hyperlink>
        </w:p>
        <w:p w14:paraId="63768339" w14:textId="1AA2AFD1" w:rsidR="00694886" w:rsidRDefault="00694886">
          <w:pPr>
            <w:pStyle w:val="TOC2"/>
            <w:tabs>
              <w:tab w:val="right" w:leader="dot" w:pos="9962"/>
            </w:tabs>
            <w:rPr>
              <w:rFonts w:asciiTheme="minorHAnsi" w:eastAsiaTheme="minorEastAsia" w:hAnsiTheme="minorHAnsi" w:cstheme="minorBidi"/>
              <w:noProof/>
              <w:kern w:val="2"/>
              <w:lang w:val="fr-BE" w:eastAsia="fr-BE"/>
              <w14:ligatures w14:val="standardContextual"/>
            </w:rPr>
          </w:pPr>
          <w:hyperlink w:anchor="_Toc164171898" w:history="1">
            <w:r w:rsidRPr="006606AB">
              <w:rPr>
                <w:rStyle w:val="Hyperlink"/>
                <w:noProof/>
              </w:rPr>
              <w:t>Amendment to Regulation (EC) 181 / 2011 – Article 30a (paragraph 3)</w:t>
            </w:r>
            <w:r>
              <w:rPr>
                <w:noProof/>
                <w:webHidden/>
              </w:rPr>
              <w:tab/>
            </w:r>
            <w:r>
              <w:rPr>
                <w:noProof/>
                <w:webHidden/>
              </w:rPr>
              <w:fldChar w:fldCharType="begin"/>
            </w:r>
            <w:r>
              <w:rPr>
                <w:noProof/>
                <w:webHidden/>
              </w:rPr>
              <w:instrText xml:space="preserve"> PAGEREF _Toc164171898 \h </w:instrText>
            </w:r>
            <w:r>
              <w:rPr>
                <w:noProof/>
                <w:webHidden/>
              </w:rPr>
            </w:r>
            <w:r>
              <w:rPr>
                <w:noProof/>
                <w:webHidden/>
              </w:rPr>
              <w:fldChar w:fldCharType="separate"/>
            </w:r>
            <w:r>
              <w:rPr>
                <w:noProof/>
                <w:webHidden/>
              </w:rPr>
              <w:t>28</w:t>
            </w:r>
            <w:r>
              <w:rPr>
                <w:noProof/>
                <w:webHidden/>
              </w:rPr>
              <w:fldChar w:fldCharType="end"/>
            </w:r>
          </w:hyperlink>
        </w:p>
        <w:p w14:paraId="5495164B" w14:textId="183F5CBA" w:rsidR="00694886" w:rsidRDefault="00694886">
          <w:pPr>
            <w:pStyle w:val="TOC2"/>
            <w:tabs>
              <w:tab w:val="right" w:leader="dot" w:pos="9962"/>
            </w:tabs>
            <w:rPr>
              <w:rFonts w:asciiTheme="minorHAnsi" w:eastAsiaTheme="minorEastAsia" w:hAnsiTheme="minorHAnsi" w:cstheme="minorBidi"/>
              <w:noProof/>
              <w:kern w:val="2"/>
              <w:lang w:val="fr-BE" w:eastAsia="fr-BE"/>
              <w14:ligatures w14:val="standardContextual"/>
            </w:rPr>
          </w:pPr>
          <w:hyperlink w:anchor="_Toc164171899" w:history="1">
            <w:r w:rsidRPr="006606AB">
              <w:rPr>
                <w:rStyle w:val="Hyperlink"/>
                <w:noProof/>
              </w:rPr>
              <w:t>Amendment to Regulation (EU) 2021 / 782 – Article 29 (new)</w:t>
            </w:r>
            <w:r>
              <w:rPr>
                <w:noProof/>
                <w:webHidden/>
              </w:rPr>
              <w:tab/>
            </w:r>
            <w:r>
              <w:rPr>
                <w:noProof/>
                <w:webHidden/>
              </w:rPr>
              <w:fldChar w:fldCharType="begin"/>
            </w:r>
            <w:r>
              <w:rPr>
                <w:noProof/>
                <w:webHidden/>
              </w:rPr>
              <w:instrText xml:space="preserve"> PAGEREF _Toc164171899 \h </w:instrText>
            </w:r>
            <w:r>
              <w:rPr>
                <w:noProof/>
                <w:webHidden/>
              </w:rPr>
            </w:r>
            <w:r>
              <w:rPr>
                <w:noProof/>
                <w:webHidden/>
              </w:rPr>
              <w:fldChar w:fldCharType="separate"/>
            </w:r>
            <w:r>
              <w:rPr>
                <w:noProof/>
                <w:webHidden/>
              </w:rPr>
              <w:t>29</w:t>
            </w:r>
            <w:r>
              <w:rPr>
                <w:noProof/>
                <w:webHidden/>
              </w:rPr>
              <w:fldChar w:fldCharType="end"/>
            </w:r>
          </w:hyperlink>
        </w:p>
        <w:p w14:paraId="76852D5C" w14:textId="2723E6F8" w:rsidR="00694886" w:rsidRDefault="00694886">
          <w:pPr>
            <w:pStyle w:val="TOC2"/>
            <w:tabs>
              <w:tab w:val="right" w:leader="dot" w:pos="9962"/>
            </w:tabs>
            <w:rPr>
              <w:rFonts w:asciiTheme="minorHAnsi" w:eastAsiaTheme="minorEastAsia" w:hAnsiTheme="minorHAnsi" w:cstheme="minorBidi"/>
              <w:noProof/>
              <w:kern w:val="2"/>
              <w:lang w:val="fr-BE" w:eastAsia="fr-BE"/>
              <w14:ligatures w14:val="standardContextual"/>
            </w:rPr>
          </w:pPr>
          <w:hyperlink w:anchor="_Toc164171900" w:history="1">
            <w:r w:rsidRPr="006606AB">
              <w:rPr>
                <w:rStyle w:val="Hyperlink"/>
                <w:noProof/>
              </w:rPr>
              <w:t>Amendment to Regulation (EU) 2021 / 782 – Article 30a</w:t>
            </w:r>
            <w:r>
              <w:rPr>
                <w:noProof/>
                <w:webHidden/>
              </w:rPr>
              <w:tab/>
            </w:r>
            <w:r>
              <w:rPr>
                <w:noProof/>
                <w:webHidden/>
              </w:rPr>
              <w:fldChar w:fldCharType="begin"/>
            </w:r>
            <w:r>
              <w:rPr>
                <w:noProof/>
                <w:webHidden/>
              </w:rPr>
              <w:instrText xml:space="preserve"> PAGEREF _Toc164171900 \h </w:instrText>
            </w:r>
            <w:r>
              <w:rPr>
                <w:noProof/>
                <w:webHidden/>
              </w:rPr>
            </w:r>
            <w:r>
              <w:rPr>
                <w:noProof/>
                <w:webHidden/>
              </w:rPr>
              <w:fldChar w:fldCharType="separate"/>
            </w:r>
            <w:r>
              <w:rPr>
                <w:noProof/>
                <w:webHidden/>
              </w:rPr>
              <w:t>30</w:t>
            </w:r>
            <w:r>
              <w:rPr>
                <w:noProof/>
                <w:webHidden/>
              </w:rPr>
              <w:fldChar w:fldCharType="end"/>
            </w:r>
          </w:hyperlink>
        </w:p>
        <w:p w14:paraId="6E2A14C3" w14:textId="4A33ABD5" w:rsidR="00694886" w:rsidRDefault="00694886">
          <w:pPr>
            <w:pStyle w:val="TOC2"/>
            <w:tabs>
              <w:tab w:val="right" w:leader="dot" w:pos="9962"/>
            </w:tabs>
            <w:rPr>
              <w:rFonts w:asciiTheme="minorHAnsi" w:eastAsiaTheme="minorEastAsia" w:hAnsiTheme="minorHAnsi" w:cstheme="minorBidi"/>
              <w:noProof/>
              <w:kern w:val="2"/>
              <w:lang w:val="fr-BE" w:eastAsia="fr-BE"/>
              <w14:ligatures w14:val="standardContextual"/>
            </w:rPr>
          </w:pPr>
          <w:hyperlink w:anchor="_Toc164171901" w:history="1">
            <w:r w:rsidRPr="006606AB">
              <w:rPr>
                <w:rStyle w:val="Hyperlink"/>
                <w:noProof/>
              </w:rPr>
              <w:t>Amendment to Regulation (EU) 2021 / 782 – Article 32a (paragraphs 4 and 6)</w:t>
            </w:r>
            <w:r>
              <w:rPr>
                <w:noProof/>
                <w:webHidden/>
              </w:rPr>
              <w:tab/>
            </w:r>
            <w:r>
              <w:rPr>
                <w:noProof/>
                <w:webHidden/>
              </w:rPr>
              <w:fldChar w:fldCharType="begin"/>
            </w:r>
            <w:r>
              <w:rPr>
                <w:noProof/>
                <w:webHidden/>
              </w:rPr>
              <w:instrText xml:space="preserve"> PAGEREF _Toc164171901 \h </w:instrText>
            </w:r>
            <w:r>
              <w:rPr>
                <w:noProof/>
                <w:webHidden/>
              </w:rPr>
            </w:r>
            <w:r>
              <w:rPr>
                <w:noProof/>
                <w:webHidden/>
              </w:rPr>
              <w:fldChar w:fldCharType="separate"/>
            </w:r>
            <w:r>
              <w:rPr>
                <w:noProof/>
                <w:webHidden/>
              </w:rPr>
              <w:t>31</w:t>
            </w:r>
            <w:r>
              <w:rPr>
                <w:noProof/>
                <w:webHidden/>
              </w:rPr>
              <w:fldChar w:fldCharType="end"/>
            </w:r>
          </w:hyperlink>
        </w:p>
        <w:p w14:paraId="5F6B5DDF" w14:textId="0473FC5E" w:rsidR="00694886" w:rsidRDefault="00694886">
          <w:pPr>
            <w:pStyle w:val="TOC2"/>
            <w:tabs>
              <w:tab w:val="right" w:leader="dot" w:pos="9962"/>
            </w:tabs>
            <w:rPr>
              <w:rFonts w:asciiTheme="minorHAnsi" w:eastAsiaTheme="minorEastAsia" w:hAnsiTheme="minorHAnsi" w:cstheme="minorBidi"/>
              <w:noProof/>
              <w:kern w:val="2"/>
              <w:lang w:val="fr-BE" w:eastAsia="fr-BE"/>
              <w14:ligatures w14:val="standardContextual"/>
            </w:rPr>
          </w:pPr>
          <w:hyperlink w:anchor="_Toc164171902" w:history="1">
            <w:r w:rsidRPr="006606AB">
              <w:rPr>
                <w:rStyle w:val="Hyperlink"/>
                <w:noProof/>
              </w:rPr>
              <w:t>Amendment to Regulation (EC) 2021 / 782 – Article 34a (paragraph 3 new)</w:t>
            </w:r>
            <w:r>
              <w:rPr>
                <w:noProof/>
                <w:webHidden/>
              </w:rPr>
              <w:tab/>
            </w:r>
            <w:r>
              <w:rPr>
                <w:noProof/>
                <w:webHidden/>
              </w:rPr>
              <w:fldChar w:fldCharType="begin"/>
            </w:r>
            <w:r>
              <w:rPr>
                <w:noProof/>
                <w:webHidden/>
              </w:rPr>
              <w:instrText xml:space="preserve"> PAGEREF _Toc164171902 \h </w:instrText>
            </w:r>
            <w:r>
              <w:rPr>
                <w:noProof/>
                <w:webHidden/>
              </w:rPr>
            </w:r>
            <w:r>
              <w:rPr>
                <w:noProof/>
                <w:webHidden/>
              </w:rPr>
              <w:fldChar w:fldCharType="separate"/>
            </w:r>
            <w:r>
              <w:rPr>
                <w:noProof/>
                <w:webHidden/>
              </w:rPr>
              <w:t>32</w:t>
            </w:r>
            <w:r>
              <w:rPr>
                <w:noProof/>
                <w:webHidden/>
              </w:rPr>
              <w:fldChar w:fldCharType="end"/>
            </w:r>
          </w:hyperlink>
        </w:p>
        <w:p w14:paraId="34FD168B" w14:textId="0731880A" w:rsidR="00694886" w:rsidRDefault="00694886">
          <w:pPr>
            <w:pStyle w:val="TOC2"/>
            <w:tabs>
              <w:tab w:val="right" w:leader="dot" w:pos="9962"/>
            </w:tabs>
            <w:rPr>
              <w:rFonts w:asciiTheme="minorHAnsi" w:eastAsiaTheme="minorEastAsia" w:hAnsiTheme="minorHAnsi" w:cstheme="minorBidi"/>
              <w:noProof/>
              <w:kern w:val="2"/>
              <w:lang w:val="fr-BE" w:eastAsia="fr-BE"/>
              <w14:ligatures w14:val="standardContextual"/>
            </w:rPr>
          </w:pPr>
          <w:hyperlink w:anchor="_Toc164171903" w:history="1">
            <w:r w:rsidRPr="006606AB">
              <w:rPr>
                <w:rStyle w:val="Hyperlink"/>
                <w:noProof/>
              </w:rPr>
              <w:t>Amendment to Annex II (Annex III Regulation 1107/2006)</w:t>
            </w:r>
            <w:r>
              <w:rPr>
                <w:noProof/>
                <w:webHidden/>
              </w:rPr>
              <w:tab/>
            </w:r>
            <w:r>
              <w:rPr>
                <w:noProof/>
                <w:webHidden/>
              </w:rPr>
              <w:fldChar w:fldCharType="begin"/>
            </w:r>
            <w:r>
              <w:rPr>
                <w:noProof/>
                <w:webHidden/>
              </w:rPr>
              <w:instrText xml:space="preserve"> PAGEREF _Toc164171903 \h </w:instrText>
            </w:r>
            <w:r>
              <w:rPr>
                <w:noProof/>
                <w:webHidden/>
              </w:rPr>
            </w:r>
            <w:r>
              <w:rPr>
                <w:noProof/>
                <w:webHidden/>
              </w:rPr>
              <w:fldChar w:fldCharType="separate"/>
            </w:r>
            <w:r>
              <w:rPr>
                <w:noProof/>
                <w:webHidden/>
              </w:rPr>
              <w:t>32</w:t>
            </w:r>
            <w:r>
              <w:rPr>
                <w:noProof/>
                <w:webHidden/>
              </w:rPr>
              <w:fldChar w:fldCharType="end"/>
            </w:r>
          </w:hyperlink>
        </w:p>
        <w:p w14:paraId="6C56A6DD" w14:textId="3B283F7A" w:rsidR="00694886" w:rsidRDefault="00694886">
          <w:pPr>
            <w:pStyle w:val="TOC2"/>
            <w:tabs>
              <w:tab w:val="right" w:leader="dot" w:pos="9962"/>
            </w:tabs>
            <w:rPr>
              <w:rFonts w:asciiTheme="minorHAnsi" w:eastAsiaTheme="minorEastAsia" w:hAnsiTheme="minorHAnsi" w:cstheme="minorBidi"/>
              <w:noProof/>
              <w:kern w:val="2"/>
              <w:lang w:val="fr-BE" w:eastAsia="fr-BE"/>
              <w14:ligatures w14:val="standardContextual"/>
            </w:rPr>
          </w:pPr>
          <w:hyperlink w:anchor="_Toc164171904" w:history="1">
            <w:r w:rsidRPr="006606AB">
              <w:rPr>
                <w:rStyle w:val="Hyperlink"/>
                <w:noProof/>
              </w:rPr>
              <w:t>Amendment to Annex III (Annex V Regulation 1177/2010)</w:t>
            </w:r>
            <w:r>
              <w:rPr>
                <w:noProof/>
                <w:webHidden/>
              </w:rPr>
              <w:tab/>
            </w:r>
            <w:r>
              <w:rPr>
                <w:noProof/>
                <w:webHidden/>
              </w:rPr>
              <w:fldChar w:fldCharType="begin"/>
            </w:r>
            <w:r>
              <w:rPr>
                <w:noProof/>
                <w:webHidden/>
              </w:rPr>
              <w:instrText xml:space="preserve"> PAGEREF _Toc164171904 \h </w:instrText>
            </w:r>
            <w:r>
              <w:rPr>
                <w:noProof/>
                <w:webHidden/>
              </w:rPr>
            </w:r>
            <w:r>
              <w:rPr>
                <w:noProof/>
                <w:webHidden/>
              </w:rPr>
              <w:fldChar w:fldCharType="separate"/>
            </w:r>
            <w:r>
              <w:rPr>
                <w:noProof/>
                <w:webHidden/>
              </w:rPr>
              <w:t>34</w:t>
            </w:r>
            <w:r>
              <w:rPr>
                <w:noProof/>
                <w:webHidden/>
              </w:rPr>
              <w:fldChar w:fldCharType="end"/>
            </w:r>
          </w:hyperlink>
        </w:p>
        <w:p w14:paraId="534C5A5B" w14:textId="5B7C6610" w:rsidR="00694886" w:rsidRDefault="00694886">
          <w:pPr>
            <w:pStyle w:val="TOC2"/>
            <w:tabs>
              <w:tab w:val="right" w:leader="dot" w:pos="9962"/>
            </w:tabs>
            <w:rPr>
              <w:rFonts w:asciiTheme="minorHAnsi" w:eastAsiaTheme="minorEastAsia" w:hAnsiTheme="minorHAnsi" w:cstheme="minorBidi"/>
              <w:noProof/>
              <w:kern w:val="2"/>
              <w:lang w:val="fr-BE" w:eastAsia="fr-BE"/>
              <w14:ligatures w14:val="standardContextual"/>
            </w:rPr>
          </w:pPr>
          <w:hyperlink w:anchor="_Toc164171905" w:history="1">
            <w:r w:rsidRPr="006606AB">
              <w:rPr>
                <w:rStyle w:val="Hyperlink"/>
                <w:noProof/>
              </w:rPr>
              <w:t>Amendment to Annex IV (Annex III Regulation 181/2011)</w:t>
            </w:r>
            <w:r>
              <w:rPr>
                <w:noProof/>
                <w:webHidden/>
              </w:rPr>
              <w:tab/>
            </w:r>
            <w:r>
              <w:rPr>
                <w:noProof/>
                <w:webHidden/>
              </w:rPr>
              <w:fldChar w:fldCharType="begin"/>
            </w:r>
            <w:r>
              <w:rPr>
                <w:noProof/>
                <w:webHidden/>
              </w:rPr>
              <w:instrText xml:space="preserve"> PAGEREF _Toc164171905 \h </w:instrText>
            </w:r>
            <w:r>
              <w:rPr>
                <w:noProof/>
                <w:webHidden/>
              </w:rPr>
            </w:r>
            <w:r>
              <w:rPr>
                <w:noProof/>
                <w:webHidden/>
              </w:rPr>
              <w:fldChar w:fldCharType="separate"/>
            </w:r>
            <w:r>
              <w:rPr>
                <w:noProof/>
                <w:webHidden/>
              </w:rPr>
              <w:t>35</w:t>
            </w:r>
            <w:r>
              <w:rPr>
                <w:noProof/>
                <w:webHidden/>
              </w:rPr>
              <w:fldChar w:fldCharType="end"/>
            </w:r>
          </w:hyperlink>
        </w:p>
        <w:p w14:paraId="33332874" w14:textId="12B01DF4" w:rsidR="00694886" w:rsidRDefault="00694886">
          <w:pPr>
            <w:pStyle w:val="TOC2"/>
            <w:tabs>
              <w:tab w:val="right" w:leader="dot" w:pos="9962"/>
            </w:tabs>
            <w:rPr>
              <w:rFonts w:asciiTheme="minorHAnsi" w:eastAsiaTheme="minorEastAsia" w:hAnsiTheme="minorHAnsi" w:cstheme="minorBidi"/>
              <w:noProof/>
              <w:kern w:val="2"/>
              <w:lang w:val="fr-BE" w:eastAsia="fr-BE"/>
              <w14:ligatures w14:val="standardContextual"/>
            </w:rPr>
          </w:pPr>
          <w:hyperlink w:anchor="_Toc164171906" w:history="1">
            <w:r w:rsidRPr="006606AB">
              <w:rPr>
                <w:rStyle w:val="Hyperlink"/>
                <w:noProof/>
              </w:rPr>
              <w:t>Amendment to Regulation 2021 / 782 – Annex V (new)</w:t>
            </w:r>
            <w:r>
              <w:rPr>
                <w:noProof/>
                <w:webHidden/>
              </w:rPr>
              <w:tab/>
            </w:r>
            <w:r>
              <w:rPr>
                <w:noProof/>
                <w:webHidden/>
              </w:rPr>
              <w:fldChar w:fldCharType="begin"/>
            </w:r>
            <w:r>
              <w:rPr>
                <w:noProof/>
                <w:webHidden/>
              </w:rPr>
              <w:instrText xml:space="preserve"> PAGEREF _Toc164171906 \h </w:instrText>
            </w:r>
            <w:r>
              <w:rPr>
                <w:noProof/>
                <w:webHidden/>
              </w:rPr>
            </w:r>
            <w:r>
              <w:rPr>
                <w:noProof/>
                <w:webHidden/>
              </w:rPr>
              <w:fldChar w:fldCharType="separate"/>
            </w:r>
            <w:r>
              <w:rPr>
                <w:noProof/>
                <w:webHidden/>
              </w:rPr>
              <w:t>36</w:t>
            </w:r>
            <w:r>
              <w:rPr>
                <w:noProof/>
                <w:webHidden/>
              </w:rPr>
              <w:fldChar w:fldCharType="end"/>
            </w:r>
          </w:hyperlink>
        </w:p>
        <w:p w14:paraId="4CA3CA59" w14:textId="1B14FBEF" w:rsidR="00694886" w:rsidRDefault="00694886">
          <w:pPr>
            <w:pStyle w:val="TOC1"/>
            <w:tabs>
              <w:tab w:val="right" w:leader="dot" w:pos="9962"/>
            </w:tabs>
            <w:rPr>
              <w:rFonts w:asciiTheme="minorHAnsi" w:eastAsiaTheme="minorEastAsia" w:hAnsiTheme="minorHAnsi" w:cstheme="minorBidi"/>
              <w:noProof/>
              <w:kern w:val="2"/>
              <w:lang w:val="fr-BE" w:eastAsia="fr-BE"/>
              <w14:ligatures w14:val="standardContextual"/>
            </w:rPr>
          </w:pPr>
          <w:hyperlink w:anchor="_Toc164171907" w:history="1">
            <w:r w:rsidRPr="006606AB">
              <w:rPr>
                <w:rStyle w:val="Hyperlink"/>
                <w:noProof/>
              </w:rPr>
              <w:t>Related documents</w:t>
            </w:r>
            <w:r>
              <w:rPr>
                <w:noProof/>
                <w:webHidden/>
              </w:rPr>
              <w:tab/>
            </w:r>
            <w:r>
              <w:rPr>
                <w:noProof/>
                <w:webHidden/>
              </w:rPr>
              <w:fldChar w:fldCharType="begin"/>
            </w:r>
            <w:r>
              <w:rPr>
                <w:noProof/>
                <w:webHidden/>
              </w:rPr>
              <w:instrText xml:space="preserve"> PAGEREF _Toc164171907 \h </w:instrText>
            </w:r>
            <w:r>
              <w:rPr>
                <w:noProof/>
                <w:webHidden/>
              </w:rPr>
            </w:r>
            <w:r>
              <w:rPr>
                <w:noProof/>
                <w:webHidden/>
              </w:rPr>
              <w:fldChar w:fldCharType="separate"/>
            </w:r>
            <w:r>
              <w:rPr>
                <w:noProof/>
                <w:webHidden/>
              </w:rPr>
              <w:t>38</w:t>
            </w:r>
            <w:r>
              <w:rPr>
                <w:noProof/>
                <w:webHidden/>
              </w:rPr>
              <w:fldChar w:fldCharType="end"/>
            </w:r>
          </w:hyperlink>
        </w:p>
        <w:p w14:paraId="42969ADD" w14:textId="2AED3EC9" w:rsidR="00694886" w:rsidRDefault="00694886">
          <w:pPr>
            <w:pStyle w:val="TOC1"/>
            <w:tabs>
              <w:tab w:val="right" w:leader="dot" w:pos="9962"/>
            </w:tabs>
            <w:rPr>
              <w:rFonts w:asciiTheme="minorHAnsi" w:eastAsiaTheme="minorEastAsia" w:hAnsiTheme="minorHAnsi" w:cstheme="minorBidi"/>
              <w:noProof/>
              <w:kern w:val="2"/>
              <w:lang w:val="fr-BE" w:eastAsia="fr-BE"/>
              <w14:ligatures w14:val="standardContextual"/>
            </w:rPr>
          </w:pPr>
          <w:hyperlink w:anchor="_Toc164171908" w:history="1">
            <w:r w:rsidRPr="006606AB">
              <w:rPr>
                <w:rStyle w:val="Hyperlink"/>
                <w:noProof/>
              </w:rPr>
              <w:t>Contact persons at the EDF secretariat</w:t>
            </w:r>
            <w:r>
              <w:rPr>
                <w:noProof/>
                <w:webHidden/>
              </w:rPr>
              <w:tab/>
            </w:r>
            <w:r>
              <w:rPr>
                <w:noProof/>
                <w:webHidden/>
              </w:rPr>
              <w:fldChar w:fldCharType="begin"/>
            </w:r>
            <w:r>
              <w:rPr>
                <w:noProof/>
                <w:webHidden/>
              </w:rPr>
              <w:instrText xml:space="preserve"> PAGEREF _Toc164171908 \h </w:instrText>
            </w:r>
            <w:r>
              <w:rPr>
                <w:noProof/>
                <w:webHidden/>
              </w:rPr>
            </w:r>
            <w:r>
              <w:rPr>
                <w:noProof/>
                <w:webHidden/>
              </w:rPr>
              <w:fldChar w:fldCharType="separate"/>
            </w:r>
            <w:r>
              <w:rPr>
                <w:noProof/>
                <w:webHidden/>
              </w:rPr>
              <w:t>38</w:t>
            </w:r>
            <w:r>
              <w:rPr>
                <w:noProof/>
                <w:webHidden/>
              </w:rPr>
              <w:fldChar w:fldCharType="end"/>
            </w:r>
          </w:hyperlink>
        </w:p>
        <w:p w14:paraId="5CE0E8F0" w14:textId="5B0A5EC2" w:rsidR="008E51F2" w:rsidRDefault="00B07EFB" w:rsidP="00195746">
          <w:pPr>
            <w:rPr>
              <w:noProof/>
            </w:rPr>
          </w:pPr>
          <w:r>
            <w:rPr>
              <w:b/>
              <w:bCs/>
              <w:noProof/>
            </w:rPr>
            <w:fldChar w:fldCharType="end"/>
          </w:r>
        </w:p>
      </w:sdtContent>
    </w:sdt>
    <w:p w14:paraId="3B9BE301" w14:textId="6D9DA19A" w:rsidR="00510BF6" w:rsidRPr="00510BF6" w:rsidRDefault="0041231C" w:rsidP="00510BF6">
      <w:pPr>
        <w:pStyle w:val="Heading1"/>
      </w:pPr>
      <w:bookmarkStart w:id="2" w:name="_Toc164171869"/>
      <w:r>
        <w:t xml:space="preserve">EDF proposed amendments </w:t>
      </w:r>
      <w:r w:rsidR="00195746">
        <w:t xml:space="preserve">to the Regulation </w:t>
      </w:r>
      <w:r w:rsidR="008E51F2">
        <w:t>Proposal</w:t>
      </w:r>
      <w:bookmarkEnd w:id="2"/>
    </w:p>
    <w:p w14:paraId="666082D0" w14:textId="77777777" w:rsidR="00AD1A0C" w:rsidRPr="00721C13" w:rsidRDefault="00AD1A0C" w:rsidP="00AD1A0C">
      <w:pPr>
        <w:widowControl w:val="0"/>
        <w:autoSpaceDE w:val="0"/>
        <w:autoSpaceDN w:val="0"/>
        <w:adjustRightInd w:val="0"/>
        <w:spacing w:line="360" w:lineRule="auto"/>
        <w:ind w:right="78"/>
        <w:rPr>
          <w:rFonts w:cs="Arial"/>
          <w:b/>
          <w:color w:val="007AB7"/>
          <w:sz w:val="32"/>
          <w:szCs w:val="26"/>
          <w:lang w:val="en-US"/>
        </w:rPr>
      </w:pPr>
      <w:r w:rsidRPr="00721C13">
        <w:rPr>
          <w:rFonts w:cs="Arial"/>
          <w:color w:val="000000"/>
          <w:sz w:val="25"/>
          <w:szCs w:val="25"/>
          <w:lang w:val="en-US"/>
        </w:rPr>
        <w:t>...................................................................................................................</w:t>
      </w:r>
      <w:r w:rsidR="0021008D" w:rsidRPr="00721C13">
        <w:rPr>
          <w:rFonts w:cs="Arial"/>
          <w:color w:val="000000"/>
          <w:sz w:val="25"/>
          <w:szCs w:val="25"/>
          <w:lang w:val="en-US"/>
        </w:rPr>
        <w:t>...........................</w:t>
      </w:r>
    </w:p>
    <w:p w14:paraId="2801A5C2" w14:textId="19D01ED6" w:rsidR="0021008D" w:rsidRPr="008E51F2" w:rsidRDefault="005066EF" w:rsidP="008E51F2">
      <w:pPr>
        <w:widowControl w:val="0"/>
        <w:autoSpaceDE w:val="0"/>
        <w:autoSpaceDN w:val="0"/>
        <w:adjustRightInd w:val="0"/>
        <w:spacing w:line="360" w:lineRule="auto"/>
        <w:ind w:right="78"/>
        <w:jc w:val="both"/>
        <w:rPr>
          <w:rFonts w:cs="Arial"/>
          <w:color w:val="000000"/>
        </w:rPr>
      </w:pPr>
      <w:r w:rsidRPr="00195746">
        <w:rPr>
          <w:rFonts w:cs="Arial"/>
          <w:color w:val="000000"/>
        </w:rPr>
        <w:t>The European Disability Forum is an independent NGO that represents the interests of 80 million Europeans with disabilities. EDF is a unique platform which brings together representative organisations of persons with disabilities from across Europe. EDF is run by persons with disabilities and their families. We are a strong, united voice of persons with disabilities in Europe.</w:t>
      </w:r>
    </w:p>
    <w:p w14:paraId="0B7702A6" w14:textId="55BDE468" w:rsidR="00530738" w:rsidRDefault="00530738" w:rsidP="008E51F2">
      <w:pPr>
        <w:widowControl w:val="0"/>
        <w:autoSpaceDE w:val="0"/>
        <w:autoSpaceDN w:val="0"/>
        <w:adjustRightInd w:val="0"/>
        <w:spacing w:line="360" w:lineRule="auto"/>
        <w:ind w:right="78"/>
        <w:rPr>
          <w:rFonts w:cs="Arial"/>
          <w:b/>
          <w:color w:val="007AB7"/>
          <w:sz w:val="28"/>
          <w:szCs w:val="28"/>
          <w:lang w:val="en-US"/>
        </w:rPr>
      </w:pPr>
      <w:r>
        <w:rPr>
          <w:rFonts w:cs="Arial"/>
          <w:b/>
          <w:color w:val="007AB7"/>
          <w:sz w:val="28"/>
          <w:szCs w:val="28"/>
          <w:lang w:val="en-US"/>
        </w:rPr>
        <w:t>Abstract</w:t>
      </w:r>
    </w:p>
    <w:p w14:paraId="66059490" w14:textId="77777777" w:rsidR="003B0370" w:rsidRDefault="00195746" w:rsidP="008E51F2">
      <w:pPr>
        <w:spacing w:line="360" w:lineRule="auto"/>
        <w:rPr>
          <w:rFonts w:cs="Arial"/>
        </w:rPr>
      </w:pPr>
      <w:r>
        <w:rPr>
          <w:lang w:val="en-US"/>
        </w:rPr>
        <w:t>On 29</w:t>
      </w:r>
      <w:r w:rsidRPr="00195746">
        <w:rPr>
          <w:vertAlign w:val="superscript"/>
          <w:lang w:val="en-US"/>
        </w:rPr>
        <w:t>th</w:t>
      </w:r>
      <w:r>
        <w:rPr>
          <w:lang w:val="en-US"/>
        </w:rPr>
        <w:t xml:space="preserve"> November 2023, the European Commission published a legislative proposal to improve the enforcement of passenger rights in all transport modes. </w:t>
      </w:r>
      <w:r w:rsidR="00344377">
        <w:rPr>
          <w:lang w:val="en-US"/>
        </w:rPr>
        <w:t>To do so, the proposal would introduce targeted amendments to all existing passenger rights regulations</w:t>
      </w:r>
      <w:r w:rsidR="00344377">
        <w:rPr>
          <w:rStyle w:val="FootnoteReference"/>
          <w:lang w:val="en-US"/>
        </w:rPr>
        <w:footnoteReference w:id="1"/>
      </w:r>
      <w:r w:rsidR="00344377">
        <w:rPr>
          <w:lang w:val="en-US"/>
        </w:rPr>
        <w:t xml:space="preserve">. </w:t>
      </w:r>
      <w:r w:rsidR="00344377">
        <w:rPr>
          <w:rFonts w:cs="Arial"/>
        </w:rPr>
        <w:t xml:space="preserve">The main aim of this proposal is to address the existing shortcomings in the implementation and enforcement of all passenger rights. </w:t>
      </w:r>
    </w:p>
    <w:p w14:paraId="3A56B3C5" w14:textId="77777777" w:rsidR="003B0370" w:rsidRDefault="003B0370" w:rsidP="008E51F2">
      <w:pPr>
        <w:spacing w:line="360" w:lineRule="auto"/>
        <w:rPr>
          <w:rFonts w:cs="Arial"/>
        </w:rPr>
      </w:pPr>
    </w:p>
    <w:p w14:paraId="687292FE" w14:textId="77777777" w:rsidR="00991FAB" w:rsidRDefault="00344377" w:rsidP="008E51F2">
      <w:pPr>
        <w:spacing w:line="360" w:lineRule="auto"/>
      </w:pPr>
      <w:r>
        <w:rPr>
          <w:rFonts w:cs="Arial"/>
        </w:rPr>
        <w:lastRenderedPageBreak/>
        <w:t>The new proposal</w:t>
      </w:r>
      <w:r w:rsidR="003B0370">
        <w:rPr>
          <w:rFonts w:cs="Arial"/>
        </w:rPr>
        <w:t xml:space="preserve"> also</w:t>
      </w:r>
      <w:r>
        <w:rPr>
          <w:rFonts w:cs="Arial"/>
        </w:rPr>
        <w:t xml:space="preserve"> strengthens the rights of </w:t>
      </w:r>
      <w:r w:rsidR="003B0370">
        <w:rPr>
          <w:rFonts w:cs="Arial"/>
        </w:rPr>
        <w:t>passengers</w:t>
      </w:r>
      <w:r>
        <w:rPr>
          <w:rFonts w:cs="Arial"/>
        </w:rPr>
        <w:t xml:space="preserve">, among others, by obliging carriers and infrastructure managers to monitor and, where relevant, publish the number and nature of complaints, including those related to passengers with disability and reduced mobility. </w:t>
      </w:r>
      <w:r w:rsidR="003B0370">
        <w:rPr>
          <w:rFonts w:cs="Arial"/>
        </w:rPr>
        <w:t xml:space="preserve"> </w:t>
      </w:r>
      <w:r w:rsidRPr="00344377">
        <w:t>The new proposal also strengthens the rights of persons with disabilities and reduced mobility when traveling by air. When an air carrier requires a person with disability to travel accompanied by an assistant in order to comply with aviation safety requirements, the air carrier will allow the accompanying person to travel free of charge and, where feasible, seated next to the person with disability or reduced mobility.</w:t>
      </w:r>
      <w:r w:rsidR="00991FAB">
        <w:t xml:space="preserve"> </w:t>
      </w:r>
    </w:p>
    <w:p w14:paraId="4661DFA5" w14:textId="29DB1DA6" w:rsidR="00344377" w:rsidRPr="00344377" w:rsidRDefault="00344377" w:rsidP="00344377">
      <w:pPr>
        <w:pStyle w:val="Heading2"/>
      </w:pPr>
      <w:bookmarkStart w:id="3" w:name="_Toc164171870"/>
      <w:r>
        <w:t>Summary of EDF’s position</w:t>
      </w:r>
      <w:bookmarkEnd w:id="3"/>
      <w:r>
        <w:t xml:space="preserve"> </w:t>
      </w:r>
    </w:p>
    <w:p w14:paraId="6FAD4443" w14:textId="3CC14C93" w:rsidR="004407D9" w:rsidRDefault="004407D9" w:rsidP="00344377">
      <w:pPr>
        <w:rPr>
          <w:lang w:val="en-US"/>
        </w:rPr>
      </w:pPr>
    </w:p>
    <w:p w14:paraId="6FA7F334" w14:textId="778F5C57" w:rsidR="00344377" w:rsidRDefault="00991FAB" w:rsidP="00991FAB">
      <w:pPr>
        <w:spacing w:line="360" w:lineRule="auto"/>
        <w:rPr>
          <w:rFonts w:cs="Arial"/>
        </w:rPr>
      </w:pPr>
      <w:r>
        <w:t xml:space="preserve">In February 2024, EDF published </w:t>
      </w:r>
      <w:hyperlink r:id="rId11" w:history="1">
        <w:r w:rsidRPr="00991FAB">
          <w:rPr>
            <w:rStyle w:val="Hyperlink"/>
          </w:rPr>
          <w:t>an in-depth analysis of this proposal,</w:t>
        </w:r>
      </w:hyperlink>
      <w:r>
        <w:t xml:space="preserve"> paying special attention to the requirements relevant for persons with disabilities. </w:t>
      </w:r>
      <w:r w:rsidR="00344377" w:rsidRPr="00E35C7E">
        <w:rPr>
          <w:rFonts w:cs="Arial"/>
        </w:rPr>
        <w:t>EDF</w:t>
      </w:r>
      <w:r w:rsidR="00344377">
        <w:rPr>
          <w:rFonts w:cs="Arial"/>
        </w:rPr>
        <w:t xml:space="preserve"> welcomes the proposal on enforcement of passenger rights and, in particular, </w:t>
      </w:r>
      <w:r w:rsidR="00344377" w:rsidRPr="0012005A">
        <w:rPr>
          <w:rFonts w:cs="Arial"/>
          <w:b/>
          <w:bCs/>
        </w:rPr>
        <w:t>supports</w:t>
      </w:r>
      <w:r w:rsidR="00344377">
        <w:rPr>
          <w:rFonts w:cs="Arial"/>
        </w:rPr>
        <w:t xml:space="preserve"> the following points:</w:t>
      </w:r>
    </w:p>
    <w:p w14:paraId="192A04FC" w14:textId="1BC1CA6E" w:rsidR="00344377" w:rsidRDefault="00344377" w:rsidP="00344377">
      <w:pPr>
        <w:pStyle w:val="ListParagraph"/>
        <w:numPr>
          <w:ilvl w:val="0"/>
          <w:numId w:val="21"/>
        </w:numPr>
        <w:spacing w:before="120" w:after="240" w:line="360" w:lineRule="auto"/>
        <w:rPr>
          <w:rFonts w:cs="Arial"/>
        </w:rPr>
      </w:pPr>
      <w:r>
        <w:rPr>
          <w:rFonts w:cs="Arial"/>
        </w:rPr>
        <w:t>The amendment to Article 2 of Regulation 1107</w:t>
      </w:r>
      <w:r w:rsidR="008E51F2">
        <w:rPr>
          <w:rFonts w:cs="Arial"/>
        </w:rPr>
        <w:t xml:space="preserve"> </w:t>
      </w:r>
      <w:r>
        <w:rPr>
          <w:rFonts w:cs="Arial"/>
        </w:rPr>
        <w:t>/</w:t>
      </w:r>
      <w:r w:rsidR="008E51F2">
        <w:rPr>
          <w:rFonts w:cs="Arial"/>
        </w:rPr>
        <w:t xml:space="preserve"> </w:t>
      </w:r>
      <w:r>
        <w:rPr>
          <w:rFonts w:cs="Arial"/>
        </w:rPr>
        <w:t>2006 to ensure that, whenever a person with a disability is required to travel accompanied, the air carrier, agent or tour operator pa</w:t>
      </w:r>
      <w:r w:rsidR="008E51F2">
        <w:rPr>
          <w:rFonts w:cs="Arial"/>
        </w:rPr>
        <w:t>ys</w:t>
      </w:r>
      <w:r>
        <w:rPr>
          <w:rFonts w:cs="Arial"/>
        </w:rPr>
        <w:t xml:space="preserve"> the price of the extra ticket. </w:t>
      </w:r>
    </w:p>
    <w:p w14:paraId="7C0DEB05" w14:textId="45DF3BC2" w:rsidR="00344377" w:rsidRDefault="00344377" w:rsidP="00344377">
      <w:pPr>
        <w:pStyle w:val="ListParagraph"/>
        <w:numPr>
          <w:ilvl w:val="0"/>
          <w:numId w:val="21"/>
        </w:numPr>
        <w:spacing w:before="120" w:after="240" w:line="360" w:lineRule="auto"/>
        <w:rPr>
          <w:rFonts w:cs="Arial"/>
        </w:rPr>
      </w:pPr>
      <w:r>
        <w:rPr>
          <w:rFonts w:cs="Arial"/>
        </w:rPr>
        <w:t xml:space="preserve">The establishment of Quality Standards in all transport modes and the obligation to report (and publish) the number and nature of PRM-related complaints. </w:t>
      </w:r>
    </w:p>
    <w:p w14:paraId="3CFE16DA" w14:textId="77777777" w:rsidR="00344377" w:rsidRDefault="00344377" w:rsidP="00344377">
      <w:pPr>
        <w:pStyle w:val="ListParagraph"/>
        <w:numPr>
          <w:ilvl w:val="0"/>
          <w:numId w:val="21"/>
        </w:numPr>
        <w:spacing w:before="120" w:after="240" w:line="360" w:lineRule="auto"/>
        <w:rPr>
          <w:rFonts w:cs="Arial"/>
        </w:rPr>
      </w:pPr>
      <w:r>
        <w:rPr>
          <w:rFonts w:cs="Arial"/>
        </w:rPr>
        <w:t xml:space="preserve">The establishment of a risk-based approach to enforce passenger in all transport modes. </w:t>
      </w:r>
    </w:p>
    <w:p w14:paraId="7ABF82BB" w14:textId="77777777" w:rsidR="00344377" w:rsidRDefault="00344377" w:rsidP="00344377">
      <w:pPr>
        <w:spacing w:before="120" w:after="240" w:line="360" w:lineRule="auto"/>
        <w:rPr>
          <w:rFonts w:cs="Arial"/>
        </w:rPr>
      </w:pPr>
      <w:r>
        <w:rPr>
          <w:rFonts w:cs="Arial"/>
        </w:rPr>
        <w:t>However, EDF</w:t>
      </w:r>
      <w:r w:rsidRPr="00BE28F9">
        <w:rPr>
          <w:rFonts w:cs="Arial"/>
          <w:b/>
          <w:bCs/>
        </w:rPr>
        <w:t xml:space="preserve"> regrets</w:t>
      </w:r>
      <w:r>
        <w:rPr>
          <w:rFonts w:cs="Arial"/>
        </w:rPr>
        <w:t xml:space="preserve"> that: </w:t>
      </w:r>
    </w:p>
    <w:p w14:paraId="20074276" w14:textId="0DB7FC86" w:rsidR="00344377" w:rsidRDefault="00344377" w:rsidP="008E51F2">
      <w:pPr>
        <w:pStyle w:val="ListParagraph"/>
        <w:numPr>
          <w:ilvl w:val="0"/>
          <w:numId w:val="22"/>
        </w:numPr>
        <w:spacing w:before="120" w:after="240" w:line="360" w:lineRule="auto"/>
        <w:rPr>
          <w:rFonts w:cs="Arial"/>
        </w:rPr>
      </w:pPr>
      <w:r>
        <w:rPr>
          <w:rFonts w:cs="Arial"/>
        </w:rPr>
        <w:t>The proposal does not include a deep revision of Regulation 1107/2006 (Air transport</w:t>
      </w:r>
      <w:r w:rsidR="008E51F2">
        <w:rPr>
          <w:rFonts w:cs="Arial"/>
        </w:rPr>
        <w:t xml:space="preserve"> for persons with disabilities and reduced mobility</w:t>
      </w:r>
      <w:r>
        <w:rPr>
          <w:rFonts w:cs="Arial"/>
        </w:rPr>
        <w:t>) to eradicate all cases of denied boarding and establish full liability for broken or damaged mobility equipment.</w:t>
      </w:r>
    </w:p>
    <w:p w14:paraId="3408A414" w14:textId="3ECCB141" w:rsidR="00F83F75" w:rsidRPr="00991FAB" w:rsidRDefault="00344377" w:rsidP="00991FAB">
      <w:pPr>
        <w:pStyle w:val="ListParagraph"/>
        <w:numPr>
          <w:ilvl w:val="0"/>
          <w:numId w:val="22"/>
        </w:numPr>
        <w:spacing w:before="120" w:after="240" w:line="360" w:lineRule="auto"/>
        <w:rPr>
          <w:rFonts w:cs="Arial"/>
        </w:rPr>
      </w:pPr>
      <w:r>
        <w:rPr>
          <w:rFonts w:cs="Arial"/>
        </w:rPr>
        <w:t xml:space="preserve">The transparency obligations on number of PRM related complaints differ depending on the transport mode, the carrier </w:t>
      </w:r>
      <w:r w:rsidR="008E51F2">
        <w:rPr>
          <w:rFonts w:cs="Arial"/>
        </w:rPr>
        <w:t>and</w:t>
      </w:r>
      <w:r>
        <w:rPr>
          <w:rFonts w:cs="Arial"/>
        </w:rPr>
        <w:t xml:space="preserve"> the infrastructure manager. </w:t>
      </w:r>
      <w:r w:rsidR="00F83F75" w:rsidRPr="00991FAB">
        <w:rPr>
          <w:rFonts w:cs="Arial"/>
        </w:rPr>
        <w:t xml:space="preserve"> </w:t>
      </w:r>
    </w:p>
    <w:p w14:paraId="53B94C6D" w14:textId="4AF2B2DD" w:rsidR="00344377" w:rsidRDefault="00344377" w:rsidP="008E51F2">
      <w:pPr>
        <w:pStyle w:val="ListParagraph"/>
        <w:numPr>
          <w:ilvl w:val="0"/>
          <w:numId w:val="22"/>
        </w:numPr>
        <w:spacing w:before="120" w:after="240" w:line="360" w:lineRule="auto"/>
        <w:rPr>
          <w:rFonts w:cs="Arial"/>
        </w:rPr>
      </w:pPr>
      <w:r>
        <w:rPr>
          <w:rFonts w:cs="Arial"/>
        </w:rPr>
        <w:lastRenderedPageBreak/>
        <w:t xml:space="preserve">References to accessibility are not </w:t>
      </w:r>
      <w:r w:rsidR="008E51F2">
        <w:rPr>
          <w:rFonts w:cs="Arial"/>
        </w:rPr>
        <w:t xml:space="preserve">properly </w:t>
      </w:r>
      <w:r>
        <w:rPr>
          <w:rFonts w:cs="Arial"/>
        </w:rPr>
        <w:t>linked with the existing EU legal framework, that is, the Directive 2019/8</w:t>
      </w:r>
      <w:r w:rsidR="00991FAB">
        <w:rPr>
          <w:rFonts w:cs="Arial"/>
        </w:rPr>
        <w:t>8</w:t>
      </w:r>
      <w:r>
        <w:rPr>
          <w:rFonts w:cs="Arial"/>
        </w:rPr>
        <w:t>2 (European Accessibility Act)</w:t>
      </w:r>
    </w:p>
    <w:p w14:paraId="64770693" w14:textId="7CE9CB2D" w:rsidR="00F83F75" w:rsidRPr="000602AA" w:rsidRDefault="00344377" w:rsidP="00F83F75">
      <w:pPr>
        <w:pStyle w:val="ListParagraph"/>
        <w:numPr>
          <w:ilvl w:val="0"/>
          <w:numId w:val="22"/>
        </w:numPr>
        <w:spacing w:line="360" w:lineRule="auto"/>
        <w:rPr>
          <w:lang w:val="en-US"/>
        </w:rPr>
      </w:pPr>
      <w:r w:rsidRPr="00F83F75">
        <w:rPr>
          <w:rFonts w:cs="Arial"/>
        </w:rPr>
        <w:t>Despite some improvements, NEBs will continue to have different tasks, resources, powers, penalties and procedures to enforce passenger rights</w:t>
      </w:r>
      <w:r w:rsidR="008E51F2">
        <w:rPr>
          <w:rFonts w:cs="Arial"/>
        </w:rPr>
        <w:t>.</w:t>
      </w:r>
    </w:p>
    <w:p w14:paraId="425316A0" w14:textId="58541616" w:rsidR="00046E92" w:rsidRDefault="005C3095" w:rsidP="00046E92">
      <w:pPr>
        <w:pStyle w:val="Heading2"/>
      </w:pPr>
      <w:bookmarkStart w:id="4" w:name="_Toc164171871"/>
      <w:r>
        <w:t>Recital 17</w:t>
      </w:r>
      <w:bookmarkEnd w:id="4"/>
    </w:p>
    <w:p w14:paraId="0897D903" w14:textId="59035907" w:rsidR="00046E92" w:rsidRPr="00046E92" w:rsidRDefault="00046E92" w:rsidP="00046E92"/>
    <w:tbl>
      <w:tblPr>
        <w:tblStyle w:val="TableGrid"/>
        <w:tblW w:w="0" w:type="auto"/>
        <w:tblLook w:val="04A0" w:firstRow="1" w:lastRow="0" w:firstColumn="1" w:lastColumn="0" w:noHBand="0" w:noVBand="1"/>
      </w:tblPr>
      <w:tblGrid>
        <w:gridCol w:w="4981"/>
        <w:gridCol w:w="4981"/>
      </w:tblGrid>
      <w:tr w:rsidR="00046E92" w14:paraId="75C7C07B" w14:textId="77777777" w:rsidTr="00046E92">
        <w:tc>
          <w:tcPr>
            <w:tcW w:w="5056" w:type="dxa"/>
          </w:tcPr>
          <w:p w14:paraId="446CF63F" w14:textId="77777777" w:rsidR="00046E92" w:rsidRDefault="00046E92" w:rsidP="00D120F2">
            <w:pPr>
              <w:pStyle w:val="Footer"/>
              <w:jc w:val="both"/>
            </w:pPr>
            <w:r>
              <w:t>Commission proposal</w:t>
            </w:r>
          </w:p>
        </w:tc>
        <w:tc>
          <w:tcPr>
            <w:tcW w:w="5056" w:type="dxa"/>
          </w:tcPr>
          <w:p w14:paraId="232FA488" w14:textId="77777777" w:rsidR="00046E92" w:rsidRDefault="00046E92" w:rsidP="00D120F2">
            <w:pPr>
              <w:pStyle w:val="Footer"/>
              <w:jc w:val="both"/>
            </w:pPr>
            <w:r>
              <w:t>EDF amendments</w:t>
            </w:r>
          </w:p>
        </w:tc>
      </w:tr>
      <w:tr w:rsidR="00046E92" w14:paraId="4BF5EA0A" w14:textId="77777777" w:rsidTr="00046E92">
        <w:tc>
          <w:tcPr>
            <w:tcW w:w="5056" w:type="dxa"/>
          </w:tcPr>
          <w:p w14:paraId="0B302F0A" w14:textId="1F0813EC" w:rsidR="00046E92" w:rsidRDefault="005C3095" w:rsidP="008F652B">
            <w:pPr>
              <w:pStyle w:val="Footer"/>
            </w:pPr>
            <w:r>
              <w:t>In the light of Article 9 of the United Nations Convention on the Rights of Persons with Disabilities and in order to give persons with disabilities and persons with reduced mobility opportunities for air travel comparable to those of other citizens, if an air carrier, its agents or a tour operator requires a person with disabilities or person with reduced mobility to be accompanied by another person who is capable of providing the assistance required by applicable safety requirements established by international, Union or national law or by the competent authorities, the accompanying person should travel free of charge. In addition, it should be aligned with the existing rights in rail, bus and coach and waterborne transport modes in the Union. In addition, if information to persons with disabilities and reduced mobility is provided in accessible formats, it should be provided in accordance with the applicable legislation such as the accessibility requirements set out in Annex I to Directive (EU) 2019/88212</w:t>
            </w:r>
          </w:p>
          <w:p w14:paraId="52894BF4" w14:textId="77777777" w:rsidR="00046E92" w:rsidRDefault="00046E92" w:rsidP="00F853A9">
            <w:pPr>
              <w:pStyle w:val="Footer"/>
            </w:pPr>
          </w:p>
        </w:tc>
        <w:tc>
          <w:tcPr>
            <w:tcW w:w="5056" w:type="dxa"/>
          </w:tcPr>
          <w:p w14:paraId="70B78854" w14:textId="36FEE3F4" w:rsidR="003A0208" w:rsidRPr="00E07557" w:rsidRDefault="005C3095" w:rsidP="00F853A9">
            <w:pPr>
              <w:pStyle w:val="Footer"/>
              <w:rPr>
                <w:b/>
              </w:rPr>
            </w:pPr>
            <w:r>
              <w:t xml:space="preserve">In the light of Article 9 of the United Nations Convention on the Rights of Persons with Disabilities and in order to give persons with disabilities and persons with reduced mobility opportunities for air travel comparable to those of other citizens, if an air carrier, its agents or a tour operator requires a person with disabilities or person with reduced mobility to be accompanied by another person who is capable of providing the assistance required by applicable safety requirements established by international, Union or national law or by the competent authorities, the accompanying person should travel free of charge </w:t>
            </w:r>
            <w:r w:rsidRPr="005C3095">
              <w:rPr>
                <w:b/>
                <w:bCs/>
              </w:rPr>
              <w:t>and</w:t>
            </w:r>
            <w:r>
              <w:t xml:space="preserve"> </w:t>
            </w:r>
            <w:r w:rsidRPr="005C3095">
              <w:rPr>
                <w:b/>
                <w:bCs/>
                <w:i/>
                <w:iCs/>
              </w:rPr>
              <w:t>sit next to the person with disability and reduced mobility</w:t>
            </w:r>
            <w:r>
              <w:t xml:space="preserve">. In addition, it should be aligned with the existing rights in rail, bus and coach and waterborne transport modes in the Union. In addition, </w:t>
            </w:r>
            <w:r w:rsidRPr="00E07557">
              <w:rPr>
                <w:b/>
                <w:bCs/>
                <w:i/>
                <w:iCs/>
                <w:strike/>
              </w:rPr>
              <w:t>if</w:t>
            </w:r>
            <w:r w:rsidRPr="00E07557">
              <w:rPr>
                <w:b/>
                <w:bCs/>
                <w:i/>
                <w:iCs/>
              </w:rPr>
              <w:t xml:space="preserve"> </w:t>
            </w:r>
            <w:r w:rsidR="00E07557" w:rsidRPr="00E07557">
              <w:rPr>
                <w:b/>
                <w:bCs/>
                <w:i/>
                <w:iCs/>
              </w:rPr>
              <w:t>when</w:t>
            </w:r>
            <w:r w:rsidR="00E07557">
              <w:t xml:space="preserve"> </w:t>
            </w:r>
            <w:r>
              <w:t xml:space="preserve">information to persons with disabilities and reduced mobility is provided in accessible formats, it should be provided in accordance with the applicable legislation </w:t>
            </w:r>
            <w:r w:rsidRPr="00E07557">
              <w:rPr>
                <w:b/>
                <w:bCs/>
                <w:strike/>
              </w:rPr>
              <w:t>such as</w:t>
            </w:r>
            <w:r>
              <w:t xml:space="preserve"> </w:t>
            </w:r>
            <w:r w:rsidR="00E07557" w:rsidRPr="00E07557">
              <w:rPr>
                <w:b/>
                <w:bCs/>
                <w:i/>
                <w:iCs/>
              </w:rPr>
              <w:t>including</w:t>
            </w:r>
            <w:r w:rsidR="00E07557">
              <w:t xml:space="preserve"> </w:t>
            </w:r>
            <w:r>
              <w:t>the accessibility requirements set out in Annex I to Directive (EU) 2019/</w:t>
            </w:r>
            <w:r w:rsidRPr="00E07557">
              <w:rPr>
                <w:b/>
                <w:bCs/>
                <w:strike/>
              </w:rPr>
              <w:t>88212</w:t>
            </w:r>
            <w:r w:rsidR="00E07557">
              <w:rPr>
                <w:b/>
                <w:bCs/>
                <w:strike/>
              </w:rPr>
              <w:t xml:space="preserve"> </w:t>
            </w:r>
            <w:r w:rsidR="00E07557">
              <w:rPr>
                <w:b/>
                <w:bCs/>
              </w:rPr>
              <w:t>882</w:t>
            </w:r>
          </w:p>
        </w:tc>
      </w:tr>
      <w:tr w:rsidR="008E3764" w14:paraId="6E896946" w14:textId="77777777" w:rsidTr="00A37685">
        <w:tc>
          <w:tcPr>
            <w:tcW w:w="10112" w:type="dxa"/>
            <w:gridSpan w:val="2"/>
          </w:tcPr>
          <w:p w14:paraId="34204E49" w14:textId="77777777" w:rsidR="008E3764" w:rsidRDefault="008E3764" w:rsidP="008E3764">
            <w:pPr>
              <w:pStyle w:val="Footer"/>
              <w:jc w:val="both"/>
              <w:rPr>
                <w:b/>
                <w:bCs/>
              </w:rPr>
            </w:pPr>
            <w:r w:rsidRPr="001B6EC8">
              <w:rPr>
                <w:b/>
                <w:bCs/>
              </w:rPr>
              <w:t>Justification:</w:t>
            </w:r>
          </w:p>
          <w:p w14:paraId="62B3D190" w14:textId="77777777" w:rsidR="001B6EC8" w:rsidRDefault="001B6EC8" w:rsidP="008E3764">
            <w:pPr>
              <w:pStyle w:val="Footer"/>
              <w:jc w:val="both"/>
              <w:rPr>
                <w:b/>
                <w:bCs/>
              </w:rPr>
            </w:pPr>
          </w:p>
          <w:p w14:paraId="4552F716" w14:textId="674BDB31" w:rsidR="001B6EC8" w:rsidRDefault="001B6EC8" w:rsidP="008E3764">
            <w:pPr>
              <w:pStyle w:val="Footer"/>
              <w:jc w:val="both"/>
            </w:pPr>
            <w:r>
              <w:t xml:space="preserve">It is important to clarify that the accompanying person, </w:t>
            </w:r>
            <w:r w:rsidR="00937732">
              <w:t>not only has to travel</w:t>
            </w:r>
            <w:r>
              <w:t xml:space="preserve"> free of charge</w:t>
            </w:r>
            <w:r w:rsidR="00937732">
              <w:t xml:space="preserve"> but also</w:t>
            </w:r>
            <w:r>
              <w:t xml:space="preserve"> should be seated to the person with disability and reduced mobility.</w:t>
            </w:r>
          </w:p>
          <w:p w14:paraId="0CAC357F" w14:textId="77777777" w:rsidR="001B6EC8" w:rsidRDefault="001B6EC8" w:rsidP="008E3764">
            <w:pPr>
              <w:pStyle w:val="Footer"/>
              <w:jc w:val="both"/>
            </w:pPr>
          </w:p>
          <w:p w14:paraId="24D8E6E4" w14:textId="4089D5D5" w:rsidR="001B6EC8" w:rsidRDefault="001B6EC8" w:rsidP="008E3764">
            <w:pPr>
              <w:pStyle w:val="Footer"/>
              <w:jc w:val="both"/>
            </w:pPr>
            <w:r>
              <w:t xml:space="preserve">The provision of accessible information is </w:t>
            </w:r>
            <w:r w:rsidR="000B77B8">
              <w:t>already an</w:t>
            </w:r>
            <w:r>
              <w:t xml:space="preserve"> obligation in all travel modes</w:t>
            </w:r>
            <w:r w:rsidR="000B77B8">
              <w:t>. Apart from the specific references in the passenger rights regulations</w:t>
            </w:r>
            <w:r w:rsidR="00937732">
              <w:t xml:space="preserve"> themselves</w:t>
            </w:r>
            <w:r w:rsidR="000B77B8">
              <w:t xml:space="preserve">, the European </w:t>
            </w:r>
            <w:r w:rsidR="000B77B8">
              <w:lastRenderedPageBreak/>
              <w:t xml:space="preserve">Accessibility Act (EAA) </w:t>
            </w:r>
            <w:r w:rsidR="00937732">
              <w:t xml:space="preserve">directly </w:t>
            </w:r>
            <w:r w:rsidR="000B77B8">
              <w:t xml:space="preserve">applies to air, bus, rail and waterborne services. The </w:t>
            </w:r>
            <w:r w:rsidR="00231917">
              <w:t>EAA</w:t>
            </w:r>
            <w:r w:rsidR="000B77B8">
              <w:t xml:space="preserve"> obliges them to make their websites, apps, ticketing machines, smart ticketing and real time information accessible to persons with disabilities. Compliance with the EAA</w:t>
            </w:r>
            <w:r w:rsidR="00FF19D7">
              <w:t xml:space="preserve"> and providing accessible information is not an option, but an obligation and the wording should be corrected accordingly. </w:t>
            </w:r>
          </w:p>
          <w:p w14:paraId="72A2E71E" w14:textId="77777777" w:rsidR="00BE480E" w:rsidRDefault="00BE480E" w:rsidP="000E1F67">
            <w:pPr>
              <w:pStyle w:val="Footer"/>
              <w:jc w:val="both"/>
            </w:pPr>
          </w:p>
        </w:tc>
      </w:tr>
    </w:tbl>
    <w:p w14:paraId="09B95C47" w14:textId="3F9A2CCB" w:rsidR="00AF6806" w:rsidRDefault="00AF6806" w:rsidP="00AF6806">
      <w:pPr>
        <w:pStyle w:val="Heading2"/>
      </w:pPr>
      <w:bookmarkStart w:id="5" w:name="_Toc442200288"/>
      <w:bookmarkStart w:id="6" w:name="_Toc406768094"/>
      <w:bookmarkStart w:id="7" w:name="_Toc164171872"/>
      <w:r>
        <w:lastRenderedPageBreak/>
        <w:t xml:space="preserve">Amendment to Regulation (EC) 1007/2006 – Article 6 </w:t>
      </w:r>
      <w:r w:rsidR="00844032">
        <w:t xml:space="preserve">(2) </w:t>
      </w:r>
      <w:r>
        <w:t>new</w:t>
      </w:r>
      <w:bookmarkEnd w:id="7"/>
    </w:p>
    <w:p w14:paraId="535938E3" w14:textId="77777777" w:rsidR="00AF6806" w:rsidRPr="00AF6806" w:rsidRDefault="00AF6806" w:rsidP="00AF6806"/>
    <w:tbl>
      <w:tblPr>
        <w:tblStyle w:val="TableGrid"/>
        <w:tblW w:w="0" w:type="auto"/>
        <w:tblLook w:val="04A0" w:firstRow="1" w:lastRow="0" w:firstColumn="1" w:lastColumn="0" w:noHBand="0" w:noVBand="1"/>
      </w:tblPr>
      <w:tblGrid>
        <w:gridCol w:w="4980"/>
        <w:gridCol w:w="4982"/>
      </w:tblGrid>
      <w:tr w:rsidR="00AF6806" w14:paraId="08026EE4" w14:textId="77777777" w:rsidTr="00601365">
        <w:tc>
          <w:tcPr>
            <w:tcW w:w="4980" w:type="dxa"/>
          </w:tcPr>
          <w:p w14:paraId="28D89093" w14:textId="77777777" w:rsidR="00AF6806" w:rsidRDefault="00AF6806" w:rsidP="00601365">
            <w:pPr>
              <w:pStyle w:val="Footer"/>
              <w:jc w:val="both"/>
            </w:pPr>
            <w:r>
              <w:t>Commission proposal</w:t>
            </w:r>
          </w:p>
        </w:tc>
        <w:tc>
          <w:tcPr>
            <w:tcW w:w="4982" w:type="dxa"/>
          </w:tcPr>
          <w:p w14:paraId="172F2DF3" w14:textId="77777777" w:rsidR="00AF6806" w:rsidRDefault="00AF6806" w:rsidP="00601365">
            <w:pPr>
              <w:pStyle w:val="Footer"/>
              <w:jc w:val="both"/>
            </w:pPr>
            <w:r>
              <w:t>EDF amendments</w:t>
            </w:r>
          </w:p>
        </w:tc>
      </w:tr>
      <w:tr w:rsidR="00AF6806" w:rsidRPr="009017C3" w14:paraId="7755609D" w14:textId="77777777" w:rsidTr="00601365">
        <w:tc>
          <w:tcPr>
            <w:tcW w:w="4980" w:type="dxa"/>
          </w:tcPr>
          <w:p w14:paraId="6064C95D" w14:textId="77777777" w:rsidR="00AF6806" w:rsidRDefault="00AF6806" w:rsidP="00601365">
            <w:pPr>
              <w:pStyle w:val="Footer"/>
            </w:pPr>
          </w:p>
          <w:p w14:paraId="158DD8E4" w14:textId="77777777" w:rsidR="00AF6806" w:rsidRDefault="00AF6806" w:rsidP="00601365">
            <w:pPr>
              <w:pStyle w:val="Footer"/>
            </w:pPr>
          </w:p>
        </w:tc>
        <w:tc>
          <w:tcPr>
            <w:tcW w:w="4982" w:type="dxa"/>
          </w:tcPr>
          <w:p w14:paraId="312E1ADA" w14:textId="7C2E0719" w:rsidR="00AF6806" w:rsidRDefault="00AF6806" w:rsidP="00AF6806">
            <w:pPr>
              <w:pStyle w:val="Footer"/>
            </w:pPr>
            <w:r>
              <w:t>Transmission of information</w:t>
            </w:r>
          </w:p>
          <w:p w14:paraId="50C8ED71" w14:textId="77777777" w:rsidR="00AF6806" w:rsidRDefault="00AF6806" w:rsidP="00AF6806">
            <w:pPr>
              <w:pStyle w:val="Footer"/>
            </w:pPr>
          </w:p>
          <w:p w14:paraId="4749F67F" w14:textId="71FE9670" w:rsidR="00AF6806" w:rsidRDefault="00844032" w:rsidP="00AF6806">
            <w:pPr>
              <w:pStyle w:val="Footer"/>
            </w:pPr>
            <w:r>
              <w:t>(…)</w:t>
            </w:r>
          </w:p>
          <w:p w14:paraId="7B8235EF" w14:textId="77777777" w:rsidR="00AF6806" w:rsidRDefault="00AF6806" w:rsidP="00AF6806">
            <w:pPr>
              <w:pStyle w:val="Footer"/>
            </w:pPr>
          </w:p>
          <w:p w14:paraId="7DC67013" w14:textId="613828EF" w:rsidR="00AF6806" w:rsidRDefault="00AF6806" w:rsidP="00AF6806">
            <w:pPr>
              <w:pStyle w:val="Footer"/>
              <w:rPr>
                <w:b/>
                <w:bCs/>
                <w:strike/>
              </w:rPr>
            </w:pPr>
            <w:r>
              <w:t xml:space="preserve">2.   When an air carrier or its agent or a tour operator receives a notification of the need for assistance </w:t>
            </w:r>
            <w:r w:rsidRPr="00AF6806">
              <w:rPr>
                <w:b/>
                <w:bCs/>
                <w:strike/>
              </w:rPr>
              <w:t>at least 48 hours before the published departure time for the flight</w:t>
            </w:r>
            <w:r>
              <w:t xml:space="preserve">, it shall transmit the information immediately </w:t>
            </w:r>
            <w:r w:rsidRPr="00AF6806">
              <w:rPr>
                <w:b/>
                <w:bCs/>
                <w:strike/>
              </w:rPr>
              <w:t>concerned at least 36 hours before the published departure time for the flight</w:t>
            </w:r>
          </w:p>
          <w:p w14:paraId="3F8EF35F" w14:textId="77777777" w:rsidR="00844032" w:rsidRDefault="00844032" w:rsidP="00AF6806">
            <w:pPr>
              <w:pStyle w:val="Footer"/>
              <w:rPr>
                <w:b/>
                <w:bCs/>
                <w:i/>
                <w:iCs/>
                <w:strike/>
              </w:rPr>
            </w:pPr>
          </w:p>
          <w:p w14:paraId="33D3DA28" w14:textId="676B1519" w:rsidR="00844032" w:rsidRPr="00844032" w:rsidRDefault="00844032" w:rsidP="00AF6806">
            <w:pPr>
              <w:pStyle w:val="Footer"/>
            </w:pPr>
            <w:r>
              <w:t>(…)</w:t>
            </w:r>
          </w:p>
          <w:p w14:paraId="1D1630A8" w14:textId="20E830C3" w:rsidR="00AF6806" w:rsidRPr="009017C3" w:rsidRDefault="00AF6806" w:rsidP="00601365">
            <w:pPr>
              <w:pStyle w:val="Footer"/>
              <w:rPr>
                <w:b/>
                <w:bCs/>
                <w:i/>
                <w:iCs/>
              </w:rPr>
            </w:pPr>
          </w:p>
        </w:tc>
      </w:tr>
      <w:tr w:rsidR="00AF6806" w14:paraId="0A017673" w14:textId="77777777" w:rsidTr="00601365">
        <w:tc>
          <w:tcPr>
            <w:tcW w:w="9962" w:type="dxa"/>
            <w:gridSpan w:val="2"/>
          </w:tcPr>
          <w:p w14:paraId="21686118" w14:textId="77777777" w:rsidR="00AF6806" w:rsidRPr="002A73D1" w:rsidRDefault="00AF6806" w:rsidP="00601365">
            <w:pPr>
              <w:pStyle w:val="Footer"/>
              <w:jc w:val="both"/>
              <w:rPr>
                <w:b/>
                <w:bCs/>
              </w:rPr>
            </w:pPr>
            <w:r w:rsidRPr="002A73D1">
              <w:rPr>
                <w:b/>
                <w:bCs/>
              </w:rPr>
              <w:t>Justification:</w:t>
            </w:r>
          </w:p>
          <w:p w14:paraId="400945AB" w14:textId="77777777" w:rsidR="00AF6806" w:rsidRDefault="00AF6806" w:rsidP="00AF6806">
            <w:pPr>
              <w:pStyle w:val="Footer"/>
              <w:jc w:val="both"/>
            </w:pPr>
          </w:p>
          <w:p w14:paraId="492BA799" w14:textId="4B029927" w:rsidR="00AF6806" w:rsidRDefault="00AF6806" w:rsidP="00AF6806">
            <w:pPr>
              <w:pStyle w:val="Footer"/>
              <w:jc w:val="both"/>
            </w:pPr>
            <w:r>
              <w:t xml:space="preserve">EDF advocates for the abolition of pre-notification to book assistance, as it means that persons with disabilities and reduced mobility do not have equal access to transport, which is a binding provision of the UNCRPD. Ideally, all passengers should be able to ‘turn up and go’. In rail, some Member States have abolished or significantly reduced pre-notification in major stations. There is no reason why this should not be the case in airports. </w:t>
            </w:r>
          </w:p>
          <w:p w14:paraId="60FAA10E" w14:textId="77777777" w:rsidR="00AF6806" w:rsidRDefault="00AF6806" w:rsidP="00AF6806">
            <w:pPr>
              <w:pStyle w:val="Footer"/>
              <w:jc w:val="both"/>
            </w:pPr>
          </w:p>
        </w:tc>
      </w:tr>
    </w:tbl>
    <w:p w14:paraId="215357F1" w14:textId="77777777" w:rsidR="00AF6806" w:rsidRDefault="00AF6806" w:rsidP="00AF6806"/>
    <w:p w14:paraId="29368F7A" w14:textId="0C61F9DA" w:rsidR="00AF6806" w:rsidRDefault="00AF6806" w:rsidP="00AF6806">
      <w:pPr>
        <w:pStyle w:val="Heading2"/>
      </w:pPr>
      <w:bookmarkStart w:id="8" w:name="_Toc164171873"/>
      <w:r>
        <w:t xml:space="preserve">Amendment to Regulation (EC) 1007/2006 – Article 7 </w:t>
      </w:r>
      <w:r w:rsidR="00933DA7">
        <w:t xml:space="preserve">(1) </w:t>
      </w:r>
      <w:r>
        <w:t>new</w:t>
      </w:r>
      <w:bookmarkEnd w:id="8"/>
    </w:p>
    <w:p w14:paraId="2D2B165C" w14:textId="77777777" w:rsidR="00AF6806" w:rsidRPr="00AF6806" w:rsidRDefault="00AF6806" w:rsidP="00AF6806"/>
    <w:tbl>
      <w:tblPr>
        <w:tblStyle w:val="TableGrid"/>
        <w:tblW w:w="0" w:type="auto"/>
        <w:tblLook w:val="04A0" w:firstRow="1" w:lastRow="0" w:firstColumn="1" w:lastColumn="0" w:noHBand="0" w:noVBand="1"/>
      </w:tblPr>
      <w:tblGrid>
        <w:gridCol w:w="4980"/>
        <w:gridCol w:w="4982"/>
      </w:tblGrid>
      <w:tr w:rsidR="00AF6806" w14:paraId="721CB0A4" w14:textId="77777777" w:rsidTr="00601365">
        <w:tc>
          <w:tcPr>
            <w:tcW w:w="4980" w:type="dxa"/>
          </w:tcPr>
          <w:p w14:paraId="6905957F" w14:textId="77777777" w:rsidR="00AF6806" w:rsidRDefault="00AF6806" w:rsidP="00601365">
            <w:pPr>
              <w:pStyle w:val="Footer"/>
              <w:jc w:val="both"/>
            </w:pPr>
            <w:r>
              <w:t>Commission proposal</w:t>
            </w:r>
          </w:p>
        </w:tc>
        <w:tc>
          <w:tcPr>
            <w:tcW w:w="4982" w:type="dxa"/>
          </w:tcPr>
          <w:p w14:paraId="16450D52" w14:textId="77777777" w:rsidR="00AF6806" w:rsidRDefault="00AF6806" w:rsidP="00601365">
            <w:pPr>
              <w:pStyle w:val="Footer"/>
              <w:jc w:val="both"/>
            </w:pPr>
            <w:r>
              <w:t>EDF amendments</w:t>
            </w:r>
          </w:p>
        </w:tc>
      </w:tr>
      <w:tr w:rsidR="00AF6806" w:rsidRPr="009017C3" w14:paraId="6E963062" w14:textId="77777777" w:rsidTr="00601365">
        <w:tc>
          <w:tcPr>
            <w:tcW w:w="4980" w:type="dxa"/>
          </w:tcPr>
          <w:p w14:paraId="51B18A13" w14:textId="77777777" w:rsidR="00AF6806" w:rsidRDefault="00AF6806" w:rsidP="00601365">
            <w:pPr>
              <w:pStyle w:val="Footer"/>
            </w:pPr>
          </w:p>
          <w:p w14:paraId="230AD68B" w14:textId="77777777" w:rsidR="00AF6806" w:rsidRDefault="00AF6806" w:rsidP="00601365">
            <w:pPr>
              <w:pStyle w:val="Footer"/>
            </w:pPr>
          </w:p>
        </w:tc>
        <w:tc>
          <w:tcPr>
            <w:tcW w:w="4982" w:type="dxa"/>
          </w:tcPr>
          <w:p w14:paraId="3EFD00A8" w14:textId="77777777" w:rsidR="006B509A" w:rsidRDefault="006B509A" w:rsidP="006B509A">
            <w:pPr>
              <w:pStyle w:val="Footer"/>
            </w:pPr>
            <w:r>
              <w:t>Right to assistance at airports</w:t>
            </w:r>
          </w:p>
          <w:p w14:paraId="0B0EFF88" w14:textId="77777777" w:rsidR="006B509A" w:rsidRDefault="006B509A" w:rsidP="006B509A">
            <w:pPr>
              <w:pStyle w:val="Footer"/>
            </w:pPr>
          </w:p>
          <w:p w14:paraId="60B082C9" w14:textId="589A8F37" w:rsidR="00AF6806" w:rsidRPr="009017C3" w:rsidRDefault="006B509A" w:rsidP="006B509A">
            <w:pPr>
              <w:pStyle w:val="Footer"/>
              <w:rPr>
                <w:b/>
                <w:bCs/>
                <w:i/>
                <w:iCs/>
              </w:rPr>
            </w:pPr>
            <w:r>
              <w:t xml:space="preserve">1.   When a </w:t>
            </w:r>
            <w:r w:rsidRPr="00D24509">
              <w:rPr>
                <w:b/>
                <w:bCs/>
                <w:strike/>
              </w:rPr>
              <w:t>disabled person</w:t>
            </w:r>
            <w:r>
              <w:t xml:space="preserve"> </w:t>
            </w:r>
            <w:r w:rsidR="00D24509" w:rsidRPr="00D24509">
              <w:rPr>
                <w:b/>
                <w:bCs/>
                <w:i/>
                <w:iCs/>
              </w:rPr>
              <w:t>persons with disabilities</w:t>
            </w:r>
            <w:r w:rsidR="00D24509">
              <w:t xml:space="preserve"> </w:t>
            </w:r>
            <w:r>
              <w:t xml:space="preserve">or person with reduced mobility arrives at an airport for travel by air, the managing body of the airport shall be </w:t>
            </w:r>
            <w:r>
              <w:lastRenderedPageBreak/>
              <w:t xml:space="preserve">responsible for ensuring the provision of the assistance specified in Annex I in such a way that the person is able to take the flight for which he or she holds a reservation, </w:t>
            </w:r>
            <w:r w:rsidRPr="006B509A">
              <w:rPr>
                <w:b/>
                <w:bCs/>
                <w:strike/>
              </w:rPr>
              <w:t>provided that the notification of the person's particular needs for such assistance has been made to the air carrier or its agent or the tour operator concerned at least 48 hours before the published time of departure of the flight. This notification shall also cover a return flight, if the outward flight and the return flight have been contracted with the same air carrier</w:t>
            </w:r>
            <w:r>
              <w:t>.</w:t>
            </w:r>
          </w:p>
        </w:tc>
      </w:tr>
      <w:tr w:rsidR="00AF6806" w14:paraId="27684AF8" w14:textId="77777777" w:rsidTr="00601365">
        <w:tc>
          <w:tcPr>
            <w:tcW w:w="9962" w:type="dxa"/>
            <w:gridSpan w:val="2"/>
          </w:tcPr>
          <w:p w14:paraId="12CB17DD" w14:textId="77777777" w:rsidR="00AF6806" w:rsidRPr="002A73D1" w:rsidRDefault="00AF6806" w:rsidP="00601365">
            <w:pPr>
              <w:pStyle w:val="Footer"/>
              <w:jc w:val="both"/>
              <w:rPr>
                <w:b/>
                <w:bCs/>
              </w:rPr>
            </w:pPr>
            <w:r w:rsidRPr="002A73D1">
              <w:rPr>
                <w:b/>
                <w:bCs/>
              </w:rPr>
              <w:lastRenderedPageBreak/>
              <w:t>Justification:</w:t>
            </w:r>
          </w:p>
          <w:p w14:paraId="145F414B" w14:textId="77777777" w:rsidR="00AF6806" w:rsidRDefault="00AF6806" w:rsidP="00601365">
            <w:pPr>
              <w:pStyle w:val="Footer"/>
              <w:jc w:val="both"/>
            </w:pPr>
          </w:p>
          <w:p w14:paraId="2558A314" w14:textId="77777777" w:rsidR="00AF6806" w:rsidRDefault="00AF6806" w:rsidP="00601365">
            <w:pPr>
              <w:pStyle w:val="Footer"/>
              <w:jc w:val="both"/>
            </w:pPr>
            <w:r>
              <w:t xml:space="preserve">EDF advocates for the abolition of pre-notification to book assistance, as it means that persons with disabilities and reduced mobility do not have equal access to transport, which is a binding provision of the UNCRPD. Ideally, all passengers should be able to ‘turn up and go’. In rail, some Member States have abolished or significantly reduced pre-notification in major stations. There is no reason why this should not be the case in airports. </w:t>
            </w:r>
          </w:p>
          <w:p w14:paraId="5474FF05" w14:textId="77777777" w:rsidR="00AF6806" w:rsidRDefault="00AF6806" w:rsidP="00601365">
            <w:pPr>
              <w:pStyle w:val="Footer"/>
              <w:jc w:val="both"/>
            </w:pPr>
          </w:p>
        </w:tc>
      </w:tr>
    </w:tbl>
    <w:p w14:paraId="1890AA88" w14:textId="77777777" w:rsidR="00AF6806" w:rsidRDefault="00AF6806" w:rsidP="005C3095">
      <w:pPr>
        <w:pStyle w:val="Heading2"/>
      </w:pPr>
    </w:p>
    <w:p w14:paraId="2D5B0399" w14:textId="7A0E7AF9" w:rsidR="005C3095" w:rsidRDefault="005C3095" w:rsidP="005C3095">
      <w:pPr>
        <w:pStyle w:val="Heading2"/>
      </w:pPr>
      <w:bookmarkStart w:id="9" w:name="_Toc164171874"/>
      <w:r>
        <w:t>A</w:t>
      </w:r>
      <w:r w:rsidR="00AC1F4B">
        <w:t>mendment to Regulation (EC) 1107</w:t>
      </w:r>
      <w:r w:rsidR="00937732">
        <w:t xml:space="preserve"> </w:t>
      </w:r>
      <w:r w:rsidR="00AC1F4B">
        <w:t>/</w:t>
      </w:r>
      <w:r w:rsidR="00937732">
        <w:t xml:space="preserve"> </w:t>
      </w:r>
      <w:r w:rsidR="00AC1F4B">
        <w:t>2006</w:t>
      </w:r>
      <w:r w:rsidR="00587E6C">
        <w:t xml:space="preserve"> – Article 10a</w:t>
      </w:r>
      <w:bookmarkEnd w:id="9"/>
    </w:p>
    <w:p w14:paraId="17A5DB6D" w14:textId="77777777" w:rsidR="005C3095" w:rsidRPr="00046E92" w:rsidRDefault="005C3095" w:rsidP="005C3095"/>
    <w:tbl>
      <w:tblPr>
        <w:tblStyle w:val="TableGrid"/>
        <w:tblW w:w="0" w:type="auto"/>
        <w:tblLook w:val="04A0" w:firstRow="1" w:lastRow="0" w:firstColumn="1" w:lastColumn="0" w:noHBand="0" w:noVBand="1"/>
      </w:tblPr>
      <w:tblGrid>
        <w:gridCol w:w="4980"/>
        <w:gridCol w:w="4982"/>
      </w:tblGrid>
      <w:tr w:rsidR="005C3095" w14:paraId="41466B99" w14:textId="77777777" w:rsidTr="005C3095">
        <w:tc>
          <w:tcPr>
            <w:tcW w:w="4980" w:type="dxa"/>
          </w:tcPr>
          <w:p w14:paraId="50DFAC14" w14:textId="77777777" w:rsidR="005C3095" w:rsidRDefault="005C3095" w:rsidP="00D537D1">
            <w:pPr>
              <w:pStyle w:val="Footer"/>
              <w:jc w:val="both"/>
            </w:pPr>
            <w:r>
              <w:t>Commission proposal</w:t>
            </w:r>
          </w:p>
        </w:tc>
        <w:tc>
          <w:tcPr>
            <w:tcW w:w="4982" w:type="dxa"/>
          </w:tcPr>
          <w:p w14:paraId="2FD9600C" w14:textId="77777777" w:rsidR="005C3095" w:rsidRDefault="005C3095" w:rsidP="00D537D1">
            <w:pPr>
              <w:pStyle w:val="Footer"/>
              <w:jc w:val="both"/>
            </w:pPr>
            <w:r>
              <w:t>EDF amendments</w:t>
            </w:r>
          </w:p>
        </w:tc>
      </w:tr>
      <w:tr w:rsidR="005C3095" w14:paraId="5A0EDE6F" w14:textId="77777777" w:rsidTr="005C3095">
        <w:tc>
          <w:tcPr>
            <w:tcW w:w="4980" w:type="dxa"/>
          </w:tcPr>
          <w:p w14:paraId="12680718" w14:textId="77777777" w:rsidR="00587E6C" w:rsidRDefault="00587E6C" w:rsidP="00587E6C">
            <w:pPr>
              <w:pStyle w:val="Footer"/>
            </w:pPr>
            <w:r>
              <w:t>Service quality standards for air carriers</w:t>
            </w:r>
          </w:p>
          <w:p w14:paraId="3BE4F13C" w14:textId="77777777" w:rsidR="00587E6C" w:rsidRDefault="00587E6C" w:rsidP="00587E6C">
            <w:pPr>
              <w:pStyle w:val="Footer"/>
            </w:pPr>
          </w:p>
          <w:p w14:paraId="5AAFBABB" w14:textId="3A0FEE1A" w:rsidR="00587E6C" w:rsidRDefault="00587E6C" w:rsidP="009746B6">
            <w:pPr>
              <w:pStyle w:val="Footer"/>
            </w:pPr>
          </w:p>
        </w:tc>
        <w:tc>
          <w:tcPr>
            <w:tcW w:w="4982" w:type="dxa"/>
          </w:tcPr>
          <w:p w14:paraId="31CF7622" w14:textId="728C0C1D" w:rsidR="00587E6C" w:rsidRDefault="00587E6C" w:rsidP="00587E6C">
            <w:pPr>
              <w:pStyle w:val="Footer"/>
            </w:pPr>
            <w:r>
              <w:t xml:space="preserve">Service quality standards for air carriers and </w:t>
            </w:r>
            <w:r w:rsidRPr="00587E6C">
              <w:rPr>
                <w:b/>
                <w:bCs/>
                <w:i/>
                <w:iCs/>
              </w:rPr>
              <w:t>airport managing bodies</w:t>
            </w:r>
          </w:p>
          <w:p w14:paraId="7EF3B703" w14:textId="77777777" w:rsidR="00587E6C" w:rsidRDefault="00587E6C" w:rsidP="00587E6C">
            <w:pPr>
              <w:pStyle w:val="Footer"/>
            </w:pPr>
          </w:p>
          <w:p w14:paraId="32B35B75" w14:textId="77D74081" w:rsidR="00587E6C" w:rsidRDefault="009746B6" w:rsidP="009746B6">
            <w:r>
              <w:t>(…)</w:t>
            </w:r>
          </w:p>
          <w:p w14:paraId="063FECD2" w14:textId="77777777" w:rsidR="009746B6" w:rsidRDefault="009746B6" w:rsidP="009746B6"/>
          <w:p w14:paraId="4224FB93" w14:textId="0D107458" w:rsidR="007750A4" w:rsidRPr="007750A4" w:rsidRDefault="009017C3" w:rsidP="009017C3">
            <w:pPr>
              <w:pStyle w:val="Footer"/>
              <w:rPr>
                <w:b/>
                <w:bCs/>
                <w:i/>
                <w:iCs/>
              </w:rPr>
            </w:pPr>
            <w:r>
              <w:rPr>
                <w:b/>
                <w:bCs/>
                <w:i/>
                <w:iCs/>
              </w:rPr>
              <w:t xml:space="preserve">3. </w:t>
            </w:r>
            <w:r w:rsidR="00587E6C" w:rsidRPr="007750A4">
              <w:rPr>
                <w:b/>
                <w:bCs/>
                <w:i/>
                <w:iCs/>
              </w:rPr>
              <w:t>Airport managing bodies located in a Member State shall establish service quality standards based on relevant items listed in Annex III</w:t>
            </w:r>
            <w:r w:rsidR="007750A4" w:rsidRPr="007750A4">
              <w:rPr>
                <w:b/>
                <w:bCs/>
                <w:i/>
                <w:iCs/>
              </w:rPr>
              <w:t>. They shall monitor their performance as reflected in the quality standards</w:t>
            </w:r>
            <w:r w:rsidR="007750A4">
              <w:rPr>
                <w:b/>
                <w:bCs/>
                <w:i/>
                <w:iCs/>
              </w:rPr>
              <w:t xml:space="preserve"> </w:t>
            </w:r>
            <w:r w:rsidR="007750A4" w:rsidRPr="007750A4">
              <w:rPr>
                <w:b/>
                <w:bCs/>
                <w:i/>
                <w:iCs/>
              </w:rPr>
              <w:t xml:space="preserve">and publish a report on their service quality performance on their website by [2 years after the Regulation becomes applicable], </w:t>
            </w:r>
            <w:r w:rsidR="007750A4" w:rsidRPr="007750A4">
              <w:rPr>
                <w:b/>
                <w:bCs/>
                <w:i/>
                <w:iCs/>
              </w:rPr>
              <w:lastRenderedPageBreak/>
              <w:t>and every two years thereafter. This report shall not contain personal data.</w:t>
            </w:r>
          </w:p>
          <w:p w14:paraId="41BBBB57" w14:textId="3E372580" w:rsidR="005C3095" w:rsidRPr="00CD2FF3" w:rsidRDefault="005C3095" w:rsidP="00D537D1">
            <w:pPr>
              <w:pStyle w:val="Footer"/>
              <w:rPr>
                <w:b/>
              </w:rPr>
            </w:pPr>
          </w:p>
        </w:tc>
      </w:tr>
      <w:tr w:rsidR="005C3095" w14:paraId="78E096CE" w14:textId="77777777" w:rsidTr="005C3095">
        <w:tc>
          <w:tcPr>
            <w:tcW w:w="9962" w:type="dxa"/>
            <w:gridSpan w:val="2"/>
          </w:tcPr>
          <w:p w14:paraId="07781C66" w14:textId="77777777" w:rsidR="005C3095" w:rsidRPr="002F5917" w:rsidRDefault="005C3095" w:rsidP="00D537D1">
            <w:pPr>
              <w:pStyle w:val="Footer"/>
              <w:jc w:val="both"/>
              <w:rPr>
                <w:b/>
                <w:bCs/>
              </w:rPr>
            </w:pPr>
            <w:r w:rsidRPr="002F5917">
              <w:rPr>
                <w:b/>
                <w:bCs/>
              </w:rPr>
              <w:lastRenderedPageBreak/>
              <w:t>Justification:</w:t>
            </w:r>
          </w:p>
          <w:p w14:paraId="1B42B3EA" w14:textId="77777777" w:rsidR="002F5917" w:rsidRDefault="002F5917" w:rsidP="00D537D1">
            <w:pPr>
              <w:pStyle w:val="Footer"/>
              <w:jc w:val="both"/>
            </w:pPr>
          </w:p>
          <w:p w14:paraId="41971F57" w14:textId="17E975EC" w:rsidR="007750A4" w:rsidRDefault="007750A4" w:rsidP="00D537D1">
            <w:pPr>
              <w:pStyle w:val="Footer"/>
              <w:jc w:val="both"/>
            </w:pPr>
            <w:r>
              <w:t>The introduction of Service Quality Standards with public information on the number and nature of complaints – including those related to persons with disabilities –</w:t>
            </w:r>
            <w:r w:rsidR="00991FAB">
              <w:t xml:space="preserve"> and data on the assistance provided to persons with disabilities</w:t>
            </w:r>
            <w:r w:rsidR="00D62F72">
              <w:t xml:space="preserve"> following a new Annex III </w:t>
            </w:r>
            <w:r>
              <w:t xml:space="preserve">is one of the main novelties of the proposal. Currently, there is no information on the number of disability related complaints </w:t>
            </w:r>
            <w:r w:rsidR="00991FAB">
              <w:t xml:space="preserve">and cases </w:t>
            </w:r>
            <w:r>
              <w:t xml:space="preserve">and this </w:t>
            </w:r>
            <w:r w:rsidR="00937732">
              <w:t xml:space="preserve">legal </w:t>
            </w:r>
            <w:r>
              <w:t xml:space="preserve">provision should </w:t>
            </w:r>
            <w:r w:rsidR="00937732">
              <w:t>help provide</w:t>
            </w:r>
            <w:r>
              <w:t xml:space="preserve"> an accurate picture of the situation</w:t>
            </w:r>
            <w:r w:rsidR="00937732">
              <w:t xml:space="preserve"> as for the rights of persons with disabilities</w:t>
            </w:r>
            <w:r>
              <w:t xml:space="preserve">, allow consumers to choose the carrier that </w:t>
            </w:r>
            <w:r w:rsidR="00D62F72">
              <w:t>provide</w:t>
            </w:r>
            <w:r w:rsidR="00937732">
              <w:t>s</w:t>
            </w:r>
            <w:r>
              <w:t xml:space="preserve"> a better service and</w:t>
            </w:r>
            <w:r w:rsidR="00D62F72">
              <w:t xml:space="preserve"> push carriers and infrastructure managers to improve their performance.</w:t>
            </w:r>
          </w:p>
          <w:p w14:paraId="54B38277" w14:textId="77777777" w:rsidR="00D62F72" w:rsidRDefault="00D62F72" w:rsidP="00D537D1">
            <w:pPr>
              <w:pStyle w:val="Footer"/>
              <w:jc w:val="both"/>
            </w:pPr>
          </w:p>
          <w:p w14:paraId="0C618374" w14:textId="6CEFE844" w:rsidR="00D62F72" w:rsidRDefault="00D62F72" w:rsidP="00D537D1">
            <w:pPr>
              <w:pStyle w:val="Footer"/>
              <w:jc w:val="both"/>
            </w:pPr>
            <w:r>
              <w:t>However,</w:t>
            </w:r>
            <w:r w:rsidR="00937732">
              <w:t xml:space="preserve"> </w:t>
            </w:r>
            <w:r>
              <w:t>in its current form, th</w:t>
            </w:r>
            <w:r w:rsidR="00937732">
              <w:t>ese</w:t>
            </w:r>
            <w:r>
              <w:t xml:space="preserve"> transparency obligations </w:t>
            </w:r>
            <w:r w:rsidR="00937732">
              <w:t>present</w:t>
            </w:r>
            <w:r>
              <w:t xml:space="preserve"> two important shortcomings</w:t>
            </w:r>
            <w:r w:rsidR="00937732">
              <w:t xml:space="preserve">. </w:t>
            </w:r>
            <w:r>
              <w:t>Firstly, Service Quality Standards</w:t>
            </w:r>
            <w:r w:rsidR="00937732">
              <w:t xml:space="preserve"> under Regulation 1107 / 2006</w:t>
            </w:r>
            <w:r>
              <w:t xml:space="preserve"> only apply to </w:t>
            </w:r>
            <w:proofErr w:type="gramStart"/>
            <w:r>
              <w:t>carriers</w:t>
            </w:r>
            <w:proofErr w:type="gramEnd"/>
            <w:r>
              <w:t xml:space="preserve"> and nothing is said about Airport</w:t>
            </w:r>
            <w:r w:rsidR="0044789B">
              <w:t>s</w:t>
            </w:r>
            <w:r>
              <w:t>. Secondly, although</w:t>
            </w:r>
            <w:r w:rsidR="009054BB">
              <w:t xml:space="preserve"> </w:t>
            </w:r>
            <w:r>
              <w:t>Article 9 of Regulation 1107</w:t>
            </w:r>
            <w:r w:rsidR="009054BB">
              <w:t xml:space="preserve"> </w:t>
            </w:r>
            <w:r>
              <w:t>/</w:t>
            </w:r>
            <w:r w:rsidR="009054BB">
              <w:t xml:space="preserve"> </w:t>
            </w:r>
            <w:r>
              <w:t xml:space="preserve">2006 already obliges Airports with more than 150.000 annual passengers to adopt and publish Service Quality Standards, </w:t>
            </w:r>
            <w:r w:rsidR="009054BB">
              <w:t>the</w:t>
            </w:r>
            <w:r w:rsidR="00AF50DB">
              <w:t xml:space="preserve"> applicable Annex </w:t>
            </w:r>
            <w:r w:rsidR="009054BB">
              <w:t>d</w:t>
            </w:r>
            <w:r w:rsidR="00AF50DB">
              <w:t>oes</w:t>
            </w:r>
            <w:r w:rsidR="009054BB">
              <w:t xml:space="preserve"> not contain any obligation to publish</w:t>
            </w:r>
            <w:r>
              <w:t xml:space="preserve"> </w:t>
            </w:r>
            <w:r w:rsidR="0044789B">
              <w:t>data on the assistance provided to persons with disabilities and the</w:t>
            </w:r>
            <w:r>
              <w:t xml:space="preserve"> number and nature of disability related complaints. Given the fact the provision of assistance is one of the core passenger rights, </w:t>
            </w:r>
            <w:r w:rsidRPr="009054BB">
              <w:t>that it accounts for an important number of the complaints received</w:t>
            </w:r>
            <w:r w:rsidR="009054BB">
              <w:rPr>
                <w:rStyle w:val="FootnoteReference"/>
              </w:rPr>
              <w:footnoteReference w:id="2"/>
            </w:r>
            <w:r>
              <w:t xml:space="preserve"> and that Airports are responsible for the provision of assistance, the application of</w:t>
            </w:r>
            <w:r w:rsidR="00AF50DB">
              <w:t xml:space="preserve"> proposed</w:t>
            </w:r>
            <w:r>
              <w:t xml:space="preserve"> Annex III should </w:t>
            </w:r>
            <w:r w:rsidR="0044789B">
              <w:t>apply to</w:t>
            </w:r>
            <w:r>
              <w:t xml:space="preserve"> them. Not only Airports should monitor compliance with such Service Quality Standards but also should publish this in their website. </w:t>
            </w:r>
            <w:r w:rsidR="002F5917">
              <w:t xml:space="preserve">The publication of this information is not strange. For example, the United Kingdom Civil Aviation Authority (CAA) </w:t>
            </w:r>
            <w:r w:rsidR="0062721B">
              <w:t xml:space="preserve">publishes a </w:t>
            </w:r>
            <w:hyperlink r:id="rId12" w:history="1">
              <w:r w:rsidR="0062721B" w:rsidRPr="0062721B">
                <w:rPr>
                  <w:rStyle w:val="Hyperlink"/>
                </w:rPr>
                <w:t>yearly report ranking the performance of the airports</w:t>
              </w:r>
            </w:hyperlink>
            <w:r w:rsidR="0062721B">
              <w:t xml:space="preserve"> under its supervision. </w:t>
            </w:r>
          </w:p>
          <w:p w14:paraId="08888846" w14:textId="77777777" w:rsidR="005C3095" w:rsidRDefault="005C3095" w:rsidP="00D537D1">
            <w:pPr>
              <w:pStyle w:val="Footer"/>
              <w:jc w:val="both"/>
            </w:pPr>
          </w:p>
        </w:tc>
      </w:tr>
    </w:tbl>
    <w:p w14:paraId="494F7B85" w14:textId="24A2531A" w:rsidR="00637E0D" w:rsidRDefault="00637E0D" w:rsidP="00637E0D">
      <w:pPr>
        <w:pStyle w:val="Heading2"/>
      </w:pPr>
      <w:bookmarkStart w:id="10" w:name="_Toc164171875"/>
      <w:r>
        <w:t>Amendment to Regulation (EC) 1107</w:t>
      </w:r>
      <w:r w:rsidR="00ED5471">
        <w:t xml:space="preserve"> </w:t>
      </w:r>
      <w:r>
        <w:t>/</w:t>
      </w:r>
      <w:r w:rsidR="00ED5471">
        <w:t xml:space="preserve"> </w:t>
      </w:r>
      <w:r>
        <w:t xml:space="preserve">2006 </w:t>
      </w:r>
      <w:r>
        <w:softHyphen/>
        <w:t>– Article 12 (new)</w:t>
      </w:r>
      <w:bookmarkEnd w:id="10"/>
    </w:p>
    <w:p w14:paraId="09426793" w14:textId="77777777" w:rsidR="00637E0D" w:rsidRPr="00046E92" w:rsidRDefault="00637E0D" w:rsidP="00637E0D"/>
    <w:tbl>
      <w:tblPr>
        <w:tblStyle w:val="TableGrid"/>
        <w:tblW w:w="0" w:type="auto"/>
        <w:tblLook w:val="04A0" w:firstRow="1" w:lastRow="0" w:firstColumn="1" w:lastColumn="0" w:noHBand="0" w:noVBand="1"/>
      </w:tblPr>
      <w:tblGrid>
        <w:gridCol w:w="4980"/>
        <w:gridCol w:w="4982"/>
      </w:tblGrid>
      <w:tr w:rsidR="00637E0D" w14:paraId="5987A534" w14:textId="77777777" w:rsidTr="00C15811">
        <w:tc>
          <w:tcPr>
            <w:tcW w:w="4980" w:type="dxa"/>
          </w:tcPr>
          <w:p w14:paraId="538C261A" w14:textId="77777777" w:rsidR="00637E0D" w:rsidRDefault="00637E0D" w:rsidP="00C15811">
            <w:pPr>
              <w:pStyle w:val="Footer"/>
              <w:jc w:val="both"/>
            </w:pPr>
            <w:r>
              <w:t>Commission proposal</w:t>
            </w:r>
          </w:p>
        </w:tc>
        <w:tc>
          <w:tcPr>
            <w:tcW w:w="4982" w:type="dxa"/>
          </w:tcPr>
          <w:p w14:paraId="429E9A06" w14:textId="77777777" w:rsidR="00637E0D" w:rsidRDefault="00637E0D" w:rsidP="00C15811">
            <w:pPr>
              <w:pStyle w:val="Footer"/>
              <w:jc w:val="both"/>
            </w:pPr>
            <w:r>
              <w:t>EDF amendments</w:t>
            </w:r>
          </w:p>
        </w:tc>
      </w:tr>
      <w:tr w:rsidR="00637E0D" w14:paraId="143E199E" w14:textId="77777777" w:rsidTr="00C15811">
        <w:tc>
          <w:tcPr>
            <w:tcW w:w="4980" w:type="dxa"/>
          </w:tcPr>
          <w:p w14:paraId="43D9B19A" w14:textId="77777777" w:rsidR="00637E0D" w:rsidRDefault="00637E0D" w:rsidP="00C15811">
            <w:pPr>
              <w:pStyle w:val="Footer"/>
            </w:pPr>
          </w:p>
          <w:p w14:paraId="117F4880" w14:textId="77777777" w:rsidR="00637E0D" w:rsidRDefault="00637E0D" w:rsidP="00C15811">
            <w:pPr>
              <w:pStyle w:val="Footer"/>
            </w:pPr>
          </w:p>
        </w:tc>
        <w:tc>
          <w:tcPr>
            <w:tcW w:w="4982" w:type="dxa"/>
          </w:tcPr>
          <w:p w14:paraId="5B0D0B06" w14:textId="77777777" w:rsidR="00637E0D" w:rsidRPr="00027832" w:rsidRDefault="00637E0D" w:rsidP="00C15811">
            <w:pPr>
              <w:pStyle w:val="Footer"/>
              <w:rPr>
                <w:b/>
                <w:bCs/>
                <w:i/>
                <w:iCs/>
              </w:rPr>
            </w:pPr>
            <w:r w:rsidRPr="00027832">
              <w:rPr>
                <w:b/>
                <w:bCs/>
                <w:i/>
                <w:iCs/>
              </w:rPr>
              <w:t>Article 12 is amended as follows:</w:t>
            </w:r>
          </w:p>
          <w:p w14:paraId="1E6CCBAF" w14:textId="77777777" w:rsidR="00637E0D" w:rsidRPr="00027832" w:rsidRDefault="00637E0D" w:rsidP="00C15811">
            <w:pPr>
              <w:pStyle w:val="Footer"/>
              <w:rPr>
                <w:b/>
                <w:bCs/>
                <w:i/>
                <w:iCs/>
              </w:rPr>
            </w:pPr>
          </w:p>
          <w:p w14:paraId="4ECEBEA2" w14:textId="77777777" w:rsidR="00637E0D" w:rsidRPr="00027832" w:rsidRDefault="00637E0D" w:rsidP="00C15811">
            <w:pPr>
              <w:pStyle w:val="Footer"/>
              <w:rPr>
                <w:b/>
                <w:bCs/>
                <w:i/>
                <w:iCs/>
              </w:rPr>
            </w:pPr>
            <w:r w:rsidRPr="00027832">
              <w:rPr>
                <w:b/>
                <w:bCs/>
                <w:i/>
                <w:iCs/>
              </w:rPr>
              <w:t xml:space="preserve">1.   Where </w:t>
            </w:r>
            <w:r>
              <w:rPr>
                <w:b/>
                <w:bCs/>
                <w:i/>
                <w:iCs/>
              </w:rPr>
              <w:t xml:space="preserve">air carriers and airport managing bodies </w:t>
            </w:r>
            <w:r w:rsidRPr="00027832">
              <w:rPr>
                <w:b/>
                <w:bCs/>
                <w:i/>
                <w:iCs/>
              </w:rPr>
              <w:t xml:space="preserve">cause the loss of, or damage to, mobility equipment, including wheelchairs, and assistive devices, or the loss of, or injury to, assistance dogs </w:t>
            </w:r>
            <w:r w:rsidRPr="00027832">
              <w:rPr>
                <w:b/>
                <w:bCs/>
                <w:i/>
                <w:iCs/>
              </w:rPr>
              <w:lastRenderedPageBreak/>
              <w:t>used by persons with disabilities and persons with reduced mobility, they shall be liable for that loss, damage or injury, and provide compensation without undue delay. That compensation shall comprise:</w:t>
            </w:r>
          </w:p>
          <w:p w14:paraId="6C742052" w14:textId="77777777" w:rsidR="00637E0D" w:rsidRPr="00027832" w:rsidRDefault="00637E0D" w:rsidP="00C15811">
            <w:pPr>
              <w:pStyle w:val="Footer"/>
              <w:rPr>
                <w:b/>
                <w:bCs/>
                <w:i/>
                <w:iCs/>
              </w:rPr>
            </w:pPr>
          </w:p>
          <w:p w14:paraId="3E08D0F7" w14:textId="77777777" w:rsidR="00637E0D" w:rsidRPr="00027832" w:rsidRDefault="00637E0D" w:rsidP="00C15811">
            <w:pPr>
              <w:pStyle w:val="Footer"/>
              <w:rPr>
                <w:b/>
                <w:bCs/>
                <w:i/>
                <w:iCs/>
              </w:rPr>
            </w:pPr>
            <w:r w:rsidRPr="00027832">
              <w:rPr>
                <w:b/>
                <w:bCs/>
                <w:i/>
                <w:iCs/>
              </w:rPr>
              <w:t>(a)</w:t>
            </w:r>
            <w:r>
              <w:rPr>
                <w:b/>
                <w:bCs/>
                <w:i/>
                <w:iCs/>
              </w:rPr>
              <w:t xml:space="preserve"> </w:t>
            </w:r>
            <w:r w:rsidRPr="00027832">
              <w:rPr>
                <w:b/>
                <w:bCs/>
                <w:i/>
                <w:iCs/>
              </w:rPr>
              <w:t xml:space="preserve">the cost of replacement or repair of the mobility equipment or assistive devices lost or </w:t>
            </w:r>
            <w:proofErr w:type="gramStart"/>
            <w:r w:rsidRPr="00027832">
              <w:rPr>
                <w:b/>
                <w:bCs/>
                <w:i/>
                <w:iCs/>
              </w:rPr>
              <w:t>damaged;</w:t>
            </w:r>
            <w:proofErr w:type="gramEnd"/>
          </w:p>
          <w:p w14:paraId="73457236" w14:textId="77777777" w:rsidR="00637E0D" w:rsidRPr="00027832" w:rsidRDefault="00637E0D" w:rsidP="00C15811">
            <w:pPr>
              <w:pStyle w:val="Footer"/>
              <w:rPr>
                <w:b/>
                <w:bCs/>
                <w:i/>
                <w:iCs/>
              </w:rPr>
            </w:pPr>
          </w:p>
          <w:p w14:paraId="4A3B83B1" w14:textId="77777777" w:rsidR="00637E0D" w:rsidRPr="00027832" w:rsidRDefault="00637E0D" w:rsidP="00C15811">
            <w:pPr>
              <w:pStyle w:val="Footer"/>
              <w:rPr>
                <w:b/>
                <w:bCs/>
                <w:i/>
                <w:iCs/>
              </w:rPr>
            </w:pPr>
            <w:r w:rsidRPr="00027832">
              <w:rPr>
                <w:b/>
                <w:bCs/>
                <w:i/>
                <w:iCs/>
              </w:rPr>
              <w:t>(b)the cost of replacement or the treatment of the injury of an assistance dog that was lost or injured; and</w:t>
            </w:r>
          </w:p>
          <w:p w14:paraId="683803BA" w14:textId="77777777" w:rsidR="00637E0D" w:rsidRPr="00027832" w:rsidRDefault="00637E0D" w:rsidP="00C15811">
            <w:pPr>
              <w:pStyle w:val="Footer"/>
              <w:rPr>
                <w:b/>
                <w:bCs/>
                <w:i/>
                <w:iCs/>
              </w:rPr>
            </w:pPr>
          </w:p>
          <w:p w14:paraId="47F3DC06" w14:textId="77777777" w:rsidR="00637E0D" w:rsidRDefault="00637E0D" w:rsidP="00C15811">
            <w:pPr>
              <w:pStyle w:val="Footer"/>
              <w:rPr>
                <w:b/>
                <w:bCs/>
                <w:i/>
                <w:iCs/>
              </w:rPr>
            </w:pPr>
            <w:r w:rsidRPr="00027832">
              <w:rPr>
                <w:b/>
                <w:bCs/>
                <w:i/>
                <w:iCs/>
              </w:rPr>
              <w:t xml:space="preserve">(c)reasonable costs of temporary replacement for mobility equipment, assistive devices or assistance dogs where such replacement is not provided by the </w:t>
            </w:r>
            <w:r>
              <w:rPr>
                <w:b/>
                <w:bCs/>
                <w:i/>
                <w:iCs/>
              </w:rPr>
              <w:t>air carriers or airport managing body</w:t>
            </w:r>
            <w:r w:rsidRPr="00027832">
              <w:rPr>
                <w:b/>
                <w:bCs/>
                <w:i/>
                <w:iCs/>
              </w:rPr>
              <w:t xml:space="preserve"> in accordance with paragraph 2.</w:t>
            </w:r>
          </w:p>
          <w:p w14:paraId="0CBE31DC" w14:textId="77777777" w:rsidR="00C6261A" w:rsidRDefault="00C6261A" w:rsidP="00C15811">
            <w:pPr>
              <w:pStyle w:val="Footer"/>
              <w:rPr>
                <w:b/>
                <w:bCs/>
                <w:i/>
                <w:iCs/>
              </w:rPr>
            </w:pPr>
          </w:p>
          <w:p w14:paraId="3DB625CB" w14:textId="1641AE15" w:rsidR="00C6261A" w:rsidRPr="00027832" w:rsidRDefault="00C6261A" w:rsidP="00C15811">
            <w:pPr>
              <w:pStyle w:val="Footer"/>
              <w:rPr>
                <w:b/>
                <w:bCs/>
                <w:i/>
                <w:iCs/>
              </w:rPr>
            </w:pPr>
            <w:r>
              <w:rPr>
                <w:b/>
                <w:bCs/>
                <w:i/>
                <w:iCs/>
              </w:rPr>
              <w:t>(d) any cost for the passenger derived from the loss or damage of mobility equipment</w:t>
            </w:r>
            <w:r w:rsidR="00B704CE">
              <w:rPr>
                <w:b/>
                <w:bCs/>
                <w:i/>
                <w:iCs/>
              </w:rPr>
              <w:t xml:space="preserve"> or assistive device</w:t>
            </w:r>
            <w:r>
              <w:rPr>
                <w:b/>
                <w:bCs/>
                <w:i/>
                <w:iCs/>
              </w:rPr>
              <w:t xml:space="preserve">, or from the loss or injury of assistance dogs, until </w:t>
            </w:r>
            <w:r w:rsidR="00B704CE">
              <w:rPr>
                <w:b/>
                <w:bCs/>
                <w:i/>
                <w:iCs/>
              </w:rPr>
              <w:t>the temporary replacement has been provided.</w:t>
            </w:r>
          </w:p>
          <w:p w14:paraId="714CA9C5" w14:textId="77777777" w:rsidR="00637E0D" w:rsidRPr="00027832" w:rsidRDefault="00637E0D" w:rsidP="00C15811">
            <w:pPr>
              <w:pStyle w:val="Footer"/>
              <w:rPr>
                <w:b/>
                <w:bCs/>
                <w:i/>
                <w:iCs/>
              </w:rPr>
            </w:pPr>
          </w:p>
          <w:p w14:paraId="2519D15F" w14:textId="77777777" w:rsidR="00637E0D" w:rsidRPr="00027832" w:rsidRDefault="00637E0D" w:rsidP="00C15811">
            <w:pPr>
              <w:pStyle w:val="Footer"/>
              <w:rPr>
                <w:b/>
                <w:bCs/>
                <w:i/>
                <w:iCs/>
              </w:rPr>
            </w:pPr>
            <w:r w:rsidRPr="00027832">
              <w:rPr>
                <w:b/>
                <w:bCs/>
                <w:i/>
                <w:iCs/>
              </w:rPr>
              <w:t xml:space="preserve">2.   Where paragraph 1 applies, </w:t>
            </w:r>
            <w:r>
              <w:rPr>
                <w:b/>
                <w:bCs/>
                <w:i/>
                <w:iCs/>
              </w:rPr>
              <w:t>air carriers and airport managing bodies</w:t>
            </w:r>
            <w:r w:rsidRPr="00027832">
              <w:rPr>
                <w:b/>
                <w:bCs/>
                <w:i/>
                <w:iCs/>
              </w:rPr>
              <w:t xml:space="preserve"> shall rapidly make all reasonable efforts to provide immediately needed temporary replacements for mobility equipment or assistive devices. The person with disabilities or the person with reduced mobility shall be permitted to keep that temporary replacement equipment or device until the compensation referred to in paragraph 1 has been paid</w:t>
            </w:r>
          </w:p>
          <w:p w14:paraId="6A81E514" w14:textId="77777777" w:rsidR="00637E0D" w:rsidRPr="00027832" w:rsidRDefault="00637E0D" w:rsidP="00C15811">
            <w:pPr>
              <w:pStyle w:val="Footer"/>
              <w:rPr>
                <w:b/>
                <w:bCs/>
                <w:i/>
                <w:iCs/>
              </w:rPr>
            </w:pPr>
          </w:p>
        </w:tc>
      </w:tr>
      <w:tr w:rsidR="00637E0D" w14:paraId="16DEFDA3" w14:textId="77777777" w:rsidTr="00C15811">
        <w:tc>
          <w:tcPr>
            <w:tcW w:w="9962" w:type="dxa"/>
            <w:gridSpan w:val="2"/>
          </w:tcPr>
          <w:p w14:paraId="2D6984B6" w14:textId="77777777" w:rsidR="00637E0D" w:rsidRDefault="00637E0D" w:rsidP="00C15811">
            <w:pPr>
              <w:pStyle w:val="Footer"/>
              <w:jc w:val="both"/>
            </w:pPr>
            <w:r w:rsidRPr="007B6654">
              <w:rPr>
                <w:b/>
                <w:bCs/>
              </w:rPr>
              <w:lastRenderedPageBreak/>
              <w:t>Justification</w:t>
            </w:r>
            <w:r>
              <w:t>:</w:t>
            </w:r>
          </w:p>
          <w:p w14:paraId="44150A71" w14:textId="77777777" w:rsidR="00637E0D" w:rsidRDefault="00637E0D" w:rsidP="00C15811">
            <w:pPr>
              <w:pStyle w:val="Footer"/>
              <w:jc w:val="both"/>
            </w:pPr>
          </w:p>
          <w:p w14:paraId="763E6019" w14:textId="77777777" w:rsidR="00637E0D" w:rsidRDefault="00637E0D" w:rsidP="00C15811">
            <w:pPr>
              <w:pStyle w:val="Footer"/>
              <w:jc w:val="both"/>
            </w:pPr>
            <w:r>
              <w:lastRenderedPageBreak/>
              <w:t xml:space="preserve">Mobility equipment is often made-to-measure and can be very costly to replace. The current limitation of 1131 SDR (approx. 1100 EUR) under the Montreal Convention is therefore not sufficient to cover the replacement or damages to a wheelchair that can cost up to 10.000 EUR or more. Mobility equipment is crucial for passengers with reduced mobility or disability to remain independent and cannot be replaced easily. </w:t>
            </w:r>
          </w:p>
          <w:p w14:paraId="51F9911F" w14:textId="77777777" w:rsidR="00637E0D" w:rsidRDefault="00637E0D" w:rsidP="00C15811">
            <w:pPr>
              <w:pStyle w:val="Footer"/>
              <w:jc w:val="both"/>
            </w:pPr>
          </w:p>
          <w:p w14:paraId="6E413DC8" w14:textId="284242C4" w:rsidR="00637E0D" w:rsidRDefault="00637E0D" w:rsidP="00C15811">
            <w:pPr>
              <w:pStyle w:val="Footer"/>
              <w:jc w:val="both"/>
            </w:pPr>
            <w:r>
              <w:t xml:space="preserve">While Regulations for Rail, Waterborne, Bus and Coach already foresee the carrier and infrastructure manager full liability for the damage or loss of mobility equipment, air transport is the sole transport mode where such liability is limited. Aware of this situation, the Commission tried to solve the issue in its </w:t>
            </w:r>
            <w:hyperlink r:id="rId13" w:history="1">
              <w:r w:rsidRPr="00D0567F">
                <w:rPr>
                  <w:rStyle w:val="Hyperlink"/>
                </w:rPr>
                <w:t>2013 proposal amending regulations 261/2004 and 2027/97</w:t>
              </w:r>
            </w:hyperlink>
            <w:r>
              <w:t xml:space="preserve">. Unfortunately, this proposal has been blocked in the Council for more than ten years and this important issue remains unaddressed. Addressing this gap should be a priority in any update of the passenger rights </w:t>
            </w:r>
            <w:r w:rsidR="00B704CE">
              <w:t xml:space="preserve">legal </w:t>
            </w:r>
            <w:r>
              <w:t xml:space="preserve">framework.  </w:t>
            </w:r>
          </w:p>
          <w:p w14:paraId="57EC1498" w14:textId="77777777" w:rsidR="00637E0D" w:rsidRDefault="00637E0D" w:rsidP="00C15811">
            <w:pPr>
              <w:pStyle w:val="Footer"/>
              <w:jc w:val="both"/>
            </w:pPr>
          </w:p>
        </w:tc>
      </w:tr>
    </w:tbl>
    <w:p w14:paraId="5B065193" w14:textId="397D5F9A" w:rsidR="005C3095" w:rsidRDefault="00710EF8" w:rsidP="005C3095">
      <w:pPr>
        <w:pStyle w:val="Heading2"/>
      </w:pPr>
      <w:bookmarkStart w:id="11" w:name="_Toc164171876"/>
      <w:r>
        <w:lastRenderedPageBreak/>
        <w:t>Amendment to Regulation (EC) 1107</w:t>
      </w:r>
      <w:r w:rsidR="00ED5471">
        <w:t xml:space="preserve"> </w:t>
      </w:r>
      <w:r>
        <w:t>/</w:t>
      </w:r>
      <w:r w:rsidR="00ED5471">
        <w:t xml:space="preserve"> </w:t>
      </w:r>
      <w:r>
        <w:t xml:space="preserve">2006 </w:t>
      </w:r>
      <w:r>
        <w:softHyphen/>
        <w:t>– Article 14a</w:t>
      </w:r>
      <w:r w:rsidR="00554C83">
        <w:t xml:space="preserve"> (4 and 6)</w:t>
      </w:r>
      <w:bookmarkEnd w:id="11"/>
    </w:p>
    <w:p w14:paraId="1C744E3E" w14:textId="77777777" w:rsidR="005C3095" w:rsidRPr="00046E92" w:rsidRDefault="005C3095" w:rsidP="005C3095"/>
    <w:tbl>
      <w:tblPr>
        <w:tblStyle w:val="TableGrid"/>
        <w:tblW w:w="0" w:type="auto"/>
        <w:tblLook w:val="04A0" w:firstRow="1" w:lastRow="0" w:firstColumn="1" w:lastColumn="0" w:noHBand="0" w:noVBand="1"/>
      </w:tblPr>
      <w:tblGrid>
        <w:gridCol w:w="4980"/>
        <w:gridCol w:w="4982"/>
      </w:tblGrid>
      <w:tr w:rsidR="005C3095" w14:paraId="26AD32D0" w14:textId="77777777" w:rsidTr="005C3095">
        <w:tc>
          <w:tcPr>
            <w:tcW w:w="4980" w:type="dxa"/>
          </w:tcPr>
          <w:p w14:paraId="34EA7232" w14:textId="77777777" w:rsidR="005C3095" w:rsidRDefault="005C3095" w:rsidP="00D537D1">
            <w:pPr>
              <w:pStyle w:val="Footer"/>
              <w:jc w:val="both"/>
            </w:pPr>
            <w:r>
              <w:t>Commission proposal</w:t>
            </w:r>
          </w:p>
        </w:tc>
        <w:tc>
          <w:tcPr>
            <w:tcW w:w="4982" w:type="dxa"/>
          </w:tcPr>
          <w:p w14:paraId="212BC18E" w14:textId="77777777" w:rsidR="005C3095" w:rsidRDefault="005C3095" w:rsidP="00D537D1">
            <w:pPr>
              <w:pStyle w:val="Footer"/>
              <w:jc w:val="both"/>
            </w:pPr>
            <w:r>
              <w:t>EDF amendments</w:t>
            </w:r>
          </w:p>
        </w:tc>
      </w:tr>
      <w:tr w:rsidR="00201F3D" w14:paraId="2AC2496B" w14:textId="77777777" w:rsidTr="005C3095">
        <w:tc>
          <w:tcPr>
            <w:tcW w:w="4980" w:type="dxa"/>
          </w:tcPr>
          <w:p w14:paraId="1A9221E3" w14:textId="09A6AD4B" w:rsidR="00201F3D" w:rsidRDefault="00201F3D" w:rsidP="00201F3D">
            <w:pPr>
              <w:pStyle w:val="Footer"/>
            </w:pPr>
            <w:r>
              <w:t>Risk-based approach to the monitoring of compliance with passenger rights</w:t>
            </w:r>
          </w:p>
          <w:p w14:paraId="732AB5FD" w14:textId="77777777" w:rsidR="00201F3D" w:rsidRDefault="00201F3D" w:rsidP="00201F3D">
            <w:pPr>
              <w:pStyle w:val="Footer"/>
            </w:pPr>
          </w:p>
          <w:p w14:paraId="665A05F1" w14:textId="6DBF28EB" w:rsidR="00201F3D" w:rsidRDefault="00554C83" w:rsidP="00201F3D">
            <w:pPr>
              <w:pStyle w:val="Footer"/>
            </w:pPr>
            <w:r>
              <w:t>(….)</w:t>
            </w:r>
          </w:p>
          <w:p w14:paraId="53D968CF" w14:textId="77777777" w:rsidR="00554C83" w:rsidRDefault="00554C83" w:rsidP="00201F3D">
            <w:pPr>
              <w:pStyle w:val="Footer"/>
            </w:pPr>
          </w:p>
          <w:p w14:paraId="26A2D92D" w14:textId="77777777" w:rsidR="00201F3D" w:rsidRDefault="00201F3D" w:rsidP="00201F3D">
            <w:pPr>
              <w:pStyle w:val="Footer"/>
            </w:pPr>
            <w:r>
              <w:t>4.    Compliance monitoring activities shall be based on the assessment of risks and carried out by means of audits, inspections, interviews, verifications and examination of documents as appropriate. They shall include both announced and unannounced activities. The monitoring activities shall be proportionate to the risks identified.</w:t>
            </w:r>
          </w:p>
          <w:p w14:paraId="50725908" w14:textId="77777777" w:rsidR="00201F3D" w:rsidRDefault="00201F3D" w:rsidP="00201F3D">
            <w:pPr>
              <w:pStyle w:val="Footer"/>
            </w:pPr>
          </w:p>
          <w:p w14:paraId="4DCE5EE6" w14:textId="59A0A32F" w:rsidR="00201F3D" w:rsidRDefault="00554C83" w:rsidP="00201F3D">
            <w:pPr>
              <w:pStyle w:val="Footer"/>
            </w:pPr>
            <w:r>
              <w:t>(…)</w:t>
            </w:r>
            <w:r w:rsidR="00201F3D">
              <w:t xml:space="preserve"> </w:t>
            </w:r>
          </w:p>
          <w:p w14:paraId="011B72FA" w14:textId="77777777" w:rsidR="00201F3D" w:rsidRDefault="00201F3D" w:rsidP="00201F3D">
            <w:pPr>
              <w:pStyle w:val="Footer"/>
            </w:pPr>
          </w:p>
          <w:p w14:paraId="5D832150" w14:textId="151696FF" w:rsidR="00201F3D" w:rsidRDefault="00201F3D" w:rsidP="00201F3D">
            <w:pPr>
              <w:pStyle w:val="Footer"/>
            </w:pPr>
            <w:r>
              <w:t>6.    The compliance monitoring programme under paragraph 1, the risk assessment under paragraph 2 as well as their findings shall be communicated to the Commission by 30 June XXXX [2 years after the Regulation becomes applicable], and every two years thereafter</w:t>
            </w:r>
          </w:p>
          <w:p w14:paraId="0AA1EC68" w14:textId="1A6F982E" w:rsidR="00201F3D" w:rsidRDefault="00201F3D" w:rsidP="00201F3D">
            <w:pPr>
              <w:pStyle w:val="Footer"/>
            </w:pPr>
          </w:p>
        </w:tc>
        <w:tc>
          <w:tcPr>
            <w:tcW w:w="4982" w:type="dxa"/>
          </w:tcPr>
          <w:p w14:paraId="3DA8F519" w14:textId="77777777" w:rsidR="00201F3D" w:rsidRDefault="00201F3D" w:rsidP="00201F3D">
            <w:pPr>
              <w:pStyle w:val="Footer"/>
            </w:pPr>
            <w:r>
              <w:t>Risk-based approach to the monitoring of compliance with passenger rights</w:t>
            </w:r>
          </w:p>
          <w:p w14:paraId="15CF8E03" w14:textId="77777777" w:rsidR="00201F3D" w:rsidRDefault="00201F3D" w:rsidP="00201F3D">
            <w:pPr>
              <w:pStyle w:val="Footer"/>
            </w:pPr>
          </w:p>
          <w:p w14:paraId="6D8EF407" w14:textId="3ECD3751" w:rsidR="00554C83" w:rsidRDefault="00554C83" w:rsidP="00201F3D">
            <w:pPr>
              <w:pStyle w:val="Footer"/>
            </w:pPr>
            <w:r>
              <w:t>(…)</w:t>
            </w:r>
          </w:p>
          <w:p w14:paraId="0FE177BD" w14:textId="77777777" w:rsidR="00201F3D" w:rsidRDefault="00201F3D" w:rsidP="00201F3D">
            <w:pPr>
              <w:pStyle w:val="Footer"/>
            </w:pPr>
          </w:p>
          <w:p w14:paraId="57BB3AFE" w14:textId="509BC407" w:rsidR="00201F3D" w:rsidRDefault="00201F3D" w:rsidP="00201F3D">
            <w:pPr>
              <w:pStyle w:val="Footer"/>
            </w:pPr>
            <w:r>
              <w:t xml:space="preserve">4.    Compliance monitoring activities shall be based on the assessment of risks and carried out by means of audits, </w:t>
            </w:r>
            <w:r w:rsidRPr="00201F3D">
              <w:rPr>
                <w:b/>
                <w:bCs/>
                <w:i/>
                <w:iCs/>
              </w:rPr>
              <w:t>website</w:t>
            </w:r>
            <w:r>
              <w:rPr>
                <w:b/>
                <w:bCs/>
                <w:i/>
                <w:iCs/>
              </w:rPr>
              <w:t xml:space="preserve"> and app</w:t>
            </w:r>
            <w:r w:rsidRPr="00201F3D">
              <w:rPr>
                <w:b/>
                <w:bCs/>
                <w:i/>
                <w:iCs/>
              </w:rPr>
              <w:t xml:space="preserve"> reviews</w:t>
            </w:r>
            <w:r w:rsidR="00F55F52">
              <w:rPr>
                <w:b/>
                <w:bCs/>
                <w:i/>
                <w:iCs/>
              </w:rPr>
              <w:t xml:space="preserve"> – including on </w:t>
            </w:r>
            <w:proofErr w:type="gramStart"/>
            <w:r w:rsidR="00F55F52">
              <w:rPr>
                <w:b/>
                <w:bCs/>
                <w:i/>
                <w:iCs/>
              </w:rPr>
              <w:t xml:space="preserve">accessibility </w:t>
            </w:r>
            <w:r>
              <w:t xml:space="preserve"> </w:t>
            </w:r>
            <w:r w:rsidR="00F55F52">
              <w:rPr>
                <w:b/>
                <w:bCs/>
                <w:i/>
                <w:iCs/>
              </w:rPr>
              <w:t>–</w:t>
            </w:r>
            <w:proofErr w:type="gramEnd"/>
            <w:r w:rsidR="00F55F52">
              <w:rPr>
                <w:b/>
                <w:bCs/>
                <w:i/>
                <w:iCs/>
              </w:rPr>
              <w:t xml:space="preserve"> </w:t>
            </w:r>
            <w:r>
              <w:t xml:space="preserve">inspections, interviews, verifications and examination of documents as appropriate. </w:t>
            </w:r>
            <w:r w:rsidRPr="00285E4C">
              <w:rPr>
                <w:b/>
                <w:bCs/>
                <w:i/>
                <w:iCs/>
              </w:rPr>
              <w:t>They shall include both announced and unannounced activities</w:t>
            </w:r>
            <w:r w:rsidR="00285E4C" w:rsidRPr="00285E4C">
              <w:rPr>
                <w:b/>
                <w:bCs/>
                <w:i/>
                <w:iCs/>
              </w:rPr>
              <w:t xml:space="preserve"> </w:t>
            </w:r>
            <w:r w:rsidR="00285E4C">
              <w:rPr>
                <w:b/>
                <w:bCs/>
                <w:i/>
                <w:iCs/>
              </w:rPr>
              <w:t>which should</w:t>
            </w:r>
            <w:r w:rsidR="00285E4C" w:rsidRPr="00285E4C">
              <w:rPr>
                <w:b/>
                <w:bCs/>
                <w:i/>
                <w:iCs/>
              </w:rPr>
              <w:t xml:space="preserve"> be carried out in cooperation with persons with disabilities and their representative organisations</w:t>
            </w:r>
            <w:r w:rsidR="00285E4C">
              <w:t>.</w:t>
            </w:r>
            <w:r>
              <w:t xml:space="preserve"> The monitoring activities shall be proportionate to the risks identified.</w:t>
            </w:r>
          </w:p>
          <w:p w14:paraId="44D2F7FE" w14:textId="77777777" w:rsidR="00201F3D" w:rsidRDefault="00201F3D" w:rsidP="00201F3D">
            <w:pPr>
              <w:pStyle w:val="Footer"/>
            </w:pPr>
          </w:p>
          <w:p w14:paraId="6C809D51" w14:textId="64351318" w:rsidR="00201F3D" w:rsidRDefault="00554C83" w:rsidP="00201F3D">
            <w:pPr>
              <w:pStyle w:val="Footer"/>
            </w:pPr>
            <w:r>
              <w:t xml:space="preserve"> (…)</w:t>
            </w:r>
            <w:r w:rsidR="00201F3D">
              <w:t xml:space="preserve"> </w:t>
            </w:r>
          </w:p>
          <w:p w14:paraId="602ABDA1" w14:textId="77777777" w:rsidR="00FC0CC7" w:rsidRDefault="00FC0CC7" w:rsidP="00201F3D">
            <w:pPr>
              <w:pStyle w:val="Footer"/>
            </w:pPr>
          </w:p>
          <w:p w14:paraId="26F33AD1" w14:textId="39B4D89B" w:rsidR="00FC0CC7" w:rsidRPr="00FC0CC7" w:rsidRDefault="009017C3" w:rsidP="00201F3D">
            <w:pPr>
              <w:pStyle w:val="Footer"/>
              <w:rPr>
                <w:b/>
                <w:bCs/>
                <w:i/>
                <w:iCs/>
              </w:rPr>
            </w:pPr>
            <w:r>
              <w:t>6</w:t>
            </w:r>
            <w:r w:rsidR="00201F3D">
              <w:t xml:space="preserve">.    The compliance monitoring programme under paragraph 1, the risk assessment under paragraph 2 as well as their findings shall be communicated to the Commission by 30 June XXXX [2 years after the </w:t>
            </w:r>
            <w:r w:rsidR="00201F3D">
              <w:lastRenderedPageBreak/>
              <w:t>Regulation becomes applicable], and every two years thereafter</w:t>
            </w:r>
            <w:r w:rsidR="00285E4C">
              <w:t xml:space="preserve">. </w:t>
            </w:r>
            <w:r w:rsidR="00F94CAB">
              <w:rPr>
                <w:b/>
                <w:bCs/>
              </w:rPr>
              <w:t>T</w:t>
            </w:r>
            <w:r w:rsidR="00FC0CC7" w:rsidRPr="00F55F52">
              <w:rPr>
                <w:b/>
                <w:bCs/>
              </w:rPr>
              <w:t xml:space="preserve">hey shall be included in </w:t>
            </w:r>
            <w:r w:rsidR="00FC0CC7" w:rsidRPr="00FC0CC7">
              <w:rPr>
                <w:b/>
                <w:bCs/>
                <w:i/>
                <w:iCs/>
              </w:rPr>
              <w:t xml:space="preserve">the reports referred to in Article </w:t>
            </w:r>
            <w:r w:rsidR="00FC0CC7">
              <w:rPr>
                <w:b/>
                <w:bCs/>
                <w:i/>
                <w:iCs/>
              </w:rPr>
              <w:t xml:space="preserve">14 </w:t>
            </w:r>
            <w:r w:rsidR="009B1421">
              <w:rPr>
                <w:b/>
                <w:bCs/>
                <w:i/>
                <w:iCs/>
              </w:rPr>
              <w:t>(3)</w:t>
            </w:r>
          </w:p>
          <w:p w14:paraId="209FBA7E" w14:textId="2C06FAD9" w:rsidR="00201F3D" w:rsidRPr="00FC0CC7" w:rsidRDefault="00201F3D" w:rsidP="00201F3D">
            <w:pPr>
              <w:pStyle w:val="Footer"/>
              <w:rPr>
                <w:b/>
                <w:i/>
                <w:iCs/>
              </w:rPr>
            </w:pPr>
          </w:p>
        </w:tc>
      </w:tr>
      <w:tr w:rsidR="00201F3D" w14:paraId="37672124" w14:textId="77777777" w:rsidTr="005C3095">
        <w:tc>
          <w:tcPr>
            <w:tcW w:w="9962" w:type="dxa"/>
            <w:gridSpan w:val="2"/>
          </w:tcPr>
          <w:p w14:paraId="7A876473" w14:textId="77777777" w:rsidR="00201F3D" w:rsidRPr="00FB397E" w:rsidRDefault="00201F3D" w:rsidP="00201F3D">
            <w:pPr>
              <w:pStyle w:val="Footer"/>
              <w:jc w:val="both"/>
              <w:rPr>
                <w:b/>
                <w:bCs/>
              </w:rPr>
            </w:pPr>
            <w:r w:rsidRPr="00FB397E">
              <w:rPr>
                <w:b/>
                <w:bCs/>
              </w:rPr>
              <w:lastRenderedPageBreak/>
              <w:t>Justification:</w:t>
            </w:r>
          </w:p>
          <w:p w14:paraId="3725786A" w14:textId="77777777" w:rsidR="00201F3D" w:rsidRDefault="00201F3D" w:rsidP="00201F3D">
            <w:pPr>
              <w:pStyle w:val="Footer"/>
              <w:jc w:val="both"/>
            </w:pPr>
          </w:p>
          <w:p w14:paraId="14F98FB0" w14:textId="26B44955" w:rsidR="00235453" w:rsidRDefault="00235453" w:rsidP="00201F3D">
            <w:pPr>
              <w:pStyle w:val="Footer"/>
              <w:jc w:val="both"/>
            </w:pPr>
            <w:r>
              <w:t xml:space="preserve">While the article already provides </w:t>
            </w:r>
            <w:r w:rsidR="00DC4D02">
              <w:t>an indicative</w:t>
            </w:r>
            <w:r>
              <w:t xml:space="preserve"> list of the monitoring activities that should be carried out by</w:t>
            </w:r>
            <w:r w:rsidR="00DC4D02">
              <w:t xml:space="preserve"> the National Enforcement Bodies (NEBs)</w:t>
            </w:r>
            <w:r w:rsidR="00EA1E0D">
              <w:t xml:space="preserve"> it is important to specify other type of initiatives, such as the monitoring of airlines and airports websites and applications.</w:t>
            </w:r>
            <w:r w:rsidR="003D62AE">
              <w:t xml:space="preserve"> Such activities could help oversee</w:t>
            </w:r>
            <w:r w:rsidR="00FA308B">
              <w:t xml:space="preserve"> the application</w:t>
            </w:r>
            <w:r w:rsidR="003D62AE">
              <w:t xml:space="preserve"> of</w:t>
            </w:r>
            <w:r w:rsidR="00EA1E0D">
              <w:t xml:space="preserve"> Article 4 of Regulation 1107/2006 </w:t>
            </w:r>
            <w:r w:rsidR="003D62AE">
              <w:t>(</w:t>
            </w:r>
            <w:r w:rsidR="00EA1E0D">
              <w:t xml:space="preserve">air carriers should </w:t>
            </w:r>
            <w:r w:rsidR="00FA308B">
              <w:t xml:space="preserve">make publicly </w:t>
            </w:r>
            <w:r w:rsidR="00EA1E0D">
              <w:t>available in accessible formats the safety rules that appl</w:t>
            </w:r>
            <w:r w:rsidR="00FA308B">
              <w:t>y</w:t>
            </w:r>
            <w:r w:rsidR="00EA1E0D">
              <w:t xml:space="preserve"> to the carriage of persons with disabilities and any restriction that might apply</w:t>
            </w:r>
            <w:r w:rsidR="003D62AE">
              <w:t xml:space="preserve">), its Annexes I and II (provision of information in accessible formats) as well as the requirements of the European Accessibility Act (Directive 2019/882). </w:t>
            </w:r>
          </w:p>
          <w:p w14:paraId="386001E5" w14:textId="77777777" w:rsidR="00FB397E" w:rsidRDefault="00FB397E" w:rsidP="00201F3D">
            <w:pPr>
              <w:pStyle w:val="Footer"/>
              <w:jc w:val="both"/>
            </w:pPr>
          </w:p>
          <w:p w14:paraId="5EB06C94" w14:textId="437A1D96" w:rsidR="00FB397E" w:rsidRDefault="00FB397E" w:rsidP="00201F3D">
            <w:pPr>
              <w:pStyle w:val="Footer"/>
              <w:jc w:val="both"/>
            </w:pPr>
            <w:r>
              <w:t xml:space="preserve">When carrying out monitoring activities, NEBs should rely on the expertise and ‘lived experience’ of persons with disabilities themselves. Their involvement would allow for the detection of shortcomings in the implementation of certain provisions of the Regulation and to make meaningful proposals to improve the existing situation. When it comes to accessibility, compliance with standards is not enough, and ongoing discussions with end users are necessary to improve the quality and usability of the service provided. </w:t>
            </w:r>
          </w:p>
          <w:p w14:paraId="6A00E9EF" w14:textId="77777777" w:rsidR="00FB397E" w:rsidRDefault="00FB397E" w:rsidP="00201F3D">
            <w:pPr>
              <w:pStyle w:val="Footer"/>
              <w:jc w:val="both"/>
            </w:pPr>
          </w:p>
          <w:p w14:paraId="33895AA4" w14:textId="431AB495" w:rsidR="00201F3D" w:rsidRDefault="003D62AE" w:rsidP="00201F3D">
            <w:pPr>
              <w:pStyle w:val="Footer"/>
              <w:jc w:val="both"/>
            </w:pPr>
            <w:r>
              <w:t xml:space="preserve">As it proposed for Rail, Waterborne and </w:t>
            </w:r>
            <w:r w:rsidR="00320F6D">
              <w:t xml:space="preserve">Bus and Coach, </w:t>
            </w:r>
            <w:r w:rsidR="00FA308B">
              <w:t>in which competent</w:t>
            </w:r>
            <w:r w:rsidR="00FB397E">
              <w:t xml:space="preserve"> </w:t>
            </w:r>
            <w:r w:rsidR="00320F6D">
              <w:t>NEBs have to publish a report containing the actions carried out to implement the Regulations for which they are responsible</w:t>
            </w:r>
            <w:r w:rsidR="00FB397E">
              <w:t xml:space="preserve"> (including</w:t>
            </w:r>
            <w:r w:rsidR="00320F6D">
              <w:t xml:space="preserve"> statistics on complaints and fines</w:t>
            </w:r>
            <w:r w:rsidR="00FB397E">
              <w:t>),</w:t>
            </w:r>
            <w:r w:rsidR="00320F6D">
              <w:t xml:space="preserve"> NEBs for </w:t>
            </w:r>
            <w:r w:rsidR="00BE13C6">
              <w:t>a</w:t>
            </w:r>
            <w:r w:rsidR="00320F6D">
              <w:t xml:space="preserve">ir </w:t>
            </w:r>
            <w:r w:rsidR="00BE13C6">
              <w:t>t</w:t>
            </w:r>
            <w:r w:rsidR="00320F6D">
              <w:t xml:space="preserve">ransport </w:t>
            </w:r>
            <w:r w:rsidR="00FA308B">
              <w:t xml:space="preserve">should also </w:t>
            </w:r>
            <w:r w:rsidR="00320F6D">
              <w:t xml:space="preserve">publish information on the findings of the monitoring activities. </w:t>
            </w:r>
          </w:p>
        </w:tc>
      </w:tr>
    </w:tbl>
    <w:p w14:paraId="0A6F3A92" w14:textId="5B0F2F1A" w:rsidR="005C3095" w:rsidRDefault="00FC0CC7" w:rsidP="005C3095">
      <w:pPr>
        <w:pStyle w:val="Heading2"/>
      </w:pPr>
      <w:bookmarkStart w:id="12" w:name="_Toc164171877"/>
      <w:r>
        <w:t>Amendment to Regulation (EC) 1107</w:t>
      </w:r>
      <w:r w:rsidR="00914A18">
        <w:t xml:space="preserve"> </w:t>
      </w:r>
      <w:r>
        <w:t>/</w:t>
      </w:r>
      <w:r w:rsidR="00914A18">
        <w:t xml:space="preserve"> </w:t>
      </w:r>
      <w:r>
        <w:t xml:space="preserve">2006 </w:t>
      </w:r>
      <w:r>
        <w:softHyphen/>
        <w:t>– Article 14 (new)</w:t>
      </w:r>
      <w:bookmarkEnd w:id="12"/>
    </w:p>
    <w:p w14:paraId="6826BA5E" w14:textId="77777777" w:rsidR="005C3095" w:rsidRPr="00046E92" w:rsidRDefault="005C3095" w:rsidP="005C3095"/>
    <w:tbl>
      <w:tblPr>
        <w:tblStyle w:val="TableGrid"/>
        <w:tblW w:w="0" w:type="auto"/>
        <w:tblLook w:val="04A0" w:firstRow="1" w:lastRow="0" w:firstColumn="1" w:lastColumn="0" w:noHBand="0" w:noVBand="1"/>
      </w:tblPr>
      <w:tblGrid>
        <w:gridCol w:w="4980"/>
        <w:gridCol w:w="4982"/>
      </w:tblGrid>
      <w:tr w:rsidR="005C3095" w14:paraId="69D0A1E9" w14:textId="77777777" w:rsidTr="005C3095">
        <w:tc>
          <w:tcPr>
            <w:tcW w:w="4980" w:type="dxa"/>
          </w:tcPr>
          <w:p w14:paraId="30C8A55B" w14:textId="77777777" w:rsidR="005C3095" w:rsidRDefault="005C3095" w:rsidP="00D537D1">
            <w:pPr>
              <w:pStyle w:val="Footer"/>
              <w:jc w:val="both"/>
            </w:pPr>
            <w:r>
              <w:t>Commission proposal</w:t>
            </w:r>
          </w:p>
        </w:tc>
        <w:tc>
          <w:tcPr>
            <w:tcW w:w="4982" w:type="dxa"/>
          </w:tcPr>
          <w:p w14:paraId="1C7C5B8B" w14:textId="77777777" w:rsidR="005C3095" w:rsidRDefault="005C3095" w:rsidP="00D537D1">
            <w:pPr>
              <w:pStyle w:val="Footer"/>
              <w:jc w:val="both"/>
            </w:pPr>
            <w:r>
              <w:t>EDF amendments</w:t>
            </w:r>
          </w:p>
        </w:tc>
      </w:tr>
      <w:tr w:rsidR="005C3095" w14:paraId="22E6BDDE" w14:textId="77777777" w:rsidTr="005C3095">
        <w:tc>
          <w:tcPr>
            <w:tcW w:w="4980" w:type="dxa"/>
          </w:tcPr>
          <w:p w14:paraId="03E04D40" w14:textId="77777777" w:rsidR="005C3095" w:rsidRDefault="005C3095" w:rsidP="00D537D1">
            <w:pPr>
              <w:pStyle w:val="Footer"/>
            </w:pPr>
          </w:p>
          <w:p w14:paraId="4F004F6A" w14:textId="77777777" w:rsidR="005C3095" w:rsidRDefault="005C3095" w:rsidP="00D537D1">
            <w:pPr>
              <w:pStyle w:val="Footer"/>
            </w:pPr>
          </w:p>
        </w:tc>
        <w:tc>
          <w:tcPr>
            <w:tcW w:w="4982" w:type="dxa"/>
          </w:tcPr>
          <w:p w14:paraId="59F37411" w14:textId="2D0F5298" w:rsidR="005C3095" w:rsidRDefault="009B1421" w:rsidP="00D537D1">
            <w:pPr>
              <w:pStyle w:val="Footer"/>
            </w:pPr>
            <w:r>
              <w:t>In article 14, the following</w:t>
            </w:r>
            <w:r w:rsidR="00EE6740">
              <w:t xml:space="preserve"> new</w:t>
            </w:r>
            <w:r>
              <w:t xml:space="preserve"> point is added:</w:t>
            </w:r>
          </w:p>
          <w:p w14:paraId="2959423B" w14:textId="77777777" w:rsidR="009B1421" w:rsidRDefault="009B1421" w:rsidP="00D537D1">
            <w:pPr>
              <w:pStyle w:val="Footer"/>
            </w:pPr>
          </w:p>
          <w:p w14:paraId="6BB892DB" w14:textId="41460B4F" w:rsidR="005C3095" w:rsidRPr="009017C3" w:rsidRDefault="009017C3" w:rsidP="00D537D1">
            <w:pPr>
              <w:pStyle w:val="Footer"/>
              <w:rPr>
                <w:b/>
                <w:bCs/>
                <w:i/>
                <w:iCs/>
              </w:rPr>
            </w:pPr>
            <w:r w:rsidRPr="009017C3">
              <w:rPr>
                <w:b/>
                <w:bCs/>
                <w:i/>
                <w:iCs/>
              </w:rPr>
              <w:t xml:space="preserve">3. Every two years, the national enforcement bodies shall publish reports with statistics on their activity, including on the complaints received and penalties applied by 30 June XXXX [2 years after the Regulation becomes applicable] </w:t>
            </w:r>
            <w:r w:rsidR="005C3095" w:rsidRPr="009017C3">
              <w:rPr>
                <w:b/>
                <w:bCs/>
                <w:i/>
                <w:iCs/>
              </w:rPr>
              <w:t xml:space="preserve"> </w:t>
            </w:r>
          </w:p>
        </w:tc>
      </w:tr>
      <w:tr w:rsidR="005C3095" w14:paraId="4E6981AB" w14:textId="77777777" w:rsidTr="005C3095">
        <w:tc>
          <w:tcPr>
            <w:tcW w:w="9962" w:type="dxa"/>
            <w:gridSpan w:val="2"/>
          </w:tcPr>
          <w:p w14:paraId="090EAD1E" w14:textId="77777777" w:rsidR="005C3095" w:rsidRPr="002A73D1" w:rsidRDefault="005C3095" w:rsidP="00D537D1">
            <w:pPr>
              <w:pStyle w:val="Footer"/>
              <w:jc w:val="both"/>
              <w:rPr>
                <w:b/>
                <w:bCs/>
              </w:rPr>
            </w:pPr>
            <w:r w:rsidRPr="002A73D1">
              <w:rPr>
                <w:b/>
                <w:bCs/>
              </w:rPr>
              <w:t>Justification:</w:t>
            </w:r>
          </w:p>
          <w:p w14:paraId="1314059C" w14:textId="77777777" w:rsidR="005C3095" w:rsidRDefault="005C3095" w:rsidP="00D537D1">
            <w:pPr>
              <w:pStyle w:val="Footer"/>
              <w:jc w:val="both"/>
            </w:pPr>
          </w:p>
          <w:p w14:paraId="7E485D3B" w14:textId="19AD820D" w:rsidR="00FB397E" w:rsidRDefault="00FB397E" w:rsidP="00D537D1">
            <w:pPr>
              <w:pStyle w:val="Footer"/>
              <w:jc w:val="both"/>
            </w:pPr>
            <w:r>
              <w:lastRenderedPageBreak/>
              <w:t xml:space="preserve">Currently, Article 26 of Waterborne Regulation (1107/2010), Article 29 of Bus and Coach Regulation (181/2011) and Article 32 of Rail Regulation </w:t>
            </w:r>
            <w:r w:rsidR="002A73D1">
              <w:t xml:space="preserve">(2021/782) </w:t>
            </w:r>
            <w:r>
              <w:t>oblige NEBs to publish a Report on the activities they have carried out to implement the regulation for which they are responsible. Such obligation</w:t>
            </w:r>
            <w:r w:rsidR="00937017">
              <w:t xml:space="preserve"> should</w:t>
            </w:r>
            <w:r>
              <w:t xml:space="preserve"> also exist of NEBs responsible for Air Regulation 1107</w:t>
            </w:r>
            <w:r w:rsidR="008A743F">
              <w:t xml:space="preserve"> </w:t>
            </w:r>
            <w:r>
              <w:t>/</w:t>
            </w:r>
            <w:r w:rsidR="008A743F">
              <w:t xml:space="preserve"> </w:t>
            </w:r>
            <w:r>
              <w:t>2006</w:t>
            </w:r>
            <w:r w:rsidR="002A73D1">
              <w:t xml:space="preserve"> as the Commission proposal does not harmonise this requirement for NEBs. </w:t>
            </w:r>
          </w:p>
          <w:p w14:paraId="0227DD82" w14:textId="77777777" w:rsidR="005C3095" w:rsidRDefault="005C3095" w:rsidP="00D537D1">
            <w:pPr>
              <w:pStyle w:val="Footer"/>
              <w:jc w:val="both"/>
            </w:pPr>
          </w:p>
        </w:tc>
      </w:tr>
    </w:tbl>
    <w:p w14:paraId="58B7F1BA" w14:textId="1FAB614A" w:rsidR="002D3AE5" w:rsidRDefault="002D3AE5" w:rsidP="002D3AE5">
      <w:pPr>
        <w:pStyle w:val="Heading2"/>
      </w:pPr>
      <w:bookmarkStart w:id="13" w:name="_Toc164171878"/>
      <w:r>
        <w:lastRenderedPageBreak/>
        <w:t>Amendment to Regulation (EC) 1107</w:t>
      </w:r>
      <w:r w:rsidR="004944F5">
        <w:t xml:space="preserve"> </w:t>
      </w:r>
      <w:r>
        <w:t>/</w:t>
      </w:r>
      <w:r w:rsidR="004944F5">
        <w:t xml:space="preserve"> </w:t>
      </w:r>
      <w:r>
        <w:t>2006 – Article 14c</w:t>
      </w:r>
      <w:bookmarkEnd w:id="13"/>
      <w:r>
        <w:t xml:space="preserve"> </w:t>
      </w:r>
    </w:p>
    <w:p w14:paraId="23C1559F" w14:textId="77777777" w:rsidR="002D3AE5" w:rsidRPr="00046E92" w:rsidRDefault="002D3AE5" w:rsidP="002D3AE5"/>
    <w:tbl>
      <w:tblPr>
        <w:tblStyle w:val="TableGrid"/>
        <w:tblW w:w="0" w:type="auto"/>
        <w:tblLook w:val="04A0" w:firstRow="1" w:lastRow="0" w:firstColumn="1" w:lastColumn="0" w:noHBand="0" w:noVBand="1"/>
      </w:tblPr>
      <w:tblGrid>
        <w:gridCol w:w="4979"/>
        <w:gridCol w:w="4983"/>
      </w:tblGrid>
      <w:tr w:rsidR="002D3AE5" w14:paraId="1A043CD1" w14:textId="77777777" w:rsidTr="00C15811">
        <w:tc>
          <w:tcPr>
            <w:tcW w:w="5056" w:type="dxa"/>
          </w:tcPr>
          <w:p w14:paraId="4AFE8190" w14:textId="77777777" w:rsidR="002D3AE5" w:rsidRDefault="002D3AE5" w:rsidP="00C15811">
            <w:pPr>
              <w:pStyle w:val="Footer"/>
              <w:jc w:val="both"/>
            </w:pPr>
            <w:r>
              <w:t>Commission proposal</w:t>
            </w:r>
          </w:p>
        </w:tc>
        <w:tc>
          <w:tcPr>
            <w:tcW w:w="5056" w:type="dxa"/>
          </w:tcPr>
          <w:p w14:paraId="20BD521F" w14:textId="77777777" w:rsidR="002D3AE5" w:rsidRDefault="002D3AE5" w:rsidP="00C15811">
            <w:pPr>
              <w:pStyle w:val="Footer"/>
              <w:jc w:val="both"/>
            </w:pPr>
            <w:r>
              <w:t>EDF amendments</w:t>
            </w:r>
          </w:p>
        </w:tc>
      </w:tr>
      <w:tr w:rsidR="002D3AE5" w14:paraId="012BDD6C" w14:textId="77777777" w:rsidTr="00C15811">
        <w:tc>
          <w:tcPr>
            <w:tcW w:w="5056" w:type="dxa"/>
          </w:tcPr>
          <w:p w14:paraId="0A4935B5" w14:textId="77777777" w:rsidR="002D3AE5" w:rsidRDefault="002D3AE5" w:rsidP="002D3AE5">
            <w:pPr>
              <w:pStyle w:val="Footer"/>
            </w:pPr>
            <w:r>
              <w:t>Information about alternative dispute resolution by national enforcement bodies</w:t>
            </w:r>
          </w:p>
          <w:p w14:paraId="359E08EB" w14:textId="77777777" w:rsidR="002D3AE5" w:rsidRDefault="002D3AE5" w:rsidP="002D3AE5">
            <w:pPr>
              <w:pStyle w:val="Footer"/>
            </w:pPr>
          </w:p>
          <w:p w14:paraId="2F9DD154" w14:textId="3B99D661" w:rsidR="002D3AE5" w:rsidRDefault="002D3AE5" w:rsidP="002D3AE5">
            <w:pPr>
              <w:pStyle w:val="Footer"/>
            </w:pPr>
            <w:r>
              <w:t xml:space="preserve">The national enforcement body to which the passenger complains, or any other body designated by a Member State for that purpose under Article 15(2), shall inform the complainant about his or her right to approach to alternative dispute resolution bodies to seek individual redress. </w:t>
            </w:r>
          </w:p>
          <w:p w14:paraId="54744E38" w14:textId="77777777" w:rsidR="002D3AE5" w:rsidRDefault="002D3AE5" w:rsidP="00C15811">
            <w:pPr>
              <w:pStyle w:val="Footer"/>
            </w:pPr>
          </w:p>
        </w:tc>
        <w:tc>
          <w:tcPr>
            <w:tcW w:w="5056" w:type="dxa"/>
          </w:tcPr>
          <w:p w14:paraId="4AA66B1C" w14:textId="2768A031" w:rsidR="002D3AE5" w:rsidRDefault="002D3AE5" w:rsidP="002D3AE5">
            <w:pPr>
              <w:pStyle w:val="Footer"/>
            </w:pPr>
            <w:r>
              <w:t xml:space="preserve">Information about alternative dispute resolution and </w:t>
            </w:r>
            <w:r w:rsidRPr="002D3AE5">
              <w:rPr>
                <w:b/>
                <w:bCs/>
                <w:i/>
                <w:iCs/>
              </w:rPr>
              <w:t>other redress mechanisms</w:t>
            </w:r>
            <w:r>
              <w:t xml:space="preserve"> by national enforcement bodies</w:t>
            </w:r>
          </w:p>
          <w:p w14:paraId="6D67F653" w14:textId="77777777" w:rsidR="002D3AE5" w:rsidRDefault="002D3AE5" w:rsidP="002D3AE5">
            <w:pPr>
              <w:pStyle w:val="Footer"/>
            </w:pPr>
          </w:p>
          <w:p w14:paraId="0CE997DC" w14:textId="1E0EC67A" w:rsidR="002D3AE5" w:rsidRDefault="002D3AE5" w:rsidP="00C15811">
            <w:pPr>
              <w:pStyle w:val="Footer"/>
            </w:pPr>
            <w:r>
              <w:t xml:space="preserve">The national enforcement body to which the passenger complains, or any other body designated by a Member State for that purpose under Article 15(2), shall inform the complainant about his or her right to approach to alternative dispute resolution bodies </w:t>
            </w:r>
            <w:r>
              <w:rPr>
                <w:b/>
                <w:bCs/>
                <w:i/>
                <w:iCs/>
              </w:rPr>
              <w:t>or other relevant redress mechanisms</w:t>
            </w:r>
            <w:r w:rsidR="007F2D5E">
              <w:rPr>
                <w:b/>
                <w:bCs/>
                <w:i/>
                <w:iCs/>
              </w:rPr>
              <w:t>, including Equality Bodies,</w:t>
            </w:r>
            <w:r>
              <w:t xml:space="preserve"> to seek individual redress. </w:t>
            </w:r>
          </w:p>
          <w:p w14:paraId="78737A68" w14:textId="77777777" w:rsidR="002D3AE5" w:rsidRPr="00CD2FF3" w:rsidRDefault="002D3AE5" w:rsidP="00C15811">
            <w:pPr>
              <w:pStyle w:val="Footer"/>
              <w:rPr>
                <w:b/>
              </w:rPr>
            </w:pPr>
            <w:r>
              <w:t xml:space="preserve"> </w:t>
            </w:r>
          </w:p>
        </w:tc>
      </w:tr>
      <w:tr w:rsidR="002D3AE5" w14:paraId="3EBE5512" w14:textId="77777777" w:rsidTr="00C15811">
        <w:tc>
          <w:tcPr>
            <w:tcW w:w="10112" w:type="dxa"/>
            <w:gridSpan w:val="2"/>
          </w:tcPr>
          <w:p w14:paraId="5E680DD6" w14:textId="7AD60891" w:rsidR="002D3AE5" w:rsidRPr="002D3AE5" w:rsidRDefault="002D3AE5" w:rsidP="00C15811">
            <w:pPr>
              <w:pStyle w:val="Footer"/>
              <w:jc w:val="both"/>
              <w:rPr>
                <w:b/>
                <w:bCs/>
              </w:rPr>
            </w:pPr>
            <w:r w:rsidRPr="002D3AE5">
              <w:rPr>
                <w:b/>
                <w:bCs/>
              </w:rPr>
              <w:t>Justification:</w:t>
            </w:r>
          </w:p>
          <w:p w14:paraId="08882FAA" w14:textId="77777777" w:rsidR="002D3AE5" w:rsidRDefault="002D3AE5" w:rsidP="00C15811">
            <w:pPr>
              <w:pStyle w:val="Footer"/>
              <w:jc w:val="both"/>
            </w:pPr>
          </w:p>
          <w:p w14:paraId="71283E49" w14:textId="6534837E" w:rsidR="002D3AE5" w:rsidRDefault="002D3AE5" w:rsidP="00C15811">
            <w:pPr>
              <w:pStyle w:val="Footer"/>
              <w:jc w:val="both"/>
            </w:pPr>
            <w:r>
              <w:t>Beyond National Enforcement Bodies and Alternative Dispute Resolution Bodies (ADRs), passenger bodies whose rights have been infringed can seek redress through other venues, including National Equality Bodies.</w:t>
            </w:r>
          </w:p>
          <w:p w14:paraId="397E5637" w14:textId="77777777" w:rsidR="002D3AE5" w:rsidRDefault="002D3AE5" w:rsidP="00C15811">
            <w:pPr>
              <w:pStyle w:val="Footer"/>
              <w:jc w:val="both"/>
            </w:pPr>
          </w:p>
        </w:tc>
      </w:tr>
    </w:tbl>
    <w:p w14:paraId="2AFD7681" w14:textId="77777777" w:rsidR="002D3AE5" w:rsidRDefault="002D3AE5" w:rsidP="00CD6ACF"/>
    <w:p w14:paraId="4E0739E5" w14:textId="6D27CCE9" w:rsidR="0065419F" w:rsidRDefault="0065419F" w:rsidP="0065419F">
      <w:pPr>
        <w:pStyle w:val="Heading2"/>
      </w:pPr>
      <w:bookmarkStart w:id="14" w:name="_Toc164171879"/>
      <w:r>
        <w:t xml:space="preserve">Amendment to Regulation (EC) 1107 / 2006 </w:t>
      </w:r>
      <w:r>
        <w:softHyphen/>
        <w:t>– Article 14</w:t>
      </w:r>
      <w:r w:rsidR="00A50F41">
        <w:t>d</w:t>
      </w:r>
      <w:bookmarkEnd w:id="14"/>
    </w:p>
    <w:p w14:paraId="0644E01C" w14:textId="77777777" w:rsidR="0065419F" w:rsidRPr="00046E92" w:rsidRDefault="0065419F" w:rsidP="0065419F"/>
    <w:tbl>
      <w:tblPr>
        <w:tblStyle w:val="TableGrid"/>
        <w:tblW w:w="0" w:type="auto"/>
        <w:tblLook w:val="04A0" w:firstRow="1" w:lastRow="0" w:firstColumn="1" w:lastColumn="0" w:noHBand="0" w:noVBand="1"/>
      </w:tblPr>
      <w:tblGrid>
        <w:gridCol w:w="4980"/>
        <w:gridCol w:w="4982"/>
      </w:tblGrid>
      <w:tr w:rsidR="0065419F" w14:paraId="3685753B" w14:textId="77777777" w:rsidTr="00D87B68">
        <w:tc>
          <w:tcPr>
            <w:tcW w:w="4980" w:type="dxa"/>
          </w:tcPr>
          <w:p w14:paraId="1B564FEA" w14:textId="77777777" w:rsidR="0065419F" w:rsidRDefault="0065419F" w:rsidP="00D87B68">
            <w:pPr>
              <w:pStyle w:val="Footer"/>
              <w:jc w:val="both"/>
            </w:pPr>
            <w:r>
              <w:t>Commission proposal</w:t>
            </w:r>
          </w:p>
        </w:tc>
        <w:tc>
          <w:tcPr>
            <w:tcW w:w="4982" w:type="dxa"/>
          </w:tcPr>
          <w:p w14:paraId="59449142" w14:textId="77777777" w:rsidR="0065419F" w:rsidRDefault="0065419F" w:rsidP="00D87B68">
            <w:pPr>
              <w:pStyle w:val="Footer"/>
              <w:jc w:val="both"/>
            </w:pPr>
            <w:r>
              <w:t>EDF amendments</w:t>
            </w:r>
          </w:p>
        </w:tc>
      </w:tr>
      <w:tr w:rsidR="00A50F41" w14:paraId="447D9C20" w14:textId="77777777" w:rsidTr="00D87B68">
        <w:tc>
          <w:tcPr>
            <w:tcW w:w="4980" w:type="dxa"/>
          </w:tcPr>
          <w:p w14:paraId="3758698A" w14:textId="77777777" w:rsidR="00A50F41" w:rsidRDefault="00A50F41" w:rsidP="00A50F41">
            <w:pPr>
              <w:pStyle w:val="Footer"/>
            </w:pPr>
            <w:r>
              <w:t>Cooperation between Member States and the Commission</w:t>
            </w:r>
          </w:p>
          <w:p w14:paraId="4B9C36C6" w14:textId="2D032825" w:rsidR="00A50F41" w:rsidRDefault="00A50F41" w:rsidP="00A50F41">
            <w:pPr>
              <w:pStyle w:val="Footer"/>
            </w:pPr>
          </w:p>
        </w:tc>
        <w:tc>
          <w:tcPr>
            <w:tcW w:w="4982" w:type="dxa"/>
          </w:tcPr>
          <w:p w14:paraId="64A3CB5C" w14:textId="77777777" w:rsidR="00A50F41" w:rsidRDefault="00A50F41" w:rsidP="00A50F41">
            <w:pPr>
              <w:pStyle w:val="Footer"/>
            </w:pPr>
            <w:r>
              <w:t>Cooperation between Member States and the Commission</w:t>
            </w:r>
          </w:p>
          <w:p w14:paraId="7ABD725E" w14:textId="77777777" w:rsidR="00A50F41" w:rsidRDefault="00A50F41" w:rsidP="00A50F41">
            <w:pPr>
              <w:pStyle w:val="Footer"/>
            </w:pPr>
          </w:p>
          <w:p w14:paraId="2172D740" w14:textId="4EBC7F85" w:rsidR="00A50F41" w:rsidRDefault="00944313" w:rsidP="00A50F41">
            <w:pPr>
              <w:pStyle w:val="Footer"/>
            </w:pPr>
            <w:r>
              <w:t xml:space="preserve">(…) </w:t>
            </w:r>
          </w:p>
          <w:p w14:paraId="10F54921" w14:textId="77777777" w:rsidR="00944313" w:rsidRDefault="00944313" w:rsidP="00A50F41">
            <w:pPr>
              <w:pStyle w:val="Footer"/>
              <w:rPr>
                <w:b/>
                <w:bCs/>
                <w:i/>
                <w:iCs/>
              </w:rPr>
            </w:pPr>
          </w:p>
          <w:p w14:paraId="4DB87E87" w14:textId="2AECECB3" w:rsidR="00A50F41" w:rsidRDefault="00A50F41" w:rsidP="00A50F41">
            <w:pPr>
              <w:pStyle w:val="Footer"/>
            </w:pPr>
            <w:r w:rsidRPr="00CE2426">
              <w:rPr>
                <w:b/>
                <w:bCs/>
              </w:rPr>
              <w:t>(</w:t>
            </w:r>
            <w:r w:rsidRPr="00CE2426">
              <w:rPr>
                <w:b/>
                <w:bCs/>
                <w:i/>
                <w:iCs/>
              </w:rPr>
              <w:t xml:space="preserve">3 new) By 1 June XXXX [2 years after the Regulation becomes applicable] and every 2 years thereafter the Commission </w:t>
            </w:r>
            <w:r w:rsidRPr="00CE2426">
              <w:rPr>
                <w:b/>
                <w:bCs/>
                <w:i/>
                <w:iCs/>
              </w:rPr>
              <w:lastRenderedPageBreak/>
              <w:t xml:space="preserve">will publish a report that presents in a clear, easy-to-use, comparable and accessible manner all the data </w:t>
            </w:r>
            <w:r w:rsidR="00D737D7">
              <w:rPr>
                <w:b/>
                <w:bCs/>
                <w:i/>
                <w:iCs/>
              </w:rPr>
              <w:t xml:space="preserve">on complaint handling and assistance </w:t>
            </w:r>
            <w:r w:rsidRPr="00CE2426">
              <w:rPr>
                <w:b/>
                <w:bCs/>
                <w:i/>
                <w:iCs/>
              </w:rPr>
              <w:t xml:space="preserve">provided </w:t>
            </w:r>
            <w:r w:rsidR="00D737D7">
              <w:rPr>
                <w:b/>
                <w:bCs/>
                <w:i/>
                <w:iCs/>
              </w:rPr>
              <w:t xml:space="preserve">to persons with disabilities and reduced mobility </w:t>
            </w:r>
            <w:r w:rsidRPr="00CE2426">
              <w:rPr>
                <w:b/>
                <w:bCs/>
                <w:i/>
                <w:iCs/>
              </w:rPr>
              <w:t xml:space="preserve">by carriers and infrastructure managers </w:t>
            </w:r>
            <w:r>
              <w:rPr>
                <w:b/>
                <w:bCs/>
                <w:i/>
                <w:iCs/>
              </w:rPr>
              <w:t>in the service quality standards performance reports referred in</w:t>
            </w:r>
            <w:r w:rsidRPr="00CE2426">
              <w:rPr>
                <w:b/>
                <w:bCs/>
                <w:i/>
                <w:iCs/>
              </w:rPr>
              <w:t xml:space="preserve"> Article 1</w:t>
            </w:r>
            <w:r>
              <w:rPr>
                <w:b/>
                <w:bCs/>
                <w:i/>
                <w:iCs/>
              </w:rPr>
              <w:t>0a</w:t>
            </w:r>
            <w:r w:rsidRPr="00CE2426">
              <w:rPr>
                <w:b/>
                <w:bCs/>
                <w:i/>
                <w:iCs/>
              </w:rPr>
              <w:t xml:space="preserve"> of this Regulation.</w:t>
            </w:r>
            <w:r>
              <w:t xml:space="preserve"> </w:t>
            </w:r>
          </w:p>
          <w:p w14:paraId="4BE5A87D" w14:textId="16F7BA61" w:rsidR="00A50F41" w:rsidRPr="009017C3" w:rsidRDefault="00A50F41" w:rsidP="00A50F41">
            <w:pPr>
              <w:pStyle w:val="Footer"/>
              <w:rPr>
                <w:b/>
                <w:bCs/>
                <w:i/>
                <w:iCs/>
              </w:rPr>
            </w:pPr>
          </w:p>
        </w:tc>
      </w:tr>
      <w:tr w:rsidR="00A50F41" w14:paraId="68A67D87" w14:textId="77777777" w:rsidTr="00D87B68">
        <w:tc>
          <w:tcPr>
            <w:tcW w:w="9962" w:type="dxa"/>
            <w:gridSpan w:val="2"/>
          </w:tcPr>
          <w:p w14:paraId="21DB53DD" w14:textId="77777777" w:rsidR="00A50F41" w:rsidRDefault="00A50F41" w:rsidP="00A50F41">
            <w:pPr>
              <w:pStyle w:val="Footer"/>
              <w:jc w:val="both"/>
              <w:rPr>
                <w:b/>
                <w:bCs/>
              </w:rPr>
            </w:pPr>
            <w:r w:rsidRPr="002A73D1">
              <w:rPr>
                <w:b/>
                <w:bCs/>
              </w:rPr>
              <w:lastRenderedPageBreak/>
              <w:t>Justification:</w:t>
            </w:r>
          </w:p>
          <w:p w14:paraId="678BCF4B" w14:textId="77777777" w:rsidR="00A50F41" w:rsidRDefault="00A50F41" w:rsidP="00A50F41">
            <w:pPr>
              <w:pStyle w:val="Footer"/>
              <w:jc w:val="both"/>
              <w:rPr>
                <w:b/>
                <w:bCs/>
              </w:rPr>
            </w:pPr>
          </w:p>
          <w:p w14:paraId="79B9D17C" w14:textId="3D13F5DE" w:rsidR="00A50F41" w:rsidRDefault="003B1B47" w:rsidP="00A50F41">
            <w:pPr>
              <w:pStyle w:val="Footer"/>
              <w:jc w:val="both"/>
            </w:pPr>
            <w:r>
              <w:t>To</w:t>
            </w:r>
            <w:r w:rsidR="00A50F41">
              <w:t xml:space="preserve"> allow passengers and public authorities to have an overview of carriers and infrastructure managers performance in relation to the Service Quality Standards, it is important that there is a centralised point of information that presents in a homogeneous and comparable manner all the data that has been published, including on PRM-related complaints</w:t>
            </w:r>
            <w:r w:rsidR="00D737D7">
              <w:t xml:space="preserve"> and data</w:t>
            </w:r>
            <w:r w:rsidR="00A50F41">
              <w:t xml:space="preserve">. This is a practice that already exists in the United States, where the </w:t>
            </w:r>
            <w:hyperlink r:id="rId14" w:history="1">
              <w:r w:rsidR="00A50F41" w:rsidRPr="002D6CA4">
                <w:rPr>
                  <w:rStyle w:val="Hyperlink"/>
                </w:rPr>
                <w:t>Department of Transportation publishes a yearly report with the number and type of disability related complaints submitted to carriers operating in the United States</w:t>
              </w:r>
            </w:hyperlink>
            <w:r w:rsidR="00A50F41">
              <w:t xml:space="preserve">. This is a good practice that should be replicated in the European Union. </w:t>
            </w:r>
          </w:p>
        </w:tc>
      </w:tr>
    </w:tbl>
    <w:p w14:paraId="23A9F472" w14:textId="103E83E6" w:rsidR="00937017" w:rsidRDefault="00937017" w:rsidP="00937017">
      <w:pPr>
        <w:pStyle w:val="Heading2"/>
      </w:pPr>
      <w:bookmarkStart w:id="15" w:name="_Toc164171880"/>
      <w:r>
        <w:t xml:space="preserve">Amendment to Regulation (EC) 1107 / 2006 </w:t>
      </w:r>
      <w:r>
        <w:softHyphen/>
        <w:t>– Article 15a (new)</w:t>
      </w:r>
      <w:bookmarkEnd w:id="15"/>
    </w:p>
    <w:p w14:paraId="4A1378F4" w14:textId="77777777" w:rsidR="00937017" w:rsidRPr="00046E92" w:rsidRDefault="00937017" w:rsidP="00937017"/>
    <w:tbl>
      <w:tblPr>
        <w:tblStyle w:val="TableGrid"/>
        <w:tblW w:w="0" w:type="auto"/>
        <w:tblLook w:val="04A0" w:firstRow="1" w:lastRow="0" w:firstColumn="1" w:lastColumn="0" w:noHBand="0" w:noVBand="1"/>
      </w:tblPr>
      <w:tblGrid>
        <w:gridCol w:w="4980"/>
        <w:gridCol w:w="4982"/>
      </w:tblGrid>
      <w:tr w:rsidR="00937017" w14:paraId="788AECB2" w14:textId="77777777" w:rsidTr="0076685D">
        <w:tc>
          <w:tcPr>
            <w:tcW w:w="4980" w:type="dxa"/>
          </w:tcPr>
          <w:p w14:paraId="681403AD" w14:textId="77777777" w:rsidR="00937017" w:rsidRDefault="00937017" w:rsidP="0076685D">
            <w:pPr>
              <w:pStyle w:val="Footer"/>
              <w:jc w:val="both"/>
            </w:pPr>
            <w:r>
              <w:t>Commission proposal</w:t>
            </w:r>
          </w:p>
        </w:tc>
        <w:tc>
          <w:tcPr>
            <w:tcW w:w="4982" w:type="dxa"/>
          </w:tcPr>
          <w:p w14:paraId="62DDF849" w14:textId="77777777" w:rsidR="00937017" w:rsidRDefault="00937017" w:rsidP="0076685D">
            <w:pPr>
              <w:pStyle w:val="Footer"/>
              <w:jc w:val="both"/>
            </w:pPr>
            <w:r>
              <w:t>EDF amendments</w:t>
            </w:r>
          </w:p>
        </w:tc>
      </w:tr>
      <w:tr w:rsidR="00937017" w14:paraId="0C49788C" w14:textId="77777777" w:rsidTr="0076685D">
        <w:tc>
          <w:tcPr>
            <w:tcW w:w="4980" w:type="dxa"/>
          </w:tcPr>
          <w:p w14:paraId="04A76340" w14:textId="77777777" w:rsidR="00937017" w:rsidRDefault="00937017" w:rsidP="0076685D">
            <w:pPr>
              <w:pStyle w:val="Footer"/>
            </w:pPr>
          </w:p>
          <w:p w14:paraId="24974806" w14:textId="77777777" w:rsidR="00937017" w:rsidRDefault="00937017" w:rsidP="0076685D">
            <w:pPr>
              <w:pStyle w:val="Footer"/>
            </w:pPr>
          </w:p>
        </w:tc>
        <w:tc>
          <w:tcPr>
            <w:tcW w:w="4982" w:type="dxa"/>
          </w:tcPr>
          <w:p w14:paraId="75F03D75" w14:textId="77777777" w:rsidR="009A308B" w:rsidRPr="00B704CE" w:rsidRDefault="009A308B" w:rsidP="009A308B">
            <w:pPr>
              <w:pStyle w:val="Footer"/>
              <w:rPr>
                <w:b/>
                <w:bCs/>
                <w:i/>
                <w:iCs/>
              </w:rPr>
            </w:pPr>
            <w:r w:rsidRPr="00B704CE">
              <w:rPr>
                <w:b/>
                <w:bCs/>
                <w:i/>
                <w:iCs/>
              </w:rPr>
              <w:t>Information on passenger rights</w:t>
            </w:r>
          </w:p>
          <w:p w14:paraId="1C72B767" w14:textId="77777777" w:rsidR="009A308B" w:rsidRPr="00B704CE" w:rsidRDefault="009A308B" w:rsidP="009A308B">
            <w:pPr>
              <w:pStyle w:val="Footer"/>
              <w:rPr>
                <w:b/>
                <w:bCs/>
                <w:i/>
                <w:iCs/>
              </w:rPr>
            </w:pPr>
          </w:p>
          <w:p w14:paraId="77F2B4AB" w14:textId="66B5F0FB" w:rsidR="009A308B" w:rsidRPr="00B704CE" w:rsidRDefault="009A308B" w:rsidP="009A308B">
            <w:pPr>
              <w:pStyle w:val="Footer"/>
              <w:rPr>
                <w:b/>
                <w:bCs/>
                <w:i/>
                <w:iCs/>
              </w:rPr>
            </w:pPr>
            <w:r w:rsidRPr="00B704CE">
              <w:rPr>
                <w:b/>
                <w:bCs/>
                <w:i/>
                <w:iCs/>
              </w:rPr>
              <w:t xml:space="preserve">1. ‘When selling tickets for services falling within the scope of this Regulation, carriers, ticket vendors, travel agents, tour operators and terminal operators shall, within their respective areas of competence, ensure that passengers are provided with appropriate and comprehensible information regarding their rights under this Regulation.’ This information shall include contact details of the enforcement </w:t>
            </w:r>
            <w:proofErr w:type="gramStart"/>
            <w:r w:rsidRPr="00B704CE">
              <w:rPr>
                <w:b/>
                <w:bCs/>
                <w:i/>
                <w:iCs/>
              </w:rPr>
              <w:t>body</w:t>
            </w:r>
            <w:proofErr w:type="gramEnd"/>
            <w:r w:rsidRPr="00B704CE">
              <w:rPr>
                <w:b/>
                <w:bCs/>
                <w:i/>
                <w:iCs/>
              </w:rPr>
              <w:t xml:space="preserve"> or bodies designated by the Member State pursuant to Article 14.</w:t>
            </w:r>
          </w:p>
          <w:p w14:paraId="350A048D" w14:textId="77777777" w:rsidR="009A308B" w:rsidRPr="00B704CE" w:rsidRDefault="009A308B" w:rsidP="009A308B">
            <w:pPr>
              <w:pStyle w:val="Footer"/>
              <w:rPr>
                <w:b/>
                <w:bCs/>
                <w:i/>
                <w:iCs/>
              </w:rPr>
            </w:pPr>
          </w:p>
          <w:p w14:paraId="02D3EECF" w14:textId="77777777" w:rsidR="00937017" w:rsidRPr="00B704CE" w:rsidRDefault="009A308B" w:rsidP="009A308B">
            <w:pPr>
              <w:pStyle w:val="Footer"/>
              <w:rPr>
                <w:b/>
                <w:bCs/>
                <w:i/>
                <w:iCs/>
              </w:rPr>
            </w:pPr>
            <w:r w:rsidRPr="00B704CE">
              <w:rPr>
                <w:b/>
                <w:bCs/>
                <w:i/>
                <w:iCs/>
              </w:rPr>
              <w:t xml:space="preserve">2.   In order to comply with the information requirement referred to in </w:t>
            </w:r>
            <w:r w:rsidRPr="00B704CE">
              <w:rPr>
                <w:b/>
                <w:bCs/>
                <w:i/>
                <w:iCs/>
              </w:rPr>
              <w:lastRenderedPageBreak/>
              <w:t>paragraph 1, carriers and terminal managing bodies may use a summary of the provisions of this Regulation prepared by the Commission in all the official languages of the institutions of the European Union and made available to them.</w:t>
            </w:r>
            <w:r w:rsidR="00937017" w:rsidRPr="00B704CE">
              <w:rPr>
                <w:b/>
                <w:bCs/>
                <w:i/>
                <w:iCs/>
              </w:rPr>
              <w:t xml:space="preserve"> </w:t>
            </w:r>
          </w:p>
          <w:p w14:paraId="3A689E05" w14:textId="77777777" w:rsidR="009A308B" w:rsidRPr="00B704CE" w:rsidRDefault="009A308B" w:rsidP="009A308B">
            <w:pPr>
              <w:pStyle w:val="Footer"/>
              <w:rPr>
                <w:b/>
                <w:bCs/>
                <w:i/>
                <w:iCs/>
              </w:rPr>
            </w:pPr>
          </w:p>
          <w:p w14:paraId="31D32544" w14:textId="5B22DF22" w:rsidR="009A308B" w:rsidRPr="00B704CE" w:rsidRDefault="009A308B" w:rsidP="009A308B">
            <w:pPr>
              <w:pStyle w:val="Footer"/>
              <w:rPr>
                <w:b/>
                <w:bCs/>
                <w:i/>
                <w:iCs/>
              </w:rPr>
            </w:pPr>
            <w:r w:rsidRPr="00B704CE">
              <w:rPr>
                <w:b/>
                <w:bCs/>
                <w:i/>
                <w:iCs/>
              </w:rPr>
              <w:t>3. The information in this article shall be provided in accessible formats in accordance</w:t>
            </w:r>
            <w:r w:rsidRPr="00B704CE">
              <w:rPr>
                <w:i/>
                <w:iCs/>
              </w:rPr>
              <w:t xml:space="preserve"> </w:t>
            </w:r>
            <w:r w:rsidRPr="00B704CE">
              <w:rPr>
                <w:b/>
                <w:bCs/>
                <w:i/>
                <w:iCs/>
              </w:rPr>
              <w:t>with the accessibility requirements set out in Annex I of Directive 2019/882</w:t>
            </w:r>
          </w:p>
        </w:tc>
      </w:tr>
      <w:tr w:rsidR="00937017" w14:paraId="15E35E53" w14:textId="77777777" w:rsidTr="0076685D">
        <w:tc>
          <w:tcPr>
            <w:tcW w:w="9962" w:type="dxa"/>
            <w:gridSpan w:val="2"/>
          </w:tcPr>
          <w:p w14:paraId="79A25A56" w14:textId="77777777" w:rsidR="00937017" w:rsidRPr="002A73D1" w:rsidRDefault="00937017" w:rsidP="0076685D">
            <w:pPr>
              <w:pStyle w:val="Footer"/>
              <w:jc w:val="both"/>
              <w:rPr>
                <w:b/>
                <w:bCs/>
              </w:rPr>
            </w:pPr>
            <w:r w:rsidRPr="002A73D1">
              <w:rPr>
                <w:b/>
                <w:bCs/>
              </w:rPr>
              <w:lastRenderedPageBreak/>
              <w:t>Justification:</w:t>
            </w:r>
          </w:p>
          <w:p w14:paraId="6470A062" w14:textId="77777777" w:rsidR="00937017" w:rsidRDefault="00937017" w:rsidP="0076685D">
            <w:pPr>
              <w:pStyle w:val="Footer"/>
              <w:jc w:val="both"/>
            </w:pPr>
          </w:p>
          <w:p w14:paraId="45195CD5" w14:textId="1017DAA7" w:rsidR="00FE55F5" w:rsidRDefault="00937017" w:rsidP="0076685D">
            <w:pPr>
              <w:pStyle w:val="Footer"/>
              <w:jc w:val="both"/>
            </w:pPr>
            <w:r>
              <w:t xml:space="preserve">Currently, </w:t>
            </w:r>
            <w:r w:rsidR="009A308B">
              <w:t xml:space="preserve">while </w:t>
            </w:r>
            <w:r>
              <w:t>Article 2</w:t>
            </w:r>
            <w:r w:rsidR="00FE55F5">
              <w:t>3</w:t>
            </w:r>
            <w:r>
              <w:t xml:space="preserve"> of Waterborne Regulation (1107/2010), Article 2</w:t>
            </w:r>
            <w:r w:rsidR="009A308B">
              <w:t>5</w:t>
            </w:r>
            <w:r>
              <w:t xml:space="preserve"> of Bus and Coach Regulation (181/2011) and Article </w:t>
            </w:r>
            <w:r w:rsidR="009A308B">
              <w:t>29</w:t>
            </w:r>
            <w:r>
              <w:t xml:space="preserve"> of Rail Regulation (2021/782) oblige </w:t>
            </w:r>
            <w:r w:rsidR="00FE55F5">
              <w:t xml:space="preserve">carriers, infrastructure managers and other stakeholders to inform passengers about their rights under the respective regulations, article 15 of Regulation 1107/2006 only oblige </w:t>
            </w:r>
            <w:r w:rsidR="00FE55F5" w:rsidRPr="00FE55F5">
              <w:t xml:space="preserve"> Member States </w:t>
            </w:r>
            <w:r w:rsidR="00FE55F5">
              <w:t>to</w:t>
            </w:r>
            <w:r w:rsidR="00FE55F5" w:rsidRPr="00FE55F5">
              <w:t xml:space="preserve"> take measures to inform disabled persons and persons with reduced mobility of their rights under this Regulation and of the possibility of complaint to this designated body or bodies</w:t>
            </w:r>
            <w:r w:rsidR="00FE55F5">
              <w:t xml:space="preserve">. This obligation should be harmonized so carriers and airport authorities inform passengers with disabilities about their rights under that regulation. If they are not aware of them, they will not complain in case of breach. </w:t>
            </w:r>
          </w:p>
          <w:p w14:paraId="6EC85149" w14:textId="77777777" w:rsidR="00937017" w:rsidRDefault="00937017" w:rsidP="00FE55F5">
            <w:pPr>
              <w:pStyle w:val="Footer"/>
              <w:jc w:val="both"/>
            </w:pPr>
          </w:p>
        </w:tc>
      </w:tr>
    </w:tbl>
    <w:p w14:paraId="00DD8A17" w14:textId="77777777" w:rsidR="0065419F" w:rsidRDefault="0065419F" w:rsidP="0080672B">
      <w:pPr>
        <w:pStyle w:val="Heading2"/>
      </w:pPr>
    </w:p>
    <w:p w14:paraId="18AE53EB" w14:textId="4E4B785A" w:rsidR="00933DA7" w:rsidRDefault="00933DA7" w:rsidP="00933DA7">
      <w:pPr>
        <w:pStyle w:val="Heading2"/>
      </w:pPr>
      <w:bookmarkStart w:id="16" w:name="_Toc164171881"/>
      <w:r>
        <w:t>Amendment to Regulation (EC) 1</w:t>
      </w:r>
      <w:r w:rsidR="00352DEF">
        <w:t>1</w:t>
      </w:r>
      <w:r>
        <w:t>07/2006 – Annex I new</w:t>
      </w:r>
      <w:bookmarkEnd w:id="16"/>
    </w:p>
    <w:p w14:paraId="72D61F2F" w14:textId="77777777" w:rsidR="00933DA7" w:rsidRPr="00AF6806" w:rsidRDefault="00933DA7" w:rsidP="00933DA7"/>
    <w:tbl>
      <w:tblPr>
        <w:tblStyle w:val="TableGrid"/>
        <w:tblW w:w="0" w:type="auto"/>
        <w:tblLook w:val="04A0" w:firstRow="1" w:lastRow="0" w:firstColumn="1" w:lastColumn="0" w:noHBand="0" w:noVBand="1"/>
      </w:tblPr>
      <w:tblGrid>
        <w:gridCol w:w="4980"/>
        <w:gridCol w:w="4982"/>
      </w:tblGrid>
      <w:tr w:rsidR="00933DA7" w14:paraId="1E71CF16" w14:textId="77777777" w:rsidTr="00601365">
        <w:tc>
          <w:tcPr>
            <w:tcW w:w="4980" w:type="dxa"/>
          </w:tcPr>
          <w:p w14:paraId="1B7737FD" w14:textId="77777777" w:rsidR="00933DA7" w:rsidRDefault="00933DA7" w:rsidP="00601365">
            <w:pPr>
              <w:pStyle w:val="Footer"/>
              <w:jc w:val="both"/>
            </w:pPr>
            <w:r>
              <w:t>Commission proposal</w:t>
            </w:r>
          </w:p>
        </w:tc>
        <w:tc>
          <w:tcPr>
            <w:tcW w:w="4982" w:type="dxa"/>
          </w:tcPr>
          <w:p w14:paraId="47ABA1FA" w14:textId="77777777" w:rsidR="00933DA7" w:rsidRDefault="00933DA7" w:rsidP="00601365">
            <w:pPr>
              <w:pStyle w:val="Footer"/>
              <w:jc w:val="both"/>
            </w:pPr>
            <w:r>
              <w:t>EDF amendments</w:t>
            </w:r>
          </w:p>
        </w:tc>
      </w:tr>
      <w:tr w:rsidR="00933DA7" w:rsidRPr="009017C3" w14:paraId="4360B0AF" w14:textId="77777777" w:rsidTr="00601365">
        <w:tc>
          <w:tcPr>
            <w:tcW w:w="4980" w:type="dxa"/>
          </w:tcPr>
          <w:p w14:paraId="0F223B9D" w14:textId="77777777" w:rsidR="00933DA7" w:rsidRDefault="00933DA7" w:rsidP="00601365">
            <w:pPr>
              <w:pStyle w:val="Footer"/>
            </w:pPr>
          </w:p>
          <w:p w14:paraId="2F55A77D" w14:textId="77777777" w:rsidR="00933DA7" w:rsidRDefault="00933DA7" w:rsidP="00601365">
            <w:pPr>
              <w:pStyle w:val="Footer"/>
            </w:pPr>
          </w:p>
        </w:tc>
        <w:tc>
          <w:tcPr>
            <w:tcW w:w="4982" w:type="dxa"/>
          </w:tcPr>
          <w:p w14:paraId="196B8B56" w14:textId="77777777" w:rsidR="00933DA7" w:rsidRDefault="00933DA7" w:rsidP="00933DA7">
            <w:pPr>
              <w:pStyle w:val="Footer"/>
            </w:pPr>
            <w:r>
              <w:t>Assistance under the responsibility of the managing bodies of airports</w:t>
            </w:r>
          </w:p>
          <w:p w14:paraId="4DCD1531" w14:textId="77777777" w:rsidR="00933DA7" w:rsidRDefault="00933DA7" w:rsidP="00933DA7">
            <w:pPr>
              <w:pStyle w:val="Footer"/>
            </w:pPr>
          </w:p>
          <w:p w14:paraId="10C0BF8A" w14:textId="376BEAA8" w:rsidR="00933DA7" w:rsidRDefault="00020566" w:rsidP="00020566">
            <w:pPr>
              <w:pStyle w:val="Footer"/>
            </w:pPr>
            <w:r>
              <w:t>(…)</w:t>
            </w:r>
          </w:p>
          <w:p w14:paraId="25BF34F3" w14:textId="77777777" w:rsidR="00933DA7" w:rsidRDefault="00933DA7" w:rsidP="00933DA7">
            <w:pPr>
              <w:pStyle w:val="Footer"/>
            </w:pPr>
          </w:p>
          <w:p w14:paraId="335F098C" w14:textId="77777777" w:rsidR="00933DA7" w:rsidRDefault="00933DA7" w:rsidP="00933DA7">
            <w:pPr>
              <w:pStyle w:val="Footer"/>
            </w:pPr>
            <w:r>
              <w:t xml:space="preserve">Ground handling of all necessary mobility equipment, including equipment such as electric wheelchairs </w:t>
            </w:r>
            <w:r w:rsidRPr="00FE3359">
              <w:t>subject</w:t>
            </w:r>
            <w:r w:rsidRPr="00933DA7">
              <w:rPr>
                <w:b/>
                <w:bCs/>
                <w:strike/>
              </w:rPr>
              <w:t xml:space="preserve"> to advance warning of 48 hours</w:t>
            </w:r>
            <w:r>
              <w:t xml:space="preserve"> </w:t>
            </w:r>
            <w:r w:rsidRPr="00FE3359">
              <w:rPr>
                <w:b/>
                <w:bCs/>
                <w:strike/>
              </w:rPr>
              <w:t xml:space="preserve">and </w:t>
            </w:r>
            <w:r>
              <w:t>to possible limitations of space on board the aircraft, and subject to the application of relevant legislation concerning dangerous goods.</w:t>
            </w:r>
          </w:p>
          <w:p w14:paraId="5FFE0D55" w14:textId="77777777" w:rsidR="00933DA7" w:rsidRDefault="00933DA7" w:rsidP="00933DA7">
            <w:pPr>
              <w:pStyle w:val="Footer"/>
            </w:pPr>
          </w:p>
          <w:p w14:paraId="31346DAF" w14:textId="5DBC465A" w:rsidR="00933DA7" w:rsidRPr="009017C3" w:rsidRDefault="00020566" w:rsidP="00933DA7">
            <w:pPr>
              <w:pStyle w:val="Footer"/>
              <w:rPr>
                <w:b/>
                <w:bCs/>
                <w:i/>
                <w:iCs/>
              </w:rPr>
            </w:pPr>
            <w:r>
              <w:t xml:space="preserve">(…) </w:t>
            </w:r>
          </w:p>
        </w:tc>
      </w:tr>
      <w:tr w:rsidR="00933DA7" w14:paraId="51D724BC" w14:textId="77777777" w:rsidTr="00601365">
        <w:tc>
          <w:tcPr>
            <w:tcW w:w="9962" w:type="dxa"/>
            <w:gridSpan w:val="2"/>
          </w:tcPr>
          <w:p w14:paraId="6F6708CE" w14:textId="77777777" w:rsidR="00933DA7" w:rsidRPr="002A73D1" w:rsidRDefault="00933DA7" w:rsidP="00601365">
            <w:pPr>
              <w:pStyle w:val="Footer"/>
              <w:jc w:val="both"/>
              <w:rPr>
                <w:b/>
                <w:bCs/>
              </w:rPr>
            </w:pPr>
            <w:r w:rsidRPr="002A73D1">
              <w:rPr>
                <w:b/>
                <w:bCs/>
              </w:rPr>
              <w:lastRenderedPageBreak/>
              <w:t>Justification:</w:t>
            </w:r>
          </w:p>
          <w:p w14:paraId="5EC9C1DE" w14:textId="77777777" w:rsidR="00933DA7" w:rsidRDefault="00933DA7" w:rsidP="00601365">
            <w:pPr>
              <w:pStyle w:val="Footer"/>
              <w:jc w:val="both"/>
            </w:pPr>
          </w:p>
          <w:p w14:paraId="7D1F4560" w14:textId="77777777" w:rsidR="00933DA7" w:rsidRDefault="00933DA7" w:rsidP="00601365">
            <w:pPr>
              <w:pStyle w:val="Footer"/>
              <w:jc w:val="both"/>
            </w:pPr>
            <w:r>
              <w:t xml:space="preserve">EDF advocates for the abolition of pre-notification to book assistance, as it means that persons with disabilities and reduced mobility do not have equal access to transport, which is a binding provision of the UNCRPD. Ideally, all passengers should be able to ‘turn up and go’. In rail, some Member States have abolished or significantly reduced pre-notification in major stations. There is no reason why this should not be the case in airports. </w:t>
            </w:r>
          </w:p>
          <w:p w14:paraId="33B56B03" w14:textId="77777777" w:rsidR="00933DA7" w:rsidRDefault="00933DA7" w:rsidP="00601365">
            <w:pPr>
              <w:pStyle w:val="Footer"/>
              <w:jc w:val="both"/>
            </w:pPr>
          </w:p>
        </w:tc>
      </w:tr>
    </w:tbl>
    <w:p w14:paraId="2D02685F" w14:textId="77777777" w:rsidR="00933DA7" w:rsidRDefault="00933DA7" w:rsidP="00933DA7"/>
    <w:p w14:paraId="04E21431" w14:textId="77777777" w:rsidR="009832B3" w:rsidRDefault="009832B3" w:rsidP="00933DA7"/>
    <w:p w14:paraId="16B9F7C9" w14:textId="77777777" w:rsidR="009832B3" w:rsidRDefault="009832B3" w:rsidP="00933DA7"/>
    <w:p w14:paraId="1D2EF542" w14:textId="77777777" w:rsidR="009832B3" w:rsidRDefault="009832B3" w:rsidP="00933DA7"/>
    <w:p w14:paraId="2CF47DF0" w14:textId="77777777" w:rsidR="009832B3" w:rsidRPr="00933DA7" w:rsidRDefault="009832B3" w:rsidP="00933DA7"/>
    <w:p w14:paraId="45A43A3E" w14:textId="59A09769" w:rsidR="0080672B" w:rsidRDefault="0080672B" w:rsidP="0080672B">
      <w:pPr>
        <w:pStyle w:val="Heading2"/>
      </w:pPr>
      <w:bookmarkStart w:id="17" w:name="_Toc164171882"/>
      <w:r>
        <w:t>Amendment to Regulation (EC) 11</w:t>
      </w:r>
      <w:r w:rsidR="002D3AE5">
        <w:t>7</w:t>
      </w:r>
      <w:r>
        <w:t>7</w:t>
      </w:r>
      <w:r w:rsidR="00CD6ACF">
        <w:t xml:space="preserve"> </w:t>
      </w:r>
      <w:r>
        <w:t>/</w:t>
      </w:r>
      <w:r w:rsidR="00CD6ACF">
        <w:t xml:space="preserve"> </w:t>
      </w:r>
      <w:r>
        <w:t>2010 – Article 16</w:t>
      </w:r>
      <w:bookmarkEnd w:id="17"/>
    </w:p>
    <w:p w14:paraId="485B3BD5" w14:textId="77777777" w:rsidR="0080672B" w:rsidRPr="00046E92" w:rsidRDefault="0080672B" w:rsidP="0080672B"/>
    <w:tbl>
      <w:tblPr>
        <w:tblStyle w:val="TableGrid"/>
        <w:tblW w:w="0" w:type="auto"/>
        <w:tblLook w:val="04A0" w:firstRow="1" w:lastRow="0" w:firstColumn="1" w:lastColumn="0" w:noHBand="0" w:noVBand="1"/>
      </w:tblPr>
      <w:tblGrid>
        <w:gridCol w:w="4980"/>
        <w:gridCol w:w="4982"/>
      </w:tblGrid>
      <w:tr w:rsidR="0080672B" w14:paraId="1DD7D25F" w14:textId="77777777" w:rsidTr="00D537D1">
        <w:tc>
          <w:tcPr>
            <w:tcW w:w="4980" w:type="dxa"/>
          </w:tcPr>
          <w:p w14:paraId="6F133603" w14:textId="77777777" w:rsidR="0080672B" w:rsidRDefault="0080672B" w:rsidP="00D537D1">
            <w:pPr>
              <w:pStyle w:val="Footer"/>
              <w:jc w:val="both"/>
            </w:pPr>
            <w:r>
              <w:t>Commission proposal</w:t>
            </w:r>
          </w:p>
        </w:tc>
        <w:tc>
          <w:tcPr>
            <w:tcW w:w="4982" w:type="dxa"/>
          </w:tcPr>
          <w:p w14:paraId="4F0C16E9" w14:textId="77777777" w:rsidR="0080672B" w:rsidRDefault="0080672B" w:rsidP="00D537D1">
            <w:pPr>
              <w:pStyle w:val="Footer"/>
              <w:jc w:val="both"/>
            </w:pPr>
            <w:r>
              <w:t>EDF amendments</w:t>
            </w:r>
          </w:p>
        </w:tc>
      </w:tr>
      <w:tr w:rsidR="0080672B" w14:paraId="5F77EEE9" w14:textId="77777777" w:rsidTr="00D537D1">
        <w:tc>
          <w:tcPr>
            <w:tcW w:w="4980" w:type="dxa"/>
          </w:tcPr>
          <w:p w14:paraId="7BAE454C" w14:textId="77777777" w:rsidR="0080672B" w:rsidRDefault="0080672B" w:rsidP="00D537D1">
            <w:pPr>
              <w:pStyle w:val="Footer"/>
            </w:pPr>
            <w:r>
              <w:t xml:space="preserve">(a)paragraph 1 is replaced by the following: </w:t>
            </w:r>
          </w:p>
          <w:p w14:paraId="67A57D0D" w14:textId="77777777" w:rsidR="0080672B" w:rsidRDefault="0080672B" w:rsidP="00D537D1">
            <w:pPr>
              <w:pStyle w:val="Footer"/>
            </w:pPr>
          </w:p>
          <w:p w14:paraId="52BB5315" w14:textId="77777777" w:rsidR="0080672B" w:rsidRDefault="0080672B" w:rsidP="00D537D1">
            <w:pPr>
              <w:pStyle w:val="Footer"/>
            </w:pPr>
            <w:r>
              <w:t>‘1. In the case of a cancellation or a delay in departure of a passenger service or a cruise, passengers departing from port terminals or, if possible, passengers departing from ports shall be informed by the carrier or, where appropriate, by the terminal operator, of the situation and of their passenger rights under this Regulation as soon as possible and in any event no later than 30 minutes after the scheduled time of departure, and of the estimated departure time and estimated arrival time as soon as that information is available.’;</w:t>
            </w:r>
          </w:p>
          <w:p w14:paraId="776F3407" w14:textId="77777777" w:rsidR="0080672B" w:rsidRDefault="0080672B" w:rsidP="00D537D1">
            <w:pPr>
              <w:pStyle w:val="Footer"/>
            </w:pPr>
          </w:p>
          <w:p w14:paraId="002BE3DD" w14:textId="77777777" w:rsidR="0080672B" w:rsidRDefault="0080672B" w:rsidP="00D537D1">
            <w:pPr>
              <w:pStyle w:val="Footer"/>
            </w:pPr>
            <w:r>
              <w:t>(b)the following paragraph is added:</w:t>
            </w:r>
          </w:p>
          <w:p w14:paraId="2ED13761" w14:textId="77777777" w:rsidR="0080672B" w:rsidRDefault="0080672B" w:rsidP="00D537D1">
            <w:pPr>
              <w:pStyle w:val="Footer"/>
            </w:pPr>
          </w:p>
          <w:p w14:paraId="2B465085" w14:textId="77777777" w:rsidR="0080672B" w:rsidRDefault="0080672B" w:rsidP="00D537D1">
            <w:pPr>
              <w:pStyle w:val="Footer"/>
            </w:pPr>
            <w:r>
              <w:t xml:space="preserve">‘4. The information required under paragraphs 1 and 2 shall be provided by electronic means to all passengers, within the time-limit stipulated in paragraph 1, if the passenger has agreed to it and has provided the necessary contact details to the carrier </w:t>
            </w:r>
            <w:r>
              <w:lastRenderedPageBreak/>
              <w:t>or, where appropriate, to the terminal operator, when purchasing the ticket.</w:t>
            </w:r>
          </w:p>
          <w:p w14:paraId="438BBCBB" w14:textId="77777777" w:rsidR="0080672B" w:rsidRDefault="0080672B" w:rsidP="00D537D1">
            <w:pPr>
              <w:pStyle w:val="Footer"/>
            </w:pPr>
          </w:p>
        </w:tc>
        <w:tc>
          <w:tcPr>
            <w:tcW w:w="4982" w:type="dxa"/>
          </w:tcPr>
          <w:p w14:paraId="62D43789" w14:textId="77777777" w:rsidR="0080672B" w:rsidRDefault="0080672B" w:rsidP="00D537D1">
            <w:pPr>
              <w:pStyle w:val="Footer"/>
            </w:pPr>
            <w:r>
              <w:lastRenderedPageBreak/>
              <w:t xml:space="preserve">(a) paragraph 1 is replaced by the following: </w:t>
            </w:r>
          </w:p>
          <w:p w14:paraId="0263684D" w14:textId="77777777" w:rsidR="0080672B" w:rsidRDefault="0080672B" w:rsidP="00D537D1">
            <w:pPr>
              <w:pStyle w:val="Footer"/>
            </w:pPr>
          </w:p>
          <w:p w14:paraId="3AA50A2B" w14:textId="77777777" w:rsidR="0080672B" w:rsidRDefault="0080672B" w:rsidP="00D537D1">
            <w:pPr>
              <w:pStyle w:val="Footer"/>
            </w:pPr>
            <w:r>
              <w:t>‘1. In the case of a cancellation or a delay in departure of a passenger service or a cruise, passengers departing from port terminals or, if possible, passengers departing from ports shall be informed by the carrier or, where appropriate, by the terminal operator, of the situation and of their passenger rights under this Regulation as soon as possible and in any event no later than 30 minutes after the scheduled time of departure, and of the estimated departure time and estimated arrival time as soon as that information is available.’;</w:t>
            </w:r>
          </w:p>
          <w:p w14:paraId="6883F64D" w14:textId="77777777" w:rsidR="0080672B" w:rsidRDefault="0080672B" w:rsidP="00D537D1">
            <w:pPr>
              <w:pStyle w:val="Footer"/>
            </w:pPr>
          </w:p>
          <w:p w14:paraId="298CE149" w14:textId="77777777" w:rsidR="0080672B" w:rsidRPr="00E03D15" w:rsidRDefault="0080672B" w:rsidP="00D537D1">
            <w:pPr>
              <w:pStyle w:val="Footer"/>
              <w:rPr>
                <w:b/>
                <w:bCs/>
                <w:i/>
                <w:iCs/>
              </w:rPr>
            </w:pPr>
            <w:r>
              <w:t>(</w:t>
            </w:r>
            <w:r w:rsidRPr="00E03D15">
              <w:rPr>
                <w:b/>
                <w:bCs/>
                <w:i/>
                <w:iCs/>
              </w:rPr>
              <w:t xml:space="preserve">aa) paragraph 3 is replaced by the following: </w:t>
            </w:r>
          </w:p>
          <w:p w14:paraId="1CAB63EC" w14:textId="77777777" w:rsidR="0080672B" w:rsidRPr="00E03D15" w:rsidRDefault="0080672B" w:rsidP="00D537D1">
            <w:pPr>
              <w:pStyle w:val="Footer"/>
              <w:rPr>
                <w:b/>
                <w:bCs/>
                <w:i/>
                <w:iCs/>
              </w:rPr>
            </w:pPr>
          </w:p>
          <w:p w14:paraId="76250343" w14:textId="77777777" w:rsidR="0080672B" w:rsidRDefault="0080672B" w:rsidP="00D537D1">
            <w:pPr>
              <w:pStyle w:val="Footer"/>
              <w:rPr>
                <w:b/>
                <w:bCs/>
                <w:i/>
                <w:iCs/>
              </w:rPr>
            </w:pPr>
            <w:r w:rsidRPr="00E03D15">
              <w:rPr>
                <w:b/>
                <w:bCs/>
                <w:i/>
                <w:iCs/>
              </w:rPr>
              <w:t xml:space="preserve">The carrier or, where appropriate, the terminal operator, shall ensure that </w:t>
            </w:r>
            <w:r>
              <w:rPr>
                <w:b/>
                <w:bCs/>
                <w:i/>
                <w:iCs/>
              </w:rPr>
              <w:t>persons with disabilities and</w:t>
            </w:r>
            <w:r w:rsidRPr="00E03D15">
              <w:rPr>
                <w:b/>
                <w:bCs/>
                <w:i/>
                <w:iCs/>
              </w:rPr>
              <w:t xml:space="preserve"> reduced mobility receive the information required under paragraphs 1 and </w:t>
            </w:r>
            <w:r>
              <w:rPr>
                <w:b/>
                <w:bCs/>
                <w:i/>
                <w:iCs/>
              </w:rPr>
              <w:t xml:space="preserve">2 </w:t>
            </w:r>
            <w:r w:rsidRPr="00E03D15">
              <w:rPr>
                <w:b/>
                <w:bCs/>
                <w:i/>
                <w:iCs/>
              </w:rPr>
              <w:t xml:space="preserve">in accordance </w:t>
            </w:r>
            <w:r w:rsidRPr="00E03D15">
              <w:rPr>
                <w:b/>
                <w:bCs/>
                <w:i/>
                <w:iCs/>
              </w:rPr>
              <w:lastRenderedPageBreak/>
              <w:t>with the accessibility requirements set out in Annex I of Directive 2019/882</w:t>
            </w:r>
          </w:p>
          <w:p w14:paraId="04FB19D4" w14:textId="77777777" w:rsidR="0080672B" w:rsidRPr="00E03D15" w:rsidRDefault="0080672B" w:rsidP="00D537D1">
            <w:pPr>
              <w:pStyle w:val="Footer"/>
              <w:rPr>
                <w:b/>
                <w:bCs/>
                <w:i/>
                <w:iCs/>
              </w:rPr>
            </w:pPr>
          </w:p>
          <w:p w14:paraId="301A907D" w14:textId="77777777" w:rsidR="0080672B" w:rsidRDefault="0080672B" w:rsidP="00D537D1">
            <w:pPr>
              <w:pStyle w:val="Footer"/>
            </w:pPr>
          </w:p>
          <w:p w14:paraId="0625E747" w14:textId="77777777" w:rsidR="0080672B" w:rsidRDefault="0080672B" w:rsidP="00D537D1">
            <w:pPr>
              <w:pStyle w:val="Footer"/>
            </w:pPr>
            <w:r>
              <w:t>(b)the following paragraph is added:</w:t>
            </w:r>
          </w:p>
          <w:p w14:paraId="7726366D" w14:textId="77777777" w:rsidR="0080672B" w:rsidRDefault="0080672B" w:rsidP="00D537D1">
            <w:pPr>
              <w:pStyle w:val="Footer"/>
            </w:pPr>
          </w:p>
          <w:p w14:paraId="1002F72D" w14:textId="77777777" w:rsidR="0080672B" w:rsidRDefault="0080672B" w:rsidP="00D537D1">
            <w:pPr>
              <w:pStyle w:val="Footer"/>
            </w:pPr>
            <w:r>
              <w:t xml:space="preserve">‘4. The information required under paragraphs 1 and 2 shall be provided by electronic means to all passengers, within the time-limit stipulated in paragraph 1, if the passenger has agreed to it and has provided the necessary contact details to the carrier or, where appropriate, to the terminal operator, when purchasing the ticket. </w:t>
            </w:r>
            <w:r w:rsidRPr="006E7BDD">
              <w:rPr>
                <w:b/>
                <w:bCs/>
                <w:i/>
                <w:iCs/>
              </w:rPr>
              <w:t>The information shall be provided</w:t>
            </w:r>
            <w:r>
              <w:t xml:space="preserve"> </w:t>
            </w:r>
            <w:r w:rsidRPr="00E03D15">
              <w:rPr>
                <w:b/>
                <w:bCs/>
                <w:i/>
                <w:iCs/>
              </w:rPr>
              <w:t>in accordance with the accessibility requirements set out in Annex I of Directive 2019/882</w:t>
            </w:r>
            <w:r>
              <w:rPr>
                <w:b/>
                <w:bCs/>
                <w:i/>
                <w:iCs/>
              </w:rPr>
              <w:t xml:space="preserve">. </w:t>
            </w:r>
          </w:p>
          <w:p w14:paraId="5CD12B53" w14:textId="77777777" w:rsidR="0080672B" w:rsidRPr="00CD2FF3" w:rsidRDefault="0080672B" w:rsidP="00D537D1">
            <w:pPr>
              <w:pStyle w:val="Footer"/>
              <w:rPr>
                <w:b/>
              </w:rPr>
            </w:pPr>
            <w:r>
              <w:t xml:space="preserve"> </w:t>
            </w:r>
          </w:p>
        </w:tc>
      </w:tr>
      <w:tr w:rsidR="0080672B" w14:paraId="0683092C" w14:textId="77777777" w:rsidTr="00D537D1">
        <w:tc>
          <w:tcPr>
            <w:tcW w:w="9962" w:type="dxa"/>
            <w:gridSpan w:val="2"/>
          </w:tcPr>
          <w:p w14:paraId="17153FBB" w14:textId="77777777" w:rsidR="0080672B" w:rsidRDefault="0080672B" w:rsidP="00D537D1">
            <w:pPr>
              <w:pStyle w:val="Footer"/>
              <w:jc w:val="both"/>
            </w:pPr>
            <w:r>
              <w:lastRenderedPageBreak/>
              <w:t>Justification:</w:t>
            </w:r>
          </w:p>
          <w:p w14:paraId="253AAFAB" w14:textId="77777777" w:rsidR="0080672B" w:rsidRDefault="0080672B" w:rsidP="00D537D1">
            <w:pPr>
              <w:pStyle w:val="Footer"/>
              <w:jc w:val="both"/>
            </w:pPr>
          </w:p>
          <w:p w14:paraId="5771F894" w14:textId="59E7487E" w:rsidR="0080672B" w:rsidRDefault="0080672B" w:rsidP="00D537D1">
            <w:bookmarkStart w:id="18" w:name="_Hlk163484197"/>
            <w:r>
              <w:t>Although Article 16 (3) already obliges carriers and terminal operators to provide information for paragraph 1 and 2 in accessible formats, it is important to specify what is meant by accessibility by making reference to Union accessibility legislation, namely the Directive 2019/882 (</w:t>
            </w:r>
            <w:hyperlink r:id="rId15" w:history="1">
              <w:r w:rsidRPr="00CA7741">
                <w:rPr>
                  <w:rStyle w:val="Hyperlink"/>
                </w:rPr>
                <w:t>European Accessibility Act</w:t>
              </w:r>
            </w:hyperlink>
            <w:r>
              <w:t xml:space="preserve">). </w:t>
            </w:r>
            <w:bookmarkEnd w:id="18"/>
            <w:r>
              <w:t xml:space="preserve">It’s </w:t>
            </w:r>
            <w:r w:rsidR="00522933">
              <w:t xml:space="preserve">necessary </w:t>
            </w:r>
            <w:r>
              <w:t xml:space="preserve">to clarify this into the text with improved wording, especially in view of the coming harmonized standards for the European Accessibility Act, which will provide clear guidance for legal compliance. Without such reference, it will create legal uncertainty for the sector and for public authorities enforcing the Regulation – leading to implementation </w:t>
            </w:r>
            <w:r w:rsidR="00522933">
              <w:t xml:space="preserve">shortcomings. </w:t>
            </w:r>
          </w:p>
          <w:p w14:paraId="4A5A2E37" w14:textId="77777777" w:rsidR="0080672B" w:rsidRDefault="0080672B" w:rsidP="00D537D1"/>
          <w:p w14:paraId="00ABD5C4" w14:textId="77777777" w:rsidR="0080672B" w:rsidRDefault="0080672B" w:rsidP="00D537D1">
            <w:r>
              <w:t xml:space="preserve">Similarly, the new paragraph 4 on the provision information required under paragraph 1 and 2 in by electronic means should also be covered by accessibility requirements. This is especially relevant if the information refers to cancellations or delays. </w:t>
            </w:r>
          </w:p>
          <w:p w14:paraId="5B347540" w14:textId="77777777" w:rsidR="0080672B" w:rsidRDefault="0080672B" w:rsidP="00D537D1">
            <w:pPr>
              <w:pStyle w:val="Footer"/>
              <w:jc w:val="both"/>
            </w:pPr>
          </w:p>
        </w:tc>
      </w:tr>
    </w:tbl>
    <w:p w14:paraId="16D15129" w14:textId="77777777" w:rsidR="00D737D7" w:rsidRDefault="00D737D7" w:rsidP="005C3095">
      <w:pPr>
        <w:pStyle w:val="Heading2"/>
      </w:pPr>
    </w:p>
    <w:p w14:paraId="5DE30288" w14:textId="601EC0A5" w:rsidR="005C3095" w:rsidRDefault="005C3095" w:rsidP="005C3095">
      <w:pPr>
        <w:pStyle w:val="Heading2"/>
      </w:pPr>
      <w:bookmarkStart w:id="19" w:name="_Toc164171883"/>
      <w:r>
        <w:t>A</w:t>
      </w:r>
      <w:r w:rsidR="00DC38C5">
        <w:t>mendment to Regulation (EC) 1177</w:t>
      </w:r>
      <w:r w:rsidR="00E87E00">
        <w:t xml:space="preserve"> </w:t>
      </w:r>
      <w:r w:rsidR="00DC38C5">
        <w:t>/</w:t>
      </w:r>
      <w:r w:rsidR="00E87E00">
        <w:t xml:space="preserve"> </w:t>
      </w:r>
      <w:r w:rsidR="00DC38C5">
        <w:t>2010 – Article 19a</w:t>
      </w:r>
      <w:bookmarkEnd w:id="19"/>
      <w:r w:rsidR="00DC38C5">
        <w:t xml:space="preserve"> </w:t>
      </w:r>
    </w:p>
    <w:p w14:paraId="68E4FF82" w14:textId="77777777" w:rsidR="005C3095" w:rsidRPr="00046E92" w:rsidRDefault="005C3095" w:rsidP="005C3095"/>
    <w:tbl>
      <w:tblPr>
        <w:tblStyle w:val="TableGrid"/>
        <w:tblW w:w="0" w:type="auto"/>
        <w:tblLook w:val="04A0" w:firstRow="1" w:lastRow="0" w:firstColumn="1" w:lastColumn="0" w:noHBand="0" w:noVBand="1"/>
      </w:tblPr>
      <w:tblGrid>
        <w:gridCol w:w="4980"/>
        <w:gridCol w:w="4982"/>
      </w:tblGrid>
      <w:tr w:rsidR="005C3095" w14:paraId="1D03299D" w14:textId="77777777" w:rsidTr="005C3095">
        <w:tc>
          <w:tcPr>
            <w:tcW w:w="4980" w:type="dxa"/>
          </w:tcPr>
          <w:p w14:paraId="342B11D8" w14:textId="77777777" w:rsidR="005C3095" w:rsidRDefault="005C3095" w:rsidP="00D537D1">
            <w:pPr>
              <w:pStyle w:val="Footer"/>
              <w:jc w:val="both"/>
            </w:pPr>
            <w:r>
              <w:t>Commission proposal</w:t>
            </w:r>
          </w:p>
        </w:tc>
        <w:tc>
          <w:tcPr>
            <w:tcW w:w="4982" w:type="dxa"/>
          </w:tcPr>
          <w:p w14:paraId="7358495B" w14:textId="77777777" w:rsidR="005C3095" w:rsidRDefault="005C3095" w:rsidP="00D537D1">
            <w:pPr>
              <w:pStyle w:val="Footer"/>
              <w:jc w:val="both"/>
            </w:pPr>
            <w:r>
              <w:t>EDF amendments</w:t>
            </w:r>
          </w:p>
        </w:tc>
      </w:tr>
      <w:tr w:rsidR="005C3095" w14:paraId="0934FAB8" w14:textId="77777777" w:rsidTr="005C3095">
        <w:tc>
          <w:tcPr>
            <w:tcW w:w="4980" w:type="dxa"/>
          </w:tcPr>
          <w:p w14:paraId="4F97B521" w14:textId="77777777" w:rsidR="00DC38C5" w:rsidRDefault="00DC38C5" w:rsidP="00DC38C5">
            <w:pPr>
              <w:pStyle w:val="Footer"/>
            </w:pPr>
            <w:r>
              <w:t>Common form for reimbursement and compensation requests</w:t>
            </w:r>
          </w:p>
          <w:p w14:paraId="0A0C8809" w14:textId="77777777" w:rsidR="00DC38C5" w:rsidRDefault="00DC38C5" w:rsidP="00DC38C5">
            <w:pPr>
              <w:pStyle w:val="Footer"/>
            </w:pPr>
          </w:p>
          <w:p w14:paraId="1D6021C3" w14:textId="1DCB7AF7" w:rsidR="005C3095" w:rsidRDefault="00DC38C5" w:rsidP="00DC38C5">
            <w:pPr>
              <w:pStyle w:val="Footer"/>
            </w:pPr>
            <w:r>
              <w:lastRenderedPageBreak/>
              <w:t>1.    The Commission shall adopt an implementing act establishing a common form for reimbursement and compensation requests under Articles 18 and 19. That common form shall be established in a format which is accessible to persons with disabilities and persons with reduced mobility. That implementing act shall be adopted in accordance with the examination procedure referred to in Article 38 (2) of Regulation (EU) 2021/782</w:t>
            </w:r>
          </w:p>
          <w:p w14:paraId="0BFBF263" w14:textId="77777777" w:rsidR="005C3095" w:rsidRDefault="005C3095" w:rsidP="00D537D1">
            <w:pPr>
              <w:pStyle w:val="Footer"/>
            </w:pPr>
          </w:p>
        </w:tc>
        <w:tc>
          <w:tcPr>
            <w:tcW w:w="4982" w:type="dxa"/>
          </w:tcPr>
          <w:p w14:paraId="40D663FC" w14:textId="77777777" w:rsidR="00DC38C5" w:rsidRDefault="00DC38C5" w:rsidP="00DC38C5">
            <w:pPr>
              <w:pStyle w:val="Footer"/>
            </w:pPr>
            <w:r>
              <w:lastRenderedPageBreak/>
              <w:t>Common form for reimbursement and compensation requests</w:t>
            </w:r>
          </w:p>
          <w:p w14:paraId="7BC68446" w14:textId="77777777" w:rsidR="00DC38C5" w:rsidRDefault="00DC38C5" w:rsidP="00DC38C5">
            <w:pPr>
              <w:pStyle w:val="Footer"/>
            </w:pPr>
          </w:p>
          <w:p w14:paraId="09CD75D5" w14:textId="4DA79E69" w:rsidR="00DC38C5" w:rsidRDefault="00DC38C5" w:rsidP="00DC38C5">
            <w:pPr>
              <w:pStyle w:val="Footer"/>
            </w:pPr>
            <w:r>
              <w:lastRenderedPageBreak/>
              <w:t xml:space="preserve">1.    The Commission shall adopt an implementing act establishing a common form for reimbursement and compensation requests under Articles 18 and 19. That common form shall be established in a format which is accessible to persons with disabilities and persons with reduced mobility </w:t>
            </w:r>
            <w:r>
              <w:rPr>
                <w:b/>
                <w:bCs/>
                <w:i/>
                <w:iCs/>
              </w:rPr>
              <w:t>in accordance with the accessibility requirements set out in Annex I of Directive 2019/882</w:t>
            </w:r>
            <w:r>
              <w:t>. That implementing act shall be adopted in accordance with the examination procedure referred to in Article 38 (2) of Regulation (EU) 2021/782</w:t>
            </w:r>
          </w:p>
          <w:p w14:paraId="5B8E6A73" w14:textId="77777777" w:rsidR="005C3095" w:rsidRDefault="005C3095" w:rsidP="00D537D1">
            <w:pPr>
              <w:pStyle w:val="Footer"/>
            </w:pPr>
          </w:p>
          <w:p w14:paraId="0196973F" w14:textId="77777777" w:rsidR="005C3095" w:rsidRPr="00CD2FF3" w:rsidRDefault="005C3095" w:rsidP="00D537D1">
            <w:pPr>
              <w:pStyle w:val="Footer"/>
              <w:rPr>
                <w:b/>
              </w:rPr>
            </w:pPr>
            <w:r>
              <w:t xml:space="preserve"> </w:t>
            </w:r>
          </w:p>
        </w:tc>
      </w:tr>
      <w:tr w:rsidR="005C3095" w14:paraId="4DBCF9E6" w14:textId="77777777" w:rsidTr="005C3095">
        <w:tc>
          <w:tcPr>
            <w:tcW w:w="9962" w:type="dxa"/>
            <w:gridSpan w:val="2"/>
          </w:tcPr>
          <w:p w14:paraId="50832C7A" w14:textId="77777777" w:rsidR="005C3095" w:rsidRPr="00DC38C5" w:rsidRDefault="005C3095" w:rsidP="00D537D1">
            <w:pPr>
              <w:pStyle w:val="Footer"/>
              <w:jc w:val="both"/>
              <w:rPr>
                <w:b/>
                <w:bCs/>
              </w:rPr>
            </w:pPr>
            <w:r w:rsidRPr="00DC38C5">
              <w:rPr>
                <w:b/>
                <w:bCs/>
              </w:rPr>
              <w:lastRenderedPageBreak/>
              <w:t>Justification:</w:t>
            </w:r>
          </w:p>
          <w:p w14:paraId="1F4A9FDF" w14:textId="77777777" w:rsidR="00DC38C5" w:rsidRDefault="00DC38C5" w:rsidP="00D537D1">
            <w:pPr>
              <w:pStyle w:val="Footer"/>
              <w:jc w:val="both"/>
            </w:pPr>
          </w:p>
          <w:p w14:paraId="626CD82A" w14:textId="772355DA" w:rsidR="00DC38C5" w:rsidRDefault="00E0589A" w:rsidP="00D537D1">
            <w:pPr>
              <w:pStyle w:val="Footer"/>
              <w:jc w:val="both"/>
            </w:pPr>
            <w:r>
              <w:t>I</w:t>
            </w:r>
            <w:r w:rsidR="00DC38C5">
              <w:t>t is crucial for the final implementing regulation to ensure legal coherence and refer to the accessibility requirements of Directive 2019/882 (the European Accessibility Act) which transport services are bound to. Annex I of such Directive includes a set of accessibility requirements concerning digital and non-digital information which will be supported by harmonised European standards, as requested by the European Commission Mandate 587. These accessibility requirements must be respected in the designing of digital and non-digital forms.</w:t>
            </w:r>
          </w:p>
          <w:p w14:paraId="769BB007" w14:textId="3274F218" w:rsidR="005C3095" w:rsidRDefault="005C3095" w:rsidP="00D537D1">
            <w:pPr>
              <w:pStyle w:val="Footer"/>
              <w:jc w:val="both"/>
            </w:pPr>
          </w:p>
        </w:tc>
      </w:tr>
    </w:tbl>
    <w:p w14:paraId="0881F6DC" w14:textId="7DB6BCA3" w:rsidR="005C3095" w:rsidRDefault="00554002" w:rsidP="0080672B">
      <w:pPr>
        <w:pStyle w:val="Heading2"/>
      </w:pPr>
      <w:bookmarkStart w:id="20" w:name="_Toc164171884"/>
      <w:r>
        <w:t>Amendment to Regulation (EC) 1177</w:t>
      </w:r>
      <w:r w:rsidR="00E51BE6">
        <w:t xml:space="preserve"> </w:t>
      </w:r>
      <w:r>
        <w:t>/</w:t>
      </w:r>
      <w:r w:rsidR="00E51BE6">
        <w:t xml:space="preserve"> </w:t>
      </w:r>
      <w:r>
        <w:t>2010 – Article 23</w:t>
      </w:r>
      <w:bookmarkEnd w:id="20"/>
    </w:p>
    <w:p w14:paraId="7CE7FA69" w14:textId="77777777" w:rsidR="005C3095" w:rsidRPr="00046E92" w:rsidRDefault="005C3095" w:rsidP="005C3095"/>
    <w:tbl>
      <w:tblPr>
        <w:tblStyle w:val="TableGrid"/>
        <w:tblW w:w="0" w:type="auto"/>
        <w:tblLook w:val="04A0" w:firstRow="1" w:lastRow="0" w:firstColumn="1" w:lastColumn="0" w:noHBand="0" w:noVBand="1"/>
      </w:tblPr>
      <w:tblGrid>
        <w:gridCol w:w="4980"/>
        <w:gridCol w:w="4982"/>
      </w:tblGrid>
      <w:tr w:rsidR="005C3095" w14:paraId="018631C9" w14:textId="77777777" w:rsidTr="0007607B">
        <w:tc>
          <w:tcPr>
            <w:tcW w:w="4980" w:type="dxa"/>
          </w:tcPr>
          <w:p w14:paraId="6A7E7997" w14:textId="77777777" w:rsidR="005C3095" w:rsidRDefault="005C3095" w:rsidP="00D537D1">
            <w:pPr>
              <w:pStyle w:val="Footer"/>
              <w:jc w:val="both"/>
            </w:pPr>
            <w:r>
              <w:t>Commission proposal</w:t>
            </w:r>
          </w:p>
        </w:tc>
        <w:tc>
          <w:tcPr>
            <w:tcW w:w="4982" w:type="dxa"/>
          </w:tcPr>
          <w:p w14:paraId="110B81FB" w14:textId="77777777" w:rsidR="005C3095" w:rsidRDefault="005C3095" w:rsidP="00D537D1">
            <w:pPr>
              <w:pStyle w:val="Footer"/>
              <w:jc w:val="both"/>
            </w:pPr>
            <w:r>
              <w:t>EDF amendments</w:t>
            </w:r>
          </w:p>
        </w:tc>
      </w:tr>
      <w:tr w:rsidR="00554002" w14:paraId="6F2B3491" w14:textId="77777777" w:rsidTr="0007607B">
        <w:tc>
          <w:tcPr>
            <w:tcW w:w="4980" w:type="dxa"/>
          </w:tcPr>
          <w:p w14:paraId="0CDB75C6" w14:textId="77777777" w:rsidR="00554002" w:rsidRDefault="00554002" w:rsidP="00554002">
            <w:pPr>
              <w:pStyle w:val="Footer"/>
            </w:pPr>
            <w:r>
              <w:t>Article 23 is amended as follows:</w:t>
            </w:r>
          </w:p>
          <w:p w14:paraId="5A41E2CD" w14:textId="77777777" w:rsidR="00554002" w:rsidRDefault="00554002" w:rsidP="00554002">
            <w:pPr>
              <w:pStyle w:val="Footer"/>
            </w:pPr>
          </w:p>
          <w:p w14:paraId="2CA6C351" w14:textId="77777777" w:rsidR="00554002" w:rsidRDefault="00554002" w:rsidP="00554002">
            <w:pPr>
              <w:pStyle w:val="Footer"/>
            </w:pPr>
            <w:r>
              <w:t>(a)paragraph 1 is amended as follows:</w:t>
            </w:r>
          </w:p>
          <w:p w14:paraId="149FC309" w14:textId="77777777" w:rsidR="00554002" w:rsidRDefault="00554002" w:rsidP="00554002">
            <w:pPr>
              <w:pStyle w:val="Footer"/>
            </w:pPr>
          </w:p>
          <w:p w14:paraId="5009E41F" w14:textId="77777777" w:rsidR="00554002" w:rsidRDefault="00554002" w:rsidP="00554002">
            <w:pPr>
              <w:pStyle w:val="Footer"/>
            </w:pPr>
            <w:r>
              <w:t>(i) the following sentence is inserted before the first sentence:</w:t>
            </w:r>
          </w:p>
          <w:p w14:paraId="2681476A" w14:textId="77777777" w:rsidR="00554002" w:rsidRDefault="00554002" w:rsidP="00554002">
            <w:pPr>
              <w:pStyle w:val="Footer"/>
            </w:pPr>
          </w:p>
          <w:p w14:paraId="489D724B" w14:textId="3F45D4B2" w:rsidR="00554002" w:rsidRDefault="00554002" w:rsidP="00554002">
            <w:pPr>
              <w:pStyle w:val="Footer"/>
            </w:pPr>
            <w:r>
              <w:t xml:space="preserve">‘When selling tickets for services falling within the scope of this Regulation, carriers, ticket vendors, travel agents, tour operators and terminal operators shall, within their respective areas of competence, ensure that passengers are provided with appropriate </w:t>
            </w:r>
            <w:r>
              <w:lastRenderedPageBreak/>
              <w:t>and comprehensible information regarding their rights under this Regulation.</w:t>
            </w:r>
            <w:proofErr w:type="gramStart"/>
            <w:r>
              <w:t>’;</w:t>
            </w:r>
            <w:proofErr w:type="gramEnd"/>
          </w:p>
          <w:p w14:paraId="5B367758" w14:textId="77777777" w:rsidR="00554002" w:rsidRDefault="00554002" w:rsidP="00554002">
            <w:pPr>
              <w:pStyle w:val="Footer"/>
            </w:pPr>
          </w:p>
          <w:p w14:paraId="538D4B7A" w14:textId="77777777" w:rsidR="00554002" w:rsidRDefault="00554002" w:rsidP="00554002">
            <w:pPr>
              <w:pStyle w:val="Footer"/>
            </w:pPr>
            <w:r>
              <w:t>(ii) the second sentence is replaced by the following:</w:t>
            </w:r>
          </w:p>
          <w:p w14:paraId="6E955F5C" w14:textId="77777777" w:rsidR="00554002" w:rsidRDefault="00554002" w:rsidP="00554002">
            <w:pPr>
              <w:pStyle w:val="Footer"/>
            </w:pPr>
          </w:p>
          <w:p w14:paraId="143096F5" w14:textId="737836AB" w:rsidR="00554002" w:rsidRDefault="00554002" w:rsidP="00554002">
            <w:pPr>
              <w:pStyle w:val="Footer"/>
            </w:pPr>
            <w:r>
              <w:t xml:space="preserve">‘Carriers, terminal operators and, when applicable, port authorities, shall also, within their respective areas of competence, ensure that information on the rights of passengers under this Regulation is publicly available </w:t>
            </w:r>
            <w:proofErr w:type="gramStart"/>
            <w:r>
              <w:t>on board</w:t>
            </w:r>
            <w:proofErr w:type="gramEnd"/>
            <w:r>
              <w:t xml:space="preserve"> ships, in ports, if possible, and in port terminals.’;</w:t>
            </w:r>
          </w:p>
          <w:p w14:paraId="271BEB8E" w14:textId="77777777" w:rsidR="00554002" w:rsidRDefault="00554002" w:rsidP="00554002">
            <w:pPr>
              <w:pStyle w:val="Footer"/>
            </w:pPr>
          </w:p>
        </w:tc>
        <w:tc>
          <w:tcPr>
            <w:tcW w:w="4982" w:type="dxa"/>
          </w:tcPr>
          <w:p w14:paraId="42C3C111" w14:textId="77777777" w:rsidR="00554002" w:rsidRDefault="00554002" w:rsidP="00554002">
            <w:pPr>
              <w:pStyle w:val="Footer"/>
            </w:pPr>
            <w:r>
              <w:lastRenderedPageBreak/>
              <w:t>Article 23 is amended as follows:</w:t>
            </w:r>
          </w:p>
          <w:p w14:paraId="6AD27D78" w14:textId="77777777" w:rsidR="00554002" w:rsidRDefault="00554002" w:rsidP="00554002">
            <w:pPr>
              <w:pStyle w:val="Footer"/>
            </w:pPr>
          </w:p>
          <w:p w14:paraId="28244BB2" w14:textId="77777777" w:rsidR="00554002" w:rsidRDefault="00554002" w:rsidP="00554002">
            <w:pPr>
              <w:pStyle w:val="Footer"/>
            </w:pPr>
            <w:r>
              <w:t>(a)paragraph 1 is amended as follows:</w:t>
            </w:r>
          </w:p>
          <w:p w14:paraId="1378C31C" w14:textId="77777777" w:rsidR="00554002" w:rsidRDefault="00554002" w:rsidP="00554002">
            <w:pPr>
              <w:pStyle w:val="Footer"/>
            </w:pPr>
          </w:p>
          <w:p w14:paraId="1AE1BBAD" w14:textId="77777777" w:rsidR="00554002" w:rsidRDefault="00554002" w:rsidP="00554002">
            <w:pPr>
              <w:pStyle w:val="Footer"/>
            </w:pPr>
            <w:r>
              <w:t>(i) the following sentence is inserted before the first sentence:</w:t>
            </w:r>
          </w:p>
          <w:p w14:paraId="60E99FA8" w14:textId="77777777" w:rsidR="00554002" w:rsidRDefault="00554002" w:rsidP="00554002">
            <w:pPr>
              <w:pStyle w:val="Footer"/>
            </w:pPr>
          </w:p>
          <w:p w14:paraId="7D9ED8A1" w14:textId="77777777" w:rsidR="00554002" w:rsidRDefault="00554002" w:rsidP="00554002">
            <w:pPr>
              <w:pStyle w:val="Footer"/>
            </w:pPr>
            <w:r>
              <w:t xml:space="preserve">‘When selling tickets for services falling within the scope of this Regulation, carriers, ticket vendors, travel agents, tour operators and terminal operators shall, within their respective areas of competence, ensure that passengers are provided with appropriate </w:t>
            </w:r>
            <w:r>
              <w:lastRenderedPageBreak/>
              <w:t>and comprehensible information regarding their rights under this Regulation.</w:t>
            </w:r>
            <w:proofErr w:type="gramStart"/>
            <w:r>
              <w:t>’;</w:t>
            </w:r>
            <w:proofErr w:type="gramEnd"/>
          </w:p>
          <w:p w14:paraId="51E98835" w14:textId="77777777" w:rsidR="00554002" w:rsidRDefault="00554002" w:rsidP="00554002">
            <w:pPr>
              <w:pStyle w:val="Footer"/>
            </w:pPr>
          </w:p>
          <w:p w14:paraId="071B2C81" w14:textId="77777777" w:rsidR="00554002" w:rsidRDefault="00554002" w:rsidP="00554002">
            <w:pPr>
              <w:pStyle w:val="Footer"/>
            </w:pPr>
            <w:r>
              <w:t>(ii) the second sentence is replaced by the following:</w:t>
            </w:r>
          </w:p>
          <w:p w14:paraId="3886FCC6" w14:textId="77777777" w:rsidR="00554002" w:rsidRDefault="00554002" w:rsidP="00554002">
            <w:pPr>
              <w:pStyle w:val="Footer"/>
            </w:pPr>
          </w:p>
          <w:p w14:paraId="2D9BFC57" w14:textId="6F224749" w:rsidR="00554002" w:rsidRDefault="00554002" w:rsidP="00554002">
            <w:pPr>
              <w:pStyle w:val="Footer"/>
            </w:pPr>
            <w:r>
              <w:t xml:space="preserve">‘Carriers, terminal operators and, when applicable, port authorities, shall also, within their respective areas of competence, ensure that information on the rights of passengers under this Regulation is publicly available </w:t>
            </w:r>
            <w:proofErr w:type="gramStart"/>
            <w:r>
              <w:t>on board</w:t>
            </w:r>
            <w:proofErr w:type="gramEnd"/>
            <w:r>
              <w:t xml:space="preserve"> ships, in ports, if possible, and in port terminals.’ </w:t>
            </w:r>
            <w:r w:rsidRPr="00554002">
              <w:rPr>
                <w:b/>
                <w:bCs/>
                <w:i/>
                <w:iCs/>
              </w:rPr>
              <w:t xml:space="preserve">The information </w:t>
            </w:r>
            <w:r w:rsidR="00952705">
              <w:rPr>
                <w:b/>
                <w:bCs/>
                <w:i/>
                <w:iCs/>
              </w:rPr>
              <w:t xml:space="preserve">in this article </w:t>
            </w:r>
            <w:r w:rsidRPr="00554002">
              <w:rPr>
                <w:b/>
                <w:bCs/>
                <w:i/>
                <w:iCs/>
              </w:rPr>
              <w:t xml:space="preserve">shall be provided in accessible formats </w:t>
            </w:r>
            <w:r>
              <w:rPr>
                <w:b/>
                <w:bCs/>
                <w:i/>
                <w:iCs/>
              </w:rPr>
              <w:t>in accordance with the accessibility requirements set out in Annex I of Directive 2019/882</w:t>
            </w:r>
          </w:p>
          <w:p w14:paraId="2B26161E" w14:textId="3E5E4D2E" w:rsidR="00554002" w:rsidRPr="00CD2FF3" w:rsidRDefault="00554002" w:rsidP="00554002">
            <w:pPr>
              <w:pStyle w:val="Footer"/>
              <w:rPr>
                <w:b/>
              </w:rPr>
            </w:pPr>
          </w:p>
        </w:tc>
      </w:tr>
      <w:tr w:rsidR="00554002" w14:paraId="4EC95D84" w14:textId="77777777" w:rsidTr="0007607B">
        <w:tc>
          <w:tcPr>
            <w:tcW w:w="9962" w:type="dxa"/>
            <w:gridSpan w:val="2"/>
          </w:tcPr>
          <w:p w14:paraId="678C9D4D" w14:textId="77777777" w:rsidR="00554002" w:rsidRDefault="00554002" w:rsidP="00554002">
            <w:pPr>
              <w:pStyle w:val="Footer"/>
              <w:jc w:val="both"/>
            </w:pPr>
            <w:r>
              <w:lastRenderedPageBreak/>
              <w:t>Justification:</w:t>
            </w:r>
          </w:p>
          <w:p w14:paraId="187B9247" w14:textId="77777777" w:rsidR="00554002" w:rsidRDefault="00554002" w:rsidP="00554002">
            <w:pPr>
              <w:pStyle w:val="Footer"/>
              <w:jc w:val="both"/>
            </w:pPr>
          </w:p>
          <w:p w14:paraId="57A77892" w14:textId="692BAE39" w:rsidR="00554002" w:rsidRDefault="00554002" w:rsidP="00554002">
            <w:pPr>
              <w:pStyle w:val="Footer"/>
              <w:jc w:val="both"/>
            </w:pPr>
            <w:r>
              <w:t xml:space="preserve">The Commission proposes to delete the sentence that refers to the obligation to provide information </w:t>
            </w:r>
            <w:r w:rsidR="00532D5B">
              <w:t xml:space="preserve">in accessible formats. Such reference should be kept and updated to refer to the European Accessibility Act. </w:t>
            </w:r>
          </w:p>
        </w:tc>
      </w:tr>
    </w:tbl>
    <w:p w14:paraId="19C49E32" w14:textId="06A4DE6D" w:rsidR="0007607B" w:rsidRDefault="00DE4A09" w:rsidP="0007607B">
      <w:pPr>
        <w:pStyle w:val="Heading2"/>
      </w:pPr>
      <w:bookmarkStart w:id="21" w:name="_Toc164171885"/>
      <w:r>
        <w:t>Amendment to Regulation (EC) 1177</w:t>
      </w:r>
      <w:r w:rsidR="00952705">
        <w:t xml:space="preserve"> </w:t>
      </w:r>
      <w:r>
        <w:t>/</w:t>
      </w:r>
      <w:r w:rsidR="00952705">
        <w:t xml:space="preserve"> </w:t>
      </w:r>
      <w:r>
        <w:t>2010 – Article 23a</w:t>
      </w:r>
      <w:bookmarkEnd w:id="21"/>
    </w:p>
    <w:p w14:paraId="26F59638" w14:textId="77777777" w:rsidR="0007607B" w:rsidRPr="00046E92" w:rsidRDefault="0007607B" w:rsidP="0007607B"/>
    <w:tbl>
      <w:tblPr>
        <w:tblStyle w:val="TableGrid"/>
        <w:tblW w:w="0" w:type="auto"/>
        <w:tblLook w:val="04A0" w:firstRow="1" w:lastRow="0" w:firstColumn="1" w:lastColumn="0" w:noHBand="0" w:noVBand="1"/>
      </w:tblPr>
      <w:tblGrid>
        <w:gridCol w:w="4980"/>
        <w:gridCol w:w="4982"/>
      </w:tblGrid>
      <w:tr w:rsidR="0007607B" w14:paraId="64F35DF3" w14:textId="77777777" w:rsidTr="0007607B">
        <w:tc>
          <w:tcPr>
            <w:tcW w:w="4980" w:type="dxa"/>
          </w:tcPr>
          <w:p w14:paraId="3690A2B5" w14:textId="77777777" w:rsidR="0007607B" w:rsidRDefault="0007607B" w:rsidP="00D537D1">
            <w:pPr>
              <w:pStyle w:val="Footer"/>
              <w:jc w:val="both"/>
            </w:pPr>
            <w:r>
              <w:t>Commission proposal</w:t>
            </w:r>
          </w:p>
        </w:tc>
        <w:tc>
          <w:tcPr>
            <w:tcW w:w="4982" w:type="dxa"/>
          </w:tcPr>
          <w:p w14:paraId="65BED4B7" w14:textId="77777777" w:rsidR="0007607B" w:rsidRDefault="0007607B" w:rsidP="00D537D1">
            <w:pPr>
              <w:pStyle w:val="Footer"/>
              <w:jc w:val="both"/>
            </w:pPr>
            <w:r>
              <w:t>EDF amendments</w:t>
            </w:r>
          </w:p>
        </w:tc>
      </w:tr>
      <w:tr w:rsidR="00DE4A09" w14:paraId="6B907467" w14:textId="77777777" w:rsidTr="0007607B">
        <w:tc>
          <w:tcPr>
            <w:tcW w:w="4980" w:type="dxa"/>
          </w:tcPr>
          <w:p w14:paraId="67681B93" w14:textId="77777777" w:rsidR="00DE4A09" w:rsidRDefault="00DE4A09" w:rsidP="00DE4A09">
            <w:pPr>
              <w:pStyle w:val="Footer"/>
            </w:pPr>
          </w:p>
          <w:p w14:paraId="4F3B3E97" w14:textId="77777777" w:rsidR="00DE4A09" w:rsidRDefault="00DE4A09" w:rsidP="00DE4A09">
            <w:pPr>
              <w:pStyle w:val="Footer"/>
            </w:pPr>
            <w:r>
              <w:t>Means of communication with passengers</w:t>
            </w:r>
          </w:p>
          <w:p w14:paraId="2EDCFC20" w14:textId="77777777" w:rsidR="00DE4A09" w:rsidRDefault="00DE4A09" w:rsidP="00DE4A09">
            <w:pPr>
              <w:pStyle w:val="Footer"/>
            </w:pPr>
          </w:p>
          <w:p w14:paraId="6EC12639" w14:textId="77777777" w:rsidR="00DE4A09" w:rsidRDefault="00DE4A09" w:rsidP="00DE4A09">
            <w:pPr>
              <w:pStyle w:val="Footer"/>
            </w:pPr>
            <w:r>
              <w:t>The information referred to in Articles 16, 22 and 23 shall be provided in the most appropriate format, where technically possible by electronic means.</w:t>
            </w:r>
          </w:p>
          <w:p w14:paraId="02E4474E" w14:textId="77777777" w:rsidR="00DE4A09" w:rsidRDefault="00DE4A09" w:rsidP="00DE4A09">
            <w:pPr>
              <w:pStyle w:val="Footer"/>
            </w:pPr>
          </w:p>
          <w:p w14:paraId="1FF6D09D" w14:textId="0A9032B6" w:rsidR="00DE4A09" w:rsidRDefault="00DE4A09" w:rsidP="00DE4A09">
            <w:pPr>
              <w:pStyle w:val="Footer"/>
            </w:pPr>
            <w:r>
              <w:t xml:space="preserve">Where information is provided by electronic means of communication, carriers, terminal operators, port authorities, travel agents, tour operators and ticket vendors shall ensure that the passenger can keep any written correspondence, including the date and time of such correspondence, on a </w:t>
            </w:r>
            <w:r>
              <w:lastRenderedPageBreak/>
              <w:t>durable medium. All means of communication shall enable the passenger to contact them quickly and communicate efficiently</w:t>
            </w:r>
          </w:p>
        </w:tc>
        <w:tc>
          <w:tcPr>
            <w:tcW w:w="4982" w:type="dxa"/>
          </w:tcPr>
          <w:p w14:paraId="4CF2B37F" w14:textId="77777777" w:rsidR="00DE4A09" w:rsidRDefault="00DE4A09" w:rsidP="00DE4A09">
            <w:pPr>
              <w:pStyle w:val="Footer"/>
            </w:pPr>
          </w:p>
          <w:p w14:paraId="15DCEB60" w14:textId="77777777" w:rsidR="00DE4A09" w:rsidRDefault="00DE4A09" w:rsidP="00DE4A09">
            <w:pPr>
              <w:pStyle w:val="Footer"/>
            </w:pPr>
            <w:r>
              <w:t>Means of communication with passengers</w:t>
            </w:r>
          </w:p>
          <w:p w14:paraId="573E8C5A" w14:textId="77777777" w:rsidR="00DE4A09" w:rsidRDefault="00DE4A09" w:rsidP="00DE4A09">
            <w:pPr>
              <w:pStyle w:val="Footer"/>
            </w:pPr>
          </w:p>
          <w:p w14:paraId="159B47AB" w14:textId="737B701F" w:rsidR="00DE4A09" w:rsidRPr="00DE4A09" w:rsidRDefault="00DE4A09" w:rsidP="00DE4A09">
            <w:pPr>
              <w:pStyle w:val="Footer"/>
              <w:rPr>
                <w:i/>
                <w:iCs/>
              </w:rPr>
            </w:pPr>
            <w:r>
              <w:t xml:space="preserve">The information referred to in Articles 16, 22 and 23 shall be provided in the most appropriate format, </w:t>
            </w:r>
            <w:r w:rsidRPr="00DE4A09">
              <w:rPr>
                <w:b/>
                <w:bCs/>
                <w:strike/>
              </w:rPr>
              <w:t>where technically possible by electronic means.</w:t>
            </w:r>
            <w:r>
              <w:rPr>
                <w:b/>
                <w:bCs/>
                <w:strike/>
              </w:rPr>
              <w:t xml:space="preserve"> </w:t>
            </w:r>
            <w:r>
              <w:rPr>
                <w:b/>
                <w:bCs/>
                <w:i/>
                <w:iCs/>
              </w:rPr>
              <w:t>Including</w:t>
            </w:r>
            <w:r w:rsidR="006C36A7">
              <w:rPr>
                <w:b/>
                <w:bCs/>
                <w:i/>
                <w:iCs/>
              </w:rPr>
              <w:t xml:space="preserve"> but not limited to</w:t>
            </w:r>
            <w:r>
              <w:rPr>
                <w:b/>
                <w:bCs/>
                <w:i/>
                <w:iCs/>
              </w:rPr>
              <w:t xml:space="preserve"> electronic means. </w:t>
            </w:r>
          </w:p>
          <w:p w14:paraId="01191EFA" w14:textId="77777777" w:rsidR="00DE4A09" w:rsidRDefault="00DE4A09" w:rsidP="00DE4A09">
            <w:pPr>
              <w:pStyle w:val="Footer"/>
            </w:pPr>
          </w:p>
          <w:p w14:paraId="59B76452" w14:textId="4168E854" w:rsidR="00DE4A09" w:rsidRPr="00CD2FF3" w:rsidRDefault="00DE4A09" w:rsidP="00DE4A09">
            <w:pPr>
              <w:pStyle w:val="Footer"/>
              <w:rPr>
                <w:b/>
              </w:rPr>
            </w:pPr>
            <w:r>
              <w:t xml:space="preserve">Where information is provided by electronic means of communication, carriers, terminal operators, port authorities, travel agents, tour operators and ticket vendors shall ensure that </w:t>
            </w:r>
            <w:r w:rsidRPr="00DE4A09">
              <w:rPr>
                <w:b/>
                <w:bCs/>
                <w:i/>
                <w:iCs/>
              </w:rPr>
              <w:t>it is</w:t>
            </w:r>
            <w:r>
              <w:t xml:space="preserve"> </w:t>
            </w:r>
            <w:r w:rsidRPr="00554002">
              <w:rPr>
                <w:b/>
                <w:bCs/>
                <w:i/>
                <w:iCs/>
              </w:rPr>
              <w:t xml:space="preserve">provided in accessible formats </w:t>
            </w:r>
            <w:r>
              <w:rPr>
                <w:b/>
                <w:bCs/>
                <w:i/>
                <w:iCs/>
              </w:rPr>
              <w:t xml:space="preserve">in accordance with the </w:t>
            </w:r>
            <w:r>
              <w:rPr>
                <w:b/>
                <w:bCs/>
                <w:i/>
                <w:iCs/>
              </w:rPr>
              <w:lastRenderedPageBreak/>
              <w:t>accessibility requirements set out in Annex I of Directive 2019/882 and that</w:t>
            </w:r>
            <w:r>
              <w:t xml:space="preserve"> the passenger can keep any written correspondence, including the date and time of such correspondence, on a durable medium. All means of communication shall enable the passenger to contact them quickly and communicate efficiently</w:t>
            </w:r>
          </w:p>
        </w:tc>
      </w:tr>
      <w:tr w:rsidR="00DE4A09" w14:paraId="3F49FD2A" w14:textId="77777777" w:rsidTr="0007607B">
        <w:tc>
          <w:tcPr>
            <w:tcW w:w="9962" w:type="dxa"/>
            <w:gridSpan w:val="2"/>
          </w:tcPr>
          <w:p w14:paraId="1FCE92B9" w14:textId="77777777" w:rsidR="00DE4A09" w:rsidRDefault="00DE4A09" w:rsidP="00DE4A09">
            <w:pPr>
              <w:pStyle w:val="Footer"/>
              <w:jc w:val="both"/>
            </w:pPr>
            <w:r>
              <w:lastRenderedPageBreak/>
              <w:t>Justification:</w:t>
            </w:r>
          </w:p>
          <w:p w14:paraId="34E05FA3" w14:textId="77777777" w:rsidR="006C6456" w:rsidRDefault="006C6456" w:rsidP="00DE4A09">
            <w:pPr>
              <w:pStyle w:val="Footer"/>
              <w:jc w:val="both"/>
            </w:pPr>
          </w:p>
          <w:p w14:paraId="07695B31" w14:textId="0C61D092" w:rsidR="006C6456" w:rsidRDefault="00BE0E3F" w:rsidP="00DE4A09">
            <w:pPr>
              <w:pStyle w:val="Footer"/>
              <w:jc w:val="both"/>
            </w:pPr>
            <w:bookmarkStart w:id="22" w:name="_Hlk163484476"/>
            <w:r>
              <w:t xml:space="preserve">Accessibility of travel information is one of the key passenger rights for persons with disabilities. </w:t>
            </w:r>
            <w:r w:rsidR="006C6456">
              <w:t xml:space="preserve">It is important to specify that communication with passengers on travel information, including on delays, cancellations and passenger rights is provided through different channels, not only by electronic means. If needed, passengers should also receive this information directly from the carriers / infrastructure manager staff or through non electronic channels. </w:t>
            </w:r>
          </w:p>
          <w:bookmarkEnd w:id="22"/>
          <w:p w14:paraId="7E16FFA7" w14:textId="77777777" w:rsidR="006C6456" w:rsidRDefault="006C6456" w:rsidP="00DE4A09">
            <w:pPr>
              <w:pStyle w:val="Footer"/>
              <w:jc w:val="both"/>
            </w:pPr>
          </w:p>
          <w:p w14:paraId="583F213D" w14:textId="34AFABBD" w:rsidR="006C6456" w:rsidRDefault="006C6456" w:rsidP="00DE4A09">
            <w:pPr>
              <w:pStyle w:val="Footer"/>
              <w:jc w:val="both"/>
            </w:pPr>
            <w:r>
              <w:t>It is necessary to recall that information provided through electronic means of communication should follow the requirements of the European Accessibility Act.</w:t>
            </w:r>
            <w:r w:rsidR="001127BC">
              <w:t xml:space="preserve"> Although</w:t>
            </w:r>
            <w:r>
              <w:t xml:space="preserve"> Articles 16, </w:t>
            </w:r>
            <w:r w:rsidR="00463366">
              <w:t xml:space="preserve">22 and 23 </w:t>
            </w:r>
            <w:r w:rsidR="001127BC">
              <w:t xml:space="preserve">of Regulation 1177 / 2010 </w:t>
            </w:r>
            <w:r w:rsidR="00463366">
              <w:t>already include accessibility requirements</w:t>
            </w:r>
            <w:r w:rsidR="001127BC">
              <w:t>,</w:t>
            </w:r>
            <w:r w:rsidR="00463366">
              <w:t xml:space="preserve"> it is important to ensure that this new obligation to provide information by electronic means follows the same logic and is coherent with the legal framework in place. </w:t>
            </w:r>
          </w:p>
          <w:p w14:paraId="52DF8E0F" w14:textId="77777777" w:rsidR="00DE4A09" w:rsidRDefault="00DE4A09" w:rsidP="00DE4A09">
            <w:pPr>
              <w:pStyle w:val="Footer"/>
              <w:jc w:val="both"/>
            </w:pPr>
          </w:p>
          <w:p w14:paraId="6559C0E5" w14:textId="77777777" w:rsidR="00DE4A09" w:rsidRDefault="00DE4A09" w:rsidP="00DE4A09">
            <w:pPr>
              <w:pStyle w:val="Footer"/>
              <w:jc w:val="both"/>
            </w:pPr>
          </w:p>
        </w:tc>
      </w:tr>
    </w:tbl>
    <w:p w14:paraId="2B70F6DD" w14:textId="545FBFF4" w:rsidR="00463366" w:rsidRDefault="00463366" w:rsidP="00463366">
      <w:pPr>
        <w:pStyle w:val="Heading2"/>
      </w:pPr>
      <w:bookmarkStart w:id="23" w:name="_Toc164171886"/>
      <w:r>
        <w:t>Amendment to Regulation (EC) 1177</w:t>
      </w:r>
      <w:r w:rsidR="0006749E">
        <w:t xml:space="preserve"> </w:t>
      </w:r>
      <w:r>
        <w:t>/</w:t>
      </w:r>
      <w:r w:rsidR="0006749E">
        <w:t xml:space="preserve"> </w:t>
      </w:r>
      <w:r>
        <w:t>2010 – Article 24a</w:t>
      </w:r>
      <w:r w:rsidR="009E7BF1">
        <w:t xml:space="preserve"> (3)</w:t>
      </w:r>
      <w:bookmarkEnd w:id="23"/>
      <w:r w:rsidR="009E7BF1">
        <w:t xml:space="preserve"> </w:t>
      </w:r>
    </w:p>
    <w:p w14:paraId="5AEB17B2" w14:textId="77777777" w:rsidR="0007607B" w:rsidRPr="00046E92" w:rsidRDefault="0007607B" w:rsidP="0007607B"/>
    <w:tbl>
      <w:tblPr>
        <w:tblStyle w:val="TableGrid"/>
        <w:tblW w:w="0" w:type="auto"/>
        <w:tblLook w:val="04A0" w:firstRow="1" w:lastRow="0" w:firstColumn="1" w:lastColumn="0" w:noHBand="0" w:noVBand="1"/>
      </w:tblPr>
      <w:tblGrid>
        <w:gridCol w:w="4980"/>
        <w:gridCol w:w="4982"/>
      </w:tblGrid>
      <w:tr w:rsidR="0007607B" w14:paraId="757FAAC4" w14:textId="77777777" w:rsidTr="0007607B">
        <w:tc>
          <w:tcPr>
            <w:tcW w:w="4980" w:type="dxa"/>
          </w:tcPr>
          <w:p w14:paraId="07F8E3D4" w14:textId="77777777" w:rsidR="0007607B" w:rsidRDefault="0007607B" w:rsidP="00D537D1">
            <w:pPr>
              <w:pStyle w:val="Footer"/>
              <w:jc w:val="both"/>
            </w:pPr>
            <w:r>
              <w:t>Commission proposal</w:t>
            </w:r>
          </w:p>
        </w:tc>
        <w:tc>
          <w:tcPr>
            <w:tcW w:w="4982" w:type="dxa"/>
          </w:tcPr>
          <w:p w14:paraId="7248FF86" w14:textId="77777777" w:rsidR="0007607B" w:rsidRDefault="0007607B" w:rsidP="00D537D1">
            <w:pPr>
              <w:pStyle w:val="Footer"/>
              <w:jc w:val="both"/>
            </w:pPr>
            <w:r>
              <w:t>EDF amendments</w:t>
            </w:r>
          </w:p>
        </w:tc>
      </w:tr>
      <w:tr w:rsidR="00463366" w14:paraId="52A3BCCE" w14:textId="77777777" w:rsidTr="0007607B">
        <w:tc>
          <w:tcPr>
            <w:tcW w:w="4980" w:type="dxa"/>
          </w:tcPr>
          <w:p w14:paraId="691E833C" w14:textId="77777777" w:rsidR="00463366" w:rsidRDefault="00463366" w:rsidP="00463366">
            <w:pPr>
              <w:pStyle w:val="Footer"/>
            </w:pPr>
            <w:r>
              <w:t>Service quality standards</w:t>
            </w:r>
          </w:p>
          <w:p w14:paraId="529D8018" w14:textId="77777777" w:rsidR="00463366" w:rsidRDefault="00463366" w:rsidP="00463366">
            <w:pPr>
              <w:pStyle w:val="Footer"/>
            </w:pPr>
          </w:p>
          <w:p w14:paraId="467DBC2E" w14:textId="5ACB0813" w:rsidR="00463366" w:rsidRDefault="009E7BF1" w:rsidP="00463366">
            <w:pPr>
              <w:pStyle w:val="Footer"/>
            </w:pPr>
            <w:r>
              <w:t>(…)</w:t>
            </w:r>
          </w:p>
          <w:p w14:paraId="60A8FB7D" w14:textId="77777777" w:rsidR="00463366" w:rsidRDefault="00463366" w:rsidP="00463366">
            <w:pPr>
              <w:pStyle w:val="Footer"/>
            </w:pPr>
          </w:p>
          <w:p w14:paraId="3DC72168" w14:textId="4DC4CEE3" w:rsidR="00463366" w:rsidRDefault="00463366" w:rsidP="00463366">
            <w:pPr>
              <w:pStyle w:val="Footer"/>
            </w:pPr>
            <w:r>
              <w:t>3.    Terminal operators shall establish service quality standards based on the relevant items listed in Annex V. They shall monitor their performance pursuant to those standards and provide access to the information on their performance to the national public authorities on request.</w:t>
            </w:r>
            <w:proofErr w:type="gramStart"/>
            <w:r>
              <w:t>’;</w:t>
            </w:r>
            <w:proofErr w:type="gramEnd"/>
          </w:p>
          <w:p w14:paraId="1B596488" w14:textId="77777777" w:rsidR="00463366" w:rsidRDefault="00463366" w:rsidP="00463366">
            <w:pPr>
              <w:pStyle w:val="Footer"/>
            </w:pPr>
          </w:p>
        </w:tc>
        <w:tc>
          <w:tcPr>
            <w:tcW w:w="4982" w:type="dxa"/>
          </w:tcPr>
          <w:p w14:paraId="02D1A7B9" w14:textId="77777777" w:rsidR="00463366" w:rsidRDefault="00463366" w:rsidP="00463366">
            <w:pPr>
              <w:pStyle w:val="Footer"/>
            </w:pPr>
            <w:r>
              <w:t>Service quality standards</w:t>
            </w:r>
          </w:p>
          <w:p w14:paraId="401C106A" w14:textId="77777777" w:rsidR="00463366" w:rsidRDefault="00463366" w:rsidP="00463366">
            <w:pPr>
              <w:pStyle w:val="Footer"/>
            </w:pPr>
          </w:p>
          <w:p w14:paraId="05FF7EA7" w14:textId="68BB626B" w:rsidR="00463366" w:rsidRDefault="009E7BF1" w:rsidP="00463366">
            <w:pPr>
              <w:pStyle w:val="Footer"/>
            </w:pPr>
            <w:r>
              <w:t>(…)</w:t>
            </w:r>
          </w:p>
          <w:p w14:paraId="35AA6F36" w14:textId="77777777" w:rsidR="00463366" w:rsidRDefault="00463366" w:rsidP="00463366">
            <w:pPr>
              <w:pStyle w:val="Footer"/>
            </w:pPr>
          </w:p>
          <w:p w14:paraId="66793A57" w14:textId="560EC621" w:rsidR="00463366" w:rsidRPr="00463366" w:rsidRDefault="00463366" w:rsidP="00463366">
            <w:pPr>
              <w:pStyle w:val="Footer"/>
              <w:rPr>
                <w:b/>
                <w:bCs/>
                <w:i/>
                <w:iCs/>
              </w:rPr>
            </w:pPr>
            <w:r>
              <w:t xml:space="preserve">3.    Terminal operators shall establish service quality standards based on the relevant items listed in Annex V. They shall monitor their performance pursuant to those standards </w:t>
            </w:r>
            <w:r w:rsidRPr="007750A4">
              <w:rPr>
                <w:b/>
                <w:bCs/>
                <w:i/>
                <w:iCs/>
              </w:rPr>
              <w:t>and publish a report on their service quality performance on their website by [2 years after the Regulation becomes applicable], and every two years thereafter. This report shall not contain personal data.’</w:t>
            </w:r>
            <w:r>
              <w:rPr>
                <w:b/>
                <w:bCs/>
                <w:i/>
                <w:iCs/>
              </w:rPr>
              <w:t xml:space="preserve"> </w:t>
            </w:r>
            <w:r w:rsidRPr="00463366">
              <w:rPr>
                <w:b/>
                <w:bCs/>
                <w:i/>
                <w:iCs/>
              </w:rPr>
              <w:t>Terminal operators shall</w:t>
            </w:r>
            <w:r>
              <w:rPr>
                <w:i/>
                <w:iCs/>
              </w:rPr>
              <w:t xml:space="preserve"> </w:t>
            </w:r>
            <w:r>
              <w:t xml:space="preserve">provide access to the </w:t>
            </w:r>
            <w:r>
              <w:lastRenderedPageBreak/>
              <w:t>information on their performance to the national public authorities on request.</w:t>
            </w:r>
            <w:proofErr w:type="gramStart"/>
            <w:r>
              <w:t>’;</w:t>
            </w:r>
            <w:proofErr w:type="gramEnd"/>
          </w:p>
          <w:p w14:paraId="74288C85" w14:textId="40CC9089" w:rsidR="00463366" w:rsidRPr="00CD2FF3" w:rsidRDefault="00463366" w:rsidP="00463366">
            <w:pPr>
              <w:pStyle w:val="Footer"/>
              <w:rPr>
                <w:b/>
              </w:rPr>
            </w:pPr>
          </w:p>
        </w:tc>
      </w:tr>
      <w:tr w:rsidR="00463366" w14:paraId="4CB3F37F" w14:textId="77777777" w:rsidTr="0007607B">
        <w:tc>
          <w:tcPr>
            <w:tcW w:w="9962" w:type="dxa"/>
            <w:gridSpan w:val="2"/>
          </w:tcPr>
          <w:p w14:paraId="72960C5B" w14:textId="77777777" w:rsidR="00463366" w:rsidRPr="002F5917" w:rsidRDefault="00463366" w:rsidP="00463366">
            <w:pPr>
              <w:pStyle w:val="Footer"/>
              <w:jc w:val="both"/>
              <w:rPr>
                <w:b/>
                <w:bCs/>
              </w:rPr>
            </w:pPr>
            <w:r w:rsidRPr="002F5917">
              <w:rPr>
                <w:b/>
                <w:bCs/>
              </w:rPr>
              <w:lastRenderedPageBreak/>
              <w:t>Justification:</w:t>
            </w:r>
          </w:p>
          <w:p w14:paraId="0164F11B" w14:textId="77777777" w:rsidR="00463366" w:rsidRDefault="00463366" w:rsidP="00463366">
            <w:pPr>
              <w:pStyle w:val="Footer"/>
              <w:jc w:val="both"/>
            </w:pPr>
          </w:p>
          <w:p w14:paraId="35A9C33E" w14:textId="7853E574" w:rsidR="00463366" w:rsidRDefault="00463366" w:rsidP="00463366">
            <w:pPr>
              <w:pStyle w:val="Footer"/>
              <w:jc w:val="both"/>
            </w:pPr>
            <w:r>
              <w:t xml:space="preserve">As explained </w:t>
            </w:r>
            <w:r w:rsidR="000C340D">
              <w:t xml:space="preserve">in the amendment for Regulation 1107/2006, </w:t>
            </w:r>
            <w:bookmarkStart w:id="24" w:name="_Hlk163484584"/>
            <w:r w:rsidR="000C340D">
              <w:t>the obligation to publish information on the performance pursuant to the quality standards should also apply to terminal operators. In the current form, only carriers will have to make this information public in their websites. Terminal operators are also responsible for the provision of assistance, one of the key passenger rights for persons with disabilities and should also be accountable for the quality of their service, including on the number and nature of complaints received. This information would provide an accurate picture of the situation in passenger rights</w:t>
            </w:r>
            <w:r w:rsidR="00E025F7">
              <w:t>,</w:t>
            </w:r>
            <w:r w:rsidR="000C340D">
              <w:t xml:space="preserve"> </w:t>
            </w:r>
            <w:r w:rsidR="00E025F7">
              <w:t>help</w:t>
            </w:r>
            <w:r w:rsidR="000C340D">
              <w:t xml:space="preserve"> consumers to choose the transport mode that offers better service and push carriers and infrastructure managers to improve their performance.</w:t>
            </w:r>
            <w:r>
              <w:t xml:space="preserve"> </w:t>
            </w:r>
            <w:bookmarkEnd w:id="24"/>
          </w:p>
        </w:tc>
      </w:tr>
    </w:tbl>
    <w:p w14:paraId="2E91350A" w14:textId="148C83B9" w:rsidR="0007607B" w:rsidRDefault="000C340D" w:rsidP="0007607B">
      <w:pPr>
        <w:pStyle w:val="Heading2"/>
      </w:pPr>
      <w:bookmarkStart w:id="25" w:name="_Toc164171887"/>
      <w:r>
        <w:t>Amendment to Regulation (EC) 1177</w:t>
      </w:r>
      <w:r w:rsidR="006F09C8">
        <w:t xml:space="preserve"> </w:t>
      </w:r>
      <w:r>
        <w:t>/</w:t>
      </w:r>
      <w:r w:rsidR="006F09C8">
        <w:t xml:space="preserve"> </w:t>
      </w:r>
      <w:r>
        <w:t>2010 – Article 25a</w:t>
      </w:r>
      <w:r w:rsidR="009E7BF1">
        <w:t xml:space="preserve"> (4 and 6)</w:t>
      </w:r>
      <w:bookmarkEnd w:id="25"/>
    </w:p>
    <w:p w14:paraId="13AC9BAC" w14:textId="77777777" w:rsidR="0007607B" w:rsidRPr="00046E92" w:rsidRDefault="0007607B" w:rsidP="0007607B"/>
    <w:tbl>
      <w:tblPr>
        <w:tblStyle w:val="TableGrid"/>
        <w:tblW w:w="0" w:type="auto"/>
        <w:tblLook w:val="04A0" w:firstRow="1" w:lastRow="0" w:firstColumn="1" w:lastColumn="0" w:noHBand="0" w:noVBand="1"/>
      </w:tblPr>
      <w:tblGrid>
        <w:gridCol w:w="4980"/>
        <w:gridCol w:w="4982"/>
      </w:tblGrid>
      <w:tr w:rsidR="0007607B" w14:paraId="43BACB35" w14:textId="77777777" w:rsidTr="0007607B">
        <w:tc>
          <w:tcPr>
            <w:tcW w:w="4980" w:type="dxa"/>
          </w:tcPr>
          <w:p w14:paraId="5FDCE38F" w14:textId="77777777" w:rsidR="0007607B" w:rsidRDefault="0007607B" w:rsidP="00D537D1">
            <w:pPr>
              <w:pStyle w:val="Footer"/>
              <w:jc w:val="both"/>
            </w:pPr>
            <w:r>
              <w:t>Commission proposal</w:t>
            </w:r>
          </w:p>
        </w:tc>
        <w:tc>
          <w:tcPr>
            <w:tcW w:w="4982" w:type="dxa"/>
          </w:tcPr>
          <w:p w14:paraId="3812C921" w14:textId="77777777" w:rsidR="0007607B" w:rsidRDefault="0007607B" w:rsidP="00D537D1">
            <w:pPr>
              <w:pStyle w:val="Footer"/>
              <w:jc w:val="both"/>
            </w:pPr>
            <w:r>
              <w:t>EDF amendments</w:t>
            </w:r>
          </w:p>
        </w:tc>
      </w:tr>
      <w:tr w:rsidR="0007607B" w14:paraId="2D5A3312" w14:textId="77777777" w:rsidTr="0007607B">
        <w:tc>
          <w:tcPr>
            <w:tcW w:w="4980" w:type="dxa"/>
          </w:tcPr>
          <w:p w14:paraId="247F4D8E" w14:textId="77777777" w:rsidR="000C340D" w:rsidRDefault="000C340D" w:rsidP="000C340D">
            <w:pPr>
              <w:pStyle w:val="Footer"/>
            </w:pPr>
            <w:r>
              <w:t>Risk-based approach to the monitoring of compliance with passenger rights</w:t>
            </w:r>
          </w:p>
          <w:p w14:paraId="42CF0226" w14:textId="77777777" w:rsidR="000C340D" w:rsidRDefault="000C340D" w:rsidP="000C340D">
            <w:pPr>
              <w:pStyle w:val="Footer"/>
            </w:pPr>
          </w:p>
          <w:p w14:paraId="7827C0E1" w14:textId="65994ACF" w:rsidR="000C340D" w:rsidRDefault="009E7BF1" w:rsidP="000C340D">
            <w:pPr>
              <w:pStyle w:val="Footer"/>
            </w:pPr>
            <w:r>
              <w:t>(…)</w:t>
            </w:r>
          </w:p>
          <w:p w14:paraId="47E2FAD9" w14:textId="77777777" w:rsidR="000C340D" w:rsidRDefault="000C340D" w:rsidP="000C340D">
            <w:pPr>
              <w:pStyle w:val="Footer"/>
            </w:pPr>
          </w:p>
          <w:p w14:paraId="69BE2042" w14:textId="77777777" w:rsidR="000C340D" w:rsidRDefault="000C340D" w:rsidP="000C340D">
            <w:pPr>
              <w:pStyle w:val="Footer"/>
            </w:pPr>
            <w:r>
              <w:t>4.    Compliance monitoring activities shall be based on the assessment of risks and carried out by means of audits, inspections, interviews, verifications and examination of documents as appropriate. They shall include both announced and unannounced activities. The monitoring activities shall be proportionate to the risks identified.</w:t>
            </w:r>
          </w:p>
          <w:p w14:paraId="5E4ED132" w14:textId="77777777" w:rsidR="009E7BF1" w:rsidRDefault="009E7BF1" w:rsidP="000C340D">
            <w:pPr>
              <w:pStyle w:val="Footer"/>
            </w:pPr>
          </w:p>
          <w:p w14:paraId="1C2F29DE" w14:textId="46C2F764" w:rsidR="000C340D" w:rsidRDefault="009E7BF1" w:rsidP="000C340D">
            <w:pPr>
              <w:pStyle w:val="Footer"/>
            </w:pPr>
            <w:r>
              <w:t>(…)</w:t>
            </w:r>
          </w:p>
          <w:p w14:paraId="5865F28D" w14:textId="77777777" w:rsidR="000C340D" w:rsidRDefault="000C340D" w:rsidP="000C340D">
            <w:pPr>
              <w:pStyle w:val="Footer"/>
            </w:pPr>
          </w:p>
          <w:p w14:paraId="70129062" w14:textId="5A17014F" w:rsidR="0007607B" w:rsidRDefault="000C340D" w:rsidP="000C340D">
            <w:pPr>
              <w:pStyle w:val="Footer"/>
            </w:pPr>
            <w:r>
              <w:t>6.    The compliance monitoring programme under paragraph 1, the risk assessment under paragraph 2 as well as their findings shall be communicated to the Commission by 30 June XXXX [2 years after the Regulation becomes applicable], and every two years thereafter. Where applicable, they shall be included in the reports referred to in Article 26.</w:t>
            </w:r>
          </w:p>
          <w:p w14:paraId="133A0188" w14:textId="77777777" w:rsidR="0007607B" w:rsidRDefault="0007607B" w:rsidP="00D537D1">
            <w:pPr>
              <w:pStyle w:val="Footer"/>
            </w:pPr>
          </w:p>
        </w:tc>
        <w:tc>
          <w:tcPr>
            <w:tcW w:w="4982" w:type="dxa"/>
          </w:tcPr>
          <w:p w14:paraId="6FA2F0E9" w14:textId="77777777" w:rsidR="000C340D" w:rsidRDefault="000C340D" w:rsidP="000C340D">
            <w:pPr>
              <w:pStyle w:val="Footer"/>
            </w:pPr>
            <w:r>
              <w:lastRenderedPageBreak/>
              <w:t>Risk-based approach to the monitoring of compliance with passenger rights</w:t>
            </w:r>
          </w:p>
          <w:p w14:paraId="5901009F" w14:textId="77777777" w:rsidR="000C340D" w:rsidRDefault="000C340D" w:rsidP="000C340D">
            <w:pPr>
              <w:pStyle w:val="Footer"/>
            </w:pPr>
          </w:p>
          <w:p w14:paraId="23838449" w14:textId="473AC9A0" w:rsidR="000C340D" w:rsidRDefault="009E7BF1" w:rsidP="000C340D">
            <w:pPr>
              <w:pStyle w:val="Footer"/>
            </w:pPr>
            <w:r>
              <w:t xml:space="preserve">(…) </w:t>
            </w:r>
          </w:p>
          <w:p w14:paraId="38299C25" w14:textId="77777777" w:rsidR="009E7BF1" w:rsidRDefault="009E7BF1" w:rsidP="000C340D">
            <w:pPr>
              <w:pStyle w:val="Footer"/>
            </w:pPr>
          </w:p>
          <w:p w14:paraId="6EE23E94" w14:textId="6B14EA0C" w:rsidR="000C340D" w:rsidRDefault="00B415C8" w:rsidP="000C340D">
            <w:pPr>
              <w:pStyle w:val="Footer"/>
            </w:pPr>
            <w:r>
              <w:t xml:space="preserve">4.    Compliance monitoring activities shall be based on the assessment of risks and carried out by means of audits, </w:t>
            </w:r>
            <w:r w:rsidRPr="00201F3D">
              <w:rPr>
                <w:b/>
                <w:bCs/>
                <w:i/>
                <w:iCs/>
              </w:rPr>
              <w:t>website</w:t>
            </w:r>
            <w:r>
              <w:rPr>
                <w:b/>
                <w:bCs/>
                <w:i/>
                <w:iCs/>
              </w:rPr>
              <w:t xml:space="preserve"> and</w:t>
            </w:r>
            <w:r w:rsidR="00E67EFB">
              <w:rPr>
                <w:b/>
                <w:bCs/>
                <w:i/>
                <w:iCs/>
              </w:rPr>
              <w:t xml:space="preserve"> mobile</w:t>
            </w:r>
            <w:r>
              <w:rPr>
                <w:b/>
                <w:bCs/>
                <w:i/>
                <w:iCs/>
              </w:rPr>
              <w:t xml:space="preserve"> app</w:t>
            </w:r>
            <w:r w:rsidR="00E67EFB">
              <w:rPr>
                <w:b/>
                <w:bCs/>
                <w:i/>
                <w:iCs/>
              </w:rPr>
              <w:t>lications</w:t>
            </w:r>
            <w:r w:rsidRPr="00201F3D">
              <w:rPr>
                <w:b/>
                <w:bCs/>
                <w:i/>
                <w:iCs/>
              </w:rPr>
              <w:t xml:space="preserve"> reviews</w:t>
            </w:r>
            <w:r>
              <w:rPr>
                <w:b/>
                <w:bCs/>
                <w:i/>
                <w:iCs/>
              </w:rPr>
              <w:t xml:space="preserve"> – including on </w:t>
            </w:r>
            <w:proofErr w:type="gramStart"/>
            <w:r>
              <w:rPr>
                <w:b/>
                <w:bCs/>
                <w:i/>
                <w:iCs/>
              </w:rPr>
              <w:t xml:space="preserve">accessibility </w:t>
            </w:r>
            <w:r>
              <w:t xml:space="preserve"> </w:t>
            </w:r>
            <w:r>
              <w:rPr>
                <w:b/>
                <w:bCs/>
                <w:i/>
                <w:iCs/>
              </w:rPr>
              <w:t>–</w:t>
            </w:r>
            <w:proofErr w:type="gramEnd"/>
            <w:r>
              <w:rPr>
                <w:b/>
                <w:bCs/>
                <w:i/>
                <w:iCs/>
              </w:rPr>
              <w:t xml:space="preserve"> </w:t>
            </w:r>
            <w:r>
              <w:t xml:space="preserve">inspections, interviews, verifications and examination of documents as appropriate. </w:t>
            </w:r>
            <w:r w:rsidRPr="00E67EFB">
              <w:t>They shall include both announced and unannounced activities</w:t>
            </w:r>
            <w:r w:rsidRPr="00285E4C">
              <w:rPr>
                <w:b/>
                <w:bCs/>
                <w:i/>
                <w:iCs/>
              </w:rPr>
              <w:t xml:space="preserve"> </w:t>
            </w:r>
            <w:r>
              <w:rPr>
                <w:b/>
                <w:bCs/>
                <w:i/>
                <w:iCs/>
              </w:rPr>
              <w:t>which should</w:t>
            </w:r>
            <w:r w:rsidRPr="00285E4C">
              <w:rPr>
                <w:b/>
                <w:bCs/>
                <w:i/>
                <w:iCs/>
              </w:rPr>
              <w:t xml:space="preserve"> be carried out in cooperation with persons with disabilities and their representative organisations</w:t>
            </w:r>
            <w:r>
              <w:rPr>
                <w:b/>
                <w:bCs/>
                <w:i/>
                <w:iCs/>
              </w:rPr>
              <w:t>, where relevant</w:t>
            </w:r>
            <w:r>
              <w:t xml:space="preserve">. The monitoring activities shall be proportionate to the risks identified. </w:t>
            </w:r>
          </w:p>
          <w:p w14:paraId="47B669CE" w14:textId="77777777" w:rsidR="00B415C8" w:rsidRDefault="00B415C8" w:rsidP="000C340D">
            <w:pPr>
              <w:pStyle w:val="Footer"/>
            </w:pPr>
          </w:p>
          <w:p w14:paraId="7887A009" w14:textId="0C2B3291" w:rsidR="000C340D" w:rsidRDefault="003977AD" w:rsidP="000C340D">
            <w:pPr>
              <w:pStyle w:val="Footer"/>
            </w:pPr>
            <w:r>
              <w:t>(…)</w:t>
            </w:r>
          </w:p>
          <w:p w14:paraId="0613653F" w14:textId="77777777" w:rsidR="000C340D" w:rsidRDefault="000C340D" w:rsidP="000C340D">
            <w:pPr>
              <w:pStyle w:val="Footer"/>
            </w:pPr>
          </w:p>
          <w:p w14:paraId="311FCB9F" w14:textId="77777777" w:rsidR="000C340D" w:rsidRDefault="000C340D" w:rsidP="000C340D">
            <w:pPr>
              <w:pStyle w:val="Footer"/>
            </w:pPr>
            <w:r>
              <w:t xml:space="preserve">6.    The compliance monitoring programme under paragraph 1, the risk assessment under paragraph 2 as well as their findings </w:t>
            </w:r>
            <w:r>
              <w:lastRenderedPageBreak/>
              <w:t xml:space="preserve">shall be communicated to the Commission by 30 June XXXX [2 years after the Regulation becomes applicable], and every two years thereafter. </w:t>
            </w:r>
            <w:r w:rsidRPr="006F09C8">
              <w:rPr>
                <w:b/>
                <w:bCs/>
                <w:strike/>
              </w:rPr>
              <w:t>Where applicable,</w:t>
            </w:r>
            <w:r>
              <w:t xml:space="preserve"> they shall be included in the reports referred to in Article 26.</w:t>
            </w:r>
          </w:p>
          <w:p w14:paraId="0944BED9" w14:textId="743F46BC" w:rsidR="0007607B" w:rsidRPr="00CD2FF3" w:rsidRDefault="0007607B" w:rsidP="00D537D1">
            <w:pPr>
              <w:pStyle w:val="Footer"/>
              <w:rPr>
                <w:b/>
              </w:rPr>
            </w:pPr>
          </w:p>
        </w:tc>
      </w:tr>
      <w:tr w:rsidR="0007607B" w14:paraId="6D37A4CA" w14:textId="77777777" w:rsidTr="0007607B">
        <w:tc>
          <w:tcPr>
            <w:tcW w:w="9962" w:type="dxa"/>
            <w:gridSpan w:val="2"/>
          </w:tcPr>
          <w:p w14:paraId="786601C4" w14:textId="77777777" w:rsidR="0007607B" w:rsidRDefault="0007607B" w:rsidP="00D537D1">
            <w:pPr>
              <w:pStyle w:val="Footer"/>
              <w:jc w:val="both"/>
            </w:pPr>
            <w:r>
              <w:lastRenderedPageBreak/>
              <w:t>Justification:</w:t>
            </w:r>
          </w:p>
          <w:p w14:paraId="3D3F4E40" w14:textId="77777777" w:rsidR="00B415C8" w:rsidRDefault="00B415C8" w:rsidP="00D537D1">
            <w:pPr>
              <w:pStyle w:val="Footer"/>
              <w:jc w:val="both"/>
            </w:pPr>
          </w:p>
          <w:p w14:paraId="4E473802" w14:textId="1EB62DA2" w:rsidR="00B415C8" w:rsidRDefault="00B415C8" w:rsidP="00D537D1">
            <w:pPr>
              <w:pStyle w:val="Footer"/>
              <w:jc w:val="both"/>
            </w:pPr>
            <w:r>
              <w:t xml:space="preserve">See explanation page 7. </w:t>
            </w:r>
            <w:r w:rsidR="006F09C8">
              <w:t xml:space="preserve">NEBs should always include information of their risk assessment and related activities in their biannual reports. </w:t>
            </w:r>
          </w:p>
          <w:p w14:paraId="5A042CCD" w14:textId="77777777" w:rsidR="0007607B" w:rsidRDefault="0007607B" w:rsidP="00D537D1">
            <w:pPr>
              <w:pStyle w:val="Footer"/>
              <w:jc w:val="both"/>
            </w:pPr>
          </w:p>
        </w:tc>
      </w:tr>
    </w:tbl>
    <w:p w14:paraId="69CD0B70" w14:textId="77777777" w:rsidR="003977AD" w:rsidRDefault="003977AD" w:rsidP="0007607B">
      <w:pPr>
        <w:pStyle w:val="Heading2"/>
      </w:pPr>
    </w:p>
    <w:p w14:paraId="0AB9BDF1" w14:textId="01D1D460" w:rsidR="0007607B" w:rsidRDefault="00B415C8" w:rsidP="0007607B">
      <w:pPr>
        <w:pStyle w:val="Heading2"/>
      </w:pPr>
      <w:bookmarkStart w:id="26" w:name="_Toc164171888"/>
      <w:r>
        <w:t>Amendment to Regulation (EC) 1177</w:t>
      </w:r>
      <w:r w:rsidR="00B40F4F">
        <w:t xml:space="preserve"> </w:t>
      </w:r>
      <w:r>
        <w:t>/</w:t>
      </w:r>
      <w:r w:rsidR="00B40F4F">
        <w:t xml:space="preserve"> </w:t>
      </w:r>
      <w:r>
        <w:t>2010 – Article 25c</w:t>
      </w:r>
      <w:bookmarkEnd w:id="26"/>
      <w:r>
        <w:t xml:space="preserve"> </w:t>
      </w:r>
    </w:p>
    <w:p w14:paraId="12B8710A" w14:textId="77777777" w:rsidR="0007607B" w:rsidRPr="00046E92" w:rsidRDefault="0007607B" w:rsidP="0007607B"/>
    <w:tbl>
      <w:tblPr>
        <w:tblStyle w:val="TableGrid"/>
        <w:tblW w:w="0" w:type="auto"/>
        <w:tblLook w:val="04A0" w:firstRow="1" w:lastRow="0" w:firstColumn="1" w:lastColumn="0" w:noHBand="0" w:noVBand="1"/>
      </w:tblPr>
      <w:tblGrid>
        <w:gridCol w:w="4980"/>
        <w:gridCol w:w="4982"/>
      </w:tblGrid>
      <w:tr w:rsidR="0007607B" w14:paraId="2F1C7D68" w14:textId="77777777" w:rsidTr="0007607B">
        <w:tc>
          <w:tcPr>
            <w:tcW w:w="4980" w:type="dxa"/>
          </w:tcPr>
          <w:p w14:paraId="48D53FBC" w14:textId="77777777" w:rsidR="0007607B" w:rsidRDefault="0007607B" w:rsidP="00D537D1">
            <w:pPr>
              <w:pStyle w:val="Footer"/>
              <w:jc w:val="both"/>
            </w:pPr>
            <w:r>
              <w:t>Commission proposal</w:t>
            </w:r>
          </w:p>
        </w:tc>
        <w:tc>
          <w:tcPr>
            <w:tcW w:w="4982" w:type="dxa"/>
          </w:tcPr>
          <w:p w14:paraId="37FAE47E" w14:textId="77777777" w:rsidR="0007607B" w:rsidRDefault="0007607B" w:rsidP="00D537D1">
            <w:pPr>
              <w:pStyle w:val="Footer"/>
              <w:jc w:val="both"/>
            </w:pPr>
            <w:r>
              <w:t>EDF amendments</w:t>
            </w:r>
          </w:p>
        </w:tc>
      </w:tr>
      <w:tr w:rsidR="0007607B" w14:paraId="117866BE" w14:textId="77777777" w:rsidTr="0007607B">
        <w:tc>
          <w:tcPr>
            <w:tcW w:w="4980" w:type="dxa"/>
          </w:tcPr>
          <w:p w14:paraId="42A0BA3C" w14:textId="77777777" w:rsidR="00B415C8" w:rsidRDefault="00B415C8" w:rsidP="00B415C8">
            <w:pPr>
              <w:pStyle w:val="Footer"/>
            </w:pPr>
            <w:r>
              <w:t>Information about alternative dispute resolution by national enforcement bodies</w:t>
            </w:r>
          </w:p>
          <w:p w14:paraId="2B156E22" w14:textId="77777777" w:rsidR="00B415C8" w:rsidRDefault="00B415C8" w:rsidP="00B415C8">
            <w:pPr>
              <w:pStyle w:val="Footer"/>
            </w:pPr>
          </w:p>
          <w:p w14:paraId="7303CB21" w14:textId="702EDC20" w:rsidR="0007607B" w:rsidRDefault="00B415C8" w:rsidP="00B415C8">
            <w:pPr>
              <w:pStyle w:val="Footer"/>
            </w:pPr>
            <w:r>
              <w:t>The national enforcement body to which the passenger complains, or any other body designated by a Member State for that purpose under Article 25(3), shall inform the complainant about his or her right to approach alternative dispute resolution bodies to seek individual redress.’</w:t>
            </w:r>
          </w:p>
          <w:p w14:paraId="7394B4B6" w14:textId="77777777" w:rsidR="0007607B" w:rsidRDefault="0007607B" w:rsidP="00D537D1">
            <w:pPr>
              <w:pStyle w:val="Footer"/>
            </w:pPr>
          </w:p>
        </w:tc>
        <w:tc>
          <w:tcPr>
            <w:tcW w:w="4982" w:type="dxa"/>
          </w:tcPr>
          <w:p w14:paraId="196D20E3" w14:textId="3D80D0BA" w:rsidR="00B415C8" w:rsidRDefault="00B415C8" w:rsidP="00B415C8">
            <w:pPr>
              <w:pStyle w:val="Footer"/>
            </w:pPr>
            <w:r>
              <w:t xml:space="preserve">Information about alternative dispute resolution </w:t>
            </w:r>
            <w:r w:rsidRPr="00B415C8">
              <w:rPr>
                <w:b/>
                <w:bCs/>
                <w:i/>
                <w:iCs/>
              </w:rPr>
              <w:t>and other redress mechanisms by</w:t>
            </w:r>
            <w:r>
              <w:t xml:space="preserve"> national enforcement bodies</w:t>
            </w:r>
          </w:p>
          <w:p w14:paraId="0A935A44" w14:textId="77777777" w:rsidR="00B415C8" w:rsidRDefault="00B415C8" w:rsidP="00B415C8">
            <w:pPr>
              <w:pStyle w:val="Footer"/>
            </w:pPr>
          </w:p>
          <w:p w14:paraId="51FAA636" w14:textId="5B00C3C6" w:rsidR="00B415C8" w:rsidRDefault="00B415C8" w:rsidP="00B415C8">
            <w:pPr>
              <w:pStyle w:val="Footer"/>
            </w:pPr>
            <w:r>
              <w:t xml:space="preserve">The national enforcement body to which the passenger complains, or any other body designated by a Member State for that purpose under Article 25(3), shall inform the complainant about his or her right to approach alternative dispute resolution bodies </w:t>
            </w:r>
            <w:r>
              <w:rPr>
                <w:b/>
                <w:bCs/>
                <w:i/>
                <w:iCs/>
              </w:rPr>
              <w:t xml:space="preserve">or other relevant redress mechanisms </w:t>
            </w:r>
            <w:r>
              <w:t>to seek individual redress.’</w:t>
            </w:r>
          </w:p>
          <w:p w14:paraId="43E70A06" w14:textId="17C758B6" w:rsidR="0007607B" w:rsidRPr="00CD2FF3" w:rsidRDefault="0007607B" w:rsidP="00D537D1">
            <w:pPr>
              <w:pStyle w:val="Footer"/>
              <w:rPr>
                <w:b/>
              </w:rPr>
            </w:pPr>
          </w:p>
        </w:tc>
      </w:tr>
      <w:tr w:rsidR="0007607B" w14:paraId="2FC15807" w14:textId="77777777" w:rsidTr="0007607B">
        <w:tc>
          <w:tcPr>
            <w:tcW w:w="9962" w:type="dxa"/>
            <w:gridSpan w:val="2"/>
          </w:tcPr>
          <w:p w14:paraId="530A4357" w14:textId="77777777" w:rsidR="0007607B" w:rsidRDefault="0007607B" w:rsidP="00D537D1">
            <w:pPr>
              <w:pStyle w:val="Footer"/>
              <w:jc w:val="both"/>
            </w:pPr>
            <w:r w:rsidRPr="003B5839">
              <w:rPr>
                <w:b/>
                <w:bCs/>
              </w:rPr>
              <w:t>Justification</w:t>
            </w:r>
            <w:r>
              <w:t>:</w:t>
            </w:r>
          </w:p>
          <w:p w14:paraId="675A088D" w14:textId="77777777" w:rsidR="003B5839" w:rsidRDefault="003B5839" w:rsidP="00D537D1">
            <w:pPr>
              <w:pStyle w:val="Footer"/>
              <w:jc w:val="both"/>
            </w:pPr>
          </w:p>
          <w:p w14:paraId="1001CA7A" w14:textId="43CD0022" w:rsidR="0007607B" w:rsidRDefault="003B5839" w:rsidP="003B5839">
            <w:pPr>
              <w:pStyle w:val="Footer"/>
              <w:jc w:val="both"/>
            </w:pPr>
            <w:r>
              <w:t xml:space="preserve">Beyond National Enforcement Bodies and Alternative Dispute Resolution Bodies (ADRs), passenger bodies whose rights have been infringed can seek redress through other venues, including National Equality Bodies. </w:t>
            </w:r>
          </w:p>
        </w:tc>
      </w:tr>
    </w:tbl>
    <w:p w14:paraId="4B2B46C1" w14:textId="77777777" w:rsidR="00B25005" w:rsidRDefault="00B25005" w:rsidP="00B25005"/>
    <w:p w14:paraId="1F1DEE4C" w14:textId="4CC40763" w:rsidR="00B25005" w:rsidRDefault="00B25005" w:rsidP="00B25005">
      <w:pPr>
        <w:pStyle w:val="Heading2"/>
      </w:pPr>
      <w:bookmarkStart w:id="27" w:name="_Toc164171889"/>
      <w:r>
        <w:t xml:space="preserve">Amendment to Regulation (EC) 1177 / 2010 </w:t>
      </w:r>
      <w:r>
        <w:softHyphen/>
        <w:t>– Article 27a</w:t>
      </w:r>
      <w:bookmarkEnd w:id="27"/>
    </w:p>
    <w:p w14:paraId="5A4BAE0D" w14:textId="77777777" w:rsidR="00B25005" w:rsidRPr="00046E92" w:rsidRDefault="00B25005" w:rsidP="00B25005"/>
    <w:tbl>
      <w:tblPr>
        <w:tblStyle w:val="TableGrid"/>
        <w:tblW w:w="0" w:type="auto"/>
        <w:tblLook w:val="04A0" w:firstRow="1" w:lastRow="0" w:firstColumn="1" w:lastColumn="0" w:noHBand="0" w:noVBand="1"/>
      </w:tblPr>
      <w:tblGrid>
        <w:gridCol w:w="4980"/>
        <w:gridCol w:w="4982"/>
      </w:tblGrid>
      <w:tr w:rsidR="00B25005" w14:paraId="1C2C0640" w14:textId="77777777" w:rsidTr="00D87B68">
        <w:tc>
          <w:tcPr>
            <w:tcW w:w="4980" w:type="dxa"/>
          </w:tcPr>
          <w:p w14:paraId="24611DC3" w14:textId="77777777" w:rsidR="00B25005" w:rsidRDefault="00B25005" w:rsidP="00D87B68">
            <w:pPr>
              <w:pStyle w:val="Footer"/>
              <w:jc w:val="both"/>
            </w:pPr>
            <w:r>
              <w:t>Commission proposal</w:t>
            </w:r>
          </w:p>
        </w:tc>
        <w:tc>
          <w:tcPr>
            <w:tcW w:w="4982" w:type="dxa"/>
          </w:tcPr>
          <w:p w14:paraId="3CBF910A" w14:textId="77777777" w:rsidR="00B25005" w:rsidRDefault="00B25005" w:rsidP="00D87B68">
            <w:pPr>
              <w:pStyle w:val="Footer"/>
              <w:jc w:val="both"/>
            </w:pPr>
            <w:r>
              <w:t>EDF amendments</w:t>
            </w:r>
          </w:p>
        </w:tc>
      </w:tr>
      <w:tr w:rsidR="00B25005" w14:paraId="2B49277D" w14:textId="77777777" w:rsidTr="00D87B68">
        <w:tc>
          <w:tcPr>
            <w:tcW w:w="4980" w:type="dxa"/>
          </w:tcPr>
          <w:p w14:paraId="543D3955" w14:textId="77777777" w:rsidR="00B25005" w:rsidRDefault="00B25005" w:rsidP="00B25005">
            <w:pPr>
              <w:pStyle w:val="Footer"/>
            </w:pPr>
            <w:r>
              <w:t>Cooperation between Member States and the Commission</w:t>
            </w:r>
          </w:p>
          <w:p w14:paraId="4BCD639F" w14:textId="77777777" w:rsidR="00B25005" w:rsidRDefault="00B25005" w:rsidP="00B25005">
            <w:pPr>
              <w:pStyle w:val="Footer"/>
            </w:pPr>
          </w:p>
          <w:p w14:paraId="0CEA064F" w14:textId="3E5AF558" w:rsidR="00B25005" w:rsidRDefault="00B25005" w:rsidP="00B25005">
            <w:pPr>
              <w:pStyle w:val="Footer"/>
            </w:pPr>
          </w:p>
        </w:tc>
        <w:tc>
          <w:tcPr>
            <w:tcW w:w="4982" w:type="dxa"/>
          </w:tcPr>
          <w:p w14:paraId="65EE33E3" w14:textId="77777777" w:rsidR="00B25005" w:rsidRDefault="00B25005" w:rsidP="00B25005">
            <w:pPr>
              <w:pStyle w:val="Footer"/>
            </w:pPr>
            <w:r>
              <w:lastRenderedPageBreak/>
              <w:t>Cooperation between Member States and the Commission</w:t>
            </w:r>
          </w:p>
          <w:p w14:paraId="357479E3" w14:textId="07A05796" w:rsidR="00B25005" w:rsidRDefault="00B25005" w:rsidP="00B25005">
            <w:pPr>
              <w:pStyle w:val="Footer"/>
            </w:pPr>
          </w:p>
          <w:p w14:paraId="76C39862" w14:textId="4373A982" w:rsidR="003977AD" w:rsidRDefault="003977AD" w:rsidP="00B25005">
            <w:pPr>
              <w:pStyle w:val="Footer"/>
            </w:pPr>
            <w:r>
              <w:t>(…)</w:t>
            </w:r>
          </w:p>
          <w:p w14:paraId="3F5AF3F6" w14:textId="77777777" w:rsidR="00B25005" w:rsidRDefault="00B25005" w:rsidP="00B25005">
            <w:pPr>
              <w:pStyle w:val="Footer"/>
              <w:rPr>
                <w:b/>
                <w:bCs/>
                <w:i/>
                <w:iCs/>
              </w:rPr>
            </w:pPr>
          </w:p>
          <w:p w14:paraId="5074D793" w14:textId="1C63AF52" w:rsidR="00B25005" w:rsidRDefault="00B25005" w:rsidP="00D87B68">
            <w:pPr>
              <w:pStyle w:val="Footer"/>
            </w:pPr>
            <w:r w:rsidRPr="00CE2426">
              <w:rPr>
                <w:b/>
                <w:bCs/>
              </w:rPr>
              <w:t>(</w:t>
            </w:r>
            <w:r w:rsidRPr="00CE2426">
              <w:rPr>
                <w:b/>
                <w:bCs/>
                <w:i/>
                <w:iCs/>
              </w:rPr>
              <w:t xml:space="preserve">3 new) By 1 June XXXX [2 years after the Regulation becomes applicable] and every 2 years thereafter the Commission will publish a report that presents in a clear, easy-to-use, comparable and accessible manner </w:t>
            </w:r>
            <w:r w:rsidR="00D737D7" w:rsidRPr="00CE2426">
              <w:rPr>
                <w:b/>
                <w:bCs/>
                <w:i/>
                <w:iCs/>
              </w:rPr>
              <w:t xml:space="preserve">all the data </w:t>
            </w:r>
            <w:r w:rsidR="00D737D7">
              <w:rPr>
                <w:b/>
                <w:bCs/>
                <w:i/>
                <w:iCs/>
              </w:rPr>
              <w:t xml:space="preserve">on complaint handling and assistance </w:t>
            </w:r>
            <w:r w:rsidR="00D737D7" w:rsidRPr="00CE2426">
              <w:rPr>
                <w:b/>
                <w:bCs/>
                <w:i/>
                <w:iCs/>
              </w:rPr>
              <w:t xml:space="preserve">provided </w:t>
            </w:r>
            <w:r w:rsidR="00D737D7">
              <w:rPr>
                <w:b/>
                <w:bCs/>
                <w:i/>
                <w:iCs/>
              </w:rPr>
              <w:t xml:space="preserve">to persons with disabilities and reduced mobility </w:t>
            </w:r>
            <w:r w:rsidRPr="00CE2426">
              <w:rPr>
                <w:b/>
                <w:bCs/>
                <w:i/>
                <w:iCs/>
              </w:rPr>
              <w:t xml:space="preserve">provided by carriers and infrastructure managers </w:t>
            </w:r>
            <w:r>
              <w:rPr>
                <w:b/>
                <w:bCs/>
                <w:i/>
                <w:iCs/>
              </w:rPr>
              <w:t>in the service quality standards performance reports referred in</w:t>
            </w:r>
            <w:r w:rsidRPr="00CE2426">
              <w:rPr>
                <w:b/>
                <w:bCs/>
                <w:i/>
                <w:iCs/>
              </w:rPr>
              <w:t xml:space="preserve"> Article </w:t>
            </w:r>
            <w:r>
              <w:rPr>
                <w:b/>
                <w:bCs/>
                <w:i/>
                <w:iCs/>
              </w:rPr>
              <w:t>24a</w:t>
            </w:r>
            <w:r w:rsidRPr="00CE2426">
              <w:rPr>
                <w:b/>
                <w:bCs/>
                <w:i/>
                <w:iCs/>
              </w:rPr>
              <w:t xml:space="preserve"> of this Regulation.</w:t>
            </w:r>
            <w:r>
              <w:t xml:space="preserve"> </w:t>
            </w:r>
          </w:p>
          <w:p w14:paraId="3AD227AF" w14:textId="77777777" w:rsidR="00B25005" w:rsidRPr="009017C3" w:rsidRDefault="00B25005" w:rsidP="00D87B68">
            <w:pPr>
              <w:pStyle w:val="Footer"/>
              <w:rPr>
                <w:b/>
                <w:bCs/>
                <w:i/>
                <w:iCs/>
              </w:rPr>
            </w:pPr>
          </w:p>
        </w:tc>
      </w:tr>
      <w:tr w:rsidR="00B25005" w14:paraId="753B7A52" w14:textId="77777777" w:rsidTr="00D87B68">
        <w:tc>
          <w:tcPr>
            <w:tcW w:w="9962" w:type="dxa"/>
            <w:gridSpan w:val="2"/>
          </w:tcPr>
          <w:p w14:paraId="307CA1C1" w14:textId="77777777" w:rsidR="00B25005" w:rsidRDefault="00B25005" w:rsidP="00D87B68">
            <w:pPr>
              <w:pStyle w:val="Footer"/>
              <w:jc w:val="both"/>
              <w:rPr>
                <w:b/>
                <w:bCs/>
              </w:rPr>
            </w:pPr>
            <w:r w:rsidRPr="002A73D1">
              <w:rPr>
                <w:b/>
                <w:bCs/>
              </w:rPr>
              <w:lastRenderedPageBreak/>
              <w:t>Justification:</w:t>
            </w:r>
          </w:p>
          <w:p w14:paraId="38563D8F" w14:textId="77777777" w:rsidR="00B25005" w:rsidRDefault="00B25005" w:rsidP="00D87B68">
            <w:pPr>
              <w:pStyle w:val="Footer"/>
              <w:jc w:val="both"/>
              <w:rPr>
                <w:b/>
                <w:bCs/>
              </w:rPr>
            </w:pPr>
          </w:p>
          <w:p w14:paraId="5F84659F" w14:textId="51FB913A" w:rsidR="00B25005" w:rsidRDefault="00B25005" w:rsidP="00D87B68">
            <w:pPr>
              <w:pStyle w:val="Footer"/>
              <w:jc w:val="both"/>
            </w:pPr>
            <w:r>
              <w:t xml:space="preserve">See justification Amendment Page 12.  </w:t>
            </w:r>
          </w:p>
        </w:tc>
      </w:tr>
    </w:tbl>
    <w:p w14:paraId="21E66784" w14:textId="77777777" w:rsidR="00B25005" w:rsidRDefault="00B25005" w:rsidP="00B25005"/>
    <w:p w14:paraId="275AD6BE" w14:textId="0ABD7962" w:rsidR="0007607B" w:rsidRDefault="007103A4" w:rsidP="0007607B">
      <w:pPr>
        <w:pStyle w:val="Heading2"/>
      </w:pPr>
      <w:bookmarkStart w:id="28" w:name="_Toc164171890"/>
      <w:r>
        <w:t>Amendment to Regulation (EU) 181 / 2011 – Article 19a</w:t>
      </w:r>
      <w:bookmarkEnd w:id="28"/>
    </w:p>
    <w:p w14:paraId="62ECF476" w14:textId="77777777" w:rsidR="0007607B" w:rsidRPr="00046E92" w:rsidRDefault="0007607B" w:rsidP="0007607B"/>
    <w:tbl>
      <w:tblPr>
        <w:tblStyle w:val="TableGrid"/>
        <w:tblW w:w="0" w:type="auto"/>
        <w:tblLook w:val="04A0" w:firstRow="1" w:lastRow="0" w:firstColumn="1" w:lastColumn="0" w:noHBand="0" w:noVBand="1"/>
      </w:tblPr>
      <w:tblGrid>
        <w:gridCol w:w="4980"/>
        <w:gridCol w:w="4982"/>
      </w:tblGrid>
      <w:tr w:rsidR="0007607B" w14:paraId="5A277B11" w14:textId="77777777" w:rsidTr="00BD3E53">
        <w:tc>
          <w:tcPr>
            <w:tcW w:w="4980" w:type="dxa"/>
          </w:tcPr>
          <w:p w14:paraId="376B50F9" w14:textId="77777777" w:rsidR="0007607B" w:rsidRDefault="0007607B" w:rsidP="00D537D1">
            <w:pPr>
              <w:pStyle w:val="Footer"/>
              <w:jc w:val="both"/>
            </w:pPr>
            <w:r>
              <w:t>Commission proposal</w:t>
            </w:r>
          </w:p>
        </w:tc>
        <w:tc>
          <w:tcPr>
            <w:tcW w:w="4982" w:type="dxa"/>
          </w:tcPr>
          <w:p w14:paraId="2B0E2ED5" w14:textId="77777777" w:rsidR="0007607B" w:rsidRDefault="0007607B" w:rsidP="00D537D1">
            <w:pPr>
              <w:pStyle w:val="Footer"/>
              <w:jc w:val="both"/>
            </w:pPr>
            <w:r>
              <w:t>EDF amendments</w:t>
            </w:r>
          </w:p>
        </w:tc>
      </w:tr>
      <w:tr w:rsidR="0007607B" w14:paraId="39AF61C7" w14:textId="77777777" w:rsidTr="00BD3E53">
        <w:tc>
          <w:tcPr>
            <w:tcW w:w="4980" w:type="dxa"/>
          </w:tcPr>
          <w:p w14:paraId="37A92546" w14:textId="77777777" w:rsidR="0007607B" w:rsidRDefault="0007607B" w:rsidP="00D537D1">
            <w:pPr>
              <w:pStyle w:val="Footer"/>
            </w:pPr>
          </w:p>
          <w:p w14:paraId="495B1B52" w14:textId="77777777" w:rsidR="007103A4" w:rsidRDefault="007103A4" w:rsidP="007103A4">
            <w:pPr>
              <w:pStyle w:val="Footer"/>
            </w:pPr>
            <w:r>
              <w:t>Common form for reimbursement and compensation requests</w:t>
            </w:r>
          </w:p>
          <w:p w14:paraId="4733F181" w14:textId="77777777" w:rsidR="007103A4" w:rsidRDefault="007103A4" w:rsidP="007103A4">
            <w:pPr>
              <w:pStyle w:val="Footer"/>
            </w:pPr>
          </w:p>
          <w:p w14:paraId="6F07D00F" w14:textId="7B11E475" w:rsidR="0007607B" w:rsidRDefault="007103A4" w:rsidP="007103A4">
            <w:pPr>
              <w:pStyle w:val="Footer"/>
            </w:pPr>
            <w:r>
              <w:t xml:space="preserve">1.    The Commission shall adopt an implementing act establishing a common form for reimbursement and compensation requests under Article 19 of this Regulation. That common form shall be established in a format which is accessible to persons with disabilities and persons with reduced mobility. That implementing act shall be adopted in accordance with the examination procedure referred to in Article 38 (2) of Regulation (EU) 2021/782 </w:t>
            </w:r>
          </w:p>
        </w:tc>
        <w:tc>
          <w:tcPr>
            <w:tcW w:w="4982" w:type="dxa"/>
          </w:tcPr>
          <w:p w14:paraId="19C5C34B" w14:textId="77777777" w:rsidR="0007607B" w:rsidRDefault="0007607B" w:rsidP="00D537D1">
            <w:pPr>
              <w:pStyle w:val="Footer"/>
            </w:pPr>
          </w:p>
          <w:p w14:paraId="2FE5BFE8" w14:textId="77777777" w:rsidR="007103A4" w:rsidRDefault="0007607B" w:rsidP="007103A4">
            <w:pPr>
              <w:pStyle w:val="Footer"/>
            </w:pPr>
            <w:r>
              <w:t xml:space="preserve"> </w:t>
            </w:r>
            <w:r w:rsidR="007103A4">
              <w:t>Common form for reimbursement and compensation requests</w:t>
            </w:r>
          </w:p>
          <w:p w14:paraId="1BFFEF37" w14:textId="77777777" w:rsidR="007103A4" w:rsidRDefault="007103A4" w:rsidP="007103A4">
            <w:pPr>
              <w:pStyle w:val="Footer"/>
            </w:pPr>
          </w:p>
          <w:p w14:paraId="52E1C0D4" w14:textId="54C94C10" w:rsidR="0007607B" w:rsidRPr="00CD2FF3" w:rsidRDefault="007103A4" w:rsidP="007103A4">
            <w:pPr>
              <w:pStyle w:val="Footer"/>
              <w:rPr>
                <w:b/>
              </w:rPr>
            </w:pPr>
            <w:r>
              <w:t xml:space="preserve">1.    The Commission shall adopt an implementing act establishing a common form for reimbursement and compensation requests under Article 19 of this Regulation. That common form shall be established in a format which is accessible to persons with disabilities and persons with reduced mobility </w:t>
            </w:r>
            <w:r>
              <w:rPr>
                <w:b/>
                <w:bCs/>
                <w:i/>
                <w:iCs/>
              </w:rPr>
              <w:t>in accordance with the accessibility requirements set out in Annex I of Directive 2019/882</w:t>
            </w:r>
            <w:r>
              <w:t>. That implementing act shall be adopted in accordance with the examination procedure referred to in Article 38 (2) of Regulation (EU) 2021/782</w:t>
            </w:r>
          </w:p>
        </w:tc>
      </w:tr>
      <w:tr w:rsidR="0007607B" w14:paraId="1B0BABF6" w14:textId="77777777" w:rsidTr="00BD3E53">
        <w:tc>
          <w:tcPr>
            <w:tcW w:w="9962" w:type="dxa"/>
            <w:gridSpan w:val="2"/>
          </w:tcPr>
          <w:p w14:paraId="1846E431" w14:textId="77777777" w:rsidR="0007607B" w:rsidRPr="007103A4" w:rsidRDefault="0007607B" w:rsidP="00D537D1">
            <w:pPr>
              <w:pStyle w:val="Footer"/>
              <w:jc w:val="both"/>
              <w:rPr>
                <w:b/>
                <w:bCs/>
              </w:rPr>
            </w:pPr>
            <w:r w:rsidRPr="007103A4">
              <w:rPr>
                <w:b/>
                <w:bCs/>
              </w:rPr>
              <w:lastRenderedPageBreak/>
              <w:t>Justification:</w:t>
            </w:r>
          </w:p>
          <w:p w14:paraId="6CA7AD4E" w14:textId="77777777" w:rsidR="007103A4" w:rsidRDefault="007103A4" w:rsidP="00D537D1">
            <w:pPr>
              <w:pStyle w:val="Footer"/>
              <w:jc w:val="both"/>
            </w:pPr>
          </w:p>
          <w:p w14:paraId="72ACD78E" w14:textId="548D6FB0" w:rsidR="0007607B" w:rsidRDefault="007103A4" w:rsidP="00D537D1">
            <w:pPr>
              <w:pStyle w:val="Footer"/>
              <w:jc w:val="both"/>
            </w:pPr>
            <w:r>
              <w:t>See explanation for same amendment in page 11</w:t>
            </w:r>
            <w:r w:rsidR="00105349">
              <w:t xml:space="preserve">. </w:t>
            </w:r>
          </w:p>
          <w:p w14:paraId="6BD665C8" w14:textId="77777777" w:rsidR="0007607B" w:rsidRDefault="0007607B" w:rsidP="00D537D1">
            <w:pPr>
              <w:pStyle w:val="Footer"/>
              <w:jc w:val="both"/>
            </w:pPr>
          </w:p>
        </w:tc>
      </w:tr>
    </w:tbl>
    <w:p w14:paraId="7D7D077B" w14:textId="5102946B" w:rsidR="00BD3E53" w:rsidRDefault="007103A4" w:rsidP="00BD3E53">
      <w:pPr>
        <w:pStyle w:val="Heading2"/>
      </w:pPr>
      <w:bookmarkStart w:id="29" w:name="_Toc164171891"/>
      <w:r>
        <w:t>Amendment to Regulation (EU) 181 / 2011 – Article 20</w:t>
      </w:r>
      <w:bookmarkEnd w:id="29"/>
    </w:p>
    <w:p w14:paraId="4094E402" w14:textId="77777777" w:rsidR="00BD3E53" w:rsidRPr="00046E92" w:rsidRDefault="00BD3E53" w:rsidP="00BD3E53"/>
    <w:tbl>
      <w:tblPr>
        <w:tblStyle w:val="TableGrid"/>
        <w:tblW w:w="0" w:type="auto"/>
        <w:tblLook w:val="04A0" w:firstRow="1" w:lastRow="0" w:firstColumn="1" w:lastColumn="0" w:noHBand="0" w:noVBand="1"/>
      </w:tblPr>
      <w:tblGrid>
        <w:gridCol w:w="4980"/>
        <w:gridCol w:w="4982"/>
      </w:tblGrid>
      <w:tr w:rsidR="00BD3E53" w14:paraId="41A363B8" w14:textId="77777777" w:rsidTr="00BD3E53">
        <w:tc>
          <w:tcPr>
            <w:tcW w:w="4980" w:type="dxa"/>
          </w:tcPr>
          <w:p w14:paraId="2AFBF0FA" w14:textId="77777777" w:rsidR="00BD3E53" w:rsidRDefault="00BD3E53" w:rsidP="00C15811">
            <w:pPr>
              <w:pStyle w:val="Footer"/>
              <w:jc w:val="both"/>
            </w:pPr>
            <w:r>
              <w:t>Commission proposal</w:t>
            </w:r>
          </w:p>
        </w:tc>
        <w:tc>
          <w:tcPr>
            <w:tcW w:w="4982" w:type="dxa"/>
          </w:tcPr>
          <w:p w14:paraId="1E586EE7" w14:textId="77777777" w:rsidR="00BD3E53" w:rsidRDefault="00BD3E53" w:rsidP="00C15811">
            <w:pPr>
              <w:pStyle w:val="Footer"/>
              <w:jc w:val="both"/>
            </w:pPr>
            <w:r>
              <w:t>EDF amendments</w:t>
            </w:r>
          </w:p>
        </w:tc>
      </w:tr>
      <w:tr w:rsidR="007103A4" w14:paraId="1C9DC3E3" w14:textId="77777777" w:rsidTr="00BD3E53">
        <w:tc>
          <w:tcPr>
            <w:tcW w:w="4980" w:type="dxa"/>
          </w:tcPr>
          <w:p w14:paraId="34354E7B" w14:textId="77777777" w:rsidR="007103A4" w:rsidRDefault="007103A4" w:rsidP="007103A4">
            <w:pPr>
              <w:pStyle w:val="Footer"/>
            </w:pPr>
          </w:p>
          <w:p w14:paraId="677A4D50" w14:textId="77777777" w:rsidR="007103A4" w:rsidRDefault="007103A4" w:rsidP="007103A4">
            <w:pPr>
              <w:pStyle w:val="Footer"/>
            </w:pPr>
            <w:r>
              <w:t>Article 20 is amended as follows:</w:t>
            </w:r>
          </w:p>
          <w:p w14:paraId="59F4DFB6" w14:textId="77777777" w:rsidR="007103A4" w:rsidRDefault="007103A4" w:rsidP="007103A4">
            <w:pPr>
              <w:pStyle w:val="Footer"/>
            </w:pPr>
          </w:p>
          <w:p w14:paraId="2237274E" w14:textId="77777777" w:rsidR="007103A4" w:rsidRDefault="007103A4" w:rsidP="007103A4">
            <w:pPr>
              <w:pStyle w:val="Footer"/>
            </w:pPr>
            <w:r>
              <w:t>(a)paragraph 1 is replaced by the following:</w:t>
            </w:r>
          </w:p>
          <w:p w14:paraId="38EB9B2D" w14:textId="77777777" w:rsidR="007103A4" w:rsidRDefault="007103A4" w:rsidP="007103A4">
            <w:pPr>
              <w:pStyle w:val="Footer"/>
            </w:pPr>
          </w:p>
          <w:p w14:paraId="41ACDDE5" w14:textId="77777777" w:rsidR="007103A4" w:rsidRDefault="007103A4" w:rsidP="007103A4">
            <w:pPr>
              <w:pStyle w:val="Footer"/>
            </w:pPr>
            <w:r>
              <w:t>‘1. In the event of cancellation or delay in departure of a regular service, passengers departing from terminals shall be informed by the carrier or, where appropriate, the terminal managing body, of the situation and of their passenger rights under this Regulation as soon as possible and in any event no later than 30 minutes after the scheduled departure time, and of the estimated departure time as soon as this information is available.</w:t>
            </w:r>
            <w:proofErr w:type="gramStart"/>
            <w:r>
              <w:t>’;</w:t>
            </w:r>
            <w:proofErr w:type="gramEnd"/>
          </w:p>
          <w:p w14:paraId="1FC97E26" w14:textId="77777777" w:rsidR="007103A4" w:rsidRDefault="007103A4" w:rsidP="007103A4">
            <w:pPr>
              <w:pStyle w:val="Footer"/>
            </w:pPr>
          </w:p>
          <w:p w14:paraId="0FF9371F" w14:textId="77777777" w:rsidR="007103A4" w:rsidRDefault="007103A4" w:rsidP="007103A4">
            <w:pPr>
              <w:pStyle w:val="Footer"/>
            </w:pPr>
            <w:r>
              <w:t>(b)paragraph 4 is replaced by the following:</w:t>
            </w:r>
          </w:p>
          <w:p w14:paraId="66C46664" w14:textId="77777777" w:rsidR="007103A4" w:rsidRDefault="007103A4" w:rsidP="007103A4">
            <w:pPr>
              <w:pStyle w:val="Footer"/>
            </w:pPr>
          </w:p>
          <w:p w14:paraId="7C1086D8" w14:textId="17990B22" w:rsidR="007103A4" w:rsidRDefault="007103A4" w:rsidP="007103A4">
            <w:pPr>
              <w:pStyle w:val="Footer"/>
            </w:pPr>
            <w:r>
              <w:t>‘4. The information required under paragraphs 1 and 2 shall also be provided by electronic means to all passengers, including those departing from bus stops, within the time-limit provided in paragraph 1, if the passenger has agreed to it and has provided the necessary contact details to the carrier or, where appropriate, to the terminal managing body, when purchasing the ticket.’;</w:t>
            </w:r>
          </w:p>
        </w:tc>
        <w:tc>
          <w:tcPr>
            <w:tcW w:w="4982" w:type="dxa"/>
          </w:tcPr>
          <w:p w14:paraId="7D47ED8F" w14:textId="77777777" w:rsidR="007103A4" w:rsidRDefault="007103A4" w:rsidP="007103A4">
            <w:pPr>
              <w:pStyle w:val="Footer"/>
            </w:pPr>
          </w:p>
          <w:p w14:paraId="4B7194F0" w14:textId="77777777" w:rsidR="007103A4" w:rsidRDefault="007103A4" w:rsidP="007103A4">
            <w:pPr>
              <w:pStyle w:val="Footer"/>
            </w:pPr>
            <w:r>
              <w:t>Article 20 is amended as follows:</w:t>
            </w:r>
          </w:p>
          <w:p w14:paraId="5F6B9D1E" w14:textId="77777777" w:rsidR="007103A4" w:rsidRDefault="007103A4" w:rsidP="007103A4">
            <w:pPr>
              <w:pStyle w:val="Footer"/>
            </w:pPr>
          </w:p>
          <w:p w14:paraId="3E77713F" w14:textId="77777777" w:rsidR="007103A4" w:rsidRDefault="007103A4" w:rsidP="007103A4">
            <w:pPr>
              <w:pStyle w:val="Footer"/>
            </w:pPr>
            <w:r>
              <w:t>(a)paragraph 1 is replaced by the following:</w:t>
            </w:r>
          </w:p>
          <w:p w14:paraId="07406691" w14:textId="77777777" w:rsidR="007103A4" w:rsidRDefault="007103A4" w:rsidP="007103A4">
            <w:pPr>
              <w:pStyle w:val="Footer"/>
            </w:pPr>
          </w:p>
          <w:p w14:paraId="4CAB72A3" w14:textId="77777777" w:rsidR="007103A4" w:rsidRDefault="007103A4" w:rsidP="007103A4">
            <w:pPr>
              <w:pStyle w:val="Footer"/>
            </w:pPr>
            <w:r>
              <w:t>‘1. In the event of cancellation or delay in departure of a regular service, passengers departing from terminals shall be informed by the carrier or, where appropriate, the terminal managing body, of the situation and of their passenger rights under this Regulation as soon as possible and in any event no later than 30 minutes after the scheduled departure time, and of the estimated departure time as soon as this information is available.</w:t>
            </w:r>
            <w:proofErr w:type="gramStart"/>
            <w:r>
              <w:t>’;</w:t>
            </w:r>
            <w:proofErr w:type="gramEnd"/>
          </w:p>
          <w:p w14:paraId="02698471" w14:textId="77777777" w:rsidR="007103A4" w:rsidRDefault="007103A4" w:rsidP="007103A4">
            <w:pPr>
              <w:pStyle w:val="Footer"/>
            </w:pPr>
          </w:p>
          <w:p w14:paraId="231DC0A2" w14:textId="4E20D706" w:rsidR="007103A4" w:rsidRPr="000024C6" w:rsidRDefault="007103A4" w:rsidP="007103A4">
            <w:pPr>
              <w:pStyle w:val="Footer"/>
              <w:rPr>
                <w:b/>
                <w:bCs/>
                <w:i/>
                <w:iCs/>
              </w:rPr>
            </w:pPr>
            <w:r w:rsidRPr="000024C6">
              <w:rPr>
                <w:b/>
                <w:bCs/>
              </w:rPr>
              <w:t>(</w:t>
            </w:r>
            <w:r w:rsidRPr="000024C6">
              <w:rPr>
                <w:b/>
                <w:bCs/>
                <w:i/>
                <w:iCs/>
              </w:rPr>
              <w:t xml:space="preserve">a new) </w:t>
            </w:r>
            <w:r w:rsidR="000024C6" w:rsidRPr="000024C6">
              <w:rPr>
                <w:b/>
                <w:bCs/>
                <w:i/>
                <w:iCs/>
              </w:rPr>
              <w:t xml:space="preserve">paragraph 3 is replaced by the following </w:t>
            </w:r>
          </w:p>
          <w:p w14:paraId="78A00587" w14:textId="77777777" w:rsidR="000024C6" w:rsidRPr="000024C6" w:rsidRDefault="000024C6" w:rsidP="007103A4">
            <w:pPr>
              <w:pStyle w:val="Footer"/>
              <w:rPr>
                <w:b/>
                <w:bCs/>
                <w:i/>
                <w:iCs/>
              </w:rPr>
            </w:pPr>
          </w:p>
          <w:p w14:paraId="7A4532F0" w14:textId="1C554A61" w:rsidR="000024C6" w:rsidRPr="000024C6" w:rsidRDefault="000024C6" w:rsidP="007103A4">
            <w:pPr>
              <w:pStyle w:val="Footer"/>
              <w:rPr>
                <w:b/>
                <w:bCs/>
                <w:i/>
                <w:iCs/>
              </w:rPr>
            </w:pPr>
            <w:r w:rsidRPr="000024C6">
              <w:rPr>
                <w:b/>
                <w:bCs/>
                <w:i/>
                <w:iCs/>
              </w:rPr>
              <w:t xml:space="preserve">The carrier or, where appropriate, the terminal managing body, shall ensure that disabled persons and persons with reduced mobility receive the information required under paragraphs 1 and 2 in accessible formats, in accordance with the accessibility requirements set out in Annex I of Directive 2019/882. </w:t>
            </w:r>
          </w:p>
          <w:p w14:paraId="6859A643" w14:textId="77777777" w:rsidR="007103A4" w:rsidRDefault="007103A4" w:rsidP="007103A4">
            <w:pPr>
              <w:pStyle w:val="Footer"/>
            </w:pPr>
          </w:p>
          <w:p w14:paraId="524C4A61" w14:textId="77777777" w:rsidR="007103A4" w:rsidRDefault="007103A4" w:rsidP="007103A4">
            <w:pPr>
              <w:pStyle w:val="Footer"/>
            </w:pPr>
            <w:r>
              <w:t>(b)paragraph 4 is replaced by the following:</w:t>
            </w:r>
          </w:p>
          <w:p w14:paraId="53CE569C" w14:textId="77777777" w:rsidR="007103A4" w:rsidRDefault="007103A4" w:rsidP="007103A4">
            <w:pPr>
              <w:pStyle w:val="Footer"/>
            </w:pPr>
          </w:p>
          <w:p w14:paraId="48F93CC9" w14:textId="50527D69" w:rsidR="007103A4" w:rsidRPr="00CD2FF3" w:rsidRDefault="007103A4" w:rsidP="007103A4">
            <w:pPr>
              <w:pStyle w:val="Footer"/>
              <w:rPr>
                <w:b/>
              </w:rPr>
            </w:pPr>
            <w:r>
              <w:t xml:space="preserve">‘4. The information required under paragraphs 1 and 2 shall also be provided by electronic means to all passengers, including those departing from bus stops, </w:t>
            </w:r>
            <w:r>
              <w:lastRenderedPageBreak/>
              <w:t xml:space="preserve">within the time-limit provided in paragraph 1, if the passenger has </w:t>
            </w:r>
            <w:proofErr w:type="gramStart"/>
            <w:r>
              <w:t xml:space="preserve">agreed </w:t>
            </w:r>
            <w:r w:rsidR="000024C6">
              <w:t>.</w:t>
            </w:r>
            <w:proofErr w:type="gramEnd"/>
            <w:r w:rsidR="000024C6">
              <w:t xml:space="preserve"> </w:t>
            </w:r>
            <w:r>
              <w:t>to it and has provided the necessary contact details to the carrier or, where appropriate, to the terminal managing body, when purchasing the ticket</w:t>
            </w:r>
            <w:r w:rsidR="000024C6">
              <w:t xml:space="preserve">. This information should also be provided </w:t>
            </w:r>
            <w:r w:rsidR="000024C6">
              <w:rPr>
                <w:b/>
                <w:bCs/>
                <w:i/>
                <w:iCs/>
              </w:rPr>
              <w:t>in accordance with the accessibility requirements set out in Annex I of Directive 2019/882</w:t>
            </w:r>
          </w:p>
        </w:tc>
      </w:tr>
      <w:tr w:rsidR="007103A4" w14:paraId="4AAB9A83" w14:textId="77777777" w:rsidTr="00BD3E53">
        <w:tc>
          <w:tcPr>
            <w:tcW w:w="9962" w:type="dxa"/>
            <w:gridSpan w:val="2"/>
          </w:tcPr>
          <w:p w14:paraId="6B709F46" w14:textId="77777777" w:rsidR="007103A4" w:rsidRPr="00545E40" w:rsidRDefault="007103A4" w:rsidP="007103A4">
            <w:pPr>
              <w:pStyle w:val="Footer"/>
              <w:jc w:val="both"/>
              <w:rPr>
                <w:b/>
                <w:bCs/>
              </w:rPr>
            </w:pPr>
            <w:r w:rsidRPr="00545E40">
              <w:rPr>
                <w:b/>
                <w:bCs/>
              </w:rPr>
              <w:lastRenderedPageBreak/>
              <w:t>Justification:</w:t>
            </w:r>
          </w:p>
          <w:p w14:paraId="257D9D57" w14:textId="77777777" w:rsidR="00545E40" w:rsidRDefault="00545E40" w:rsidP="007103A4">
            <w:pPr>
              <w:pStyle w:val="Footer"/>
              <w:jc w:val="both"/>
            </w:pPr>
          </w:p>
          <w:p w14:paraId="18EEF80A" w14:textId="3D938C8F" w:rsidR="00545E40" w:rsidRDefault="00545E40" w:rsidP="007103A4">
            <w:pPr>
              <w:pStyle w:val="Footer"/>
              <w:jc w:val="both"/>
            </w:pPr>
            <w:r>
              <w:t xml:space="preserve">See explanation for same amendment in page 11. </w:t>
            </w:r>
          </w:p>
          <w:p w14:paraId="0D81E144" w14:textId="77777777" w:rsidR="007103A4" w:rsidRDefault="007103A4" w:rsidP="007103A4">
            <w:pPr>
              <w:pStyle w:val="Footer"/>
              <w:jc w:val="both"/>
            </w:pPr>
          </w:p>
        </w:tc>
      </w:tr>
    </w:tbl>
    <w:p w14:paraId="34535EE5" w14:textId="624C27A0" w:rsidR="00BD3E53" w:rsidRDefault="00545E40" w:rsidP="00BD3E53">
      <w:pPr>
        <w:pStyle w:val="Heading2"/>
      </w:pPr>
      <w:bookmarkStart w:id="30" w:name="_Toc164171892"/>
      <w:r>
        <w:t>Amendment to Regulation (EU) 181 / 2011 – Article 2</w:t>
      </w:r>
      <w:r w:rsidR="007D4BFD">
        <w:t>4</w:t>
      </w:r>
      <w:bookmarkEnd w:id="30"/>
    </w:p>
    <w:p w14:paraId="7D6C3FB8" w14:textId="77777777" w:rsidR="00BD3E53" w:rsidRPr="00046E92" w:rsidRDefault="00BD3E53" w:rsidP="00BD3E53"/>
    <w:tbl>
      <w:tblPr>
        <w:tblStyle w:val="TableGrid"/>
        <w:tblW w:w="0" w:type="auto"/>
        <w:tblLook w:val="04A0" w:firstRow="1" w:lastRow="0" w:firstColumn="1" w:lastColumn="0" w:noHBand="0" w:noVBand="1"/>
      </w:tblPr>
      <w:tblGrid>
        <w:gridCol w:w="4980"/>
        <w:gridCol w:w="4982"/>
      </w:tblGrid>
      <w:tr w:rsidR="00BD3E53" w14:paraId="185791CA" w14:textId="77777777" w:rsidTr="00BD3E53">
        <w:tc>
          <w:tcPr>
            <w:tcW w:w="4980" w:type="dxa"/>
          </w:tcPr>
          <w:p w14:paraId="3CD56F74" w14:textId="77777777" w:rsidR="00BD3E53" w:rsidRDefault="00BD3E53" w:rsidP="00C15811">
            <w:pPr>
              <w:pStyle w:val="Footer"/>
              <w:jc w:val="both"/>
            </w:pPr>
            <w:r>
              <w:t>Commission proposal</w:t>
            </w:r>
          </w:p>
        </w:tc>
        <w:tc>
          <w:tcPr>
            <w:tcW w:w="4982" w:type="dxa"/>
          </w:tcPr>
          <w:p w14:paraId="6321877C" w14:textId="77777777" w:rsidR="00BD3E53" w:rsidRDefault="00BD3E53" w:rsidP="00C15811">
            <w:pPr>
              <w:pStyle w:val="Footer"/>
              <w:jc w:val="both"/>
            </w:pPr>
            <w:r>
              <w:t>EDF amendments</w:t>
            </w:r>
          </w:p>
        </w:tc>
      </w:tr>
      <w:tr w:rsidR="00545E40" w14:paraId="5691DF4F" w14:textId="77777777" w:rsidTr="00BD3E53">
        <w:tc>
          <w:tcPr>
            <w:tcW w:w="4980" w:type="dxa"/>
          </w:tcPr>
          <w:p w14:paraId="2174383D" w14:textId="77777777" w:rsidR="00545E40" w:rsidRDefault="00545E40" w:rsidP="00545E40">
            <w:pPr>
              <w:pStyle w:val="Footer"/>
            </w:pPr>
            <w:r>
              <w:t>(a)the first sentence is replaced by the following:</w:t>
            </w:r>
          </w:p>
          <w:p w14:paraId="029E46DE" w14:textId="77777777" w:rsidR="00545E40" w:rsidRDefault="00545E40" w:rsidP="00545E40">
            <w:pPr>
              <w:pStyle w:val="Footer"/>
            </w:pPr>
          </w:p>
          <w:p w14:paraId="0D1169CD" w14:textId="77777777" w:rsidR="00545E40" w:rsidRDefault="00545E40" w:rsidP="00545E40">
            <w:pPr>
              <w:pStyle w:val="Footer"/>
            </w:pPr>
            <w:r>
              <w:t>‘Carriers and terminal managing bodies shall, within their respective areas of competence, provide passengers with adequate information throughout their travel in formats which are accessible to all and in the same languages as those in which information is generally made available to all passengers.</w:t>
            </w:r>
            <w:proofErr w:type="gramStart"/>
            <w:r>
              <w:t>’;</w:t>
            </w:r>
            <w:proofErr w:type="gramEnd"/>
          </w:p>
          <w:p w14:paraId="701484F6" w14:textId="77777777" w:rsidR="00545E40" w:rsidRDefault="00545E40" w:rsidP="00545E40">
            <w:pPr>
              <w:pStyle w:val="Footer"/>
            </w:pPr>
          </w:p>
          <w:p w14:paraId="7280C1E1" w14:textId="5E3DB7A2" w:rsidR="00545E40" w:rsidRDefault="00545E40" w:rsidP="00545E40">
            <w:pPr>
              <w:pStyle w:val="Footer"/>
            </w:pPr>
            <w:r>
              <w:t xml:space="preserve">(b)the second sentence is </w:t>
            </w:r>
            <w:proofErr w:type="gramStart"/>
            <w:r>
              <w:t>deleted;</w:t>
            </w:r>
            <w:proofErr w:type="gramEnd"/>
          </w:p>
          <w:p w14:paraId="509ACA3A" w14:textId="77777777" w:rsidR="00545E40" w:rsidRDefault="00545E40" w:rsidP="00545E40">
            <w:pPr>
              <w:pStyle w:val="Footer"/>
            </w:pPr>
          </w:p>
        </w:tc>
        <w:tc>
          <w:tcPr>
            <w:tcW w:w="4982" w:type="dxa"/>
          </w:tcPr>
          <w:p w14:paraId="3AB210D9" w14:textId="77777777" w:rsidR="00545E40" w:rsidRDefault="00545E40" w:rsidP="00545E40">
            <w:pPr>
              <w:pStyle w:val="Footer"/>
            </w:pPr>
            <w:r>
              <w:t>(a)the first sentence is replaced by the following:</w:t>
            </w:r>
          </w:p>
          <w:p w14:paraId="5C3D21B5" w14:textId="77777777" w:rsidR="00545E40" w:rsidRDefault="00545E40" w:rsidP="00545E40">
            <w:pPr>
              <w:pStyle w:val="Footer"/>
            </w:pPr>
          </w:p>
          <w:p w14:paraId="30430488" w14:textId="49655013" w:rsidR="00545E40" w:rsidRDefault="00545E40" w:rsidP="00545E40">
            <w:pPr>
              <w:pStyle w:val="Footer"/>
            </w:pPr>
            <w:r>
              <w:t xml:space="preserve">‘Carriers and terminal managing bodies shall, within their respective areas of competence, provide passengers with adequate information throughout their travel in formats which are accessible to </w:t>
            </w:r>
            <w:r w:rsidRPr="00545E40">
              <w:rPr>
                <w:b/>
                <w:bCs/>
                <w:i/>
                <w:iCs/>
              </w:rPr>
              <w:t>all in accordance</w:t>
            </w:r>
            <w:r>
              <w:t xml:space="preserve"> </w:t>
            </w:r>
            <w:r>
              <w:rPr>
                <w:b/>
                <w:bCs/>
                <w:i/>
                <w:iCs/>
              </w:rPr>
              <w:t>with the accessibility requirements set out in Annex I of Directive 2019/882</w:t>
            </w:r>
            <w:r>
              <w:t xml:space="preserve"> and in the same languages as those in which information is generally made available to all passengers.</w:t>
            </w:r>
            <w:proofErr w:type="gramStart"/>
            <w:r>
              <w:t>’;</w:t>
            </w:r>
            <w:proofErr w:type="gramEnd"/>
          </w:p>
          <w:p w14:paraId="16119ED7" w14:textId="77777777" w:rsidR="00545E40" w:rsidRDefault="00545E40" w:rsidP="00545E40">
            <w:pPr>
              <w:pStyle w:val="Footer"/>
            </w:pPr>
          </w:p>
          <w:p w14:paraId="3D0751E2" w14:textId="77777777" w:rsidR="00545E40" w:rsidRDefault="00545E40" w:rsidP="00545E40">
            <w:pPr>
              <w:pStyle w:val="Footer"/>
            </w:pPr>
            <w:r>
              <w:t xml:space="preserve">(b)the second sentence is </w:t>
            </w:r>
            <w:proofErr w:type="gramStart"/>
            <w:r>
              <w:t>deleted;</w:t>
            </w:r>
            <w:proofErr w:type="gramEnd"/>
          </w:p>
          <w:p w14:paraId="06E1D78A" w14:textId="77777777" w:rsidR="00545E40" w:rsidRDefault="00545E40" w:rsidP="00545E40">
            <w:pPr>
              <w:pStyle w:val="Footer"/>
              <w:rPr>
                <w:b/>
              </w:rPr>
            </w:pPr>
          </w:p>
          <w:p w14:paraId="6A1584BB" w14:textId="1DE0232C" w:rsidR="00D946FD" w:rsidRPr="00CD2FF3" w:rsidRDefault="00D946FD" w:rsidP="00545E40">
            <w:pPr>
              <w:pStyle w:val="Footer"/>
              <w:rPr>
                <w:b/>
              </w:rPr>
            </w:pPr>
          </w:p>
        </w:tc>
      </w:tr>
      <w:tr w:rsidR="00545E40" w14:paraId="62186C2B" w14:textId="77777777" w:rsidTr="00BD3E53">
        <w:tc>
          <w:tcPr>
            <w:tcW w:w="9962" w:type="dxa"/>
            <w:gridSpan w:val="2"/>
          </w:tcPr>
          <w:p w14:paraId="3530D0B0" w14:textId="77777777" w:rsidR="00545E40" w:rsidRPr="00545E40" w:rsidRDefault="00545E40" w:rsidP="00545E40">
            <w:pPr>
              <w:pStyle w:val="Footer"/>
              <w:jc w:val="both"/>
              <w:rPr>
                <w:b/>
                <w:bCs/>
              </w:rPr>
            </w:pPr>
            <w:r w:rsidRPr="00545E40">
              <w:rPr>
                <w:b/>
                <w:bCs/>
              </w:rPr>
              <w:t>Justification:</w:t>
            </w:r>
          </w:p>
          <w:p w14:paraId="7B381F72" w14:textId="77777777" w:rsidR="00545E40" w:rsidRDefault="00545E40" w:rsidP="00545E40">
            <w:pPr>
              <w:pStyle w:val="Footer"/>
              <w:jc w:val="both"/>
            </w:pPr>
          </w:p>
          <w:p w14:paraId="3BD88F13" w14:textId="555C5DF7" w:rsidR="00545E40" w:rsidRDefault="00545E40" w:rsidP="00545E40">
            <w:pPr>
              <w:pStyle w:val="Footer"/>
              <w:jc w:val="both"/>
            </w:pPr>
            <w:r>
              <w:t>It is important to specify what is meant by accessibility by making reference to Union accessibility legislation, namely the Directive 2019/882 (</w:t>
            </w:r>
            <w:hyperlink r:id="rId16" w:history="1">
              <w:r w:rsidRPr="00CA7741">
                <w:rPr>
                  <w:rStyle w:val="Hyperlink"/>
                </w:rPr>
                <w:t>European Accessibility Act</w:t>
              </w:r>
            </w:hyperlink>
            <w:r>
              <w:t>). It’s important to clarify this into the text with improved wording, especially in view of the coming harmonized standards for the European Accessibility Act, which will provide clear guidance for legal compliance. Without such reference, it will create legal uncertainty for the sector and for public authorities enforcing the Regulation – leading to implementation problems</w:t>
            </w:r>
            <w:r w:rsidR="00CB3F48">
              <w:t xml:space="preserve">. </w:t>
            </w:r>
          </w:p>
          <w:p w14:paraId="2CC2B480" w14:textId="77777777" w:rsidR="00545E40" w:rsidRDefault="00545E40" w:rsidP="00545E40">
            <w:pPr>
              <w:pStyle w:val="Footer"/>
              <w:jc w:val="both"/>
            </w:pPr>
          </w:p>
          <w:p w14:paraId="44934DB2" w14:textId="77777777" w:rsidR="00545E40" w:rsidRDefault="00545E40" w:rsidP="00545E40">
            <w:pPr>
              <w:pStyle w:val="Footer"/>
              <w:jc w:val="both"/>
            </w:pPr>
          </w:p>
        </w:tc>
      </w:tr>
    </w:tbl>
    <w:p w14:paraId="5DFAAAE6" w14:textId="2B302EC1" w:rsidR="00BD3E53" w:rsidRDefault="00CB3F48" w:rsidP="00BD3E53">
      <w:pPr>
        <w:pStyle w:val="Heading2"/>
      </w:pPr>
      <w:bookmarkStart w:id="31" w:name="_Toc164171893"/>
      <w:r>
        <w:lastRenderedPageBreak/>
        <w:t>Amendments to Regulation (EU) 181 / 2011 – Article 25</w:t>
      </w:r>
      <w:bookmarkEnd w:id="31"/>
    </w:p>
    <w:p w14:paraId="747B2E5D" w14:textId="77777777" w:rsidR="00BD3E53" w:rsidRPr="00046E92" w:rsidRDefault="00BD3E53" w:rsidP="00BD3E53"/>
    <w:tbl>
      <w:tblPr>
        <w:tblStyle w:val="TableGrid"/>
        <w:tblW w:w="0" w:type="auto"/>
        <w:tblLook w:val="04A0" w:firstRow="1" w:lastRow="0" w:firstColumn="1" w:lastColumn="0" w:noHBand="0" w:noVBand="1"/>
      </w:tblPr>
      <w:tblGrid>
        <w:gridCol w:w="4980"/>
        <w:gridCol w:w="4982"/>
      </w:tblGrid>
      <w:tr w:rsidR="00BD3E53" w14:paraId="1F510D50" w14:textId="77777777" w:rsidTr="00BD3E53">
        <w:tc>
          <w:tcPr>
            <w:tcW w:w="4980" w:type="dxa"/>
          </w:tcPr>
          <w:p w14:paraId="34AEACCF" w14:textId="77777777" w:rsidR="00BD3E53" w:rsidRDefault="00BD3E53" w:rsidP="00C15811">
            <w:pPr>
              <w:pStyle w:val="Footer"/>
              <w:jc w:val="both"/>
            </w:pPr>
            <w:r>
              <w:t>Commission proposal</w:t>
            </w:r>
          </w:p>
        </w:tc>
        <w:tc>
          <w:tcPr>
            <w:tcW w:w="4982" w:type="dxa"/>
          </w:tcPr>
          <w:p w14:paraId="2C2840F7" w14:textId="77777777" w:rsidR="00BD3E53" w:rsidRDefault="00BD3E53" w:rsidP="00C15811">
            <w:pPr>
              <w:pStyle w:val="Footer"/>
              <w:jc w:val="both"/>
            </w:pPr>
            <w:r>
              <w:t>EDF amendments</w:t>
            </w:r>
          </w:p>
        </w:tc>
      </w:tr>
      <w:tr w:rsidR="00CB3F48" w14:paraId="39B8D679" w14:textId="77777777" w:rsidTr="00BD3E53">
        <w:tc>
          <w:tcPr>
            <w:tcW w:w="4980" w:type="dxa"/>
          </w:tcPr>
          <w:p w14:paraId="286A80D7" w14:textId="77777777" w:rsidR="00CB3F48" w:rsidRDefault="00CB3F48" w:rsidP="00CB3F48">
            <w:pPr>
              <w:pStyle w:val="Footer"/>
            </w:pPr>
            <w:r>
              <w:t>‘1. When selling tickets for bus and coach services, carriers and terminal managing bodies shall, within their respective areas of competence, ensure that passengers are provided with:</w:t>
            </w:r>
          </w:p>
          <w:p w14:paraId="18DD9103" w14:textId="77777777" w:rsidR="00CB3F48" w:rsidRDefault="00CB3F48" w:rsidP="00CB3F48">
            <w:pPr>
              <w:pStyle w:val="Footer"/>
            </w:pPr>
          </w:p>
          <w:p w14:paraId="0710D435" w14:textId="77777777" w:rsidR="00CB3F48" w:rsidRDefault="00CB3F48" w:rsidP="00CB3F48">
            <w:pPr>
              <w:pStyle w:val="Footer"/>
            </w:pPr>
            <w:r>
              <w:t>(a) appropriate and comprehensible information regarding their rights and obligations under this Regulation,</w:t>
            </w:r>
          </w:p>
          <w:p w14:paraId="2BA9A240" w14:textId="77777777" w:rsidR="00CB3F48" w:rsidRDefault="00CB3F48" w:rsidP="00CB3F48">
            <w:pPr>
              <w:pStyle w:val="Footer"/>
            </w:pPr>
          </w:p>
          <w:p w14:paraId="25C23ACB" w14:textId="77777777" w:rsidR="00CB3F48" w:rsidRDefault="00CB3F48" w:rsidP="00CB3F48">
            <w:pPr>
              <w:pStyle w:val="Footer"/>
            </w:pPr>
            <w:r>
              <w:t>(b) contact details of carriers or, where appropriate, terminal managing bodies,</w:t>
            </w:r>
          </w:p>
          <w:p w14:paraId="27564F28" w14:textId="77777777" w:rsidR="00CB3F48" w:rsidRDefault="00CB3F48" w:rsidP="00CB3F48">
            <w:pPr>
              <w:pStyle w:val="Footer"/>
            </w:pPr>
          </w:p>
          <w:p w14:paraId="352785B7" w14:textId="77777777" w:rsidR="00CB3F48" w:rsidRDefault="00CB3F48" w:rsidP="00CB3F48">
            <w:pPr>
              <w:pStyle w:val="Footer"/>
            </w:pPr>
            <w:r>
              <w:t>(c) contact details of the enforcement body or bodies designated by the Member State pursuant to Article 28(1).</w:t>
            </w:r>
          </w:p>
          <w:p w14:paraId="484186F3" w14:textId="77777777" w:rsidR="00CB3F48" w:rsidRDefault="00CB3F48" w:rsidP="00CB3F48">
            <w:pPr>
              <w:pStyle w:val="Footer"/>
            </w:pPr>
          </w:p>
          <w:p w14:paraId="037877C7" w14:textId="14E2E2B9" w:rsidR="00CB3F48" w:rsidRDefault="00CB3F48" w:rsidP="00CB3F48">
            <w:pPr>
              <w:pStyle w:val="Footer"/>
            </w:pPr>
            <w:r>
              <w:t>This information shall also be provided by electronic means if feasible including at terminals and, where applicable, on the Internet. At the request of a person with disabilities or person with reduced mobility the information shall be provided, where feasible, in an accessible format.</w:t>
            </w:r>
            <w:proofErr w:type="gramStart"/>
            <w:r>
              <w:t>’;</w:t>
            </w:r>
            <w:proofErr w:type="gramEnd"/>
          </w:p>
          <w:p w14:paraId="3F97CC3C" w14:textId="77777777" w:rsidR="00CB3F48" w:rsidRDefault="00CB3F48" w:rsidP="00CB3F48">
            <w:pPr>
              <w:pStyle w:val="Footer"/>
            </w:pPr>
          </w:p>
        </w:tc>
        <w:tc>
          <w:tcPr>
            <w:tcW w:w="4982" w:type="dxa"/>
          </w:tcPr>
          <w:p w14:paraId="72E199CC" w14:textId="77777777" w:rsidR="00CB3F48" w:rsidRDefault="00CB3F48" w:rsidP="00CB3F48">
            <w:pPr>
              <w:pStyle w:val="Footer"/>
            </w:pPr>
            <w:r>
              <w:t>‘1. When selling tickets for bus and coach services, carriers and terminal managing bodies shall, within their respective areas of competence, ensure that passengers are provided with:</w:t>
            </w:r>
          </w:p>
          <w:p w14:paraId="53D60B70" w14:textId="77777777" w:rsidR="00CB3F48" w:rsidRDefault="00CB3F48" w:rsidP="00CB3F48">
            <w:pPr>
              <w:pStyle w:val="Footer"/>
            </w:pPr>
          </w:p>
          <w:p w14:paraId="5581A9EB" w14:textId="77777777" w:rsidR="00CB3F48" w:rsidRDefault="00CB3F48" w:rsidP="00CB3F48">
            <w:pPr>
              <w:pStyle w:val="Footer"/>
            </w:pPr>
            <w:r>
              <w:t>(a) appropriate and comprehensible information regarding their rights and obligations under this Regulation,</w:t>
            </w:r>
          </w:p>
          <w:p w14:paraId="6A607B3A" w14:textId="77777777" w:rsidR="00CB3F48" w:rsidRDefault="00CB3F48" w:rsidP="00CB3F48">
            <w:pPr>
              <w:pStyle w:val="Footer"/>
            </w:pPr>
          </w:p>
          <w:p w14:paraId="12645EA1" w14:textId="77777777" w:rsidR="00CB3F48" w:rsidRDefault="00CB3F48" w:rsidP="00CB3F48">
            <w:pPr>
              <w:pStyle w:val="Footer"/>
            </w:pPr>
            <w:r>
              <w:t>(b) contact details of carriers or, where appropriate, terminal managing bodies,</w:t>
            </w:r>
          </w:p>
          <w:p w14:paraId="2F8EF1F3" w14:textId="77777777" w:rsidR="00CB3F48" w:rsidRDefault="00CB3F48" w:rsidP="00CB3F48">
            <w:pPr>
              <w:pStyle w:val="Footer"/>
            </w:pPr>
          </w:p>
          <w:p w14:paraId="19E4B83E" w14:textId="77777777" w:rsidR="00CB3F48" w:rsidRDefault="00CB3F48" w:rsidP="00CB3F48">
            <w:pPr>
              <w:pStyle w:val="Footer"/>
            </w:pPr>
            <w:r>
              <w:t>(c) contact details of the enforcement body or bodies designated by the Member State pursuant to Article 28(1).</w:t>
            </w:r>
          </w:p>
          <w:p w14:paraId="767CE881" w14:textId="77777777" w:rsidR="00CB3F48" w:rsidRDefault="00CB3F48" w:rsidP="00CB3F48">
            <w:pPr>
              <w:pStyle w:val="Footer"/>
            </w:pPr>
          </w:p>
          <w:p w14:paraId="615CA1D2" w14:textId="117180E2" w:rsidR="00CB3F48" w:rsidRPr="00405780" w:rsidRDefault="00CB3F48" w:rsidP="00CB3F48">
            <w:pPr>
              <w:pStyle w:val="Footer"/>
            </w:pPr>
            <w:r>
              <w:t xml:space="preserve">This information shall also be provided by electronic means if feasible including at terminals and, where applicable, on the Internet. </w:t>
            </w:r>
            <w:r w:rsidRPr="00CB3F48">
              <w:rPr>
                <w:b/>
                <w:bCs/>
                <w:strike/>
              </w:rPr>
              <w:t>At the request of a person with disabilities or person with reduced mobility the information shall be provided, where feasible, in an accessible format.’;</w:t>
            </w:r>
            <w:r>
              <w:rPr>
                <w:b/>
                <w:bCs/>
                <w:strike/>
              </w:rPr>
              <w:t xml:space="preserve"> </w:t>
            </w:r>
            <w:r w:rsidRPr="001212F2">
              <w:rPr>
                <w:b/>
                <w:bCs/>
                <w:i/>
                <w:iCs/>
              </w:rPr>
              <w:t>The information in this article sh</w:t>
            </w:r>
            <w:r w:rsidR="00405780" w:rsidRPr="001212F2">
              <w:rPr>
                <w:b/>
                <w:bCs/>
                <w:i/>
                <w:iCs/>
              </w:rPr>
              <w:t>all</w:t>
            </w:r>
            <w:r w:rsidRPr="001212F2">
              <w:rPr>
                <w:b/>
                <w:bCs/>
                <w:i/>
                <w:iCs/>
              </w:rPr>
              <w:t xml:space="preserve"> be provided in accessible formats in accordance</w:t>
            </w:r>
            <w:r w:rsidRPr="001212F2">
              <w:rPr>
                <w:i/>
                <w:iCs/>
              </w:rPr>
              <w:t xml:space="preserve"> </w:t>
            </w:r>
            <w:r w:rsidRPr="001212F2">
              <w:rPr>
                <w:b/>
                <w:bCs/>
                <w:i/>
                <w:iCs/>
              </w:rPr>
              <w:t>with the accessibility requ</w:t>
            </w:r>
            <w:r>
              <w:rPr>
                <w:b/>
                <w:bCs/>
                <w:i/>
                <w:iCs/>
              </w:rPr>
              <w:t xml:space="preserve">irements set out in Annex I of Directive 2019/882. </w:t>
            </w:r>
          </w:p>
        </w:tc>
      </w:tr>
      <w:tr w:rsidR="00CB3F48" w14:paraId="31BE38E1" w14:textId="77777777" w:rsidTr="00BD3E53">
        <w:tc>
          <w:tcPr>
            <w:tcW w:w="9962" w:type="dxa"/>
            <w:gridSpan w:val="2"/>
          </w:tcPr>
          <w:p w14:paraId="0308A9FD" w14:textId="77777777" w:rsidR="00CB3F48" w:rsidRPr="00CB3F48" w:rsidRDefault="00CB3F48" w:rsidP="00CB3F48">
            <w:pPr>
              <w:pStyle w:val="Footer"/>
              <w:jc w:val="both"/>
              <w:rPr>
                <w:b/>
                <w:bCs/>
              </w:rPr>
            </w:pPr>
            <w:r w:rsidRPr="00CB3F48">
              <w:rPr>
                <w:b/>
                <w:bCs/>
              </w:rPr>
              <w:t>Justification:</w:t>
            </w:r>
          </w:p>
          <w:p w14:paraId="7E6E1411" w14:textId="77777777" w:rsidR="00CB3F48" w:rsidRDefault="00CB3F48" w:rsidP="00CB3F48">
            <w:pPr>
              <w:pStyle w:val="Footer"/>
              <w:jc w:val="both"/>
            </w:pPr>
          </w:p>
          <w:p w14:paraId="6004C31E" w14:textId="5DE414BC" w:rsidR="00CB3F48" w:rsidRDefault="00CB3F48" w:rsidP="00CB3F48">
            <w:pPr>
              <w:pStyle w:val="Footer"/>
              <w:jc w:val="both"/>
            </w:pPr>
            <w:r>
              <w:t xml:space="preserve">See explanation similar amendment in page 13. </w:t>
            </w:r>
          </w:p>
        </w:tc>
      </w:tr>
    </w:tbl>
    <w:p w14:paraId="6998E78D" w14:textId="2F4704FC" w:rsidR="00BD3E53" w:rsidRDefault="00CB3F48" w:rsidP="00BD3E53">
      <w:pPr>
        <w:pStyle w:val="Heading2"/>
      </w:pPr>
      <w:bookmarkStart w:id="32" w:name="_Toc164171894"/>
      <w:r>
        <w:t>Amendment to Regulation (EU) 181 / 2011 – Article 25a</w:t>
      </w:r>
      <w:bookmarkEnd w:id="32"/>
    </w:p>
    <w:p w14:paraId="29F807EE" w14:textId="77777777" w:rsidR="00BD3E53" w:rsidRPr="00046E92" w:rsidRDefault="00BD3E53" w:rsidP="00BD3E53"/>
    <w:tbl>
      <w:tblPr>
        <w:tblStyle w:val="TableGrid"/>
        <w:tblW w:w="0" w:type="auto"/>
        <w:tblLook w:val="04A0" w:firstRow="1" w:lastRow="0" w:firstColumn="1" w:lastColumn="0" w:noHBand="0" w:noVBand="1"/>
      </w:tblPr>
      <w:tblGrid>
        <w:gridCol w:w="4980"/>
        <w:gridCol w:w="4982"/>
      </w:tblGrid>
      <w:tr w:rsidR="00BD3E53" w14:paraId="05AED591" w14:textId="77777777" w:rsidTr="00BD3E53">
        <w:tc>
          <w:tcPr>
            <w:tcW w:w="4980" w:type="dxa"/>
          </w:tcPr>
          <w:p w14:paraId="2B550B08" w14:textId="77777777" w:rsidR="00BD3E53" w:rsidRDefault="00BD3E53" w:rsidP="00C15811">
            <w:pPr>
              <w:pStyle w:val="Footer"/>
              <w:jc w:val="both"/>
            </w:pPr>
            <w:r>
              <w:t>Commission proposal</w:t>
            </w:r>
          </w:p>
        </w:tc>
        <w:tc>
          <w:tcPr>
            <w:tcW w:w="4982" w:type="dxa"/>
          </w:tcPr>
          <w:p w14:paraId="7894F603" w14:textId="77777777" w:rsidR="00BD3E53" w:rsidRDefault="00BD3E53" w:rsidP="00C15811">
            <w:pPr>
              <w:pStyle w:val="Footer"/>
              <w:jc w:val="both"/>
            </w:pPr>
            <w:r>
              <w:t>EDF amendments</w:t>
            </w:r>
          </w:p>
        </w:tc>
      </w:tr>
      <w:tr w:rsidR="00CB3F48" w14:paraId="6CA5B11A" w14:textId="77777777" w:rsidTr="00BD3E53">
        <w:tc>
          <w:tcPr>
            <w:tcW w:w="4980" w:type="dxa"/>
          </w:tcPr>
          <w:p w14:paraId="1F43D48C" w14:textId="77777777" w:rsidR="00CB3F48" w:rsidRDefault="00CB3F48" w:rsidP="00CB3F48">
            <w:pPr>
              <w:pStyle w:val="Footer"/>
            </w:pPr>
          </w:p>
          <w:p w14:paraId="49F6DF44" w14:textId="77777777" w:rsidR="00CB3F48" w:rsidRDefault="00CB3F48" w:rsidP="00CB3F48">
            <w:pPr>
              <w:pStyle w:val="Footer"/>
            </w:pPr>
            <w:r>
              <w:t>Means of communication with passengers</w:t>
            </w:r>
          </w:p>
          <w:p w14:paraId="1EE01CD4" w14:textId="77777777" w:rsidR="00CB3F48" w:rsidRDefault="00CB3F48" w:rsidP="00CB3F48">
            <w:pPr>
              <w:pStyle w:val="Footer"/>
            </w:pPr>
          </w:p>
          <w:p w14:paraId="16BEC4CA" w14:textId="77777777" w:rsidR="00CB3F48" w:rsidRDefault="00CB3F48" w:rsidP="00CB3F48">
            <w:pPr>
              <w:pStyle w:val="Footer"/>
            </w:pPr>
            <w:r>
              <w:t>The information referred to in Article 20, Article 24 and Article 25(1) shall be provided in the most appropriate format, where technically possible by electronic means.</w:t>
            </w:r>
          </w:p>
          <w:p w14:paraId="2F902FB5" w14:textId="77777777" w:rsidR="00CB3F48" w:rsidRDefault="00CB3F48" w:rsidP="00CB3F48">
            <w:pPr>
              <w:pStyle w:val="Footer"/>
            </w:pPr>
          </w:p>
          <w:p w14:paraId="083DD388" w14:textId="498300AE" w:rsidR="00CB3F48" w:rsidRDefault="00CB3F48" w:rsidP="00CB3F48">
            <w:pPr>
              <w:pStyle w:val="Footer"/>
            </w:pPr>
            <w:r>
              <w:t>Where information is provided by electronic means of communication, carriers, terminal managing bodies, ticket vendors, travel agents and tour operators shall ensure that the passenger can keep any written correspondence, including the date and time of such correspondence, on a durable medium. All means of communication shall enable the passenger to contact them quickly and communicate efficiently.’</w:t>
            </w:r>
          </w:p>
        </w:tc>
        <w:tc>
          <w:tcPr>
            <w:tcW w:w="4982" w:type="dxa"/>
          </w:tcPr>
          <w:p w14:paraId="42567023" w14:textId="77777777" w:rsidR="00CB3F48" w:rsidRDefault="00CB3F48" w:rsidP="00CB3F48">
            <w:pPr>
              <w:pStyle w:val="Footer"/>
            </w:pPr>
          </w:p>
          <w:p w14:paraId="0918C569" w14:textId="77777777" w:rsidR="00CB3F48" w:rsidRDefault="00CB3F48" w:rsidP="00CB3F48">
            <w:pPr>
              <w:pStyle w:val="Footer"/>
            </w:pPr>
            <w:r>
              <w:t>Means of communication with passengers</w:t>
            </w:r>
          </w:p>
          <w:p w14:paraId="165A06B1" w14:textId="77777777" w:rsidR="00CB3F48" w:rsidRDefault="00CB3F48" w:rsidP="00CB3F48">
            <w:pPr>
              <w:pStyle w:val="Footer"/>
            </w:pPr>
          </w:p>
          <w:p w14:paraId="16BF7AF6" w14:textId="2845BD39" w:rsidR="00CB3F48" w:rsidRDefault="00CB3F48" w:rsidP="00CB3F48">
            <w:pPr>
              <w:pStyle w:val="Footer"/>
            </w:pPr>
            <w:r>
              <w:t xml:space="preserve">The information referred to in Article 20, Article 24 and Article 25(1) shall be provided in the most appropriate format, </w:t>
            </w:r>
            <w:r w:rsidRPr="00DE4A09">
              <w:rPr>
                <w:b/>
                <w:bCs/>
                <w:strike/>
              </w:rPr>
              <w:t>where technically possible by electronic means.</w:t>
            </w:r>
            <w:r>
              <w:rPr>
                <w:b/>
                <w:bCs/>
                <w:strike/>
              </w:rPr>
              <w:t xml:space="preserve"> </w:t>
            </w:r>
            <w:r>
              <w:rPr>
                <w:b/>
                <w:bCs/>
                <w:i/>
                <w:iCs/>
              </w:rPr>
              <w:t>Including</w:t>
            </w:r>
            <w:r w:rsidR="001212F2">
              <w:rPr>
                <w:b/>
                <w:bCs/>
                <w:i/>
                <w:iCs/>
              </w:rPr>
              <w:t>, but not limited to,</w:t>
            </w:r>
            <w:r>
              <w:rPr>
                <w:b/>
                <w:bCs/>
                <w:i/>
                <w:iCs/>
              </w:rPr>
              <w:t xml:space="preserve"> by electronic means.</w:t>
            </w:r>
          </w:p>
          <w:p w14:paraId="4ADCEDDB" w14:textId="77777777" w:rsidR="00CB3F48" w:rsidRDefault="00CB3F48" w:rsidP="00CB3F48">
            <w:pPr>
              <w:pStyle w:val="Footer"/>
            </w:pPr>
          </w:p>
          <w:p w14:paraId="6AF24DF5" w14:textId="4961CCD7" w:rsidR="00CB3F48" w:rsidRPr="00CD2FF3" w:rsidRDefault="00CB3F48" w:rsidP="00CB3F48">
            <w:pPr>
              <w:pStyle w:val="Footer"/>
              <w:rPr>
                <w:b/>
              </w:rPr>
            </w:pPr>
            <w:r>
              <w:t xml:space="preserve">Where information is provided by electronic means of communication, carriers, terminal managing bodies, ticket vendors, travel agents and tour operators shall ensure that </w:t>
            </w:r>
            <w:r w:rsidRPr="00DE4A09">
              <w:rPr>
                <w:b/>
                <w:bCs/>
                <w:i/>
                <w:iCs/>
              </w:rPr>
              <w:t>it is</w:t>
            </w:r>
            <w:r>
              <w:t xml:space="preserve"> </w:t>
            </w:r>
            <w:r w:rsidRPr="00554002">
              <w:rPr>
                <w:b/>
                <w:bCs/>
                <w:i/>
                <w:iCs/>
              </w:rPr>
              <w:t xml:space="preserve">provided in accessible formats </w:t>
            </w:r>
            <w:r>
              <w:rPr>
                <w:b/>
                <w:bCs/>
                <w:i/>
                <w:iCs/>
              </w:rPr>
              <w:t>in accordance with the accessibility requirements set out in Annex I of Directive 2019/882 and that</w:t>
            </w:r>
            <w:r>
              <w:t xml:space="preserve"> the passenger can keep any written correspondence, including the date and time of such correspondence, on a durable medium. All means of communication shall enable the passenger to contact them quickly and communicate efficiently.’</w:t>
            </w:r>
          </w:p>
        </w:tc>
      </w:tr>
      <w:tr w:rsidR="00CB3F48" w14:paraId="57BB4F7D" w14:textId="77777777" w:rsidTr="00BD3E53">
        <w:tc>
          <w:tcPr>
            <w:tcW w:w="9962" w:type="dxa"/>
            <w:gridSpan w:val="2"/>
          </w:tcPr>
          <w:p w14:paraId="2B883173" w14:textId="77777777" w:rsidR="00CB3F48" w:rsidRDefault="00CB3F48" w:rsidP="00CB3F48">
            <w:pPr>
              <w:pStyle w:val="Footer"/>
              <w:jc w:val="both"/>
            </w:pPr>
            <w:r>
              <w:lastRenderedPageBreak/>
              <w:t>Justification:</w:t>
            </w:r>
          </w:p>
          <w:p w14:paraId="306D0F3C" w14:textId="77777777" w:rsidR="00CB3F48" w:rsidRDefault="00CB3F48" w:rsidP="00CB3F48">
            <w:pPr>
              <w:pStyle w:val="Footer"/>
              <w:jc w:val="both"/>
            </w:pPr>
          </w:p>
          <w:p w14:paraId="67F7A050" w14:textId="12952F35" w:rsidR="00CB3F48" w:rsidRDefault="00CB3F48" w:rsidP="00CB3F48">
            <w:pPr>
              <w:pStyle w:val="Footer"/>
              <w:jc w:val="both"/>
            </w:pPr>
            <w:r>
              <w:t xml:space="preserve">See explanation similar amendment in page 13. </w:t>
            </w:r>
          </w:p>
          <w:p w14:paraId="349F20D5" w14:textId="77777777" w:rsidR="00CB3F48" w:rsidRDefault="00CB3F48" w:rsidP="00CB3F48">
            <w:pPr>
              <w:pStyle w:val="Footer"/>
              <w:jc w:val="both"/>
            </w:pPr>
          </w:p>
        </w:tc>
      </w:tr>
    </w:tbl>
    <w:p w14:paraId="38763CD0" w14:textId="0BB0CEFC" w:rsidR="00BE0E3F" w:rsidRDefault="00BE0E3F" w:rsidP="00BE0E3F">
      <w:pPr>
        <w:pStyle w:val="Heading2"/>
      </w:pPr>
      <w:bookmarkStart w:id="33" w:name="_Toc164171895"/>
      <w:r>
        <w:t>Amendment to Regulation (EU) 181 / 2011 – Article 26a</w:t>
      </w:r>
      <w:bookmarkEnd w:id="33"/>
    </w:p>
    <w:p w14:paraId="42B5698D" w14:textId="77777777" w:rsidR="00BD3E53" w:rsidRPr="00046E92" w:rsidRDefault="00BD3E53" w:rsidP="00BD3E53"/>
    <w:tbl>
      <w:tblPr>
        <w:tblStyle w:val="TableGrid"/>
        <w:tblW w:w="0" w:type="auto"/>
        <w:tblLook w:val="04A0" w:firstRow="1" w:lastRow="0" w:firstColumn="1" w:lastColumn="0" w:noHBand="0" w:noVBand="1"/>
      </w:tblPr>
      <w:tblGrid>
        <w:gridCol w:w="4980"/>
        <w:gridCol w:w="4982"/>
      </w:tblGrid>
      <w:tr w:rsidR="00BD3E53" w14:paraId="3465FEFB" w14:textId="77777777" w:rsidTr="00BE0E3F">
        <w:tc>
          <w:tcPr>
            <w:tcW w:w="4980" w:type="dxa"/>
          </w:tcPr>
          <w:p w14:paraId="449F1AE4" w14:textId="77777777" w:rsidR="00BD3E53" w:rsidRDefault="00BD3E53" w:rsidP="00C15811">
            <w:pPr>
              <w:pStyle w:val="Footer"/>
              <w:jc w:val="both"/>
            </w:pPr>
            <w:r>
              <w:t>Commission proposal</w:t>
            </w:r>
          </w:p>
        </w:tc>
        <w:tc>
          <w:tcPr>
            <w:tcW w:w="4982" w:type="dxa"/>
          </w:tcPr>
          <w:p w14:paraId="26D78069" w14:textId="77777777" w:rsidR="00BD3E53" w:rsidRDefault="00BD3E53" w:rsidP="00C15811">
            <w:pPr>
              <w:pStyle w:val="Footer"/>
              <w:jc w:val="both"/>
            </w:pPr>
            <w:r>
              <w:t>EDF amendments</w:t>
            </w:r>
          </w:p>
        </w:tc>
      </w:tr>
      <w:tr w:rsidR="00BE0E3F" w14:paraId="72AC02E4" w14:textId="77777777" w:rsidTr="00BE0E3F">
        <w:tc>
          <w:tcPr>
            <w:tcW w:w="4980" w:type="dxa"/>
          </w:tcPr>
          <w:p w14:paraId="57C4295B" w14:textId="77777777" w:rsidR="00BE0E3F" w:rsidRDefault="00BE0E3F" w:rsidP="00BE0E3F">
            <w:pPr>
              <w:pStyle w:val="Footer"/>
            </w:pPr>
            <w:r>
              <w:t>Service quality standards</w:t>
            </w:r>
          </w:p>
          <w:p w14:paraId="1B7360ED" w14:textId="77777777" w:rsidR="00BE0E3F" w:rsidRDefault="00BE0E3F" w:rsidP="00BE0E3F">
            <w:pPr>
              <w:pStyle w:val="Footer"/>
            </w:pPr>
          </w:p>
          <w:p w14:paraId="5F7FD5AD" w14:textId="25669D02" w:rsidR="00BE0E3F" w:rsidRDefault="0097435F" w:rsidP="00BE0E3F">
            <w:pPr>
              <w:pStyle w:val="Footer"/>
            </w:pPr>
            <w:r>
              <w:t>(…)</w:t>
            </w:r>
          </w:p>
          <w:p w14:paraId="21308B94" w14:textId="77777777" w:rsidR="0097435F" w:rsidRDefault="0097435F" w:rsidP="00BE0E3F">
            <w:pPr>
              <w:pStyle w:val="Footer"/>
            </w:pPr>
          </w:p>
          <w:p w14:paraId="47F3BDEC" w14:textId="46353027" w:rsidR="00BE0E3F" w:rsidRDefault="00BE0E3F" w:rsidP="00BE0E3F">
            <w:pPr>
              <w:pStyle w:val="Footer"/>
            </w:pPr>
            <w:r>
              <w:t>3.    Terminal managing bodies shall establish service quality standards based on the relevant items listed in Annex III. They shall monitor their performance pursuant to those standards and provide access to the information on their performance to the national public authorities on request.</w:t>
            </w:r>
            <w:proofErr w:type="gramStart"/>
            <w:r>
              <w:t>’;</w:t>
            </w:r>
            <w:proofErr w:type="gramEnd"/>
          </w:p>
          <w:p w14:paraId="6CC9DF4C" w14:textId="77777777" w:rsidR="00BE0E3F" w:rsidRDefault="00BE0E3F" w:rsidP="00BE0E3F">
            <w:pPr>
              <w:pStyle w:val="Footer"/>
            </w:pPr>
          </w:p>
        </w:tc>
        <w:tc>
          <w:tcPr>
            <w:tcW w:w="4982" w:type="dxa"/>
          </w:tcPr>
          <w:p w14:paraId="6D3D7454" w14:textId="77777777" w:rsidR="00BE0E3F" w:rsidRDefault="00BE0E3F" w:rsidP="00BE0E3F">
            <w:pPr>
              <w:pStyle w:val="Footer"/>
            </w:pPr>
            <w:r>
              <w:t>Service quality standards</w:t>
            </w:r>
          </w:p>
          <w:p w14:paraId="69A4B0D3" w14:textId="77777777" w:rsidR="00BE0E3F" w:rsidRDefault="00BE0E3F" w:rsidP="00BE0E3F">
            <w:pPr>
              <w:pStyle w:val="Footer"/>
            </w:pPr>
          </w:p>
          <w:p w14:paraId="58D9B078" w14:textId="6A789B95" w:rsidR="00BE0E3F" w:rsidRDefault="003977AD" w:rsidP="003977AD">
            <w:pPr>
              <w:pStyle w:val="Footer"/>
            </w:pPr>
            <w:r>
              <w:t>(…)</w:t>
            </w:r>
          </w:p>
          <w:p w14:paraId="3253CA3B" w14:textId="77777777" w:rsidR="00BE0E3F" w:rsidRDefault="00BE0E3F" w:rsidP="00BE0E3F">
            <w:pPr>
              <w:pStyle w:val="Footer"/>
            </w:pPr>
          </w:p>
          <w:p w14:paraId="5381FCB8" w14:textId="29810C10" w:rsidR="00BE0E3F" w:rsidRDefault="00BE0E3F" w:rsidP="00BE0E3F">
            <w:pPr>
              <w:pStyle w:val="Footer"/>
            </w:pPr>
            <w:r>
              <w:t xml:space="preserve">3.    Terminal managing bodies shall establish service quality standards based on the relevant items listed in Annex III. They shall monitor their performance pursuant to those standards </w:t>
            </w:r>
            <w:r w:rsidRPr="007750A4">
              <w:rPr>
                <w:b/>
                <w:bCs/>
                <w:i/>
                <w:iCs/>
              </w:rPr>
              <w:t xml:space="preserve">and publish a report on their service quality performance on their website by [2 years after the Regulation becomes applicable], and every two years thereafter. This report shall not </w:t>
            </w:r>
            <w:r w:rsidRPr="007750A4">
              <w:rPr>
                <w:b/>
                <w:bCs/>
                <w:i/>
                <w:iCs/>
              </w:rPr>
              <w:lastRenderedPageBreak/>
              <w:t>contain personal data.’</w:t>
            </w:r>
            <w:r>
              <w:rPr>
                <w:b/>
                <w:bCs/>
                <w:i/>
                <w:iCs/>
              </w:rPr>
              <w:t xml:space="preserve"> </w:t>
            </w:r>
            <w:r w:rsidRPr="00463366">
              <w:rPr>
                <w:b/>
                <w:bCs/>
                <w:i/>
                <w:iCs/>
              </w:rPr>
              <w:t>Terminal operators shall</w:t>
            </w:r>
            <w:r>
              <w:t xml:space="preserve"> provide access to the information on their performance to the national public authorities on request.</w:t>
            </w:r>
            <w:proofErr w:type="gramStart"/>
            <w:r>
              <w:t>’;</w:t>
            </w:r>
            <w:proofErr w:type="gramEnd"/>
          </w:p>
          <w:p w14:paraId="65225F39" w14:textId="74B20A2E" w:rsidR="00BE0E3F" w:rsidRPr="00CD2FF3" w:rsidRDefault="00BE0E3F" w:rsidP="00BE0E3F">
            <w:pPr>
              <w:pStyle w:val="Footer"/>
              <w:rPr>
                <w:b/>
              </w:rPr>
            </w:pPr>
          </w:p>
        </w:tc>
      </w:tr>
      <w:tr w:rsidR="00BE0E3F" w14:paraId="21EF2792" w14:textId="77777777" w:rsidTr="00BE0E3F">
        <w:tc>
          <w:tcPr>
            <w:tcW w:w="9962" w:type="dxa"/>
            <w:gridSpan w:val="2"/>
          </w:tcPr>
          <w:p w14:paraId="4BF7E854" w14:textId="77777777" w:rsidR="00BE0E3F" w:rsidRDefault="00BE0E3F" w:rsidP="00BE0E3F">
            <w:pPr>
              <w:pStyle w:val="Footer"/>
              <w:jc w:val="both"/>
            </w:pPr>
            <w:r>
              <w:lastRenderedPageBreak/>
              <w:t>Justification:</w:t>
            </w:r>
          </w:p>
          <w:p w14:paraId="03662546" w14:textId="77777777" w:rsidR="00BE0E3F" w:rsidRDefault="00BE0E3F" w:rsidP="00BE0E3F">
            <w:pPr>
              <w:pStyle w:val="Footer"/>
              <w:jc w:val="both"/>
            </w:pPr>
          </w:p>
          <w:p w14:paraId="7CA35B36" w14:textId="71168496" w:rsidR="00BE0E3F" w:rsidRDefault="00BE0E3F" w:rsidP="00BE0E3F">
            <w:pPr>
              <w:pStyle w:val="Footer"/>
              <w:jc w:val="both"/>
            </w:pPr>
            <w:r>
              <w:t xml:space="preserve">See justification similar amendment in page 15. </w:t>
            </w:r>
          </w:p>
        </w:tc>
      </w:tr>
    </w:tbl>
    <w:p w14:paraId="434E06E3" w14:textId="77777777" w:rsidR="00BE0E3F" w:rsidRDefault="00BE0E3F" w:rsidP="00DC4C6B"/>
    <w:p w14:paraId="43114C16" w14:textId="77777777" w:rsidR="0097435F" w:rsidRDefault="0097435F" w:rsidP="00DC4C6B"/>
    <w:p w14:paraId="7761183D" w14:textId="77777777" w:rsidR="0097435F" w:rsidRDefault="0097435F" w:rsidP="00DC4C6B"/>
    <w:p w14:paraId="681AD869" w14:textId="77777777" w:rsidR="0097435F" w:rsidRDefault="0097435F" w:rsidP="00DC4C6B"/>
    <w:p w14:paraId="79C1BCCA" w14:textId="17C64268" w:rsidR="00BE0E3F" w:rsidRDefault="00BE0E3F" w:rsidP="00BE0E3F">
      <w:pPr>
        <w:pStyle w:val="Heading2"/>
      </w:pPr>
      <w:bookmarkStart w:id="34" w:name="_Toc164171896"/>
      <w:r>
        <w:t>Amendment to Regulation (EU) 181 / 2011 – Article 28a</w:t>
      </w:r>
      <w:r w:rsidR="0097435F">
        <w:t xml:space="preserve"> (4 and 6)</w:t>
      </w:r>
      <w:bookmarkEnd w:id="34"/>
    </w:p>
    <w:p w14:paraId="1D7C8381" w14:textId="77777777" w:rsidR="00BE0E3F" w:rsidRPr="00046E92" w:rsidRDefault="00BE0E3F" w:rsidP="00BE0E3F"/>
    <w:tbl>
      <w:tblPr>
        <w:tblStyle w:val="TableGrid"/>
        <w:tblW w:w="0" w:type="auto"/>
        <w:tblLook w:val="04A0" w:firstRow="1" w:lastRow="0" w:firstColumn="1" w:lastColumn="0" w:noHBand="0" w:noVBand="1"/>
      </w:tblPr>
      <w:tblGrid>
        <w:gridCol w:w="4980"/>
        <w:gridCol w:w="4982"/>
      </w:tblGrid>
      <w:tr w:rsidR="00BE0E3F" w14:paraId="7E3E6A11" w14:textId="77777777" w:rsidTr="00BE0E3F">
        <w:tc>
          <w:tcPr>
            <w:tcW w:w="4980" w:type="dxa"/>
          </w:tcPr>
          <w:p w14:paraId="4CCDBB83" w14:textId="77777777" w:rsidR="00BE0E3F" w:rsidRDefault="00BE0E3F" w:rsidP="00C15811">
            <w:pPr>
              <w:pStyle w:val="Footer"/>
              <w:jc w:val="both"/>
            </w:pPr>
            <w:r>
              <w:t>Commission proposal</w:t>
            </w:r>
          </w:p>
        </w:tc>
        <w:tc>
          <w:tcPr>
            <w:tcW w:w="4982" w:type="dxa"/>
          </w:tcPr>
          <w:p w14:paraId="0B9F6DA8" w14:textId="77777777" w:rsidR="00BE0E3F" w:rsidRDefault="00BE0E3F" w:rsidP="00C15811">
            <w:pPr>
              <w:pStyle w:val="Footer"/>
              <w:jc w:val="both"/>
            </w:pPr>
            <w:r>
              <w:t>EDF amendments</w:t>
            </w:r>
          </w:p>
        </w:tc>
      </w:tr>
      <w:tr w:rsidR="00BE0E3F" w14:paraId="748013A0" w14:textId="77777777" w:rsidTr="00BE0E3F">
        <w:tc>
          <w:tcPr>
            <w:tcW w:w="4980" w:type="dxa"/>
          </w:tcPr>
          <w:p w14:paraId="14F7EF9A" w14:textId="121AC52F" w:rsidR="00BE0E3F" w:rsidRDefault="00BE0E3F" w:rsidP="00C26B76">
            <w:pPr>
              <w:pStyle w:val="Footer"/>
            </w:pPr>
            <w:r>
              <w:t>Risk-based approach to the monitoring of compliance with passenger rights</w:t>
            </w:r>
          </w:p>
          <w:p w14:paraId="06AFA969" w14:textId="77777777" w:rsidR="00BE0E3F" w:rsidRDefault="00BE0E3F" w:rsidP="00BE0E3F">
            <w:pPr>
              <w:pStyle w:val="Footer"/>
            </w:pPr>
          </w:p>
          <w:p w14:paraId="1C02D90B" w14:textId="77777777" w:rsidR="00BE0E3F" w:rsidRDefault="00BE0E3F" w:rsidP="00BE0E3F">
            <w:pPr>
              <w:pStyle w:val="Footer"/>
            </w:pPr>
            <w:r>
              <w:t>4.    Compliance monitoring activities shall be based on the assessment of risks and carried out by means of audits, inspections, interviews, verifications and examination of documents as appropriate. They shall include both announced and unannounced activities. The monitoring activities shall be proportionate to the risks identified.</w:t>
            </w:r>
          </w:p>
          <w:p w14:paraId="344D41CE" w14:textId="77777777" w:rsidR="00BE0E3F" w:rsidRDefault="00BE0E3F" w:rsidP="00BE0E3F">
            <w:pPr>
              <w:pStyle w:val="Footer"/>
            </w:pPr>
          </w:p>
          <w:p w14:paraId="0DFB16AC" w14:textId="1231AC6B" w:rsidR="00BE0E3F" w:rsidRDefault="002F7F4A" w:rsidP="00BE0E3F">
            <w:pPr>
              <w:pStyle w:val="Footer"/>
            </w:pPr>
            <w:r>
              <w:t>(…)</w:t>
            </w:r>
          </w:p>
          <w:p w14:paraId="4193E3A1" w14:textId="77777777" w:rsidR="002F7F4A" w:rsidRDefault="002F7F4A" w:rsidP="00BE0E3F">
            <w:pPr>
              <w:pStyle w:val="Footer"/>
            </w:pPr>
          </w:p>
          <w:p w14:paraId="375CB8DA" w14:textId="77777777" w:rsidR="002F7F4A" w:rsidRDefault="00BE0E3F" w:rsidP="00BE0E3F">
            <w:pPr>
              <w:pStyle w:val="Footer"/>
            </w:pPr>
            <w:r>
              <w:t>6.    The compliance monito</w:t>
            </w:r>
          </w:p>
          <w:p w14:paraId="3B781C8A" w14:textId="746DE7A6" w:rsidR="00BE0E3F" w:rsidRDefault="00BE0E3F" w:rsidP="00BE0E3F">
            <w:pPr>
              <w:pStyle w:val="Footer"/>
            </w:pPr>
            <w:r>
              <w:t>ring programme under paragraph 1, the risk assessment under paragraph 2 as well as their findings shall be communicated to the Commission by 30 June XXXX [2 years after the Regulation becomes applicable], and every two years thereafter. Where applicable, they shall be included in the reports referred to in Article 29</w:t>
            </w:r>
          </w:p>
          <w:p w14:paraId="09EBB879" w14:textId="77777777" w:rsidR="00BE0E3F" w:rsidRDefault="00BE0E3F" w:rsidP="00BE0E3F">
            <w:pPr>
              <w:pStyle w:val="Footer"/>
            </w:pPr>
          </w:p>
        </w:tc>
        <w:tc>
          <w:tcPr>
            <w:tcW w:w="4982" w:type="dxa"/>
          </w:tcPr>
          <w:p w14:paraId="1E96B60A" w14:textId="77777777" w:rsidR="00BE0E3F" w:rsidRDefault="00BE0E3F" w:rsidP="00BE0E3F">
            <w:pPr>
              <w:pStyle w:val="Footer"/>
            </w:pPr>
            <w:r>
              <w:t>Risk-based approach to the monitoring of compliance with passenger rights</w:t>
            </w:r>
          </w:p>
          <w:p w14:paraId="16D26B1D" w14:textId="77777777" w:rsidR="00BE0E3F" w:rsidRDefault="00BE0E3F" w:rsidP="00BE0E3F">
            <w:pPr>
              <w:pStyle w:val="Footer"/>
            </w:pPr>
          </w:p>
          <w:p w14:paraId="51464C76" w14:textId="25162288" w:rsidR="00BE0E3F" w:rsidRDefault="00C26B76" w:rsidP="00C26B76">
            <w:pPr>
              <w:pStyle w:val="Footer"/>
            </w:pPr>
            <w:r>
              <w:t>(…)</w:t>
            </w:r>
            <w:r w:rsidR="00BE0E3F">
              <w:t xml:space="preserve"> </w:t>
            </w:r>
          </w:p>
          <w:p w14:paraId="10F02994" w14:textId="77777777" w:rsidR="00BE0E3F" w:rsidRDefault="00BE0E3F" w:rsidP="00BE0E3F">
            <w:pPr>
              <w:pStyle w:val="Footer"/>
            </w:pPr>
          </w:p>
          <w:p w14:paraId="1E76DE76" w14:textId="23DF5617" w:rsidR="00DB068E" w:rsidRDefault="00BE0E3F" w:rsidP="00BE0E3F">
            <w:pPr>
              <w:pStyle w:val="Footer"/>
            </w:pPr>
            <w:r>
              <w:t xml:space="preserve">4.    Compliance monitoring activities shall be based on the assessment of risks and carried out by means of audits, </w:t>
            </w:r>
            <w:r w:rsidRPr="00201F3D">
              <w:rPr>
                <w:b/>
                <w:bCs/>
                <w:i/>
                <w:iCs/>
              </w:rPr>
              <w:t>website</w:t>
            </w:r>
            <w:r>
              <w:rPr>
                <w:b/>
                <w:bCs/>
                <w:i/>
                <w:iCs/>
              </w:rPr>
              <w:t xml:space="preserve"> and </w:t>
            </w:r>
            <w:r w:rsidR="001212F2">
              <w:rPr>
                <w:b/>
                <w:bCs/>
                <w:i/>
                <w:iCs/>
              </w:rPr>
              <w:t xml:space="preserve">mobile </w:t>
            </w:r>
            <w:r>
              <w:rPr>
                <w:b/>
                <w:bCs/>
                <w:i/>
                <w:iCs/>
              </w:rPr>
              <w:t>app</w:t>
            </w:r>
            <w:r w:rsidR="001212F2">
              <w:rPr>
                <w:b/>
                <w:bCs/>
                <w:i/>
                <w:iCs/>
              </w:rPr>
              <w:t>lication</w:t>
            </w:r>
            <w:r w:rsidRPr="00201F3D">
              <w:rPr>
                <w:b/>
                <w:bCs/>
                <w:i/>
                <w:iCs/>
              </w:rPr>
              <w:t xml:space="preserve"> reviews</w:t>
            </w:r>
            <w:r>
              <w:rPr>
                <w:b/>
                <w:bCs/>
                <w:i/>
                <w:iCs/>
              </w:rPr>
              <w:t xml:space="preserve"> – including on </w:t>
            </w:r>
            <w:proofErr w:type="gramStart"/>
            <w:r>
              <w:rPr>
                <w:b/>
                <w:bCs/>
                <w:i/>
                <w:iCs/>
              </w:rPr>
              <w:t xml:space="preserve">accessibility </w:t>
            </w:r>
            <w:r>
              <w:t xml:space="preserve"> </w:t>
            </w:r>
            <w:r>
              <w:rPr>
                <w:b/>
                <w:bCs/>
                <w:i/>
                <w:iCs/>
              </w:rPr>
              <w:t>–</w:t>
            </w:r>
            <w:proofErr w:type="gramEnd"/>
            <w:r>
              <w:rPr>
                <w:b/>
                <w:bCs/>
                <w:i/>
                <w:iCs/>
              </w:rPr>
              <w:t xml:space="preserve"> </w:t>
            </w:r>
            <w:r>
              <w:t xml:space="preserve">inspections, interviews, verifications and examination of documents as appropriate. </w:t>
            </w:r>
            <w:r w:rsidRPr="001212F2">
              <w:t>They shall include both announced and unannounced activities</w:t>
            </w:r>
            <w:r w:rsidRPr="00285E4C">
              <w:rPr>
                <w:b/>
                <w:bCs/>
                <w:i/>
                <w:iCs/>
              </w:rPr>
              <w:t xml:space="preserve"> </w:t>
            </w:r>
            <w:r>
              <w:rPr>
                <w:b/>
                <w:bCs/>
                <w:i/>
                <w:iCs/>
              </w:rPr>
              <w:t>which should</w:t>
            </w:r>
            <w:r w:rsidRPr="00285E4C">
              <w:rPr>
                <w:b/>
                <w:bCs/>
                <w:i/>
                <w:iCs/>
              </w:rPr>
              <w:t xml:space="preserve"> be carried out in cooperation with persons with disabilities and their representative organisations</w:t>
            </w:r>
            <w:r>
              <w:rPr>
                <w:b/>
                <w:bCs/>
                <w:i/>
                <w:iCs/>
              </w:rPr>
              <w:t>, where relevant</w:t>
            </w:r>
            <w:r>
              <w:t>. The monitoring activities shall be proportionate to the risks identified</w:t>
            </w:r>
            <w:r w:rsidR="00DC4C6B">
              <w:t xml:space="preserve">. </w:t>
            </w:r>
          </w:p>
          <w:p w14:paraId="6D028DA3" w14:textId="77777777" w:rsidR="002F7F4A" w:rsidRDefault="002F7F4A" w:rsidP="00BE0E3F">
            <w:pPr>
              <w:pStyle w:val="Footer"/>
            </w:pPr>
          </w:p>
          <w:p w14:paraId="2B1DC874" w14:textId="2BAF055F" w:rsidR="00BE0E3F" w:rsidRDefault="002F7F4A" w:rsidP="00BE0E3F">
            <w:pPr>
              <w:pStyle w:val="Footer"/>
            </w:pPr>
            <w:r>
              <w:t>(…)</w:t>
            </w:r>
          </w:p>
          <w:p w14:paraId="3084997C" w14:textId="77777777" w:rsidR="002F7F4A" w:rsidRDefault="002F7F4A" w:rsidP="00BE0E3F">
            <w:pPr>
              <w:pStyle w:val="Footer"/>
            </w:pPr>
          </w:p>
          <w:p w14:paraId="200B81D2" w14:textId="5F72225F" w:rsidR="00BE0E3F" w:rsidRPr="00DC4C6B" w:rsidRDefault="00BE0E3F" w:rsidP="00BE0E3F">
            <w:pPr>
              <w:pStyle w:val="Footer"/>
            </w:pPr>
            <w:r>
              <w:t xml:space="preserve">6.    The compliance monitoring programme under paragraph 1, the risk assessment under paragraph 2 as well as their findings shall be communicated to the Commission by 30 June XXXX [2 years after the </w:t>
            </w:r>
            <w:r>
              <w:lastRenderedPageBreak/>
              <w:t xml:space="preserve">Regulation becomes applicable], and every two years thereafter. </w:t>
            </w:r>
            <w:r w:rsidRPr="00DC4C6B">
              <w:rPr>
                <w:b/>
                <w:bCs/>
                <w:strike/>
              </w:rPr>
              <w:t>Where applicable,</w:t>
            </w:r>
            <w:r>
              <w:t xml:space="preserve"> they shall be included in the reports referred to in Article 29</w:t>
            </w:r>
          </w:p>
        </w:tc>
      </w:tr>
      <w:tr w:rsidR="00BE0E3F" w14:paraId="4A4598FB" w14:textId="77777777" w:rsidTr="00BE0E3F">
        <w:tc>
          <w:tcPr>
            <w:tcW w:w="9962" w:type="dxa"/>
            <w:gridSpan w:val="2"/>
          </w:tcPr>
          <w:p w14:paraId="707DE61F" w14:textId="77777777" w:rsidR="00BE0E3F" w:rsidRDefault="00BE0E3F" w:rsidP="00BE0E3F">
            <w:pPr>
              <w:pStyle w:val="Footer"/>
              <w:jc w:val="both"/>
            </w:pPr>
            <w:r>
              <w:lastRenderedPageBreak/>
              <w:t>Justification:</w:t>
            </w:r>
          </w:p>
          <w:p w14:paraId="28F21CFD" w14:textId="77777777" w:rsidR="00BE0E3F" w:rsidRDefault="00BE0E3F" w:rsidP="00BE0E3F">
            <w:pPr>
              <w:pStyle w:val="Footer"/>
              <w:jc w:val="both"/>
            </w:pPr>
          </w:p>
          <w:p w14:paraId="11EE60FD" w14:textId="5941C1E0" w:rsidR="00DB068E" w:rsidRDefault="00DB068E" w:rsidP="00BE0E3F">
            <w:pPr>
              <w:pStyle w:val="Footer"/>
              <w:jc w:val="both"/>
            </w:pPr>
            <w:r>
              <w:t xml:space="preserve">See explanation similar amendment page 7. </w:t>
            </w:r>
          </w:p>
          <w:p w14:paraId="5CAA162C" w14:textId="77777777" w:rsidR="00BE0E3F" w:rsidRDefault="00BE0E3F" w:rsidP="00BE0E3F">
            <w:pPr>
              <w:pStyle w:val="Footer"/>
              <w:jc w:val="both"/>
            </w:pPr>
          </w:p>
          <w:p w14:paraId="6B4ED4C6" w14:textId="77777777" w:rsidR="00BE0E3F" w:rsidRDefault="00BE0E3F" w:rsidP="00BE0E3F">
            <w:pPr>
              <w:pStyle w:val="Footer"/>
              <w:jc w:val="both"/>
            </w:pPr>
          </w:p>
        </w:tc>
      </w:tr>
    </w:tbl>
    <w:p w14:paraId="1E64A72D" w14:textId="77777777" w:rsidR="002F7F4A" w:rsidRDefault="002F7F4A" w:rsidP="00BE0E3F">
      <w:pPr>
        <w:pStyle w:val="Heading2"/>
      </w:pPr>
    </w:p>
    <w:p w14:paraId="1A433198" w14:textId="77777777" w:rsidR="002F7F4A" w:rsidRPr="002F7F4A" w:rsidRDefault="002F7F4A" w:rsidP="002F7F4A"/>
    <w:p w14:paraId="6B0AA222" w14:textId="65739694" w:rsidR="00BE0E3F" w:rsidRDefault="00DB068E" w:rsidP="00BE0E3F">
      <w:pPr>
        <w:pStyle w:val="Heading2"/>
      </w:pPr>
      <w:bookmarkStart w:id="35" w:name="_Toc164171897"/>
      <w:r>
        <w:t>Amendment to Regulation (EU) 181 / 2011 – Article 28c</w:t>
      </w:r>
      <w:bookmarkEnd w:id="35"/>
    </w:p>
    <w:p w14:paraId="11FAE119" w14:textId="77777777" w:rsidR="00BE0E3F" w:rsidRPr="00046E92" w:rsidRDefault="00BE0E3F" w:rsidP="00BE0E3F"/>
    <w:tbl>
      <w:tblPr>
        <w:tblStyle w:val="TableGrid"/>
        <w:tblW w:w="0" w:type="auto"/>
        <w:tblLook w:val="04A0" w:firstRow="1" w:lastRow="0" w:firstColumn="1" w:lastColumn="0" w:noHBand="0" w:noVBand="1"/>
      </w:tblPr>
      <w:tblGrid>
        <w:gridCol w:w="4980"/>
        <w:gridCol w:w="4982"/>
      </w:tblGrid>
      <w:tr w:rsidR="00BE0E3F" w14:paraId="2CB4BCE9" w14:textId="77777777" w:rsidTr="00BE0E3F">
        <w:tc>
          <w:tcPr>
            <w:tcW w:w="4980" w:type="dxa"/>
          </w:tcPr>
          <w:p w14:paraId="609A418A" w14:textId="77777777" w:rsidR="00BE0E3F" w:rsidRDefault="00BE0E3F" w:rsidP="00C15811">
            <w:pPr>
              <w:pStyle w:val="Footer"/>
              <w:jc w:val="both"/>
            </w:pPr>
            <w:r>
              <w:t>Commission proposal</w:t>
            </w:r>
          </w:p>
        </w:tc>
        <w:tc>
          <w:tcPr>
            <w:tcW w:w="4982" w:type="dxa"/>
          </w:tcPr>
          <w:p w14:paraId="18D13396" w14:textId="77777777" w:rsidR="00BE0E3F" w:rsidRDefault="00BE0E3F" w:rsidP="00C15811">
            <w:pPr>
              <w:pStyle w:val="Footer"/>
              <w:jc w:val="both"/>
            </w:pPr>
            <w:r>
              <w:t>EDF amendments</w:t>
            </w:r>
          </w:p>
        </w:tc>
      </w:tr>
      <w:tr w:rsidR="00BE0E3F" w14:paraId="687552AE" w14:textId="77777777" w:rsidTr="00BE0E3F">
        <w:tc>
          <w:tcPr>
            <w:tcW w:w="4980" w:type="dxa"/>
          </w:tcPr>
          <w:p w14:paraId="37ACE386" w14:textId="77777777" w:rsidR="00DB068E" w:rsidRDefault="00DB068E" w:rsidP="00DB068E">
            <w:pPr>
              <w:pStyle w:val="Footer"/>
            </w:pPr>
            <w:r>
              <w:t>Information about alternative dispute resolution by national enforcement bodies</w:t>
            </w:r>
          </w:p>
          <w:p w14:paraId="7EA16D88" w14:textId="77777777" w:rsidR="00DB068E" w:rsidRDefault="00DB068E" w:rsidP="00DB068E">
            <w:pPr>
              <w:pStyle w:val="Footer"/>
            </w:pPr>
          </w:p>
          <w:p w14:paraId="2CC0120F" w14:textId="11F40327" w:rsidR="00BE0E3F" w:rsidRDefault="00DB068E" w:rsidP="00DB068E">
            <w:pPr>
              <w:pStyle w:val="Footer"/>
            </w:pPr>
            <w:r>
              <w:t>The national enforcement body to which the passenger complains, or any other body designated by a Member State for that purpose under Article 28(3), shall inform the complainant about his or her right to approach alternative dispute resolution bodies to seek individual redress.</w:t>
            </w:r>
            <w:proofErr w:type="gramStart"/>
            <w:r>
              <w:t>’;</w:t>
            </w:r>
            <w:proofErr w:type="gramEnd"/>
          </w:p>
          <w:p w14:paraId="5F819400" w14:textId="77777777" w:rsidR="00BE0E3F" w:rsidRDefault="00BE0E3F" w:rsidP="00C15811">
            <w:pPr>
              <w:pStyle w:val="Footer"/>
            </w:pPr>
          </w:p>
        </w:tc>
        <w:tc>
          <w:tcPr>
            <w:tcW w:w="4982" w:type="dxa"/>
          </w:tcPr>
          <w:p w14:paraId="4CBF4898" w14:textId="77777777" w:rsidR="00DB068E" w:rsidRDefault="00DB068E" w:rsidP="00DB068E">
            <w:pPr>
              <w:pStyle w:val="Footer"/>
            </w:pPr>
            <w:r>
              <w:t xml:space="preserve">Information about alternative dispute resolution </w:t>
            </w:r>
            <w:r w:rsidRPr="00B415C8">
              <w:rPr>
                <w:b/>
                <w:bCs/>
                <w:i/>
                <w:iCs/>
              </w:rPr>
              <w:t>and other redress mechanisms by</w:t>
            </w:r>
            <w:r>
              <w:t xml:space="preserve"> national enforcement bodies</w:t>
            </w:r>
          </w:p>
          <w:p w14:paraId="6150BB0B" w14:textId="77777777" w:rsidR="00DB068E" w:rsidRDefault="00DB068E" w:rsidP="00DB068E">
            <w:pPr>
              <w:pStyle w:val="Footer"/>
            </w:pPr>
          </w:p>
          <w:p w14:paraId="71248E4D" w14:textId="5C734B20" w:rsidR="00DB068E" w:rsidRDefault="00DB068E" w:rsidP="00DB068E">
            <w:pPr>
              <w:pStyle w:val="Footer"/>
            </w:pPr>
            <w:r>
              <w:t xml:space="preserve">The national enforcement body to which the passenger complains, or any other body designated by a Member State for that purpose under Article 28(3), shall inform the complainant about his or her right to approach alternative dispute resolution bodies </w:t>
            </w:r>
            <w:r>
              <w:rPr>
                <w:b/>
                <w:bCs/>
                <w:i/>
                <w:iCs/>
              </w:rPr>
              <w:t xml:space="preserve">or other relevant redress mechanisms </w:t>
            </w:r>
            <w:r>
              <w:t>to seek individual redress.’</w:t>
            </w:r>
          </w:p>
          <w:p w14:paraId="0917B9F1" w14:textId="77777777" w:rsidR="00BE0E3F" w:rsidRDefault="00BE0E3F" w:rsidP="00C15811">
            <w:pPr>
              <w:pStyle w:val="Footer"/>
            </w:pPr>
          </w:p>
          <w:p w14:paraId="6E450247" w14:textId="77777777" w:rsidR="00BE0E3F" w:rsidRPr="00CD2FF3" w:rsidRDefault="00BE0E3F" w:rsidP="00C15811">
            <w:pPr>
              <w:pStyle w:val="Footer"/>
              <w:rPr>
                <w:b/>
              </w:rPr>
            </w:pPr>
            <w:r>
              <w:t xml:space="preserve"> </w:t>
            </w:r>
          </w:p>
        </w:tc>
      </w:tr>
      <w:tr w:rsidR="00BE0E3F" w14:paraId="5F7E5BE7" w14:textId="77777777" w:rsidTr="00BE0E3F">
        <w:tc>
          <w:tcPr>
            <w:tcW w:w="9962" w:type="dxa"/>
            <w:gridSpan w:val="2"/>
          </w:tcPr>
          <w:p w14:paraId="77F1C4D5" w14:textId="77777777" w:rsidR="00BE0E3F" w:rsidRDefault="00BE0E3F" w:rsidP="00C15811">
            <w:pPr>
              <w:pStyle w:val="Footer"/>
              <w:jc w:val="both"/>
            </w:pPr>
            <w:r>
              <w:t>Justification:</w:t>
            </w:r>
          </w:p>
          <w:p w14:paraId="1119279A" w14:textId="77777777" w:rsidR="00BE0E3F" w:rsidRDefault="00BE0E3F" w:rsidP="00C15811">
            <w:pPr>
              <w:pStyle w:val="Footer"/>
              <w:jc w:val="both"/>
            </w:pPr>
          </w:p>
          <w:p w14:paraId="39D9102B" w14:textId="0332394D" w:rsidR="00DB068E" w:rsidRDefault="00DB068E" w:rsidP="00C15811">
            <w:pPr>
              <w:pStyle w:val="Footer"/>
              <w:jc w:val="both"/>
            </w:pPr>
            <w:r>
              <w:t xml:space="preserve">See explanation similar amendment page 10. </w:t>
            </w:r>
          </w:p>
          <w:p w14:paraId="0D10FB1E" w14:textId="77777777" w:rsidR="00BE0E3F" w:rsidRDefault="00BE0E3F" w:rsidP="00C15811">
            <w:pPr>
              <w:pStyle w:val="Footer"/>
              <w:jc w:val="both"/>
            </w:pPr>
          </w:p>
        </w:tc>
      </w:tr>
    </w:tbl>
    <w:p w14:paraId="416FC322" w14:textId="215F2E88" w:rsidR="00BE2994" w:rsidRDefault="00BE2994" w:rsidP="00BE2994">
      <w:pPr>
        <w:pStyle w:val="Heading2"/>
      </w:pPr>
      <w:bookmarkStart w:id="36" w:name="_Toc164171898"/>
      <w:r>
        <w:t xml:space="preserve">Amendment to Regulation (EC) 181 / 2011 </w:t>
      </w:r>
      <w:r>
        <w:softHyphen/>
        <w:t>– Article 30a</w:t>
      </w:r>
      <w:r w:rsidR="002F7F4A">
        <w:t xml:space="preserve"> (paragraph 3)</w:t>
      </w:r>
      <w:bookmarkEnd w:id="36"/>
      <w:r w:rsidR="002F7F4A">
        <w:t xml:space="preserve"> </w:t>
      </w:r>
    </w:p>
    <w:p w14:paraId="779DD6E6" w14:textId="77777777" w:rsidR="00BE2994" w:rsidRPr="00046E92" w:rsidRDefault="00BE2994" w:rsidP="00BE2994"/>
    <w:tbl>
      <w:tblPr>
        <w:tblStyle w:val="TableGrid"/>
        <w:tblW w:w="0" w:type="auto"/>
        <w:tblLook w:val="04A0" w:firstRow="1" w:lastRow="0" w:firstColumn="1" w:lastColumn="0" w:noHBand="0" w:noVBand="1"/>
      </w:tblPr>
      <w:tblGrid>
        <w:gridCol w:w="4980"/>
        <w:gridCol w:w="4982"/>
      </w:tblGrid>
      <w:tr w:rsidR="00BE2994" w14:paraId="6C63A69B" w14:textId="77777777" w:rsidTr="0076685D">
        <w:tc>
          <w:tcPr>
            <w:tcW w:w="4980" w:type="dxa"/>
          </w:tcPr>
          <w:p w14:paraId="7D4A36CD" w14:textId="77777777" w:rsidR="00BE2994" w:rsidRDefault="00BE2994" w:rsidP="0076685D">
            <w:pPr>
              <w:pStyle w:val="Footer"/>
              <w:jc w:val="both"/>
            </w:pPr>
            <w:r>
              <w:t>Commission proposal</w:t>
            </w:r>
          </w:p>
        </w:tc>
        <w:tc>
          <w:tcPr>
            <w:tcW w:w="4982" w:type="dxa"/>
          </w:tcPr>
          <w:p w14:paraId="2325636A" w14:textId="77777777" w:rsidR="00BE2994" w:rsidRDefault="00BE2994" w:rsidP="0076685D">
            <w:pPr>
              <w:pStyle w:val="Footer"/>
              <w:jc w:val="both"/>
            </w:pPr>
            <w:r>
              <w:t>EDF amendments</w:t>
            </w:r>
          </w:p>
        </w:tc>
      </w:tr>
      <w:tr w:rsidR="00BE2994" w14:paraId="25F24AB7" w14:textId="77777777" w:rsidTr="0076685D">
        <w:tc>
          <w:tcPr>
            <w:tcW w:w="4980" w:type="dxa"/>
          </w:tcPr>
          <w:p w14:paraId="45FB84FD" w14:textId="77777777" w:rsidR="00BE2994" w:rsidRDefault="00BE2994" w:rsidP="0076685D">
            <w:pPr>
              <w:pStyle w:val="Footer"/>
            </w:pPr>
            <w:r>
              <w:t>Cooperation between Member States and the Commission</w:t>
            </w:r>
          </w:p>
          <w:p w14:paraId="5D29C157" w14:textId="77777777" w:rsidR="00BE2994" w:rsidRDefault="00BE2994" w:rsidP="0076685D">
            <w:pPr>
              <w:pStyle w:val="Footer"/>
            </w:pPr>
          </w:p>
          <w:p w14:paraId="58F3EC4E" w14:textId="0B6B1908" w:rsidR="00BE2994" w:rsidRDefault="00BE2994" w:rsidP="0076685D">
            <w:pPr>
              <w:pStyle w:val="Footer"/>
            </w:pPr>
          </w:p>
        </w:tc>
        <w:tc>
          <w:tcPr>
            <w:tcW w:w="4982" w:type="dxa"/>
          </w:tcPr>
          <w:p w14:paraId="20BD41AE" w14:textId="77777777" w:rsidR="00BE2994" w:rsidRDefault="00BE2994" w:rsidP="0076685D">
            <w:pPr>
              <w:pStyle w:val="Footer"/>
            </w:pPr>
            <w:r>
              <w:t>Cooperation between Member States and the Commission</w:t>
            </w:r>
          </w:p>
          <w:p w14:paraId="178D85C8" w14:textId="77777777" w:rsidR="00BE2994" w:rsidRDefault="00BE2994" w:rsidP="0076685D">
            <w:pPr>
              <w:pStyle w:val="Footer"/>
            </w:pPr>
          </w:p>
          <w:p w14:paraId="08843A4D" w14:textId="057F0E48" w:rsidR="00BE2994" w:rsidRDefault="002F7F4A" w:rsidP="0076685D">
            <w:pPr>
              <w:pStyle w:val="Footer"/>
            </w:pPr>
            <w:r>
              <w:t>(…)</w:t>
            </w:r>
          </w:p>
          <w:p w14:paraId="53BD4A47" w14:textId="77777777" w:rsidR="00BE2994" w:rsidRDefault="00BE2994" w:rsidP="0076685D">
            <w:pPr>
              <w:pStyle w:val="Footer"/>
              <w:rPr>
                <w:b/>
                <w:bCs/>
                <w:i/>
                <w:iCs/>
              </w:rPr>
            </w:pPr>
          </w:p>
          <w:p w14:paraId="1FD76960" w14:textId="77777777" w:rsidR="00BE2994" w:rsidRPr="009017C3" w:rsidRDefault="00BE2994" w:rsidP="0076685D">
            <w:pPr>
              <w:pStyle w:val="Footer"/>
              <w:rPr>
                <w:b/>
                <w:bCs/>
                <w:i/>
                <w:iCs/>
              </w:rPr>
            </w:pPr>
            <w:r w:rsidRPr="00CE2426">
              <w:rPr>
                <w:b/>
                <w:bCs/>
              </w:rPr>
              <w:lastRenderedPageBreak/>
              <w:t>(</w:t>
            </w:r>
            <w:r w:rsidRPr="00CE2426">
              <w:rPr>
                <w:b/>
                <w:bCs/>
                <w:i/>
                <w:iCs/>
              </w:rPr>
              <w:t xml:space="preserve">3 new) By 1 June XXXX [2 years after the Regulation becomes applicable] and every 2 years thereafter the Commission will publish a report that presents in a clear, easy-to-use, comparable and accessible manner all the data provided by carriers and infrastructure managers </w:t>
            </w:r>
            <w:r>
              <w:rPr>
                <w:b/>
                <w:bCs/>
                <w:i/>
                <w:iCs/>
              </w:rPr>
              <w:t>in the service quality standards performance reports referred in</w:t>
            </w:r>
            <w:r w:rsidRPr="00CE2426">
              <w:rPr>
                <w:b/>
                <w:bCs/>
                <w:i/>
                <w:iCs/>
              </w:rPr>
              <w:t xml:space="preserve"> Article </w:t>
            </w:r>
            <w:r>
              <w:rPr>
                <w:b/>
                <w:bCs/>
                <w:i/>
                <w:iCs/>
              </w:rPr>
              <w:t>26a</w:t>
            </w:r>
            <w:r w:rsidRPr="00CE2426">
              <w:rPr>
                <w:b/>
                <w:bCs/>
                <w:i/>
                <w:iCs/>
              </w:rPr>
              <w:t xml:space="preserve"> of this Regulation.</w:t>
            </w:r>
            <w:r>
              <w:t xml:space="preserve"> </w:t>
            </w:r>
          </w:p>
        </w:tc>
      </w:tr>
      <w:tr w:rsidR="00BE2994" w14:paraId="68046FD1" w14:textId="77777777" w:rsidTr="0076685D">
        <w:tc>
          <w:tcPr>
            <w:tcW w:w="9962" w:type="dxa"/>
            <w:gridSpan w:val="2"/>
          </w:tcPr>
          <w:p w14:paraId="5B2902DB" w14:textId="77777777" w:rsidR="00BE2994" w:rsidRDefault="00BE2994" w:rsidP="0076685D">
            <w:pPr>
              <w:pStyle w:val="Footer"/>
              <w:jc w:val="both"/>
              <w:rPr>
                <w:b/>
                <w:bCs/>
              </w:rPr>
            </w:pPr>
            <w:r w:rsidRPr="002A73D1">
              <w:rPr>
                <w:b/>
                <w:bCs/>
              </w:rPr>
              <w:lastRenderedPageBreak/>
              <w:t>Justification:</w:t>
            </w:r>
          </w:p>
          <w:p w14:paraId="4F5F6420" w14:textId="77777777" w:rsidR="00BE2994" w:rsidRDefault="00BE2994" w:rsidP="0076685D">
            <w:pPr>
              <w:pStyle w:val="Footer"/>
              <w:jc w:val="both"/>
              <w:rPr>
                <w:b/>
                <w:bCs/>
              </w:rPr>
            </w:pPr>
          </w:p>
          <w:p w14:paraId="1990EDEE" w14:textId="77777777" w:rsidR="00BE2994" w:rsidRDefault="00BE2994" w:rsidP="0076685D">
            <w:pPr>
              <w:pStyle w:val="Footer"/>
              <w:jc w:val="both"/>
            </w:pPr>
            <w:r>
              <w:t xml:space="preserve">See justification Amendment Page 12.  </w:t>
            </w:r>
          </w:p>
        </w:tc>
      </w:tr>
    </w:tbl>
    <w:p w14:paraId="23174FF1" w14:textId="7686434D" w:rsidR="00CD5BDC" w:rsidRPr="00DD2899" w:rsidRDefault="00CD5BDC" w:rsidP="00CD5BDC">
      <w:pPr>
        <w:pStyle w:val="Heading2"/>
      </w:pPr>
      <w:bookmarkStart w:id="37" w:name="_Toc164171899"/>
      <w:r>
        <w:t>Amendment to Regulation (EU) 2021 / 782 – Article 29 (new)</w:t>
      </w:r>
      <w:bookmarkEnd w:id="37"/>
    </w:p>
    <w:p w14:paraId="50628A05" w14:textId="77777777" w:rsidR="00CD5BDC" w:rsidRPr="00046E92" w:rsidRDefault="00CD5BDC" w:rsidP="00CD5BDC"/>
    <w:tbl>
      <w:tblPr>
        <w:tblStyle w:val="TableGrid"/>
        <w:tblW w:w="0" w:type="auto"/>
        <w:tblLook w:val="04A0" w:firstRow="1" w:lastRow="0" w:firstColumn="1" w:lastColumn="0" w:noHBand="0" w:noVBand="1"/>
      </w:tblPr>
      <w:tblGrid>
        <w:gridCol w:w="4980"/>
        <w:gridCol w:w="4982"/>
      </w:tblGrid>
      <w:tr w:rsidR="00CD5BDC" w14:paraId="0CDD5809" w14:textId="77777777" w:rsidTr="00D87B68">
        <w:tc>
          <w:tcPr>
            <w:tcW w:w="4980" w:type="dxa"/>
          </w:tcPr>
          <w:p w14:paraId="6F55C7DE" w14:textId="77777777" w:rsidR="00CD5BDC" w:rsidRDefault="00CD5BDC" w:rsidP="00D87B68">
            <w:pPr>
              <w:pStyle w:val="Footer"/>
              <w:jc w:val="both"/>
            </w:pPr>
            <w:r>
              <w:t>Commission proposal</w:t>
            </w:r>
          </w:p>
        </w:tc>
        <w:tc>
          <w:tcPr>
            <w:tcW w:w="4982" w:type="dxa"/>
          </w:tcPr>
          <w:p w14:paraId="48E1789F" w14:textId="77777777" w:rsidR="00CD5BDC" w:rsidRDefault="00CD5BDC" w:rsidP="00D87B68">
            <w:pPr>
              <w:pStyle w:val="Footer"/>
              <w:jc w:val="both"/>
            </w:pPr>
            <w:r>
              <w:t>EDF amendments</w:t>
            </w:r>
          </w:p>
        </w:tc>
      </w:tr>
      <w:tr w:rsidR="00CD5BDC" w14:paraId="714454A7" w14:textId="77777777" w:rsidTr="00D87B68">
        <w:tc>
          <w:tcPr>
            <w:tcW w:w="4980" w:type="dxa"/>
          </w:tcPr>
          <w:p w14:paraId="228716CE" w14:textId="77777777" w:rsidR="00CD5BDC" w:rsidRDefault="00CD5BDC" w:rsidP="00D87B68">
            <w:pPr>
              <w:pStyle w:val="Footer"/>
            </w:pPr>
          </w:p>
          <w:p w14:paraId="3382A5E4" w14:textId="77777777" w:rsidR="00CD5BDC" w:rsidRDefault="00CD5BDC" w:rsidP="00D87B68">
            <w:pPr>
              <w:pStyle w:val="Footer"/>
            </w:pPr>
          </w:p>
        </w:tc>
        <w:tc>
          <w:tcPr>
            <w:tcW w:w="4982" w:type="dxa"/>
          </w:tcPr>
          <w:p w14:paraId="3622F97D" w14:textId="77777777" w:rsidR="00CD5BDC" w:rsidRPr="00D47419" w:rsidRDefault="00CD5BDC" w:rsidP="00D87B68">
            <w:pPr>
              <w:pStyle w:val="Footer"/>
              <w:rPr>
                <w:b/>
                <w:bCs/>
                <w:i/>
                <w:iCs/>
              </w:rPr>
            </w:pPr>
            <w:r w:rsidRPr="00D47419">
              <w:rPr>
                <w:b/>
                <w:bCs/>
                <w:i/>
                <w:iCs/>
              </w:rPr>
              <w:t>Service quality standards</w:t>
            </w:r>
          </w:p>
          <w:p w14:paraId="76CA0C32" w14:textId="77777777" w:rsidR="00CD5BDC" w:rsidRPr="00D47419" w:rsidRDefault="00CD5BDC" w:rsidP="00D87B68">
            <w:pPr>
              <w:pStyle w:val="Footer"/>
              <w:rPr>
                <w:b/>
                <w:bCs/>
                <w:i/>
                <w:iCs/>
              </w:rPr>
            </w:pPr>
          </w:p>
          <w:p w14:paraId="4042C78F" w14:textId="77777777" w:rsidR="00CD5BDC" w:rsidRPr="00D47419" w:rsidRDefault="00CD5BDC" w:rsidP="00D87B68">
            <w:pPr>
              <w:pStyle w:val="Footer"/>
              <w:rPr>
                <w:b/>
                <w:bCs/>
                <w:i/>
                <w:iCs/>
              </w:rPr>
            </w:pPr>
            <w:r w:rsidRPr="00D47419">
              <w:rPr>
                <w:b/>
                <w:bCs/>
                <w:i/>
                <w:iCs/>
              </w:rPr>
              <w:t xml:space="preserve">1.   Railway undertakings shall establish service quality standards and implement a quality management system to maintain service quality. The service quality standards shall at least cover the items listed in Annex III and Annex V. </w:t>
            </w:r>
          </w:p>
          <w:p w14:paraId="5CEE9A48" w14:textId="77777777" w:rsidR="00CD5BDC" w:rsidRPr="00D47419" w:rsidRDefault="00CD5BDC" w:rsidP="00D87B68">
            <w:pPr>
              <w:pStyle w:val="Footer"/>
              <w:rPr>
                <w:b/>
                <w:bCs/>
                <w:i/>
                <w:iCs/>
              </w:rPr>
            </w:pPr>
          </w:p>
          <w:p w14:paraId="48A1941F" w14:textId="77777777" w:rsidR="00CD5BDC" w:rsidRPr="00D47419" w:rsidRDefault="00CD5BDC" w:rsidP="00D87B68">
            <w:pPr>
              <w:pStyle w:val="Footer"/>
              <w:rPr>
                <w:rFonts w:cs="Arial"/>
                <w:b/>
                <w:bCs/>
                <w:i/>
                <w:iCs/>
              </w:rPr>
            </w:pPr>
            <w:r w:rsidRPr="00D47419">
              <w:rPr>
                <w:rFonts w:cs="Arial"/>
                <w:b/>
                <w:bCs/>
                <w:i/>
                <w:iCs/>
              </w:rPr>
              <w:t>2.   Railway undertakings shall monitor their own performance as reflected in the service quality standards. By 30 June 2023, and every two years thereafter, they shall publish a report on their service quality performance on their website. The report based on the items of Annex V shall be published by</w:t>
            </w:r>
            <w:r w:rsidRPr="00D47419">
              <w:rPr>
                <w:rFonts w:cs="Arial"/>
                <w:b/>
                <w:bCs/>
                <w:i/>
                <w:iCs/>
                <w:color w:val="333333"/>
                <w:shd w:val="clear" w:color="auto" w:fill="FFFFFF"/>
              </w:rPr>
              <w:t xml:space="preserve"> </w:t>
            </w:r>
            <w:r w:rsidRPr="00D47419">
              <w:rPr>
                <w:rFonts w:cs="Arial"/>
                <w:b/>
                <w:bCs/>
                <w:i/>
                <w:iCs/>
                <w:shd w:val="clear" w:color="auto" w:fill="FFFFFF"/>
              </w:rPr>
              <w:t>[2 years after the day of application of this Regulation], and every two years thereafter</w:t>
            </w:r>
            <w:r w:rsidRPr="00D47419">
              <w:rPr>
                <w:rFonts w:cs="Arial"/>
                <w:b/>
                <w:bCs/>
                <w:i/>
                <w:iCs/>
                <w:sz w:val="27"/>
                <w:szCs w:val="27"/>
                <w:shd w:val="clear" w:color="auto" w:fill="FFFFFF"/>
              </w:rPr>
              <w:t>. </w:t>
            </w:r>
            <w:r w:rsidRPr="00D47419">
              <w:rPr>
                <w:rFonts w:cs="Arial"/>
                <w:b/>
                <w:bCs/>
                <w:i/>
                <w:iCs/>
              </w:rPr>
              <w:t xml:space="preserve"> Such reports shall also be made available on the website of the European Union Agency for Railways.</w:t>
            </w:r>
          </w:p>
          <w:p w14:paraId="79BC4C8A" w14:textId="77777777" w:rsidR="00CD5BDC" w:rsidRPr="00D47419" w:rsidRDefault="00CD5BDC" w:rsidP="00D87B68">
            <w:pPr>
              <w:pStyle w:val="Footer"/>
              <w:rPr>
                <w:b/>
                <w:bCs/>
                <w:i/>
                <w:iCs/>
              </w:rPr>
            </w:pPr>
          </w:p>
          <w:p w14:paraId="47D13DD2" w14:textId="77777777" w:rsidR="00CD5BDC" w:rsidRPr="00D47419" w:rsidRDefault="00CD5BDC" w:rsidP="00D87B68">
            <w:pPr>
              <w:pStyle w:val="Footer"/>
              <w:rPr>
                <w:b/>
                <w:bCs/>
                <w:i/>
                <w:iCs/>
              </w:rPr>
            </w:pPr>
            <w:r w:rsidRPr="00D47419">
              <w:rPr>
                <w:b/>
                <w:bCs/>
                <w:i/>
                <w:iCs/>
              </w:rPr>
              <w:t xml:space="preserve">3.   Station managers shall establish service quality standards based on the relevant items listed in Annex III and </w:t>
            </w:r>
            <w:r w:rsidRPr="00D47419">
              <w:rPr>
                <w:b/>
                <w:bCs/>
                <w:i/>
                <w:iCs/>
              </w:rPr>
              <w:lastRenderedPageBreak/>
              <w:t xml:space="preserve">Annex V. They shall monitor their performance pursuant to those standards and publish a report on their service quality performance on their website by [2 years after the Regulation becomes applicable], and every two years thereafter. Station managers shall provide access to the information on their performance to the national public authorities on request. </w:t>
            </w:r>
          </w:p>
          <w:p w14:paraId="413D8C83" w14:textId="77777777" w:rsidR="00CD5BDC" w:rsidRPr="00D47419" w:rsidRDefault="00CD5BDC" w:rsidP="00D87B68">
            <w:pPr>
              <w:pStyle w:val="Footer"/>
              <w:rPr>
                <w:b/>
                <w:bCs/>
                <w:i/>
                <w:iCs/>
              </w:rPr>
            </w:pPr>
            <w:r w:rsidRPr="00D47419">
              <w:rPr>
                <w:b/>
                <w:bCs/>
                <w:i/>
                <w:iCs/>
              </w:rPr>
              <w:t xml:space="preserve"> </w:t>
            </w:r>
          </w:p>
        </w:tc>
      </w:tr>
      <w:tr w:rsidR="00CD5BDC" w14:paraId="7FA8902D" w14:textId="77777777" w:rsidTr="00D87B68">
        <w:tc>
          <w:tcPr>
            <w:tcW w:w="9962" w:type="dxa"/>
            <w:gridSpan w:val="2"/>
          </w:tcPr>
          <w:p w14:paraId="65708D6A" w14:textId="77777777" w:rsidR="00CD5BDC" w:rsidRPr="002F5917" w:rsidRDefault="00CD5BDC" w:rsidP="00D87B68">
            <w:pPr>
              <w:pStyle w:val="Footer"/>
              <w:jc w:val="both"/>
              <w:rPr>
                <w:b/>
                <w:bCs/>
              </w:rPr>
            </w:pPr>
            <w:r w:rsidRPr="002F5917">
              <w:rPr>
                <w:b/>
                <w:bCs/>
              </w:rPr>
              <w:lastRenderedPageBreak/>
              <w:t>Justification:</w:t>
            </w:r>
          </w:p>
          <w:p w14:paraId="29EE1A5D" w14:textId="77777777" w:rsidR="00CD5BDC" w:rsidRDefault="00CD5BDC" w:rsidP="00D87B68">
            <w:pPr>
              <w:pStyle w:val="Footer"/>
              <w:jc w:val="both"/>
            </w:pPr>
          </w:p>
          <w:p w14:paraId="2E76291E" w14:textId="674DEAAB" w:rsidR="00CD5BDC" w:rsidRDefault="00CD5BDC" w:rsidP="00D87B68">
            <w:pPr>
              <w:pStyle w:val="Footer"/>
              <w:jc w:val="both"/>
            </w:pPr>
            <w:bookmarkStart w:id="38" w:name="_Hlk163485327"/>
            <w:r>
              <w:t xml:space="preserve">The introduction of Service Quality Standards with public information on the number and nature of complaints </w:t>
            </w:r>
            <w:r w:rsidR="00F30BB4">
              <w:t xml:space="preserve">as well as data on the assistance provided to persons with disabilities and reduced mobility </w:t>
            </w:r>
            <w:r>
              <w:t xml:space="preserve">is one of the main novelties for the proposal. However, while the proposal obliges air, waterborne and bus and coach carriers to collect and publish information (and infrastructure managers to collect it and share it with public authorities when requested), nothing is said about rail undertakings and infrastructure managers. </w:t>
            </w:r>
          </w:p>
          <w:p w14:paraId="06143ABF" w14:textId="77777777" w:rsidR="00CD5BDC" w:rsidRDefault="00CD5BDC" w:rsidP="00D87B68">
            <w:pPr>
              <w:pStyle w:val="Footer"/>
              <w:jc w:val="both"/>
            </w:pPr>
          </w:p>
          <w:p w14:paraId="511E5281" w14:textId="2B5F5D11" w:rsidR="00CD5BDC" w:rsidRDefault="00CD5BDC" w:rsidP="00D87B68">
            <w:pPr>
              <w:pStyle w:val="Footer"/>
              <w:jc w:val="both"/>
            </w:pPr>
            <w:r>
              <w:t xml:space="preserve">While it is true that article 29 of Regulation 2021/782 obliges rail undertakings and station managers to monitor and, where appropriate, publish a report on compliance with quality standards, this is based on Annex III. In its current form, such Annex provides no reference to the need to monitor and report </w:t>
            </w:r>
            <w:r w:rsidR="00F30BB4">
              <w:t>the assistance provided to persons with disabilities (including the cases of denied boarding, damaged or lost mobility equipment or imposition of an accompanying person)</w:t>
            </w:r>
            <w:r>
              <w:t xml:space="preserve">. For this reason, EDF amendment proposes to create a new Annex V, that mirrors what has already been proposed for the other transport modes. </w:t>
            </w:r>
          </w:p>
          <w:bookmarkEnd w:id="38"/>
          <w:p w14:paraId="135003A5" w14:textId="77777777" w:rsidR="00CD5BDC" w:rsidRDefault="00CD5BDC" w:rsidP="00D87B68">
            <w:pPr>
              <w:pStyle w:val="Footer"/>
              <w:jc w:val="both"/>
            </w:pPr>
          </w:p>
        </w:tc>
      </w:tr>
    </w:tbl>
    <w:p w14:paraId="330F875D" w14:textId="77777777" w:rsidR="00B25005" w:rsidRDefault="00B25005" w:rsidP="00BE2994"/>
    <w:p w14:paraId="0D989AFE" w14:textId="3D990988" w:rsidR="00BE0E3F" w:rsidRDefault="00DB068E" w:rsidP="00BE0E3F">
      <w:pPr>
        <w:pStyle w:val="Heading2"/>
      </w:pPr>
      <w:bookmarkStart w:id="39" w:name="_Toc164171900"/>
      <w:r>
        <w:t>Amendment to Regulation (EU) 2021 / 782</w:t>
      </w:r>
      <w:r w:rsidR="00505996">
        <w:t xml:space="preserve"> </w:t>
      </w:r>
      <w:r>
        <w:t xml:space="preserve">– </w:t>
      </w:r>
      <w:r w:rsidR="00505996">
        <w:t>Article 30a</w:t>
      </w:r>
      <w:bookmarkEnd w:id="39"/>
    </w:p>
    <w:p w14:paraId="327EAF3B" w14:textId="77777777" w:rsidR="00BE0E3F" w:rsidRPr="00046E92" w:rsidRDefault="00BE0E3F" w:rsidP="00BE0E3F"/>
    <w:tbl>
      <w:tblPr>
        <w:tblStyle w:val="TableGrid"/>
        <w:tblW w:w="0" w:type="auto"/>
        <w:tblLook w:val="04A0" w:firstRow="1" w:lastRow="0" w:firstColumn="1" w:lastColumn="0" w:noHBand="0" w:noVBand="1"/>
      </w:tblPr>
      <w:tblGrid>
        <w:gridCol w:w="4980"/>
        <w:gridCol w:w="4982"/>
      </w:tblGrid>
      <w:tr w:rsidR="00BE0E3F" w14:paraId="7EF586B5" w14:textId="77777777" w:rsidTr="00BE0E3F">
        <w:tc>
          <w:tcPr>
            <w:tcW w:w="4980" w:type="dxa"/>
          </w:tcPr>
          <w:p w14:paraId="411543AC" w14:textId="77777777" w:rsidR="00BE0E3F" w:rsidRDefault="00BE0E3F" w:rsidP="00C15811">
            <w:pPr>
              <w:pStyle w:val="Footer"/>
              <w:jc w:val="both"/>
            </w:pPr>
            <w:r>
              <w:t>Commission proposal</w:t>
            </w:r>
          </w:p>
        </w:tc>
        <w:tc>
          <w:tcPr>
            <w:tcW w:w="4982" w:type="dxa"/>
          </w:tcPr>
          <w:p w14:paraId="67D20422" w14:textId="77777777" w:rsidR="00BE0E3F" w:rsidRDefault="00BE0E3F" w:rsidP="00C15811">
            <w:pPr>
              <w:pStyle w:val="Footer"/>
              <w:jc w:val="both"/>
            </w:pPr>
            <w:r>
              <w:t>EDF amendments</w:t>
            </w:r>
          </w:p>
        </w:tc>
      </w:tr>
      <w:tr w:rsidR="00BE0E3F" w14:paraId="4142F9C3" w14:textId="77777777" w:rsidTr="00BE0E3F">
        <w:tc>
          <w:tcPr>
            <w:tcW w:w="4980" w:type="dxa"/>
          </w:tcPr>
          <w:p w14:paraId="2C3DBF59" w14:textId="77777777" w:rsidR="00BE0E3F" w:rsidRDefault="00BE0E3F" w:rsidP="00C15811">
            <w:pPr>
              <w:pStyle w:val="Footer"/>
            </w:pPr>
          </w:p>
          <w:p w14:paraId="4CC9A758" w14:textId="77777777" w:rsidR="00505996" w:rsidRDefault="00505996" w:rsidP="00505996">
            <w:pPr>
              <w:pStyle w:val="Footer"/>
            </w:pPr>
            <w:r>
              <w:t>Means of communication with passengers</w:t>
            </w:r>
          </w:p>
          <w:p w14:paraId="6F25A85E" w14:textId="77777777" w:rsidR="00505996" w:rsidRDefault="00505996" w:rsidP="00505996">
            <w:pPr>
              <w:pStyle w:val="Footer"/>
            </w:pPr>
          </w:p>
          <w:p w14:paraId="57E27AE5" w14:textId="12B91058" w:rsidR="00BE0E3F" w:rsidRDefault="00505996" w:rsidP="00505996">
            <w:pPr>
              <w:pStyle w:val="Footer"/>
            </w:pPr>
            <w:r>
              <w:t xml:space="preserve">Where information under this Regulation is provided to passengers by electronic means of communication, railway undertakings, station managers, ticket vendors and tour operators shall ensure that the passenger can keep any written correspondence, including the date and time of such </w:t>
            </w:r>
            <w:r>
              <w:lastRenderedPageBreak/>
              <w:t>correspondence, on a durable medium. All means of communication shall enable the passenger to contact them quickly and communicate efficiently.</w:t>
            </w:r>
          </w:p>
        </w:tc>
        <w:tc>
          <w:tcPr>
            <w:tcW w:w="4982" w:type="dxa"/>
          </w:tcPr>
          <w:p w14:paraId="26917A8F" w14:textId="77777777" w:rsidR="00BE0E3F" w:rsidRDefault="00BE0E3F" w:rsidP="00C15811">
            <w:pPr>
              <w:pStyle w:val="Footer"/>
            </w:pPr>
          </w:p>
          <w:p w14:paraId="1D598714" w14:textId="77777777" w:rsidR="00505996" w:rsidRDefault="00BE0E3F" w:rsidP="00505996">
            <w:pPr>
              <w:pStyle w:val="Footer"/>
            </w:pPr>
            <w:r>
              <w:t xml:space="preserve"> </w:t>
            </w:r>
            <w:r w:rsidR="00505996">
              <w:t>Means of communication with passengers</w:t>
            </w:r>
          </w:p>
          <w:p w14:paraId="0E9FDC64" w14:textId="77777777" w:rsidR="00505996" w:rsidRDefault="00505996" w:rsidP="00505996">
            <w:pPr>
              <w:pStyle w:val="Footer"/>
            </w:pPr>
          </w:p>
          <w:p w14:paraId="361791D9" w14:textId="171B0AA4" w:rsidR="00BE0E3F" w:rsidRPr="00CD2FF3" w:rsidRDefault="00505996" w:rsidP="00505996">
            <w:pPr>
              <w:pStyle w:val="Footer"/>
              <w:rPr>
                <w:b/>
              </w:rPr>
            </w:pPr>
            <w:r>
              <w:t xml:space="preserve">Where information under this Regulation is provided to passengers by electronic means of communication, railway undertakings, station managers, ticket vendors and tour operators shall ensure that </w:t>
            </w:r>
            <w:r w:rsidRPr="00DE4A09">
              <w:rPr>
                <w:b/>
                <w:bCs/>
                <w:i/>
                <w:iCs/>
              </w:rPr>
              <w:t>it is</w:t>
            </w:r>
            <w:r>
              <w:t xml:space="preserve"> </w:t>
            </w:r>
            <w:r w:rsidRPr="00554002">
              <w:rPr>
                <w:b/>
                <w:bCs/>
                <w:i/>
                <w:iCs/>
              </w:rPr>
              <w:t xml:space="preserve">provided in accessible formats </w:t>
            </w:r>
            <w:r>
              <w:rPr>
                <w:b/>
                <w:bCs/>
                <w:i/>
                <w:iCs/>
              </w:rPr>
              <w:t xml:space="preserve">in accordance with the accessibility requirements set out in </w:t>
            </w:r>
            <w:r>
              <w:rPr>
                <w:b/>
                <w:bCs/>
                <w:i/>
                <w:iCs/>
              </w:rPr>
              <w:lastRenderedPageBreak/>
              <w:t>Annex I of Directive 2019/882 and that</w:t>
            </w:r>
            <w:r>
              <w:t xml:space="preserve"> the passenger can keep any written correspondence, including the date and time of such correspondence, on a durable medium. All means of communication shall enable the passenger to contact them quickly and communicate efficiently.</w:t>
            </w:r>
          </w:p>
        </w:tc>
      </w:tr>
      <w:tr w:rsidR="00BE0E3F" w14:paraId="1D19F8EF" w14:textId="77777777" w:rsidTr="00BE0E3F">
        <w:tc>
          <w:tcPr>
            <w:tcW w:w="9962" w:type="dxa"/>
            <w:gridSpan w:val="2"/>
          </w:tcPr>
          <w:p w14:paraId="41749611" w14:textId="77777777" w:rsidR="00BE0E3F" w:rsidRDefault="00BE0E3F" w:rsidP="00C15811">
            <w:pPr>
              <w:pStyle w:val="Footer"/>
              <w:jc w:val="both"/>
            </w:pPr>
            <w:r>
              <w:lastRenderedPageBreak/>
              <w:t>Justification:</w:t>
            </w:r>
          </w:p>
          <w:p w14:paraId="11A3A58B" w14:textId="77777777" w:rsidR="00505996" w:rsidRDefault="00505996" w:rsidP="00C15811">
            <w:pPr>
              <w:pStyle w:val="Footer"/>
              <w:jc w:val="both"/>
            </w:pPr>
          </w:p>
          <w:p w14:paraId="389A78E5" w14:textId="30355A09" w:rsidR="00505996" w:rsidRDefault="00505996" w:rsidP="00C15811">
            <w:pPr>
              <w:pStyle w:val="Footer"/>
              <w:jc w:val="both"/>
            </w:pPr>
            <w:r>
              <w:t xml:space="preserve">See similar amendment in page 14. </w:t>
            </w:r>
          </w:p>
          <w:p w14:paraId="181FF580" w14:textId="77777777" w:rsidR="00BE0E3F" w:rsidRDefault="00BE0E3F" w:rsidP="00C15811">
            <w:pPr>
              <w:pStyle w:val="Footer"/>
              <w:jc w:val="both"/>
            </w:pPr>
          </w:p>
        </w:tc>
      </w:tr>
    </w:tbl>
    <w:p w14:paraId="26D97678" w14:textId="77777777" w:rsidR="00505996" w:rsidRPr="00505996" w:rsidRDefault="00505996" w:rsidP="00505996"/>
    <w:p w14:paraId="086F9C9A" w14:textId="2B12872D" w:rsidR="00BE0E3F" w:rsidRDefault="00505996" w:rsidP="00BE0E3F">
      <w:pPr>
        <w:pStyle w:val="Heading2"/>
      </w:pPr>
      <w:bookmarkStart w:id="40" w:name="_Toc164171901"/>
      <w:r>
        <w:t xml:space="preserve">Amendment to Regulation (EU) 2021 / 782 – Article 32a </w:t>
      </w:r>
      <w:r w:rsidR="00FB4AF6">
        <w:t>(paragraphs 4 and 6)</w:t>
      </w:r>
      <w:bookmarkEnd w:id="40"/>
    </w:p>
    <w:p w14:paraId="3CD78721" w14:textId="77777777" w:rsidR="00BE0E3F" w:rsidRPr="00046E92" w:rsidRDefault="00BE0E3F" w:rsidP="00BE0E3F"/>
    <w:tbl>
      <w:tblPr>
        <w:tblStyle w:val="TableGrid"/>
        <w:tblW w:w="0" w:type="auto"/>
        <w:tblLook w:val="04A0" w:firstRow="1" w:lastRow="0" w:firstColumn="1" w:lastColumn="0" w:noHBand="0" w:noVBand="1"/>
      </w:tblPr>
      <w:tblGrid>
        <w:gridCol w:w="4980"/>
        <w:gridCol w:w="4982"/>
      </w:tblGrid>
      <w:tr w:rsidR="00BE0E3F" w14:paraId="6DF94209" w14:textId="77777777" w:rsidTr="00505996">
        <w:tc>
          <w:tcPr>
            <w:tcW w:w="4980" w:type="dxa"/>
          </w:tcPr>
          <w:p w14:paraId="3367C5E5" w14:textId="77777777" w:rsidR="00BE0E3F" w:rsidRDefault="00BE0E3F" w:rsidP="00C15811">
            <w:pPr>
              <w:pStyle w:val="Footer"/>
              <w:jc w:val="both"/>
            </w:pPr>
            <w:r>
              <w:t>Commission proposal</w:t>
            </w:r>
          </w:p>
        </w:tc>
        <w:tc>
          <w:tcPr>
            <w:tcW w:w="4982" w:type="dxa"/>
          </w:tcPr>
          <w:p w14:paraId="2F1FB1EB" w14:textId="77777777" w:rsidR="00BE0E3F" w:rsidRDefault="00BE0E3F" w:rsidP="00C15811">
            <w:pPr>
              <w:pStyle w:val="Footer"/>
              <w:jc w:val="both"/>
            </w:pPr>
            <w:r>
              <w:t>EDF amendments</w:t>
            </w:r>
          </w:p>
        </w:tc>
      </w:tr>
      <w:tr w:rsidR="00BE0E3F" w14:paraId="3D823095" w14:textId="77777777" w:rsidTr="00505996">
        <w:tc>
          <w:tcPr>
            <w:tcW w:w="4980" w:type="dxa"/>
          </w:tcPr>
          <w:p w14:paraId="44699F52" w14:textId="77777777" w:rsidR="00505996" w:rsidRDefault="00505996" w:rsidP="00505996">
            <w:pPr>
              <w:pStyle w:val="Footer"/>
            </w:pPr>
            <w:r>
              <w:t>Risk-based approach to the monitoring of compliance with passenger rights</w:t>
            </w:r>
          </w:p>
          <w:p w14:paraId="2311DEFD" w14:textId="77777777" w:rsidR="00505996" w:rsidRDefault="00505996" w:rsidP="00505996">
            <w:pPr>
              <w:pStyle w:val="Footer"/>
            </w:pPr>
          </w:p>
          <w:p w14:paraId="3AA21E6B" w14:textId="5126F47A" w:rsidR="00505996" w:rsidRDefault="002F7F4A" w:rsidP="00505996">
            <w:pPr>
              <w:pStyle w:val="Footer"/>
            </w:pPr>
            <w:r>
              <w:t>(…)</w:t>
            </w:r>
          </w:p>
          <w:p w14:paraId="3A715646" w14:textId="77777777" w:rsidR="002F7F4A" w:rsidRDefault="002F7F4A" w:rsidP="00505996">
            <w:pPr>
              <w:pStyle w:val="Footer"/>
            </w:pPr>
          </w:p>
          <w:p w14:paraId="7875B8D2" w14:textId="77777777" w:rsidR="00505996" w:rsidRDefault="00505996" w:rsidP="00505996">
            <w:pPr>
              <w:pStyle w:val="Footer"/>
            </w:pPr>
            <w:r>
              <w:t>4.    Compliance monitoring activities shall be based on the assessment of risks and carried out by means of audits, inspections, interviews, verifications and examination of documents as appropriate. They shall include both announced and unannounced activities. The monitoring activities shall be proportionate to the risks identified.</w:t>
            </w:r>
          </w:p>
          <w:p w14:paraId="57405B34" w14:textId="77777777" w:rsidR="00505996" w:rsidRDefault="00505996" w:rsidP="00505996">
            <w:pPr>
              <w:pStyle w:val="Footer"/>
            </w:pPr>
          </w:p>
          <w:p w14:paraId="701DABE8" w14:textId="26103DF8" w:rsidR="00505996" w:rsidRDefault="00FB4AF6" w:rsidP="00505996">
            <w:pPr>
              <w:pStyle w:val="Footer"/>
            </w:pPr>
            <w:r>
              <w:t>(…)</w:t>
            </w:r>
          </w:p>
          <w:p w14:paraId="476F0E59" w14:textId="77777777" w:rsidR="00FB4AF6" w:rsidRDefault="00FB4AF6" w:rsidP="00505996">
            <w:pPr>
              <w:pStyle w:val="Footer"/>
            </w:pPr>
          </w:p>
          <w:p w14:paraId="2A0BDC89" w14:textId="3D58DED7" w:rsidR="00BE0E3F" w:rsidRDefault="00505996" w:rsidP="00505996">
            <w:pPr>
              <w:pStyle w:val="Footer"/>
            </w:pPr>
            <w:r>
              <w:t>6.    The compliance monitoring programme under paragraph 1, the risk assessment under paragraph 2 as well as their findings shall be communicated to the Commission by 30 June XXXX [2 years after the Regulation becomes applicable], and every two years thereafter. Where applicable, they shall be included in the reports referred to in Article 32(3).’;</w:t>
            </w:r>
          </w:p>
        </w:tc>
        <w:tc>
          <w:tcPr>
            <w:tcW w:w="4982" w:type="dxa"/>
          </w:tcPr>
          <w:p w14:paraId="7FA2A1E5" w14:textId="41C7BFA6" w:rsidR="00505996" w:rsidRDefault="00505996" w:rsidP="00505996">
            <w:pPr>
              <w:pStyle w:val="Footer"/>
            </w:pPr>
            <w:r>
              <w:t>Risk-based approach to the monitoring of compliance with passenger rights</w:t>
            </w:r>
          </w:p>
          <w:p w14:paraId="1D29D943" w14:textId="77777777" w:rsidR="00505996" w:rsidRDefault="00505996" w:rsidP="00505996">
            <w:pPr>
              <w:pStyle w:val="Footer"/>
            </w:pPr>
          </w:p>
          <w:p w14:paraId="003419F2" w14:textId="11268433" w:rsidR="00505996" w:rsidRDefault="002F7F4A" w:rsidP="002F7F4A">
            <w:pPr>
              <w:pStyle w:val="Footer"/>
            </w:pPr>
            <w:r>
              <w:t>(…)</w:t>
            </w:r>
            <w:r w:rsidR="00505996">
              <w:t xml:space="preserve"> </w:t>
            </w:r>
          </w:p>
          <w:p w14:paraId="69D41694" w14:textId="77777777" w:rsidR="00505996" w:rsidRDefault="00505996" w:rsidP="00505996">
            <w:pPr>
              <w:pStyle w:val="Footer"/>
            </w:pPr>
          </w:p>
          <w:p w14:paraId="0873186B" w14:textId="3331B694" w:rsidR="00505996" w:rsidRDefault="00505996" w:rsidP="00505996">
            <w:pPr>
              <w:pStyle w:val="Footer"/>
            </w:pPr>
            <w:r>
              <w:t xml:space="preserve">4.    Compliance monitoring activities shall be based on the assessment of risks and carried out by means of audits, </w:t>
            </w:r>
            <w:r w:rsidRPr="00201F3D">
              <w:rPr>
                <w:b/>
                <w:bCs/>
                <w:i/>
                <w:iCs/>
              </w:rPr>
              <w:t>website</w:t>
            </w:r>
            <w:r>
              <w:rPr>
                <w:b/>
                <w:bCs/>
                <w:i/>
                <w:iCs/>
              </w:rPr>
              <w:t xml:space="preserve"> and </w:t>
            </w:r>
            <w:r w:rsidR="001212F2">
              <w:rPr>
                <w:b/>
                <w:bCs/>
                <w:i/>
                <w:iCs/>
              </w:rPr>
              <w:t xml:space="preserve">mobile </w:t>
            </w:r>
            <w:r>
              <w:rPr>
                <w:b/>
                <w:bCs/>
                <w:i/>
                <w:iCs/>
              </w:rPr>
              <w:t>app</w:t>
            </w:r>
            <w:r w:rsidR="001212F2">
              <w:rPr>
                <w:b/>
                <w:bCs/>
                <w:i/>
                <w:iCs/>
              </w:rPr>
              <w:t>lications</w:t>
            </w:r>
            <w:r w:rsidRPr="00201F3D">
              <w:rPr>
                <w:b/>
                <w:bCs/>
                <w:i/>
                <w:iCs/>
              </w:rPr>
              <w:t xml:space="preserve"> reviews</w:t>
            </w:r>
            <w:r>
              <w:rPr>
                <w:b/>
                <w:bCs/>
                <w:i/>
                <w:iCs/>
              </w:rPr>
              <w:t xml:space="preserve"> – including on </w:t>
            </w:r>
            <w:proofErr w:type="gramStart"/>
            <w:r>
              <w:rPr>
                <w:b/>
                <w:bCs/>
                <w:i/>
                <w:iCs/>
              </w:rPr>
              <w:t xml:space="preserve">accessibility </w:t>
            </w:r>
            <w:r>
              <w:t xml:space="preserve"> </w:t>
            </w:r>
            <w:r>
              <w:rPr>
                <w:b/>
                <w:bCs/>
                <w:i/>
                <w:iCs/>
              </w:rPr>
              <w:t>–</w:t>
            </w:r>
            <w:proofErr w:type="gramEnd"/>
            <w:r>
              <w:rPr>
                <w:b/>
                <w:bCs/>
                <w:i/>
                <w:iCs/>
              </w:rPr>
              <w:t xml:space="preserve"> </w:t>
            </w:r>
            <w:r>
              <w:t xml:space="preserve">inspections, interviews, verifications and examination of documents as appropriate. </w:t>
            </w:r>
            <w:r w:rsidRPr="00DD2899">
              <w:rPr>
                <w:i/>
                <w:iCs/>
              </w:rPr>
              <w:t>They shall include both announced and unannounced activities</w:t>
            </w:r>
            <w:r w:rsidRPr="00285E4C">
              <w:rPr>
                <w:b/>
                <w:bCs/>
                <w:i/>
                <w:iCs/>
              </w:rPr>
              <w:t xml:space="preserve"> </w:t>
            </w:r>
            <w:r>
              <w:rPr>
                <w:b/>
                <w:bCs/>
                <w:i/>
                <w:iCs/>
              </w:rPr>
              <w:t>which should</w:t>
            </w:r>
            <w:r w:rsidRPr="00285E4C">
              <w:rPr>
                <w:b/>
                <w:bCs/>
                <w:i/>
                <w:iCs/>
              </w:rPr>
              <w:t xml:space="preserve"> be carried out in cooperation with persons with disabilities and their representative organisations</w:t>
            </w:r>
            <w:r>
              <w:rPr>
                <w:b/>
                <w:bCs/>
                <w:i/>
                <w:iCs/>
              </w:rPr>
              <w:t>, where relevant</w:t>
            </w:r>
            <w:r>
              <w:t>.  inspections, interviews, verifications and examination of documents as appropriate. They shall include both announced and unannounced activities. The monitoring activities shall be proportionate to the risks identified.</w:t>
            </w:r>
          </w:p>
          <w:p w14:paraId="427C6AE8" w14:textId="77777777" w:rsidR="00505996" w:rsidRDefault="00505996" w:rsidP="00505996">
            <w:pPr>
              <w:pStyle w:val="Footer"/>
            </w:pPr>
          </w:p>
          <w:p w14:paraId="3A1E1C4D" w14:textId="16D283E1" w:rsidR="00505996" w:rsidRDefault="00FB4AF6" w:rsidP="00505996">
            <w:pPr>
              <w:pStyle w:val="Footer"/>
            </w:pPr>
            <w:r>
              <w:t>(…)</w:t>
            </w:r>
          </w:p>
          <w:p w14:paraId="30307D88" w14:textId="77777777" w:rsidR="00505996" w:rsidRDefault="00505996" w:rsidP="00505996">
            <w:pPr>
              <w:pStyle w:val="Footer"/>
            </w:pPr>
          </w:p>
          <w:p w14:paraId="4FE273D2" w14:textId="4F4C8FCA" w:rsidR="00BE0E3F" w:rsidRPr="00CD2FF3" w:rsidRDefault="00505996" w:rsidP="00505996">
            <w:pPr>
              <w:pStyle w:val="Footer"/>
              <w:rPr>
                <w:b/>
              </w:rPr>
            </w:pPr>
            <w:r>
              <w:lastRenderedPageBreak/>
              <w:t xml:space="preserve">6.    The compliance monitoring programme under paragraph 1, the risk assessment under paragraph 2 as well as their findings shall be communicated to the Commission by 30 June XXXX [2 years after the Regulation becomes applicable], and every two years thereafter. </w:t>
            </w:r>
            <w:r w:rsidRPr="009F0A3D">
              <w:rPr>
                <w:b/>
                <w:bCs/>
                <w:strike/>
              </w:rPr>
              <w:t>Where applicable,</w:t>
            </w:r>
            <w:r>
              <w:t xml:space="preserve"> they shall be included in the reports referred to in Article 32(3).’;</w:t>
            </w:r>
          </w:p>
        </w:tc>
      </w:tr>
      <w:tr w:rsidR="00BE0E3F" w14:paraId="16EE6C23" w14:textId="77777777" w:rsidTr="00505996">
        <w:tc>
          <w:tcPr>
            <w:tcW w:w="9962" w:type="dxa"/>
            <w:gridSpan w:val="2"/>
          </w:tcPr>
          <w:p w14:paraId="468E902E" w14:textId="77777777" w:rsidR="00BE0E3F" w:rsidRDefault="00BE0E3F" w:rsidP="00C15811">
            <w:pPr>
              <w:pStyle w:val="Footer"/>
              <w:jc w:val="both"/>
            </w:pPr>
            <w:r>
              <w:lastRenderedPageBreak/>
              <w:t>Justification:</w:t>
            </w:r>
          </w:p>
          <w:p w14:paraId="663E1C8F" w14:textId="77777777" w:rsidR="00BE0E3F" w:rsidRDefault="00BE0E3F" w:rsidP="00C15811">
            <w:pPr>
              <w:pStyle w:val="Footer"/>
              <w:jc w:val="both"/>
            </w:pPr>
          </w:p>
          <w:p w14:paraId="226EF7CC" w14:textId="28488114" w:rsidR="00DD2899" w:rsidRDefault="00DD2899" w:rsidP="00C15811">
            <w:pPr>
              <w:pStyle w:val="Footer"/>
              <w:jc w:val="both"/>
            </w:pPr>
            <w:r>
              <w:t>See similar amendment page 7</w:t>
            </w:r>
            <w:r w:rsidR="00EB2B2A">
              <w:t xml:space="preserve">. </w:t>
            </w:r>
          </w:p>
          <w:p w14:paraId="77DA90B5" w14:textId="77777777" w:rsidR="00BE0E3F" w:rsidRDefault="00BE0E3F" w:rsidP="00C15811">
            <w:pPr>
              <w:pStyle w:val="Footer"/>
              <w:jc w:val="both"/>
            </w:pPr>
          </w:p>
        </w:tc>
      </w:tr>
    </w:tbl>
    <w:p w14:paraId="396C4050" w14:textId="587C09F8" w:rsidR="00CD5BDC" w:rsidRDefault="00CD5BDC" w:rsidP="00CD5BDC">
      <w:pPr>
        <w:pStyle w:val="Heading2"/>
      </w:pPr>
      <w:bookmarkStart w:id="41" w:name="_Toc164171902"/>
      <w:r>
        <w:t xml:space="preserve">Amendment to Regulation (EC) 2021 / 782 </w:t>
      </w:r>
      <w:r>
        <w:softHyphen/>
        <w:t>– Article 34a</w:t>
      </w:r>
      <w:r w:rsidR="00F13D98">
        <w:t xml:space="preserve"> (paragraph 3 new)</w:t>
      </w:r>
      <w:bookmarkEnd w:id="41"/>
    </w:p>
    <w:p w14:paraId="08EC12C9" w14:textId="77777777" w:rsidR="00CD5BDC" w:rsidRPr="00046E92" w:rsidRDefault="00CD5BDC" w:rsidP="00CD5BDC"/>
    <w:tbl>
      <w:tblPr>
        <w:tblStyle w:val="TableGrid"/>
        <w:tblW w:w="0" w:type="auto"/>
        <w:tblLook w:val="04A0" w:firstRow="1" w:lastRow="0" w:firstColumn="1" w:lastColumn="0" w:noHBand="0" w:noVBand="1"/>
      </w:tblPr>
      <w:tblGrid>
        <w:gridCol w:w="4980"/>
        <w:gridCol w:w="4982"/>
      </w:tblGrid>
      <w:tr w:rsidR="00CD5BDC" w14:paraId="73ADEAF5" w14:textId="77777777" w:rsidTr="00D87B68">
        <w:tc>
          <w:tcPr>
            <w:tcW w:w="4980" w:type="dxa"/>
          </w:tcPr>
          <w:p w14:paraId="639954B3" w14:textId="77777777" w:rsidR="00CD5BDC" w:rsidRDefault="00CD5BDC" w:rsidP="00D87B68">
            <w:pPr>
              <w:pStyle w:val="Footer"/>
              <w:jc w:val="both"/>
            </w:pPr>
            <w:r>
              <w:t>Commission proposal</w:t>
            </w:r>
          </w:p>
        </w:tc>
        <w:tc>
          <w:tcPr>
            <w:tcW w:w="4982" w:type="dxa"/>
          </w:tcPr>
          <w:p w14:paraId="0C535343" w14:textId="77777777" w:rsidR="00CD5BDC" w:rsidRDefault="00CD5BDC" w:rsidP="00D87B68">
            <w:pPr>
              <w:pStyle w:val="Footer"/>
              <w:jc w:val="both"/>
            </w:pPr>
            <w:r>
              <w:t>EDF amendments</w:t>
            </w:r>
          </w:p>
        </w:tc>
      </w:tr>
      <w:tr w:rsidR="00CD5BDC" w14:paraId="29E60D59" w14:textId="77777777" w:rsidTr="00D87B68">
        <w:tc>
          <w:tcPr>
            <w:tcW w:w="4980" w:type="dxa"/>
          </w:tcPr>
          <w:p w14:paraId="626D6C41" w14:textId="77777777" w:rsidR="00CD5BDC" w:rsidRDefault="00CD5BDC" w:rsidP="00CD5BDC">
            <w:pPr>
              <w:pStyle w:val="Footer"/>
            </w:pPr>
            <w:r>
              <w:t>Cooperation between Member States and the Commission</w:t>
            </w:r>
          </w:p>
          <w:p w14:paraId="1ADEEAAF" w14:textId="77777777" w:rsidR="00CD5BDC" w:rsidRDefault="00CD5BDC" w:rsidP="00CD5BDC">
            <w:pPr>
              <w:pStyle w:val="Footer"/>
            </w:pPr>
          </w:p>
          <w:p w14:paraId="74DDF2B8" w14:textId="0BACCDA4" w:rsidR="00AC0DC4" w:rsidRDefault="00AC0DC4" w:rsidP="00AC0DC4">
            <w:pPr>
              <w:pStyle w:val="Footer"/>
            </w:pPr>
            <w:r>
              <w:t>(…)</w:t>
            </w:r>
          </w:p>
          <w:p w14:paraId="5F781EB6" w14:textId="75C690B0" w:rsidR="00CD5BDC" w:rsidRDefault="00CD5BDC" w:rsidP="00CD5BDC">
            <w:pPr>
              <w:pStyle w:val="Footer"/>
            </w:pPr>
          </w:p>
        </w:tc>
        <w:tc>
          <w:tcPr>
            <w:tcW w:w="4982" w:type="dxa"/>
          </w:tcPr>
          <w:p w14:paraId="4490B946" w14:textId="77777777" w:rsidR="00CD5BDC" w:rsidRDefault="00CD5BDC" w:rsidP="00CD5BDC">
            <w:pPr>
              <w:pStyle w:val="Footer"/>
            </w:pPr>
            <w:r>
              <w:t>Cooperation between Member States and the Commission</w:t>
            </w:r>
          </w:p>
          <w:p w14:paraId="7F209076" w14:textId="77777777" w:rsidR="00CD5BDC" w:rsidRDefault="00CD5BDC" w:rsidP="00CD5BDC">
            <w:pPr>
              <w:pStyle w:val="Footer"/>
            </w:pPr>
          </w:p>
          <w:p w14:paraId="5D9D825F" w14:textId="5D71E762" w:rsidR="00CD5BDC" w:rsidRDefault="00AC0DC4" w:rsidP="00CD5BDC">
            <w:pPr>
              <w:pStyle w:val="Footer"/>
            </w:pPr>
            <w:r>
              <w:t>(…)</w:t>
            </w:r>
          </w:p>
          <w:p w14:paraId="4155F8CE" w14:textId="77777777" w:rsidR="00CD5BDC" w:rsidRDefault="00CD5BDC" w:rsidP="00CD5BDC">
            <w:pPr>
              <w:pStyle w:val="Footer"/>
              <w:rPr>
                <w:b/>
                <w:bCs/>
                <w:i/>
                <w:iCs/>
              </w:rPr>
            </w:pPr>
          </w:p>
          <w:p w14:paraId="1A36DEEA" w14:textId="3EFA131E" w:rsidR="00CD5BDC" w:rsidRDefault="00CD5BDC" w:rsidP="00CD5BDC">
            <w:pPr>
              <w:pStyle w:val="Footer"/>
            </w:pPr>
            <w:r w:rsidRPr="00CE2426">
              <w:rPr>
                <w:b/>
                <w:bCs/>
              </w:rPr>
              <w:t>(</w:t>
            </w:r>
            <w:r w:rsidRPr="00CE2426">
              <w:rPr>
                <w:b/>
                <w:bCs/>
                <w:i/>
                <w:iCs/>
              </w:rPr>
              <w:t xml:space="preserve">3 new) By 1 June XXXX [2 years after the Regulation becomes applicable] and every 2 years thereafter the Commission will publish a report that presents in a clear, easy-to-use, comparable and accessible manner all the data provided by </w:t>
            </w:r>
            <w:r w:rsidR="001C5B77">
              <w:rPr>
                <w:b/>
                <w:bCs/>
                <w:i/>
                <w:iCs/>
              </w:rPr>
              <w:t>railway undertakings</w:t>
            </w:r>
            <w:r w:rsidRPr="00CE2426">
              <w:rPr>
                <w:b/>
                <w:bCs/>
                <w:i/>
                <w:iCs/>
              </w:rPr>
              <w:t xml:space="preserve"> and infrastructure managers </w:t>
            </w:r>
            <w:r>
              <w:rPr>
                <w:b/>
                <w:bCs/>
                <w:i/>
                <w:iCs/>
              </w:rPr>
              <w:t>in the service quality standards performance reports referred in</w:t>
            </w:r>
            <w:r w:rsidRPr="00CE2426">
              <w:rPr>
                <w:b/>
                <w:bCs/>
                <w:i/>
                <w:iCs/>
              </w:rPr>
              <w:t xml:space="preserve"> Article </w:t>
            </w:r>
            <w:r>
              <w:rPr>
                <w:b/>
                <w:bCs/>
                <w:i/>
                <w:iCs/>
              </w:rPr>
              <w:t>29</w:t>
            </w:r>
            <w:r w:rsidRPr="00CE2426">
              <w:rPr>
                <w:b/>
                <w:bCs/>
                <w:i/>
                <w:iCs/>
              </w:rPr>
              <w:t xml:space="preserve"> of this Regulation.</w:t>
            </w:r>
            <w:r>
              <w:t xml:space="preserve"> </w:t>
            </w:r>
          </w:p>
          <w:p w14:paraId="3EE31D41" w14:textId="50FC2C0B" w:rsidR="00CD5BDC" w:rsidRPr="009017C3" w:rsidRDefault="00CD5BDC" w:rsidP="00CD5BDC">
            <w:pPr>
              <w:pStyle w:val="Footer"/>
              <w:rPr>
                <w:b/>
                <w:bCs/>
                <w:i/>
                <w:iCs/>
              </w:rPr>
            </w:pPr>
          </w:p>
        </w:tc>
      </w:tr>
      <w:tr w:rsidR="00F13D98" w14:paraId="40ADDBAB" w14:textId="77777777" w:rsidTr="00587336">
        <w:tc>
          <w:tcPr>
            <w:tcW w:w="9962" w:type="dxa"/>
            <w:gridSpan w:val="2"/>
          </w:tcPr>
          <w:p w14:paraId="0A141D1F" w14:textId="51EA3DE4" w:rsidR="00F13D98" w:rsidRDefault="00F13D98" w:rsidP="00CD5BDC">
            <w:pPr>
              <w:pStyle w:val="Footer"/>
            </w:pPr>
            <w:r w:rsidRPr="00F13D98">
              <w:rPr>
                <w:highlight w:val="yellow"/>
              </w:rPr>
              <w:t>info</w:t>
            </w:r>
          </w:p>
        </w:tc>
      </w:tr>
    </w:tbl>
    <w:p w14:paraId="22F55936" w14:textId="77777777" w:rsidR="00CD5BDC" w:rsidRDefault="00CD5BDC" w:rsidP="001B52AA">
      <w:pPr>
        <w:pStyle w:val="Heading2"/>
      </w:pPr>
    </w:p>
    <w:p w14:paraId="1AB50E69" w14:textId="326154AF" w:rsidR="00505996" w:rsidRDefault="00732AF6" w:rsidP="00505996">
      <w:pPr>
        <w:pStyle w:val="Heading2"/>
      </w:pPr>
      <w:bookmarkStart w:id="42" w:name="_Toc164171903"/>
      <w:r>
        <w:t>Amendment to Annex II (Annex III Regulation 1107/2006)</w:t>
      </w:r>
      <w:bookmarkEnd w:id="42"/>
      <w:r>
        <w:t xml:space="preserve"> </w:t>
      </w:r>
    </w:p>
    <w:p w14:paraId="2EF68B51" w14:textId="77777777" w:rsidR="00505996" w:rsidRPr="00046E92" w:rsidRDefault="00505996" w:rsidP="00505996"/>
    <w:tbl>
      <w:tblPr>
        <w:tblStyle w:val="TableGrid"/>
        <w:tblW w:w="0" w:type="auto"/>
        <w:tblLook w:val="04A0" w:firstRow="1" w:lastRow="0" w:firstColumn="1" w:lastColumn="0" w:noHBand="0" w:noVBand="1"/>
      </w:tblPr>
      <w:tblGrid>
        <w:gridCol w:w="4980"/>
        <w:gridCol w:w="4982"/>
      </w:tblGrid>
      <w:tr w:rsidR="00505996" w14:paraId="094F5D60" w14:textId="77777777" w:rsidTr="00505996">
        <w:tc>
          <w:tcPr>
            <w:tcW w:w="4980" w:type="dxa"/>
          </w:tcPr>
          <w:p w14:paraId="434B781B" w14:textId="77777777" w:rsidR="00505996" w:rsidRDefault="00505996" w:rsidP="00C15811">
            <w:pPr>
              <w:pStyle w:val="Footer"/>
              <w:jc w:val="both"/>
            </w:pPr>
            <w:r>
              <w:t>Commission proposal</w:t>
            </w:r>
          </w:p>
        </w:tc>
        <w:tc>
          <w:tcPr>
            <w:tcW w:w="4982" w:type="dxa"/>
          </w:tcPr>
          <w:p w14:paraId="414B858E" w14:textId="77777777" w:rsidR="00505996" w:rsidRDefault="00505996" w:rsidP="00C15811">
            <w:pPr>
              <w:pStyle w:val="Footer"/>
              <w:jc w:val="both"/>
            </w:pPr>
            <w:r>
              <w:t>EDF amendments</w:t>
            </w:r>
          </w:p>
        </w:tc>
      </w:tr>
      <w:tr w:rsidR="00732AF6" w14:paraId="4EC77F34" w14:textId="77777777" w:rsidTr="00505996">
        <w:tc>
          <w:tcPr>
            <w:tcW w:w="4980" w:type="dxa"/>
          </w:tcPr>
          <w:p w14:paraId="44BDD59C" w14:textId="77777777" w:rsidR="00732AF6" w:rsidRDefault="00732AF6" w:rsidP="00732AF6">
            <w:pPr>
              <w:pStyle w:val="Footer"/>
            </w:pPr>
          </w:p>
          <w:p w14:paraId="74FBB140" w14:textId="77777777" w:rsidR="00732AF6" w:rsidRDefault="00732AF6" w:rsidP="00732AF6">
            <w:pPr>
              <w:pStyle w:val="Footer"/>
            </w:pPr>
            <w:r>
              <w:t>MINIMUM SERVICE QUALITY STANDARDS</w:t>
            </w:r>
          </w:p>
          <w:p w14:paraId="76CBD46A" w14:textId="77777777" w:rsidR="00732AF6" w:rsidRDefault="00732AF6" w:rsidP="00732AF6">
            <w:pPr>
              <w:pStyle w:val="Footer"/>
            </w:pPr>
          </w:p>
          <w:p w14:paraId="4E9A4242" w14:textId="790161DE" w:rsidR="00732AF6" w:rsidRDefault="00F13D98" w:rsidP="00732AF6">
            <w:pPr>
              <w:pStyle w:val="Footer"/>
            </w:pPr>
            <w:r>
              <w:t>(…)</w:t>
            </w:r>
          </w:p>
          <w:p w14:paraId="3FBAAEE0" w14:textId="77777777" w:rsidR="00F13D98" w:rsidRDefault="00F13D98" w:rsidP="00732AF6">
            <w:pPr>
              <w:pStyle w:val="Footer"/>
            </w:pPr>
          </w:p>
          <w:p w14:paraId="0EECB01A" w14:textId="77777777" w:rsidR="00732AF6" w:rsidRDefault="00732AF6" w:rsidP="00732AF6">
            <w:pPr>
              <w:pStyle w:val="Footer"/>
            </w:pPr>
            <w:r>
              <w:t xml:space="preserve">Assistance provided to persons with disabilities and persons with reduced mobility (PRM)  </w:t>
            </w:r>
          </w:p>
          <w:p w14:paraId="292C8BEB" w14:textId="77777777" w:rsidR="00732AF6" w:rsidRDefault="00732AF6" w:rsidP="00732AF6">
            <w:pPr>
              <w:pStyle w:val="Footer"/>
            </w:pPr>
          </w:p>
          <w:p w14:paraId="2D00923C" w14:textId="77777777" w:rsidR="00732AF6" w:rsidRDefault="00732AF6" w:rsidP="00732AF6">
            <w:pPr>
              <w:pStyle w:val="Footer"/>
            </w:pPr>
            <w:r>
              <w:t xml:space="preserve">(a)number of denied transport services for a PRM, and the reason for </w:t>
            </w:r>
            <w:proofErr w:type="gramStart"/>
            <w:r>
              <w:t>it;</w:t>
            </w:r>
            <w:proofErr w:type="gramEnd"/>
            <w:r>
              <w:t xml:space="preserve"> </w:t>
            </w:r>
          </w:p>
          <w:p w14:paraId="09F6D5CD" w14:textId="77777777" w:rsidR="00732AF6" w:rsidRDefault="00732AF6" w:rsidP="00732AF6">
            <w:pPr>
              <w:pStyle w:val="Footer"/>
            </w:pPr>
          </w:p>
          <w:p w14:paraId="5D74D052" w14:textId="77777777" w:rsidR="00732AF6" w:rsidRDefault="00732AF6" w:rsidP="00732AF6">
            <w:pPr>
              <w:pStyle w:val="Footer"/>
            </w:pPr>
            <w:r>
              <w:t xml:space="preserve">(b)number of denied transport services for their recognised assistance dog or their mobility equipment and the reasons for </w:t>
            </w:r>
            <w:proofErr w:type="gramStart"/>
            <w:r>
              <w:t>it;</w:t>
            </w:r>
            <w:proofErr w:type="gramEnd"/>
          </w:p>
          <w:p w14:paraId="6568B221" w14:textId="77777777" w:rsidR="00732AF6" w:rsidRDefault="00732AF6" w:rsidP="00732AF6">
            <w:pPr>
              <w:pStyle w:val="Footer"/>
            </w:pPr>
          </w:p>
          <w:p w14:paraId="7C867BBE" w14:textId="77777777" w:rsidR="00732AF6" w:rsidRDefault="00732AF6" w:rsidP="00732AF6">
            <w:pPr>
              <w:pStyle w:val="Footer"/>
            </w:pPr>
            <w:r>
              <w:t xml:space="preserve">(c)number of cases related to the loss or damages of mobility equipment and their </w:t>
            </w:r>
            <w:proofErr w:type="gramStart"/>
            <w:r>
              <w:t>outcome;</w:t>
            </w:r>
            <w:proofErr w:type="gramEnd"/>
            <w:r>
              <w:t xml:space="preserve"> </w:t>
            </w:r>
          </w:p>
          <w:p w14:paraId="4E462D78" w14:textId="77777777" w:rsidR="00732AF6" w:rsidRDefault="00732AF6" w:rsidP="00732AF6">
            <w:pPr>
              <w:pStyle w:val="Footer"/>
            </w:pPr>
          </w:p>
          <w:p w14:paraId="754B41C3" w14:textId="77777777" w:rsidR="00732AF6" w:rsidRDefault="00732AF6" w:rsidP="00732AF6">
            <w:pPr>
              <w:pStyle w:val="Footer"/>
            </w:pPr>
            <w:r>
              <w:t>(d)number of cases where the carrier obliged a person with disability or reduced mobility to be accompanied by someone to comply with the safety requirements</w:t>
            </w:r>
            <w:proofErr w:type="gramStart"/>
            <w:r>
              <w:t>);</w:t>
            </w:r>
            <w:proofErr w:type="gramEnd"/>
            <w:r>
              <w:t xml:space="preserve"> </w:t>
            </w:r>
          </w:p>
          <w:p w14:paraId="6326C8A1" w14:textId="77777777" w:rsidR="00732AF6" w:rsidRDefault="00732AF6" w:rsidP="00732AF6">
            <w:pPr>
              <w:pStyle w:val="Footer"/>
            </w:pPr>
          </w:p>
          <w:p w14:paraId="61EBACD1" w14:textId="77777777" w:rsidR="00732AF6" w:rsidRDefault="00732AF6" w:rsidP="00732AF6">
            <w:pPr>
              <w:pStyle w:val="Footer"/>
            </w:pPr>
            <w:r>
              <w:t xml:space="preserve">(e)discussions concerning this assistance with representative organisations and, where relevant, representatives of </w:t>
            </w:r>
            <w:proofErr w:type="gramStart"/>
            <w:r>
              <w:t>PRM;</w:t>
            </w:r>
            <w:proofErr w:type="gramEnd"/>
          </w:p>
          <w:p w14:paraId="2951B015" w14:textId="77777777" w:rsidR="00732AF6" w:rsidRDefault="00732AF6" w:rsidP="00732AF6">
            <w:pPr>
              <w:pStyle w:val="Footer"/>
            </w:pPr>
          </w:p>
          <w:p w14:paraId="41B8A22E" w14:textId="3DDCED85" w:rsidR="00732AF6" w:rsidRDefault="00732AF6" w:rsidP="00732AF6">
            <w:pPr>
              <w:pStyle w:val="Footer"/>
            </w:pPr>
            <w:r>
              <w:t>(f)the implementation of the disability awareness and assistance training.</w:t>
            </w:r>
          </w:p>
        </w:tc>
        <w:tc>
          <w:tcPr>
            <w:tcW w:w="4982" w:type="dxa"/>
          </w:tcPr>
          <w:p w14:paraId="49735653" w14:textId="77777777" w:rsidR="00732AF6" w:rsidRDefault="00732AF6" w:rsidP="00732AF6">
            <w:pPr>
              <w:pStyle w:val="Footer"/>
            </w:pPr>
          </w:p>
          <w:p w14:paraId="68C38990" w14:textId="77777777" w:rsidR="00732AF6" w:rsidRDefault="00732AF6" w:rsidP="00732AF6">
            <w:pPr>
              <w:pStyle w:val="Footer"/>
            </w:pPr>
            <w:r>
              <w:t>MINIMUM SERVICE QUALITY STANDARDS</w:t>
            </w:r>
          </w:p>
          <w:p w14:paraId="30814A3B" w14:textId="77777777" w:rsidR="00732AF6" w:rsidRDefault="00732AF6" w:rsidP="00732AF6">
            <w:pPr>
              <w:pStyle w:val="Footer"/>
            </w:pPr>
          </w:p>
          <w:p w14:paraId="7F752400" w14:textId="74CA1847" w:rsidR="00F13D98" w:rsidRDefault="00F13D98" w:rsidP="00732AF6">
            <w:pPr>
              <w:pStyle w:val="Footer"/>
            </w:pPr>
            <w:r>
              <w:t>(…)</w:t>
            </w:r>
          </w:p>
          <w:p w14:paraId="38F346AD" w14:textId="77777777" w:rsidR="00732AF6" w:rsidRDefault="00732AF6" w:rsidP="00732AF6">
            <w:pPr>
              <w:pStyle w:val="Footer"/>
            </w:pPr>
          </w:p>
          <w:p w14:paraId="67EB3F07" w14:textId="77777777" w:rsidR="00732AF6" w:rsidRDefault="00732AF6" w:rsidP="00732AF6">
            <w:pPr>
              <w:pStyle w:val="Footer"/>
            </w:pPr>
            <w:r>
              <w:t xml:space="preserve">Assistance provided to persons with disabilities and persons with reduced mobility (PRM)  </w:t>
            </w:r>
          </w:p>
          <w:p w14:paraId="46DDCF3A" w14:textId="77777777" w:rsidR="00732AF6" w:rsidRDefault="00732AF6" w:rsidP="00732AF6">
            <w:pPr>
              <w:pStyle w:val="Footer"/>
            </w:pPr>
          </w:p>
          <w:p w14:paraId="4663BC30" w14:textId="77777777" w:rsidR="00732AF6" w:rsidRDefault="00732AF6" w:rsidP="00732AF6">
            <w:pPr>
              <w:pStyle w:val="Footer"/>
            </w:pPr>
            <w:r>
              <w:t xml:space="preserve">(a)number of denied transport services for a PRM, and the reason for </w:t>
            </w:r>
            <w:proofErr w:type="gramStart"/>
            <w:r>
              <w:t>it;</w:t>
            </w:r>
            <w:proofErr w:type="gramEnd"/>
            <w:r>
              <w:t xml:space="preserve"> </w:t>
            </w:r>
          </w:p>
          <w:p w14:paraId="7B37484A" w14:textId="77777777" w:rsidR="00732AF6" w:rsidRDefault="00732AF6" w:rsidP="00732AF6">
            <w:pPr>
              <w:pStyle w:val="Footer"/>
            </w:pPr>
          </w:p>
          <w:p w14:paraId="12DD2A55" w14:textId="77777777" w:rsidR="00732AF6" w:rsidRDefault="00732AF6" w:rsidP="00732AF6">
            <w:pPr>
              <w:pStyle w:val="Footer"/>
            </w:pPr>
            <w:r>
              <w:t xml:space="preserve">(b)number of denied transport services for their recognised assistance dog or their mobility equipment and the reasons for </w:t>
            </w:r>
            <w:proofErr w:type="gramStart"/>
            <w:r>
              <w:t>it;</w:t>
            </w:r>
            <w:proofErr w:type="gramEnd"/>
          </w:p>
          <w:p w14:paraId="49ADC4A3" w14:textId="77777777" w:rsidR="00732AF6" w:rsidRDefault="00732AF6" w:rsidP="00732AF6">
            <w:pPr>
              <w:pStyle w:val="Footer"/>
            </w:pPr>
          </w:p>
          <w:p w14:paraId="2A5D7F2D" w14:textId="77777777" w:rsidR="00732AF6" w:rsidRDefault="00732AF6" w:rsidP="00732AF6">
            <w:pPr>
              <w:pStyle w:val="Footer"/>
            </w:pPr>
            <w:r>
              <w:t xml:space="preserve">(c)number of cases related to the loss or damages of mobility equipment and their </w:t>
            </w:r>
            <w:proofErr w:type="gramStart"/>
            <w:r>
              <w:t>outcome;</w:t>
            </w:r>
            <w:proofErr w:type="gramEnd"/>
            <w:r>
              <w:t xml:space="preserve"> </w:t>
            </w:r>
          </w:p>
          <w:p w14:paraId="5FE4B2A5" w14:textId="77777777" w:rsidR="00732AF6" w:rsidRDefault="00732AF6" w:rsidP="00732AF6">
            <w:pPr>
              <w:pStyle w:val="Footer"/>
            </w:pPr>
          </w:p>
          <w:p w14:paraId="63A640DA" w14:textId="77777777" w:rsidR="00732AF6" w:rsidRDefault="00732AF6" w:rsidP="00732AF6">
            <w:pPr>
              <w:pStyle w:val="Footer"/>
            </w:pPr>
            <w:r>
              <w:t>(d)number of cases where the carrier obliged a person with disability or reduced mobility to be accompanied by someone to comply with the safety requirements</w:t>
            </w:r>
            <w:proofErr w:type="gramStart"/>
            <w:r>
              <w:t>);</w:t>
            </w:r>
            <w:proofErr w:type="gramEnd"/>
            <w:r>
              <w:t xml:space="preserve"> </w:t>
            </w:r>
          </w:p>
          <w:p w14:paraId="1D5E4147" w14:textId="77777777" w:rsidR="00732AF6" w:rsidRDefault="00732AF6" w:rsidP="00732AF6">
            <w:pPr>
              <w:pStyle w:val="Footer"/>
            </w:pPr>
          </w:p>
          <w:p w14:paraId="576F40FE" w14:textId="60A84DD9" w:rsidR="00732AF6" w:rsidRPr="006C1A55" w:rsidRDefault="00732AF6" w:rsidP="00732AF6">
            <w:pPr>
              <w:pStyle w:val="Footer"/>
              <w:rPr>
                <w:b/>
                <w:bCs/>
                <w:i/>
                <w:iCs/>
              </w:rPr>
            </w:pPr>
            <w:r w:rsidRPr="006C1A55">
              <w:rPr>
                <w:b/>
                <w:bCs/>
                <w:i/>
                <w:iCs/>
              </w:rPr>
              <w:t>(</w:t>
            </w:r>
            <w:r w:rsidR="00F13D98" w:rsidRPr="006C1A55">
              <w:rPr>
                <w:b/>
                <w:bCs/>
                <w:i/>
                <w:iCs/>
              </w:rPr>
              <w:t xml:space="preserve">d </w:t>
            </w:r>
            <w:r w:rsidRPr="006C1A55">
              <w:rPr>
                <w:b/>
                <w:bCs/>
                <w:i/>
                <w:iCs/>
              </w:rPr>
              <w:t xml:space="preserve">new) number of cases where the assistance </w:t>
            </w:r>
            <w:r w:rsidR="001212F2" w:rsidRPr="006C1A55">
              <w:rPr>
                <w:b/>
                <w:bCs/>
                <w:i/>
                <w:iCs/>
              </w:rPr>
              <w:t>was not provided or was provided with delay,</w:t>
            </w:r>
          </w:p>
          <w:p w14:paraId="7C12CE06" w14:textId="77777777" w:rsidR="00732AF6" w:rsidRDefault="00732AF6" w:rsidP="00732AF6">
            <w:pPr>
              <w:pStyle w:val="Footer"/>
            </w:pPr>
          </w:p>
          <w:p w14:paraId="7876AC6B" w14:textId="77777777" w:rsidR="00732AF6" w:rsidRDefault="00732AF6" w:rsidP="00732AF6">
            <w:pPr>
              <w:pStyle w:val="Footer"/>
            </w:pPr>
            <w:r>
              <w:t xml:space="preserve">(e)discussions concerning this assistance with representative organisations and, where relevant, representatives of </w:t>
            </w:r>
            <w:proofErr w:type="gramStart"/>
            <w:r>
              <w:t>PRM;</w:t>
            </w:r>
            <w:proofErr w:type="gramEnd"/>
          </w:p>
          <w:p w14:paraId="7BC188F7" w14:textId="77777777" w:rsidR="00732AF6" w:rsidRDefault="00732AF6" w:rsidP="00732AF6">
            <w:pPr>
              <w:pStyle w:val="Footer"/>
            </w:pPr>
          </w:p>
          <w:p w14:paraId="26CE2E00" w14:textId="6E9F1998" w:rsidR="00732AF6" w:rsidRPr="00732AF6" w:rsidRDefault="00732AF6" w:rsidP="00732AF6">
            <w:pPr>
              <w:pStyle w:val="Footer"/>
              <w:rPr>
                <w:b/>
                <w:bCs/>
              </w:rPr>
            </w:pPr>
            <w:r>
              <w:t>(f)the implementation of the disability awareness and assistance training</w:t>
            </w:r>
            <w:r>
              <w:rPr>
                <w:b/>
                <w:bCs/>
              </w:rPr>
              <w:t xml:space="preserve">, </w:t>
            </w:r>
            <w:r w:rsidRPr="001212F2">
              <w:rPr>
                <w:b/>
                <w:bCs/>
                <w:i/>
                <w:iCs/>
              </w:rPr>
              <w:t>including the frequency of the sessions and participation of organisations representing persons with disabilities and reduced mobility.</w:t>
            </w:r>
            <w:r>
              <w:rPr>
                <w:b/>
                <w:bCs/>
              </w:rPr>
              <w:t xml:space="preserve"> </w:t>
            </w:r>
          </w:p>
        </w:tc>
      </w:tr>
      <w:tr w:rsidR="00732AF6" w14:paraId="0B057A50" w14:textId="77777777" w:rsidTr="00505996">
        <w:tc>
          <w:tcPr>
            <w:tcW w:w="9962" w:type="dxa"/>
            <w:gridSpan w:val="2"/>
          </w:tcPr>
          <w:p w14:paraId="5667D97D" w14:textId="77777777" w:rsidR="00732AF6" w:rsidRPr="00193B64" w:rsidRDefault="00732AF6" w:rsidP="00732AF6">
            <w:pPr>
              <w:pStyle w:val="Footer"/>
              <w:jc w:val="both"/>
              <w:rPr>
                <w:b/>
                <w:bCs/>
              </w:rPr>
            </w:pPr>
            <w:r w:rsidRPr="00193B64">
              <w:rPr>
                <w:b/>
                <w:bCs/>
              </w:rPr>
              <w:lastRenderedPageBreak/>
              <w:t>Justification:</w:t>
            </w:r>
          </w:p>
          <w:p w14:paraId="7862972C" w14:textId="77777777" w:rsidR="00193B64" w:rsidRDefault="00193B64" w:rsidP="00732AF6">
            <w:pPr>
              <w:pStyle w:val="Footer"/>
              <w:jc w:val="both"/>
            </w:pPr>
          </w:p>
          <w:p w14:paraId="526381A6" w14:textId="643FB27F" w:rsidR="00193B64" w:rsidRDefault="00193B64" w:rsidP="00732AF6">
            <w:pPr>
              <w:pStyle w:val="Footer"/>
              <w:jc w:val="both"/>
            </w:pPr>
            <w:r>
              <w:t xml:space="preserve">As explained in the amendment in page 4 of this document, it is important that carriers and airport managing authorities publicly report on the complaints relating to the quality of assistance. When it comes to disability awareness and assistance training, not only is </w:t>
            </w:r>
            <w:r>
              <w:lastRenderedPageBreak/>
              <w:t xml:space="preserve">important to know that it actually takes place, but that it takes place on a continuous basis and that organisations representing persons with disabilities are an active part of it. </w:t>
            </w:r>
          </w:p>
          <w:p w14:paraId="690F63F4" w14:textId="77777777" w:rsidR="00732AF6" w:rsidRDefault="00732AF6" w:rsidP="00732AF6">
            <w:pPr>
              <w:pStyle w:val="Footer"/>
              <w:jc w:val="both"/>
            </w:pPr>
          </w:p>
          <w:p w14:paraId="0E7A75CA" w14:textId="77777777" w:rsidR="00732AF6" w:rsidRDefault="00732AF6" w:rsidP="00732AF6">
            <w:pPr>
              <w:pStyle w:val="Footer"/>
              <w:jc w:val="both"/>
            </w:pPr>
          </w:p>
        </w:tc>
      </w:tr>
    </w:tbl>
    <w:p w14:paraId="6C31FDD1" w14:textId="233941D1" w:rsidR="00505996" w:rsidRDefault="00193B64" w:rsidP="00505996">
      <w:pPr>
        <w:pStyle w:val="Heading2"/>
      </w:pPr>
      <w:bookmarkStart w:id="43" w:name="_Toc164171904"/>
      <w:r>
        <w:lastRenderedPageBreak/>
        <w:t>Amendment to Annex III (Annex V Regulation 1177/2010)</w:t>
      </w:r>
      <w:bookmarkEnd w:id="43"/>
      <w:r>
        <w:t xml:space="preserve"> </w:t>
      </w:r>
    </w:p>
    <w:p w14:paraId="54E321F4" w14:textId="77777777" w:rsidR="00505996" w:rsidRPr="00046E92" w:rsidRDefault="00505996" w:rsidP="00505996"/>
    <w:tbl>
      <w:tblPr>
        <w:tblStyle w:val="TableGrid"/>
        <w:tblW w:w="0" w:type="auto"/>
        <w:tblLook w:val="04A0" w:firstRow="1" w:lastRow="0" w:firstColumn="1" w:lastColumn="0" w:noHBand="0" w:noVBand="1"/>
      </w:tblPr>
      <w:tblGrid>
        <w:gridCol w:w="4980"/>
        <w:gridCol w:w="4982"/>
      </w:tblGrid>
      <w:tr w:rsidR="00505996" w14:paraId="671F5101" w14:textId="77777777" w:rsidTr="00505996">
        <w:tc>
          <w:tcPr>
            <w:tcW w:w="4980" w:type="dxa"/>
          </w:tcPr>
          <w:p w14:paraId="289A5E31" w14:textId="77777777" w:rsidR="00505996" w:rsidRDefault="00505996" w:rsidP="00C15811">
            <w:pPr>
              <w:pStyle w:val="Footer"/>
              <w:jc w:val="both"/>
            </w:pPr>
            <w:r>
              <w:t>Commission proposal</w:t>
            </w:r>
          </w:p>
        </w:tc>
        <w:tc>
          <w:tcPr>
            <w:tcW w:w="4982" w:type="dxa"/>
          </w:tcPr>
          <w:p w14:paraId="451C3B64" w14:textId="77777777" w:rsidR="00505996" w:rsidRDefault="00505996" w:rsidP="00C15811">
            <w:pPr>
              <w:pStyle w:val="Footer"/>
              <w:jc w:val="both"/>
            </w:pPr>
            <w:r>
              <w:t>EDF amendments</w:t>
            </w:r>
          </w:p>
        </w:tc>
      </w:tr>
      <w:tr w:rsidR="000B4E26" w14:paraId="6971DD07" w14:textId="77777777" w:rsidTr="00505996">
        <w:tc>
          <w:tcPr>
            <w:tcW w:w="4980" w:type="dxa"/>
          </w:tcPr>
          <w:p w14:paraId="0C0AB619" w14:textId="77777777" w:rsidR="00F13D98" w:rsidRDefault="00F13D98" w:rsidP="000B4E26">
            <w:pPr>
              <w:pStyle w:val="Footer"/>
            </w:pPr>
          </w:p>
          <w:p w14:paraId="06D75ABF" w14:textId="76E021B0" w:rsidR="00F13D98" w:rsidRDefault="00F13D98" w:rsidP="000B4E26">
            <w:pPr>
              <w:pStyle w:val="Footer"/>
            </w:pPr>
            <w:r>
              <w:t xml:space="preserve">(…) </w:t>
            </w:r>
          </w:p>
          <w:p w14:paraId="277A4C48" w14:textId="11F88A1E" w:rsidR="000B4E26" w:rsidRDefault="000B4E26" w:rsidP="000B4E26">
            <w:pPr>
              <w:pStyle w:val="Footer"/>
            </w:pPr>
            <w:r>
              <w:t>Assistance provided to persons with disabilities and persons with reduced mobility (PRM)</w:t>
            </w:r>
          </w:p>
          <w:p w14:paraId="19CD34E9" w14:textId="77777777" w:rsidR="000B4E26" w:rsidRDefault="000B4E26" w:rsidP="000B4E26">
            <w:pPr>
              <w:pStyle w:val="Footer"/>
            </w:pPr>
          </w:p>
          <w:p w14:paraId="70737E72" w14:textId="77777777" w:rsidR="000B4E26" w:rsidRDefault="000B4E26" w:rsidP="000B4E26">
            <w:pPr>
              <w:pStyle w:val="Footer"/>
            </w:pPr>
            <w:r>
              <w:t xml:space="preserve">(a)number of denied transport services for a PRM, and the reason for </w:t>
            </w:r>
            <w:proofErr w:type="gramStart"/>
            <w:r>
              <w:t>it;</w:t>
            </w:r>
            <w:proofErr w:type="gramEnd"/>
          </w:p>
          <w:p w14:paraId="19C6D746" w14:textId="77777777" w:rsidR="000B4E26" w:rsidRDefault="000B4E26" w:rsidP="000B4E26">
            <w:pPr>
              <w:pStyle w:val="Footer"/>
            </w:pPr>
          </w:p>
          <w:p w14:paraId="7C3D55A5" w14:textId="77777777" w:rsidR="000B4E26" w:rsidRDefault="000B4E26" w:rsidP="000B4E26">
            <w:pPr>
              <w:pStyle w:val="Footer"/>
            </w:pPr>
            <w:r>
              <w:t xml:space="preserve">(b)number of denied transport services for their recognised assistance dog or their mobility equipment and the reasons for </w:t>
            </w:r>
            <w:proofErr w:type="gramStart"/>
            <w:r>
              <w:t>it;</w:t>
            </w:r>
            <w:proofErr w:type="gramEnd"/>
            <w:r>
              <w:t xml:space="preserve"> </w:t>
            </w:r>
          </w:p>
          <w:p w14:paraId="580B8424" w14:textId="77777777" w:rsidR="000B4E26" w:rsidRDefault="000B4E26" w:rsidP="000B4E26">
            <w:pPr>
              <w:pStyle w:val="Footer"/>
            </w:pPr>
          </w:p>
          <w:p w14:paraId="4CD933D1" w14:textId="77777777" w:rsidR="000B4E26" w:rsidRDefault="000B4E26" w:rsidP="000B4E26">
            <w:pPr>
              <w:pStyle w:val="Footer"/>
            </w:pPr>
            <w:r>
              <w:t xml:space="preserve">(c)number of cases related to the loss or damages of mobility equipment and their </w:t>
            </w:r>
            <w:proofErr w:type="gramStart"/>
            <w:r>
              <w:t>outcome;</w:t>
            </w:r>
            <w:proofErr w:type="gramEnd"/>
          </w:p>
          <w:p w14:paraId="43A5B17E" w14:textId="77777777" w:rsidR="000B4E26" w:rsidRDefault="000B4E26" w:rsidP="000B4E26">
            <w:pPr>
              <w:pStyle w:val="Footer"/>
            </w:pPr>
          </w:p>
          <w:p w14:paraId="4696FD13" w14:textId="77777777" w:rsidR="000B4E26" w:rsidRDefault="000B4E26" w:rsidP="000B4E26">
            <w:pPr>
              <w:pStyle w:val="Footer"/>
            </w:pPr>
            <w:r>
              <w:t xml:space="preserve">(d)number of cases where the carrier obliged a person with disability or reduced mobility to be accompanied by someone to comply with the safety </w:t>
            </w:r>
            <w:proofErr w:type="gramStart"/>
            <w:r>
              <w:t>requirements;</w:t>
            </w:r>
            <w:proofErr w:type="gramEnd"/>
          </w:p>
          <w:p w14:paraId="297794A0" w14:textId="77777777" w:rsidR="000B4E26" w:rsidRDefault="000B4E26" w:rsidP="000B4E26">
            <w:pPr>
              <w:pStyle w:val="Footer"/>
            </w:pPr>
          </w:p>
          <w:p w14:paraId="6B8D85FB" w14:textId="77777777" w:rsidR="000B4E26" w:rsidRDefault="000B4E26" w:rsidP="000B4E26">
            <w:pPr>
              <w:pStyle w:val="Footer"/>
            </w:pPr>
            <w:r>
              <w:t xml:space="preserve">(e)discussions concerning this assistance with representative organisations and, where relevant, representatives of </w:t>
            </w:r>
            <w:proofErr w:type="gramStart"/>
            <w:r>
              <w:t>PRM;</w:t>
            </w:r>
            <w:proofErr w:type="gramEnd"/>
          </w:p>
          <w:p w14:paraId="2F59CF71" w14:textId="77777777" w:rsidR="000B4E26" w:rsidRDefault="000B4E26" w:rsidP="000B4E26">
            <w:pPr>
              <w:pStyle w:val="Footer"/>
            </w:pPr>
          </w:p>
          <w:p w14:paraId="64FCF55C" w14:textId="2377F333" w:rsidR="000B4E26" w:rsidRDefault="000B4E26" w:rsidP="000B4E26">
            <w:pPr>
              <w:pStyle w:val="Footer"/>
            </w:pPr>
            <w:r>
              <w:t>(f)the implementation of the disability awareness and assistance training</w:t>
            </w:r>
          </w:p>
        </w:tc>
        <w:tc>
          <w:tcPr>
            <w:tcW w:w="4982" w:type="dxa"/>
          </w:tcPr>
          <w:p w14:paraId="3B5EFDA0" w14:textId="77777777" w:rsidR="00F13D98" w:rsidRDefault="00F13D98" w:rsidP="000B4E26">
            <w:pPr>
              <w:pStyle w:val="Footer"/>
            </w:pPr>
          </w:p>
          <w:p w14:paraId="6F1FCE76" w14:textId="04784402" w:rsidR="00F13D98" w:rsidRDefault="00F13D98" w:rsidP="000B4E26">
            <w:pPr>
              <w:pStyle w:val="Footer"/>
            </w:pPr>
            <w:r>
              <w:t xml:space="preserve">(…) </w:t>
            </w:r>
          </w:p>
          <w:p w14:paraId="24ED7823" w14:textId="4634B565" w:rsidR="000B4E26" w:rsidRDefault="000B4E26" w:rsidP="000B4E26">
            <w:pPr>
              <w:pStyle w:val="Footer"/>
            </w:pPr>
            <w:r>
              <w:t>Assistance provided to persons with disabilities and persons with reduced mobility (PRM)</w:t>
            </w:r>
          </w:p>
          <w:p w14:paraId="45268D43" w14:textId="77777777" w:rsidR="000B4E26" w:rsidRDefault="000B4E26" w:rsidP="000B4E26">
            <w:pPr>
              <w:pStyle w:val="Footer"/>
            </w:pPr>
          </w:p>
          <w:p w14:paraId="7306262B" w14:textId="77777777" w:rsidR="000B4E26" w:rsidRDefault="000B4E26" w:rsidP="000B4E26">
            <w:pPr>
              <w:pStyle w:val="Footer"/>
            </w:pPr>
            <w:r>
              <w:t xml:space="preserve">(a)number of denied transport services for a PRM, and the reason for </w:t>
            </w:r>
            <w:proofErr w:type="gramStart"/>
            <w:r>
              <w:t>it;</w:t>
            </w:r>
            <w:proofErr w:type="gramEnd"/>
          </w:p>
          <w:p w14:paraId="4DF32FDD" w14:textId="77777777" w:rsidR="000B4E26" w:rsidRDefault="000B4E26" w:rsidP="000B4E26">
            <w:pPr>
              <w:pStyle w:val="Footer"/>
            </w:pPr>
          </w:p>
          <w:p w14:paraId="05800F06" w14:textId="77777777" w:rsidR="000B4E26" w:rsidRDefault="000B4E26" w:rsidP="000B4E26">
            <w:pPr>
              <w:pStyle w:val="Footer"/>
            </w:pPr>
            <w:r>
              <w:t xml:space="preserve">(b)number of denied transport services for their recognised assistance dog or their mobility equipment and the reasons for </w:t>
            </w:r>
            <w:proofErr w:type="gramStart"/>
            <w:r>
              <w:t>it;</w:t>
            </w:r>
            <w:proofErr w:type="gramEnd"/>
            <w:r>
              <w:t xml:space="preserve"> </w:t>
            </w:r>
          </w:p>
          <w:p w14:paraId="1CCD1593" w14:textId="77777777" w:rsidR="000B4E26" w:rsidRDefault="000B4E26" w:rsidP="000B4E26">
            <w:pPr>
              <w:pStyle w:val="Footer"/>
            </w:pPr>
          </w:p>
          <w:p w14:paraId="02C16B51" w14:textId="77777777" w:rsidR="000B4E26" w:rsidRDefault="000B4E26" w:rsidP="000B4E26">
            <w:pPr>
              <w:pStyle w:val="Footer"/>
            </w:pPr>
            <w:r>
              <w:t xml:space="preserve">(c)number of cases related to the loss or damages of mobility equipment and their </w:t>
            </w:r>
            <w:proofErr w:type="gramStart"/>
            <w:r>
              <w:t>outcome;</w:t>
            </w:r>
            <w:proofErr w:type="gramEnd"/>
          </w:p>
          <w:p w14:paraId="513EBDC5" w14:textId="77777777" w:rsidR="000B4E26" w:rsidRDefault="000B4E26" w:rsidP="000B4E26">
            <w:pPr>
              <w:pStyle w:val="Footer"/>
            </w:pPr>
          </w:p>
          <w:p w14:paraId="6F030303" w14:textId="77777777" w:rsidR="000B4E26" w:rsidRDefault="000B4E26" w:rsidP="000B4E26">
            <w:pPr>
              <w:pStyle w:val="Footer"/>
            </w:pPr>
            <w:r>
              <w:t xml:space="preserve">(d)number of cases where the carrier obliged a person with disability or reduced mobility to be accompanied by someone to comply with the safety </w:t>
            </w:r>
            <w:proofErr w:type="gramStart"/>
            <w:r>
              <w:t>requirements;</w:t>
            </w:r>
            <w:proofErr w:type="gramEnd"/>
          </w:p>
          <w:p w14:paraId="1492938E" w14:textId="77777777" w:rsidR="000B4E26" w:rsidRDefault="000B4E26" w:rsidP="000B4E26">
            <w:pPr>
              <w:pStyle w:val="Footer"/>
            </w:pPr>
          </w:p>
          <w:p w14:paraId="0C349244" w14:textId="3B1889E1" w:rsidR="000B4E26" w:rsidRPr="006C1A55" w:rsidRDefault="006C1A55" w:rsidP="000B4E26">
            <w:pPr>
              <w:pStyle w:val="Footer"/>
              <w:rPr>
                <w:b/>
                <w:bCs/>
                <w:i/>
                <w:iCs/>
              </w:rPr>
            </w:pPr>
            <w:r w:rsidRPr="006C1A55">
              <w:rPr>
                <w:b/>
                <w:bCs/>
                <w:i/>
                <w:iCs/>
              </w:rPr>
              <w:t>(d new) number of cases where the assistance was not provided or was provided with delay,</w:t>
            </w:r>
          </w:p>
          <w:p w14:paraId="61976FC4" w14:textId="77777777" w:rsidR="000B4E26" w:rsidRDefault="000B4E26" w:rsidP="000B4E26">
            <w:pPr>
              <w:pStyle w:val="Footer"/>
            </w:pPr>
          </w:p>
          <w:p w14:paraId="09A79EC7" w14:textId="77777777" w:rsidR="000B4E26" w:rsidRDefault="000B4E26" w:rsidP="000B4E26">
            <w:pPr>
              <w:pStyle w:val="Footer"/>
            </w:pPr>
            <w:r>
              <w:t xml:space="preserve">(e)discussions concerning this assistance with representative organisations and, where relevant, representatives of </w:t>
            </w:r>
            <w:proofErr w:type="gramStart"/>
            <w:r>
              <w:t>PRM;</w:t>
            </w:r>
            <w:proofErr w:type="gramEnd"/>
          </w:p>
          <w:p w14:paraId="7E82F355" w14:textId="77777777" w:rsidR="000B4E26" w:rsidRDefault="000B4E26" w:rsidP="000B4E26">
            <w:pPr>
              <w:pStyle w:val="Footer"/>
            </w:pPr>
          </w:p>
          <w:p w14:paraId="3FD5001B" w14:textId="747E6D91" w:rsidR="000B4E26" w:rsidRPr="00CD2FF3" w:rsidRDefault="000B4E26" w:rsidP="000B4E26">
            <w:pPr>
              <w:pStyle w:val="Footer"/>
              <w:rPr>
                <w:b/>
              </w:rPr>
            </w:pPr>
            <w:r>
              <w:t xml:space="preserve">(f)the implementation of the disability awareness and assistance training. </w:t>
            </w:r>
            <w:r w:rsidRPr="006C1A55">
              <w:rPr>
                <w:b/>
                <w:bCs/>
                <w:i/>
                <w:iCs/>
              </w:rPr>
              <w:t xml:space="preserve">including the frequency of the sessions and participation of organisations </w:t>
            </w:r>
            <w:r w:rsidRPr="006C1A55">
              <w:rPr>
                <w:b/>
                <w:bCs/>
                <w:i/>
                <w:iCs/>
              </w:rPr>
              <w:lastRenderedPageBreak/>
              <w:t>representing persons with disabilities and reduced mobility.</w:t>
            </w:r>
          </w:p>
        </w:tc>
      </w:tr>
      <w:tr w:rsidR="000B4E26" w14:paraId="2735D5CA" w14:textId="77777777" w:rsidTr="00505996">
        <w:tc>
          <w:tcPr>
            <w:tcW w:w="9962" w:type="dxa"/>
            <w:gridSpan w:val="2"/>
          </w:tcPr>
          <w:p w14:paraId="503951D9" w14:textId="77777777" w:rsidR="000B4E26" w:rsidRDefault="000B4E26" w:rsidP="000B4E26">
            <w:pPr>
              <w:pStyle w:val="Footer"/>
              <w:jc w:val="both"/>
            </w:pPr>
            <w:r>
              <w:lastRenderedPageBreak/>
              <w:t>Justification:</w:t>
            </w:r>
          </w:p>
          <w:p w14:paraId="4205D8C9" w14:textId="77777777" w:rsidR="000B4E26" w:rsidRDefault="000B4E26" w:rsidP="000B4E26">
            <w:pPr>
              <w:pStyle w:val="Footer"/>
              <w:jc w:val="both"/>
            </w:pPr>
          </w:p>
          <w:p w14:paraId="3F63EDA4" w14:textId="2B2215D9" w:rsidR="000B4E26" w:rsidRDefault="000B4E26" w:rsidP="000B4E26">
            <w:pPr>
              <w:pStyle w:val="Footer"/>
              <w:jc w:val="both"/>
            </w:pPr>
            <w:r>
              <w:t xml:space="preserve">See justification in previous point. </w:t>
            </w:r>
          </w:p>
          <w:p w14:paraId="755A6085" w14:textId="77777777" w:rsidR="000B4E26" w:rsidRDefault="000B4E26" w:rsidP="000B4E26">
            <w:pPr>
              <w:pStyle w:val="Footer"/>
              <w:jc w:val="both"/>
            </w:pPr>
          </w:p>
        </w:tc>
      </w:tr>
    </w:tbl>
    <w:p w14:paraId="57576971" w14:textId="0A155A0E" w:rsidR="00505996" w:rsidRDefault="000B4E26" w:rsidP="00505996">
      <w:pPr>
        <w:pStyle w:val="Heading2"/>
      </w:pPr>
      <w:bookmarkStart w:id="44" w:name="_Toc164171905"/>
      <w:r>
        <w:t>Amendment to Annex IV (Annex III Regulation 181/2011)</w:t>
      </w:r>
      <w:bookmarkEnd w:id="44"/>
      <w:r>
        <w:t xml:space="preserve"> </w:t>
      </w:r>
    </w:p>
    <w:p w14:paraId="4F7503B1" w14:textId="77777777" w:rsidR="00505996" w:rsidRPr="00046E92" w:rsidRDefault="00505996" w:rsidP="00505996"/>
    <w:tbl>
      <w:tblPr>
        <w:tblStyle w:val="TableGrid"/>
        <w:tblW w:w="0" w:type="auto"/>
        <w:tblLook w:val="04A0" w:firstRow="1" w:lastRow="0" w:firstColumn="1" w:lastColumn="0" w:noHBand="0" w:noVBand="1"/>
      </w:tblPr>
      <w:tblGrid>
        <w:gridCol w:w="4981"/>
        <w:gridCol w:w="4981"/>
      </w:tblGrid>
      <w:tr w:rsidR="00505996" w14:paraId="3FFB2C0F" w14:textId="77777777" w:rsidTr="000B4E26">
        <w:tc>
          <w:tcPr>
            <w:tcW w:w="4981" w:type="dxa"/>
          </w:tcPr>
          <w:p w14:paraId="571B8FDD" w14:textId="77777777" w:rsidR="00505996" w:rsidRDefault="00505996" w:rsidP="00C15811">
            <w:pPr>
              <w:pStyle w:val="Footer"/>
              <w:jc w:val="both"/>
            </w:pPr>
            <w:r>
              <w:t>Commission proposal</w:t>
            </w:r>
          </w:p>
        </w:tc>
        <w:tc>
          <w:tcPr>
            <w:tcW w:w="4981" w:type="dxa"/>
          </w:tcPr>
          <w:p w14:paraId="576B0712" w14:textId="77777777" w:rsidR="00505996" w:rsidRDefault="00505996" w:rsidP="00C15811">
            <w:pPr>
              <w:pStyle w:val="Footer"/>
              <w:jc w:val="both"/>
            </w:pPr>
            <w:r>
              <w:t>EDF amendments</w:t>
            </w:r>
          </w:p>
        </w:tc>
      </w:tr>
      <w:tr w:rsidR="00505996" w14:paraId="1129F7FC" w14:textId="77777777" w:rsidTr="000B4E26">
        <w:tc>
          <w:tcPr>
            <w:tcW w:w="4981" w:type="dxa"/>
          </w:tcPr>
          <w:p w14:paraId="71FFC45B" w14:textId="1994BDE5" w:rsidR="00F13D98" w:rsidRDefault="00F13D98" w:rsidP="000B4E26">
            <w:pPr>
              <w:pStyle w:val="Footer"/>
            </w:pPr>
            <w:r>
              <w:t>(…)</w:t>
            </w:r>
          </w:p>
          <w:p w14:paraId="77AF0BC7" w14:textId="77777777" w:rsidR="00F13D98" w:rsidRDefault="00F13D98" w:rsidP="000B4E26">
            <w:pPr>
              <w:pStyle w:val="Footer"/>
            </w:pPr>
          </w:p>
          <w:p w14:paraId="19D04E29" w14:textId="7C1CCB45" w:rsidR="000B4E26" w:rsidRDefault="000B4E26" w:rsidP="000B4E26">
            <w:pPr>
              <w:pStyle w:val="Footer"/>
            </w:pPr>
            <w:r>
              <w:t xml:space="preserve">Assistance provided to persons with disabilities and persons with reduced mobility (PRM)  </w:t>
            </w:r>
          </w:p>
          <w:p w14:paraId="67533D81" w14:textId="77777777" w:rsidR="000B4E26" w:rsidRDefault="000B4E26" w:rsidP="000B4E26">
            <w:pPr>
              <w:pStyle w:val="Footer"/>
            </w:pPr>
          </w:p>
          <w:p w14:paraId="7F6B6A0E" w14:textId="77777777" w:rsidR="000B4E26" w:rsidRDefault="000B4E26" w:rsidP="000B4E26">
            <w:pPr>
              <w:pStyle w:val="Footer"/>
            </w:pPr>
            <w:r>
              <w:t xml:space="preserve">(a)number of denied transport services for a PRM, and the reason for </w:t>
            </w:r>
            <w:proofErr w:type="gramStart"/>
            <w:r>
              <w:t>it;</w:t>
            </w:r>
            <w:proofErr w:type="gramEnd"/>
            <w:r>
              <w:t xml:space="preserve"> </w:t>
            </w:r>
          </w:p>
          <w:p w14:paraId="56D0A660" w14:textId="77777777" w:rsidR="000B4E26" w:rsidRDefault="000B4E26" w:rsidP="000B4E26">
            <w:pPr>
              <w:pStyle w:val="Footer"/>
            </w:pPr>
          </w:p>
          <w:p w14:paraId="1D8BA47E" w14:textId="77777777" w:rsidR="000B4E26" w:rsidRDefault="000B4E26" w:rsidP="000B4E26">
            <w:pPr>
              <w:pStyle w:val="Footer"/>
            </w:pPr>
            <w:r>
              <w:t xml:space="preserve">(b)number of denied transport services for their recognised assistance dog or their mobility equipment and the reasons for </w:t>
            </w:r>
            <w:proofErr w:type="gramStart"/>
            <w:r>
              <w:t>it;</w:t>
            </w:r>
            <w:proofErr w:type="gramEnd"/>
          </w:p>
          <w:p w14:paraId="113233AB" w14:textId="77777777" w:rsidR="000B4E26" w:rsidRDefault="000B4E26" w:rsidP="000B4E26">
            <w:pPr>
              <w:pStyle w:val="Footer"/>
            </w:pPr>
          </w:p>
          <w:p w14:paraId="4DF4DBF2" w14:textId="77777777" w:rsidR="000B4E26" w:rsidRDefault="000B4E26" w:rsidP="000B4E26">
            <w:pPr>
              <w:pStyle w:val="Footer"/>
            </w:pPr>
            <w:r>
              <w:t xml:space="preserve">(c)number of cases related to the loss or damages of mobility equipment and their </w:t>
            </w:r>
            <w:proofErr w:type="gramStart"/>
            <w:r>
              <w:t>outcome;</w:t>
            </w:r>
            <w:proofErr w:type="gramEnd"/>
            <w:r>
              <w:t xml:space="preserve"> </w:t>
            </w:r>
          </w:p>
          <w:p w14:paraId="45A6AEED" w14:textId="77777777" w:rsidR="000B4E26" w:rsidRDefault="000B4E26" w:rsidP="000B4E26">
            <w:pPr>
              <w:pStyle w:val="Footer"/>
            </w:pPr>
          </w:p>
          <w:p w14:paraId="26919609" w14:textId="77777777" w:rsidR="000B4E26" w:rsidRDefault="000B4E26" w:rsidP="000B4E26">
            <w:pPr>
              <w:pStyle w:val="Footer"/>
            </w:pPr>
            <w:r>
              <w:t xml:space="preserve">(d)number of cases where the carrier obliged a person with disability or reduced mobility to be accompanied by someone to comply with the safety </w:t>
            </w:r>
            <w:proofErr w:type="gramStart"/>
            <w:r>
              <w:t>requirements;</w:t>
            </w:r>
            <w:proofErr w:type="gramEnd"/>
          </w:p>
          <w:p w14:paraId="3A35AC3D" w14:textId="77777777" w:rsidR="000B4E26" w:rsidRDefault="000B4E26" w:rsidP="000B4E26">
            <w:pPr>
              <w:pStyle w:val="Footer"/>
            </w:pPr>
          </w:p>
          <w:p w14:paraId="381D7940" w14:textId="77777777" w:rsidR="000B4E26" w:rsidRDefault="000B4E26" w:rsidP="000B4E26">
            <w:pPr>
              <w:pStyle w:val="Footer"/>
            </w:pPr>
            <w:r>
              <w:t xml:space="preserve">(e)discussions concerning this assistance with representative organisations and, where relevant, representatives of </w:t>
            </w:r>
            <w:proofErr w:type="gramStart"/>
            <w:r>
              <w:t>PRM;</w:t>
            </w:r>
            <w:proofErr w:type="gramEnd"/>
          </w:p>
          <w:p w14:paraId="5DC164F7" w14:textId="77777777" w:rsidR="000B4E26" w:rsidRDefault="000B4E26" w:rsidP="000B4E26">
            <w:pPr>
              <w:pStyle w:val="Footer"/>
            </w:pPr>
          </w:p>
          <w:p w14:paraId="21D61238" w14:textId="5F4B33F7" w:rsidR="00505996" w:rsidRDefault="000B4E26" w:rsidP="000B4E26">
            <w:pPr>
              <w:pStyle w:val="Footer"/>
            </w:pPr>
            <w:r>
              <w:t>(f)the implementation of the disability awareness and assistance training.</w:t>
            </w:r>
          </w:p>
          <w:p w14:paraId="2C85AEDC" w14:textId="77777777" w:rsidR="00505996" w:rsidRDefault="00505996" w:rsidP="00C15811">
            <w:pPr>
              <w:pStyle w:val="Footer"/>
            </w:pPr>
          </w:p>
        </w:tc>
        <w:tc>
          <w:tcPr>
            <w:tcW w:w="4981" w:type="dxa"/>
          </w:tcPr>
          <w:p w14:paraId="63CE3350" w14:textId="0493A7D1" w:rsidR="00F13D98" w:rsidRDefault="00F13D98" w:rsidP="000B4E26">
            <w:pPr>
              <w:pStyle w:val="Footer"/>
            </w:pPr>
            <w:r>
              <w:t>(…)</w:t>
            </w:r>
          </w:p>
          <w:p w14:paraId="3439C64D" w14:textId="77777777" w:rsidR="00F13D98" w:rsidRDefault="00F13D98" w:rsidP="000B4E26">
            <w:pPr>
              <w:pStyle w:val="Footer"/>
            </w:pPr>
          </w:p>
          <w:p w14:paraId="0FB36AE7" w14:textId="14D5A957" w:rsidR="000B4E26" w:rsidRDefault="000B4E26" w:rsidP="000B4E26">
            <w:pPr>
              <w:pStyle w:val="Footer"/>
            </w:pPr>
            <w:r>
              <w:t>Assistance provided to persons with disabilities and persons with reduced mobility (PRM)</w:t>
            </w:r>
          </w:p>
          <w:p w14:paraId="7118DD6E" w14:textId="77777777" w:rsidR="000B4E26" w:rsidRDefault="000B4E26" w:rsidP="000B4E26">
            <w:pPr>
              <w:pStyle w:val="Footer"/>
            </w:pPr>
          </w:p>
          <w:p w14:paraId="61F3CA08" w14:textId="77777777" w:rsidR="000B4E26" w:rsidRDefault="000B4E26" w:rsidP="000B4E26">
            <w:pPr>
              <w:pStyle w:val="Footer"/>
            </w:pPr>
            <w:r>
              <w:t xml:space="preserve">(a)number of denied transport services for a PRM, and the reason for </w:t>
            </w:r>
            <w:proofErr w:type="gramStart"/>
            <w:r>
              <w:t>it;</w:t>
            </w:r>
            <w:proofErr w:type="gramEnd"/>
          </w:p>
          <w:p w14:paraId="609A8586" w14:textId="77777777" w:rsidR="000B4E26" w:rsidRDefault="000B4E26" w:rsidP="000B4E26">
            <w:pPr>
              <w:pStyle w:val="Footer"/>
            </w:pPr>
          </w:p>
          <w:p w14:paraId="23013FBF" w14:textId="77777777" w:rsidR="000B4E26" w:rsidRDefault="000B4E26" w:rsidP="000B4E26">
            <w:pPr>
              <w:pStyle w:val="Footer"/>
            </w:pPr>
            <w:r>
              <w:t xml:space="preserve">(b)number of denied transport services for their recognised assistance dog or their mobility equipment and the reasons for </w:t>
            </w:r>
            <w:proofErr w:type="gramStart"/>
            <w:r>
              <w:t>it;</w:t>
            </w:r>
            <w:proofErr w:type="gramEnd"/>
            <w:r>
              <w:t xml:space="preserve"> </w:t>
            </w:r>
          </w:p>
          <w:p w14:paraId="01F7429B" w14:textId="77777777" w:rsidR="000B4E26" w:rsidRDefault="000B4E26" w:rsidP="000B4E26">
            <w:pPr>
              <w:pStyle w:val="Footer"/>
            </w:pPr>
          </w:p>
          <w:p w14:paraId="05C2DAFA" w14:textId="77777777" w:rsidR="000B4E26" w:rsidRDefault="000B4E26" w:rsidP="000B4E26">
            <w:pPr>
              <w:pStyle w:val="Footer"/>
            </w:pPr>
            <w:r>
              <w:t xml:space="preserve">(c)number of cases related to the loss or damages of mobility equipment and their </w:t>
            </w:r>
            <w:proofErr w:type="gramStart"/>
            <w:r>
              <w:t>outcome;</w:t>
            </w:r>
            <w:proofErr w:type="gramEnd"/>
          </w:p>
          <w:p w14:paraId="1F5751D0" w14:textId="77777777" w:rsidR="000B4E26" w:rsidRDefault="000B4E26" w:rsidP="000B4E26">
            <w:pPr>
              <w:pStyle w:val="Footer"/>
            </w:pPr>
          </w:p>
          <w:p w14:paraId="73EA4A61" w14:textId="77777777" w:rsidR="000B4E26" w:rsidRDefault="000B4E26" w:rsidP="000B4E26">
            <w:pPr>
              <w:pStyle w:val="Footer"/>
            </w:pPr>
            <w:r>
              <w:t xml:space="preserve">(d)number of cases where the carrier obliged a person with disability or reduced mobility to be accompanied by someone to comply with the safety </w:t>
            </w:r>
            <w:proofErr w:type="gramStart"/>
            <w:r>
              <w:t>requirements;</w:t>
            </w:r>
            <w:proofErr w:type="gramEnd"/>
          </w:p>
          <w:p w14:paraId="7E34542C" w14:textId="77777777" w:rsidR="000B4E26" w:rsidRDefault="000B4E26" w:rsidP="000B4E26">
            <w:pPr>
              <w:pStyle w:val="Footer"/>
            </w:pPr>
          </w:p>
          <w:p w14:paraId="281E2713" w14:textId="7B5EC593" w:rsidR="000B4E26" w:rsidRPr="006C1A55" w:rsidRDefault="006C1A55" w:rsidP="000B4E26">
            <w:pPr>
              <w:pStyle w:val="Footer"/>
              <w:rPr>
                <w:b/>
                <w:bCs/>
                <w:i/>
                <w:iCs/>
              </w:rPr>
            </w:pPr>
            <w:r w:rsidRPr="006C1A55">
              <w:rPr>
                <w:b/>
                <w:bCs/>
                <w:i/>
                <w:iCs/>
              </w:rPr>
              <w:t>(d new) number of cases where the assistance was not provided or was provided with delay,</w:t>
            </w:r>
          </w:p>
          <w:p w14:paraId="27CDD56D" w14:textId="77777777" w:rsidR="000B4E26" w:rsidRDefault="000B4E26" w:rsidP="000B4E26">
            <w:pPr>
              <w:pStyle w:val="Footer"/>
            </w:pPr>
          </w:p>
          <w:p w14:paraId="1E818D8E" w14:textId="77777777" w:rsidR="000B4E26" w:rsidRDefault="000B4E26" w:rsidP="000B4E26">
            <w:pPr>
              <w:pStyle w:val="Footer"/>
            </w:pPr>
            <w:r>
              <w:t xml:space="preserve">(e)discussions concerning this assistance with representative organisations and, where relevant, representatives of </w:t>
            </w:r>
            <w:proofErr w:type="gramStart"/>
            <w:r>
              <w:t>PRM;</w:t>
            </w:r>
            <w:proofErr w:type="gramEnd"/>
          </w:p>
          <w:p w14:paraId="6B203F56" w14:textId="77777777" w:rsidR="000B4E26" w:rsidRDefault="000B4E26" w:rsidP="000B4E26">
            <w:pPr>
              <w:pStyle w:val="Footer"/>
            </w:pPr>
          </w:p>
          <w:p w14:paraId="1F91F076" w14:textId="4F2AB805" w:rsidR="00505996" w:rsidRPr="006C1A55" w:rsidRDefault="000B4E26" w:rsidP="000B4E26">
            <w:pPr>
              <w:pStyle w:val="Footer"/>
              <w:rPr>
                <w:i/>
                <w:iCs/>
              </w:rPr>
            </w:pPr>
            <w:r>
              <w:t xml:space="preserve">(f)the implementation of the disability awareness and assistance training. </w:t>
            </w:r>
            <w:r w:rsidRPr="006C1A55">
              <w:rPr>
                <w:b/>
                <w:bCs/>
                <w:i/>
                <w:iCs/>
              </w:rPr>
              <w:t xml:space="preserve">including the frequency of the sessions </w:t>
            </w:r>
            <w:r w:rsidRPr="006C1A55">
              <w:rPr>
                <w:b/>
                <w:bCs/>
                <w:i/>
                <w:iCs/>
              </w:rPr>
              <w:lastRenderedPageBreak/>
              <w:t>and participation of organisations representing persons with disabilities and reduced mobility.</w:t>
            </w:r>
          </w:p>
          <w:p w14:paraId="3CC29DBC" w14:textId="77777777" w:rsidR="00505996" w:rsidRPr="00CD2FF3" w:rsidRDefault="00505996" w:rsidP="00C15811">
            <w:pPr>
              <w:pStyle w:val="Footer"/>
              <w:rPr>
                <w:b/>
              </w:rPr>
            </w:pPr>
            <w:r>
              <w:t xml:space="preserve"> </w:t>
            </w:r>
          </w:p>
        </w:tc>
      </w:tr>
      <w:tr w:rsidR="00505996" w14:paraId="4D7DCA40" w14:textId="77777777" w:rsidTr="000B4E26">
        <w:tc>
          <w:tcPr>
            <w:tcW w:w="9962" w:type="dxa"/>
            <w:gridSpan w:val="2"/>
          </w:tcPr>
          <w:p w14:paraId="121B4B5A" w14:textId="77777777" w:rsidR="00505996" w:rsidRDefault="00505996" w:rsidP="00C15811">
            <w:pPr>
              <w:pStyle w:val="Footer"/>
              <w:jc w:val="both"/>
            </w:pPr>
            <w:r>
              <w:lastRenderedPageBreak/>
              <w:t>Justification:</w:t>
            </w:r>
          </w:p>
          <w:p w14:paraId="700C363B" w14:textId="77777777" w:rsidR="000B4E26" w:rsidRDefault="000B4E26" w:rsidP="00C15811">
            <w:pPr>
              <w:pStyle w:val="Footer"/>
              <w:jc w:val="both"/>
            </w:pPr>
          </w:p>
          <w:p w14:paraId="7858B59D" w14:textId="5EF85103" w:rsidR="000B4E26" w:rsidRDefault="000B4E26" w:rsidP="00C15811">
            <w:pPr>
              <w:pStyle w:val="Footer"/>
              <w:jc w:val="both"/>
            </w:pPr>
            <w:r>
              <w:t xml:space="preserve">See justification previous </w:t>
            </w:r>
            <w:r w:rsidR="00B47E0B">
              <w:t>point.</w:t>
            </w:r>
          </w:p>
          <w:p w14:paraId="3C267624" w14:textId="77777777" w:rsidR="00505996" w:rsidRDefault="00505996" w:rsidP="00C15811">
            <w:pPr>
              <w:pStyle w:val="Footer"/>
              <w:jc w:val="both"/>
            </w:pPr>
          </w:p>
          <w:p w14:paraId="2A8F10A1" w14:textId="77777777" w:rsidR="00505996" w:rsidRDefault="00505996" w:rsidP="00C15811">
            <w:pPr>
              <w:pStyle w:val="Footer"/>
              <w:jc w:val="both"/>
            </w:pPr>
          </w:p>
        </w:tc>
      </w:tr>
    </w:tbl>
    <w:p w14:paraId="54E98763" w14:textId="77777777" w:rsidR="00F13D98" w:rsidRDefault="00F13D98" w:rsidP="000B4E26">
      <w:pPr>
        <w:pStyle w:val="Heading2"/>
      </w:pPr>
    </w:p>
    <w:p w14:paraId="5E203829" w14:textId="77777777" w:rsidR="00F13D98" w:rsidRPr="00F13D98" w:rsidRDefault="00F13D98" w:rsidP="00F13D98"/>
    <w:p w14:paraId="6F764454" w14:textId="7DB2F18C" w:rsidR="000B4E26" w:rsidRDefault="000B4E26" w:rsidP="000B4E26">
      <w:pPr>
        <w:pStyle w:val="Heading2"/>
      </w:pPr>
      <w:bookmarkStart w:id="45" w:name="_Toc164171906"/>
      <w:r>
        <w:t>Amendment to Regulation 2021 / 782 – Annex V (new)</w:t>
      </w:r>
      <w:bookmarkEnd w:id="45"/>
      <w:r>
        <w:t xml:space="preserve"> </w:t>
      </w:r>
    </w:p>
    <w:p w14:paraId="27283836" w14:textId="77777777" w:rsidR="000B4E26" w:rsidRPr="00046E92" w:rsidRDefault="000B4E26" w:rsidP="000B4E26"/>
    <w:tbl>
      <w:tblPr>
        <w:tblStyle w:val="TableGrid"/>
        <w:tblW w:w="0" w:type="auto"/>
        <w:tblLook w:val="04A0" w:firstRow="1" w:lastRow="0" w:firstColumn="1" w:lastColumn="0" w:noHBand="0" w:noVBand="1"/>
      </w:tblPr>
      <w:tblGrid>
        <w:gridCol w:w="4980"/>
        <w:gridCol w:w="4982"/>
      </w:tblGrid>
      <w:tr w:rsidR="000B4E26" w14:paraId="1B5D0F1D" w14:textId="77777777" w:rsidTr="000B4E26">
        <w:tc>
          <w:tcPr>
            <w:tcW w:w="4980" w:type="dxa"/>
          </w:tcPr>
          <w:p w14:paraId="4D014675" w14:textId="77777777" w:rsidR="000B4E26" w:rsidRDefault="000B4E26" w:rsidP="00C15811">
            <w:pPr>
              <w:pStyle w:val="Footer"/>
              <w:jc w:val="both"/>
            </w:pPr>
            <w:r>
              <w:t>Commission proposal</w:t>
            </w:r>
          </w:p>
        </w:tc>
        <w:tc>
          <w:tcPr>
            <w:tcW w:w="4982" w:type="dxa"/>
          </w:tcPr>
          <w:p w14:paraId="44F8E459" w14:textId="77777777" w:rsidR="000B4E26" w:rsidRDefault="000B4E26" w:rsidP="00C15811">
            <w:pPr>
              <w:pStyle w:val="Footer"/>
              <w:jc w:val="both"/>
            </w:pPr>
            <w:r>
              <w:t>EDF amendments</w:t>
            </w:r>
          </w:p>
        </w:tc>
      </w:tr>
      <w:tr w:rsidR="000B4E26" w14:paraId="5A6AF9FC" w14:textId="77777777" w:rsidTr="000B4E26">
        <w:tc>
          <w:tcPr>
            <w:tcW w:w="4980" w:type="dxa"/>
          </w:tcPr>
          <w:p w14:paraId="728ECAAF" w14:textId="77777777" w:rsidR="000B4E26" w:rsidRDefault="000B4E26" w:rsidP="000B4E26">
            <w:pPr>
              <w:pStyle w:val="Footer"/>
            </w:pPr>
          </w:p>
          <w:p w14:paraId="7813EE4A" w14:textId="77777777" w:rsidR="000B4E26" w:rsidRDefault="000B4E26" w:rsidP="000B4E26">
            <w:pPr>
              <w:pStyle w:val="Footer"/>
            </w:pPr>
          </w:p>
        </w:tc>
        <w:tc>
          <w:tcPr>
            <w:tcW w:w="4982" w:type="dxa"/>
          </w:tcPr>
          <w:p w14:paraId="77BC76EB" w14:textId="77777777" w:rsidR="000B4E26" w:rsidRPr="000B4E26" w:rsidRDefault="000B4E26" w:rsidP="000B4E26">
            <w:pPr>
              <w:pStyle w:val="Footer"/>
              <w:rPr>
                <w:b/>
                <w:bCs/>
                <w:i/>
                <w:iCs/>
              </w:rPr>
            </w:pPr>
          </w:p>
          <w:p w14:paraId="142B05FE" w14:textId="77777777" w:rsidR="000B4E26" w:rsidRPr="000B4E26" w:rsidRDefault="000B4E26" w:rsidP="000B4E26">
            <w:pPr>
              <w:pStyle w:val="Footer"/>
              <w:rPr>
                <w:b/>
                <w:bCs/>
                <w:i/>
                <w:iCs/>
              </w:rPr>
            </w:pPr>
            <w:r w:rsidRPr="000B4E26">
              <w:rPr>
                <w:b/>
                <w:bCs/>
                <w:i/>
                <w:iCs/>
              </w:rPr>
              <w:t>MINIMUM SERVICE QUALITY STANDARDS</w:t>
            </w:r>
          </w:p>
          <w:p w14:paraId="5191950C" w14:textId="77777777" w:rsidR="000B4E26" w:rsidRPr="000B4E26" w:rsidRDefault="000B4E26" w:rsidP="000B4E26">
            <w:pPr>
              <w:pStyle w:val="Footer"/>
              <w:rPr>
                <w:b/>
                <w:bCs/>
                <w:i/>
                <w:iCs/>
              </w:rPr>
            </w:pPr>
          </w:p>
          <w:p w14:paraId="590FDAE7" w14:textId="77777777" w:rsidR="000B4E26" w:rsidRPr="000B4E26" w:rsidRDefault="000B4E26" w:rsidP="000B4E26">
            <w:pPr>
              <w:pStyle w:val="Footer"/>
              <w:rPr>
                <w:b/>
                <w:bCs/>
                <w:i/>
                <w:iCs/>
              </w:rPr>
            </w:pPr>
            <w:r w:rsidRPr="000B4E26">
              <w:rPr>
                <w:b/>
                <w:bCs/>
                <w:i/>
                <w:iCs/>
              </w:rPr>
              <w:t>Information to passengers on their rights as required by this Regulation (in a transparent, accessible, non-discriminatory, effective and proportionate manner).</w:t>
            </w:r>
          </w:p>
          <w:p w14:paraId="504DBF30" w14:textId="77777777" w:rsidR="000B4E26" w:rsidRPr="000B4E26" w:rsidRDefault="000B4E26" w:rsidP="000B4E26">
            <w:pPr>
              <w:pStyle w:val="Footer"/>
              <w:rPr>
                <w:b/>
                <w:bCs/>
                <w:i/>
                <w:iCs/>
              </w:rPr>
            </w:pPr>
          </w:p>
          <w:p w14:paraId="51AC6429" w14:textId="77777777" w:rsidR="000B4E26" w:rsidRPr="000B4E26" w:rsidRDefault="000B4E26" w:rsidP="000B4E26">
            <w:pPr>
              <w:pStyle w:val="Footer"/>
              <w:rPr>
                <w:b/>
                <w:bCs/>
                <w:i/>
                <w:iCs/>
              </w:rPr>
            </w:pPr>
            <w:r w:rsidRPr="000B4E26">
              <w:rPr>
                <w:b/>
                <w:bCs/>
                <w:i/>
                <w:iCs/>
              </w:rPr>
              <w:t>Results of the customer satisfaction survey(s) focusing on experiences of persons with disabilities and persons with reduced mobility and persons accompanying them</w:t>
            </w:r>
          </w:p>
          <w:p w14:paraId="5D8B5CEC" w14:textId="77777777" w:rsidR="000B4E26" w:rsidRPr="000B4E26" w:rsidRDefault="000B4E26" w:rsidP="000B4E26">
            <w:pPr>
              <w:pStyle w:val="Footer"/>
              <w:rPr>
                <w:b/>
                <w:bCs/>
                <w:i/>
                <w:iCs/>
              </w:rPr>
            </w:pPr>
          </w:p>
          <w:p w14:paraId="4678B661" w14:textId="77777777" w:rsidR="000B4E26" w:rsidRPr="000B4E26" w:rsidRDefault="000B4E26" w:rsidP="000B4E26">
            <w:pPr>
              <w:pStyle w:val="Footer"/>
              <w:rPr>
                <w:b/>
                <w:bCs/>
                <w:i/>
                <w:iCs/>
              </w:rPr>
            </w:pPr>
            <w:r w:rsidRPr="000B4E26">
              <w:rPr>
                <w:b/>
                <w:bCs/>
                <w:i/>
                <w:iCs/>
              </w:rPr>
              <w:t>Complaint handling</w:t>
            </w:r>
          </w:p>
          <w:p w14:paraId="1FF98F9E" w14:textId="77777777" w:rsidR="000B4E26" w:rsidRPr="000B4E26" w:rsidRDefault="000B4E26" w:rsidP="000B4E26">
            <w:pPr>
              <w:pStyle w:val="Footer"/>
              <w:rPr>
                <w:b/>
                <w:bCs/>
                <w:i/>
                <w:iCs/>
              </w:rPr>
            </w:pPr>
          </w:p>
          <w:p w14:paraId="440754D9" w14:textId="77777777" w:rsidR="000B4E26" w:rsidRPr="000B4E26" w:rsidRDefault="000B4E26" w:rsidP="000B4E26">
            <w:pPr>
              <w:pStyle w:val="Footer"/>
              <w:rPr>
                <w:b/>
                <w:bCs/>
                <w:i/>
                <w:iCs/>
              </w:rPr>
            </w:pPr>
            <w:r w:rsidRPr="000B4E26">
              <w:rPr>
                <w:b/>
                <w:bCs/>
                <w:i/>
                <w:iCs/>
              </w:rPr>
              <w:t xml:space="preserve">(a)the number of </w:t>
            </w:r>
            <w:proofErr w:type="gramStart"/>
            <w:r w:rsidRPr="000B4E26">
              <w:rPr>
                <w:b/>
                <w:bCs/>
                <w:i/>
                <w:iCs/>
              </w:rPr>
              <w:t>complaints;</w:t>
            </w:r>
            <w:proofErr w:type="gramEnd"/>
          </w:p>
          <w:p w14:paraId="684EE85D" w14:textId="77777777" w:rsidR="000B4E26" w:rsidRPr="000B4E26" w:rsidRDefault="000B4E26" w:rsidP="000B4E26">
            <w:pPr>
              <w:pStyle w:val="Footer"/>
              <w:rPr>
                <w:b/>
                <w:bCs/>
                <w:i/>
                <w:iCs/>
              </w:rPr>
            </w:pPr>
          </w:p>
          <w:p w14:paraId="36352854" w14:textId="77777777" w:rsidR="000B4E26" w:rsidRPr="000B4E26" w:rsidRDefault="000B4E26" w:rsidP="000B4E26">
            <w:pPr>
              <w:pStyle w:val="Footer"/>
              <w:rPr>
                <w:b/>
                <w:bCs/>
                <w:i/>
                <w:iCs/>
              </w:rPr>
            </w:pPr>
            <w:r w:rsidRPr="000B4E26">
              <w:rPr>
                <w:b/>
                <w:bCs/>
                <w:i/>
                <w:iCs/>
              </w:rPr>
              <w:t xml:space="preserve">(b)types of </w:t>
            </w:r>
            <w:proofErr w:type="gramStart"/>
            <w:r w:rsidRPr="000B4E26">
              <w:rPr>
                <w:b/>
                <w:bCs/>
                <w:i/>
                <w:iCs/>
              </w:rPr>
              <w:t>complaints;</w:t>
            </w:r>
            <w:proofErr w:type="gramEnd"/>
          </w:p>
          <w:p w14:paraId="3058F19D" w14:textId="77777777" w:rsidR="000B4E26" w:rsidRPr="000B4E26" w:rsidRDefault="000B4E26" w:rsidP="000B4E26">
            <w:pPr>
              <w:pStyle w:val="Footer"/>
              <w:rPr>
                <w:b/>
                <w:bCs/>
                <w:i/>
                <w:iCs/>
              </w:rPr>
            </w:pPr>
          </w:p>
          <w:p w14:paraId="5F39D85E" w14:textId="77777777" w:rsidR="000B4E26" w:rsidRPr="000B4E26" w:rsidRDefault="000B4E26" w:rsidP="000B4E26">
            <w:pPr>
              <w:pStyle w:val="Footer"/>
              <w:rPr>
                <w:b/>
                <w:bCs/>
                <w:i/>
                <w:iCs/>
              </w:rPr>
            </w:pPr>
            <w:r w:rsidRPr="000B4E26">
              <w:rPr>
                <w:b/>
                <w:bCs/>
                <w:i/>
                <w:iCs/>
              </w:rPr>
              <w:t xml:space="preserve">(c)the outcome of complaints; and </w:t>
            </w:r>
          </w:p>
          <w:p w14:paraId="492E812A" w14:textId="77777777" w:rsidR="000B4E26" w:rsidRPr="000B4E26" w:rsidRDefault="000B4E26" w:rsidP="000B4E26">
            <w:pPr>
              <w:pStyle w:val="Footer"/>
              <w:rPr>
                <w:b/>
                <w:bCs/>
                <w:i/>
                <w:iCs/>
              </w:rPr>
            </w:pPr>
          </w:p>
          <w:p w14:paraId="181DFB22" w14:textId="77777777" w:rsidR="000B4E26" w:rsidRPr="000B4E26" w:rsidRDefault="000B4E26" w:rsidP="000B4E26">
            <w:pPr>
              <w:pStyle w:val="Footer"/>
              <w:rPr>
                <w:b/>
                <w:bCs/>
                <w:i/>
                <w:iCs/>
              </w:rPr>
            </w:pPr>
            <w:r w:rsidRPr="000B4E26">
              <w:rPr>
                <w:b/>
                <w:bCs/>
                <w:i/>
                <w:iCs/>
              </w:rPr>
              <w:t>(d)compensation for loss or damage of mobility equipment.</w:t>
            </w:r>
          </w:p>
          <w:p w14:paraId="5137F6C8" w14:textId="77777777" w:rsidR="000B4E26" w:rsidRPr="000B4E26" w:rsidRDefault="000B4E26" w:rsidP="000B4E26">
            <w:pPr>
              <w:pStyle w:val="Footer"/>
              <w:rPr>
                <w:b/>
                <w:bCs/>
                <w:i/>
                <w:iCs/>
              </w:rPr>
            </w:pPr>
          </w:p>
          <w:p w14:paraId="6B032FAB" w14:textId="77777777" w:rsidR="000B4E26" w:rsidRPr="000B4E26" w:rsidRDefault="000B4E26" w:rsidP="000B4E26">
            <w:pPr>
              <w:pStyle w:val="Footer"/>
              <w:rPr>
                <w:b/>
                <w:bCs/>
                <w:i/>
                <w:iCs/>
              </w:rPr>
            </w:pPr>
            <w:r w:rsidRPr="000B4E26">
              <w:rPr>
                <w:b/>
                <w:bCs/>
                <w:i/>
                <w:iCs/>
              </w:rPr>
              <w:lastRenderedPageBreak/>
              <w:t xml:space="preserve">Assistance provided to persons with disabilities and persons with reduced mobility (PRM)  </w:t>
            </w:r>
          </w:p>
          <w:p w14:paraId="7448AB3A" w14:textId="77777777" w:rsidR="000B4E26" w:rsidRPr="000B4E26" w:rsidRDefault="000B4E26" w:rsidP="000B4E26">
            <w:pPr>
              <w:pStyle w:val="Footer"/>
              <w:rPr>
                <w:b/>
                <w:bCs/>
                <w:i/>
                <w:iCs/>
              </w:rPr>
            </w:pPr>
          </w:p>
          <w:p w14:paraId="22DDD6DE" w14:textId="77777777" w:rsidR="000B4E26" w:rsidRPr="000B4E26" w:rsidRDefault="000B4E26" w:rsidP="000B4E26">
            <w:pPr>
              <w:pStyle w:val="Footer"/>
              <w:rPr>
                <w:b/>
                <w:bCs/>
                <w:i/>
                <w:iCs/>
              </w:rPr>
            </w:pPr>
            <w:r w:rsidRPr="000B4E26">
              <w:rPr>
                <w:b/>
                <w:bCs/>
                <w:i/>
                <w:iCs/>
              </w:rPr>
              <w:t xml:space="preserve">(a)number of denied transport services for a PRM, and the reason for </w:t>
            </w:r>
            <w:proofErr w:type="gramStart"/>
            <w:r w:rsidRPr="000B4E26">
              <w:rPr>
                <w:b/>
                <w:bCs/>
                <w:i/>
                <w:iCs/>
              </w:rPr>
              <w:t>it;</w:t>
            </w:r>
            <w:proofErr w:type="gramEnd"/>
            <w:r w:rsidRPr="000B4E26">
              <w:rPr>
                <w:b/>
                <w:bCs/>
                <w:i/>
                <w:iCs/>
              </w:rPr>
              <w:t xml:space="preserve"> </w:t>
            </w:r>
          </w:p>
          <w:p w14:paraId="3388D3CC" w14:textId="77777777" w:rsidR="000B4E26" w:rsidRPr="000B4E26" w:rsidRDefault="000B4E26" w:rsidP="000B4E26">
            <w:pPr>
              <w:pStyle w:val="Footer"/>
              <w:rPr>
                <w:b/>
                <w:bCs/>
                <w:i/>
                <w:iCs/>
              </w:rPr>
            </w:pPr>
          </w:p>
          <w:p w14:paraId="23320816" w14:textId="77777777" w:rsidR="000B4E26" w:rsidRPr="000B4E26" w:rsidRDefault="000B4E26" w:rsidP="000B4E26">
            <w:pPr>
              <w:pStyle w:val="Footer"/>
              <w:rPr>
                <w:b/>
                <w:bCs/>
                <w:i/>
                <w:iCs/>
              </w:rPr>
            </w:pPr>
            <w:r w:rsidRPr="000B4E26">
              <w:rPr>
                <w:b/>
                <w:bCs/>
                <w:i/>
                <w:iCs/>
              </w:rPr>
              <w:t xml:space="preserve">(b)number of denied transport services for their recognised assistance dog or their mobility equipment and the reasons for </w:t>
            </w:r>
            <w:proofErr w:type="gramStart"/>
            <w:r w:rsidRPr="000B4E26">
              <w:rPr>
                <w:b/>
                <w:bCs/>
                <w:i/>
                <w:iCs/>
              </w:rPr>
              <w:t>it;</w:t>
            </w:r>
            <w:proofErr w:type="gramEnd"/>
          </w:p>
          <w:p w14:paraId="516CF8B3" w14:textId="77777777" w:rsidR="000B4E26" w:rsidRPr="000B4E26" w:rsidRDefault="000B4E26" w:rsidP="000B4E26">
            <w:pPr>
              <w:pStyle w:val="Footer"/>
              <w:rPr>
                <w:b/>
                <w:bCs/>
                <w:i/>
                <w:iCs/>
              </w:rPr>
            </w:pPr>
          </w:p>
          <w:p w14:paraId="5C8DDA85" w14:textId="77777777" w:rsidR="000B4E26" w:rsidRPr="000B4E26" w:rsidRDefault="000B4E26" w:rsidP="000B4E26">
            <w:pPr>
              <w:pStyle w:val="Footer"/>
              <w:rPr>
                <w:b/>
                <w:bCs/>
                <w:i/>
                <w:iCs/>
              </w:rPr>
            </w:pPr>
            <w:r w:rsidRPr="000B4E26">
              <w:rPr>
                <w:b/>
                <w:bCs/>
                <w:i/>
                <w:iCs/>
              </w:rPr>
              <w:t xml:space="preserve">(c)number of cases related to the loss or damages of mobility equipment and their </w:t>
            </w:r>
            <w:proofErr w:type="gramStart"/>
            <w:r w:rsidRPr="000B4E26">
              <w:rPr>
                <w:b/>
                <w:bCs/>
                <w:i/>
                <w:iCs/>
              </w:rPr>
              <w:t>outcome;</w:t>
            </w:r>
            <w:proofErr w:type="gramEnd"/>
            <w:r w:rsidRPr="000B4E26">
              <w:rPr>
                <w:b/>
                <w:bCs/>
                <w:i/>
                <w:iCs/>
              </w:rPr>
              <w:t xml:space="preserve"> </w:t>
            </w:r>
          </w:p>
          <w:p w14:paraId="490504F2" w14:textId="77777777" w:rsidR="000B4E26" w:rsidRPr="000B4E26" w:rsidRDefault="000B4E26" w:rsidP="000B4E26">
            <w:pPr>
              <w:pStyle w:val="Footer"/>
              <w:rPr>
                <w:b/>
                <w:bCs/>
                <w:i/>
                <w:iCs/>
              </w:rPr>
            </w:pPr>
          </w:p>
          <w:p w14:paraId="609B8F94" w14:textId="77777777" w:rsidR="000B4E26" w:rsidRPr="000B4E26" w:rsidRDefault="000B4E26" w:rsidP="000B4E26">
            <w:pPr>
              <w:pStyle w:val="Footer"/>
              <w:rPr>
                <w:b/>
                <w:bCs/>
                <w:i/>
                <w:iCs/>
              </w:rPr>
            </w:pPr>
            <w:r w:rsidRPr="000B4E26">
              <w:rPr>
                <w:b/>
                <w:bCs/>
                <w:i/>
                <w:iCs/>
              </w:rPr>
              <w:t>(d)number of cases where the carrier obliged a person with disability or reduced mobility to be accompanied by someone to comply with the safety requirements</w:t>
            </w:r>
            <w:proofErr w:type="gramStart"/>
            <w:r w:rsidRPr="000B4E26">
              <w:rPr>
                <w:b/>
                <w:bCs/>
                <w:i/>
                <w:iCs/>
              </w:rPr>
              <w:t>);</w:t>
            </w:r>
            <w:proofErr w:type="gramEnd"/>
            <w:r w:rsidRPr="000B4E26">
              <w:rPr>
                <w:b/>
                <w:bCs/>
                <w:i/>
                <w:iCs/>
              </w:rPr>
              <w:t xml:space="preserve"> </w:t>
            </w:r>
          </w:p>
          <w:p w14:paraId="4AE00E89" w14:textId="77777777" w:rsidR="000B4E26" w:rsidRPr="000B4E26" w:rsidRDefault="000B4E26" w:rsidP="000B4E26">
            <w:pPr>
              <w:pStyle w:val="Footer"/>
              <w:rPr>
                <w:b/>
                <w:bCs/>
                <w:i/>
                <w:iCs/>
              </w:rPr>
            </w:pPr>
          </w:p>
          <w:p w14:paraId="5EC226CC" w14:textId="592538A4" w:rsidR="006C1A55" w:rsidRPr="006C1A55" w:rsidRDefault="000B4E26" w:rsidP="006C1A55">
            <w:pPr>
              <w:pStyle w:val="Footer"/>
              <w:rPr>
                <w:b/>
                <w:bCs/>
                <w:i/>
                <w:iCs/>
              </w:rPr>
            </w:pPr>
            <w:r w:rsidRPr="000B4E26">
              <w:rPr>
                <w:b/>
                <w:bCs/>
                <w:i/>
                <w:iCs/>
              </w:rPr>
              <w:t>(</w:t>
            </w:r>
            <w:r w:rsidR="006C1A55">
              <w:rPr>
                <w:b/>
                <w:bCs/>
                <w:i/>
                <w:iCs/>
              </w:rPr>
              <w:t>e</w:t>
            </w:r>
            <w:r w:rsidRPr="000B4E26">
              <w:rPr>
                <w:b/>
                <w:bCs/>
                <w:i/>
                <w:iCs/>
              </w:rPr>
              <w:t xml:space="preserve">) </w:t>
            </w:r>
            <w:r w:rsidR="006C1A55" w:rsidRPr="006C1A55">
              <w:rPr>
                <w:b/>
                <w:bCs/>
                <w:i/>
                <w:iCs/>
              </w:rPr>
              <w:t>number of cases where the assistance was not provided or was provided with delay,</w:t>
            </w:r>
          </w:p>
          <w:p w14:paraId="6B040C64" w14:textId="59573873" w:rsidR="000B4E26" w:rsidRPr="000B4E26" w:rsidRDefault="000B4E26" w:rsidP="000B4E26">
            <w:pPr>
              <w:pStyle w:val="Footer"/>
              <w:rPr>
                <w:b/>
                <w:bCs/>
                <w:i/>
                <w:iCs/>
              </w:rPr>
            </w:pPr>
          </w:p>
          <w:p w14:paraId="155C4F9E" w14:textId="1B8BB180" w:rsidR="000B4E26" w:rsidRPr="000B4E26" w:rsidRDefault="000B4E26" w:rsidP="000B4E26">
            <w:pPr>
              <w:pStyle w:val="Footer"/>
              <w:rPr>
                <w:b/>
                <w:bCs/>
                <w:i/>
                <w:iCs/>
              </w:rPr>
            </w:pPr>
            <w:r w:rsidRPr="000B4E26">
              <w:rPr>
                <w:b/>
                <w:bCs/>
                <w:i/>
                <w:iCs/>
              </w:rPr>
              <w:t>(</w:t>
            </w:r>
            <w:r w:rsidR="006C1A55">
              <w:rPr>
                <w:b/>
                <w:bCs/>
                <w:i/>
                <w:iCs/>
              </w:rPr>
              <w:t>f</w:t>
            </w:r>
            <w:r w:rsidRPr="000B4E26">
              <w:rPr>
                <w:b/>
                <w:bCs/>
                <w:i/>
                <w:iCs/>
              </w:rPr>
              <w:t>)</w:t>
            </w:r>
            <w:r w:rsidR="006C1A55">
              <w:rPr>
                <w:b/>
                <w:bCs/>
                <w:i/>
                <w:iCs/>
              </w:rPr>
              <w:t xml:space="preserve"> </w:t>
            </w:r>
            <w:r w:rsidRPr="000B4E26">
              <w:rPr>
                <w:b/>
                <w:bCs/>
                <w:i/>
                <w:iCs/>
              </w:rPr>
              <w:t xml:space="preserve">discussions concerning this assistance with representative organisations and, where relevant, representatives of </w:t>
            </w:r>
            <w:proofErr w:type="gramStart"/>
            <w:r w:rsidRPr="000B4E26">
              <w:rPr>
                <w:b/>
                <w:bCs/>
                <w:i/>
                <w:iCs/>
              </w:rPr>
              <w:t>PRM;</w:t>
            </w:r>
            <w:proofErr w:type="gramEnd"/>
          </w:p>
          <w:p w14:paraId="11671A79" w14:textId="77777777" w:rsidR="000B4E26" w:rsidRPr="000B4E26" w:rsidRDefault="000B4E26" w:rsidP="000B4E26">
            <w:pPr>
              <w:pStyle w:val="Footer"/>
              <w:rPr>
                <w:b/>
                <w:bCs/>
                <w:i/>
                <w:iCs/>
              </w:rPr>
            </w:pPr>
          </w:p>
          <w:p w14:paraId="63FF7651" w14:textId="2D3669F5" w:rsidR="000B4E26" w:rsidRPr="000B4E26" w:rsidRDefault="000B4E26" w:rsidP="000B4E26">
            <w:pPr>
              <w:pStyle w:val="Footer"/>
              <w:rPr>
                <w:b/>
                <w:bCs/>
                <w:i/>
                <w:iCs/>
              </w:rPr>
            </w:pPr>
            <w:r w:rsidRPr="000B4E26">
              <w:rPr>
                <w:b/>
                <w:bCs/>
                <w:i/>
                <w:iCs/>
              </w:rPr>
              <w:t>(</w:t>
            </w:r>
            <w:r w:rsidR="006C1A55">
              <w:rPr>
                <w:b/>
                <w:bCs/>
                <w:i/>
                <w:iCs/>
              </w:rPr>
              <w:t>g</w:t>
            </w:r>
            <w:r w:rsidRPr="000B4E26">
              <w:rPr>
                <w:b/>
                <w:bCs/>
                <w:i/>
                <w:iCs/>
              </w:rPr>
              <w:t>)</w:t>
            </w:r>
            <w:r w:rsidR="006C1A55">
              <w:rPr>
                <w:b/>
                <w:bCs/>
                <w:i/>
                <w:iCs/>
              </w:rPr>
              <w:t xml:space="preserve"> </w:t>
            </w:r>
            <w:r w:rsidRPr="000B4E26">
              <w:rPr>
                <w:b/>
                <w:bCs/>
                <w:i/>
                <w:iCs/>
              </w:rPr>
              <w:t xml:space="preserve">the implementation of the disability awareness and assistance training, including the frequency of the sessions and participation of organisations representing persons with disabilities and reduced mobility. </w:t>
            </w:r>
          </w:p>
        </w:tc>
      </w:tr>
      <w:tr w:rsidR="000B4E26" w14:paraId="0BF97138" w14:textId="77777777" w:rsidTr="000B4E26">
        <w:tc>
          <w:tcPr>
            <w:tcW w:w="9962" w:type="dxa"/>
            <w:gridSpan w:val="2"/>
          </w:tcPr>
          <w:p w14:paraId="55051C5A" w14:textId="77777777" w:rsidR="000B4E26" w:rsidRDefault="000B4E26" w:rsidP="000B4E26">
            <w:pPr>
              <w:pStyle w:val="Footer"/>
              <w:jc w:val="both"/>
            </w:pPr>
            <w:r>
              <w:lastRenderedPageBreak/>
              <w:t>Justification:</w:t>
            </w:r>
          </w:p>
          <w:p w14:paraId="401D8070" w14:textId="77777777" w:rsidR="000B4E26" w:rsidRDefault="000B4E26" w:rsidP="000B4E26">
            <w:pPr>
              <w:pStyle w:val="Footer"/>
              <w:jc w:val="both"/>
            </w:pPr>
          </w:p>
          <w:p w14:paraId="46D51710" w14:textId="75C9B90F" w:rsidR="000B4E26" w:rsidRDefault="001E5BE6" w:rsidP="000B4E26">
            <w:pPr>
              <w:pStyle w:val="Footer"/>
              <w:jc w:val="both"/>
            </w:pPr>
            <w:r>
              <w:t xml:space="preserve">As explained in the proposed amendment in page 28, there is currently no obligation for rail undertakings and station managers to collect data on the number and nature of complaints, including on disability related </w:t>
            </w:r>
            <w:proofErr w:type="gramStart"/>
            <w:r>
              <w:t>matters</w:t>
            </w:r>
            <w:r w:rsidR="00BE2994">
              <w:t xml:space="preserve"> </w:t>
            </w:r>
            <w:r>
              <w:t>.</w:t>
            </w:r>
            <w:proofErr w:type="gramEnd"/>
            <w:r>
              <w:t xml:space="preserve"> This should be changed by introducing a new Annex that replicates what the European Commission has proposed for other transport modes. </w:t>
            </w:r>
          </w:p>
          <w:p w14:paraId="77E29A80" w14:textId="77777777" w:rsidR="000B4E26" w:rsidRDefault="000B4E26" w:rsidP="000B4E26">
            <w:pPr>
              <w:pStyle w:val="Footer"/>
              <w:jc w:val="both"/>
            </w:pPr>
          </w:p>
          <w:p w14:paraId="4B4E0A99" w14:textId="77777777" w:rsidR="000B4E26" w:rsidRDefault="000B4E26" w:rsidP="000B4E26">
            <w:pPr>
              <w:pStyle w:val="Footer"/>
              <w:jc w:val="both"/>
            </w:pPr>
          </w:p>
        </w:tc>
      </w:tr>
    </w:tbl>
    <w:p w14:paraId="12AA6114" w14:textId="77777777" w:rsidR="005C3095" w:rsidRDefault="005C3095" w:rsidP="000602AA"/>
    <w:p w14:paraId="076F8301" w14:textId="77777777" w:rsidR="000602AA" w:rsidRDefault="000602AA" w:rsidP="000602AA"/>
    <w:p w14:paraId="415DB6BB" w14:textId="77777777" w:rsidR="000602AA" w:rsidRDefault="000602AA" w:rsidP="000602AA"/>
    <w:p w14:paraId="076B2F7C" w14:textId="77777777" w:rsidR="000602AA" w:rsidRDefault="000602AA" w:rsidP="000602AA"/>
    <w:p w14:paraId="7CEF8C48" w14:textId="77777777" w:rsidR="000602AA" w:rsidRDefault="000602AA" w:rsidP="000602AA"/>
    <w:p w14:paraId="53CC016F" w14:textId="77777777" w:rsidR="000602AA" w:rsidRDefault="000602AA" w:rsidP="000602AA"/>
    <w:p w14:paraId="1F3D7972" w14:textId="77777777" w:rsidR="000602AA" w:rsidRDefault="000602AA" w:rsidP="000602AA"/>
    <w:p w14:paraId="1357ADD6" w14:textId="77777777" w:rsidR="000602AA" w:rsidRDefault="000602AA" w:rsidP="000602AA"/>
    <w:p w14:paraId="1F0C6629" w14:textId="77777777" w:rsidR="000602AA" w:rsidRDefault="000602AA" w:rsidP="000602AA"/>
    <w:p w14:paraId="31C339AB" w14:textId="77777777" w:rsidR="000602AA" w:rsidRDefault="000602AA" w:rsidP="000602AA"/>
    <w:p w14:paraId="7186FD96" w14:textId="77777777" w:rsidR="000602AA" w:rsidRPr="000602AA" w:rsidRDefault="000602AA" w:rsidP="000602AA"/>
    <w:p w14:paraId="60EA0BBF" w14:textId="2683358E" w:rsidR="00B53082" w:rsidRDefault="00B53082" w:rsidP="00B53082">
      <w:pPr>
        <w:pStyle w:val="Heading1"/>
      </w:pPr>
      <w:bookmarkStart w:id="46" w:name="_Toc164171907"/>
      <w:r>
        <w:t>Related documents</w:t>
      </w:r>
      <w:bookmarkEnd w:id="5"/>
      <w:bookmarkEnd w:id="46"/>
    </w:p>
    <w:p w14:paraId="0DD18CC3" w14:textId="00819FD1" w:rsidR="00B53082" w:rsidRPr="00B7298F" w:rsidRDefault="00B53082" w:rsidP="00B53082"/>
    <w:bookmarkStart w:id="47" w:name="_Toc444075386"/>
    <w:bookmarkStart w:id="48" w:name="_Toc445184594"/>
    <w:bookmarkStart w:id="49" w:name="_Toc6724633"/>
    <w:bookmarkStart w:id="50" w:name="_Toc77131106"/>
    <w:bookmarkStart w:id="51" w:name="_Toc133309195"/>
    <w:bookmarkEnd w:id="6"/>
    <w:p w14:paraId="3B11C2C6" w14:textId="17298FE3" w:rsidR="002A2989" w:rsidRDefault="00BE2994" w:rsidP="007471D3">
      <w:r>
        <w:fldChar w:fldCharType="begin"/>
      </w:r>
      <w:r>
        <w:instrText>HYPERLINK "https://www.edf-feph.org/publications/analysis-of-the-proposal-on-enforcement-of-passenger-rights/"</w:instrText>
      </w:r>
      <w:r>
        <w:fldChar w:fldCharType="separate"/>
      </w:r>
      <w:r w:rsidR="000602AA" w:rsidRPr="00BE2994">
        <w:rPr>
          <w:rStyle w:val="Hyperlink"/>
        </w:rPr>
        <w:t>EDF Analysis of the Proposal for a Regulation on the Enforcement of Passenger Rights</w:t>
      </w:r>
      <w:r>
        <w:fldChar w:fldCharType="end"/>
      </w:r>
      <w:r w:rsidR="000602AA" w:rsidRPr="00BE2994">
        <w:t xml:space="preserve"> (February 2024)</w:t>
      </w:r>
    </w:p>
    <w:p w14:paraId="3369E6AB" w14:textId="413A2CAE" w:rsidR="00F251D5" w:rsidRPr="002A2989" w:rsidRDefault="00F251D5" w:rsidP="007471D3"/>
    <w:p w14:paraId="00C30591" w14:textId="581E70B8" w:rsidR="00B53082" w:rsidRPr="00D15E63" w:rsidRDefault="00B53082" w:rsidP="00B53082">
      <w:pPr>
        <w:pStyle w:val="Heading1"/>
      </w:pPr>
      <w:bookmarkStart w:id="52" w:name="_Toc442200290"/>
      <w:bookmarkStart w:id="53" w:name="_Toc164171908"/>
      <w:r w:rsidRPr="00D15E63">
        <w:t>Contact person</w:t>
      </w:r>
      <w:r w:rsidR="0072465C">
        <w:t>s</w:t>
      </w:r>
      <w:r w:rsidRPr="00D15E63">
        <w:t xml:space="preserve"> at the EDF secretariat</w:t>
      </w:r>
      <w:bookmarkEnd w:id="47"/>
      <w:bookmarkEnd w:id="48"/>
      <w:bookmarkEnd w:id="49"/>
      <w:bookmarkEnd w:id="50"/>
      <w:bookmarkEnd w:id="51"/>
      <w:bookmarkEnd w:id="52"/>
      <w:bookmarkEnd w:id="53"/>
    </w:p>
    <w:p w14:paraId="54B93E2D" w14:textId="77777777" w:rsidR="00D7792D" w:rsidRDefault="00D7792D" w:rsidP="00B53082">
      <w:pPr>
        <w:spacing w:line="276" w:lineRule="auto"/>
        <w:jc w:val="both"/>
        <w:rPr>
          <w:rFonts w:cs="Arial"/>
        </w:rPr>
      </w:pPr>
    </w:p>
    <w:p w14:paraId="2BE5DE85" w14:textId="0E435504" w:rsidR="000602AA" w:rsidRDefault="000602AA" w:rsidP="00B53082">
      <w:pPr>
        <w:spacing w:line="276" w:lineRule="auto"/>
        <w:jc w:val="both"/>
        <w:rPr>
          <w:rFonts w:cs="Arial"/>
        </w:rPr>
      </w:pPr>
      <w:r>
        <w:rPr>
          <w:rFonts w:cs="Arial"/>
        </w:rPr>
        <w:t>Daniel Casas Ballester – Accessibility Officer (</w:t>
      </w:r>
      <w:hyperlink r:id="rId17" w:history="1">
        <w:r w:rsidRPr="002C518B">
          <w:rPr>
            <w:rStyle w:val="Hyperlink"/>
          </w:rPr>
          <w:t>daniel.casas@edf-feph.org</w:t>
        </w:r>
      </w:hyperlink>
      <w:r>
        <w:rPr>
          <w:rStyle w:val="ui-provider"/>
        </w:rPr>
        <w:t xml:space="preserve">) </w:t>
      </w:r>
    </w:p>
    <w:p w14:paraId="61932E85" w14:textId="4C96784F" w:rsidR="00FA2D95" w:rsidRPr="000334DE" w:rsidRDefault="00FA2D95" w:rsidP="00B53082">
      <w:pPr>
        <w:spacing w:line="276" w:lineRule="auto"/>
        <w:jc w:val="both"/>
        <w:rPr>
          <w:rFonts w:cs="Arial"/>
          <w:color w:val="0000FF"/>
          <w:u w:val="single"/>
          <w:lang w:val="de-DE"/>
        </w:rPr>
      </w:pPr>
    </w:p>
    <w:p w14:paraId="6F1EA8F0" w14:textId="65313E52" w:rsidR="00B53082" w:rsidRDefault="00B53082" w:rsidP="00B53082">
      <w:pPr>
        <w:spacing w:line="276" w:lineRule="auto"/>
        <w:jc w:val="both"/>
        <w:rPr>
          <w:rFonts w:cs="Arial"/>
        </w:rPr>
      </w:pPr>
      <w:r w:rsidRPr="009904DB">
        <w:rPr>
          <w:rFonts w:cs="Arial"/>
        </w:rPr>
        <w:t xml:space="preserve">Should you have any problems in accessing the documentation, please contact the EDF Secretariat.  (Tel: +32 (0) 2 282 46 00, Email: </w:t>
      </w:r>
      <w:hyperlink r:id="rId18" w:history="1">
        <w:r w:rsidRPr="000B01FF">
          <w:rPr>
            <w:rFonts w:cs="Arial"/>
            <w:color w:val="0000FF"/>
            <w:u w:val="single"/>
          </w:rPr>
          <w:t>info@edf-feph.org</w:t>
        </w:r>
      </w:hyperlink>
      <w:r w:rsidRPr="009904DB">
        <w:rPr>
          <w:rFonts w:cs="Arial"/>
        </w:rPr>
        <w:t>).</w:t>
      </w:r>
    </w:p>
    <w:p w14:paraId="0643E804" w14:textId="0BF52B6A" w:rsidR="00DC2DCD" w:rsidRPr="00DC2DCD" w:rsidRDefault="00DC2DCD" w:rsidP="00DC2DCD"/>
    <w:p w14:paraId="60513D1F" w14:textId="5257C3EA" w:rsidR="00140C92" w:rsidRDefault="00140C92" w:rsidP="00510BF6">
      <w:pPr>
        <w:jc w:val="center"/>
      </w:pPr>
      <w:r>
        <w:rPr>
          <w:noProof/>
        </w:rPr>
        <w:drawing>
          <wp:anchor distT="0" distB="0" distL="114300" distR="114300" simplePos="0" relativeHeight="251662336" behindDoc="0" locked="0" layoutInCell="1" allowOverlap="1" wp14:anchorId="12C40508" wp14:editId="284C2255">
            <wp:simplePos x="0" y="0"/>
            <wp:positionH relativeFrom="column">
              <wp:posOffset>2623463</wp:posOffset>
            </wp:positionH>
            <wp:positionV relativeFrom="paragraph">
              <wp:posOffset>161290</wp:posOffset>
            </wp:positionV>
            <wp:extent cx="990600" cy="1004217"/>
            <wp:effectExtent l="0" t="0" r="0" b="5715"/>
            <wp:wrapNone/>
            <wp:docPr id="4" name="Picture 4"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shape&#10;&#10;Description automatically generated"/>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90600" cy="100421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7C40BD9" w14:textId="77777777" w:rsidR="00140C92" w:rsidRDefault="00140C92" w:rsidP="00510BF6">
      <w:pPr>
        <w:jc w:val="center"/>
      </w:pPr>
    </w:p>
    <w:p w14:paraId="60878252" w14:textId="0765476E" w:rsidR="00140C92" w:rsidRDefault="00140C92" w:rsidP="00510BF6">
      <w:pPr>
        <w:jc w:val="center"/>
      </w:pPr>
    </w:p>
    <w:p w14:paraId="7628996C" w14:textId="0C03D110" w:rsidR="003C04D4" w:rsidRDefault="003C04D4" w:rsidP="00510BF6">
      <w:pPr>
        <w:jc w:val="center"/>
      </w:pPr>
    </w:p>
    <w:p w14:paraId="0977F941" w14:textId="02C6D4E9" w:rsidR="00140C92" w:rsidRDefault="00140C92" w:rsidP="00510BF6">
      <w:pPr>
        <w:jc w:val="center"/>
      </w:pPr>
    </w:p>
    <w:p w14:paraId="20E2A5CB" w14:textId="31FF2A9A" w:rsidR="00140C92" w:rsidRDefault="00140C92" w:rsidP="00510BF6">
      <w:pPr>
        <w:jc w:val="center"/>
      </w:pPr>
    </w:p>
    <w:p w14:paraId="251215DC" w14:textId="41DD7070" w:rsidR="00140C92" w:rsidRDefault="00140C92" w:rsidP="00510BF6">
      <w:pPr>
        <w:jc w:val="center"/>
      </w:pPr>
    </w:p>
    <w:p w14:paraId="672F5885" w14:textId="36CE4D6F" w:rsidR="00140C92" w:rsidRPr="00140C92" w:rsidRDefault="00140C92" w:rsidP="00510BF6">
      <w:pPr>
        <w:jc w:val="center"/>
        <w:rPr>
          <w:sz w:val="22"/>
          <w:szCs w:val="22"/>
        </w:rPr>
      </w:pPr>
      <w:r w:rsidRPr="00140C92">
        <w:rPr>
          <w:sz w:val="22"/>
          <w:szCs w:val="22"/>
        </w:rPr>
        <w:t>Funded by the European Union. Views and opinions expressed are however those of the author(s) only and do not necessarily reflect those of the European Union or the European Commission. Neither the European Union nor the granting authority can be held responsible for them.</w:t>
      </w:r>
    </w:p>
    <w:sectPr w:rsidR="00140C92" w:rsidRPr="00140C92" w:rsidSect="00FF0360">
      <w:headerReference w:type="default" r:id="rId20"/>
      <w:footerReference w:type="default" r:id="rId21"/>
      <w:pgSz w:w="12240" w:h="15840"/>
      <w:pgMar w:top="1801" w:right="1134" w:bottom="1134" w:left="1134" w:header="720" w:footer="14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FCE049" w14:textId="77777777" w:rsidR="00FF0360" w:rsidRDefault="00FF0360" w:rsidP="00713123">
      <w:r>
        <w:separator/>
      </w:r>
    </w:p>
  </w:endnote>
  <w:endnote w:type="continuationSeparator" w:id="0">
    <w:p w14:paraId="3E47AA58" w14:textId="77777777" w:rsidR="00FF0360" w:rsidRDefault="00FF0360" w:rsidP="00713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Grande">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38B139" w14:textId="77777777" w:rsidR="00D7792D" w:rsidRDefault="00D7792D">
    <w:pPr>
      <w:pStyle w:val="Footer"/>
      <w:jc w:val="center"/>
    </w:pPr>
  </w:p>
  <w:p w14:paraId="6CF3D37C" w14:textId="77777777" w:rsidR="00D7792D" w:rsidRDefault="00D7792D">
    <w:pPr>
      <w:pStyle w:val="Footer"/>
      <w:jc w:val="center"/>
    </w:pPr>
  </w:p>
  <w:p w14:paraId="61053EF2" w14:textId="0DA08195" w:rsidR="00D7792D" w:rsidRDefault="00D7792D">
    <w:pPr>
      <w:pStyle w:val="Footer"/>
      <w:jc w:val="center"/>
    </w:pPr>
  </w:p>
  <w:p w14:paraId="214CB058" w14:textId="77777777" w:rsidR="00D7792D" w:rsidRDefault="00D7792D">
    <w:pPr>
      <w:pStyle w:val="Footer"/>
      <w:jc w:val="center"/>
    </w:pPr>
  </w:p>
  <w:p w14:paraId="1615DF10" w14:textId="77777777" w:rsidR="00D7792D" w:rsidRDefault="00D7792D">
    <w:pPr>
      <w:pStyle w:val="Footer"/>
      <w:jc w:val="center"/>
    </w:pPr>
  </w:p>
  <w:p w14:paraId="601B1A0A" w14:textId="77777777" w:rsidR="00D7792D" w:rsidRDefault="00B07EFB">
    <w:pPr>
      <w:pStyle w:val="Footer"/>
      <w:jc w:val="center"/>
    </w:pPr>
    <w:r>
      <w:fldChar w:fldCharType="begin"/>
    </w:r>
    <w:r w:rsidR="00D7792D">
      <w:instrText xml:space="preserve"> PAGE   \* MERGEFORMAT </w:instrText>
    </w:r>
    <w:r>
      <w:fldChar w:fldCharType="separate"/>
    </w:r>
    <w:r w:rsidR="00024D94">
      <w:rPr>
        <w:noProof/>
      </w:rPr>
      <w:t>2</w:t>
    </w:r>
    <w:r>
      <w:rPr>
        <w:noProof/>
      </w:rPr>
      <w:fldChar w:fldCharType="end"/>
    </w:r>
  </w:p>
  <w:p w14:paraId="0AC2D870" w14:textId="77777777" w:rsidR="00D7792D" w:rsidRDefault="00D779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BD770B" w14:textId="77777777" w:rsidR="00FF0360" w:rsidRDefault="00FF0360" w:rsidP="00713123">
      <w:r>
        <w:separator/>
      </w:r>
    </w:p>
  </w:footnote>
  <w:footnote w:type="continuationSeparator" w:id="0">
    <w:p w14:paraId="4947FF30" w14:textId="77777777" w:rsidR="00FF0360" w:rsidRDefault="00FF0360" w:rsidP="00713123">
      <w:r>
        <w:continuationSeparator/>
      </w:r>
    </w:p>
  </w:footnote>
  <w:footnote w:id="1">
    <w:p w14:paraId="03693953" w14:textId="1FC280F2" w:rsidR="00344377" w:rsidRDefault="00344377" w:rsidP="00344377">
      <w:pPr>
        <w:pStyle w:val="FootnoteText"/>
      </w:pPr>
      <w:r>
        <w:rPr>
          <w:rStyle w:val="FootnoteReference"/>
        </w:rPr>
        <w:footnoteRef/>
      </w:r>
      <w:r>
        <w:t xml:space="preserve"> Regulation 261 / 2004 on air passenger rights in event of cancellation, delay and denied boarding. </w:t>
      </w:r>
    </w:p>
    <w:p w14:paraId="76C8DFD1" w14:textId="1BF2BC0F" w:rsidR="00344377" w:rsidRDefault="00344377" w:rsidP="00344377">
      <w:pPr>
        <w:pStyle w:val="FootnoteText"/>
      </w:pPr>
      <w:r>
        <w:t>Regulation 1106</w:t>
      </w:r>
      <w:r w:rsidR="003B0370">
        <w:t xml:space="preserve"> </w:t>
      </w:r>
      <w:r>
        <w:t>/</w:t>
      </w:r>
      <w:r w:rsidR="003B0370">
        <w:t xml:space="preserve"> </w:t>
      </w:r>
      <w:r>
        <w:t>2006 on air passenger rights for passengers with disabilities or reduced mobility</w:t>
      </w:r>
    </w:p>
    <w:p w14:paraId="133F5DBF" w14:textId="15C00FAC" w:rsidR="00344377" w:rsidRDefault="00344377" w:rsidP="00344377">
      <w:pPr>
        <w:pStyle w:val="FootnoteText"/>
      </w:pPr>
      <w:r>
        <w:t>Regulation 1177</w:t>
      </w:r>
      <w:r w:rsidR="003B0370">
        <w:t xml:space="preserve"> </w:t>
      </w:r>
      <w:r>
        <w:t>/</w:t>
      </w:r>
      <w:r w:rsidR="003B0370">
        <w:t xml:space="preserve"> </w:t>
      </w:r>
      <w:r>
        <w:t>2010 on waterborne passenger rights</w:t>
      </w:r>
    </w:p>
    <w:p w14:paraId="00FC35F1" w14:textId="400E735F" w:rsidR="00344377" w:rsidRDefault="00344377" w:rsidP="00344377">
      <w:pPr>
        <w:pStyle w:val="FootnoteText"/>
      </w:pPr>
      <w:r>
        <w:t>Regulation 181</w:t>
      </w:r>
      <w:r w:rsidR="003B0370">
        <w:t xml:space="preserve"> </w:t>
      </w:r>
      <w:r>
        <w:t>/</w:t>
      </w:r>
      <w:r w:rsidR="003B0370">
        <w:t xml:space="preserve"> </w:t>
      </w:r>
      <w:r>
        <w:t>2011 on bus and coach passenger rights</w:t>
      </w:r>
    </w:p>
    <w:p w14:paraId="3511E633" w14:textId="3E5A6183" w:rsidR="00344377" w:rsidRDefault="00344377" w:rsidP="00344377">
      <w:pPr>
        <w:pStyle w:val="FootnoteText"/>
      </w:pPr>
      <w:r>
        <w:t>Regulation 2021</w:t>
      </w:r>
      <w:r w:rsidR="003B0370">
        <w:t xml:space="preserve"> </w:t>
      </w:r>
      <w:r>
        <w:t>/</w:t>
      </w:r>
      <w:r w:rsidR="003B0370">
        <w:t xml:space="preserve"> </w:t>
      </w:r>
      <w:r>
        <w:t>782 on rail passenger rights</w:t>
      </w:r>
    </w:p>
  </w:footnote>
  <w:footnote w:id="2">
    <w:p w14:paraId="10DDEFA0" w14:textId="5D7810B0" w:rsidR="009054BB" w:rsidRDefault="009054BB">
      <w:pPr>
        <w:pStyle w:val="FootnoteText"/>
      </w:pPr>
      <w:r>
        <w:rPr>
          <w:rStyle w:val="FootnoteReference"/>
        </w:rPr>
        <w:footnoteRef/>
      </w:r>
      <w:r>
        <w:t xml:space="preserve"> According to the </w:t>
      </w:r>
      <w:hyperlink r:id="rId1" w:history="1">
        <w:r w:rsidRPr="009054BB">
          <w:rPr>
            <w:rStyle w:val="Hyperlink"/>
          </w:rPr>
          <w:t>Commission study on the implementation of Regulation 1107/2006</w:t>
        </w:r>
      </w:hyperlink>
      <w:r>
        <w:t xml:space="preserve">, 20% of the complaints received by NEBs referred to the lack or quality of assistance. This accounted for the biggest group of PRM complaints.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2741F1" w14:textId="77777777" w:rsidR="00D7792D" w:rsidRDefault="00D7792D">
    <w:pPr>
      <w:pStyle w:val="Header"/>
    </w:pPr>
    <w:r>
      <w:rPr>
        <w:noProof/>
        <w:lang w:val="fr-BE" w:eastAsia="fr-BE"/>
      </w:rPr>
      <w:drawing>
        <wp:anchor distT="0" distB="0" distL="114300" distR="114300" simplePos="0" relativeHeight="251658240" behindDoc="0" locked="0" layoutInCell="1" allowOverlap="1" wp14:anchorId="563EF031" wp14:editId="4791660F">
          <wp:simplePos x="0" y="0"/>
          <wp:positionH relativeFrom="column">
            <wp:posOffset>-716280</wp:posOffset>
          </wp:positionH>
          <wp:positionV relativeFrom="paragraph">
            <wp:posOffset>-114935</wp:posOffset>
          </wp:positionV>
          <wp:extent cx="7658100" cy="1081405"/>
          <wp:effectExtent l="0" t="0" r="0" b="4445"/>
          <wp:wrapNone/>
          <wp:docPr id="6" name="Picture 3" descr="Description: EDF_HEADER_POSITIONPA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EDF_HEADER_POSITIONPAP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58100" cy="108140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010B8"/>
    <w:multiLevelType w:val="hybridMultilevel"/>
    <w:tmpl w:val="37B8F87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34F257B"/>
    <w:multiLevelType w:val="hybridMultilevel"/>
    <w:tmpl w:val="4E76813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4E15269"/>
    <w:multiLevelType w:val="hybridMultilevel"/>
    <w:tmpl w:val="39D4E642"/>
    <w:lvl w:ilvl="0" w:tplc="1FF6A3FA">
      <w:start w:val="2"/>
      <w:numFmt w:val="bullet"/>
      <w:lvlText w:val="—"/>
      <w:lvlJc w:val="left"/>
      <w:pPr>
        <w:ind w:left="720" w:hanging="360"/>
      </w:pPr>
      <w:rPr>
        <w:rFonts w:ascii="Arial" w:eastAsia="Times New Roman"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4" w15:restartNumberingAfterBreak="0">
    <w:nsid w:val="29B12AE8"/>
    <w:multiLevelType w:val="hybridMultilevel"/>
    <w:tmpl w:val="68CCF47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30474842"/>
    <w:multiLevelType w:val="hybridMultilevel"/>
    <w:tmpl w:val="DF04442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346131AE"/>
    <w:multiLevelType w:val="hybridMultilevel"/>
    <w:tmpl w:val="9FF29AC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3E347F65"/>
    <w:multiLevelType w:val="hybridMultilevel"/>
    <w:tmpl w:val="B2CE0174"/>
    <w:lvl w:ilvl="0" w:tplc="1F241AE8">
      <w:start w:val="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D75379E"/>
    <w:multiLevelType w:val="hybridMultilevel"/>
    <w:tmpl w:val="C7000756"/>
    <w:lvl w:ilvl="0" w:tplc="08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E973707"/>
    <w:multiLevelType w:val="hybridMultilevel"/>
    <w:tmpl w:val="7C6493C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54C9788A"/>
    <w:multiLevelType w:val="hybridMultilevel"/>
    <w:tmpl w:val="C866798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562C0E9E"/>
    <w:multiLevelType w:val="hybridMultilevel"/>
    <w:tmpl w:val="DEF04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9A780D"/>
    <w:multiLevelType w:val="hybridMultilevel"/>
    <w:tmpl w:val="BAE8FEB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5E7A41CD"/>
    <w:multiLevelType w:val="hybridMultilevel"/>
    <w:tmpl w:val="20AE02C4"/>
    <w:lvl w:ilvl="0" w:tplc="9320C2E4">
      <w:start w:val="1"/>
      <w:numFmt w:val="decimal"/>
      <w:lvlText w:val="%1."/>
      <w:lvlJc w:val="left"/>
      <w:pPr>
        <w:ind w:left="830" w:hanging="47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4" w15:restartNumberingAfterBreak="0">
    <w:nsid w:val="64B37CF7"/>
    <w:multiLevelType w:val="hybridMultilevel"/>
    <w:tmpl w:val="C7000756"/>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6CD00DA"/>
    <w:multiLevelType w:val="hybridMultilevel"/>
    <w:tmpl w:val="456EEABE"/>
    <w:lvl w:ilvl="0" w:tplc="4642B8A6">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A12501"/>
    <w:multiLevelType w:val="hybridMultilevel"/>
    <w:tmpl w:val="FA48364C"/>
    <w:lvl w:ilvl="0" w:tplc="080C000B">
      <w:numFmt w:val="bullet"/>
      <w:lvlText w:val=""/>
      <w:lvlJc w:val="left"/>
      <w:pPr>
        <w:ind w:left="720" w:hanging="360"/>
      </w:pPr>
      <w:rPr>
        <w:rFonts w:ascii="Wingdings" w:eastAsia="Times New Roman" w:hAnsi="Wingdings"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6B306234"/>
    <w:multiLevelType w:val="hybridMultilevel"/>
    <w:tmpl w:val="84B2489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72335A23"/>
    <w:multiLevelType w:val="hybridMultilevel"/>
    <w:tmpl w:val="745667B8"/>
    <w:lvl w:ilvl="0" w:tplc="1FF6A3FA">
      <w:start w:val="2"/>
      <w:numFmt w:val="bullet"/>
      <w:lvlText w:val="—"/>
      <w:lvlJc w:val="left"/>
      <w:pPr>
        <w:ind w:left="720" w:hanging="360"/>
      </w:pPr>
      <w:rPr>
        <w:rFonts w:ascii="Arial" w:eastAsia="Times New Roman"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785E027C"/>
    <w:multiLevelType w:val="hybridMultilevel"/>
    <w:tmpl w:val="E4EE0C1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973875054">
    <w:abstractNumId w:val="16"/>
  </w:num>
  <w:num w:numId="2" w16cid:durableId="1042435638">
    <w:abstractNumId w:val="6"/>
  </w:num>
  <w:num w:numId="3" w16cid:durableId="1714573108">
    <w:abstractNumId w:val="4"/>
  </w:num>
  <w:num w:numId="4" w16cid:durableId="75134366">
    <w:abstractNumId w:val="11"/>
  </w:num>
  <w:num w:numId="5" w16cid:durableId="1302925528">
    <w:abstractNumId w:val="5"/>
  </w:num>
  <w:num w:numId="6" w16cid:durableId="1441298636">
    <w:abstractNumId w:val="15"/>
  </w:num>
  <w:num w:numId="7" w16cid:durableId="903679343">
    <w:abstractNumId w:val="17"/>
  </w:num>
  <w:num w:numId="8" w16cid:durableId="689995023">
    <w:abstractNumId w:val="7"/>
  </w:num>
  <w:num w:numId="9" w16cid:durableId="211740697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103289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31442235">
    <w:abstractNumId w:val="3"/>
  </w:num>
  <w:num w:numId="12" w16cid:durableId="20312518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152799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83454316">
    <w:abstractNumId w:val="12"/>
  </w:num>
  <w:num w:numId="15" w16cid:durableId="2055932448">
    <w:abstractNumId w:val="9"/>
  </w:num>
  <w:num w:numId="16" w16cid:durableId="1598292855">
    <w:abstractNumId w:val="0"/>
  </w:num>
  <w:num w:numId="17" w16cid:durableId="1323656862">
    <w:abstractNumId w:val="19"/>
  </w:num>
  <w:num w:numId="18" w16cid:durableId="448429109">
    <w:abstractNumId w:val="13"/>
  </w:num>
  <w:num w:numId="19" w16cid:durableId="2027366584">
    <w:abstractNumId w:val="8"/>
  </w:num>
  <w:num w:numId="20" w16cid:durableId="1507861143">
    <w:abstractNumId w:val="14"/>
  </w:num>
  <w:num w:numId="21" w16cid:durableId="1749185029">
    <w:abstractNumId w:val="1"/>
  </w:num>
  <w:num w:numId="22" w16cid:durableId="453136841">
    <w:abstractNumId w:val="10"/>
  </w:num>
  <w:num w:numId="23" w16cid:durableId="1306859768">
    <w:abstractNumId w:val="2"/>
  </w:num>
  <w:num w:numId="24" w16cid:durableId="113857400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64A3"/>
    <w:rsid w:val="000013A6"/>
    <w:rsid w:val="000024C6"/>
    <w:rsid w:val="0000376A"/>
    <w:rsid w:val="00012058"/>
    <w:rsid w:val="00014906"/>
    <w:rsid w:val="00020566"/>
    <w:rsid w:val="00024D94"/>
    <w:rsid w:val="00024E66"/>
    <w:rsid w:val="00027832"/>
    <w:rsid w:val="000334DE"/>
    <w:rsid w:val="00035C53"/>
    <w:rsid w:val="000449D9"/>
    <w:rsid w:val="00046E92"/>
    <w:rsid w:val="00046EF6"/>
    <w:rsid w:val="00057688"/>
    <w:rsid w:val="000602AA"/>
    <w:rsid w:val="00062F94"/>
    <w:rsid w:val="0006749E"/>
    <w:rsid w:val="000703C2"/>
    <w:rsid w:val="00071B60"/>
    <w:rsid w:val="0007607B"/>
    <w:rsid w:val="00077F61"/>
    <w:rsid w:val="0008383E"/>
    <w:rsid w:val="000904BC"/>
    <w:rsid w:val="00090798"/>
    <w:rsid w:val="00097DF0"/>
    <w:rsid w:val="000A2A45"/>
    <w:rsid w:val="000A3286"/>
    <w:rsid w:val="000A420C"/>
    <w:rsid w:val="000A43CD"/>
    <w:rsid w:val="000B4E26"/>
    <w:rsid w:val="000B7079"/>
    <w:rsid w:val="000B77B8"/>
    <w:rsid w:val="000C340D"/>
    <w:rsid w:val="000C45E7"/>
    <w:rsid w:val="000D1DD3"/>
    <w:rsid w:val="000E1F67"/>
    <w:rsid w:val="000F127C"/>
    <w:rsid w:val="000F1342"/>
    <w:rsid w:val="000F4AB9"/>
    <w:rsid w:val="00102DD2"/>
    <w:rsid w:val="0010365A"/>
    <w:rsid w:val="0010443E"/>
    <w:rsid w:val="00105349"/>
    <w:rsid w:val="00107AB2"/>
    <w:rsid w:val="001104DF"/>
    <w:rsid w:val="001127BC"/>
    <w:rsid w:val="00112C78"/>
    <w:rsid w:val="00114151"/>
    <w:rsid w:val="00115C82"/>
    <w:rsid w:val="00117C34"/>
    <w:rsid w:val="001212F2"/>
    <w:rsid w:val="0012516D"/>
    <w:rsid w:val="00127997"/>
    <w:rsid w:val="001279C5"/>
    <w:rsid w:val="00131F3F"/>
    <w:rsid w:val="00133420"/>
    <w:rsid w:val="001336BF"/>
    <w:rsid w:val="00140C92"/>
    <w:rsid w:val="00144A47"/>
    <w:rsid w:val="00146723"/>
    <w:rsid w:val="0015035E"/>
    <w:rsid w:val="00151D7F"/>
    <w:rsid w:val="00151FBA"/>
    <w:rsid w:val="001527F3"/>
    <w:rsid w:val="001559E9"/>
    <w:rsid w:val="00155D10"/>
    <w:rsid w:val="00156CE4"/>
    <w:rsid w:val="00162B87"/>
    <w:rsid w:val="0017220B"/>
    <w:rsid w:val="00174153"/>
    <w:rsid w:val="001756D7"/>
    <w:rsid w:val="001774A5"/>
    <w:rsid w:val="0018468C"/>
    <w:rsid w:val="0018598A"/>
    <w:rsid w:val="00191413"/>
    <w:rsid w:val="00193B64"/>
    <w:rsid w:val="00195746"/>
    <w:rsid w:val="001A05FE"/>
    <w:rsid w:val="001A1E05"/>
    <w:rsid w:val="001A661F"/>
    <w:rsid w:val="001A7B89"/>
    <w:rsid w:val="001B3BC7"/>
    <w:rsid w:val="001B4348"/>
    <w:rsid w:val="001B52AA"/>
    <w:rsid w:val="001B5945"/>
    <w:rsid w:val="001B6EC8"/>
    <w:rsid w:val="001C2229"/>
    <w:rsid w:val="001C43AD"/>
    <w:rsid w:val="001C5B77"/>
    <w:rsid w:val="001D3EA2"/>
    <w:rsid w:val="001D6302"/>
    <w:rsid w:val="001D7842"/>
    <w:rsid w:val="001E02FA"/>
    <w:rsid w:val="001E1B55"/>
    <w:rsid w:val="001E4079"/>
    <w:rsid w:val="001E5BE6"/>
    <w:rsid w:val="001F21B2"/>
    <w:rsid w:val="00201F3D"/>
    <w:rsid w:val="00204084"/>
    <w:rsid w:val="00206A59"/>
    <w:rsid w:val="0021008D"/>
    <w:rsid w:val="0021133F"/>
    <w:rsid w:val="0022169C"/>
    <w:rsid w:val="00221B1E"/>
    <w:rsid w:val="00222B10"/>
    <w:rsid w:val="00225C5D"/>
    <w:rsid w:val="00230FEE"/>
    <w:rsid w:val="00231917"/>
    <w:rsid w:val="00234E69"/>
    <w:rsid w:val="00235453"/>
    <w:rsid w:val="0023691F"/>
    <w:rsid w:val="002445DE"/>
    <w:rsid w:val="002451C7"/>
    <w:rsid w:val="002469BE"/>
    <w:rsid w:val="002519FB"/>
    <w:rsid w:val="00252E81"/>
    <w:rsid w:val="00254AE9"/>
    <w:rsid w:val="00262F8C"/>
    <w:rsid w:val="002710C1"/>
    <w:rsid w:val="00285E4C"/>
    <w:rsid w:val="002872CA"/>
    <w:rsid w:val="00291F95"/>
    <w:rsid w:val="002946CA"/>
    <w:rsid w:val="002A2989"/>
    <w:rsid w:val="002A432F"/>
    <w:rsid w:val="002A5225"/>
    <w:rsid w:val="002A6F34"/>
    <w:rsid w:val="002A73D1"/>
    <w:rsid w:val="002B10D1"/>
    <w:rsid w:val="002B6F71"/>
    <w:rsid w:val="002C0635"/>
    <w:rsid w:val="002C1562"/>
    <w:rsid w:val="002C7839"/>
    <w:rsid w:val="002D1F1F"/>
    <w:rsid w:val="002D3AE5"/>
    <w:rsid w:val="002D4B48"/>
    <w:rsid w:val="002D51ED"/>
    <w:rsid w:val="002D67CC"/>
    <w:rsid w:val="002D6A04"/>
    <w:rsid w:val="002E18E1"/>
    <w:rsid w:val="002E7E35"/>
    <w:rsid w:val="002F378C"/>
    <w:rsid w:val="002F4304"/>
    <w:rsid w:val="002F5917"/>
    <w:rsid w:val="002F7F4A"/>
    <w:rsid w:val="003015B5"/>
    <w:rsid w:val="0030679B"/>
    <w:rsid w:val="00307440"/>
    <w:rsid w:val="00313D8F"/>
    <w:rsid w:val="003164A3"/>
    <w:rsid w:val="00320F6D"/>
    <w:rsid w:val="00322EA5"/>
    <w:rsid w:val="003267E9"/>
    <w:rsid w:val="00326DCC"/>
    <w:rsid w:val="003353C6"/>
    <w:rsid w:val="00336D01"/>
    <w:rsid w:val="003441C0"/>
    <w:rsid w:val="00344377"/>
    <w:rsid w:val="00352DEF"/>
    <w:rsid w:val="00355E97"/>
    <w:rsid w:val="00360F73"/>
    <w:rsid w:val="003652B0"/>
    <w:rsid w:val="00372578"/>
    <w:rsid w:val="003747D9"/>
    <w:rsid w:val="00377D66"/>
    <w:rsid w:val="003823FE"/>
    <w:rsid w:val="0038443A"/>
    <w:rsid w:val="0038600B"/>
    <w:rsid w:val="00392CAD"/>
    <w:rsid w:val="00392D0F"/>
    <w:rsid w:val="00393AEE"/>
    <w:rsid w:val="003977AD"/>
    <w:rsid w:val="003A0208"/>
    <w:rsid w:val="003A0912"/>
    <w:rsid w:val="003A23BF"/>
    <w:rsid w:val="003A5A11"/>
    <w:rsid w:val="003A771A"/>
    <w:rsid w:val="003B0370"/>
    <w:rsid w:val="003B1B47"/>
    <w:rsid w:val="003B5839"/>
    <w:rsid w:val="003B6E3F"/>
    <w:rsid w:val="003C04D4"/>
    <w:rsid w:val="003C25A8"/>
    <w:rsid w:val="003D1B14"/>
    <w:rsid w:val="003D62AE"/>
    <w:rsid w:val="003E4098"/>
    <w:rsid w:val="003F2B4C"/>
    <w:rsid w:val="00400EB6"/>
    <w:rsid w:val="0040137A"/>
    <w:rsid w:val="00401D6D"/>
    <w:rsid w:val="00403150"/>
    <w:rsid w:val="00405764"/>
    <w:rsid w:val="00405780"/>
    <w:rsid w:val="00405F3D"/>
    <w:rsid w:val="00407105"/>
    <w:rsid w:val="0041231C"/>
    <w:rsid w:val="004150C9"/>
    <w:rsid w:val="00417C41"/>
    <w:rsid w:val="0042014B"/>
    <w:rsid w:val="00421D83"/>
    <w:rsid w:val="00431AE5"/>
    <w:rsid w:val="00437B0B"/>
    <w:rsid w:val="004407D9"/>
    <w:rsid w:val="004439D1"/>
    <w:rsid w:val="0044789B"/>
    <w:rsid w:val="00447D8C"/>
    <w:rsid w:val="00450AD2"/>
    <w:rsid w:val="00450C08"/>
    <w:rsid w:val="00453587"/>
    <w:rsid w:val="004573B0"/>
    <w:rsid w:val="00462109"/>
    <w:rsid w:val="00463366"/>
    <w:rsid w:val="00466664"/>
    <w:rsid w:val="004747F0"/>
    <w:rsid w:val="00475425"/>
    <w:rsid w:val="0048107F"/>
    <w:rsid w:val="004878BC"/>
    <w:rsid w:val="00493E5A"/>
    <w:rsid w:val="004944F5"/>
    <w:rsid w:val="004A0D0F"/>
    <w:rsid w:val="004A500C"/>
    <w:rsid w:val="004C1593"/>
    <w:rsid w:val="004C1825"/>
    <w:rsid w:val="004C3053"/>
    <w:rsid w:val="004D04CA"/>
    <w:rsid w:val="004D2449"/>
    <w:rsid w:val="004D571B"/>
    <w:rsid w:val="004E37C8"/>
    <w:rsid w:val="004E3B9F"/>
    <w:rsid w:val="004E43A6"/>
    <w:rsid w:val="004E545A"/>
    <w:rsid w:val="005003FD"/>
    <w:rsid w:val="0050069C"/>
    <w:rsid w:val="00505996"/>
    <w:rsid w:val="00505DA1"/>
    <w:rsid w:val="005066EF"/>
    <w:rsid w:val="0050711F"/>
    <w:rsid w:val="00510BF6"/>
    <w:rsid w:val="00511B0F"/>
    <w:rsid w:val="00517718"/>
    <w:rsid w:val="00522933"/>
    <w:rsid w:val="00525103"/>
    <w:rsid w:val="005251C9"/>
    <w:rsid w:val="00530738"/>
    <w:rsid w:val="005308C4"/>
    <w:rsid w:val="00531391"/>
    <w:rsid w:val="00532D5B"/>
    <w:rsid w:val="00545660"/>
    <w:rsid w:val="00545E40"/>
    <w:rsid w:val="00546C7B"/>
    <w:rsid w:val="005529B1"/>
    <w:rsid w:val="00554002"/>
    <w:rsid w:val="00554C83"/>
    <w:rsid w:val="00556E6A"/>
    <w:rsid w:val="00562792"/>
    <w:rsid w:val="00566909"/>
    <w:rsid w:val="00570E6C"/>
    <w:rsid w:val="005727E5"/>
    <w:rsid w:val="00574838"/>
    <w:rsid w:val="00584E9B"/>
    <w:rsid w:val="00587E6C"/>
    <w:rsid w:val="0059322B"/>
    <w:rsid w:val="00593E79"/>
    <w:rsid w:val="005A73FA"/>
    <w:rsid w:val="005B0A77"/>
    <w:rsid w:val="005B466D"/>
    <w:rsid w:val="005B7CBF"/>
    <w:rsid w:val="005C3095"/>
    <w:rsid w:val="005C4A88"/>
    <w:rsid w:val="005C5AAF"/>
    <w:rsid w:val="005D68E9"/>
    <w:rsid w:val="005E1D4B"/>
    <w:rsid w:val="005E325E"/>
    <w:rsid w:val="00603E63"/>
    <w:rsid w:val="00603F95"/>
    <w:rsid w:val="006055B8"/>
    <w:rsid w:val="00614254"/>
    <w:rsid w:val="006155C4"/>
    <w:rsid w:val="00621305"/>
    <w:rsid w:val="006224BE"/>
    <w:rsid w:val="006224C2"/>
    <w:rsid w:val="0062721B"/>
    <w:rsid w:val="00637E0D"/>
    <w:rsid w:val="0065419F"/>
    <w:rsid w:val="0065555C"/>
    <w:rsid w:val="0065702A"/>
    <w:rsid w:val="00657554"/>
    <w:rsid w:val="00660404"/>
    <w:rsid w:val="00673C82"/>
    <w:rsid w:val="00677A98"/>
    <w:rsid w:val="0068542D"/>
    <w:rsid w:val="0068783D"/>
    <w:rsid w:val="00694886"/>
    <w:rsid w:val="00697CEB"/>
    <w:rsid w:val="006A58F8"/>
    <w:rsid w:val="006A5D49"/>
    <w:rsid w:val="006B509A"/>
    <w:rsid w:val="006C08FE"/>
    <w:rsid w:val="006C1386"/>
    <w:rsid w:val="006C1A55"/>
    <w:rsid w:val="006C358E"/>
    <w:rsid w:val="006C36A7"/>
    <w:rsid w:val="006C4DA6"/>
    <w:rsid w:val="006C527A"/>
    <w:rsid w:val="006C6456"/>
    <w:rsid w:val="006C7FF9"/>
    <w:rsid w:val="006E4C04"/>
    <w:rsid w:val="006E5153"/>
    <w:rsid w:val="006E52C6"/>
    <w:rsid w:val="006E7BDD"/>
    <w:rsid w:val="006F09C8"/>
    <w:rsid w:val="006F2D76"/>
    <w:rsid w:val="006F7334"/>
    <w:rsid w:val="00700268"/>
    <w:rsid w:val="00703943"/>
    <w:rsid w:val="00705D15"/>
    <w:rsid w:val="007103A4"/>
    <w:rsid w:val="00710EF8"/>
    <w:rsid w:val="00711F74"/>
    <w:rsid w:val="00713123"/>
    <w:rsid w:val="007131A2"/>
    <w:rsid w:val="00720F58"/>
    <w:rsid w:val="00721C13"/>
    <w:rsid w:val="00722E65"/>
    <w:rsid w:val="0072465C"/>
    <w:rsid w:val="00725DA9"/>
    <w:rsid w:val="00730438"/>
    <w:rsid w:val="00730AFC"/>
    <w:rsid w:val="00732AF6"/>
    <w:rsid w:val="00732F53"/>
    <w:rsid w:val="00735459"/>
    <w:rsid w:val="00737DDB"/>
    <w:rsid w:val="00744C46"/>
    <w:rsid w:val="00745963"/>
    <w:rsid w:val="00746502"/>
    <w:rsid w:val="007471D3"/>
    <w:rsid w:val="00750D12"/>
    <w:rsid w:val="00750F3D"/>
    <w:rsid w:val="007529BE"/>
    <w:rsid w:val="00761858"/>
    <w:rsid w:val="00762DBE"/>
    <w:rsid w:val="007750A4"/>
    <w:rsid w:val="0078457A"/>
    <w:rsid w:val="00790297"/>
    <w:rsid w:val="0079041F"/>
    <w:rsid w:val="007929B4"/>
    <w:rsid w:val="007A14BC"/>
    <w:rsid w:val="007A16F1"/>
    <w:rsid w:val="007A507B"/>
    <w:rsid w:val="007B01A9"/>
    <w:rsid w:val="007B6654"/>
    <w:rsid w:val="007B689F"/>
    <w:rsid w:val="007C16AF"/>
    <w:rsid w:val="007D0759"/>
    <w:rsid w:val="007D0A98"/>
    <w:rsid w:val="007D0B97"/>
    <w:rsid w:val="007D4BFD"/>
    <w:rsid w:val="007D4C09"/>
    <w:rsid w:val="007E1B1F"/>
    <w:rsid w:val="007E3BB5"/>
    <w:rsid w:val="007F2D5E"/>
    <w:rsid w:val="00801753"/>
    <w:rsid w:val="0080672B"/>
    <w:rsid w:val="00826436"/>
    <w:rsid w:val="00826511"/>
    <w:rsid w:val="00830CCE"/>
    <w:rsid w:val="00831CFC"/>
    <w:rsid w:val="0083652B"/>
    <w:rsid w:val="008367C0"/>
    <w:rsid w:val="00836D87"/>
    <w:rsid w:val="00844032"/>
    <w:rsid w:val="00847FD3"/>
    <w:rsid w:val="0085561F"/>
    <w:rsid w:val="00855824"/>
    <w:rsid w:val="00857578"/>
    <w:rsid w:val="0086065A"/>
    <w:rsid w:val="00867A53"/>
    <w:rsid w:val="00870025"/>
    <w:rsid w:val="00872C49"/>
    <w:rsid w:val="008803D7"/>
    <w:rsid w:val="00883D21"/>
    <w:rsid w:val="0088561E"/>
    <w:rsid w:val="00887636"/>
    <w:rsid w:val="00887E6C"/>
    <w:rsid w:val="008A743F"/>
    <w:rsid w:val="008A7A97"/>
    <w:rsid w:val="008B7AE1"/>
    <w:rsid w:val="008C11C7"/>
    <w:rsid w:val="008D13B0"/>
    <w:rsid w:val="008D329F"/>
    <w:rsid w:val="008D3B33"/>
    <w:rsid w:val="008D5A01"/>
    <w:rsid w:val="008D7169"/>
    <w:rsid w:val="008E1F16"/>
    <w:rsid w:val="008E3764"/>
    <w:rsid w:val="008E51F2"/>
    <w:rsid w:val="008F59A1"/>
    <w:rsid w:val="008F652B"/>
    <w:rsid w:val="008F7F6D"/>
    <w:rsid w:val="009017C3"/>
    <w:rsid w:val="009054BB"/>
    <w:rsid w:val="00910BF8"/>
    <w:rsid w:val="00914A18"/>
    <w:rsid w:val="0091555F"/>
    <w:rsid w:val="00916844"/>
    <w:rsid w:val="00923896"/>
    <w:rsid w:val="00933747"/>
    <w:rsid w:val="00933DA7"/>
    <w:rsid w:val="0093622D"/>
    <w:rsid w:val="00937017"/>
    <w:rsid w:val="00937732"/>
    <w:rsid w:val="0094184F"/>
    <w:rsid w:val="00944313"/>
    <w:rsid w:val="00952705"/>
    <w:rsid w:val="0095281F"/>
    <w:rsid w:val="009537D7"/>
    <w:rsid w:val="00954A21"/>
    <w:rsid w:val="00956C9B"/>
    <w:rsid w:val="009579DD"/>
    <w:rsid w:val="009624E4"/>
    <w:rsid w:val="00964CBC"/>
    <w:rsid w:val="009710B6"/>
    <w:rsid w:val="0097435F"/>
    <w:rsid w:val="009746B6"/>
    <w:rsid w:val="0097692A"/>
    <w:rsid w:val="009832B3"/>
    <w:rsid w:val="00985B1A"/>
    <w:rsid w:val="00985F27"/>
    <w:rsid w:val="00986151"/>
    <w:rsid w:val="00991644"/>
    <w:rsid w:val="00991FAB"/>
    <w:rsid w:val="00993EC3"/>
    <w:rsid w:val="00994B76"/>
    <w:rsid w:val="009A0CEE"/>
    <w:rsid w:val="009A1B94"/>
    <w:rsid w:val="009A308B"/>
    <w:rsid w:val="009B1421"/>
    <w:rsid w:val="009B151F"/>
    <w:rsid w:val="009B5EAC"/>
    <w:rsid w:val="009C0EC4"/>
    <w:rsid w:val="009C29A9"/>
    <w:rsid w:val="009D2BBC"/>
    <w:rsid w:val="009D3708"/>
    <w:rsid w:val="009D4E33"/>
    <w:rsid w:val="009D7499"/>
    <w:rsid w:val="009E1D78"/>
    <w:rsid w:val="009E27D3"/>
    <w:rsid w:val="009E3053"/>
    <w:rsid w:val="009E7BF1"/>
    <w:rsid w:val="009F0A3D"/>
    <w:rsid w:val="009F1153"/>
    <w:rsid w:val="009F466A"/>
    <w:rsid w:val="00A052EA"/>
    <w:rsid w:val="00A156C6"/>
    <w:rsid w:val="00A17E4D"/>
    <w:rsid w:val="00A25B36"/>
    <w:rsid w:val="00A267B0"/>
    <w:rsid w:val="00A320FF"/>
    <w:rsid w:val="00A35347"/>
    <w:rsid w:val="00A3654C"/>
    <w:rsid w:val="00A37685"/>
    <w:rsid w:val="00A50F41"/>
    <w:rsid w:val="00A55A79"/>
    <w:rsid w:val="00A633BB"/>
    <w:rsid w:val="00A64E83"/>
    <w:rsid w:val="00A659CC"/>
    <w:rsid w:val="00A65BF2"/>
    <w:rsid w:val="00A740EE"/>
    <w:rsid w:val="00A74C76"/>
    <w:rsid w:val="00A76426"/>
    <w:rsid w:val="00A8378B"/>
    <w:rsid w:val="00A90AAD"/>
    <w:rsid w:val="00A9452E"/>
    <w:rsid w:val="00AA0E02"/>
    <w:rsid w:val="00AA1856"/>
    <w:rsid w:val="00AB745F"/>
    <w:rsid w:val="00AC0DC4"/>
    <w:rsid w:val="00AC1ECA"/>
    <w:rsid w:val="00AC1F4B"/>
    <w:rsid w:val="00AC2401"/>
    <w:rsid w:val="00AD0811"/>
    <w:rsid w:val="00AD1A0C"/>
    <w:rsid w:val="00AD44C8"/>
    <w:rsid w:val="00AE31F1"/>
    <w:rsid w:val="00AE37EB"/>
    <w:rsid w:val="00AE7AAD"/>
    <w:rsid w:val="00AF1204"/>
    <w:rsid w:val="00AF38EC"/>
    <w:rsid w:val="00AF50DB"/>
    <w:rsid w:val="00AF5CBF"/>
    <w:rsid w:val="00AF6806"/>
    <w:rsid w:val="00B0224D"/>
    <w:rsid w:val="00B0497F"/>
    <w:rsid w:val="00B04D70"/>
    <w:rsid w:val="00B07EFB"/>
    <w:rsid w:val="00B11E57"/>
    <w:rsid w:val="00B13032"/>
    <w:rsid w:val="00B15180"/>
    <w:rsid w:val="00B22453"/>
    <w:rsid w:val="00B25005"/>
    <w:rsid w:val="00B3448E"/>
    <w:rsid w:val="00B40F4F"/>
    <w:rsid w:val="00B415C8"/>
    <w:rsid w:val="00B47E0B"/>
    <w:rsid w:val="00B53082"/>
    <w:rsid w:val="00B54A0F"/>
    <w:rsid w:val="00B6099C"/>
    <w:rsid w:val="00B64F6E"/>
    <w:rsid w:val="00B704CE"/>
    <w:rsid w:val="00B72276"/>
    <w:rsid w:val="00B909D6"/>
    <w:rsid w:val="00B90FCB"/>
    <w:rsid w:val="00B936EA"/>
    <w:rsid w:val="00B95240"/>
    <w:rsid w:val="00B96672"/>
    <w:rsid w:val="00B96DC6"/>
    <w:rsid w:val="00BA0FF3"/>
    <w:rsid w:val="00BC566D"/>
    <w:rsid w:val="00BD07B6"/>
    <w:rsid w:val="00BD2BA2"/>
    <w:rsid w:val="00BD392F"/>
    <w:rsid w:val="00BD3E53"/>
    <w:rsid w:val="00BD4908"/>
    <w:rsid w:val="00BD6F0D"/>
    <w:rsid w:val="00BE0055"/>
    <w:rsid w:val="00BE0E3F"/>
    <w:rsid w:val="00BE13C6"/>
    <w:rsid w:val="00BE1D93"/>
    <w:rsid w:val="00BE2994"/>
    <w:rsid w:val="00BE480E"/>
    <w:rsid w:val="00BE72C7"/>
    <w:rsid w:val="00BF144E"/>
    <w:rsid w:val="00C0787B"/>
    <w:rsid w:val="00C26B76"/>
    <w:rsid w:val="00C33C81"/>
    <w:rsid w:val="00C34207"/>
    <w:rsid w:val="00C46502"/>
    <w:rsid w:val="00C46874"/>
    <w:rsid w:val="00C501CC"/>
    <w:rsid w:val="00C5225C"/>
    <w:rsid w:val="00C550CD"/>
    <w:rsid w:val="00C56219"/>
    <w:rsid w:val="00C6261A"/>
    <w:rsid w:val="00C6543A"/>
    <w:rsid w:val="00C66002"/>
    <w:rsid w:val="00C87093"/>
    <w:rsid w:val="00C87C7C"/>
    <w:rsid w:val="00C958D3"/>
    <w:rsid w:val="00CA4DC8"/>
    <w:rsid w:val="00CA5DFA"/>
    <w:rsid w:val="00CA78CB"/>
    <w:rsid w:val="00CB3F48"/>
    <w:rsid w:val="00CB4CCB"/>
    <w:rsid w:val="00CC7085"/>
    <w:rsid w:val="00CC7C8B"/>
    <w:rsid w:val="00CD27BD"/>
    <w:rsid w:val="00CD2FF3"/>
    <w:rsid w:val="00CD3B73"/>
    <w:rsid w:val="00CD5BDC"/>
    <w:rsid w:val="00CD6ACF"/>
    <w:rsid w:val="00CD7A9F"/>
    <w:rsid w:val="00CE048E"/>
    <w:rsid w:val="00CE0C42"/>
    <w:rsid w:val="00CE20F4"/>
    <w:rsid w:val="00CF3059"/>
    <w:rsid w:val="00CF4E31"/>
    <w:rsid w:val="00D0085A"/>
    <w:rsid w:val="00D00BB4"/>
    <w:rsid w:val="00D04D37"/>
    <w:rsid w:val="00D0567F"/>
    <w:rsid w:val="00D06CF7"/>
    <w:rsid w:val="00D102D3"/>
    <w:rsid w:val="00D10733"/>
    <w:rsid w:val="00D120F2"/>
    <w:rsid w:val="00D122C9"/>
    <w:rsid w:val="00D24509"/>
    <w:rsid w:val="00D30A55"/>
    <w:rsid w:val="00D324B8"/>
    <w:rsid w:val="00D36E11"/>
    <w:rsid w:val="00D40546"/>
    <w:rsid w:val="00D449BD"/>
    <w:rsid w:val="00D47419"/>
    <w:rsid w:val="00D52120"/>
    <w:rsid w:val="00D61CF4"/>
    <w:rsid w:val="00D62F72"/>
    <w:rsid w:val="00D65F1C"/>
    <w:rsid w:val="00D67E80"/>
    <w:rsid w:val="00D71308"/>
    <w:rsid w:val="00D737D7"/>
    <w:rsid w:val="00D73FC4"/>
    <w:rsid w:val="00D7486C"/>
    <w:rsid w:val="00D7792D"/>
    <w:rsid w:val="00D946FD"/>
    <w:rsid w:val="00D96D86"/>
    <w:rsid w:val="00DA01FA"/>
    <w:rsid w:val="00DA0617"/>
    <w:rsid w:val="00DA0E4B"/>
    <w:rsid w:val="00DA1B69"/>
    <w:rsid w:val="00DA4E8A"/>
    <w:rsid w:val="00DB068E"/>
    <w:rsid w:val="00DB125A"/>
    <w:rsid w:val="00DB26AC"/>
    <w:rsid w:val="00DB6F08"/>
    <w:rsid w:val="00DB70DD"/>
    <w:rsid w:val="00DC03F1"/>
    <w:rsid w:val="00DC061F"/>
    <w:rsid w:val="00DC2DCD"/>
    <w:rsid w:val="00DC38C5"/>
    <w:rsid w:val="00DC4C6B"/>
    <w:rsid w:val="00DC4D02"/>
    <w:rsid w:val="00DD1A93"/>
    <w:rsid w:val="00DD2899"/>
    <w:rsid w:val="00DD63AF"/>
    <w:rsid w:val="00DE15EC"/>
    <w:rsid w:val="00DE4025"/>
    <w:rsid w:val="00DE4A09"/>
    <w:rsid w:val="00DF5F2E"/>
    <w:rsid w:val="00DF78E4"/>
    <w:rsid w:val="00E025F7"/>
    <w:rsid w:val="00E03D15"/>
    <w:rsid w:val="00E04CFE"/>
    <w:rsid w:val="00E0589A"/>
    <w:rsid w:val="00E07557"/>
    <w:rsid w:val="00E07C13"/>
    <w:rsid w:val="00E12CCF"/>
    <w:rsid w:val="00E15B48"/>
    <w:rsid w:val="00E16BCE"/>
    <w:rsid w:val="00E16CD1"/>
    <w:rsid w:val="00E17397"/>
    <w:rsid w:val="00E22099"/>
    <w:rsid w:val="00E25209"/>
    <w:rsid w:val="00E2543C"/>
    <w:rsid w:val="00E27256"/>
    <w:rsid w:val="00E30A88"/>
    <w:rsid w:val="00E31B21"/>
    <w:rsid w:val="00E3534B"/>
    <w:rsid w:val="00E35B67"/>
    <w:rsid w:val="00E43A53"/>
    <w:rsid w:val="00E44E2F"/>
    <w:rsid w:val="00E4636D"/>
    <w:rsid w:val="00E467AF"/>
    <w:rsid w:val="00E50E89"/>
    <w:rsid w:val="00E51BE6"/>
    <w:rsid w:val="00E52D43"/>
    <w:rsid w:val="00E555E1"/>
    <w:rsid w:val="00E66456"/>
    <w:rsid w:val="00E67EFB"/>
    <w:rsid w:val="00E761E5"/>
    <w:rsid w:val="00E80CB1"/>
    <w:rsid w:val="00E84FB1"/>
    <w:rsid w:val="00E85380"/>
    <w:rsid w:val="00E87E00"/>
    <w:rsid w:val="00E9763D"/>
    <w:rsid w:val="00EA001D"/>
    <w:rsid w:val="00EA1E0D"/>
    <w:rsid w:val="00EA2B70"/>
    <w:rsid w:val="00EA42D6"/>
    <w:rsid w:val="00EA498C"/>
    <w:rsid w:val="00EB2B2A"/>
    <w:rsid w:val="00EB3CB1"/>
    <w:rsid w:val="00EB5E30"/>
    <w:rsid w:val="00EC6750"/>
    <w:rsid w:val="00ED5471"/>
    <w:rsid w:val="00EE39A0"/>
    <w:rsid w:val="00EE42A8"/>
    <w:rsid w:val="00EE6740"/>
    <w:rsid w:val="00EF15E4"/>
    <w:rsid w:val="00EF2242"/>
    <w:rsid w:val="00EF2A26"/>
    <w:rsid w:val="00EF2B8C"/>
    <w:rsid w:val="00EF6C38"/>
    <w:rsid w:val="00F07DE0"/>
    <w:rsid w:val="00F13D98"/>
    <w:rsid w:val="00F158DA"/>
    <w:rsid w:val="00F2383A"/>
    <w:rsid w:val="00F251D5"/>
    <w:rsid w:val="00F30204"/>
    <w:rsid w:val="00F30BB4"/>
    <w:rsid w:val="00F32928"/>
    <w:rsid w:val="00F3454D"/>
    <w:rsid w:val="00F40E0B"/>
    <w:rsid w:val="00F410AA"/>
    <w:rsid w:val="00F53C18"/>
    <w:rsid w:val="00F55F52"/>
    <w:rsid w:val="00F57824"/>
    <w:rsid w:val="00F82024"/>
    <w:rsid w:val="00F829A6"/>
    <w:rsid w:val="00F82C1D"/>
    <w:rsid w:val="00F83F75"/>
    <w:rsid w:val="00F853A9"/>
    <w:rsid w:val="00F92431"/>
    <w:rsid w:val="00F925E8"/>
    <w:rsid w:val="00F94CAB"/>
    <w:rsid w:val="00F96344"/>
    <w:rsid w:val="00FA18A2"/>
    <w:rsid w:val="00FA190D"/>
    <w:rsid w:val="00FA2D95"/>
    <w:rsid w:val="00FA308B"/>
    <w:rsid w:val="00FA4C1B"/>
    <w:rsid w:val="00FB1575"/>
    <w:rsid w:val="00FB26AA"/>
    <w:rsid w:val="00FB397E"/>
    <w:rsid w:val="00FB4AF6"/>
    <w:rsid w:val="00FB5594"/>
    <w:rsid w:val="00FB7BFF"/>
    <w:rsid w:val="00FC0CC7"/>
    <w:rsid w:val="00FD136C"/>
    <w:rsid w:val="00FD36C6"/>
    <w:rsid w:val="00FD55D0"/>
    <w:rsid w:val="00FD5DE3"/>
    <w:rsid w:val="00FE09EB"/>
    <w:rsid w:val="00FE3359"/>
    <w:rsid w:val="00FE55F5"/>
    <w:rsid w:val="00FF0360"/>
    <w:rsid w:val="00FF03BC"/>
    <w:rsid w:val="00FF19D7"/>
    <w:rsid w:val="00FF729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19E65B1"/>
  <w15:docId w15:val="{7B19C07F-601B-4065-BC88-46B1FE27B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58D3"/>
    <w:rPr>
      <w:rFonts w:ascii="Arial" w:hAnsi="Arial"/>
      <w:sz w:val="24"/>
      <w:szCs w:val="24"/>
      <w:lang w:val="en-GB"/>
    </w:rPr>
  </w:style>
  <w:style w:type="paragraph" w:styleId="Heading1">
    <w:name w:val="heading 1"/>
    <w:basedOn w:val="Normal"/>
    <w:next w:val="Normal"/>
    <w:link w:val="Heading1Char"/>
    <w:autoRedefine/>
    <w:uiPriority w:val="9"/>
    <w:qFormat/>
    <w:rsid w:val="00046E92"/>
    <w:pPr>
      <w:keepNext/>
      <w:keepLines/>
      <w:spacing w:before="480"/>
      <w:outlineLvl w:val="0"/>
    </w:pPr>
    <w:rPr>
      <w:rFonts w:eastAsiaTheme="majorEastAsia" w:cstheme="majorBidi"/>
      <w:b/>
      <w:bCs/>
      <w:color w:val="0A77B3"/>
      <w:sz w:val="32"/>
      <w:szCs w:val="28"/>
    </w:rPr>
  </w:style>
  <w:style w:type="paragraph" w:styleId="Heading2">
    <w:name w:val="heading 2"/>
    <w:basedOn w:val="Normal"/>
    <w:next w:val="Normal"/>
    <w:link w:val="Heading2Char"/>
    <w:autoRedefine/>
    <w:uiPriority w:val="9"/>
    <w:unhideWhenUsed/>
    <w:qFormat/>
    <w:rsid w:val="008D3B33"/>
    <w:pPr>
      <w:keepNext/>
      <w:keepLines/>
      <w:spacing w:before="200"/>
      <w:outlineLvl w:val="1"/>
    </w:pPr>
    <w:rPr>
      <w:rFonts w:eastAsiaTheme="majorEastAsia" w:cstheme="majorBidi"/>
      <w:b/>
      <w:bCs/>
      <w:color w:val="0A77B3"/>
      <w:sz w:val="28"/>
      <w:szCs w:val="26"/>
    </w:rPr>
  </w:style>
  <w:style w:type="paragraph" w:styleId="Heading5">
    <w:name w:val="heading 5"/>
    <w:basedOn w:val="Normal"/>
    <w:next w:val="Normal"/>
    <w:autoRedefine/>
    <w:qFormat/>
    <w:rsid w:val="00C958D3"/>
    <w:pPr>
      <w:keepNext/>
      <w:jc w:val="center"/>
      <w:outlineLvl w:val="4"/>
    </w:pPr>
    <w:rPr>
      <w:b/>
      <w:lang w:val="nl-NL"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215402"/>
    <w:rPr>
      <w:color w:val="0000FF"/>
      <w:u w:val="single"/>
    </w:rPr>
  </w:style>
  <w:style w:type="paragraph" w:customStyle="1" w:styleId="txt1">
    <w:name w:val="txt1"/>
    <w:basedOn w:val="Normal"/>
    <w:rsid w:val="00215402"/>
    <w:pPr>
      <w:spacing w:before="100" w:beforeAutospacing="1" w:after="100" w:afterAutospacing="1"/>
    </w:pPr>
  </w:style>
  <w:style w:type="character" w:styleId="Strong">
    <w:name w:val="Strong"/>
    <w:qFormat/>
    <w:rsid w:val="00215402"/>
    <w:rPr>
      <w:b/>
      <w:bCs/>
    </w:rPr>
  </w:style>
  <w:style w:type="character" w:customStyle="1" w:styleId="Helena">
    <w:name w:val="Helena"/>
    <w:semiHidden/>
    <w:rsid w:val="00215402"/>
    <w:rPr>
      <w:rFonts w:ascii="Arial" w:hAnsi="Arial" w:cs="Arial" w:hint="default"/>
      <w:color w:val="000000"/>
      <w:sz w:val="24"/>
      <w:szCs w:val="24"/>
    </w:rPr>
  </w:style>
  <w:style w:type="character" w:styleId="FollowedHyperlink">
    <w:name w:val="FollowedHyperlink"/>
    <w:rsid w:val="00215402"/>
    <w:rPr>
      <w:color w:val="800080"/>
      <w:u w:val="single"/>
    </w:rPr>
  </w:style>
  <w:style w:type="paragraph" w:styleId="BalloonText">
    <w:name w:val="Balloon Text"/>
    <w:basedOn w:val="Normal"/>
    <w:semiHidden/>
    <w:rsid w:val="00215402"/>
    <w:rPr>
      <w:rFonts w:ascii="Lucida Grande" w:hAnsi="Lucida Grande"/>
      <w:sz w:val="18"/>
      <w:szCs w:val="18"/>
    </w:rPr>
  </w:style>
  <w:style w:type="character" w:styleId="Emphasis">
    <w:name w:val="Emphasis"/>
    <w:qFormat/>
    <w:rsid w:val="00F57824"/>
    <w:rPr>
      <w:i/>
      <w:iCs/>
    </w:rPr>
  </w:style>
  <w:style w:type="character" w:customStyle="1" w:styleId="apple-style-span">
    <w:name w:val="apple-style-span"/>
    <w:basedOn w:val="DefaultParagraphFont"/>
    <w:rsid w:val="00F57824"/>
  </w:style>
  <w:style w:type="paragraph" w:styleId="Header">
    <w:name w:val="header"/>
    <w:basedOn w:val="Normal"/>
    <w:link w:val="HeaderChar"/>
    <w:uiPriority w:val="99"/>
    <w:unhideWhenUsed/>
    <w:rsid w:val="00713123"/>
    <w:pPr>
      <w:tabs>
        <w:tab w:val="center" w:pos="4536"/>
        <w:tab w:val="right" w:pos="9072"/>
      </w:tabs>
    </w:pPr>
  </w:style>
  <w:style w:type="character" w:customStyle="1" w:styleId="HeaderChar">
    <w:name w:val="Header Char"/>
    <w:link w:val="Header"/>
    <w:uiPriority w:val="99"/>
    <w:rsid w:val="00713123"/>
    <w:rPr>
      <w:sz w:val="24"/>
      <w:szCs w:val="24"/>
      <w:lang w:val="en-US" w:eastAsia="en-US"/>
    </w:rPr>
  </w:style>
  <w:style w:type="paragraph" w:styleId="Footer">
    <w:name w:val="footer"/>
    <w:basedOn w:val="Normal"/>
    <w:link w:val="FooterChar"/>
    <w:unhideWhenUsed/>
    <w:rsid w:val="00713123"/>
    <w:pPr>
      <w:tabs>
        <w:tab w:val="center" w:pos="4536"/>
        <w:tab w:val="right" w:pos="9072"/>
      </w:tabs>
    </w:pPr>
  </w:style>
  <w:style w:type="character" w:customStyle="1" w:styleId="FooterChar">
    <w:name w:val="Footer Char"/>
    <w:link w:val="Footer"/>
    <w:rsid w:val="00713123"/>
    <w:rPr>
      <w:sz w:val="24"/>
      <w:szCs w:val="24"/>
      <w:lang w:val="en-US" w:eastAsia="en-US"/>
    </w:rPr>
  </w:style>
  <w:style w:type="paragraph" w:styleId="NoSpacing">
    <w:name w:val="No Spacing"/>
    <w:uiPriority w:val="1"/>
    <w:qFormat/>
    <w:rsid w:val="009A0CEE"/>
    <w:rPr>
      <w:lang w:val="en-GB" w:eastAsia="fr-FR"/>
    </w:rPr>
  </w:style>
  <w:style w:type="character" w:customStyle="1" w:styleId="st">
    <w:name w:val="st"/>
    <w:rsid w:val="00C6543A"/>
  </w:style>
  <w:style w:type="character" w:styleId="CommentReference">
    <w:name w:val="annotation reference"/>
    <w:uiPriority w:val="99"/>
    <w:semiHidden/>
    <w:unhideWhenUsed/>
    <w:rsid w:val="003267E9"/>
    <w:rPr>
      <w:sz w:val="16"/>
      <w:szCs w:val="16"/>
    </w:rPr>
  </w:style>
  <w:style w:type="paragraph" w:styleId="CommentText">
    <w:name w:val="annotation text"/>
    <w:basedOn w:val="Normal"/>
    <w:link w:val="CommentTextChar"/>
    <w:uiPriority w:val="99"/>
    <w:unhideWhenUsed/>
    <w:rsid w:val="003267E9"/>
    <w:rPr>
      <w:sz w:val="20"/>
      <w:szCs w:val="20"/>
    </w:rPr>
  </w:style>
  <w:style w:type="character" w:customStyle="1" w:styleId="CommentTextChar">
    <w:name w:val="Comment Text Char"/>
    <w:basedOn w:val="DefaultParagraphFont"/>
    <w:link w:val="CommentText"/>
    <w:uiPriority w:val="99"/>
    <w:rsid w:val="003267E9"/>
  </w:style>
  <w:style w:type="paragraph" w:styleId="CommentSubject">
    <w:name w:val="annotation subject"/>
    <w:basedOn w:val="CommentText"/>
    <w:next w:val="CommentText"/>
    <w:link w:val="CommentSubjectChar"/>
    <w:uiPriority w:val="99"/>
    <w:semiHidden/>
    <w:unhideWhenUsed/>
    <w:rsid w:val="003267E9"/>
    <w:rPr>
      <w:b/>
      <w:bCs/>
    </w:rPr>
  </w:style>
  <w:style w:type="character" w:customStyle="1" w:styleId="CommentSubjectChar">
    <w:name w:val="Comment Subject Char"/>
    <w:link w:val="CommentSubject"/>
    <w:uiPriority w:val="99"/>
    <w:semiHidden/>
    <w:rsid w:val="003267E9"/>
    <w:rPr>
      <w:b/>
      <w:bCs/>
    </w:rPr>
  </w:style>
  <w:style w:type="character" w:customStyle="1" w:styleId="Heading1Char">
    <w:name w:val="Heading 1 Char"/>
    <w:basedOn w:val="DefaultParagraphFont"/>
    <w:link w:val="Heading1"/>
    <w:uiPriority w:val="9"/>
    <w:rsid w:val="00046E92"/>
    <w:rPr>
      <w:rFonts w:ascii="Arial" w:eastAsiaTheme="majorEastAsia" w:hAnsi="Arial" w:cstheme="majorBidi"/>
      <w:b/>
      <w:bCs/>
      <w:color w:val="0A77B3"/>
      <w:sz w:val="32"/>
      <w:szCs w:val="28"/>
      <w:lang w:val="en-GB"/>
    </w:rPr>
  </w:style>
  <w:style w:type="character" w:customStyle="1" w:styleId="Heading2Char">
    <w:name w:val="Heading 2 Char"/>
    <w:basedOn w:val="DefaultParagraphFont"/>
    <w:link w:val="Heading2"/>
    <w:uiPriority w:val="9"/>
    <w:rsid w:val="008D3B33"/>
    <w:rPr>
      <w:rFonts w:ascii="Arial" w:eastAsiaTheme="majorEastAsia" w:hAnsi="Arial" w:cstheme="majorBidi"/>
      <w:b/>
      <w:bCs/>
      <w:color w:val="0A77B3"/>
      <w:sz w:val="28"/>
      <w:szCs w:val="26"/>
      <w:lang w:val="en-GB"/>
    </w:rPr>
  </w:style>
  <w:style w:type="paragraph" w:styleId="Title">
    <w:name w:val="Title"/>
    <w:basedOn w:val="Normal"/>
    <w:next w:val="Normal"/>
    <w:link w:val="TitleChar"/>
    <w:uiPriority w:val="10"/>
    <w:qFormat/>
    <w:rsid w:val="00510BF6"/>
    <w:pPr>
      <w:pBdr>
        <w:bottom w:val="single" w:sz="8" w:space="4" w:color="4F81BD" w:themeColor="accent1"/>
      </w:pBdr>
      <w:spacing w:after="300"/>
      <w:contextualSpacing/>
    </w:pPr>
    <w:rPr>
      <w:rFonts w:eastAsiaTheme="majorEastAsia" w:cstheme="majorBidi"/>
      <w:b/>
      <w:color w:val="FFFFFF" w:themeColor="background1"/>
      <w:spacing w:val="5"/>
      <w:kern w:val="28"/>
      <w:sz w:val="100"/>
      <w:szCs w:val="52"/>
    </w:rPr>
  </w:style>
  <w:style w:type="character" w:customStyle="1" w:styleId="TitleChar">
    <w:name w:val="Title Char"/>
    <w:basedOn w:val="DefaultParagraphFont"/>
    <w:link w:val="Title"/>
    <w:uiPriority w:val="10"/>
    <w:rsid w:val="00510BF6"/>
    <w:rPr>
      <w:rFonts w:ascii="Arial" w:eastAsiaTheme="majorEastAsia" w:hAnsi="Arial" w:cstheme="majorBidi"/>
      <w:b/>
      <w:color w:val="FFFFFF" w:themeColor="background1"/>
      <w:spacing w:val="5"/>
      <w:kern w:val="28"/>
      <w:sz w:val="100"/>
      <w:szCs w:val="52"/>
      <w:lang w:val="en-GB"/>
    </w:rPr>
  </w:style>
  <w:style w:type="paragraph" w:styleId="Subtitle">
    <w:name w:val="Subtitle"/>
    <w:basedOn w:val="Normal"/>
    <w:next w:val="Normal"/>
    <w:link w:val="SubtitleChar"/>
    <w:uiPriority w:val="11"/>
    <w:qFormat/>
    <w:rsid w:val="00510BF6"/>
    <w:pPr>
      <w:numPr>
        <w:ilvl w:val="1"/>
      </w:numPr>
    </w:pPr>
    <w:rPr>
      <w:rFonts w:eastAsiaTheme="majorEastAsia" w:cstheme="majorBidi"/>
      <w:b/>
      <w:iCs/>
      <w:color w:val="FFFFFF" w:themeColor="background1"/>
      <w:spacing w:val="15"/>
      <w:sz w:val="32"/>
    </w:rPr>
  </w:style>
  <w:style w:type="character" w:customStyle="1" w:styleId="SubtitleChar">
    <w:name w:val="Subtitle Char"/>
    <w:basedOn w:val="DefaultParagraphFont"/>
    <w:link w:val="Subtitle"/>
    <w:uiPriority w:val="11"/>
    <w:rsid w:val="00510BF6"/>
    <w:rPr>
      <w:rFonts w:ascii="Arial" w:eastAsiaTheme="majorEastAsia" w:hAnsi="Arial" w:cstheme="majorBidi"/>
      <w:b/>
      <w:iCs/>
      <w:color w:val="FFFFFF" w:themeColor="background1"/>
      <w:spacing w:val="15"/>
      <w:sz w:val="32"/>
      <w:szCs w:val="24"/>
      <w:lang w:val="en-GB"/>
    </w:rPr>
  </w:style>
  <w:style w:type="table" w:styleId="TableGrid">
    <w:name w:val="Table Grid"/>
    <w:basedOn w:val="TableNormal"/>
    <w:uiPriority w:val="59"/>
    <w:rsid w:val="00046E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5066EF"/>
    <w:pPr>
      <w:spacing w:line="276" w:lineRule="auto"/>
      <w:outlineLvl w:val="9"/>
    </w:pPr>
    <w:rPr>
      <w:rFonts w:asciiTheme="majorHAnsi" w:hAnsiTheme="majorHAnsi"/>
      <w:color w:val="365F91" w:themeColor="accent1" w:themeShade="BF"/>
      <w:sz w:val="28"/>
      <w:lang w:val="en-US" w:eastAsia="ja-JP"/>
    </w:rPr>
  </w:style>
  <w:style w:type="paragraph" w:styleId="TOC1">
    <w:name w:val="toc 1"/>
    <w:basedOn w:val="Normal"/>
    <w:next w:val="Normal"/>
    <w:autoRedefine/>
    <w:uiPriority w:val="39"/>
    <w:unhideWhenUsed/>
    <w:rsid w:val="005066EF"/>
    <w:pPr>
      <w:spacing w:after="100"/>
    </w:pPr>
  </w:style>
  <w:style w:type="paragraph" w:styleId="TOC2">
    <w:name w:val="toc 2"/>
    <w:basedOn w:val="Normal"/>
    <w:next w:val="Normal"/>
    <w:autoRedefine/>
    <w:uiPriority w:val="39"/>
    <w:unhideWhenUsed/>
    <w:rsid w:val="005066EF"/>
    <w:pPr>
      <w:spacing w:after="100"/>
      <w:ind w:left="240"/>
    </w:pPr>
  </w:style>
  <w:style w:type="paragraph" w:styleId="ListParagraph">
    <w:name w:val="List Paragraph"/>
    <w:basedOn w:val="Normal"/>
    <w:uiPriority w:val="34"/>
    <w:qFormat/>
    <w:rsid w:val="00B53082"/>
    <w:pPr>
      <w:ind w:left="720"/>
      <w:contextualSpacing/>
    </w:pPr>
  </w:style>
  <w:style w:type="paragraph" w:styleId="NormalWeb">
    <w:name w:val="Normal (Web)"/>
    <w:basedOn w:val="Normal"/>
    <w:uiPriority w:val="99"/>
    <w:unhideWhenUsed/>
    <w:rsid w:val="00DA01FA"/>
    <w:pPr>
      <w:spacing w:before="100" w:beforeAutospacing="1" w:after="100" w:afterAutospacing="1"/>
    </w:pPr>
    <w:rPr>
      <w:rFonts w:ascii="Times New Roman" w:hAnsi="Times New Roman"/>
      <w:lang w:eastAsia="en-GB"/>
    </w:rPr>
  </w:style>
  <w:style w:type="paragraph" w:customStyle="1" w:styleId="Normal1">
    <w:name w:val="Normal1"/>
    <w:basedOn w:val="Normal"/>
    <w:rsid w:val="002F378C"/>
    <w:pPr>
      <w:spacing w:before="100" w:beforeAutospacing="1" w:after="100" w:afterAutospacing="1"/>
    </w:pPr>
    <w:rPr>
      <w:rFonts w:ascii="Times New Roman" w:hAnsi="Times New Roman"/>
      <w:lang w:eastAsia="en-GB"/>
    </w:rPr>
  </w:style>
  <w:style w:type="paragraph" w:styleId="Revision">
    <w:name w:val="Revision"/>
    <w:hidden/>
    <w:uiPriority w:val="99"/>
    <w:semiHidden/>
    <w:rsid w:val="002F378C"/>
    <w:rPr>
      <w:rFonts w:ascii="Arial" w:hAnsi="Arial"/>
      <w:sz w:val="24"/>
      <w:szCs w:val="24"/>
      <w:lang w:val="en-GB"/>
    </w:rPr>
  </w:style>
  <w:style w:type="paragraph" w:styleId="FootnoteText">
    <w:name w:val="footnote text"/>
    <w:basedOn w:val="Normal"/>
    <w:link w:val="FootnoteTextChar"/>
    <w:uiPriority w:val="99"/>
    <w:semiHidden/>
    <w:unhideWhenUsed/>
    <w:rsid w:val="00EB3CB1"/>
    <w:rPr>
      <w:sz w:val="20"/>
      <w:szCs w:val="20"/>
    </w:rPr>
  </w:style>
  <w:style w:type="character" w:customStyle="1" w:styleId="FootnoteTextChar">
    <w:name w:val="Footnote Text Char"/>
    <w:basedOn w:val="DefaultParagraphFont"/>
    <w:link w:val="FootnoteText"/>
    <w:uiPriority w:val="99"/>
    <w:semiHidden/>
    <w:rsid w:val="00EB3CB1"/>
    <w:rPr>
      <w:rFonts w:ascii="Arial" w:hAnsi="Arial"/>
      <w:lang w:val="en-GB"/>
    </w:rPr>
  </w:style>
  <w:style w:type="character" w:styleId="FootnoteReference">
    <w:name w:val="footnote reference"/>
    <w:basedOn w:val="DefaultParagraphFont"/>
    <w:uiPriority w:val="99"/>
    <w:semiHidden/>
    <w:unhideWhenUsed/>
    <w:rsid w:val="00EB3CB1"/>
    <w:rPr>
      <w:vertAlign w:val="superscript"/>
    </w:rPr>
  </w:style>
  <w:style w:type="paragraph" w:customStyle="1" w:styleId="Point0number">
    <w:name w:val="Point 0 (number)"/>
    <w:basedOn w:val="Normal"/>
    <w:rsid w:val="000334DE"/>
    <w:pPr>
      <w:numPr>
        <w:numId w:val="9"/>
      </w:numPr>
      <w:spacing w:before="120" w:after="120"/>
      <w:jc w:val="both"/>
    </w:pPr>
    <w:rPr>
      <w:rFonts w:ascii="Times New Roman" w:eastAsiaTheme="minorHAnsi" w:hAnsi="Times New Roman"/>
      <w:szCs w:val="22"/>
    </w:rPr>
  </w:style>
  <w:style w:type="paragraph" w:customStyle="1" w:styleId="Point1number">
    <w:name w:val="Point 1 (number)"/>
    <w:basedOn w:val="Normal"/>
    <w:rsid w:val="000334DE"/>
    <w:pPr>
      <w:numPr>
        <w:ilvl w:val="2"/>
        <w:numId w:val="9"/>
      </w:numPr>
      <w:spacing w:before="120" w:after="120"/>
      <w:jc w:val="both"/>
    </w:pPr>
    <w:rPr>
      <w:rFonts w:ascii="Times New Roman" w:eastAsiaTheme="minorHAnsi" w:hAnsi="Times New Roman"/>
      <w:szCs w:val="22"/>
    </w:rPr>
  </w:style>
  <w:style w:type="paragraph" w:customStyle="1" w:styleId="Point2number">
    <w:name w:val="Point 2 (number)"/>
    <w:basedOn w:val="Normal"/>
    <w:rsid w:val="000334DE"/>
    <w:pPr>
      <w:numPr>
        <w:ilvl w:val="4"/>
        <w:numId w:val="9"/>
      </w:numPr>
      <w:spacing w:before="120" w:after="120"/>
      <w:jc w:val="both"/>
    </w:pPr>
    <w:rPr>
      <w:rFonts w:ascii="Times New Roman" w:eastAsiaTheme="minorHAnsi" w:hAnsi="Times New Roman"/>
      <w:szCs w:val="22"/>
    </w:rPr>
  </w:style>
  <w:style w:type="paragraph" w:customStyle="1" w:styleId="Point3number">
    <w:name w:val="Point 3 (number)"/>
    <w:basedOn w:val="Normal"/>
    <w:rsid w:val="000334DE"/>
    <w:pPr>
      <w:numPr>
        <w:ilvl w:val="6"/>
        <w:numId w:val="9"/>
      </w:numPr>
      <w:spacing w:before="120" w:after="120"/>
      <w:jc w:val="both"/>
    </w:pPr>
    <w:rPr>
      <w:rFonts w:ascii="Times New Roman" w:eastAsiaTheme="minorHAnsi" w:hAnsi="Times New Roman"/>
      <w:szCs w:val="22"/>
    </w:rPr>
  </w:style>
  <w:style w:type="paragraph" w:customStyle="1" w:styleId="Point0letter">
    <w:name w:val="Point 0 (letter)"/>
    <w:basedOn w:val="Normal"/>
    <w:rsid w:val="000334DE"/>
    <w:pPr>
      <w:numPr>
        <w:ilvl w:val="1"/>
        <w:numId w:val="9"/>
      </w:numPr>
      <w:spacing w:before="120" w:after="120"/>
      <w:jc w:val="both"/>
    </w:pPr>
    <w:rPr>
      <w:rFonts w:ascii="Times New Roman" w:eastAsiaTheme="minorHAnsi" w:hAnsi="Times New Roman"/>
      <w:szCs w:val="22"/>
    </w:rPr>
  </w:style>
  <w:style w:type="paragraph" w:customStyle="1" w:styleId="Point1letter">
    <w:name w:val="Point 1 (letter)"/>
    <w:basedOn w:val="Normal"/>
    <w:rsid w:val="000334DE"/>
    <w:pPr>
      <w:numPr>
        <w:ilvl w:val="3"/>
        <w:numId w:val="9"/>
      </w:numPr>
      <w:spacing w:before="120" w:after="120"/>
      <w:jc w:val="both"/>
    </w:pPr>
    <w:rPr>
      <w:rFonts w:ascii="Times New Roman" w:eastAsiaTheme="minorHAnsi" w:hAnsi="Times New Roman"/>
      <w:szCs w:val="22"/>
    </w:rPr>
  </w:style>
  <w:style w:type="paragraph" w:customStyle="1" w:styleId="Point2letter">
    <w:name w:val="Point 2 (letter)"/>
    <w:basedOn w:val="Normal"/>
    <w:rsid w:val="000334DE"/>
    <w:pPr>
      <w:numPr>
        <w:ilvl w:val="5"/>
        <w:numId w:val="9"/>
      </w:numPr>
      <w:spacing w:before="120" w:after="120"/>
      <w:jc w:val="both"/>
    </w:pPr>
    <w:rPr>
      <w:rFonts w:ascii="Times New Roman" w:eastAsiaTheme="minorHAnsi" w:hAnsi="Times New Roman"/>
      <w:szCs w:val="22"/>
    </w:rPr>
  </w:style>
  <w:style w:type="paragraph" w:customStyle="1" w:styleId="Point3letter">
    <w:name w:val="Point 3 (letter)"/>
    <w:basedOn w:val="Normal"/>
    <w:rsid w:val="000334DE"/>
    <w:pPr>
      <w:numPr>
        <w:ilvl w:val="7"/>
        <w:numId w:val="9"/>
      </w:numPr>
      <w:spacing w:before="120" w:after="120"/>
      <w:jc w:val="both"/>
    </w:pPr>
    <w:rPr>
      <w:rFonts w:ascii="Times New Roman" w:eastAsiaTheme="minorHAnsi" w:hAnsi="Times New Roman"/>
      <w:szCs w:val="22"/>
    </w:rPr>
  </w:style>
  <w:style w:type="paragraph" w:customStyle="1" w:styleId="Point4letter">
    <w:name w:val="Point 4 (letter)"/>
    <w:basedOn w:val="Normal"/>
    <w:rsid w:val="000334DE"/>
    <w:pPr>
      <w:numPr>
        <w:ilvl w:val="8"/>
        <w:numId w:val="9"/>
      </w:numPr>
      <w:spacing w:before="120" w:after="120"/>
      <w:jc w:val="both"/>
    </w:pPr>
    <w:rPr>
      <w:rFonts w:ascii="Times New Roman" w:eastAsiaTheme="minorHAnsi" w:hAnsi="Times New Roman"/>
      <w:szCs w:val="22"/>
    </w:rPr>
  </w:style>
  <w:style w:type="character" w:customStyle="1" w:styleId="Mention1">
    <w:name w:val="Mention1"/>
    <w:basedOn w:val="DefaultParagraphFont"/>
    <w:uiPriority w:val="99"/>
    <w:semiHidden/>
    <w:unhideWhenUsed/>
    <w:rsid w:val="00401D6D"/>
    <w:rPr>
      <w:color w:val="2B579A"/>
      <w:shd w:val="clear" w:color="auto" w:fill="E6E6E6"/>
    </w:rPr>
  </w:style>
  <w:style w:type="character" w:styleId="UnresolvedMention">
    <w:name w:val="Unresolved Mention"/>
    <w:basedOn w:val="DefaultParagraphFont"/>
    <w:uiPriority w:val="99"/>
    <w:semiHidden/>
    <w:unhideWhenUsed/>
    <w:rsid w:val="0062721B"/>
    <w:rPr>
      <w:color w:val="605E5C"/>
      <w:shd w:val="clear" w:color="auto" w:fill="E1DFDD"/>
    </w:rPr>
  </w:style>
  <w:style w:type="character" w:customStyle="1" w:styleId="ui-provider">
    <w:name w:val="ui-provider"/>
    <w:basedOn w:val="DefaultParagraphFont"/>
    <w:rsid w:val="000602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634436">
      <w:bodyDiv w:val="1"/>
      <w:marLeft w:val="0"/>
      <w:marRight w:val="0"/>
      <w:marTop w:val="0"/>
      <w:marBottom w:val="0"/>
      <w:divBdr>
        <w:top w:val="none" w:sz="0" w:space="0" w:color="auto"/>
        <w:left w:val="none" w:sz="0" w:space="0" w:color="auto"/>
        <w:bottom w:val="none" w:sz="0" w:space="0" w:color="auto"/>
        <w:right w:val="none" w:sz="0" w:space="0" w:color="auto"/>
      </w:divBdr>
    </w:div>
    <w:div w:id="27921775">
      <w:bodyDiv w:val="1"/>
      <w:marLeft w:val="0"/>
      <w:marRight w:val="0"/>
      <w:marTop w:val="0"/>
      <w:marBottom w:val="0"/>
      <w:divBdr>
        <w:top w:val="none" w:sz="0" w:space="0" w:color="auto"/>
        <w:left w:val="none" w:sz="0" w:space="0" w:color="auto"/>
        <w:bottom w:val="none" w:sz="0" w:space="0" w:color="auto"/>
        <w:right w:val="none" w:sz="0" w:space="0" w:color="auto"/>
      </w:divBdr>
      <w:divsChild>
        <w:div w:id="697893882">
          <w:marLeft w:val="0"/>
          <w:marRight w:val="0"/>
          <w:marTop w:val="0"/>
          <w:marBottom w:val="0"/>
          <w:divBdr>
            <w:top w:val="none" w:sz="0" w:space="0" w:color="auto"/>
            <w:left w:val="none" w:sz="0" w:space="0" w:color="auto"/>
            <w:bottom w:val="none" w:sz="0" w:space="0" w:color="auto"/>
            <w:right w:val="none" w:sz="0" w:space="0" w:color="auto"/>
          </w:divBdr>
        </w:div>
        <w:div w:id="504975269">
          <w:marLeft w:val="0"/>
          <w:marRight w:val="0"/>
          <w:marTop w:val="0"/>
          <w:marBottom w:val="0"/>
          <w:divBdr>
            <w:top w:val="none" w:sz="0" w:space="0" w:color="auto"/>
            <w:left w:val="none" w:sz="0" w:space="0" w:color="auto"/>
            <w:bottom w:val="none" w:sz="0" w:space="0" w:color="auto"/>
            <w:right w:val="none" w:sz="0" w:space="0" w:color="auto"/>
          </w:divBdr>
        </w:div>
      </w:divsChild>
    </w:div>
    <w:div w:id="54162166">
      <w:bodyDiv w:val="1"/>
      <w:marLeft w:val="0"/>
      <w:marRight w:val="0"/>
      <w:marTop w:val="0"/>
      <w:marBottom w:val="0"/>
      <w:divBdr>
        <w:top w:val="none" w:sz="0" w:space="0" w:color="auto"/>
        <w:left w:val="none" w:sz="0" w:space="0" w:color="auto"/>
        <w:bottom w:val="none" w:sz="0" w:space="0" w:color="auto"/>
        <w:right w:val="none" w:sz="0" w:space="0" w:color="auto"/>
      </w:divBdr>
      <w:divsChild>
        <w:div w:id="578905586">
          <w:marLeft w:val="0"/>
          <w:marRight w:val="0"/>
          <w:marTop w:val="0"/>
          <w:marBottom w:val="0"/>
          <w:divBdr>
            <w:top w:val="none" w:sz="0" w:space="0" w:color="auto"/>
            <w:left w:val="none" w:sz="0" w:space="0" w:color="auto"/>
            <w:bottom w:val="none" w:sz="0" w:space="0" w:color="auto"/>
            <w:right w:val="none" w:sz="0" w:space="0" w:color="auto"/>
          </w:divBdr>
        </w:div>
        <w:div w:id="292952709">
          <w:marLeft w:val="0"/>
          <w:marRight w:val="0"/>
          <w:marTop w:val="0"/>
          <w:marBottom w:val="0"/>
          <w:divBdr>
            <w:top w:val="none" w:sz="0" w:space="0" w:color="auto"/>
            <w:left w:val="none" w:sz="0" w:space="0" w:color="auto"/>
            <w:bottom w:val="none" w:sz="0" w:space="0" w:color="auto"/>
            <w:right w:val="none" w:sz="0" w:space="0" w:color="auto"/>
          </w:divBdr>
        </w:div>
      </w:divsChild>
    </w:div>
    <w:div w:id="63838354">
      <w:bodyDiv w:val="1"/>
      <w:marLeft w:val="0"/>
      <w:marRight w:val="0"/>
      <w:marTop w:val="0"/>
      <w:marBottom w:val="0"/>
      <w:divBdr>
        <w:top w:val="none" w:sz="0" w:space="0" w:color="auto"/>
        <w:left w:val="none" w:sz="0" w:space="0" w:color="auto"/>
        <w:bottom w:val="none" w:sz="0" w:space="0" w:color="auto"/>
        <w:right w:val="none" w:sz="0" w:space="0" w:color="auto"/>
      </w:divBdr>
      <w:divsChild>
        <w:div w:id="1944341446">
          <w:marLeft w:val="0"/>
          <w:marRight w:val="0"/>
          <w:marTop w:val="0"/>
          <w:marBottom w:val="0"/>
          <w:divBdr>
            <w:top w:val="none" w:sz="0" w:space="0" w:color="auto"/>
            <w:left w:val="none" w:sz="0" w:space="0" w:color="auto"/>
            <w:bottom w:val="none" w:sz="0" w:space="0" w:color="auto"/>
            <w:right w:val="none" w:sz="0" w:space="0" w:color="auto"/>
          </w:divBdr>
        </w:div>
        <w:div w:id="273362432">
          <w:marLeft w:val="0"/>
          <w:marRight w:val="0"/>
          <w:marTop w:val="0"/>
          <w:marBottom w:val="0"/>
          <w:divBdr>
            <w:top w:val="none" w:sz="0" w:space="0" w:color="auto"/>
            <w:left w:val="none" w:sz="0" w:space="0" w:color="auto"/>
            <w:bottom w:val="none" w:sz="0" w:space="0" w:color="auto"/>
            <w:right w:val="none" w:sz="0" w:space="0" w:color="auto"/>
          </w:divBdr>
        </w:div>
        <w:div w:id="1024285342">
          <w:marLeft w:val="0"/>
          <w:marRight w:val="0"/>
          <w:marTop w:val="0"/>
          <w:marBottom w:val="0"/>
          <w:divBdr>
            <w:top w:val="none" w:sz="0" w:space="0" w:color="auto"/>
            <w:left w:val="none" w:sz="0" w:space="0" w:color="auto"/>
            <w:bottom w:val="none" w:sz="0" w:space="0" w:color="auto"/>
            <w:right w:val="none" w:sz="0" w:space="0" w:color="auto"/>
          </w:divBdr>
        </w:div>
        <w:div w:id="290525419">
          <w:marLeft w:val="0"/>
          <w:marRight w:val="0"/>
          <w:marTop w:val="0"/>
          <w:marBottom w:val="0"/>
          <w:divBdr>
            <w:top w:val="none" w:sz="0" w:space="0" w:color="auto"/>
            <w:left w:val="none" w:sz="0" w:space="0" w:color="auto"/>
            <w:bottom w:val="none" w:sz="0" w:space="0" w:color="auto"/>
            <w:right w:val="none" w:sz="0" w:space="0" w:color="auto"/>
          </w:divBdr>
        </w:div>
      </w:divsChild>
    </w:div>
    <w:div w:id="100224576">
      <w:bodyDiv w:val="1"/>
      <w:marLeft w:val="0"/>
      <w:marRight w:val="0"/>
      <w:marTop w:val="0"/>
      <w:marBottom w:val="0"/>
      <w:divBdr>
        <w:top w:val="none" w:sz="0" w:space="0" w:color="auto"/>
        <w:left w:val="none" w:sz="0" w:space="0" w:color="auto"/>
        <w:bottom w:val="none" w:sz="0" w:space="0" w:color="auto"/>
        <w:right w:val="none" w:sz="0" w:space="0" w:color="auto"/>
      </w:divBdr>
      <w:divsChild>
        <w:div w:id="1221987839">
          <w:marLeft w:val="0"/>
          <w:marRight w:val="0"/>
          <w:marTop w:val="0"/>
          <w:marBottom w:val="0"/>
          <w:divBdr>
            <w:top w:val="none" w:sz="0" w:space="0" w:color="auto"/>
            <w:left w:val="none" w:sz="0" w:space="0" w:color="auto"/>
            <w:bottom w:val="none" w:sz="0" w:space="0" w:color="auto"/>
            <w:right w:val="none" w:sz="0" w:space="0" w:color="auto"/>
          </w:divBdr>
        </w:div>
        <w:div w:id="1869368529">
          <w:marLeft w:val="0"/>
          <w:marRight w:val="0"/>
          <w:marTop w:val="0"/>
          <w:marBottom w:val="0"/>
          <w:divBdr>
            <w:top w:val="none" w:sz="0" w:space="0" w:color="auto"/>
            <w:left w:val="none" w:sz="0" w:space="0" w:color="auto"/>
            <w:bottom w:val="none" w:sz="0" w:space="0" w:color="auto"/>
            <w:right w:val="none" w:sz="0" w:space="0" w:color="auto"/>
          </w:divBdr>
        </w:div>
      </w:divsChild>
    </w:div>
    <w:div w:id="156500138">
      <w:bodyDiv w:val="1"/>
      <w:marLeft w:val="0"/>
      <w:marRight w:val="0"/>
      <w:marTop w:val="0"/>
      <w:marBottom w:val="0"/>
      <w:divBdr>
        <w:top w:val="none" w:sz="0" w:space="0" w:color="auto"/>
        <w:left w:val="none" w:sz="0" w:space="0" w:color="auto"/>
        <w:bottom w:val="none" w:sz="0" w:space="0" w:color="auto"/>
        <w:right w:val="none" w:sz="0" w:space="0" w:color="auto"/>
      </w:divBdr>
    </w:div>
    <w:div w:id="178011825">
      <w:bodyDiv w:val="1"/>
      <w:marLeft w:val="0"/>
      <w:marRight w:val="0"/>
      <w:marTop w:val="0"/>
      <w:marBottom w:val="0"/>
      <w:divBdr>
        <w:top w:val="none" w:sz="0" w:space="0" w:color="auto"/>
        <w:left w:val="none" w:sz="0" w:space="0" w:color="auto"/>
        <w:bottom w:val="none" w:sz="0" w:space="0" w:color="auto"/>
        <w:right w:val="none" w:sz="0" w:space="0" w:color="auto"/>
      </w:divBdr>
    </w:div>
    <w:div w:id="179244367">
      <w:bodyDiv w:val="1"/>
      <w:marLeft w:val="0"/>
      <w:marRight w:val="0"/>
      <w:marTop w:val="0"/>
      <w:marBottom w:val="0"/>
      <w:divBdr>
        <w:top w:val="none" w:sz="0" w:space="0" w:color="auto"/>
        <w:left w:val="none" w:sz="0" w:space="0" w:color="auto"/>
        <w:bottom w:val="none" w:sz="0" w:space="0" w:color="auto"/>
        <w:right w:val="none" w:sz="0" w:space="0" w:color="auto"/>
      </w:divBdr>
      <w:divsChild>
        <w:div w:id="1495607351">
          <w:marLeft w:val="0"/>
          <w:marRight w:val="0"/>
          <w:marTop w:val="0"/>
          <w:marBottom w:val="0"/>
          <w:divBdr>
            <w:top w:val="none" w:sz="0" w:space="0" w:color="auto"/>
            <w:left w:val="none" w:sz="0" w:space="0" w:color="auto"/>
            <w:bottom w:val="none" w:sz="0" w:space="0" w:color="auto"/>
            <w:right w:val="none" w:sz="0" w:space="0" w:color="auto"/>
          </w:divBdr>
        </w:div>
        <w:div w:id="1445539856">
          <w:marLeft w:val="0"/>
          <w:marRight w:val="0"/>
          <w:marTop w:val="0"/>
          <w:marBottom w:val="0"/>
          <w:divBdr>
            <w:top w:val="none" w:sz="0" w:space="0" w:color="auto"/>
            <w:left w:val="none" w:sz="0" w:space="0" w:color="auto"/>
            <w:bottom w:val="none" w:sz="0" w:space="0" w:color="auto"/>
            <w:right w:val="none" w:sz="0" w:space="0" w:color="auto"/>
          </w:divBdr>
        </w:div>
        <w:div w:id="1927575517">
          <w:marLeft w:val="0"/>
          <w:marRight w:val="0"/>
          <w:marTop w:val="0"/>
          <w:marBottom w:val="0"/>
          <w:divBdr>
            <w:top w:val="none" w:sz="0" w:space="0" w:color="auto"/>
            <w:left w:val="none" w:sz="0" w:space="0" w:color="auto"/>
            <w:bottom w:val="none" w:sz="0" w:space="0" w:color="auto"/>
            <w:right w:val="none" w:sz="0" w:space="0" w:color="auto"/>
          </w:divBdr>
        </w:div>
      </w:divsChild>
    </w:div>
    <w:div w:id="182597526">
      <w:bodyDiv w:val="1"/>
      <w:marLeft w:val="0"/>
      <w:marRight w:val="0"/>
      <w:marTop w:val="0"/>
      <w:marBottom w:val="0"/>
      <w:divBdr>
        <w:top w:val="none" w:sz="0" w:space="0" w:color="auto"/>
        <w:left w:val="none" w:sz="0" w:space="0" w:color="auto"/>
        <w:bottom w:val="none" w:sz="0" w:space="0" w:color="auto"/>
        <w:right w:val="none" w:sz="0" w:space="0" w:color="auto"/>
      </w:divBdr>
      <w:divsChild>
        <w:div w:id="469134097">
          <w:marLeft w:val="0"/>
          <w:marRight w:val="0"/>
          <w:marTop w:val="0"/>
          <w:marBottom w:val="0"/>
          <w:divBdr>
            <w:top w:val="none" w:sz="0" w:space="0" w:color="auto"/>
            <w:left w:val="none" w:sz="0" w:space="0" w:color="auto"/>
            <w:bottom w:val="none" w:sz="0" w:space="0" w:color="auto"/>
            <w:right w:val="none" w:sz="0" w:space="0" w:color="auto"/>
          </w:divBdr>
        </w:div>
        <w:div w:id="541285806">
          <w:marLeft w:val="0"/>
          <w:marRight w:val="0"/>
          <w:marTop w:val="0"/>
          <w:marBottom w:val="0"/>
          <w:divBdr>
            <w:top w:val="none" w:sz="0" w:space="0" w:color="auto"/>
            <w:left w:val="none" w:sz="0" w:space="0" w:color="auto"/>
            <w:bottom w:val="none" w:sz="0" w:space="0" w:color="auto"/>
            <w:right w:val="none" w:sz="0" w:space="0" w:color="auto"/>
          </w:divBdr>
        </w:div>
      </w:divsChild>
    </w:div>
    <w:div w:id="264074147">
      <w:bodyDiv w:val="1"/>
      <w:marLeft w:val="0"/>
      <w:marRight w:val="0"/>
      <w:marTop w:val="0"/>
      <w:marBottom w:val="0"/>
      <w:divBdr>
        <w:top w:val="none" w:sz="0" w:space="0" w:color="auto"/>
        <w:left w:val="none" w:sz="0" w:space="0" w:color="auto"/>
        <w:bottom w:val="none" w:sz="0" w:space="0" w:color="auto"/>
        <w:right w:val="none" w:sz="0" w:space="0" w:color="auto"/>
      </w:divBdr>
    </w:div>
    <w:div w:id="272902054">
      <w:bodyDiv w:val="1"/>
      <w:marLeft w:val="0"/>
      <w:marRight w:val="0"/>
      <w:marTop w:val="0"/>
      <w:marBottom w:val="0"/>
      <w:divBdr>
        <w:top w:val="none" w:sz="0" w:space="0" w:color="auto"/>
        <w:left w:val="none" w:sz="0" w:space="0" w:color="auto"/>
        <w:bottom w:val="none" w:sz="0" w:space="0" w:color="auto"/>
        <w:right w:val="none" w:sz="0" w:space="0" w:color="auto"/>
      </w:divBdr>
      <w:divsChild>
        <w:div w:id="1218083214">
          <w:marLeft w:val="0"/>
          <w:marRight w:val="0"/>
          <w:marTop w:val="0"/>
          <w:marBottom w:val="0"/>
          <w:divBdr>
            <w:top w:val="none" w:sz="0" w:space="0" w:color="auto"/>
            <w:left w:val="none" w:sz="0" w:space="0" w:color="auto"/>
            <w:bottom w:val="none" w:sz="0" w:space="0" w:color="auto"/>
            <w:right w:val="none" w:sz="0" w:space="0" w:color="auto"/>
          </w:divBdr>
        </w:div>
        <w:div w:id="1867021568">
          <w:marLeft w:val="0"/>
          <w:marRight w:val="0"/>
          <w:marTop w:val="0"/>
          <w:marBottom w:val="0"/>
          <w:divBdr>
            <w:top w:val="none" w:sz="0" w:space="0" w:color="auto"/>
            <w:left w:val="none" w:sz="0" w:space="0" w:color="auto"/>
            <w:bottom w:val="none" w:sz="0" w:space="0" w:color="auto"/>
            <w:right w:val="none" w:sz="0" w:space="0" w:color="auto"/>
          </w:divBdr>
        </w:div>
      </w:divsChild>
    </w:div>
    <w:div w:id="312831188">
      <w:bodyDiv w:val="1"/>
      <w:marLeft w:val="0"/>
      <w:marRight w:val="0"/>
      <w:marTop w:val="0"/>
      <w:marBottom w:val="0"/>
      <w:divBdr>
        <w:top w:val="none" w:sz="0" w:space="0" w:color="auto"/>
        <w:left w:val="none" w:sz="0" w:space="0" w:color="auto"/>
        <w:bottom w:val="none" w:sz="0" w:space="0" w:color="auto"/>
        <w:right w:val="none" w:sz="0" w:space="0" w:color="auto"/>
      </w:divBdr>
      <w:divsChild>
        <w:div w:id="1786538604">
          <w:marLeft w:val="0"/>
          <w:marRight w:val="0"/>
          <w:marTop w:val="0"/>
          <w:marBottom w:val="0"/>
          <w:divBdr>
            <w:top w:val="none" w:sz="0" w:space="0" w:color="auto"/>
            <w:left w:val="none" w:sz="0" w:space="0" w:color="auto"/>
            <w:bottom w:val="none" w:sz="0" w:space="0" w:color="auto"/>
            <w:right w:val="none" w:sz="0" w:space="0" w:color="auto"/>
          </w:divBdr>
        </w:div>
        <w:div w:id="1335065192">
          <w:marLeft w:val="0"/>
          <w:marRight w:val="0"/>
          <w:marTop w:val="0"/>
          <w:marBottom w:val="0"/>
          <w:divBdr>
            <w:top w:val="none" w:sz="0" w:space="0" w:color="auto"/>
            <w:left w:val="none" w:sz="0" w:space="0" w:color="auto"/>
            <w:bottom w:val="none" w:sz="0" w:space="0" w:color="auto"/>
            <w:right w:val="none" w:sz="0" w:space="0" w:color="auto"/>
          </w:divBdr>
        </w:div>
      </w:divsChild>
    </w:div>
    <w:div w:id="313262224">
      <w:bodyDiv w:val="1"/>
      <w:marLeft w:val="0"/>
      <w:marRight w:val="0"/>
      <w:marTop w:val="0"/>
      <w:marBottom w:val="0"/>
      <w:divBdr>
        <w:top w:val="none" w:sz="0" w:space="0" w:color="auto"/>
        <w:left w:val="none" w:sz="0" w:space="0" w:color="auto"/>
        <w:bottom w:val="none" w:sz="0" w:space="0" w:color="auto"/>
        <w:right w:val="none" w:sz="0" w:space="0" w:color="auto"/>
      </w:divBdr>
    </w:div>
    <w:div w:id="357510384">
      <w:bodyDiv w:val="1"/>
      <w:marLeft w:val="0"/>
      <w:marRight w:val="0"/>
      <w:marTop w:val="0"/>
      <w:marBottom w:val="0"/>
      <w:divBdr>
        <w:top w:val="none" w:sz="0" w:space="0" w:color="auto"/>
        <w:left w:val="none" w:sz="0" w:space="0" w:color="auto"/>
        <w:bottom w:val="none" w:sz="0" w:space="0" w:color="auto"/>
        <w:right w:val="none" w:sz="0" w:space="0" w:color="auto"/>
      </w:divBdr>
    </w:div>
    <w:div w:id="484013465">
      <w:bodyDiv w:val="1"/>
      <w:marLeft w:val="0"/>
      <w:marRight w:val="0"/>
      <w:marTop w:val="0"/>
      <w:marBottom w:val="0"/>
      <w:divBdr>
        <w:top w:val="none" w:sz="0" w:space="0" w:color="auto"/>
        <w:left w:val="none" w:sz="0" w:space="0" w:color="auto"/>
        <w:bottom w:val="none" w:sz="0" w:space="0" w:color="auto"/>
        <w:right w:val="none" w:sz="0" w:space="0" w:color="auto"/>
      </w:divBdr>
    </w:div>
    <w:div w:id="570427126">
      <w:bodyDiv w:val="1"/>
      <w:marLeft w:val="0"/>
      <w:marRight w:val="0"/>
      <w:marTop w:val="0"/>
      <w:marBottom w:val="0"/>
      <w:divBdr>
        <w:top w:val="none" w:sz="0" w:space="0" w:color="auto"/>
        <w:left w:val="none" w:sz="0" w:space="0" w:color="auto"/>
        <w:bottom w:val="none" w:sz="0" w:space="0" w:color="auto"/>
        <w:right w:val="none" w:sz="0" w:space="0" w:color="auto"/>
      </w:divBdr>
    </w:div>
    <w:div w:id="640161181">
      <w:bodyDiv w:val="1"/>
      <w:marLeft w:val="0"/>
      <w:marRight w:val="0"/>
      <w:marTop w:val="0"/>
      <w:marBottom w:val="0"/>
      <w:divBdr>
        <w:top w:val="none" w:sz="0" w:space="0" w:color="auto"/>
        <w:left w:val="none" w:sz="0" w:space="0" w:color="auto"/>
        <w:bottom w:val="none" w:sz="0" w:space="0" w:color="auto"/>
        <w:right w:val="none" w:sz="0" w:space="0" w:color="auto"/>
      </w:divBdr>
      <w:divsChild>
        <w:div w:id="419449922">
          <w:marLeft w:val="0"/>
          <w:marRight w:val="0"/>
          <w:marTop w:val="0"/>
          <w:marBottom w:val="0"/>
          <w:divBdr>
            <w:top w:val="none" w:sz="0" w:space="0" w:color="auto"/>
            <w:left w:val="none" w:sz="0" w:space="0" w:color="auto"/>
            <w:bottom w:val="none" w:sz="0" w:space="0" w:color="auto"/>
            <w:right w:val="none" w:sz="0" w:space="0" w:color="auto"/>
          </w:divBdr>
        </w:div>
      </w:divsChild>
    </w:div>
    <w:div w:id="789979922">
      <w:bodyDiv w:val="1"/>
      <w:marLeft w:val="0"/>
      <w:marRight w:val="0"/>
      <w:marTop w:val="0"/>
      <w:marBottom w:val="0"/>
      <w:divBdr>
        <w:top w:val="none" w:sz="0" w:space="0" w:color="auto"/>
        <w:left w:val="none" w:sz="0" w:space="0" w:color="auto"/>
        <w:bottom w:val="none" w:sz="0" w:space="0" w:color="auto"/>
        <w:right w:val="none" w:sz="0" w:space="0" w:color="auto"/>
      </w:divBdr>
    </w:div>
    <w:div w:id="820851659">
      <w:bodyDiv w:val="1"/>
      <w:marLeft w:val="0"/>
      <w:marRight w:val="0"/>
      <w:marTop w:val="0"/>
      <w:marBottom w:val="0"/>
      <w:divBdr>
        <w:top w:val="none" w:sz="0" w:space="0" w:color="auto"/>
        <w:left w:val="none" w:sz="0" w:space="0" w:color="auto"/>
        <w:bottom w:val="none" w:sz="0" w:space="0" w:color="auto"/>
        <w:right w:val="none" w:sz="0" w:space="0" w:color="auto"/>
      </w:divBdr>
    </w:div>
    <w:div w:id="823279884">
      <w:bodyDiv w:val="1"/>
      <w:marLeft w:val="0"/>
      <w:marRight w:val="0"/>
      <w:marTop w:val="0"/>
      <w:marBottom w:val="0"/>
      <w:divBdr>
        <w:top w:val="none" w:sz="0" w:space="0" w:color="auto"/>
        <w:left w:val="none" w:sz="0" w:space="0" w:color="auto"/>
        <w:bottom w:val="none" w:sz="0" w:space="0" w:color="auto"/>
        <w:right w:val="none" w:sz="0" w:space="0" w:color="auto"/>
      </w:divBdr>
    </w:div>
    <w:div w:id="863253762">
      <w:bodyDiv w:val="1"/>
      <w:marLeft w:val="0"/>
      <w:marRight w:val="0"/>
      <w:marTop w:val="0"/>
      <w:marBottom w:val="0"/>
      <w:divBdr>
        <w:top w:val="none" w:sz="0" w:space="0" w:color="auto"/>
        <w:left w:val="none" w:sz="0" w:space="0" w:color="auto"/>
        <w:bottom w:val="none" w:sz="0" w:space="0" w:color="auto"/>
        <w:right w:val="none" w:sz="0" w:space="0" w:color="auto"/>
      </w:divBdr>
      <w:divsChild>
        <w:div w:id="864905782">
          <w:marLeft w:val="0"/>
          <w:marRight w:val="0"/>
          <w:marTop w:val="0"/>
          <w:marBottom w:val="0"/>
          <w:divBdr>
            <w:top w:val="none" w:sz="0" w:space="0" w:color="auto"/>
            <w:left w:val="none" w:sz="0" w:space="0" w:color="auto"/>
            <w:bottom w:val="none" w:sz="0" w:space="0" w:color="auto"/>
            <w:right w:val="none" w:sz="0" w:space="0" w:color="auto"/>
          </w:divBdr>
        </w:div>
        <w:div w:id="1028750016">
          <w:marLeft w:val="0"/>
          <w:marRight w:val="0"/>
          <w:marTop w:val="0"/>
          <w:marBottom w:val="0"/>
          <w:divBdr>
            <w:top w:val="none" w:sz="0" w:space="0" w:color="auto"/>
            <w:left w:val="none" w:sz="0" w:space="0" w:color="auto"/>
            <w:bottom w:val="none" w:sz="0" w:space="0" w:color="auto"/>
            <w:right w:val="none" w:sz="0" w:space="0" w:color="auto"/>
          </w:divBdr>
        </w:div>
      </w:divsChild>
    </w:div>
    <w:div w:id="898594901">
      <w:bodyDiv w:val="1"/>
      <w:marLeft w:val="0"/>
      <w:marRight w:val="0"/>
      <w:marTop w:val="0"/>
      <w:marBottom w:val="0"/>
      <w:divBdr>
        <w:top w:val="none" w:sz="0" w:space="0" w:color="auto"/>
        <w:left w:val="none" w:sz="0" w:space="0" w:color="auto"/>
        <w:bottom w:val="none" w:sz="0" w:space="0" w:color="auto"/>
        <w:right w:val="none" w:sz="0" w:space="0" w:color="auto"/>
      </w:divBdr>
      <w:divsChild>
        <w:div w:id="163134633">
          <w:marLeft w:val="0"/>
          <w:marRight w:val="0"/>
          <w:marTop w:val="0"/>
          <w:marBottom w:val="0"/>
          <w:divBdr>
            <w:top w:val="none" w:sz="0" w:space="0" w:color="auto"/>
            <w:left w:val="none" w:sz="0" w:space="0" w:color="auto"/>
            <w:bottom w:val="none" w:sz="0" w:space="0" w:color="auto"/>
            <w:right w:val="none" w:sz="0" w:space="0" w:color="auto"/>
          </w:divBdr>
        </w:div>
        <w:div w:id="885875827">
          <w:marLeft w:val="0"/>
          <w:marRight w:val="0"/>
          <w:marTop w:val="0"/>
          <w:marBottom w:val="0"/>
          <w:divBdr>
            <w:top w:val="none" w:sz="0" w:space="0" w:color="auto"/>
            <w:left w:val="none" w:sz="0" w:space="0" w:color="auto"/>
            <w:bottom w:val="none" w:sz="0" w:space="0" w:color="auto"/>
            <w:right w:val="none" w:sz="0" w:space="0" w:color="auto"/>
          </w:divBdr>
        </w:div>
      </w:divsChild>
    </w:div>
    <w:div w:id="901255133">
      <w:bodyDiv w:val="1"/>
      <w:marLeft w:val="0"/>
      <w:marRight w:val="0"/>
      <w:marTop w:val="0"/>
      <w:marBottom w:val="0"/>
      <w:divBdr>
        <w:top w:val="none" w:sz="0" w:space="0" w:color="auto"/>
        <w:left w:val="none" w:sz="0" w:space="0" w:color="auto"/>
        <w:bottom w:val="none" w:sz="0" w:space="0" w:color="auto"/>
        <w:right w:val="none" w:sz="0" w:space="0" w:color="auto"/>
      </w:divBdr>
    </w:div>
    <w:div w:id="930820120">
      <w:bodyDiv w:val="1"/>
      <w:marLeft w:val="0"/>
      <w:marRight w:val="0"/>
      <w:marTop w:val="0"/>
      <w:marBottom w:val="0"/>
      <w:divBdr>
        <w:top w:val="none" w:sz="0" w:space="0" w:color="auto"/>
        <w:left w:val="none" w:sz="0" w:space="0" w:color="auto"/>
        <w:bottom w:val="none" w:sz="0" w:space="0" w:color="auto"/>
        <w:right w:val="none" w:sz="0" w:space="0" w:color="auto"/>
      </w:divBdr>
      <w:divsChild>
        <w:div w:id="371658904">
          <w:marLeft w:val="0"/>
          <w:marRight w:val="0"/>
          <w:marTop w:val="0"/>
          <w:marBottom w:val="0"/>
          <w:divBdr>
            <w:top w:val="none" w:sz="0" w:space="0" w:color="auto"/>
            <w:left w:val="none" w:sz="0" w:space="0" w:color="auto"/>
            <w:bottom w:val="none" w:sz="0" w:space="0" w:color="auto"/>
            <w:right w:val="none" w:sz="0" w:space="0" w:color="auto"/>
          </w:divBdr>
        </w:div>
        <w:div w:id="656418452">
          <w:marLeft w:val="0"/>
          <w:marRight w:val="0"/>
          <w:marTop w:val="0"/>
          <w:marBottom w:val="0"/>
          <w:divBdr>
            <w:top w:val="none" w:sz="0" w:space="0" w:color="auto"/>
            <w:left w:val="none" w:sz="0" w:space="0" w:color="auto"/>
            <w:bottom w:val="none" w:sz="0" w:space="0" w:color="auto"/>
            <w:right w:val="none" w:sz="0" w:space="0" w:color="auto"/>
          </w:divBdr>
        </w:div>
        <w:div w:id="181404800">
          <w:marLeft w:val="0"/>
          <w:marRight w:val="0"/>
          <w:marTop w:val="0"/>
          <w:marBottom w:val="0"/>
          <w:divBdr>
            <w:top w:val="none" w:sz="0" w:space="0" w:color="auto"/>
            <w:left w:val="none" w:sz="0" w:space="0" w:color="auto"/>
            <w:bottom w:val="none" w:sz="0" w:space="0" w:color="auto"/>
            <w:right w:val="none" w:sz="0" w:space="0" w:color="auto"/>
          </w:divBdr>
        </w:div>
      </w:divsChild>
    </w:div>
    <w:div w:id="938828251">
      <w:bodyDiv w:val="1"/>
      <w:marLeft w:val="0"/>
      <w:marRight w:val="0"/>
      <w:marTop w:val="0"/>
      <w:marBottom w:val="0"/>
      <w:divBdr>
        <w:top w:val="none" w:sz="0" w:space="0" w:color="auto"/>
        <w:left w:val="none" w:sz="0" w:space="0" w:color="auto"/>
        <w:bottom w:val="none" w:sz="0" w:space="0" w:color="auto"/>
        <w:right w:val="none" w:sz="0" w:space="0" w:color="auto"/>
      </w:divBdr>
    </w:div>
    <w:div w:id="958560829">
      <w:bodyDiv w:val="1"/>
      <w:marLeft w:val="0"/>
      <w:marRight w:val="0"/>
      <w:marTop w:val="0"/>
      <w:marBottom w:val="0"/>
      <w:divBdr>
        <w:top w:val="none" w:sz="0" w:space="0" w:color="auto"/>
        <w:left w:val="none" w:sz="0" w:space="0" w:color="auto"/>
        <w:bottom w:val="none" w:sz="0" w:space="0" w:color="auto"/>
        <w:right w:val="none" w:sz="0" w:space="0" w:color="auto"/>
      </w:divBdr>
    </w:div>
    <w:div w:id="961886344">
      <w:bodyDiv w:val="1"/>
      <w:marLeft w:val="0"/>
      <w:marRight w:val="0"/>
      <w:marTop w:val="0"/>
      <w:marBottom w:val="0"/>
      <w:divBdr>
        <w:top w:val="none" w:sz="0" w:space="0" w:color="auto"/>
        <w:left w:val="none" w:sz="0" w:space="0" w:color="auto"/>
        <w:bottom w:val="none" w:sz="0" w:space="0" w:color="auto"/>
        <w:right w:val="none" w:sz="0" w:space="0" w:color="auto"/>
      </w:divBdr>
    </w:div>
    <w:div w:id="1004094565">
      <w:bodyDiv w:val="1"/>
      <w:marLeft w:val="0"/>
      <w:marRight w:val="0"/>
      <w:marTop w:val="0"/>
      <w:marBottom w:val="0"/>
      <w:divBdr>
        <w:top w:val="none" w:sz="0" w:space="0" w:color="auto"/>
        <w:left w:val="none" w:sz="0" w:space="0" w:color="auto"/>
        <w:bottom w:val="none" w:sz="0" w:space="0" w:color="auto"/>
        <w:right w:val="none" w:sz="0" w:space="0" w:color="auto"/>
      </w:divBdr>
    </w:div>
    <w:div w:id="1007446426">
      <w:bodyDiv w:val="1"/>
      <w:marLeft w:val="0"/>
      <w:marRight w:val="0"/>
      <w:marTop w:val="0"/>
      <w:marBottom w:val="0"/>
      <w:divBdr>
        <w:top w:val="none" w:sz="0" w:space="0" w:color="auto"/>
        <w:left w:val="none" w:sz="0" w:space="0" w:color="auto"/>
        <w:bottom w:val="none" w:sz="0" w:space="0" w:color="auto"/>
        <w:right w:val="none" w:sz="0" w:space="0" w:color="auto"/>
      </w:divBdr>
    </w:div>
    <w:div w:id="1113210243">
      <w:bodyDiv w:val="1"/>
      <w:marLeft w:val="0"/>
      <w:marRight w:val="0"/>
      <w:marTop w:val="0"/>
      <w:marBottom w:val="0"/>
      <w:divBdr>
        <w:top w:val="none" w:sz="0" w:space="0" w:color="auto"/>
        <w:left w:val="none" w:sz="0" w:space="0" w:color="auto"/>
        <w:bottom w:val="none" w:sz="0" w:space="0" w:color="auto"/>
        <w:right w:val="none" w:sz="0" w:space="0" w:color="auto"/>
      </w:divBdr>
      <w:divsChild>
        <w:div w:id="977564179">
          <w:marLeft w:val="0"/>
          <w:marRight w:val="0"/>
          <w:marTop w:val="0"/>
          <w:marBottom w:val="0"/>
          <w:divBdr>
            <w:top w:val="none" w:sz="0" w:space="0" w:color="auto"/>
            <w:left w:val="none" w:sz="0" w:space="0" w:color="auto"/>
            <w:bottom w:val="none" w:sz="0" w:space="0" w:color="auto"/>
            <w:right w:val="none" w:sz="0" w:space="0" w:color="auto"/>
          </w:divBdr>
        </w:div>
        <w:div w:id="2097555230">
          <w:marLeft w:val="0"/>
          <w:marRight w:val="0"/>
          <w:marTop w:val="0"/>
          <w:marBottom w:val="0"/>
          <w:divBdr>
            <w:top w:val="none" w:sz="0" w:space="0" w:color="auto"/>
            <w:left w:val="none" w:sz="0" w:space="0" w:color="auto"/>
            <w:bottom w:val="none" w:sz="0" w:space="0" w:color="auto"/>
            <w:right w:val="none" w:sz="0" w:space="0" w:color="auto"/>
          </w:divBdr>
        </w:div>
      </w:divsChild>
    </w:div>
    <w:div w:id="1203178147">
      <w:bodyDiv w:val="1"/>
      <w:marLeft w:val="0"/>
      <w:marRight w:val="0"/>
      <w:marTop w:val="0"/>
      <w:marBottom w:val="0"/>
      <w:divBdr>
        <w:top w:val="none" w:sz="0" w:space="0" w:color="auto"/>
        <w:left w:val="none" w:sz="0" w:space="0" w:color="auto"/>
        <w:bottom w:val="none" w:sz="0" w:space="0" w:color="auto"/>
        <w:right w:val="none" w:sz="0" w:space="0" w:color="auto"/>
      </w:divBdr>
    </w:div>
    <w:div w:id="1279095934">
      <w:bodyDiv w:val="1"/>
      <w:marLeft w:val="0"/>
      <w:marRight w:val="0"/>
      <w:marTop w:val="0"/>
      <w:marBottom w:val="0"/>
      <w:divBdr>
        <w:top w:val="none" w:sz="0" w:space="0" w:color="auto"/>
        <w:left w:val="none" w:sz="0" w:space="0" w:color="auto"/>
        <w:bottom w:val="none" w:sz="0" w:space="0" w:color="auto"/>
        <w:right w:val="none" w:sz="0" w:space="0" w:color="auto"/>
      </w:divBdr>
    </w:div>
    <w:div w:id="1280333744">
      <w:bodyDiv w:val="1"/>
      <w:marLeft w:val="0"/>
      <w:marRight w:val="0"/>
      <w:marTop w:val="0"/>
      <w:marBottom w:val="0"/>
      <w:divBdr>
        <w:top w:val="none" w:sz="0" w:space="0" w:color="auto"/>
        <w:left w:val="none" w:sz="0" w:space="0" w:color="auto"/>
        <w:bottom w:val="none" w:sz="0" w:space="0" w:color="auto"/>
        <w:right w:val="none" w:sz="0" w:space="0" w:color="auto"/>
      </w:divBdr>
    </w:div>
    <w:div w:id="1384522096">
      <w:bodyDiv w:val="1"/>
      <w:marLeft w:val="0"/>
      <w:marRight w:val="0"/>
      <w:marTop w:val="0"/>
      <w:marBottom w:val="0"/>
      <w:divBdr>
        <w:top w:val="none" w:sz="0" w:space="0" w:color="auto"/>
        <w:left w:val="none" w:sz="0" w:space="0" w:color="auto"/>
        <w:bottom w:val="none" w:sz="0" w:space="0" w:color="auto"/>
        <w:right w:val="none" w:sz="0" w:space="0" w:color="auto"/>
      </w:divBdr>
    </w:div>
    <w:div w:id="1447581389">
      <w:bodyDiv w:val="1"/>
      <w:marLeft w:val="0"/>
      <w:marRight w:val="0"/>
      <w:marTop w:val="0"/>
      <w:marBottom w:val="0"/>
      <w:divBdr>
        <w:top w:val="none" w:sz="0" w:space="0" w:color="auto"/>
        <w:left w:val="none" w:sz="0" w:space="0" w:color="auto"/>
        <w:bottom w:val="none" w:sz="0" w:space="0" w:color="auto"/>
        <w:right w:val="none" w:sz="0" w:space="0" w:color="auto"/>
      </w:divBdr>
    </w:div>
    <w:div w:id="1562212724">
      <w:bodyDiv w:val="1"/>
      <w:marLeft w:val="0"/>
      <w:marRight w:val="0"/>
      <w:marTop w:val="0"/>
      <w:marBottom w:val="0"/>
      <w:divBdr>
        <w:top w:val="none" w:sz="0" w:space="0" w:color="auto"/>
        <w:left w:val="none" w:sz="0" w:space="0" w:color="auto"/>
        <w:bottom w:val="none" w:sz="0" w:space="0" w:color="auto"/>
        <w:right w:val="none" w:sz="0" w:space="0" w:color="auto"/>
      </w:divBdr>
    </w:div>
    <w:div w:id="1675452409">
      <w:bodyDiv w:val="1"/>
      <w:marLeft w:val="0"/>
      <w:marRight w:val="0"/>
      <w:marTop w:val="0"/>
      <w:marBottom w:val="0"/>
      <w:divBdr>
        <w:top w:val="none" w:sz="0" w:space="0" w:color="auto"/>
        <w:left w:val="none" w:sz="0" w:space="0" w:color="auto"/>
        <w:bottom w:val="none" w:sz="0" w:space="0" w:color="auto"/>
        <w:right w:val="none" w:sz="0" w:space="0" w:color="auto"/>
      </w:divBdr>
    </w:div>
    <w:div w:id="1688017076">
      <w:bodyDiv w:val="1"/>
      <w:marLeft w:val="0"/>
      <w:marRight w:val="0"/>
      <w:marTop w:val="0"/>
      <w:marBottom w:val="0"/>
      <w:divBdr>
        <w:top w:val="none" w:sz="0" w:space="0" w:color="auto"/>
        <w:left w:val="none" w:sz="0" w:space="0" w:color="auto"/>
        <w:bottom w:val="none" w:sz="0" w:space="0" w:color="auto"/>
        <w:right w:val="none" w:sz="0" w:space="0" w:color="auto"/>
      </w:divBdr>
    </w:div>
    <w:div w:id="1785731062">
      <w:bodyDiv w:val="1"/>
      <w:marLeft w:val="0"/>
      <w:marRight w:val="0"/>
      <w:marTop w:val="0"/>
      <w:marBottom w:val="0"/>
      <w:divBdr>
        <w:top w:val="none" w:sz="0" w:space="0" w:color="auto"/>
        <w:left w:val="none" w:sz="0" w:space="0" w:color="auto"/>
        <w:bottom w:val="none" w:sz="0" w:space="0" w:color="auto"/>
        <w:right w:val="none" w:sz="0" w:space="0" w:color="auto"/>
      </w:divBdr>
      <w:divsChild>
        <w:div w:id="191504354">
          <w:marLeft w:val="0"/>
          <w:marRight w:val="0"/>
          <w:marTop w:val="0"/>
          <w:marBottom w:val="0"/>
          <w:divBdr>
            <w:top w:val="none" w:sz="0" w:space="0" w:color="auto"/>
            <w:left w:val="none" w:sz="0" w:space="0" w:color="auto"/>
            <w:bottom w:val="none" w:sz="0" w:space="0" w:color="auto"/>
            <w:right w:val="none" w:sz="0" w:space="0" w:color="auto"/>
          </w:divBdr>
        </w:div>
        <w:div w:id="789470037">
          <w:marLeft w:val="0"/>
          <w:marRight w:val="0"/>
          <w:marTop w:val="0"/>
          <w:marBottom w:val="0"/>
          <w:divBdr>
            <w:top w:val="none" w:sz="0" w:space="0" w:color="auto"/>
            <w:left w:val="none" w:sz="0" w:space="0" w:color="auto"/>
            <w:bottom w:val="none" w:sz="0" w:space="0" w:color="auto"/>
            <w:right w:val="none" w:sz="0" w:space="0" w:color="auto"/>
          </w:divBdr>
        </w:div>
      </w:divsChild>
    </w:div>
    <w:div w:id="1830635732">
      <w:bodyDiv w:val="1"/>
      <w:marLeft w:val="0"/>
      <w:marRight w:val="0"/>
      <w:marTop w:val="0"/>
      <w:marBottom w:val="0"/>
      <w:divBdr>
        <w:top w:val="none" w:sz="0" w:space="0" w:color="auto"/>
        <w:left w:val="none" w:sz="0" w:space="0" w:color="auto"/>
        <w:bottom w:val="none" w:sz="0" w:space="0" w:color="auto"/>
        <w:right w:val="none" w:sz="0" w:space="0" w:color="auto"/>
      </w:divBdr>
    </w:div>
    <w:div w:id="1978795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ur-lex.europa.eu/legal-content/EN/TXT/?uri=celex%3A52013PC0130" TargetMode="External"/><Relationship Id="rId18" Type="http://schemas.openxmlformats.org/officeDocument/2006/relationships/hyperlink" Target="mailto:info@edf-feph.org"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publicapps.caa.co.uk/docs/33/Airport%20performance%20report.pdf" TargetMode="External"/><Relationship Id="rId17" Type="http://schemas.openxmlformats.org/officeDocument/2006/relationships/hyperlink" Target="mailto:daniel.casas@edf-feph.org" TargetMode="External"/><Relationship Id="rId2" Type="http://schemas.openxmlformats.org/officeDocument/2006/relationships/numbering" Target="numbering.xml"/><Relationship Id="rId16" Type="http://schemas.openxmlformats.org/officeDocument/2006/relationships/hyperlink" Target="https://eur-lex.europa.eu/legal-content/EN/TXT/?uri=uriserv:OJ.L_.2019.151.01.0070.01.ENG"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df-feph.org/publications/analysis-of-the-proposal-on-enforcement-of-passenger-rights/" TargetMode="External"/><Relationship Id="rId5" Type="http://schemas.openxmlformats.org/officeDocument/2006/relationships/webSettings" Target="webSettings.xml"/><Relationship Id="rId15" Type="http://schemas.openxmlformats.org/officeDocument/2006/relationships/hyperlink" Target="https://eur-lex.europa.eu/legal-content/EN/TXT/?uri=uriserv:OJ.L_.2019.151.01.0070.01.ENG" TargetMode="External"/><Relationship Id="rId23" Type="http://schemas.openxmlformats.org/officeDocument/2006/relationships/theme" Target="theme/theme1.xml"/><Relationship Id="rId10" Type="http://schemas.openxmlformats.org/officeDocument/2006/relationships/hyperlink" Target="http://www.edf-feph.org" TargetMode="External"/><Relationship Id="rId19"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edf-feph.org" TargetMode="External"/><Relationship Id="rId14" Type="http://schemas.openxmlformats.org/officeDocument/2006/relationships/hyperlink" Target="https://www.transportation.gov/resources/individuals/aviation-consumer-protection/reporting-disability-related-complaint-data-2023"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op.europa.eu/en/publication-detail/-/publication/d8b8bd04-1b4d-11ec-b4fe-01aa75ed71a1/language-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5128BED-A8B0-46A6-9AC0-7790F032F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1058</TotalTime>
  <Pages>38</Pages>
  <Words>11172</Words>
  <Characters>61447</Characters>
  <Application>Microsoft Office Word</Application>
  <DocSecurity>0</DocSecurity>
  <Lines>512</Lines>
  <Paragraphs>144</Paragraphs>
  <ScaleCrop>false</ScaleCrop>
  <HeadingPairs>
    <vt:vector size="2" baseType="variant">
      <vt:variant>
        <vt:lpstr>Title</vt:lpstr>
      </vt:variant>
      <vt:variant>
        <vt:i4>1</vt:i4>
      </vt:variant>
    </vt:vector>
  </HeadingPairs>
  <TitlesOfParts>
    <vt:vector size="1" baseType="lpstr">
      <vt:lpstr>EDF amendments</vt:lpstr>
    </vt:vector>
  </TitlesOfParts>
  <Company>HP</Company>
  <LinksUpToDate>false</LinksUpToDate>
  <CharactersWithSpaces>72475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EDF amendments</dc:title>
  <dc:creator>Marie Denninghaus</dc:creator>
  <cp:lastModifiedBy>Daniel Casas</cp:lastModifiedBy>
  <cp:revision>120</cp:revision>
  <cp:lastPrinted>2018-08-28T14:49:00Z</cp:lastPrinted>
  <dcterms:created xsi:type="dcterms:W3CDTF">2018-09-07T11:43:00Z</dcterms:created>
  <dcterms:modified xsi:type="dcterms:W3CDTF">2024-04-16T12:57:00Z</dcterms:modified>
</cp:coreProperties>
</file>