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C64F1" w14:textId="77777777" w:rsidR="00750D12" w:rsidRPr="009710B6" w:rsidRDefault="003C04D4" w:rsidP="00D120F2">
      <w:pPr>
        <w:pStyle w:val="Footer"/>
        <w:jc w:val="both"/>
      </w:pPr>
      <w:r>
        <w:rPr>
          <w:noProof/>
          <w:lang w:val="fr-BE" w:eastAsia="fr-BE"/>
        </w:rPr>
        <w:drawing>
          <wp:anchor distT="0" distB="0" distL="114300" distR="114300" simplePos="0" relativeHeight="251658240" behindDoc="0" locked="0" layoutInCell="1" allowOverlap="1" wp14:anchorId="0E92B860" wp14:editId="2DB80355">
            <wp:simplePos x="0" y="0"/>
            <wp:positionH relativeFrom="column">
              <wp:posOffset>-763905</wp:posOffset>
            </wp:positionH>
            <wp:positionV relativeFrom="paragraph">
              <wp:posOffset>-1200150</wp:posOffset>
            </wp:positionV>
            <wp:extent cx="7840980" cy="9133205"/>
            <wp:effectExtent l="0" t="0" r="7620" b="0"/>
            <wp:wrapNone/>
            <wp:docPr id="9" name="Picture 2" descr="Description: POSITION_COUV_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OSITION_COUV_LAW"/>
                    <pic:cNvPicPr>
                      <a:picLocks noChangeAspect="1" noChangeArrowheads="1"/>
                    </pic:cNvPicPr>
                  </pic:nvPicPr>
                  <pic:blipFill>
                    <a:blip r:embed="rId8" cstate="print">
                      <a:extLst>
                        <a:ext uri="{28A0092B-C50C-407E-A947-70E740481C1C}">
                          <a14:useLocalDpi xmlns:a14="http://schemas.microsoft.com/office/drawing/2010/main" val="0"/>
                        </a:ext>
                      </a:extLst>
                    </a:blip>
                    <a:srcRect b="5954"/>
                    <a:stretch>
                      <a:fillRect/>
                    </a:stretch>
                  </pic:blipFill>
                  <pic:spPr bwMode="auto">
                    <a:xfrm>
                      <a:off x="0" y="0"/>
                      <a:ext cx="7840980" cy="9133205"/>
                    </a:xfrm>
                    <a:prstGeom prst="rect">
                      <a:avLst/>
                    </a:prstGeom>
                    <a:noFill/>
                    <a:ln>
                      <a:noFill/>
                    </a:ln>
                  </pic:spPr>
                </pic:pic>
              </a:graphicData>
            </a:graphic>
          </wp:anchor>
        </w:drawing>
      </w:r>
      <w:r w:rsidR="008E1F16" w:rsidRPr="009710B6">
        <w:t xml:space="preserve"> </w:t>
      </w:r>
    </w:p>
    <w:p w14:paraId="5C8944F2" w14:textId="77777777" w:rsidR="008E1F16" w:rsidRPr="009710B6" w:rsidRDefault="008E1F16" w:rsidP="00D120F2">
      <w:pPr>
        <w:pStyle w:val="Footer"/>
        <w:jc w:val="both"/>
      </w:pPr>
    </w:p>
    <w:p w14:paraId="1926D820" w14:textId="77777777" w:rsidR="008E1F16" w:rsidRPr="009710B6" w:rsidRDefault="008E1F16" w:rsidP="00D120F2">
      <w:pPr>
        <w:pStyle w:val="Footer"/>
        <w:jc w:val="both"/>
      </w:pPr>
    </w:p>
    <w:p w14:paraId="023DFFCC" w14:textId="77777777" w:rsidR="008E1F16" w:rsidRPr="009710B6" w:rsidRDefault="008E1F16" w:rsidP="00D120F2">
      <w:pPr>
        <w:pStyle w:val="Footer"/>
        <w:jc w:val="both"/>
      </w:pPr>
    </w:p>
    <w:p w14:paraId="1F8AE31E" w14:textId="77777777" w:rsidR="008E1F16" w:rsidRPr="009710B6" w:rsidRDefault="008E1F16" w:rsidP="00D120F2">
      <w:pPr>
        <w:pStyle w:val="Footer"/>
        <w:jc w:val="both"/>
      </w:pPr>
    </w:p>
    <w:p w14:paraId="2E37BD9C" w14:textId="77777777" w:rsidR="008E1F16" w:rsidRPr="009710B6" w:rsidRDefault="008E1F16" w:rsidP="00D120F2">
      <w:pPr>
        <w:pStyle w:val="Footer"/>
        <w:jc w:val="both"/>
      </w:pPr>
    </w:p>
    <w:p w14:paraId="2B71CDA2" w14:textId="77777777" w:rsidR="008E1F16" w:rsidRPr="009710B6" w:rsidRDefault="008E1F16" w:rsidP="00D120F2">
      <w:pPr>
        <w:pStyle w:val="Footer"/>
        <w:jc w:val="both"/>
      </w:pPr>
    </w:p>
    <w:p w14:paraId="47EA9006" w14:textId="22F33FA8" w:rsidR="005066EF" w:rsidRDefault="00A47010" w:rsidP="00510BF6">
      <w:pPr>
        <w:pStyle w:val="Heading1"/>
        <w:rPr>
          <w:lang w:val="en-US"/>
        </w:rPr>
      </w:pPr>
      <w:bookmarkStart w:id="0" w:name="_Toc164171909"/>
      <w:r>
        <w:rPr>
          <w:noProof/>
          <w:lang w:val="fr-BE" w:eastAsia="fr-BE"/>
        </w:rPr>
        <mc:AlternateContent>
          <mc:Choice Requires="wps">
            <w:drawing>
              <wp:anchor distT="0" distB="0" distL="114300" distR="114300" simplePos="0" relativeHeight="251664384" behindDoc="0" locked="0" layoutInCell="1" allowOverlap="1" wp14:anchorId="68DDE79F" wp14:editId="240BA591">
                <wp:simplePos x="0" y="0"/>
                <wp:positionH relativeFrom="column">
                  <wp:posOffset>-310515</wp:posOffset>
                </wp:positionH>
                <wp:positionV relativeFrom="paragraph">
                  <wp:posOffset>6998335</wp:posOffset>
                </wp:positionV>
                <wp:extent cx="6858000" cy="4572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4311" w14:textId="77777777" w:rsidR="00A47010" w:rsidRPr="007E1B1F" w:rsidRDefault="00A47010" w:rsidP="00A47010">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lang w:val="fr-BE"/>
                              </w:rPr>
                            </w:pPr>
                            <w:r w:rsidRPr="007A60C9">
                              <w:rPr>
                                <w:sz w:val="20"/>
                              </w:rPr>
                              <w:tab/>
                            </w:r>
                            <w:r w:rsidRPr="007E1B1F">
                              <w:rPr>
                                <w:rFonts w:cs="Arial"/>
                                <w:sz w:val="20"/>
                                <w:lang w:val="fr-BE"/>
                              </w:rPr>
                              <w:t xml:space="preserve">Avenue des Arts 7-8, </w:t>
                            </w:r>
                            <w:r w:rsidRPr="007E1B1F">
                              <w:rPr>
                                <w:rFonts w:cs="Arial"/>
                                <w:sz w:val="20"/>
                                <w:lang w:val="fr-BE"/>
                              </w:rPr>
                              <w:tab/>
                            </w:r>
                            <w:r w:rsidRPr="007E1B1F">
                              <w:rPr>
                                <w:rFonts w:cs="Arial"/>
                                <w:b/>
                                <w:color w:val="007AB7"/>
                                <w:sz w:val="20"/>
                                <w:lang w:val="fr-BE"/>
                              </w:rPr>
                              <w:t>tel</w:t>
                            </w:r>
                            <w:r w:rsidRPr="007E1B1F">
                              <w:rPr>
                                <w:rFonts w:cs="Arial"/>
                                <w:sz w:val="20"/>
                                <w:lang w:val="fr-BE"/>
                              </w:rPr>
                              <w:t xml:space="preserve"> +32 2 282 46 00</w:t>
                            </w:r>
                            <w:r w:rsidRPr="007E1B1F">
                              <w:rPr>
                                <w:rFonts w:cs="Arial"/>
                                <w:sz w:val="20"/>
                                <w:lang w:val="fr-BE"/>
                              </w:rPr>
                              <w:tab/>
                            </w:r>
                            <w:hyperlink r:id="rId9" w:history="1">
                              <w:r w:rsidRPr="007E1B1F">
                                <w:rPr>
                                  <w:rStyle w:val="Hyperlink"/>
                                  <w:rFonts w:cs="Arial"/>
                                  <w:color w:val="auto"/>
                                  <w:sz w:val="20"/>
                                  <w:lang w:val="fr-BE"/>
                                </w:rPr>
                                <w:t>info@edf-feph.og</w:t>
                              </w:r>
                            </w:hyperlink>
                          </w:p>
                          <w:p w14:paraId="2DE7BA2B"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r w:rsidRPr="007E1B1F">
                              <w:rPr>
                                <w:rFonts w:cs="Arial"/>
                                <w:sz w:val="20"/>
                                <w:lang w:val="fr-BE"/>
                              </w:rPr>
                              <w:tab/>
                            </w:r>
                            <w:r w:rsidRPr="00DA2918">
                              <w:rPr>
                                <w:rFonts w:cs="Arial"/>
                                <w:sz w:val="20"/>
                              </w:rPr>
                              <w:t>1</w:t>
                            </w:r>
                            <w:r>
                              <w:rPr>
                                <w:rFonts w:cs="Arial"/>
                                <w:sz w:val="20"/>
                              </w:rPr>
                              <w:t>21</w:t>
                            </w:r>
                            <w:r w:rsidRPr="00DA2918">
                              <w:rPr>
                                <w:rFonts w:cs="Arial"/>
                                <w:sz w:val="20"/>
                              </w:rPr>
                              <w:t>0 Brussels - Belgium</w:t>
                            </w:r>
                            <w:r w:rsidRPr="00DA2918">
                              <w:rPr>
                                <w:rFonts w:cs="Arial"/>
                                <w:sz w:val="20"/>
                              </w:rPr>
                              <w:tab/>
                            </w:r>
                            <w:r w:rsidRPr="00DA2918">
                              <w:rPr>
                                <w:rFonts w:cs="Arial"/>
                                <w:b/>
                                <w:color w:val="007AB7"/>
                                <w:sz w:val="20"/>
                              </w:rPr>
                              <w:t>fax</w:t>
                            </w:r>
                            <w:r w:rsidRPr="00DA2918">
                              <w:rPr>
                                <w:rFonts w:cs="Arial"/>
                                <w:sz w:val="20"/>
                              </w:rPr>
                              <w:t xml:space="preserve"> +32 2 282 46 09</w:t>
                            </w:r>
                            <w:r w:rsidRPr="00DA2918">
                              <w:rPr>
                                <w:rFonts w:cs="Arial"/>
                                <w:sz w:val="20"/>
                              </w:rPr>
                              <w:tab/>
                            </w:r>
                            <w:hyperlink r:id="rId10" w:history="1">
                              <w:r w:rsidRPr="0041231C">
                                <w:rPr>
                                  <w:rStyle w:val="Hyperlink"/>
                                  <w:rFonts w:cs="Arial"/>
                                  <w:color w:val="auto"/>
                                  <w:sz w:val="20"/>
                                </w:rPr>
                                <w:t>www.edf-feph.org</w:t>
                              </w:r>
                            </w:hyperlink>
                          </w:p>
                          <w:p w14:paraId="2DDDD90A"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32DC312C"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445724F9"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5E3242F1"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493EF343" w14:textId="77777777" w:rsidR="00A47010" w:rsidRPr="00DA2918" w:rsidRDefault="00A47010" w:rsidP="00A47010">
                            <w:pPr>
                              <w:pStyle w:val="Footer"/>
                              <w:tabs>
                                <w:tab w:val="left" w:pos="1440"/>
                                <w:tab w:val="left" w:pos="4320"/>
                                <w:tab w:val="center" w:pos="5310"/>
                                <w:tab w:val="left" w:pos="6930"/>
                                <w:tab w:val="left" w:pos="7650"/>
                                <w:tab w:val="right" w:pos="7740"/>
                              </w:tabs>
                              <w:rPr>
                                <w:rFonts w:cs="Arial"/>
                                <w:b/>
                                <w:color w:val="FF0000"/>
                                <w:sz w:val="20"/>
                              </w:rPr>
                            </w:pPr>
                          </w:p>
                          <w:p w14:paraId="0F0737C5" w14:textId="77777777" w:rsidR="00A47010" w:rsidRDefault="00A47010" w:rsidP="00A47010">
                            <w:pPr>
                              <w:tabs>
                                <w:tab w:val="left" w:pos="1440"/>
                                <w:tab w:val="left" w:pos="2160"/>
                                <w:tab w:val="left" w:pos="3960"/>
                                <w:tab w:val="center" w:pos="5310"/>
                                <w:tab w:val="left" w:pos="675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DE79F" id="_x0000_t202" coordsize="21600,21600" o:spt="202" path="m,l,21600r21600,l21600,xe">
                <v:stroke joinstyle="miter"/>
                <v:path gradientshapeok="t" o:connecttype="rect"/>
              </v:shapetype>
              <v:shape id="Text Box 11" o:spid="_x0000_s1026" type="#_x0000_t202" style="position:absolute;margin-left:-24.45pt;margin-top:551.05pt;width:540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" filled="f" stroked="f">
                <v:textbox>
                  <w:txbxContent>
                    <w:p w14:paraId="43264311" w14:textId="77777777" w:rsidR="00A47010" w:rsidRPr="007E1B1F" w:rsidRDefault="00A47010" w:rsidP="00A47010">
                      <w:pPr>
                        <w:pStyle w:val="Footer"/>
                        <w:pBdr>
                          <w:left w:val="single" w:sz="2" w:space="31" w:color="000000"/>
                        </w:pBdr>
                        <w:tabs>
                          <w:tab w:val="left" w:pos="1440"/>
                          <w:tab w:val="left" w:pos="4320"/>
                          <w:tab w:val="center" w:pos="5310"/>
                          <w:tab w:val="left" w:pos="6930"/>
                          <w:tab w:val="left" w:pos="7650"/>
                          <w:tab w:val="right" w:pos="7740"/>
                        </w:tabs>
                        <w:ind w:left="-787"/>
                        <w:rPr>
                          <w:rFonts w:cs="Arial"/>
                          <w:sz w:val="20"/>
                          <w:lang w:val="fr-BE"/>
                        </w:rPr>
                      </w:pPr>
                      <w:r w:rsidRPr="007A60C9">
                        <w:rPr>
                          <w:sz w:val="20"/>
                        </w:rPr>
                        <w:tab/>
                      </w:r>
                      <w:r w:rsidRPr="007E1B1F">
                        <w:rPr>
                          <w:rFonts w:cs="Arial"/>
                          <w:sz w:val="20"/>
                          <w:lang w:val="fr-BE"/>
                        </w:rPr>
                        <w:t xml:space="preserve">Avenue des Arts 7-8, </w:t>
                      </w:r>
                      <w:r w:rsidRPr="007E1B1F">
                        <w:rPr>
                          <w:rFonts w:cs="Arial"/>
                          <w:sz w:val="20"/>
                          <w:lang w:val="fr-BE"/>
                        </w:rPr>
                        <w:tab/>
                      </w:r>
                      <w:r w:rsidRPr="007E1B1F">
                        <w:rPr>
                          <w:rFonts w:cs="Arial"/>
                          <w:b/>
                          <w:color w:val="007AB7"/>
                          <w:sz w:val="20"/>
                          <w:lang w:val="fr-BE"/>
                        </w:rPr>
                        <w:t>tel</w:t>
                      </w:r>
                      <w:r w:rsidRPr="007E1B1F">
                        <w:rPr>
                          <w:rFonts w:cs="Arial"/>
                          <w:sz w:val="20"/>
                          <w:lang w:val="fr-BE"/>
                        </w:rPr>
                        <w:t xml:space="preserve"> +32 2 282 46 00</w:t>
                      </w:r>
                      <w:r w:rsidRPr="007E1B1F">
                        <w:rPr>
                          <w:rFonts w:cs="Arial"/>
                          <w:sz w:val="20"/>
                          <w:lang w:val="fr-BE"/>
                        </w:rPr>
                        <w:tab/>
                      </w:r>
                      <w:hyperlink r:id="rId11" w:history="1">
                        <w:r w:rsidRPr="007E1B1F">
                          <w:rPr>
                            <w:rStyle w:val="Hyperlink"/>
                            <w:rFonts w:cs="Arial"/>
                            <w:color w:val="auto"/>
                            <w:sz w:val="20"/>
                            <w:lang w:val="fr-BE"/>
                          </w:rPr>
                          <w:t>info@edf-feph.og</w:t>
                        </w:r>
                      </w:hyperlink>
                    </w:p>
                    <w:p w14:paraId="2DE7BA2B"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r w:rsidRPr="007E1B1F">
                        <w:rPr>
                          <w:rFonts w:cs="Arial"/>
                          <w:sz w:val="20"/>
                          <w:lang w:val="fr-BE"/>
                        </w:rPr>
                        <w:tab/>
                      </w:r>
                      <w:r w:rsidRPr="00DA2918">
                        <w:rPr>
                          <w:rFonts w:cs="Arial"/>
                          <w:sz w:val="20"/>
                        </w:rPr>
                        <w:t>1</w:t>
                      </w:r>
                      <w:r>
                        <w:rPr>
                          <w:rFonts w:cs="Arial"/>
                          <w:sz w:val="20"/>
                        </w:rPr>
                        <w:t>21</w:t>
                      </w:r>
                      <w:r w:rsidRPr="00DA2918">
                        <w:rPr>
                          <w:rFonts w:cs="Arial"/>
                          <w:sz w:val="20"/>
                        </w:rPr>
                        <w:t>0 Brussels - Belgium</w:t>
                      </w:r>
                      <w:r w:rsidRPr="00DA2918">
                        <w:rPr>
                          <w:rFonts w:cs="Arial"/>
                          <w:sz w:val="20"/>
                        </w:rPr>
                        <w:tab/>
                      </w:r>
                      <w:r w:rsidRPr="00DA2918">
                        <w:rPr>
                          <w:rFonts w:cs="Arial"/>
                          <w:b/>
                          <w:color w:val="007AB7"/>
                          <w:sz w:val="20"/>
                        </w:rPr>
                        <w:t>fax</w:t>
                      </w:r>
                      <w:r w:rsidRPr="00DA2918">
                        <w:rPr>
                          <w:rFonts w:cs="Arial"/>
                          <w:sz w:val="20"/>
                        </w:rPr>
                        <w:t xml:space="preserve"> +32 2 282 46 09</w:t>
                      </w:r>
                      <w:r w:rsidRPr="00DA2918">
                        <w:rPr>
                          <w:rFonts w:cs="Arial"/>
                          <w:sz w:val="20"/>
                        </w:rPr>
                        <w:tab/>
                      </w:r>
                      <w:hyperlink r:id="rId12" w:history="1">
                        <w:r w:rsidRPr="0041231C">
                          <w:rPr>
                            <w:rStyle w:val="Hyperlink"/>
                            <w:rFonts w:cs="Arial"/>
                            <w:color w:val="auto"/>
                            <w:sz w:val="20"/>
                          </w:rPr>
                          <w:t>www.edf-feph.org</w:t>
                        </w:r>
                      </w:hyperlink>
                    </w:p>
                    <w:p w14:paraId="2DDDD90A"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32DC312C"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445724F9"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5E3242F1" w14:textId="77777777" w:rsidR="00A47010" w:rsidRDefault="00A47010" w:rsidP="00A47010">
                      <w:pPr>
                        <w:pStyle w:val="Footer"/>
                        <w:tabs>
                          <w:tab w:val="left" w:pos="1440"/>
                          <w:tab w:val="left" w:pos="4320"/>
                          <w:tab w:val="center" w:pos="5310"/>
                          <w:tab w:val="left" w:pos="6930"/>
                          <w:tab w:val="left" w:pos="7650"/>
                          <w:tab w:val="right" w:pos="7740"/>
                        </w:tabs>
                        <w:rPr>
                          <w:rStyle w:val="Hyperlink"/>
                          <w:rFonts w:cs="Arial"/>
                          <w:b/>
                          <w:color w:val="auto"/>
                          <w:sz w:val="20"/>
                        </w:rPr>
                      </w:pPr>
                    </w:p>
                    <w:p w14:paraId="493EF343" w14:textId="77777777" w:rsidR="00A47010" w:rsidRPr="00DA2918" w:rsidRDefault="00A47010" w:rsidP="00A47010">
                      <w:pPr>
                        <w:pStyle w:val="Footer"/>
                        <w:tabs>
                          <w:tab w:val="left" w:pos="1440"/>
                          <w:tab w:val="left" w:pos="4320"/>
                          <w:tab w:val="center" w:pos="5310"/>
                          <w:tab w:val="left" w:pos="6930"/>
                          <w:tab w:val="left" w:pos="7650"/>
                          <w:tab w:val="right" w:pos="7740"/>
                        </w:tabs>
                        <w:rPr>
                          <w:rFonts w:cs="Arial"/>
                          <w:b/>
                          <w:color w:val="FF0000"/>
                          <w:sz w:val="20"/>
                        </w:rPr>
                      </w:pPr>
                    </w:p>
                    <w:p w14:paraId="0F0737C5" w14:textId="77777777" w:rsidR="00A47010" w:rsidRDefault="00A47010" w:rsidP="00A47010">
                      <w:pPr>
                        <w:tabs>
                          <w:tab w:val="left" w:pos="1440"/>
                          <w:tab w:val="left" w:pos="2160"/>
                          <w:tab w:val="left" w:pos="3960"/>
                          <w:tab w:val="center" w:pos="5310"/>
                          <w:tab w:val="left" w:pos="6750"/>
                        </w:tabs>
                      </w:pPr>
                    </w:p>
                  </w:txbxContent>
                </v:textbox>
              </v:shape>
            </w:pict>
          </mc:Fallback>
        </mc:AlternateContent>
      </w:r>
      <w:r>
        <w:rPr>
          <w:noProof/>
          <w:lang w:val="fr-BE" w:eastAsia="fr-BE"/>
        </w:rPr>
        <mc:AlternateContent>
          <mc:Choice Requires="wps">
            <w:drawing>
              <wp:anchor distT="0" distB="0" distL="114300" distR="114300" simplePos="0" relativeHeight="251660288" behindDoc="0" locked="0" layoutInCell="1" allowOverlap="1" wp14:anchorId="34A0EC22" wp14:editId="76E41784">
                <wp:simplePos x="0" y="0"/>
                <wp:positionH relativeFrom="column">
                  <wp:posOffset>-401113</wp:posOffset>
                </wp:positionH>
                <wp:positionV relativeFrom="paragraph">
                  <wp:posOffset>1818774</wp:posOffset>
                </wp:positionV>
                <wp:extent cx="7136130" cy="3540642"/>
                <wp:effectExtent l="0" t="0" r="0" b="317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6130" cy="3540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3551" w14:textId="2E9A6391" w:rsidR="00D7792D" w:rsidRDefault="00F853A9" w:rsidP="00510BF6">
                            <w:pPr>
                              <w:pStyle w:val="Title"/>
                              <w:rPr>
                                <w:sz w:val="72"/>
                                <w:szCs w:val="44"/>
                              </w:rPr>
                            </w:pPr>
                            <w:r w:rsidRPr="00A47010">
                              <w:rPr>
                                <w:sz w:val="72"/>
                                <w:szCs w:val="44"/>
                              </w:rPr>
                              <w:t xml:space="preserve">EDF proposed </w:t>
                            </w:r>
                            <w:r w:rsidR="00A47010" w:rsidRPr="00A47010">
                              <w:rPr>
                                <w:sz w:val="72"/>
                                <w:szCs w:val="44"/>
                              </w:rPr>
                              <w:t>amendments to the Proposal of a Regulation on Multimodal Passenger Rights</w:t>
                            </w:r>
                          </w:p>
                          <w:p w14:paraId="2BE536CD" w14:textId="26743FA9" w:rsidR="00A47010" w:rsidRPr="00A47010" w:rsidRDefault="00A47010" w:rsidP="00A47010">
                            <w:pPr>
                              <w:jc w:val="center"/>
                              <w:rPr>
                                <w:color w:val="FFFFFF" w:themeColor="background1"/>
                                <w:sz w:val="28"/>
                                <w:szCs w:val="28"/>
                              </w:rPr>
                            </w:pPr>
                            <w:r w:rsidRPr="00A47010">
                              <w:rPr>
                                <w:color w:val="FFFFFF" w:themeColor="background1"/>
                                <w:sz w:val="28"/>
                                <w:szCs w:val="28"/>
                              </w:rPr>
                              <w:t>Proposal for a</w:t>
                            </w:r>
                          </w:p>
                          <w:p w14:paraId="67B3E9AB" w14:textId="04810EB7" w:rsidR="00A47010" w:rsidRPr="00A47010" w:rsidRDefault="00A47010" w:rsidP="00A47010">
                            <w:pPr>
                              <w:jc w:val="center"/>
                              <w:rPr>
                                <w:color w:val="FFFFFF" w:themeColor="background1"/>
                                <w:sz w:val="28"/>
                                <w:szCs w:val="28"/>
                              </w:rPr>
                            </w:pPr>
                            <w:r w:rsidRPr="00A47010">
                              <w:rPr>
                                <w:color w:val="FFFFFF" w:themeColor="background1"/>
                                <w:sz w:val="28"/>
                                <w:szCs w:val="28"/>
                              </w:rPr>
                              <w:t>REGULATION OF THE EUROPEAN PARLIAMENT AND OF THE COUNCIL</w:t>
                            </w:r>
                          </w:p>
                          <w:p w14:paraId="3F63FB01" w14:textId="7C1837FC" w:rsidR="00A47010" w:rsidRPr="00A47010" w:rsidRDefault="00A47010" w:rsidP="00A47010">
                            <w:pPr>
                              <w:jc w:val="center"/>
                              <w:rPr>
                                <w:color w:val="FFFFFF" w:themeColor="background1"/>
                                <w:sz w:val="28"/>
                                <w:szCs w:val="28"/>
                              </w:rPr>
                            </w:pPr>
                            <w:r w:rsidRPr="00A47010">
                              <w:rPr>
                                <w:color w:val="FFFFFF" w:themeColor="background1"/>
                                <w:sz w:val="28"/>
                                <w:szCs w:val="28"/>
                              </w:rPr>
                              <w:t>on passenger rights in the context of multimodal journeys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0EC22" id="Text Box 14" o:spid="_x0000_s1027" type="#_x0000_t202" style="position:absolute;margin-left:-31.6pt;margin-top:143.2pt;width:561.9pt;height:27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" filled="f" stroked="f">
                <v:textbox>
                  <w:txbxContent>
                    <w:p w14:paraId="13B13551" w14:textId="2E9A6391" w:rsidR="00D7792D" w:rsidRDefault="00F853A9" w:rsidP="00510BF6">
                      <w:pPr>
                        <w:pStyle w:val="Title"/>
                        <w:rPr>
                          <w:sz w:val="72"/>
                          <w:szCs w:val="44"/>
                        </w:rPr>
                      </w:pPr>
                      <w:r w:rsidRPr="00A47010">
                        <w:rPr>
                          <w:sz w:val="72"/>
                          <w:szCs w:val="44"/>
                        </w:rPr>
                        <w:t xml:space="preserve">EDF proposed </w:t>
                      </w:r>
                      <w:r w:rsidR="00A47010" w:rsidRPr="00A47010">
                        <w:rPr>
                          <w:sz w:val="72"/>
                          <w:szCs w:val="44"/>
                        </w:rPr>
                        <w:t>amendments to the Proposal of a Regulation on Multimodal Passenger Rights</w:t>
                      </w:r>
                    </w:p>
                    <w:p w14:paraId="2BE536CD" w14:textId="26743FA9" w:rsidR="00A47010" w:rsidRPr="00A47010" w:rsidRDefault="00A47010" w:rsidP="00A47010">
                      <w:pPr>
                        <w:jc w:val="center"/>
                        <w:rPr>
                          <w:color w:val="FFFFFF" w:themeColor="background1"/>
                          <w:sz w:val="28"/>
                          <w:szCs w:val="28"/>
                        </w:rPr>
                      </w:pPr>
                      <w:r w:rsidRPr="00A47010">
                        <w:rPr>
                          <w:color w:val="FFFFFF" w:themeColor="background1"/>
                          <w:sz w:val="28"/>
                          <w:szCs w:val="28"/>
                        </w:rPr>
                        <w:t>Proposal for a</w:t>
                      </w:r>
                    </w:p>
                    <w:p w14:paraId="67B3E9AB" w14:textId="04810EB7" w:rsidR="00A47010" w:rsidRPr="00A47010" w:rsidRDefault="00A47010" w:rsidP="00A47010">
                      <w:pPr>
                        <w:jc w:val="center"/>
                        <w:rPr>
                          <w:color w:val="FFFFFF" w:themeColor="background1"/>
                          <w:sz w:val="28"/>
                          <w:szCs w:val="28"/>
                        </w:rPr>
                      </w:pPr>
                      <w:r w:rsidRPr="00A47010">
                        <w:rPr>
                          <w:color w:val="FFFFFF" w:themeColor="background1"/>
                          <w:sz w:val="28"/>
                          <w:szCs w:val="28"/>
                        </w:rPr>
                        <w:t>REGULATION OF THE EUROPEAN PARLIAMENT AND OF THE COUNCIL</w:t>
                      </w:r>
                    </w:p>
                    <w:p w14:paraId="3F63FB01" w14:textId="7C1837FC" w:rsidR="00A47010" w:rsidRPr="00A47010" w:rsidRDefault="00A47010" w:rsidP="00A47010">
                      <w:pPr>
                        <w:jc w:val="center"/>
                        <w:rPr>
                          <w:color w:val="FFFFFF" w:themeColor="background1"/>
                          <w:sz w:val="28"/>
                          <w:szCs w:val="28"/>
                        </w:rPr>
                      </w:pPr>
                      <w:r w:rsidRPr="00A47010">
                        <w:rPr>
                          <w:color w:val="FFFFFF" w:themeColor="background1"/>
                          <w:sz w:val="28"/>
                          <w:szCs w:val="28"/>
                        </w:rPr>
                        <w:t>on passenger rights in the context of multimodal journeys</w:t>
                      </w:r>
                    </w:p>
                  </w:txbxContent>
                </v:textbox>
              </v:shape>
            </w:pict>
          </mc:Fallback>
        </mc:AlternateContent>
      </w:r>
      <w:r w:rsidR="0030679B">
        <w:rPr>
          <w:noProof/>
          <w:lang w:val="fr-BE" w:eastAsia="fr-BE"/>
        </w:rPr>
        <mc:AlternateContent>
          <mc:Choice Requires="wps">
            <w:drawing>
              <wp:anchor distT="0" distB="0" distL="114300" distR="114300" simplePos="0" relativeHeight="251659264" behindDoc="0" locked="0" layoutInCell="1" allowOverlap="1" wp14:anchorId="0764A029" wp14:editId="2327DFE0">
                <wp:simplePos x="0" y="0"/>
                <wp:positionH relativeFrom="column">
                  <wp:posOffset>-461645</wp:posOffset>
                </wp:positionH>
                <wp:positionV relativeFrom="paragraph">
                  <wp:posOffset>6063689</wp:posOffset>
                </wp:positionV>
                <wp:extent cx="1997710" cy="36576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71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EBFC4" w14:textId="7891DE69" w:rsidR="00D7792D" w:rsidRPr="00DA2918" w:rsidRDefault="00F853A9" w:rsidP="00510BF6">
                            <w:pPr>
                              <w:pStyle w:val="Subtitle"/>
                            </w:pPr>
                            <w:r>
                              <w:t xml:space="preserve"> </w:t>
                            </w:r>
                            <w:r w:rsidR="00A47010">
                              <w:t>February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4A029" id="Text Box 13" o:spid="_x0000_s1028" type="#_x0000_t202" style="position:absolute;margin-left:-36.35pt;margin-top:477.45pt;width:157.3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" fillcolor="red" stroked="f">
                <v:textbox>
                  <w:txbxContent>
                    <w:p w14:paraId="3D0EBFC4" w14:textId="7891DE69" w:rsidR="00D7792D" w:rsidRPr="00DA2918" w:rsidRDefault="00F853A9" w:rsidP="00510BF6">
                      <w:pPr>
                        <w:pStyle w:val="Subtitle"/>
                      </w:pPr>
                      <w:r>
                        <w:t xml:space="preserve"> </w:t>
                      </w:r>
                      <w:r w:rsidR="00A47010">
                        <w:t>February 2024</w:t>
                      </w:r>
                    </w:p>
                  </w:txbxContent>
                </v:textbox>
              </v:shape>
            </w:pict>
          </mc:Fallback>
        </mc:AlternateContent>
      </w:r>
      <w:bookmarkEnd w:id="0"/>
      <w:r w:rsidR="008E1F16" w:rsidRPr="00721C13">
        <w:rPr>
          <w:lang w:val="en-US"/>
        </w:rPr>
        <w:br w:type="page"/>
      </w:r>
    </w:p>
    <w:bookmarkStart w:id="1" w:name="_Toc164171910" w:displacedByCustomXml="next"/>
    <w:sdt>
      <w:sdtPr>
        <w:rPr>
          <w:rFonts w:eastAsia="Times New Roman" w:cs="Times New Roman"/>
          <w:b w:val="0"/>
          <w:bCs w:val="0"/>
          <w:color w:val="auto"/>
          <w:sz w:val="24"/>
          <w:szCs w:val="24"/>
        </w:rPr>
        <w:id w:val="733288961"/>
        <w:docPartObj>
          <w:docPartGallery w:val="Table of Contents"/>
          <w:docPartUnique/>
        </w:docPartObj>
      </w:sdtPr>
      <w:sdtEndPr>
        <w:rPr>
          <w:noProof/>
        </w:rPr>
      </w:sdtEndPr>
      <w:sdtContent>
        <w:p w14:paraId="0CA41DA9" w14:textId="77777777" w:rsidR="005066EF" w:rsidRPr="005066EF" w:rsidRDefault="005066EF" w:rsidP="005066EF">
          <w:pPr>
            <w:pStyle w:val="Heading2"/>
            <w:rPr>
              <w:rFonts w:cs="Arial"/>
            </w:rPr>
          </w:pPr>
          <w:r>
            <w:t>Table of contents</w:t>
          </w:r>
          <w:bookmarkEnd w:id="1"/>
        </w:p>
        <w:p w14:paraId="74C765DB" w14:textId="0BA2BFCC" w:rsidR="004D13BF" w:rsidRDefault="00B07EFB">
          <w:pPr>
            <w:pStyle w:val="TOC1"/>
            <w:tabs>
              <w:tab w:val="right" w:leader="dot" w:pos="9962"/>
            </w:tabs>
            <w:rPr>
              <w:rFonts w:asciiTheme="minorHAnsi" w:eastAsiaTheme="minorEastAsia" w:hAnsiTheme="minorHAnsi" w:cstheme="minorBidi"/>
              <w:noProof/>
              <w:kern w:val="2"/>
              <w:lang w:val="fr-BE" w:eastAsia="fr-BE"/>
              <w14:ligatures w14:val="standardContextual"/>
            </w:rPr>
          </w:pPr>
          <w:r>
            <w:fldChar w:fldCharType="begin"/>
          </w:r>
          <w:r w:rsidR="005066EF">
            <w:instrText xml:space="preserve"> TOC \o "1-3" \h \z \u </w:instrText>
          </w:r>
          <w:r>
            <w:fldChar w:fldCharType="separate"/>
          </w:r>
          <w:hyperlink w:anchor="_Toc164171909" w:history="1">
            <w:r w:rsidR="004D13BF">
              <w:rPr>
                <w:noProof/>
                <w:webHidden/>
              </w:rPr>
              <w:tab/>
            </w:r>
            <w:r w:rsidR="004D13BF">
              <w:rPr>
                <w:noProof/>
                <w:webHidden/>
              </w:rPr>
              <w:fldChar w:fldCharType="begin"/>
            </w:r>
            <w:r w:rsidR="004D13BF">
              <w:rPr>
                <w:noProof/>
                <w:webHidden/>
              </w:rPr>
              <w:instrText xml:space="preserve"> PAGEREF _Toc164171909 \h </w:instrText>
            </w:r>
            <w:r w:rsidR="004D13BF">
              <w:rPr>
                <w:noProof/>
                <w:webHidden/>
              </w:rPr>
            </w:r>
            <w:r w:rsidR="004D13BF">
              <w:rPr>
                <w:noProof/>
                <w:webHidden/>
              </w:rPr>
              <w:fldChar w:fldCharType="separate"/>
            </w:r>
            <w:r w:rsidR="004D13BF">
              <w:rPr>
                <w:noProof/>
                <w:webHidden/>
              </w:rPr>
              <w:t>1</w:t>
            </w:r>
            <w:r w:rsidR="004D13BF">
              <w:rPr>
                <w:noProof/>
                <w:webHidden/>
              </w:rPr>
              <w:fldChar w:fldCharType="end"/>
            </w:r>
          </w:hyperlink>
        </w:p>
        <w:p w14:paraId="209B6EE8" w14:textId="117C05EC"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0" w:history="1">
            <w:r w:rsidRPr="005A0D97">
              <w:rPr>
                <w:rStyle w:val="Hyperlink"/>
                <w:noProof/>
              </w:rPr>
              <w:t>Table of contents</w:t>
            </w:r>
            <w:r>
              <w:rPr>
                <w:noProof/>
                <w:webHidden/>
              </w:rPr>
              <w:tab/>
            </w:r>
            <w:r>
              <w:rPr>
                <w:noProof/>
                <w:webHidden/>
              </w:rPr>
              <w:fldChar w:fldCharType="begin"/>
            </w:r>
            <w:r>
              <w:rPr>
                <w:noProof/>
                <w:webHidden/>
              </w:rPr>
              <w:instrText xml:space="preserve"> PAGEREF _Toc164171910 \h </w:instrText>
            </w:r>
            <w:r>
              <w:rPr>
                <w:noProof/>
                <w:webHidden/>
              </w:rPr>
            </w:r>
            <w:r>
              <w:rPr>
                <w:noProof/>
                <w:webHidden/>
              </w:rPr>
              <w:fldChar w:fldCharType="separate"/>
            </w:r>
            <w:r>
              <w:rPr>
                <w:noProof/>
                <w:webHidden/>
              </w:rPr>
              <w:t>2</w:t>
            </w:r>
            <w:r>
              <w:rPr>
                <w:noProof/>
                <w:webHidden/>
              </w:rPr>
              <w:fldChar w:fldCharType="end"/>
            </w:r>
          </w:hyperlink>
        </w:p>
        <w:p w14:paraId="05FA86F0" w14:textId="5D377381" w:rsidR="004D13BF" w:rsidRDefault="004D13BF">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911" w:history="1">
            <w:r w:rsidRPr="005A0D97">
              <w:rPr>
                <w:rStyle w:val="Hyperlink"/>
                <w:noProof/>
              </w:rPr>
              <w:t>EDF proposed amendments</w:t>
            </w:r>
            <w:r>
              <w:rPr>
                <w:noProof/>
                <w:webHidden/>
              </w:rPr>
              <w:tab/>
            </w:r>
            <w:r>
              <w:rPr>
                <w:noProof/>
                <w:webHidden/>
              </w:rPr>
              <w:fldChar w:fldCharType="begin"/>
            </w:r>
            <w:r>
              <w:rPr>
                <w:noProof/>
                <w:webHidden/>
              </w:rPr>
              <w:instrText xml:space="preserve"> PAGEREF _Toc164171911 \h </w:instrText>
            </w:r>
            <w:r>
              <w:rPr>
                <w:noProof/>
                <w:webHidden/>
              </w:rPr>
            </w:r>
            <w:r>
              <w:rPr>
                <w:noProof/>
                <w:webHidden/>
              </w:rPr>
              <w:fldChar w:fldCharType="separate"/>
            </w:r>
            <w:r>
              <w:rPr>
                <w:noProof/>
                <w:webHidden/>
              </w:rPr>
              <w:t>3</w:t>
            </w:r>
            <w:r>
              <w:rPr>
                <w:noProof/>
                <w:webHidden/>
              </w:rPr>
              <w:fldChar w:fldCharType="end"/>
            </w:r>
          </w:hyperlink>
        </w:p>
        <w:p w14:paraId="771751B1" w14:textId="319B2355"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2" w:history="1">
            <w:r w:rsidRPr="005A0D97">
              <w:rPr>
                <w:rStyle w:val="Hyperlink"/>
                <w:noProof/>
              </w:rPr>
              <w:t>Amendment to recital 15 – United Nation Convention on the Rights of Persons with Disabilities (CRPD)</w:t>
            </w:r>
            <w:r>
              <w:rPr>
                <w:noProof/>
                <w:webHidden/>
              </w:rPr>
              <w:tab/>
            </w:r>
            <w:r>
              <w:rPr>
                <w:noProof/>
                <w:webHidden/>
              </w:rPr>
              <w:fldChar w:fldCharType="begin"/>
            </w:r>
            <w:r>
              <w:rPr>
                <w:noProof/>
                <w:webHidden/>
              </w:rPr>
              <w:instrText xml:space="preserve"> PAGEREF _Toc164171912 \h </w:instrText>
            </w:r>
            <w:r>
              <w:rPr>
                <w:noProof/>
                <w:webHidden/>
              </w:rPr>
            </w:r>
            <w:r>
              <w:rPr>
                <w:noProof/>
                <w:webHidden/>
              </w:rPr>
              <w:fldChar w:fldCharType="separate"/>
            </w:r>
            <w:r>
              <w:rPr>
                <w:noProof/>
                <w:webHidden/>
              </w:rPr>
              <w:t>4</w:t>
            </w:r>
            <w:r>
              <w:rPr>
                <w:noProof/>
                <w:webHidden/>
              </w:rPr>
              <w:fldChar w:fldCharType="end"/>
            </w:r>
          </w:hyperlink>
        </w:p>
        <w:p w14:paraId="54A5EF75" w14:textId="52686DE8"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3" w:history="1">
            <w:r w:rsidRPr="005A0D97">
              <w:rPr>
                <w:rStyle w:val="Hyperlink"/>
                <w:noProof/>
              </w:rPr>
              <w:t>Amendment to Article 5 – Travel information for passengers (paragraphs 6 and 7)</w:t>
            </w:r>
            <w:r>
              <w:rPr>
                <w:noProof/>
                <w:webHidden/>
              </w:rPr>
              <w:tab/>
            </w:r>
            <w:r>
              <w:rPr>
                <w:noProof/>
                <w:webHidden/>
              </w:rPr>
              <w:fldChar w:fldCharType="begin"/>
            </w:r>
            <w:r>
              <w:rPr>
                <w:noProof/>
                <w:webHidden/>
              </w:rPr>
              <w:instrText xml:space="preserve"> PAGEREF _Toc164171913 \h </w:instrText>
            </w:r>
            <w:r>
              <w:rPr>
                <w:noProof/>
                <w:webHidden/>
              </w:rPr>
            </w:r>
            <w:r>
              <w:rPr>
                <w:noProof/>
                <w:webHidden/>
              </w:rPr>
              <w:fldChar w:fldCharType="separate"/>
            </w:r>
            <w:r>
              <w:rPr>
                <w:noProof/>
                <w:webHidden/>
              </w:rPr>
              <w:t>6</w:t>
            </w:r>
            <w:r>
              <w:rPr>
                <w:noProof/>
                <w:webHidden/>
              </w:rPr>
              <w:fldChar w:fldCharType="end"/>
            </w:r>
          </w:hyperlink>
        </w:p>
        <w:p w14:paraId="7CE03497" w14:textId="28BFCC13"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4" w:history="1">
            <w:r w:rsidRPr="005A0D97">
              <w:rPr>
                <w:rStyle w:val="Hyperlink"/>
                <w:noProof/>
              </w:rPr>
              <w:t>Amendment to Article 8 – Reimbursement when single multimodal ticket was booked through intermediary (paragraph 2 and 4)</w:t>
            </w:r>
            <w:r>
              <w:rPr>
                <w:noProof/>
                <w:webHidden/>
              </w:rPr>
              <w:tab/>
            </w:r>
            <w:r>
              <w:rPr>
                <w:noProof/>
                <w:webHidden/>
              </w:rPr>
              <w:fldChar w:fldCharType="begin"/>
            </w:r>
            <w:r>
              <w:rPr>
                <w:noProof/>
                <w:webHidden/>
              </w:rPr>
              <w:instrText xml:space="preserve"> PAGEREF _Toc164171914 \h </w:instrText>
            </w:r>
            <w:r>
              <w:rPr>
                <w:noProof/>
                <w:webHidden/>
              </w:rPr>
            </w:r>
            <w:r>
              <w:rPr>
                <w:noProof/>
                <w:webHidden/>
              </w:rPr>
              <w:fldChar w:fldCharType="separate"/>
            </w:r>
            <w:r>
              <w:rPr>
                <w:noProof/>
                <w:webHidden/>
              </w:rPr>
              <w:t>7</w:t>
            </w:r>
            <w:r>
              <w:rPr>
                <w:noProof/>
                <w:webHidden/>
              </w:rPr>
              <w:fldChar w:fldCharType="end"/>
            </w:r>
          </w:hyperlink>
        </w:p>
        <w:p w14:paraId="404E83EF" w14:textId="1D665136"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5" w:history="1">
            <w:r w:rsidRPr="005A0D97">
              <w:rPr>
                <w:rStyle w:val="Hyperlink"/>
                <w:noProof/>
              </w:rPr>
              <w:t>Amendment to Article 9 – Assistance (Paragraph 2)</w:t>
            </w:r>
            <w:r>
              <w:rPr>
                <w:noProof/>
                <w:webHidden/>
              </w:rPr>
              <w:tab/>
            </w:r>
            <w:r>
              <w:rPr>
                <w:noProof/>
                <w:webHidden/>
              </w:rPr>
              <w:fldChar w:fldCharType="begin"/>
            </w:r>
            <w:r>
              <w:rPr>
                <w:noProof/>
                <w:webHidden/>
              </w:rPr>
              <w:instrText xml:space="preserve"> PAGEREF _Toc164171915 \h </w:instrText>
            </w:r>
            <w:r>
              <w:rPr>
                <w:noProof/>
                <w:webHidden/>
              </w:rPr>
            </w:r>
            <w:r>
              <w:rPr>
                <w:noProof/>
                <w:webHidden/>
              </w:rPr>
              <w:fldChar w:fldCharType="separate"/>
            </w:r>
            <w:r>
              <w:rPr>
                <w:noProof/>
                <w:webHidden/>
              </w:rPr>
              <w:t>8</w:t>
            </w:r>
            <w:r>
              <w:rPr>
                <w:noProof/>
                <w:webHidden/>
              </w:rPr>
              <w:fldChar w:fldCharType="end"/>
            </w:r>
          </w:hyperlink>
        </w:p>
        <w:p w14:paraId="1F284410" w14:textId="2CCCF2B2"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6" w:history="1">
            <w:r w:rsidRPr="005A0D97">
              <w:rPr>
                <w:rStyle w:val="Hyperlink"/>
                <w:noProof/>
              </w:rPr>
              <w:t>Amendment to Article 10 – Liability for combined multimodal tickets (paragraph 2)</w:t>
            </w:r>
            <w:r>
              <w:rPr>
                <w:noProof/>
                <w:webHidden/>
              </w:rPr>
              <w:tab/>
            </w:r>
            <w:r>
              <w:rPr>
                <w:noProof/>
                <w:webHidden/>
              </w:rPr>
              <w:fldChar w:fldCharType="begin"/>
            </w:r>
            <w:r>
              <w:rPr>
                <w:noProof/>
                <w:webHidden/>
              </w:rPr>
              <w:instrText xml:space="preserve"> PAGEREF _Toc164171916 \h </w:instrText>
            </w:r>
            <w:r>
              <w:rPr>
                <w:noProof/>
                <w:webHidden/>
              </w:rPr>
            </w:r>
            <w:r>
              <w:rPr>
                <w:noProof/>
                <w:webHidden/>
              </w:rPr>
              <w:fldChar w:fldCharType="separate"/>
            </w:r>
            <w:r>
              <w:rPr>
                <w:noProof/>
                <w:webHidden/>
              </w:rPr>
              <w:t>8</w:t>
            </w:r>
            <w:r>
              <w:rPr>
                <w:noProof/>
                <w:webHidden/>
              </w:rPr>
              <w:fldChar w:fldCharType="end"/>
            </w:r>
          </w:hyperlink>
        </w:p>
        <w:p w14:paraId="66C7E44A" w14:textId="1B48FFD2"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7" w:history="1">
            <w:r w:rsidRPr="005A0D97">
              <w:rPr>
                <w:rStyle w:val="Hyperlink"/>
                <w:noProof/>
              </w:rPr>
              <w:t>Article 11 – Common form for reimbursement and compensation (paragraph 1 and 3)</w:t>
            </w:r>
            <w:r>
              <w:rPr>
                <w:noProof/>
                <w:webHidden/>
              </w:rPr>
              <w:tab/>
            </w:r>
            <w:r>
              <w:rPr>
                <w:noProof/>
                <w:webHidden/>
              </w:rPr>
              <w:fldChar w:fldCharType="begin"/>
            </w:r>
            <w:r>
              <w:rPr>
                <w:noProof/>
                <w:webHidden/>
              </w:rPr>
              <w:instrText xml:space="preserve"> PAGEREF _Toc164171917 \h </w:instrText>
            </w:r>
            <w:r>
              <w:rPr>
                <w:noProof/>
                <w:webHidden/>
              </w:rPr>
            </w:r>
            <w:r>
              <w:rPr>
                <w:noProof/>
                <w:webHidden/>
              </w:rPr>
              <w:fldChar w:fldCharType="separate"/>
            </w:r>
            <w:r>
              <w:rPr>
                <w:noProof/>
                <w:webHidden/>
              </w:rPr>
              <w:t>9</w:t>
            </w:r>
            <w:r>
              <w:rPr>
                <w:noProof/>
                <w:webHidden/>
              </w:rPr>
              <w:fldChar w:fldCharType="end"/>
            </w:r>
          </w:hyperlink>
        </w:p>
        <w:p w14:paraId="1D8DD9DB" w14:textId="2C6AFF17"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8" w:history="1">
            <w:r w:rsidRPr="005A0D97">
              <w:rPr>
                <w:rStyle w:val="Hyperlink"/>
                <w:noProof/>
              </w:rPr>
              <w:t>Amendment to Article 12 – Right to transport</w:t>
            </w:r>
            <w:r>
              <w:rPr>
                <w:noProof/>
                <w:webHidden/>
              </w:rPr>
              <w:tab/>
            </w:r>
            <w:r>
              <w:rPr>
                <w:noProof/>
                <w:webHidden/>
              </w:rPr>
              <w:fldChar w:fldCharType="begin"/>
            </w:r>
            <w:r>
              <w:rPr>
                <w:noProof/>
                <w:webHidden/>
              </w:rPr>
              <w:instrText xml:space="preserve"> PAGEREF _Toc164171918 \h </w:instrText>
            </w:r>
            <w:r>
              <w:rPr>
                <w:noProof/>
                <w:webHidden/>
              </w:rPr>
            </w:r>
            <w:r>
              <w:rPr>
                <w:noProof/>
                <w:webHidden/>
              </w:rPr>
              <w:fldChar w:fldCharType="separate"/>
            </w:r>
            <w:r>
              <w:rPr>
                <w:noProof/>
                <w:webHidden/>
              </w:rPr>
              <w:t>11</w:t>
            </w:r>
            <w:r>
              <w:rPr>
                <w:noProof/>
                <w:webHidden/>
              </w:rPr>
              <w:fldChar w:fldCharType="end"/>
            </w:r>
          </w:hyperlink>
        </w:p>
        <w:p w14:paraId="65EB5A68" w14:textId="07F5CFA5"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19" w:history="1">
            <w:r w:rsidRPr="005A0D97">
              <w:rPr>
                <w:rStyle w:val="Hyperlink"/>
                <w:noProof/>
              </w:rPr>
              <w:t>Amendment Article 13 – Information on accessibility</w:t>
            </w:r>
            <w:r>
              <w:rPr>
                <w:noProof/>
                <w:webHidden/>
              </w:rPr>
              <w:tab/>
            </w:r>
            <w:r>
              <w:rPr>
                <w:noProof/>
                <w:webHidden/>
              </w:rPr>
              <w:fldChar w:fldCharType="begin"/>
            </w:r>
            <w:r>
              <w:rPr>
                <w:noProof/>
                <w:webHidden/>
              </w:rPr>
              <w:instrText xml:space="preserve"> PAGEREF _Toc164171919 \h </w:instrText>
            </w:r>
            <w:r>
              <w:rPr>
                <w:noProof/>
                <w:webHidden/>
              </w:rPr>
            </w:r>
            <w:r>
              <w:rPr>
                <w:noProof/>
                <w:webHidden/>
              </w:rPr>
              <w:fldChar w:fldCharType="separate"/>
            </w:r>
            <w:r>
              <w:rPr>
                <w:noProof/>
                <w:webHidden/>
              </w:rPr>
              <w:t>13</w:t>
            </w:r>
            <w:r>
              <w:rPr>
                <w:noProof/>
                <w:webHidden/>
              </w:rPr>
              <w:fldChar w:fldCharType="end"/>
            </w:r>
          </w:hyperlink>
        </w:p>
        <w:p w14:paraId="10F83C4C" w14:textId="48417B5A"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0" w:history="1">
            <w:r w:rsidRPr="005A0D97">
              <w:rPr>
                <w:rStyle w:val="Hyperlink"/>
                <w:noProof/>
              </w:rPr>
              <w:t>Amendment Article 14 – Assistance to persons with disabilities and reduced mobility</w:t>
            </w:r>
            <w:r>
              <w:rPr>
                <w:noProof/>
                <w:webHidden/>
              </w:rPr>
              <w:tab/>
            </w:r>
            <w:r>
              <w:rPr>
                <w:noProof/>
                <w:webHidden/>
              </w:rPr>
              <w:fldChar w:fldCharType="begin"/>
            </w:r>
            <w:r>
              <w:rPr>
                <w:noProof/>
                <w:webHidden/>
              </w:rPr>
              <w:instrText xml:space="preserve"> PAGEREF _Toc164171920 \h </w:instrText>
            </w:r>
            <w:r>
              <w:rPr>
                <w:noProof/>
                <w:webHidden/>
              </w:rPr>
            </w:r>
            <w:r>
              <w:rPr>
                <w:noProof/>
                <w:webHidden/>
              </w:rPr>
              <w:fldChar w:fldCharType="separate"/>
            </w:r>
            <w:r>
              <w:rPr>
                <w:noProof/>
                <w:webHidden/>
              </w:rPr>
              <w:t>13</w:t>
            </w:r>
            <w:r>
              <w:rPr>
                <w:noProof/>
                <w:webHidden/>
              </w:rPr>
              <w:fldChar w:fldCharType="end"/>
            </w:r>
          </w:hyperlink>
        </w:p>
        <w:p w14:paraId="1E2DF465" w14:textId="6436FD9D"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1" w:history="1">
            <w:r w:rsidRPr="005A0D97">
              <w:rPr>
                <w:rStyle w:val="Hyperlink"/>
                <w:noProof/>
              </w:rPr>
              <w:t>Amendment Article 15 - Single Points of contact for assistance (paragraph 1)</w:t>
            </w:r>
            <w:r>
              <w:rPr>
                <w:noProof/>
                <w:webHidden/>
              </w:rPr>
              <w:tab/>
            </w:r>
            <w:r>
              <w:rPr>
                <w:noProof/>
                <w:webHidden/>
              </w:rPr>
              <w:fldChar w:fldCharType="begin"/>
            </w:r>
            <w:r>
              <w:rPr>
                <w:noProof/>
                <w:webHidden/>
              </w:rPr>
              <w:instrText xml:space="preserve"> PAGEREF _Toc164171921 \h </w:instrText>
            </w:r>
            <w:r>
              <w:rPr>
                <w:noProof/>
                <w:webHidden/>
              </w:rPr>
            </w:r>
            <w:r>
              <w:rPr>
                <w:noProof/>
                <w:webHidden/>
              </w:rPr>
              <w:fldChar w:fldCharType="separate"/>
            </w:r>
            <w:r>
              <w:rPr>
                <w:noProof/>
                <w:webHidden/>
              </w:rPr>
              <w:t>16</w:t>
            </w:r>
            <w:r>
              <w:rPr>
                <w:noProof/>
                <w:webHidden/>
              </w:rPr>
              <w:fldChar w:fldCharType="end"/>
            </w:r>
          </w:hyperlink>
        </w:p>
        <w:p w14:paraId="640596CA" w14:textId="0F499094"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2" w:history="1">
            <w:r w:rsidRPr="005A0D97">
              <w:rPr>
                <w:rStyle w:val="Hyperlink"/>
                <w:noProof/>
              </w:rPr>
              <w:t>Amendment Article 16 – Compensation in respect of mobility equipment, assistive devices and assistant dogs</w:t>
            </w:r>
            <w:r>
              <w:rPr>
                <w:noProof/>
                <w:webHidden/>
              </w:rPr>
              <w:tab/>
            </w:r>
            <w:r>
              <w:rPr>
                <w:noProof/>
                <w:webHidden/>
              </w:rPr>
              <w:fldChar w:fldCharType="begin"/>
            </w:r>
            <w:r>
              <w:rPr>
                <w:noProof/>
                <w:webHidden/>
              </w:rPr>
              <w:instrText xml:space="preserve"> PAGEREF _Toc164171922 \h </w:instrText>
            </w:r>
            <w:r>
              <w:rPr>
                <w:noProof/>
                <w:webHidden/>
              </w:rPr>
            </w:r>
            <w:r>
              <w:rPr>
                <w:noProof/>
                <w:webHidden/>
              </w:rPr>
              <w:fldChar w:fldCharType="separate"/>
            </w:r>
            <w:r>
              <w:rPr>
                <w:noProof/>
                <w:webHidden/>
              </w:rPr>
              <w:t>16</w:t>
            </w:r>
            <w:r>
              <w:rPr>
                <w:noProof/>
                <w:webHidden/>
              </w:rPr>
              <w:fldChar w:fldCharType="end"/>
            </w:r>
          </w:hyperlink>
        </w:p>
        <w:p w14:paraId="4576A3E4" w14:textId="6B741F75"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3" w:history="1">
            <w:r w:rsidRPr="005A0D97">
              <w:rPr>
                <w:rStyle w:val="Hyperlink"/>
                <w:noProof/>
              </w:rPr>
              <w:t>Amendment to Article 17 – Service quality standards (paragraph 3)</w:t>
            </w:r>
            <w:r>
              <w:rPr>
                <w:noProof/>
                <w:webHidden/>
              </w:rPr>
              <w:tab/>
            </w:r>
            <w:r>
              <w:rPr>
                <w:noProof/>
                <w:webHidden/>
              </w:rPr>
              <w:fldChar w:fldCharType="begin"/>
            </w:r>
            <w:r>
              <w:rPr>
                <w:noProof/>
                <w:webHidden/>
              </w:rPr>
              <w:instrText xml:space="preserve"> PAGEREF _Toc164171923 \h </w:instrText>
            </w:r>
            <w:r>
              <w:rPr>
                <w:noProof/>
                <w:webHidden/>
              </w:rPr>
            </w:r>
            <w:r>
              <w:rPr>
                <w:noProof/>
                <w:webHidden/>
              </w:rPr>
              <w:fldChar w:fldCharType="separate"/>
            </w:r>
            <w:r>
              <w:rPr>
                <w:noProof/>
                <w:webHidden/>
              </w:rPr>
              <w:t>18</w:t>
            </w:r>
            <w:r>
              <w:rPr>
                <w:noProof/>
                <w:webHidden/>
              </w:rPr>
              <w:fldChar w:fldCharType="end"/>
            </w:r>
          </w:hyperlink>
        </w:p>
        <w:p w14:paraId="737A39DE" w14:textId="57677035"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4" w:history="1">
            <w:r w:rsidRPr="005A0D97">
              <w:rPr>
                <w:rStyle w:val="Hyperlink"/>
                <w:noProof/>
              </w:rPr>
              <w:t>Amendment to Article 18 – Complaints</w:t>
            </w:r>
            <w:r>
              <w:rPr>
                <w:noProof/>
                <w:webHidden/>
              </w:rPr>
              <w:tab/>
            </w:r>
            <w:r>
              <w:rPr>
                <w:noProof/>
                <w:webHidden/>
              </w:rPr>
              <w:fldChar w:fldCharType="begin"/>
            </w:r>
            <w:r>
              <w:rPr>
                <w:noProof/>
                <w:webHidden/>
              </w:rPr>
              <w:instrText xml:space="preserve"> PAGEREF _Toc164171924 \h </w:instrText>
            </w:r>
            <w:r>
              <w:rPr>
                <w:noProof/>
                <w:webHidden/>
              </w:rPr>
            </w:r>
            <w:r>
              <w:rPr>
                <w:noProof/>
                <w:webHidden/>
              </w:rPr>
              <w:fldChar w:fldCharType="separate"/>
            </w:r>
            <w:r>
              <w:rPr>
                <w:noProof/>
                <w:webHidden/>
              </w:rPr>
              <w:t>19</w:t>
            </w:r>
            <w:r>
              <w:rPr>
                <w:noProof/>
                <w:webHidden/>
              </w:rPr>
              <w:fldChar w:fldCharType="end"/>
            </w:r>
          </w:hyperlink>
        </w:p>
        <w:p w14:paraId="330AE3E6" w14:textId="12E2B523"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5" w:history="1">
            <w:r w:rsidRPr="005A0D97">
              <w:rPr>
                <w:rStyle w:val="Hyperlink"/>
                <w:noProof/>
                <w:lang w:val="fr-BE"/>
              </w:rPr>
              <w:t>Amendement Article 19 – Information on Passenger rights</w:t>
            </w:r>
            <w:r>
              <w:rPr>
                <w:noProof/>
                <w:webHidden/>
              </w:rPr>
              <w:tab/>
            </w:r>
            <w:r>
              <w:rPr>
                <w:noProof/>
                <w:webHidden/>
              </w:rPr>
              <w:fldChar w:fldCharType="begin"/>
            </w:r>
            <w:r>
              <w:rPr>
                <w:noProof/>
                <w:webHidden/>
              </w:rPr>
              <w:instrText xml:space="preserve"> PAGEREF _Toc164171925 \h </w:instrText>
            </w:r>
            <w:r>
              <w:rPr>
                <w:noProof/>
                <w:webHidden/>
              </w:rPr>
            </w:r>
            <w:r>
              <w:rPr>
                <w:noProof/>
                <w:webHidden/>
              </w:rPr>
              <w:fldChar w:fldCharType="separate"/>
            </w:r>
            <w:r>
              <w:rPr>
                <w:noProof/>
                <w:webHidden/>
              </w:rPr>
              <w:t>20</w:t>
            </w:r>
            <w:r>
              <w:rPr>
                <w:noProof/>
                <w:webHidden/>
              </w:rPr>
              <w:fldChar w:fldCharType="end"/>
            </w:r>
          </w:hyperlink>
        </w:p>
        <w:p w14:paraId="43D5B7E9" w14:textId="48A4B255"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6" w:history="1">
            <w:r w:rsidRPr="005A0D97">
              <w:rPr>
                <w:rStyle w:val="Hyperlink"/>
                <w:noProof/>
              </w:rPr>
              <w:t>Amendment to Article 20 – National Enforcement body (paragraph 3)</w:t>
            </w:r>
            <w:r>
              <w:rPr>
                <w:noProof/>
                <w:webHidden/>
              </w:rPr>
              <w:tab/>
            </w:r>
            <w:r>
              <w:rPr>
                <w:noProof/>
                <w:webHidden/>
              </w:rPr>
              <w:fldChar w:fldCharType="begin"/>
            </w:r>
            <w:r>
              <w:rPr>
                <w:noProof/>
                <w:webHidden/>
              </w:rPr>
              <w:instrText xml:space="preserve"> PAGEREF _Toc164171926 \h </w:instrText>
            </w:r>
            <w:r>
              <w:rPr>
                <w:noProof/>
                <w:webHidden/>
              </w:rPr>
            </w:r>
            <w:r>
              <w:rPr>
                <w:noProof/>
                <w:webHidden/>
              </w:rPr>
              <w:fldChar w:fldCharType="separate"/>
            </w:r>
            <w:r>
              <w:rPr>
                <w:noProof/>
                <w:webHidden/>
              </w:rPr>
              <w:t>21</w:t>
            </w:r>
            <w:r>
              <w:rPr>
                <w:noProof/>
                <w:webHidden/>
              </w:rPr>
              <w:fldChar w:fldCharType="end"/>
            </w:r>
          </w:hyperlink>
        </w:p>
        <w:p w14:paraId="78FD38D0" w14:textId="31BE7B5C"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7" w:history="1">
            <w:r w:rsidRPr="005A0D97">
              <w:rPr>
                <w:rStyle w:val="Hyperlink"/>
                <w:noProof/>
              </w:rPr>
              <w:t>Amendment to Article 22 – Risk based approach to monitoring of compliance (paragraphs 4 and 6)</w:t>
            </w:r>
            <w:r>
              <w:rPr>
                <w:noProof/>
                <w:webHidden/>
              </w:rPr>
              <w:tab/>
            </w:r>
            <w:r>
              <w:rPr>
                <w:noProof/>
                <w:webHidden/>
              </w:rPr>
              <w:fldChar w:fldCharType="begin"/>
            </w:r>
            <w:r>
              <w:rPr>
                <w:noProof/>
                <w:webHidden/>
              </w:rPr>
              <w:instrText xml:space="preserve"> PAGEREF _Toc164171927 \h </w:instrText>
            </w:r>
            <w:r>
              <w:rPr>
                <w:noProof/>
                <w:webHidden/>
              </w:rPr>
            </w:r>
            <w:r>
              <w:rPr>
                <w:noProof/>
                <w:webHidden/>
              </w:rPr>
              <w:fldChar w:fldCharType="separate"/>
            </w:r>
            <w:r>
              <w:rPr>
                <w:noProof/>
                <w:webHidden/>
              </w:rPr>
              <w:t>21</w:t>
            </w:r>
            <w:r>
              <w:rPr>
                <w:noProof/>
                <w:webHidden/>
              </w:rPr>
              <w:fldChar w:fldCharType="end"/>
            </w:r>
          </w:hyperlink>
        </w:p>
        <w:p w14:paraId="2579753B" w14:textId="41355A8A"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8" w:history="1">
            <w:r w:rsidRPr="005A0D97">
              <w:rPr>
                <w:rStyle w:val="Hyperlink"/>
                <w:noProof/>
              </w:rPr>
              <w:t>Amendment Article 24 – Cooperation between Member States and the Commission (paragraph 3 new)</w:t>
            </w:r>
            <w:r>
              <w:rPr>
                <w:noProof/>
                <w:webHidden/>
              </w:rPr>
              <w:tab/>
            </w:r>
            <w:r>
              <w:rPr>
                <w:noProof/>
                <w:webHidden/>
              </w:rPr>
              <w:fldChar w:fldCharType="begin"/>
            </w:r>
            <w:r>
              <w:rPr>
                <w:noProof/>
                <w:webHidden/>
              </w:rPr>
              <w:instrText xml:space="preserve"> PAGEREF _Toc164171928 \h </w:instrText>
            </w:r>
            <w:r>
              <w:rPr>
                <w:noProof/>
                <w:webHidden/>
              </w:rPr>
            </w:r>
            <w:r>
              <w:rPr>
                <w:noProof/>
                <w:webHidden/>
              </w:rPr>
              <w:fldChar w:fldCharType="separate"/>
            </w:r>
            <w:r>
              <w:rPr>
                <w:noProof/>
                <w:webHidden/>
              </w:rPr>
              <w:t>23</w:t>
            </w:r>
            <w:r>
              <w:rPr>
                <w:noProof/>
                <w:webHidden/>
              </w:rPr>
              <w:fldChar w:fldCharType="end"/>
            </w:r>
          </w:hyperlink>
        </w:p>
        <w:p w14:paraId="3F93210A" w14:textId="17430117" w:rsidR="004D13BF" w:rsidRDefault="004D13BF">
          <w:pPr>
            <w:pStyle w:val="TOC2"/>
            <w:tabs>
              <w:tab w:val="right" w:leader="dot" w:pos="9962"/>
            </w:tabs>
            <w:rPr>
              <w:rFonts w:asciiTheme="minorHAnsi" w:eastAsiaTheme="minorEastAsia" w:hAnsiTheme="minorHAnsi" w:cstheme="minorBidi"/>
              <w:noProof/>
              <w:kern w:val="2"/>
              <w:lang w:val="fr-BE" w:eastAsia="fr-BE"/>
              <w14:ligatures w14:val="standardContextual"/>
            </w:rPr>
          </w:pPr>
          <w:hyperlink w:anchor="_Toc164171929" w:history="1">
            <w:r w:rsidRPr="005A0D97">
              <w:rPr>
                <w:rStyle w:val="Hyperlink"/>
                <w:noProof/>
              </w:rPr>
              <w:t>Amendment to Annex II – Minimum Service Quality Standards</w:t>
            </w:r>
            <w:r>
              <w:rPr>
                <w:noProof/>
                <w:webHidden/>
              </w:rPr>
              <w:tab/>
            </w:r>
            <w:r>
              <w:rPr>
                <w:noProof/>
                <w:webHidden/>
              </w:rPr>
              <w:fldChar w:fldCharType="begin"/>
            </w:r>
            <w:r>
              <w:rPr>
                <w:noProof/>
                <w:webHidden/>
              </w:rPr>
              <w:instrText xml:space="preserve"> PAGEREF _Toc164171929 \h </w:instrText>
            </w:r>
            <w:r>
              <w:rPr>
                <w:noProof/>
                <w:webHidden/>
              </w:rPr>
            </w:r>
            <w:r>
              <w:rPr>
                <w:noProof/>
                <w:webHidden/>
              </w:rPr>
              <w:fldChar w:fldCharType="separate"/>
            </w:r>
            <w:r>
              <w:rPr>
                <w:noProof/>
                <w:webHidden/>
              </w:rPr>
              <w:t>24</w:t>
            </w:r>
            <w:r>
              <w:rPr>
                <w:noProof/>
                <w:webHidden/>
              </w:rPr>
              <w:fldChar w:fldCharType="end"/>
            </w:r>
          </w:hyperlink>
        </w:p>
        <w:p w14:paraId="0A6756DA" w14:textId="75EB2798" w:rsidR="004D13BF" w:rsidRDefault="004D13BF">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930" w:history="1">
            <w:r w:rsidRPr="005A0D97">
              <w:rPr>
                <w:rStyle w:val="Hyperlink"/>
                <w:noProof/>
              </w:rPr>
              <w:t>Related documents</w:t>
            </w:r>
            <w:r>
              <w:rPr>
                <w:noProof/>
                <w:webHidden/>
              </w:rPr>
              <w:tab/>
            </w:r>
            <w:r>
              <w:rPr>
                <w:noProof/>
                <w:webHidden/>
              </w:rPr>
              <w:fldChar w:fldCharType="begin"/>
            </w:r>
            <w:r>
              <w:rPr>
                <w:noProof/>
                <w:webHidden/>
              </w:rPr>
              <w:instrText xml:space="preserve"> PAGEREF _Toc164171930 \h </w:instrText>
            </w:r>
            <w:r>
              <w:rPr>
                <w:noProof/>
                <w:webHidden/>
              </w:rPr>
            </w:r>
            <w:r>
              <w:rPr>
                <w:noProof/>
                <w:webHidden/>
              </w:rPr>
              <w:fldChar w:fldCharType="separate"/>
            </w:r>
            <w:r>
              <w:rPr>
                <w:noProof/>
                <w:webHidden/>
              </w:rPr>
              <w:t>25</w:t>
            </w:r>
            <w:r>
              <w:rPr>
                <w:noProof/>
                <w:webHidden/>
              </w:rPr>
              <w:fldChar w:fldCharType="end"/>
            </w:r>
          </w:hyperlink>
        </w:p>
        <w:p w14:paraId="397B90FC" w14:textId="454CAE1A" w:rsidR="004D13BF" w:rsidRDefault="004D13BF">
          <w:pPr>
            <w:pStyle w:val="TOC1"/>
            <w:tabs>
              <w:tab w:val="right" w:leader="dot" w:pos="9962"/>
            </w:tabs>
            <w:rPr>
              <w:rFonts w:asciiTheme="minorHAnsi" w:eastAsiaTheme="minorEastAsia" w:hAnsiTheme="minorHAnsi" w:cstheme="minorBidi"/>
              <w:noProof/>
              <w:kern w:val="2"/>
              <w:lang w:val="fr-BE" w:eastAsia="fr-BE"/>
              <w14:ligatures w14:val="standardContextual"/>
            </w:rPr>
          </w:pPr>
          <w:hyperlink w:anchor="_Toc164171931" w:history="1">
            <w:r w:rsidRPr="005A0D97">
              <w:rPr>
                <w:rStyle w:val="Hyperlink"/>
                <w:noProof/>
              </w:rPr>
              <w:t>Contact persons at the EDF secretariat</w:t>
            </w:r>
            <w:r>
              <w:rPr>
                <w:noProof/>
                <w:webHidden/>
              </w:rPr>
              <w:tab/>
            </w:r>
            <w:r>
              <w:rPr>
                <w:noProof/>
                <w:webHidden/>
              </w:rPr>
              <w:fldChar w:fldCharType="begin"/>
            </w:r>
            <w:r>
              <w:rPr>
                <w:noProof/>
                <w:webHidden/>
              </w:rPr>
              <w:instrText xml:space="preserve"> PAGEREF _Toc164171931 \h </w:instrText>
            </w:r>
            <w:r>
              <w:rPr>
                <w:noProof/>
                <w:webHidden/>
              </w:rPr>
            </w:r>
            <w:r>
              <w:rPr>
                <w:noProof/>
                <w:webHidden/>
              </w:rPr>
              <w:fldChar w:fldCharType="separate"/>
            </w:r>
            <w:r>
              <w:rPr>
                <w:noProof/>
                <w:webHidden/>
              </w:rPr>
              <w:t>25</w:t>
            </w:r>
            <w:r>
              <w:rPr>
                <w:noProof/>
                <w:webHidden/>
              </w:rPr>
              <w:fldChar w:fldCharType="end"/>
            </w:r>
          </w:hyperlink>
        </w:p>
        <w:p w14:paraId="30FBF8D2" w14:textId="5475D855" w:rsidR="00F251D5" w:rsidRDefault="00B07EFB" w:rsidP="00F251D5">
          <w:pPr>
            <w:rPr>
              <w:noProof/>
            </w:rPr>
          </w:pPr>
          <w:r>
            <w:rPr>
              <w:b/>
              <w:bCs/>
              <w:noProof/>
            </w:rPr>
            <w:fldChar w:fldCharType="end"/>
          </w:r>
        </w:p>
      </w:sdtContent>
    </w:sdt>
    <w:p w14:paraId="4D856EC6" w14:textId="77777777" w:rsidR="00F251D5" w:rsidRDefault="00F251D5" w:rsidP="00F251D5">
      <w:r>
        <w:br/>
      </w:r>
    </w:p>
    <w:p w14:paraId="3B1FB40A" w14:textId="77777777" w:rsidR="000B1479" w:rsidRPr="000B1479" w:rsidRDefault="000B1479" w:rsidP="000B1479"/>
    <w:p w14:paraId="3B9BE301" w14:textId="77777777" w:rsidR="00510BF6" w:rsidRPr="00510BF6" w:rsidRDefault="0041231C" w:rsidP="00510BF6">
      <w:pPr>
        <w:pStyle w:val="Heading1"/>
      </w:pPr>
      <w:bookmarkStart w:id="2" w:name="_Toc164171911"/>
      <w:r>
        <w:lastRenderedPageBreak/>
        <w:t>EDF proposed amendments</w:t>
      </w:r>
      <w:bookmarkEnd w:id="2"/>
      <w:r>
        <w:t xml:space="preserve"> </w:t>
      </w:r>
    </w:p>
    <w:p w14:paraId="666082D0" w14:textId="77777777" w:rsidR="00AD1A0C" w:rsidRPr="00721C13" w:rsidRDefault="00AD1A0C" w:rsidP="00AD1A0C">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r w:rsidR="0021008D" w:rsidRPr="00721C13">
        <w:rPr>
          <w:rFonts w:cs="Arial"/>
          <w:color w:val="000000"/>
          <w:sz w:val="25"/>
          <w:szCs w:val="25"/>
          <w:lang w:val="en-US"/>
        </w:rPr>
        <w:t>...........................</w:t>
      </w:r>
    </w:p>
    <w:p w14:paraId="68EDF258" w14:textId="6978911B" w:rsidR="00C46502" w:rsidRPr="000B1479" w:rsidRDefault="005066EF" w:rsidP="000B1479">
      <w:pPr>
        <w:widowControl w:val="0"/>
        <w:autoSpaceDE w:val="0"/>
        <w:autoSpaceDN w:val="0"/>
        <w:adjustRightInd w:val="0"/>
        <w:spacing w:line="360" w:lineRule="auto"/>
        <w:ind w:right="78"/>
        <w:jc w:val="both"/>
        <w:rPr>
          <w:rFonts w:cs="Arial"/>
          <w:color w:val="000000"/>
        </w:rPr>
      </w:pPr>
      <w:r w:rsidRPr="000B1479">
        <w:rPr>
          <w:rFonts w:cs="Arial"/>
          <w:color w:val="000000"/>
        </w:rPr>
        <w:t>The European Disability Forum is an independent NGO that represents the interests of 80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p w14:paraId="7498F4FD" w14:textId="77777777" w:rsidR="000B1479" w:rsidRDefault="000B1479" w:rsidP="000B1479">
      <w:pPr>
        <w:widowControl w:val="0"/>
        <w:autoSpaceDE w:val="0"/>
        <w:autoSpaceDN w:val="0"/>
        <w:adjustRightInd w:val="0"/>
        <w:spacing w:line="276" w:lineRule="auto"/>
        <w:ind w:right="78"/>
        <w:jc w:val="both"/>
        <w:rPr>
          <w:lang w:val="en-US"/>
        </w:rPr>
      </w:pPr>
    </w:p>
    <w:p w14:paraId="0B7702A6" w14:textId="55BDE468" w:rsidR="00530738" w:rsidRDefault="00530738" w:rsidP="00AD1A0C">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Abstract</w:t>
      </w:r>
    </w:p>
    <w:p w14:paraId="517808C6" w14:textId="0A0EE1C3" w:rsidR="000B1479" w:rsidRDefault="000B1479" w:rsidP="000B1479">
      <w:pPr>
        <w:spacing w:line="360" w:lineRule="auto"/>
        <w:rPr>
          <w:rFonts w:cs="Arial"/>
        </w:rPr>
      </w:pPr>
      <w:r>
        <w:rPr>
          <w:rFonts w:cs="Arial"/>
        </w:rPr>
        <w:t>On 29</w:t>
      </w:r>
      <w:r w:rsidRPr="00D93164">
        <w:rPr>
          <w:rFonts w:cs="Arial"/>
          <w:vertAlign w:val="superscript"/>
        </w:rPr>
        <w:t>th</w:t>
      </w:r>
      <w:r>
        <w:rPr>
          <w:rFonts w:cs="Arial"/>
        </w:rPr>
        <w:t xml:space="preserve"> November 2023, the European Commission published a legislative proposal on Passenger Rights for Multimodal Journeys. Currently, passengers only enjoy rights under EU law when using separately one collective transport mode (air, waterborne, rail or bus and coach). However, when combining them to reach a certain destination and disruptions occur, their rights as passengers are not guaranteed at connecting points. For example, persons with disabilities are not entitled to receive assistance when changing from one transport mode to another. The Commission proposal aims at addressing these gaps.  </w:t>
      </w:r>
    </w:p>
    <w:p w14:paraId="7571BFB6" w14:textId="77777777" w:rsidR="00CF04AD" w:rsidRDefault="00CF04AD" w:rsidP="000B1479">
      <w:pPr>
        <w:spacing w:line="360" w:lineRule="auto"/>
        <w:rPr>
          <w:rFonts w:cs="Arial"/>
        </w:rPr>
      </w:pPr>
    </w:p>
    <w:p w14:paraId="5D55E18E" w14:textId="7F701627" w:rsidR="000B1479" w:rsidRDefault="00CF04AD" w:rsidP="000B1479">
      <w:pPr>
        <w:spacing w:line="360" w:lineRule="auto"/>
        <w:rPr>
          <w:rFonts w:cs="Arial"/>
        </w:rPr>
      </w:pPr>
      <w:r>
        <w:rPr>
          <w:rFonts w:cs="Arial"/>
        </w:rPr>
        <w:t>A</w:t>
      </w:r>
      <w:r w:rsidR="000B1479">
        <w:rPr>
          <w:rFonts w:cs="Arial"/>
        </w:rPr>
        <w:t>s there are many types of multimodal journeys, the proposal only applies to certain types of contracts (tickets) for combined transport services that fall under the existing passenger rights regulations. Under this proposal, passengers with a single multimodal contract</w:t>
      </w:r>
      <w:r w:rsidR="000B1479">
        <w:rPr>
          <w:rStyle w:val="FootnoteReference"/>
          <w:rFonts w:cs="Arial"/>
        </w:rPr>
        <w:footnoteReference w:id="1"/>
      </w:r>
      <w:r w:rsidR="000B1479">
        <w:rPr>
          <w:rFonts w:cs="Arial"/>
        </w:rPr>
        <w:t xml:space="preserve"> will enjoy a level of protection similar to what already exists for each individual transport mode. Passengers with combined multimodal tickets</w:t>
      </w:r>
      <w:r w:rsidR="000B1479">
        <w:rPr>
          <w:rStyle w:val="FootnoteReference"/>
          <w:rFonts w:cs="Arial"/>
        </w:rPr>
        <w:footnoteReference w:id="2"/>
      </w:r>
      <w:r w:rsidR="000B1479">
        <w:rPr>
          <w:rFonts w:cs="Arial"/>
        </w:rPr>
        <w:t xml:space="preserve"> and separate multimodal tickets</w:t>
      </w:r>
      <w:r w:rsidR="000B1479">
        <w:rPr>
          <w:rStyle w:val="FootnoteReference"/>
          <w:rFonts w:cs="Arial"/>
        </w:rPr>
        <w:footnoteReference w:id="3"/>
      </w:r>
      <w:r w:rsidR="000B1479">
        <w:rPr>
          <w:rFonts w:cs="Arial"/>
        </w:rPr>
        <w:t xml:space="preserve"> will enjoy a restricted set of rights (mainly information related). </w:t>
      </w:r>
    </w:p>
    <w:p w14:paraId="6FAD4443" w14:textId="20491DA9" w:rsidR="004407D9" w:rsidRPr="000B1479" w:rsidRDefault="000B1479" w:rsidP="000B1479">
      <w:pPr>
        <w:spacing w:line="360" w:lineRule="auto"/>
        <w:rPr>
          <w:rFonts w:cs="Arial"/>
        </w:rPr>
      </w:pPr>
      <w:r>
        <w:rPr>
          <w:rFonts w:cs="Arial"/>
        </w:rPr>
        <w:t xml:space="preserve">As in the Passenger Rights Regulations for air, waterborne, rail or bus and coach, the Commission’s proposal includes several provisions to ensure equal access for persons with </w:t>
      </w:r>
      <w:r>
        <w:rPr>
          <w:rFonts w:cs="Arial"/>
        </w:rPr>
        <w:lastRenderedPageBreak/>
        <w:t>disabilities and reduced mobility</w:t>
      </w:r>
      <w:r w:rsidR="00CF04AD">
        <w:rPr>
          <w:rFonts w:cs="Arial"/>
        </w:rPr>
        <w:t xml:space="preserve"> (targeted assistance in event of delay or cancellation, accessibility of information, right to transport, liability for lost or damaged mobility equipment, etc.)</w:t>
      </w:r>
    </w:p>
    <w:p w14:paraId="6520B3C0" w14:textId="77777777" w:rsidR="004407D9" w:rsidRPr="00530738" w:rsidRDefault="004407D9" w:rsidP="004407D9">
      <w:pPr>
        <w:pStyle w:val="ListParagraph"/>
        <w:rPr>
          <w:lang w:val="en-US"/>
        </w:rPr>
      </w:pPr>
    </w:p>
    <w:p w14:paraId="329CBEDE" w14:textId="6FA0EC61" w:rsidR="00AD1A0C" w:rsidRDefault="00CF04AD" w:rsidP="00AD1A0C">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Summary of EDF’s position</w:t>
      </w:r>
    </w:p>
    <w:p w14:paraId="6CA05216" w14:textId="4241CC28" w:rsidR="00CF04AD" w:rsidRDefault="00FA7DBA" w:rsidP="00FA7DBA">
      <w:pPr>
        <w:spacing w:before="120" w:after="240" w:line="360" w:lineRule="auto"/>
        <w:rPr>
          <w:rFonts w:cs="Arial"/>
        </w:rPr>
      </w:pPr>
      <w:r>
        <w:t xml:space="preserve">In February 2024, EDF published </w:t>
      </w:r>
      <w:hyperlink r:id="rId13" w:history="1">
        <w:r w:rsidRPr="00FA7DBA">
          <w:rPr>
            <w:rStyle w:val="Hyperlink"/>
          </w:rPr>
          <w:t>an in-depth analysis of this proposal</w:t>
        </w:r>
      </w:hyperlink>
      <w:r w:rsidRPr="00FA7DBA">
        <w:t>,</w:t>
      </w:r>
      <w:r>
        <w:t xml:space="preserve"> paying special attention to the requirements relevant for persons with disabilities. </w:t>
      </w:r>
      <w:r w:rsidR="00CF04AD" w:rsidRPr="0059613B">
        <w:rPr>
          <w:rFonts w:cs="Arial"/>
        </w:rPr>
        <w:t xml:space="preserve">EDF welcomes </w:t>
      </w:r>
      <w:r w:rsidR="00CF04AD">
        <w:rPr>
          <w:rFonts w:cs="Arial"/>
        </w:rPr>
        <w:t xml:space="preserve">the proposal on passenger rights and, in particular, </w:t>
      </w:r>
      <w:r w:rsidR="00CF04AD" w:rsidRPr="0059613B">
        <w:rPr>
          <w:rFonts w:cs="Arial"/>
          <w:b/>
          <w:bCs/>
        </w:rPr>
        <w:t>supports</w:t>
      </w:r>
      <w:r w:rsidR="00CF04AD">
        <w:rPr>
          <w:rFonts w:cs="Arial"/>
        </w:rPr>
        <w:t xml:space="preserve"> the following points:</w:t>
      </w:r>
    </w:p>
    <w:p w14:paraId="5D7A1957" w14:textId="77777777" w:rsidR="00CF04AD" w:rsidRDefault="00CF04AD" w:rsidP="00CF04AD">
      <w:pPr>
        <w:pStyle w:val="ListParagraph"/>
        <w:numPr>
          <w:ilvl w:val="0"/>
          <w:numId w:val="17"/>
        </w:numPr>
        <w:spacing w:before="120" w:after="240" w:line="259" w:lineRule="auto"/>
        <w:ind w:left="709"/>
        <w:rPr>
          <w:rFonts w:cs="Arial"/>
        </w:rPr>
      </w:pPr>
      <w:r>
        <w:rPr>
          <w:rFonts w:cs="Arial"/>
        </w:rPr>
        <w:t>The provisions of accessible information in Articles 3, 8, 13, 18 and 10 subject to a clearer reference to the European Accessibility Act</w:t>
      </w:r>
    </w:p>
    <w:p w14:paraId="302B087B" w14:textId="77777777" w:rsidR="00CF04AD" w:rsidRDefault="00CF04AD" w:rsidP="00CF04AD">
      <w:pPr>
        <w:pStyle w:val="ListParagraph"/>
        <w:numPr>
          <w:ilvl w:val="0"/>
          <w:numId w:val="17"/>
        </w:numPr>
        <w:spacing w:before="120" w:after="240" w:line="259" w:lineRule="auto"/>
        <w:ind w:left="709"/>
        <w:rPr>
          <w:rFonts w:cs="Arial"/>
        </w:rPr>
      </w:pPr>
      <w:r>
        <w:rPr>
          <w:rFonts w:cs="Arial"/>
        </w:rPr>
        <w:t>The provision of assistance for persons with disabilities and reduced mobility (Article 14)</w:t>
      </w:r>
    </w:p>
    <w:p w14:paraId="738586BF" w14:textId="6781BAE7" w:rsidR="00CF04AD" w:rsidRDefault="00CF04AD" w:rsidP="00CF04AD">
      <w:pPr>
        <w:pStyle w:val="ListParagraph"/>
        <w:numPr>
          <w:ilvl w:val="0"/>
          <w:numId w:val="17"/>
        </w:numPr>
        <w:spacing w:before="120" w:after="240" w:line="259" w:lineRule="auto"/>
        <w:ind w:left="709"/>
        <w:rPr>
          <w:rFonts w:cs="Arial"/>
        </w:rPr>
      </w:pPr>
      <w:r>
        <w:rPr>
          <w:rFonts w:cs="Arial"/>
        </w:rPr>
        <w:t>The re-routing and assistance to persons with disabilities and reduced mobility in event of delay or cancellation (Articles 7 and 9)</w:t>
      </w:r>
    </w:p>
    <w:p w14:paraId="7DF12368" w14:textId="77777777" w:rsidR="00CF04AD" w:rsidRDefault="00CF04AD" w:rsidP="00CF04AD">
      <w:pPr>
        <w:pStyle w:val="ListParagraph"/>
        <w:numPr>
          <w:ilvl w:val="0"/>
          <w:numId w:val="17"/>
        </w:numPr>
        <w:spacing w:before="120" w:after="240" w:line="259" w:lineRule="auto"/>
        <w:ind w:left="709"/>
        <w:rPr>
          <w:rFonts w:cs="Arial"/>
        </w:rPr>
      </w:pPr>
      <w:r>
        <w:rPr>
          <w:rFonts w:cs="Arial"/>
        </w:rPr>
        <w:t xml:space="preserve">The establishment of a single point of contact to request assistance (Article 15). </w:t>
      </w:r>
    </w:p>
    <w:p w14:paraId="26E84CFC" w14:textId="77777777" w:rsidR="00CF04AD" w:rsidRDefault="00CF04AD" w:rsidP="00CF04AD">
      <w:pPr>
        <w:pStyle w:val="ListParagraph"/>
        <w:numPr>
          <w:ilvl w:val="0"/>
          <w:numId w:val="17"/>
        </w:numPr>
        <w:spacing w:before="120" w:after="240" w:line="259" w:lineRule="auto"/>
        <w:ind w:left="709"/>
        <w:rPr>
          <w:rFonts w:cs="Arial"/>
        </w:rPr>
      </w:pPr>
      <w:r>
        <w:rPr>
          <w:rFonts w:cs="Arial"/>
        </w:rPr>
        <w:t>The liability for broken or damaged mobility equipment (Article 16)</w:t>
      </w:r>
    </w:p>
    <w:p w14:paraId="38DE314B" w14:textId="77777777" w:rsidR="00CF04AD" w:rsidRDefault="00CF04AD" w:rsidP="00CF04AD">
      <w:pPr>
        <w:pStyle w:val="ListParagraph"/>
        <w:numPr>
          <w:ilvl w:val="0"/>
          <w:numId w:val="17"/>
        </w:numPr>
        <w:spacing w:before="120" w:after="240" w:line="259" w:lineRule="auto"/>
        <w:ind w:left="709"/>
        <w:rPr>
          <w:rFonts w:cs="Arial"/>
        </w:rPr>
      </w:pPr>
      <w:r>
        <w:rPr>
          <w:rFonts w:cs="Arial"/>
        </w:rPr>
        <w:t>The establishment of quality standards (Article 17) and a risk-based approach to enforcement (Article 22)</w:t>
      </w:r>
    </w:p>
    <w:p w14:paraId="3F15EA9B" w14:textId="77777777" w:rsidR="00CF04AD" w:rsidRDefault="00CF04AD" w:rsidP="00CF04AD">
      <w:pPr>
        <w:spacing w:before="120" w:after="240"/>
        <w:rPr>
          <w:rFonts w:cs="Arial"/>
          <w:b/>
          <w:bCs/>
        </w:rPr>
      </w:pPr>
      <w:r>
        <w:rPr>
          <w:rFonts w:cs="Arial"/>
        </w:rPr>
        <w:t xml:space="preserve">EDF </w:t>
      </w:r>
      <w:r>
        <w:rPr>
          <w:rFonts w:cs="Arial"/>
          <w:b/>
          <w:bCs/>
        </w:rPr>
        <w:t>regrets:</w:t>
      </w:r>
    </w:p>
    <w:p w14:paraId="46D6066A" w14:textId="77777777" w:rsidR="00CF04AD" w:rsidRDefault="00CF04AD" w:rsidP="00CF04AD">
      <w:pPr>
        <w:pStyle w:val="ListParagraph"/>
        <w:numPr>
          <w:ilvl w:val="0"/>
          <w:numId w:val="18"/>
        </w:numPr>
        <w:spacing w:before="120" w:after="240" w:line="259" w:lineRule="auto"/>
        <w:rPr>
          <w:rFonts w:cs="Arial"/>
        </w:rPr>
      </w:pPr>
      <w:r w:rsidRPr="002D78F6">
        <w:rPr>
          <w:rFonts w:cs="Arial"/>
        </w:rPr>
        <w:t>The limited scope of the proposal</w:t>
      </w:r>
      <w:r>
        <w:rPr>
          <w:rFonts w:cs="Arial"/>
        </w:rPr>
        <w:t xml:space="preserve"> (Article 2)</w:t>
      </w:r>
    </w:p>
    <w:p w14:paraId="1BC0DCA3" w14:textId="77777777" w:rsidR="00CF04AD" w:rsidRDefault="00CF04AD" w:rsidP="00CF04AD">
      <w:pPr>
        <w:pStyle w:val="ListParagraph"/>
        <w:numPr>
          <w:ilvl w:val="0"/>
          <w:numId w:val="18"/>
        </w:numPr>
        <w:spacing w:before="120" w:after="240" w:line="259" w:lineRule="auto"/>
        <w:rPr>
          <w:rFonts w:cs="Arial"/>
        </w:rPr>
      </w:pPr>
      <w:r>
        <w:rPr>
          <w:rFonts w:cs="Arial"/>
        </w:rPr>
        <w:t>The 48h hours pre-notification to request assistance under multimodal journeys (Article 14)</w:t>
      </w:r>
    </w:p>
    <w:p w14:paraId="425316A0" w14:textId="3405AF37" w:rsidR="00046E92" w:rsidRDefault="008B0164" w:rsidP="00046E92">
      <w:pPr>
        <w:pStyle w:val="Heading2"/>
      </w:pPr>
      <w:bookmarkStart w:id="3" w:name="_Toc164171912"/>
      <w:r>
        <w:t xml:space="preserve">Amendment to </w:t>
      </w:r>
      <w:r w:rsidR="00547377">
        <w:t>recital</w:t>
      </w:r>
      <w:r>
        <w:t xml:space="preserve"> 15 – </w:t>
      </w:r>
      <w:r w:rsidR="00547377">
        <w:t>United Nation Convention on the Rights of Persons with Disabilities (CRPD)</w:t>
      </w:r>
      <w:bookmarkEnd w:id="3"/>
    </w:p>
    <w:p w14:paraId="0897D903" w14:textId="59035907" w:rsidR="00046E92" w:rsidRPr="00046E92" w:rsidRDefault="00046E92" w:rsidP="00046E92"/>
    <w:tbl>
      <w:tblPr>
        <w:tblStyle w:val="TableGrid"/>
        <w:tblW w:w="0" w:type="auto"/>
        <w:tblLook w:val="04A0" w:firstRow="1" w:lastRow="0" w:firstColumn="1" w:lastColumn="0" w:noHBand="0" w:noVBand="1"/>
      </w:tblPr>
      <w:tblGrid>
        <w:gridCol w:w="4982"/>
        <w:gridCol w:w="4980"/>
      </w:tblGrid>
      <w:tr w:rsidR="00046E92" w14:paraId="75C7C07B" w14:textId="77777777" w:rsidTr="008B0164">
        <w:tc>
          <w:tcPr>
            <w:tcW w:w="4982" w:type="dxa"/>
          </w:tcPr>
          <w:p w14:paraId="446CF63F" w14:textId="77777777" w:rsidR="00046E92" w:rsidRDefault="00046E92" w:rsidP="00D120F2">
            <w:pPr>
              <w:pStyle w:val="Footer"/>
              <w:jc w:val="both"/>
            </w:pPr>
            <w:r>
              <w:t>Commission proposal</w:t>
            </w:r>
          </w:p>
        </w:tc>
        <w:tc>
          <w:tcPr>
            <w:tcW w:w="4980" w:type="dxa"/>
          </w:tcPr>
          <w:p w14:paraId="232FA488" w14:textId="77777777" w:rsidR="00046E92" w:rsidRDefault="00046E92" w:rsidP="00D120F2">
            <w:pPr>
              <w:pStyle w:val="Footer"/>
              <w:jc w:val="both"/>
            </w:pPr>
            <w:r>
              <w:t>EDF amendments</w:t>
            </w:r>
          </w:p>
        </w:tc>
      </w:tr>
      <w:tr w:rsidR="008B0164" w14:paraId="4BF5EA0A" w14:textId="77777777" w:rsidTr="008B0164">
        <w:tc>
          <w:tcPr>
            <w:tcW w:w="4982" w:type="dxa"/>
          </w:tcPr>
          <w:p w14:paraId="0B302F0A" w14:textId="3AB97777" w:rsidR="008B0164" w:rsidRDefault="008B0164" w:rsidP="008B0164">
            <w:pPr>
              <w:pStyle w:val="Footer"/>
            </w:pPr>
            <w:r w:rsidRPr="008B0164">
              <w:t xml:space="preserve">In light of the United Nations Convention on the Rights of Persons with Disabilities and in order to give persons with disabilities and persons with reduced mobility opportunities for multimodal travel comparable to those of other citizens, rules for non-discrimination and assistance during their multimodal journey should be established. In particular, </w:t>
            </w:r>
            <w:r w:rsidRPr="008B0164">
              <w:lastRenderedPageBreak/>
              <w:t>special attention should be given to the provision of information to persons with disabilities and persons with reduced mobility concerning the accessibility of transport services, access conditions of vehicles and the facilities on board when switching modes. If information to persons with disabilities and reduced mobility is provided in accessible formats, it should be provided in accordance with the applicable legislation such as the accessibility requirements set out in Annex I to Directive (EU) 2019/882. In light of the benefits in terms of security, convenience and accessibility, Member States should encourage the use of European digital identity wallets for identification and authentication in multimodal transport scenarios, particularly aiding vulnerable persons or persons with disabilities</w:t>
            </w:r>
            <w:r>
              <w:t xml:space="preserve">. </w:t>
            </w:r>
          </w:p>
          <w:p w14:paraId="52894BF4" w14:textId="77777777" w:rsidR="008B0164" w:rsidRDefault="008B0164" w:rsidP="008B0164">
            <w:pPr>
              <w:pStyle w:val="Footer"/>
            </w:pPr>
          </w:p>
        </w:tc>
        <w:tc>
          <w:tcPr>
            <w:tcW w:w="4980" w:type="dxa"/>
          </w:tcPr>
          <w:p w14:paraId="255C9FEB" w14:textId="65AC2965" w:rsidR="008B0164" w:rsidRDefault="008B0164" w:rsidP="008B0164">
            <w:pPr>
              <w:pStyle w:val="Footer"/>
            </w:pPr>
            <w:r w:rsidRPr="008B0164">
              <w:lastRenderedPageBreak/>
              <w:t>In light of the United Nations Convention on the Rights of Persons with Disabilities and in order to give persons with disabilities and persons with reduced mobility opportunities for multimodal travel comparable to those of other citizens, rules for non-discrimination and assistance during their multimodal journey should be established</w:t>
            </w:r>
            <w:r w:rsidRPr="00547377">
              <w:rPr>
                <w:b/>
                <w:bCs/>
                <w:i/>
                <w:iCs/>
              </w:rPr>
              <w:t>.</w:t>
            </w:r>
            <w:r w:rsidR="00547377" w:rsidRPr="00547377">
              <w:rPr>
                <w:b/>
                <w:bCs/>
                <w:i/>
                <w:iCs/>
              </w:rPr>
              <w:t xml:space="preserve"> Persons </w:t>
            </w:r>
            <w:r w:rsidR="00547377" w:rsidRPr="00547377">
              <w:rPr>
                <w:b/>
                <w:bCs/>
                <w:i/>
                <w:iCs/>
              </w:rPr>
              <w:lastRenderedPageBreak/>
              <w:t>with disabilities and persons with reduced mobility have the same rights as all other citizens to free movement and to non-discrimination</w:t>
            </w:r>
            <w:r w:rsidR="00547377">
              <w:t>.</w:t>
            </w:r>
            <w:r w:rsidRPr="008B0164">
              <w:t xml:space="preserve"> In particular, special attention should be given to the provision of information to persons with disabilities and persons with reduced mobility concerning the accessibility of transport services, access conditions of vehicles and the facilities on board when switching modes. </w:t>
            </w:r>
            <w:r w:rsidRPr="0019725C">
              <w:rPr>
                <w:b/>
                <w:bCs/>
                <w:i/>
                <w:iCs/>
                <w:strike/>
              </w:rPr>
              <w:t>If</w:t>
            </w:r>
            <w:r w:rsidR="00C806BA">
              <w:rPr>
                <w:b/>
                <w:bCs/>
                <w:strike/>
              </w:rPr>
              <w:t xml:space="preserve"> </w:t>
            </w:r>
            <w:r w:rsidR="00C806BA">
              <w:t>When</w:t>
            </w:r>
            <w:r w:rsidRPr="00C806BA">
              <w:t xml:space="preserve"> </w:t>
            </w:r>
            <w:r w:rsidRPr="008B0164">
              <w:t>information to persons with disabilities and reduced mobility is provided in accessible formats, it should be provided in accordance with the applicable legislation s</w:t>
            </w:r>
            <w:r w:rsidRPr="00F15706">
              <w:rPr>
                <w:b/>
                <w:bCs/>
                <w:strike/>
              </w:rPr>
              <w:t>uch a</w:t>
            </w:r>
            <w:r w:rsidR="00F15706" w:rsidRPr="00F15706">
              <w:rPr>
                <w:b/>
                <w:bCs/>
                <w:strike/>
              </w:rPr>
              <w:t>s</w:t>
            </w:r>
            <w:r w:rsidRPr="008B0164">
              <w:t xml:space="preserve"> </w:t>
            </w:r>
            <w:r w:rsidR="00F15706" w:rsidRPr="00F15706">
              <w:rPr>
                <w:b/>
                <w:bCs/>
                <w:i/>
                <w:iCs/>
              </w:rPr>
              <w:t>including</w:t>
            </w:r>
            <w:r w:rsidR="00F15706">
              <w:t xml:space="preserve"> </w:t>
            </w:r>
            <w:r w:rsidRPr="008B0164">
              <w:t xml:space="preserve">the accessibility requirements set out in Annex I to Directive (EU) 2019/882. </w:t>
            </w:r>
            <w:r w:rsidRPr="008B0164">
              <w:rPr>
                <w:b/>
                <w:bCs/>
                <w:i/>
                <w:iCs/>
                <w:strike/>
              </w:rPr>
              <w:t>In light of the benefits in terms of security, convenience and accessibility, Member States should encourage the use of European digital identity wallets for identification and authentication in multimodal transport scenarios, particularly aiding vulnerable persons or persons with disabilities.</w:t>
            </w:r>
            <w:r>
              <w:t xml:space="preserve"> </w:t>
            </w:r>
          </w:p>
          <w:p w14:paraId="70B78854" w14:textId="7A22D545" w:rsidR="008B0164" w:rsidRPr="00CD2FF3" w:rsidRDefault="008B0164" w:rsidP="008B0164">
            <w:pPr>
              <w:pStyle w:val="Footer"/>
              <w:rPr>
                <w:b/>
              </w:rPr>
            </w:pPr>
          </w:p>
        </w:tc>
      </w:tr>
      <w:tr w:rsidR="008B0164" w14:paraId="6E896946" w14:textId="77777777" w:rsidTr="008B0164">
        <w:tc>
          <w:tcPr>
            <w:tcW w:w="9962" w:type="dxa"/>
            <w:gridSpan w:val="2"/>
          </w:tcPr>
          <w:p w14:paraId="34204E49" w14:textId="77777777" w:rsidR="008B0164" w:rsidRDefault="008B0164" w:rsidP="008B0164">
            <w:pPr>
              <w:pStyle w:val="Footer"/>
              <w:jc w:val="both"/>
            </w:pPr>
            <w:r w:rsidRPr="00EB123F">
              <w:rPr>
                <w:b/>
                <w:bCs/>
              </w:rPr>
              <w:lastRenderedPageBreak/>
              <w:t>Justification</w:t>
            </w:r>
            <w:r>
              <w:t>:</w:t>
            </w:r>
          </w:p>
          <w:p w14:paraId="56681964" w14:textId="77777777" w:rsidR="008B0164" w:rsidRDefault="008B0164" w:rsidP="008B0164">
            <w:pPr>
              <w:pStyle w:val="Footer"/>
              <w:jc w:val="both"/>
            </w:pPr>
          </w:p>
          <w:p w14:paraId="3DF42BE6" w14:textId="48F8A801" w:rsidR="00EB123F" w:rsidRDefault="00547377" w:rsidP="00EB123F">
            <w:pPr>
              <w:spacing w:line="276" w:lineRule="auto"/>
              <w:rPr>
                <w:rFonts w:cs="Arial"/>
              </w:rPr>
            </w:pPr>
            <w:r w:rsidRPr="003262ED">
              <w:rPr>
                <w:rFonts w:cs="Arial"/>
              </w:rPr>
              <w:t xml:space="preserve">EDF approves the clear reference to the UNCRPD in </w:t>
            </w:r>
            <w:r w:rsidR="00EB123F">
              <w:rPr>
                <w:rFonts w:cs="Arial"/>
              </w:rPr>
              <w:t>recital</w:t>
            </w:r>
            <w:r w:rsidRPr="003262ED">
              <w:rPr>
                <w:rFonts w:cs="Arial"/>
              </w:rPr>
              <w:t xml:space="preserve"> 15 of the proposal</w:t>
            </w:r>
            <w:r>
              <w:rPr>
                <w:rFonts w:cs="Arial"/>
              </w:rPr>
              <w:t xml:space="preserve">. As </w:t>
            </w:r>
            <w:r w:rsidR="00EB123F">
              <w:rPr>
                <w:rFonts w:cs="Arial"/>
              </w:rPr>
              <w:t>party to this convention</w:t>
            </w:r>
            <w:r>
              <w:rPr>
                <w:rFonts w:cs="Arial"/>
              </w:rPr>
              <w:t>, the EU must guarantee that any new measure is in line</w:t>
            </w:r>
            <w:r w:rsidR="00EB123F">
              <w:rPr>
                <w:rFonts w:cs="Arial"/>
              </w:rPr>
              <w:t xml:space="preserve"> with it. This includes referring to access to transport on equal basis with others as a right that persons with disabilities have and that any barrier to that end leads to discrimination and exclusion. We suggest using the wording that already exists in </w:t>
            </w:r>
            <w:hyperlink r:id="rId14" w:history="1">
              <w:r w:rsidR="00EB123F" w:rsidRPr="00EB123F">
                <w:rPr>
                  <w:rStyle w:val="Hyperlink"/>
                  <w:rFonts w:cs="Arial"/>
                </w:rPr>
                <w:t>Recital 27 of the R</w:t>
              </w:r>
              <w:r w:rsidR="00D11B74">
                <w:rPr>
                  <w:rStyle w:val="Hyperlink"/>
                  <w:rFonts w:cs="Arial"/>
                </w:rPr>
                <w:t xml:space="preserve">ail </w:t>
              </w:r>
              <w:r w:rsidR="00EB123F" w:rsidRPr="00EB123F">
                <w:rPr>
                  <w:rStyle w:val="Hyperlink"/>
                  <w:rFonts w:cs="Arial"/>
                </w:rPr>
                <w:t>Passenger Rights Regulations</w:t>
              </w:r>
            </w:hyperlink>
            <w:r w:rsidR="00EB123F">
              <w:rPr>
                <w:rFonts w:cs="Arial"/>
              </w:rPr>
              <w:t xml:space="preserve">. </w:t>
            </w:r>
          </w:p>
          <w:p w14:paraId="04037974" w14:textId="77777777" w:rsidR="00EB123F" w:rsidRDefault="00EB123F" w:rsidP="00EB123F">
            <w:pPr>
              <w:spacing w:line="276" w:lineRule="auto"/>
              <w:rPr>
                <w:rFonts w:cs="Arial"/>
              </w:rPr>
            </w:pPr>
          </w:p>
          <w:p w14:paraId="72A2E71E" w14:textId="72003766" w:rsidR="008B0164" w:rsidRPr="00FA2074" w:rsidRDefault="00954719" w:rsidP="00FA2074">
            <w:pPr>
              <w:spacing w:line="276" w:lineRule="auto"/>
              <w:rPr>
                <w:rFonts w:cs="Arial"/>
              </w:rPr>
            </w:pPr>
            <w:r>
              <w:rPr>
                <w:rFonts w:cs="Arial"/>
              </w:rPr>
              <w:t>EDF opposes to the encouragement of European Digital Identity Wallets in aiding vulnerable persons and persons with disabilities. First, it should be clearly stated that no proof of disability should be asked to the passenger in order to receive the requested assistance (</w:t>
            </w:r>
            <w:hyperlink r:id="rId15" w:history="1">
              <w:r w:rsidRPr="00954719">
                <w:rPr>
                  <w:rStyle w:val="Hyperlink"/>
                  <w:rFonts w:cs="Arial"/>
                </w:rPr>
                <w:t>more information in the 1107/2006 Regulation Interpretative Guidelines</w:t>
              </w:r>
            </w:hyperlink>
            <w:r>
              <w:rPr>
                <w:rFonts w:cs="Arial"/>
              </w:rPr>
              <w:t>). Secondly,</w:t>
            </w:r>
            <w:r w:rsidR="00FA2074">
              <w:rPr>
                <w:rFonts w:cs="Arial"/>
              </w:rPr>
              <w:t xml:space="preserve"> even</w:t>
            </w:r>
            <w:r>
              <w:rPr>
                <w:rFonts w:cs="Arial"/>
              </w:rPr>
              <w:t xml:space="preserve"> when the use of such wallets is </w:t>
            </w:r>
            <w:r w:rsidR="00FA2074">
              <w:rPr>
                <w:rFonts w:cs="Arial"/>
              </w:rPr>
              <w:t>asked</w:t>
            </w:r>
            <w:r>
              <w:rPr>
                <w:rFonts w:cs="Arial"/>
              </w:rPr>
              <w:t xml:space="preserve"> to access certain services, it is important to guarantee multimodal access to it, that is, giving different options to the use (not only digital ones). </w:t>
            </w:r>
          </w:p>
        </w:tc>
      </w:tr>
    </w:tbl>
    <w:p w14:paraId="28989A8B" w14:textId="49B66127" w:rsidR="003C04D4" w:rsidRDefault="003C04D4" w:rsidP="00D120F2">
      <w:pPr>
        <w:pStyle w:val="Footer"/>
        <w:jc w:val="both"/>
      </w:pPr>
    </w:p>
    <w:p w14:paraId="28A715FC" w14:textId="70F0DC86" w:rsidR="008B0164" w:rsidRDefault="003478CC" w:rsidP="008B0164">
      <w:pPr>
        <w:pStyle w:val="Heading2"/>
      </w:pPr>
      <w:bookmarkStart w:id="4" w:name="_Toc164171913"/>
      <w:r>
        <w:t>Amendment to Article 5 – Travel information for passengers</w:t>
      </w:r>
      <w:r w:rsidR="002E7969">
        <w:t xml:space="preserve"> (paragraphs 6 and 7)</w:t>
      </w:r>
      <w:bookmarkEnd w:id="4"/>
    </w:p>
    <w:p w14:paraId="2D032FB4"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492663DE" w14:textId="77777777" w:rsidTr="008B0164">
        <w:tc>
          <w:tcPr>
            <w:tcW w:w="4980" w:type="dxa"/>
          </w:tcPr>
          <w:p w14:paraId="6E49C6FB" w14:textId="77777777" w:rsidR="008B0164" w:rsidRDefault="008B0164" w:rsidP="00E816E5">
            <w:pPr>
              <w:pStyle w:val="Footer"/>
              <w:jc w:val="both"/>
            </w:pPr>
            <w:r>
              <w:t>Commission proposal</w:t>
            </w:r>
          </w:p>
        </w:tc>
        <w:tc>
          <w:tcPr>
            <w:tcW w:w="4982" w:type="dxa"/>
          </w:tcPr>
          <w:p w14:paraId="1F638D09" w14:textId="77777777" w:rsidR="008B0164" w:rsidRDefault="008B0164" w:rsidP="00E816E5">
            <w:pPr>
              <w:pStyle w:val="Footer"/>
              <w:jc w:val="both"/>
            </w:pPr>
            <w:r>
              <w:t>EDF amendments</w:t>
            </w:r>
          </w:p>
        </w:tc>
      </w:tr>
      <w:tr w:rsidR="003478CC" w14:paraId="486F9AF6" w14:textId="77777777" w:rsidTr="008B0164">
        <w:tc>
          <w:tcPr>
            <w:tcW w:w="4980" w:type="dxa"/>
          </w:tcPr>
          <w:p w14:paraId="576F949E" w14:textId="77777777" w:rsidR="003478CC" w:rsidRDefault="003478CC" w:rsidP="003478CC">
            <w:pPr>
              <w:pStyle w:val="Footer"/>
            </w:pPr>
            <w:r>
              <w:t>Travel information for passengers</w:t>
            </w:r>
          </w:p>
          <w:p w14:paraId="6EA54611" w14:textId="77777777" w:rsidR="003478CC" w:rsidRDefault="003478CC" w:rsidP="003478CC">
            <w:pPr>
              <w:pStyle w:val="Footer"/>
            </w:pPr>
          </w:p>
          <w:p w14:paraId="30832744" w14:textId="6ECE9D29" w:rsidR="003478CC" w:rsidRDefault="009F0897" w:rsidP="003478CC">
            <w:pPr>
              <w:pStyle w:val="Footer"/>
            </w:pPr>
            <w:r>
              <w:t>(…)</w:t>
            </w:r>
            <w:r w:rsidR="003478CC">
              <w:t xml:space="preserve"> </w:t>
            </w:r>
          </w:p>
          <w:p w14:paraId="32861D31" w14:textId="77777777" w:rsidR="003478CC" w:rsidRDefault="003478CC" w:rsidP="003478CC">
            <w:pPr>
              <w:pStyle w:val="Footer"/>
            </w:pPr>
          </w:p>
          <w:p w14:paraId="5E1AB133" w14:textId="77777777" w:rsidR="003478CC" w:rsidRDefault="003478CC" w:rsidP="003478CC">
            <w:pPr>
              <w:pStyle w:val="Footer"/>
            </w:pPr>
            <w:r>
              <w:t>6.The information referred to in paragraphs 1 to 5 shall be provided in the most appropriate format, including by using appropriate communication technologies. This information shall be provided in an accessible format.</w:t>
            </w:r>
          </w:p>
          <w:p w14:paraId="410CC78C" w14:textId="77777777" w:rsidR="003478CC" w:rsidRDefault="003478CC" w:rsidP="003478CC">
            <w:pPr>
              <w:pStyle w:val="Footer"/>
            </w:pPr>
          </w:p>
          <w:p w14:paraId="22500D6B" w14:textId="77777777" w:rsidR="003478CC" w:rsidRDefault="003478CC" w:rsidP="003478CC">
            <w:pPr>
              <w:pStyle w:val="Footer"/>
            </w:pPr>
            <w:r>
              <w:t>7.The information to passengers shall be provided also by electronic means, where technically possible. Where information is provided by electronic means of communication, carriers and intermediaries shall ensure that the passenger can keep any written correspondence, including the date and time of such correspondence, on a durable medium. All means of communication shall enable the passenger to contact them quickly and to communicate effectively.</w:t>
            </w:r>
          </w:p>
          <w:p w14:paraId="741F8740" w14:textId="77777777" w:rsidR="003478CC" w:rsidRDefault="003478CC" w:rsidP="003478CC">
            <w:pPr>
              <w:pStyle w:val="Footer"/>
            </w:pPr>
          </w:p>
          <w:p w14:paraId="75729AE2" w14:textId="6BBF8FC1" w:rsidR="003478CC" w:rsidRDefault="009F0897" w:rsidP="009F0897">
            <w:pPr>
              <w:pStyle w:val="Footer"/>
            </w:pPr>
            <w:r>
              <w:t>(…)</w:t>
            </w:r>
          </w:p>
        </w:tc>
        <w:tc>
          <w:tcPr>
            <w:tcW w:w="4982" w:type="dxa"/>
          </w:tcPr>
          <w:p w14:paraId="53F08051" w14:textId="77777777" w:rsidR="003478CC" w:rsidRDefault="003478CC" w:rsidP="003478CC">
            <w:pPr>
              <w:pStyle w:val="Footer"/>
            </w:pPr>
            <w:r>
              <w:t>Travel information for passengers</w:t>
            </w:r>
          </w:p>
          <w:p w14:paraId="4C77934B" w14:textId="77777777" w:rsidR="003478CC" w:rsidRDefault="003478CC" w:rsidP="003478CC">
            <w:pPr>
              <w:pStyle w:val="Footer"/>
            </w:pPr>
          </w:p>
          <w:p w14:paraId="6A01BA8E" w14:textId="583D4A41" w:rsidR="003478CC" w:rsidRDefault="009F0897" w:rsidP="003478CC">
            <w:pPr>
              <w:pStyle w:val="Footer"/>
            </w:pPr>
            <w:r>
              <w:t>(…)</w:t>
            </w:r>
            <w:r w:rsidR="003478CC">
              <w:t xml:space="preserve"> </w:t>
            </w:r>
          </w:p>
          <w:p w14:paraId="5F5EDAC3" w14:textId="77777777" w:rsidR="003478CC" w:rsidRDefault="003478CC" w:rsidP="003478CC">
            <w:pPr>
              <w:pStyle w:val="Footer"/>
            </w:pPr>
          </w:p>
          <w:p w14:paraId="54FB4A5F" w14:textId="3C82610F" w:rsidR="003478CC" w:rsidRDefault="003478CC" w:rsidP="003478CC">
            <w:pPr>
              <w:pStyle w:val="Footer"/>
            </w:pPr>
            <w:r>
              <w:t xml:space="preserve">6.The information referred to in paragraphs 1 to 5 shall be provided in the most appropriate format, including by using appropriate communication technologies. This information shall be provided in an accessible format </w:t>
            </w:r>
            <w:r w:rsidRPr="003478CC">
              <w:rPr>
                <w:b/>
                <w:bCs/>
                <w:i/>
                <w:iCs/>
              </w:rPr>
              <w:t>in accordance with applicable legislation, including the accessibility requirements set out in Annex I to Directive (EU) 2019/882.</w:t>
            </w:r>
            <w:r>
              <w:t xml:space="preserve"> </w:t>
            </w:r>
          </w:p>
          <w:p w14:paraId="47610F0E" w14:textId="77777777" w:rsidR="003478CC" w:rsidRDefault="003478CC" w:rsidP="003478CC">
            <w:pPr>
              <w:pStyle w:val="Footer"/>
            </w:pPr>
          </w:p>
          <w:p w14:paraId="718B5F2E" w14:textId="2BDCEBA3" w:rsidR="003478CC" w:rsidRDefault="003478CC" w:rsidP="003478CC">
            <w:pPr>
              <w:pStyle w:val="Footer"/>
            </w:pPr>
            <w:r>
              <w:t>7.The information to passengers shall be provided also by electronic means, where technically possible. Where information is provided by electronic means of communication, carriers and intermediaries shall ensure that the passenger can keep any written correspondence, including the date and time of such correspondence, on a durable medium. All means of communication</w:t>
            </w:r>
            <w:r w:rsidR="0031643E">
              <w:t xml:space="preserve"> and</w:t>
            </w:r>
            <w:r>
              <w:t xml:space="preserve"> shall enable the passenger to contact them quickly and to communicate effectively</w:t>
            </w:r>
            <w:r w:rsidR="0031643E">
              <w:t xml:space="preserve">. </w:t>
            </w:r>
            <w:r w:rsidR="0031643E" w:rsidRPr="0031643E">
              <w:rPr>
                <w:b/>
                <w:bCs/>
                <w:i/>
                <w:iCs/>
              </w:rPr>
              <w:t xml:space="preserve">An accessible mean of communication </w:t>
            </w:r>
            <w:r w:rsidR="00312270">
              <w:rPr>
                <w:b/>
                <w:bCs/>
                <w:i/>
                <w:iCs/>
              </w:rPr>
              <w:t xml:space="preserve">shall </w:t>
            </w:r>
            <w:r w:rsidR="0031643E" w:rsidRPr="0031643E">
              <w:rPr>
                <w:b/>
                <w:bCs/>
                <w:i/>
                <w:iCs/>
              </w:rPr>
              <w:t>be provided.</w:t>
            </w:r>
            <w:r w:rsidR="0031643E">
              <w:t xml:space="preserve"> </w:t>
            </w:r>
          </w:p>
          <w:p w14:paraId="0ACF526A" w14:textId="77777777" w:rsidR="003478CC" w:rsidRDefault="003478CC" w:rsidP="003478CC">
            <w:pPr>
              <w:pStyle w:val="Footer"/>
            </w:pPr>
          </w:p>
          <w:p w14:paraId="26954B1F" w14:textId="0AB3DFCA" w:rsidR="003478CC" w:rsidRPr="00CD2FF3" w:rsidRDefault="009F0897" w:rsidP="009F0897">
            <w:pPr>
              <w:pStyle w:val="Footer"/>
              <w:rPr>
                <w:b/>
              </w:rPr>
            </w:pPr>
            <w:r>
              <w:t>(…)</w:t>
            </w:r>
          </w:p>
        </w:tc>
      </w:tr>
      <w:tr w:rsidR="003478CC" w14:paraId="54A067DD" w14:textId="77777777" w:rsidTr="008B0164">
        <w:tc>
          <w:tcPr>
            <w:tcW w:w="9962" w:type="dxa"/>
            <w:gridSpan w:val="2"/>
          </w:tcPr>
          <w:p w14:paraId="7C9899C5" w14:textId="77777777" w:rsidR="003478CC" w:rsidRDefault="003478CC" w:rsidP="003478CC">
            <w:pPr>
              <w:pStyle w:val="Footer"/>
              <w:jc w:val="both"/>
              <w:rPr>
                <w:b/>
                <w:bCs/>
              </w:rPr>
            </w:pPr>
            <w:r w:rsidRPr="0031643E">
              <w:rPr>
                <w:b/>
                <w:bCs/>
              </w:rPr>
              <w:t>Justification:</w:t>
            </w:r>
          </w:p>
          <w:p w14:paraId="3B820411" w14:textId="77777777" w:rsidR="0031643E" w:rsidRDefault="0031643E" w:rsidP="003478CC">
            <w:pPr>
              <w:pStyle w:val="Footer"/>
              <w:jc w:val="both"/>
              <w:rPr>
                <w:b/>
                <w:bCs/>
              </w:rPr>
            </w:pPr>
          </w:p>
          <w:p w14:paraId="75B2CED7" w14:textId="42A7C213" w:rsidR="0031643E" w:rsidRDefault="0031643E" w:rsidP="003478CC">
            <w:pPr>
              <w:pStyle w:val="Footer"/>
              <w:jc w:val="both"/>
            </w:pPr>
            <w:r>
              <w:t>The Regulation proposal comes a few years after the adoption of the European Accessibility Act</w:t>
            </w:r>
            <w:r w:rsidR="00A15683">
              <w:t xml:space="preserve"> (EAA)</w:t>
            </w:r>
            <w:r>
              <w:t xml:space="preserve">. As a result, when the </w:t>
            </w:r>
            <w:r w:rsidR="004D4247">
              <w:t>EAA</w:t>
            </w:r>
            <w:r>
              <w:t xml:space="preserve"> refers to transport services covered by accessibility obligations, it only refers to the</w:t>
            </w:r>
            <w:r w:rsidR="00A15683">
              <w:t xml:space="preserve"> passenger rights regulations that were in force in the moment </w:t>
            </w:r>
            <w:r w:rsidR="004D4247">
              <w:t>of its adoption:</w:t>
            </w:r>
            <w:r w:rsidR="00A15683">
              <w:t xml:space="preserve"> Rail, Air, Waterborne, Bus and Coach. Taking into account that access to accessible information is an important right for passengers with disabilities and that recital 15 </w:t>
            </w:r>
            <w:r w:rsidR="00A15683">
              <w:lastRenderedPageBreak/>
              <w:t xml:space="preserve">mentions it, is important to link the accessibility provisions to the accessibility requirements of the EAA. </w:t>
            </w:r>
            <w:r>
              <w:t>This link will provide legal certainty on what accessibility is</w:t>
            </w:r>
            <w:r w:rsidR="00A15683">
              <w:t>, coherence in the passenger rights legal framework</w:t>
            </w:r>
            <w:r>
              <w:t xml:space="preserve"> and homogeneity in the way accessibility provisions are implemented in the different member states. </w:t>
            </w:r>
            <w:r w:rsidR="00A15683">
              <w:t>This practice is not strange, as t</w:t>
            </w:r>
            <w:r>
              <w:t xml:space="preserve">he </w:t>
            </w:r>
            <w:hyperlink r:id="rId16" w:history="1">
              <w:r w:rsidRPr="0031643E">
                <w:rPr>
                  <w:rStyle w:val="Hyperlink"/>
                </w:rPr>
                <w:t>Rail Passenger Rights Regulation</w:t>
              </w:r>
            </w:hyperlink>
            <w:r>
              <w:t xml:space="preserve"> (2021) already contains such </w:t>
            </w:r>
            <w:r w:rsidR="00A15683">
              <w:t xml:space="preserve">direct </w:t>
            </w:r>
            <w:r>
              <w:t xml:space="preserve">references </w:t>
            </w:r>
            <w:r w:rsidR="00A15683">
              <w:t xml:space="preserve">to the EAA </w:t>
            </w:r>
            <w:r>
              <w:t>in all relevant articles</w:t>
            </w:r>
            <w:r w:rsidR="00A15683">
              <w:t xml:space="preserve"> (Articles 8, 9, 22 and 30). </w:t>
            </w:r>
          </w:p>
          <w:p w14:paraId="25BA6411" w14:textId="77777777" w:rsidR="00A15683" w:rsidRDefault="00A15683" w:rsidP="003478CC">
            <w:pPr>
              <w:pStyle w:val="Footer"/>
              <w:jc w:val="both"/>
            </w:pPr>
          </w:p>
          <w:p w14:paraId="11B4BB06" w14:textId="1810382C" w:rsidR="0031643E" w:rsidRDefault="00A15683" w:rsidP="003478CC">
            <w:pPr>
              <w:pStyle w:val="Footer"/>
              <w:jc w:val="both"/>
            </w:pPr>
            <w:r>
              <w:t xml:space="preserve">It is also important to specify that means of communication with passengers, not only the information provided to them, </w:t>
            </w:r>
            <w:r w:rsidR="00312270">
              <w:t>must always</w:t>
            </w:r>
            <w:r>
              <w:t xml:space="preserve"> be accessible.</w:t>
            </w:r>
          </w:p>
          <w:p w14:paraId="697F5302" w14:textId="3AC09DC1" w:rsidR="0031643E" w:rsidRDefault="0031643E" w:rsidP="003478CC">
            <w:pPr>
              <w:pStyle w:val="Footer"/>
              <w:jc w:val="both"/>
            </w:pPr>
          </w:p>
        </w:tc>
      </w:tr>
    </w:tbl>
    <w:p w14:paraId="28BD77F5" w14:textId="257B1C87" w:rsidR="008B0164" w:rsidRDefault="008B0164" w:rsidP="008B0164">
      <w:pPr>
        <w:pStyle w:val="Heading2"/>
      </w:pPr>
      <w:bookmarkStart w:id="5" w:name="_Toc164171914"/>
      <w:r>
        <w:lastRenderedPageBreak/>
        <w:t>A</w:t>
      </w:r>
      <w:r w:rsidR="006841A6">
        <w:t xml:space="preserve">mendment to Article 8 – Reimbursement when single multimodal ticket was booked through intermediary </w:t>
      </w:r>
      <w:r w:rsidR="00661D38">
        <w:t>(paragraph 2 and 4)</w:t>
      </w:r>
      <w:bookmarkEnd w:id="5"/>
    </w:p>
    <w:p w14:paraId="07AFB059"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3C7DFC8E" w14:textId="77777777" w:rsidTr="008B0164">
        <w:tc>
          <w:tcPr>
            <w:tcW w:w="4980" w:type="dxa"/>
          </w:tcPr>
          <w:p w14:paraId="7A0CFE9A" w14:textId="77777777" w:rsidR="008B0164" w:rsidRDefault="008B0164" w:rsidP="00E816E5">
            <w:pPr>
              <w:pStyle w:val="Footer"/>
              <w:jc w:val="both"/>
            </w:pPr>
            <w:r>
              <w:t>Commission proposal</w:t>
            </w:r>
          </w:p>
        </w:tc>
        <w:tc>
          <w:tcPr>
            <w:tcW w:w="4982" w:type="dxa"/>
          </w:tcPr>
          <w:p w14:paraId="5F904398" w14:textId="77777777" w:rsidR="008B0164" w:rsidRDefault="008B0164" w:rsidP="00E816E5">
            <w:pPr>
              <w:pStyle w:val="Footer"/>
              <w:jc w:val="both"/>
            </w:pPr>
            <w:r>
              <w:t>EDF amendments</w:t>
            </w:r>
          </w:p>
        </w:tc>
      </w:tr>
      <w:tr w:rsidR="006841A6" w14:paraId="414F4D47" w14:textId="77777777" w:rsidTr="008B0164">
        <w:tc>
          <w:tcPr>
            <w:tcW w:w="4980" w:type="dxa"/>
          </w:tcPr>
          <w:p w14:paraId="3234FB8B" w14:textId="77777777" w:rsidR="006841A6" w:rsidRDefault="006841A6" w:rsidP="006841A6">
            <w:pPr>
              <w:pStyle w:val="Footer"/>
            </w:pPr>
            <w:r>
              <w:t>Reimbursement when the single multimodal contract was booked through an intermediary</w:t>
            </w:r>
          </w:p>
          <w:p w14:paraId="35A2D58B" w14:textId="77777777" w:rsidR="006841A6" w:rsidRDefault="006841A6" w:rsidP="006841A6">
            <w:pPr>
              <w:pStyle w:val="Footer"/>
            </w:pPr>
          </w:p>
          <w:p w14:paraId="42E70B5D" w14:textId="40434BD6" w:rsidR="006841A6" w:rsidRDefault="00661D38" w:rsidP="006841A6">
            <w:pPr>
              <w:pStyle w:val="Footer"/>
            </w:pPr>
            <w:r>
              <w:t>(..</w:t>
            </w:r>
            <w:r w:rsidR="006841A6">
              <w:t>.</w:t>
            </w:r>
            <w:r>
              <w:t>)</w:t>
            </w:r>
          </w:p>
          <w:p w14:paraId="34ABCEC5" w14:textId="77777777" w:rsidR="006841A6" w:rsidRDefault="006841A6" w:rsidP="006841A6">
            <w:pPr>
              <w:pStyle w:val="Footer"/>
            </w:pPr>
          </w:p>
          <w:p w14:paraId="3E282931" w14:textId="77777777" w:rsidR="006841A6" w:rsidRDefault="006841A6" w:rsidP="006841A6">
            <w:pPr>
              <w:pStyle w:val="Footer"/>
            </w:pPr>
            <w:r>
              <w:t>2.The intermediary and the contracting carrier shall inform the passenger about the reimbursement process as provided for in this Article in a clear, comprehensible and easily accessible manner at the time of booking and on the booking confirmation.</w:t>
            </w:r>
          </w:p>
          <w:p w14:paraId="25C11D89" w14:textId="77777777" w:rsidR="006841A6" w:rsidRDefault="006841A6" w:rsidP="006841A6">
            <w:pPr>
              <w:pStyle w:val="Footer"/>
            </w:pPr>
          </w:p>
          <w:p w14:paraId="7C96D759" w14:textId="5479F3FE" w:rsidR="006841A6" w:rsidRDefault="00661D38" w:rsidP="006841A6">
            <w:pPr>
              <w:pStyle w:val="Footer"/>
            </w:pPr>
            <w:r>
              <w:t>(…)</w:t>
            </w:r>
          </w:p>
          <w:p w14:paraId="41D07595" w14:textId="77777777" w:rsidR="006841A6" w:rsidRDefault="006841A6" w:rsidP="006841A6">
            <w:pPr>
              <w:pStyle w:val="Footer"/>
            </w:pPr>
          </w:p>
          <w:p w14:paraId="753B9F88" w14:textId="77777777" w:rsidR="006841A6" w:rsidRDefault="006841A6" w:rsidP="006841A6">
            <w:pPr>
              <w:pStyle w:val="Footer"/>
            </w:pPr>
            <w:r>
              <w:t>4.The carrier shall state publicly, in a clear, comprehensible and easily accessible manner, whether it agrees to process reimbursements through intermediaries, and with which intermediaries it accepts to do so.</w:t>
            </w:r>
          </w:p>
          <w:p w14:paraId="0B640C69" w14:textId="77777777" w:rsidR="006841A6" w:rsidRDefault="006841A6" w:rsidP="006841A6">
            <w:pPr>
              <w:pStyle w:val="Footer"/>
            </w:pPr>
          </w:p>
          <w:p w14:paraId="7008DCAC" w14:textId="77777777" w:rsidR="006841A6" w:rsidRDefault="006841A6" w:rsidP="006841A6">
            <w:pPr>
              <w:pStyle w:val="Footer"/>
            </w:pPr>
          </w:p>
          <w:p w14:paraId="0B913518" w14:textId="196B5623" w:rsidR="006841A6" w:rsidRDefault="00661D38" w:rsidP="00661D38">
            <w:pPr>
              <w:pStyle w:val="Footer"/>
            </w:pPr>
            <w:r>
              <w:t>(…)</w:t>
            </w:r>
          </w:p>
        </w:tc>
        <w:tc>
          <w:tcPr>
            <w:tcW w:w="4982" w:type="dxa"/>
          </w:tcPr>
          <w:p w14:paraId="435678CB" w14:textId="77777777" w:rsidR="006841A6" w:rsidRDefault="006841A6" w:rsidP="006841A6">
            <w:pPr>
              <w:pStyle w:val="Footer"/>
            </w:pPr>
            <w:r>
              <w:t>Reimbursement when the single multimodal contract was booked through an intermediary</w:t>
            </w:r>
          </w:p>
          <w:p w14:paraId="6764D484" w14:textId="77777777" w:rsidR="006841A6" w:rsidRDefault="006841A6" w:rsidP="006841A6">
            <w:pPr>
              <w:pStyle w:val="Footer"/>
            </w:pPr>
          </w:p>
          <w:p w14:paraId="2239C4D1" w14:textId="683D5EE0" w:rsidR="006841A6" w:rsidRDefault="00661D38" w:rsidP="006841A6">
            <w:pPr>
              <w:pStyle w:val="Footer"/>
            </w:pPr>
            <w:r>
              <w:t>(…)</w:t>
            </w:r>
          </w:p>
          <w:p w14:paraId="1D4038E1" w14:textId="77777777" w:rsidR="006841A6" w:rsidRDefault="006841A6" w:rsidP="006841A6">
            <w:pPr>
              <w:pStyle w:val="Footer"/>
            </w:pPr>
          </w:p>
          <w:p w14:paraId="43D2D6FF" w14:textId="3B3B0C87" w:rsidR="006841A6" w:rsidRDefault="006841A6" w:rsidP="006841A6">
            <w:pPr>
              <w:pStyle w:val="Footer"/>
            </w:pPr>
            <w:r>
              <w:t xml:space="preserve">2.The intermediary and the contracting carrier shall inform the passenger about the reimbursement process as provided for in this Article in a clear, comprehensible and easily accessible manner, </w:t>
            </w:r>
            <w:r w:rsidRPr="006841A6">
              <w:rPr>
                <w:b/>
                <w:bCs/>
                <w:i/>
                <w:iCs/>
              </w:rPr>
              <w:t>including in accordance with the accessibility requirements set out in Annex I to Directive (EU) 2019/882</w:t>
            </w:r>
            <w:r>
              <w:rPr>
                <w:b/>
                <w:bCs/>
                <w:i/>
                <w:iCs/>
              </w:rPr>
              <w:t>,</w:t>
            </w:r>
            <w:r>
              <w:t xml:space="preserve"> at the time of booking and on the booking confirmation.</w:t>
            </w:r>
          </w:p>
          <w:p w14:paraId="0A8EC484" w14:textId="77777777" w:rsidR="006841A6" w:rsidRDefault="006841A6" w:rsidP="006841A6">
            <w:pPr>
              <w:pStyle w:val="Footer"/>
            </w:pPr>
          </w:p>
          <w:p w14:paraId="2215A132" w14:textId="561C2081" w:rsidR="006841A6" w:rsidRDefault="00661D38" w:rsidP="006841A6">
            <w:pPr>
              <w:pStyle w:val="Footer"/>
            </w:pPr>
            <w:r>
              <w:t>(…)</w:t>
            </w:r>
          </w:p>
          <w:p w14:paraId="32D5B935" w14:textId="77777777" w:rsidR="006841A6" w:rsidRDefault="006841A6" w:rsidP="006841A6">
            <w:pPr>
              <w:pStyle w:val="Footer"/>
            </w:pPr>
          </w:p>
          <w:p w14:paraId="4C2EE904" w14:textId="09D540D8" w:rsidR="006841A6" w:rsidRDefault="006841A6" w:rsidP="006841A6">
            <w:pPr>
              <w:pStyle w:val="Footer"/>
            </w:pPr>
            <w:r>
              <w:t xml:space="preserve">4.The carrier shall state publicly, in a clear, comprehensible and easily accessible manner, </w:t>
            </w:r>
            <w:r w:rsidRPr="006841A6">
              <w:rPr>
                <w:b/>
                <w:bCs/>
                <w:i/>
                <w:iCs/>
              </w:rPr>
              <w:t>including in accordance with the accessibility requirements set out in Annex I to Directive (EU) 2019/882</w:t>
            </w:r>
            <w:r>
              <w:rPr>
                <w:b/>
                <w:bCs/>
                <w:i/>
                <w:iCs/>
              </w:rPr>
              <w:t xml:space="preserve">, </w:t>
            </w:r>
            <w:r>
              <w:t>whether it agrees to process reimbursements through intermediaries, and with which intermediaries it accepts to do so.</w:t>
            </w:r>
          </w:p>
          <w:p w14:paraId="3EAE1239" w14:textId="77777777" w:rsidR="006841A6" w:rsidRDefault="006841A6" w:rsidP="006841A6">
            <w:pPr>
              <w:pStyle w:val="Footer"/>
            </w:pPr>
          </w:p>
          <w:p w14:paraId="310C5616" w14:textId="209C47C0" w:rsidR="006841A6" w:rsidRPr="00661D38" w:rsidRDefault="00661D38" w:rsidP="00661D38">
            <w:pPr>
              <w:pStyle w:val="Footer"/>
              <w:rPr>
                <w:bCs/>
              </w:rPr>
            </w:pPr>
            <w:r>
              <w:rPr>
                <w:bCs/>
              </w:rPr>
              <w:t>(…)</w:t>
            </w:r>
          </w:p>
        </w:tc>
      </w:tr>
      <w:tr w:rsidR="006841A6" w14:paraId="75524886" w14:textId="77777777" w:rsidTr="008B0164">
        <w:tc>
          <w:tcPr>
            <w:tcW w:w="9962" w:type="dxa"/>
            <w:gridSpan w:val="2"/>
          </w:tcPr>
          <w:p w14:paraId="1A547AFB" w14:textId="77777777" w:rsidR="006841A6" w:rsidRDefault="006841A6" w:rsidP="006841A6">
            <w:pPr>
              <w:pStyle w:val="Footer"/>
              <w:jc w:val="both"/>
            </w:pPr>
            <w:r>
              <w:lastRenderedPageBreak/>
              <w:t>Justification:</w:t>
            </w:r>
          </w:p>
          <w:p w14:paraId="14B6F7BA" w14:textId="77777777" w:rsidR="006841A6" w:rsidRDefault="006841A6" w:rsidP="006841A6">
            <w:pPr>
              <w:pStyle w:val="Footer"/>
              <w:jc w:val="both"/>
            </w:pPr>
          </w:p>
          <w:p w14:paraId="068D49BB" w14:textId="2FEB7077" w:rsidR="006841A6" w:rsidRDefault="006841A6" w:rsidP="00CF7192">
            <w:pPr>
              <w:pStyle w:val="Footer"/>
              <w:jc w:val="both"/>
            </w:pPr>
            <w:r>
              <w:t xml:space="preserve">See justification previous amendment. </w:t>
            </w:r>
          </w:p>
        </w:tc>
      </w:tr>
    </w:tbl>
    <w:p w14:paraId="70B5225B" w14:textId="1ECF8640" w:rsidR="008B0164" w:rsidRDefault="008B0164" w:rsidP="008B0164">
      <w:pPr>
        <w:pStyle w:val="Heading2"/>
      </w:pPr>
      <w:bookmarkStart w:id="6" w:name="_Toc164171915"/>
      <w:r>
        <w:t>A</w:t>
      </w:r>
      <w:r w:rsidR="006841A6">
        <w:t xml:space="preserve">mendment to Article 9 – Assistance </w:t>
      </w:r>
      <w:r w:rsidR="00661D38">
        <w:t>(Paragraph 2)</w:t>
      </w:r>
      <w:bookmarkEnd w:id="6"/>
    </w:p>
    <w:p w14:paraId="6FF3E9A1"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1435BAA0" w14:textId="77777777" w:rsidTr="008B0164">
        <w:tc>
          <w:tcPr>
            <w:tcW w:w="4980" w:type="dxa"/>
          </w:tcPr>
          <w:p w14:paraId="7B56A6F7" w14:textId="77777777" w:rsidR="008B0164" w:rsidRDefault="008B0164" w:rsidP="00E816E5">
            <w:pPr>
              <w:pStyle w:val="Footer"/>
              <w:jc w:val="both"/>
            </w:pPr>
            <w:r>
              <w:t>Commission proposal</w:t>
            </w:r>
          </w:p>
        </w:tc>
        <w:tc>
          <w:tcPr>
            <w:tcW w:w="4982" w:type="dxa"/>
          </w:tcPr>
          <w:p w14:paraId="46505E12" w14:textId="77777777" w:rsidR="008B0164" w:rsidRDefault="008B0164" w:rsidP="00E816E5">
            <w:pPr>
              <w:pStyle w:val="Footer"/>
              <w:jc w:val="both"/>
            </w:pPr>
            <w:r>
              <w:t>EDF amendments</w:t>
            </w:r>
          </w:p>
        </w:tc>
      </w:tr>
      <w:tr w:rsidR="006841A6" w14:paraId="6B367E67" w14:textId="77777777" w:rsidTr="008B0164">
        <w:tc>
          <w:tcPr>
            <w:tcW w:w="4980" w:type="dxa"/>
          </w:tcPr>
          <w:p w14:paraId="0BF0591C" w14:textId="77777777" w:rsidR="006841A6" w:rsidRDefault="006841A6" w:rsidP="006841A6">
            <w:pPr>
              <w:pStyle w:val="Footer"/>
            </w:pPr>
            <w:r>
              <w:t>Assistance</w:t>
            </w:r>
          </w:p>
          <w:p w14:paraId="1E974DE8" w14:textId="77777777" w:rsidR="006841A6" w:rsidRDefault="006841A6" w:rsidP="006841A6">
            <w:pPr>
              <w:pStyle w:val="Footer"/>
            </w:pPr>
          </w:p>
          <w:p w14:paraId="6FEC53A3" w14:textId="0FB4996D" w:rsidR="006841A6" w:rsidRDefault="00661D38" w:rsidP="006841A6">
            <w:pPr>
              <w:pStyle w:val="Footer"/>
            </w:pPr>
            <w:r>
              <w:t>(..</w:t>
            </w:r>
            <w:r w:rsidR="006841A6">
              <w:t>.</w:t>
            </w:r>
            <w:r>
              <w:t>)</w:t>
            </w:r>
          </w:p>
          <w:p w14:paraId="58518A27" w14:textId="77777777" w:rsidR="006841A6" w:rsidRDefault="006841A6" w:rsidP="006841A6">
            <w:pPr>
              <w:pStyle w:val="Footer"/>
            </w:pPr>
          </w:p>
          <w:p w14:paraId="364FB802" w14:textId="4B2DD069" w:rsidR="006841A6" w:rsidRDefault="006841A6" w:rsidP="006841A6">
            <w:pPr>
              <w:pStyle w:val="Footer"/>
            </w:pPr>
            <w:r>
              <w:t>2.In applying paragraph 1, the operating carrier shall pay particular attention to the needs of persons with disabilities and persons with reduced mobility, as well as to those of any accompanying persons and assistance dog</w:t>
            </w:r>
          </w:p>
        </w:tc>
        <w:tc>
          <w:tcPr>
            <w:tcW w:w="4982" w:type="dxa"/>
          </w:tcPr>
          <w:p w14:paraId="51CF4F7D" w14:textId="77777777" w:rsidR="006841A6" w:rsidRDefault="006841A6" w:rsidP="006841A6">
            <w:pPr>
              <w:pStyle w:val="Footer"/>
            </w:pPr>
            <w:r>
              <w:t>Assistance</w:t>
            </w:r>
          </w:p>
          <w:p w14:paraId="192947BB" w14:textId="77777777" w:rsidR="006841A6" w:rsidRDefault="006841A6" w:rsidP="006841A6">
            <w:pPr>
              <w:pStyle w:val="Footer"/>
            </w:pPr>
          </w:p>
          <w:p w14:paraId="4D394A31" w14:textId="25F2115A" w:rsidR="006841A6" w:rsidRDefault="00661D38" w:rsidP="006841A6">
            <w:pPr>
              <w:pStyle w:val="Footer"/>
            </w:pPr>
            <w:r>
              <w:t>(…)</w:t>
            </w:r>
          </w:p>
          <w:p w14:paraId="29E011B1" w14:textId="77777777" w:rsidR="006841A6" w:rsidRDefault="006841A6" w:rsidP="006841A6">
            <w:pPr>
              <w:pStyle w:val="Footer"/>
            </w:pPr>
          </w:p>
          <w:p w14:paraId="28AF615A" w14:textId="49015E42" w:rsidR="006841A6" w:rsidRPr="00CD2FF3" w:rsidRDefault="006841A6" w:rsidP="006841A6">
            <w:pPr>
              <w:pStyle w:val="Footer"/>
              <w:rPr>
                <w:b/>
              </w:rPr>
            </w:pPr>
            <w:r>
              <w:t xml:space="preserve">2.In applying paragraph 1, the operating carrier shall pay particular attention to the needs of persons with disabilities and persons with reduced mobility, as well as to those of any accompanying persons and assistance dog, </w:t>
            </w:r>
            <w:r w:rsidR="00AD311F" w:rsidRPr="00AD311F">
              <w:rPr>
                <w:b/>
                <w:bCs/>
                <w:i/>
                <w:iCs/>
              </w:rPr>
              <w:t>including</w:t>
            </w:r>
            <w:r w:rsidR="00AD311F">
              <w:rPr>
                <w:b/>
                <w:bCs/>
                <w:i/>
                <w:iCs/>
              </w:rPr>
              <w:t xml:space="preserve"> by providing when necessary alternative services </w:t>
            </w:r>
            <w:r w:rsidRPr="006841A6">
              <w:rPr>
                <w:b/>
                <w:bCs/>
                <w:i/>
                <w:iCs/>
              </w:rPr>
              <w:t>which differ from those offered to other passengers</w:t>
            </w:r>
            <w:r>
              <w:t xml:space="preserve">. </w:t>
            </w:r>
          </w:p>
        </w:tc>
      </w:tr>
      <w:tr w:rsidR="006841A6" w14:paraId="5DB1A27D" w14:textId="77777777" w:rsidTr="008B0164">
        <w:tc>
          <w:tcPr>
            <w:tcW w:w="9962" w:type="dxa"/>
            <w:gridSpan w:val="2"/>
          </w:tcPr>
          <w:p w14:paraId="249C24EA" w14:textId="77777777" w:rsidR="006841A6" w:rsidRDefault="006841A6" w:rsidP="006841A6">
            <w:pPr>
              <w:pStyle w:val="Footer"/>
              <w:jc w:val="both"/>
            </w:pPr>
            <w:r>
              <w:t>Justification:</w:t>
            </w:r>
          </w:p>
          <w:p w14:paraId="050BA7BB" w14:textId="77777777" w:rsidR="0076537E" w:rsidRDefault="0076537E" w:rsidP="006841A6">
            <w:pPr>
              <w:pStyle w:val="Footer"/>
              <w:jc w:val="both"/>
            </w:pPr>
          </w:p>
          <w:p w14:paraId="1540E347" w14:textId="5489E311" w:rsidR="006841A6" w:rsidRDefault="0076537E" w:rsidP="006841A6">
            <w:pPr>
              <w:pStyle w:val="Footer"/>
              <w:jc w:val="both"/>
            </w:pPr>
            <w:r>
              <w:t xml:space="preserve">As in article 7 (reimbursement and rerouting) </w:t>
            </w:r>
            <w:bookmarkStart w:id="7" w:name="_Hlk157701874"/>
            <w:r>
              <w:t xml:space="preserve">it is important to specify that paying special attention to the needs of persons with disabilities and reduced mobility also means providing, in the event of delay or cancelation, alternative services that meet the needs of persons with disabilities. This might imply providing services that differ from those offered to other passengers. </w:t>
            </w:r>
            <w:r w:rsidR="00312270">
              <w:t>For example, if the carrier provides hotel accommodation in the case of cancellation, if that hotel is not accessible to the passenger with disability, the carrier must provide a suitable alternative for that passenger.</w:t>
            </w:r>
          </w:p>
          <w:bookmarkEnd w:id="7"/>
          <w:p w14:paraId="755BCC18" w14:textId="77777777" w:rsidR="006841A6" w:rsidRDefault="006841A6" w:rsidP="00AD311F">
            <w:pPr>
              <w:pStyle w:val="Footer"/>
              <w:jc w:val="both"/>
            </w:pPr>
          </w:p>
        </w:tc>
      </w:tr>
    </w:tbl>
    <w:p w14:paraId="69A1084C" w14:textId="77777777" w:rsidR="0076537E" w:rsidRDefault="0076537E" w:rsidP="0076537E"/>
    <w:p w14:paraId="02B3734D" w14:textId="64C1B5C0" w:rsidR="008B0164" w:rsidRDefault="008B0164" w:rsidP="008B0164">
      <w:pPr>
        <w:pStyle w:val="Heading2"/>
      </w:pPr>
      <w:bookmarkStart w:id="8" w:name="_Toc164171916"/>
      <w:r>
        <w:t>A</w:t>
      </w:r>
      <w:r w:rsidR="0076537E">
        <w:t xml:space="preserve">mendment to Article 10 – Liability for combined multimodal tickets </w:t>
      </w:r>
      <w:r w:rsidR="00694C89">
        <w:t>(paragraph 2)</w:t>
      </w:r>
      <w:bookmarkEnd w:id="8"/>
      <w:r w:rsidR="00694C89">
        <w:t xml:space="preserve"> </w:t>
      </w:r>
    </w:p>
    <w:p w14:paraId="395AF4F0"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77F4C83E" w14:textId="77777777" w:rsidTr="008B0164">
        <w:tc>
          <w:tcPr>
            <w:tcW w:w="4980" w:type="dxa"/>
          </w:tcPr>
          <w:p w14:paraId="71737C38" w14:textId="77777777" w:rsidR="008B0164" w:rsidRDefault="008B0164" w:rsidP="00E816E5">
            <w:pPr>
              <w:pStyle w:val="Footer"/>
              <w:jc w:val="both"/>
            </w:pPr>
            <w:r>
              <w:t>Commission proposal</w:t>
            </w:r>
          </w:p>
        </w:tc>
        <w:tc>
          <w:tcPr>
            <w:tcW w:w="4982" w:type="dxa"/>
          </w:tcPr>
          <w:p w14:paraId="767169CD" w14:textId="77777777" w:rsidR="008B0164" w:rsidRDefault="008B0164" w:rsidP="00E816E5">
            <w:pPr>
              <w:pStyle w:val="Footer"/>
              <w:jc w:val="both"/>
            </w:pPr>
            <w:r>
              <w:t>EDF amendments</w:t>
            </w:r>
          </w:p>
        </w:tc>
      </w:tr>
      <w:tr w:rsidR="0076537E" w14:paraId="7E1CA27E" w14:textId="77777777" w:rsidTr="008B0164">
        <w:tc>
          <w:tcPr>
            <w:tcW w:w="4980" w:type="dxa"/>
          </w:tcPr>
          <w:p w14:paraId="1248AC29" w14:textId="77777777" w:rsidR="0076537E" w:rsidRDefault="0076537E" w:rsidP="0076537E">
            <w:pPr>
              <w:pStyle w:val="Footer"/>
            </w:pPr>
            <w:r>
              <w:t>Liability for combined multimodal tickets</w:t>
            </w:r>
          </w:p>
          <w:p w14:paraId="09015E6A" w14:textId="77777777" w:rsidR="0076537E" w:rsidRDefault="0076537E" w:rsidP="0076537E">
            <w:pPr>
              <w:pStyle w:val="Footer"/>
            </w:pPr>
          </w:p>
          <w:p w14:paraId="148FC0DB" w14:textId="145EF912" w:rsidR="0076537E" w:rsidRDefault="00694C89" w:rsidP="0076537E">
            <w:pPr>
              <w:pStyle w:val="Footer"/>
            </w:pPr>
            <w:r>
              <w:t>(…)</w:t>
            </w:r>
          </w:p>
          <w:p w14:paraId="69E65BCF" w14:textId="77777777" w:rsidR="0076537E" w:rsidRDefault="0076537E" w:rsidP="0076537E">
            <w:pPr>
              <w:pStyle w:val="Footer"/>
            </w:pPr>
          </w:p>
          <w:p w14:paraId="455D14A0" w14:textId="77777777" w:rsidR="0076537E" w:rsidRDefault="0076537E" w:rsidP="0076537E">
            <w:pPr>
              <w:pStyle w:val="Footer"/>
            </w:pPr>
            <w:r>
              <w:t xml:space="preserve">2.The liability set out in paragraph 1 shall not apply if it is explicitly and clearly mentioned on the tickets, or on another document or </w:t>
            </w:r>
            <w:r>
              <w:lastRenderedPageBreak/>
              <w:t>electronically in such a manner that allows the passenger to reproduce the information for future reference, that the combined multimodal ticket consists of separate transport contracts with no right under this Regulation to reimbursement, re-routing, assistance or compensation in case of missed connections, and if the passenger was clearly informed of this prior to the purchase. The burden of proof that the passenger was provided with the information shall lie with the carrier or intermediary that sold the combined multimodal ticket.</w:t>
            </w:r>
          </w:p>
          <w:p w14:paraId="1EED24B4" w14:textId="77777777" w:rsidR="0076537E" w:rsidRDefault="0076537E" w:rsidP="0076537E">
            <w:pPr>
              <w:pStyle w:val="Footer"/>
            </w:pPr>
          </w:p>
          <w:p w14:paraId="0AA5DA6C" w14:textId="77777777" w:rsidR="0076537E" w:rsidRDefault="0076537E" w:rsidP="0076537E">
            <w:pPr>
              <w:pStyle w:val="Footer"/>
            </w:pPr>
            <w:r>
              <w:t>The burden of proof that the passenger was provided with the information shall lie with the carrier or intermediary which sold the combined multimodal ticket.</w:t>
            </w:r>
          </w:p>
          <w:p w14:paraId="17B90A39" w14:textId="77777777" w:rsidR="0076537E" w:rsidRDefault="0076537E" w:rsidP="0076537E">
            <w:pPr>
              <w:pStyle w:val="Footer"/>
            </w:pPr>
          </w:p>
          <w:p w14:paraId="5F2AE5EC" w14:textId="1CC335EC" w:rsidR="0076537E" w:rsidRDefault="00694C89" w:rsidP="0076537E">
            <w:pPr>
              <w:pStyle w:val="Footer"/>
            </w:pPr>
            <w:r>
              <w:t>(…)</w:t>
            </w:r>
          </w:p>
        </w:tc>
        <w:tc>
          <w:tcPr>
            <w:tcW w:w="4982" w:type="dxa"/>
          </w:tcPr>
          <w:p w14:paraId="449470C9" w14:textId="5B140D12" w:rsidR="0076537E" w:rsidRDefault="0076537E" w:rsidP="0076537E">
            <w:pPr>
              <w:pStyle w:val="Footer"/>
            </w:pPr>
            <w:r>
              <w:lastRenderedPageBreak/>
              <w:t>Liability for combined multimodal tickets</w:t>
            </w:r>
          </w:p>
          <w:p w14:paraId="420B89F8" w14:textId="77777777" w:rsidR="00694C89" w:rsidRDefault="00694C89" w:rsidP="0076537E">
            <w:pPr>
              <w:pStyle w:val="Footer"/>
            </w:pPr>
          </w:p>
          <w:p w14:paraId="012C118A" w14:textId="1E5ABCEC" w:rsidR="00694C89" w:rsidRDefault="00694C89" w:rsidP="0076537E">
            <w:pPr>
              <w:pStyle w:val="Footer"/>
            </w:pPr>
            <w:r>
              <w:t>(…)</w:t>
            </w:r>
          </w:p>
          <w:p w14:paraId="63684B4E" w14:textId="77777777" w:rsidR="0076537E" w:rsidRDefault="0076537E" w:rsidP="0076537E">
            <w:pPr>
              <w:pStyle w:val="Footer"/>
            </w:pPr>
          </w:p>
          <w:p w14:paraId="331DE234" w14:textId="5EA73F75" w:rsidR="0076537E" w:rsidRDefault="0076537E" w:rsidP="0076537E">
            <w:pPr>
              <w:pStyle w:val="Footer"/>
            </w:pPr>
            <w:r>
              <w:t xml:space="preserve">2.The liability set out in paragraph 1 shall not apply if it is explicitly and clearly mentioned on the tickets or on another document or </w:t>
            </w:r>
            <w:r>
              <w:lastRenderedPageBreak/>
              <w:t>electronically in such a manner that allows the passenger to reproduce the information for future reference, that the combined multimodal ticket consists of separate transport contracts with no right under this Regulation to reimbursement, re-routing, assistance or compensation in case of missed connections, and if the passenger was clearly informed of this prior to the purchase.</w:t>
            </w:r>
            <w:r w:rsidR="009200BB">
              <w:t xml:space="preserve"> </w:t>
            </w:r>
            <w:r w:rsidR="009200BB">
              <w:rPr>
                <w:b/>
                <w:bCs/>
                <w:i/>
                <w:iCs/>
              </w:rPr>
              <w:t>Despite of how the information is provided, this shall be accessible for persons with disabilities in accordance with Directive (EU) 2019/882.</w:t>
            </w:r>
            <w:r>
              <w:t xml:space="preserve"> The burden of proof that the passenger was provided with the information shall lie with the carrier or intermediary that sold the combined multimodal ticket.</w:t>
            </w:r>
          </w:p>
          <w:p w14:paraId="1C7BA9D4" w14:textId="77777777" w:rsidR="0076537E" w:rsidRDefault="0076537E" w:rsidP="0076537E">
            <w:pPr>
              <w:pStyle w:val="Footer"/>
            </w:pPr>
          </w:p>
          <w:p w14:paraId="4F2EE1B0" w14:textId="77777777" w:rsidR="0076537E" w:rsidRDefault="0076537E" w:rsidP="0076537E">
            <w:pPr>
              <w:pStyle w:val="Footer"/>
            </w:pPr>
            <w:r>
              <w:t>The burden of proof that the passenger was provided with the information shall lie with the carrier or intermediary which sold the combined multimodal ticket.</w:t>
            </w:r>
          </w:p>
          <w:p w14:paraId="5494F534" w14:textId="77777777" w:rsidR="0076537E" w:rsidRDefault="0076537E" w:rsidP="0076537E">
            <w:pPr>
              <w:pStyle w:val="Footer"/>
            </w:pPr>
          </w:p>
          <w:p w14:paraId="6270027F" w14:textId="1DCD7CCD" w:rsidR="0076537E" w:rsidRPr="00CD2FF3" w:rsidRDefault="00694C89" w:rsidP="00694C89">
            <w:pPr>
              <w:pStyle w:val="Footer"/>
              <w:rPr>
                <w:b/>
              </w:rPr>
            </w:pPr>
            <w:r>
              <w:t>(…)</w:t>
            </w:r>
            <w:r w:rsidR="0076537E">
              <w:t xml:space="preserve"> </w:t>
            </w:r>
          </w:p>
        </w:tc>
      </w:tr>
      <w:tr w:rsidR="0076537E" w14:paraId="33A0D6CB" w14:textId="77777777" w:rsidTr="008B0164">
        <w:tc>
          <w:tcPr>
            <w:tcW w:w="9962" w:type="dxa"/>
            <w:gridSpan w:val="2"/>
          </w:tcPr>
          <w:p w14:paraId="2B92AC3E" w14:textId="77777777" w:rsidR="0076537E" w:rsidRPr="00B77F3D" w:rsidRDefault="0076537E" w:rsidP="0076537E">
            <w:pPr>
              <w:pStyle w:val="Footer"/>
              <w:jc w:val="both"/>
              <w:rPr>
                <w:b/>
                <w:bCs/>
              </w:rPr>
            </w:pPr>
            <w:r w:rsidRPr="00B77F3D">
              <w:rPr>
                <w:b/>
                <w:bCs/>
              </w:rPr>
              <w:lastRenderedPageBreak/>
              <w:t>Justification:</w:t>
            </w:r>
          </w:p>
          <w:p w14:paraId="34E692BA" w14:textId="77777777" w:rsidR="0076537E" w:rsidRDefault="0076537E" w:rsidP="0076537E">
            <w:pPr>
              <w:pStyle w:val="Footer"/>
              <w:jc w:val="both"/>
            </w:pPr>
          </w:p>
          <w:p w14:paraId="17B87C7C" w14:textId="051865D6" w:rsidR="00B77F3D" w:rsidRDefault="00B77F3D" w:rsidP="0076537E">
            <w:pPr>
              <w:pStyle w:val="Footer"/>
              <w:jc w:val="both"/>
            </w:pPr>
            <w:r>
              <w:t xml:space="preserve">Article 10 is extremely </w:t>
            </w:r>
            <w:r w:rsidR="00AD311F">
              <w:t>important</w:t>
            </w:r>
            <w:r>
              <w:t xml:space="preserve"> because it contains a derogation from liability obligations for combined multimodal tickets when the carriers or intermediary clearly states that this type of ticket does not foresee any right to reimbursement, re-routing, assistance or compensation in case of missed connections and if the passenger was clearly informed before the purchase. To ensure this is not only about making this information explicitly and clearly mentioned on the tickets, but also that the format itself is accessible to persons with disabilities. </w:t>
            </w:r>
          </w:p>
          <w:p w14:paraId="0C97B8FF" w14:textId="77777777" w:rsidR="0076537E" w:rsidRDefault="0076537E" w:rsidP="0076537E">
            <w:pPr>
              <w:pStyle w:val="Footer"/>
              <w:jc w:val="both"/>
            </w:pPr>
          </w:p>
        </w:tc>
      </w:tr>
    </w:tbl>
    <w:p w14:paraId="3C5D0083" w14:textId="136FDAAF" w:rsidR="008B0164" w:rsidRDefault="008B0164" w:rsidP="008B0164">
      <w:pPr>
        <w:pStyle w:val="Heading2"/>
      </w:pPr>
      <w:bookmarkStart w:id="9" w:name="_Toc164171917"/>
      <w:r>
        <w:t xml:space="preserve">Article </w:t>
      </w:r>
      <w:r w:rsidR="00B77F3D">
        <w:t>11 – Common form for reimbursement and compensation</w:t>
      </w:r>
      <w:r w:rsidR="0097012A">
        <w:t xml:space="preserve"> (paragraph 1 and 3)</w:t>
      </w:r>
      <w:bookmarkEnd w:id="9"/>
      <w:r w:rsidR="00B77F3D">
        <w:t xml:space="preserve"> </w:t>
      </w:r>
    </w:p>
    <w:p w14:paraId="56E98877"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12B31808" w14:textId="77777777" w:rsidTr="008B0164">
        <w:tc>
          <w:tcPr>
            <w:tcW w:w="4980" w:type="dxa"/>
          </w:tcPr>
          <w:p w14:paraId="58252621" w14:textId="77777777" w:rsidR="008B0164" w:rsidRDefault="008B0164" w:rsidP="00E816E5">
            <w:pPr>
              <w:pStyle w:val="Footer"/>
              <w:jc w:val="both"/>
            </w:pPr>
            <w:r>
              <w:t>Commission proposal</w:t>
            </w:r>
          </w:p>
        </w:tc>
        <w:tc>
          <w:tcPr>
            <w:tcW w:w="4982" w:type="dxa"/>
          </w:tcPr>
          <w:p w14:paraId="2434A538" w14:textId="77777777" w:rsidR="008B0164" w:rsidRDefault="008B0164" w:rsidP="00E816E5">
            <w:pPr>
              <w:pStyle w:val="Footer"/>
              <w:jc w:val="both"/>
            </w:pPr>
            <w:r>
              <w:t>EDF amendments</w:t>
            </w:r>
          </w:p>
        </w:tc>
      </w:tr>
      <w:tr w:rsidR="008B0164" w14:paraId="6168656D" w14:textId="77777777" w:rsidTr="008B0164">
        <w:tc>
          <w:tcPr>
            <w:tcW w:w="4980" w:type="dxa"/>
          </w:tcPr>
          <w:p w14:paraId="4B38431E" w14:textId="77777777" w:rsidR="00472C89" w:rsidRDefault="00472C89" w:rsidP="00472C89">
            <w:pPr>
              <w:pStyle w:val="Footer"/>
            </w:pPr>
            <w:r>
              <w:t xml:space="preserve">1.The Commission shall adopt an implementing act establishing a common form for compensation and reimbursement requests under this Regulation. That common form shall be established in </w:t>
            </w:r>
            <w:r>
              <w:lastRenderedPageBreak/>
              <w:t>accessible formats. That implementing act shall be adopted in accordance with the examination procedure referred to in Article 26(2).</w:t>
            </w:r>
          </w:p>
          <w:p w14:paraId="4873A03A" w14:textId="77777777" w:rsidR="00472C89" w:rsidRDefault="00472C89" w:rsidP="00472C89">
            <w:pPr>
              <w:pStyle w:val="Footer"/>
            </w:pPr>
          </w:p>
          <w:p w14:paraId="16D6B21B" w14:textId="151C169D" w:rsidR="00472C89" w:rsidRDefault="009D25DA" w:rsidP="00472C89">
            <w:pPr>
              <w:pStyle w:val="Footer"/>
            </w:pPr>
            <w:r>
              <w:t>(…)</w:t>
            </w:r>
          </w:p>
          <w:p w14:paraId="457B71E7" w14:textId="77777777" w:rsidR="00472C89" w:rsidRDefault="00472C89" w:rsidP="00472C89">
            <w:pPr>
              <w:pStyle w:val="Footer"/>
            </w:pPr>
          </w:p>
          <w:p w14:paraId="2BCD7852" w14:textId="77777777" w:rsidR="00472C89" w:rsidRDefault="00472C89" w:rsidP="00472C89">
            <w:pPr>
              <w:pStyle w:val="Footer"/>
            </w:pPr>
            <w:r>
              <w:t>3.Carriers and intermediaries shall provide details on their website such as an e-mail address to which requests under paragraph 1 may be sent by electronic means. That requirement shall not apply where other electronic means of communication allowing passengers to request reimbursement or compensation are available, such as a form on a website or mobile applications, provided that such means offer the choice and information set out in the common form and are also available in an official language of the Union and in the language internationally accepted in this field. When using such means, passengers shall not be prevented from providing information in any of the languages of the Union.</w:t>
            </w:r>
          </w:p>
          <w:p w14:paraId="048DAD9F" w14:textId="77777777" w:rsidR="00472C89" w:rsidRDefault="00472C89" w:rsidP="00472C89">
            <w:pPr>
              <w:pStyle w:val="Footer"/>
            </w:pPr>
          </w:p>
          <w:p w14:paraId="7BADB7B4" w14:textId="1039A51A" w:rsidR="008B0164" w:rsidRDefault="0097012A" w:rsidP="00472C89">
            <w:pPr>
              <w:pStyle w:val="Footer"/>
            </w:pPr>
            <w:r>
              <w:t>(…)</w:t>
            </w:r>
          </w:p>
          <w:p w14:paraId="526D7B8F" w14:textId="77777777" w:rsidR="008B0164" w:rsidRDefault="008B0164" w:rsidP="00E816E5">
            <w:pPr>
              <w:pStyle w:val="Footer"/>
            </w:pPr>
          </w:p>
        </w:tc>
        <w:tc>
          <w:tcPr>
            <w:tcW w:w="4982" w:type="dxa"/>
          </w:tcPr>
          <w:p w14:paraId="0DC40927" w14:textId="5B4BA5BD" w:rsidR="00472C89" w:rsidRDefault="00472C89" w:rsidP="00472C89">
            <w:pPr>
              <w:pStyle w:val="Footer"/>
            </w:pPr>
            <w:r>
              <w:lastRenderedPageBreak/>
              <w:t xml:space="preserve">1.The Commission shall adopt an implementing act establishing a common form for compensation and reimbursement requests under this Regulation. That common form shall be established in </w:t>
            </w:r>
            <w:r>
              <w:lastRenderedPageBreak/>
              <w:t>accessible formats</w:t>
            </w:r>
            <w:r w:rsidR="00F133E8">
              <w:t xml:space="preserve"> </w:t>
            </w:r>
            <w:r w:rsidR="00F133E8">
              <w:rPr>
                <w:b/>
                <w:bCs/>
                <w:i/>
                <w:iCs/>
              </w:rPr>
              <w:t>in accordance with the accessibility requirements set out in Annex I of Directive 2019/882</w:t>
            </w:r>
            <w:r>
              <w:t>. That implementing act shall be adopted in accordance with the examination procedure referred to in Article 26(2).</w:t>
            </w:r>
          </w:p>
          <w:p w14:paraId="349FE686" w14:textId="77777777" w:rsidR="00472C89" w:rsidRDefault="00472C89" w:rsidP="00472C89">
            <w:pPr>
              <w:pStyle w:val="Footer"/>
            </w:pPr>
          </w:p>
          <w:p w14:paraId="755B75D9" w14:textId="2ECA6708" w:rsidR="00472C89" w:rsidRDefault="009D25DA" w:rsidP="00472C89">
            <w:pPr>
              <w:pStyle w:val="Footer"/>
            </w:pPr>
            <w:r>
              <w:t>(…)</w:t>
            </w:r>
          </w:p>
          <w:p w14:paraId="50C4F77F" w14:textId="77777777" w:rsidR="00472C89" w:rsidRDefault="00472C89" w:rsidP="00472C89">
            <w:pPr>
              <w:pStyle w:val="Footer"/>
            </w:pPr>
          </w:p>
          <w:p w14:paraId="2F57B21B" w14:textId="0818F683" w:rsidR="00472C89" w:rsidRDefault="00472C89" w:rsidP="00472C89">
            <w:pPr>
              <w:pStyle w:val="Footer"/>
            </w:pPr>
            <w:r>
              <w:t xml:space="preserve">3.Carriers and intermediaries shall provide details on their website such as an e-mail address to which requests under paragraph 1 may be sent by electronic means. That requirement shall not apply where other electronic means of communication allowing passengers to request reimbursement or compensation are available, such as a form on a website or mobile applications, provided that such means offer the choice and information set out in the common form and are also available in an official language of the Union and in the language internationally accepted in this field. </w:t>
            </w:r>
            <w:r w:rsidR="009D25DA" w:rsidRPr="009D25DA">
              <w:rPr>
                <w:b/>
                <w:bCs/>
                <w:i/>
                <w:iCs/>
              </w:rPr>
              <w:t>Such means</w:t>
            </w:r>
            <w:r w:rsidR="009D25DA">
              <w:rPr>
                <w:b/>
                <w:bCs/>
                <w:i/>
                <w:iCs/>
              </w:rPr>
              <w:t xml:space="preserve"> of communication</w:t>
            </w:r>
            <w:r w:rsidR="009D25DA" w:rsidRPr="009D25DA">
              <w:rPr>
                <w:b/>
                <w:bCs/>
                <w:i/>
                <w:iCs/>
              </w:rPr>
              <w:t xml:space="preserve"> shall be accessible in accordance with Directive (EU) 2019/882.</w:t>
            </w:r>
            <w:r w:rsidR="009D25DA">
              <w:t xml:space="preserve"> </w:t>
            </w:r>
            <w:r>
              <w:t>When using such means, passengers shall not be prevented from providing information in any of the languages of the Union.</w:t>
            </w:r>
          </w:p>
          <w:p w14:paraId="52589005" w14:textId="77777777" w:rsidR="00472C89" w:rsidRDefault="00472C89" w:rsidP="00472C89">
            <w:pPr>
              <w:pStyle w:val="Footer"/>
            </w:pPr>
          </w:p>
          <w:p w14:paraId="61D5C80C" w14:textId="44E89D2C" w:rsidR="008B0164" w:rsidRPr="00CF46DF" w:rsidRDefault="0097012A" w:rsidP="00E816E5">
            <w:pPr>
              <w:pStyle w:val="Footer"/>
            </w:pPr>
            <w:r>
              <w:t>(…)</w:t>
            </w:r>
          </w:p>
        </w:tc>
      </w:tr>
      <w:tr w:rsidR="008B0164" w14:paraId="4C9A5798" w14:textId="77777777" w:rsidTr="008B0164">
        <w:tc>
          <w:tcPr>
            <w:tcW w:w="9962" w:type="dxa"/>
            <w:gridSpan w:val="2"/>
          </w:tcPr>
          <w:p w14:paraId="7D07E41B" w14:textId="77777777" w:rsidR="008B0164" w:rsidRDefault="008B0164" w:rsidP="00E816E5">
            <w:pPr>
              <w:pStyle w:val="Footer"/>
              <w:jc w:val="both"/>
            </w:pPr>
            <w:r>
              <w:lastRenderedPageBreak/>
              <w:t>Justification:</w:t>
            </w:r>
          </w:p>
          <w:p w14:paraId="32C6D406" w14:textId="77777777" w:rsidR="008B0164" w:rsidRDefault="008B0164" w:rsidP="00E816E5">
            <w:pPr>
              <w:pStyle w:val="Footer"/>
              <w:jc w:val="both"/>
            </w:pPr>
          </w:p>
          <w:p w14:paraId="10C0B988" w14:textId="22EE2562" w:rsidR="008B0164" w:rsidRDefault="00F133E8" w:rsidP="00E816E5">
            <w:pPr>
              <w:pStyle w:val="Footer"/>
              <w:jc w:val="both"/>
            </w:pPr>
            <w:r>
              <w:t>it is crucial for the final implementing regulation to ensure legal coherence and refer to the accessibility requirements of Directive 2019/882 (the European Accessibility Act) which transport services are bound to. Annex I of such Directive includes a set of accessibility requirements concerning digital and non-digital information which will be supported by harmonised European standards, as requested by the European Commission Mandate 587. These accessibility requirements must be respected in the designing of digital and non-digital forms.</w:t>
            </w:r>
          </w:p>
        </w:tc>
      </w:tr>
    </w:tbl>
    <w:p w14:paraId="628A20B0" w14:textId="77777777" w:rsidR="00F133E8" w:rsidRDefault="00F133E8" w:rsidP="00F133E8"/>
    <w:p w14:paraId="581F3D1B" w14:textId="576C093F" w:rsidR="008B0164" w:rsidRDefault="00F133E8" w:rsidP="008B0164">
      <w:pPr>
        <w:pStyle w:val="Heading2"/>
      </w:pPr>
      <w:bookmarkStart w:id="10" w:name="_Toc164171918"/>
      <w:r>
        <w:lastRenderedPageBreak/>
        <w:t>Amendment to Article 12 – Right to transport</w:t>
      </w:r>
      <w:bookmarkEnd w:id="10"/>
    </w:p>
    <w:p w14:paraId="41781B50"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712A271B" w14:textId="77777777" w:rsidTr="008B0164">
        <w:tc>
          <w:tcPr>
            <w:tcW w:w="4980" w:type="dxa"/>
          </w:tcPr>
          <w:p w14:paraId="37BC921F" w14:textId="77777777" w:rsidR="008B0164" w:rsidRDefault="008B0164" w:rsidP="00E816E5">
            <w:pPr>
              <w:pStyle w:val="Footer"/>
              <w:jc w:val="both"/>
            </w:pPr>
            <w:r>
              <w:t>Commission proposal</w:t>
            </w:r>
          </w:p>
        </w:tc>
        <w:tc>
          <w:tcPr>
            <w:tcW w:w="4982" w:type="dxa"/>
          </w:tcPr>
          <w:p w14:paraId="583E82BB" w14:textId="77777777" w:rsidR="008B0164" w:rsidRDefault="008B0164" w:rsidP="00E816E5">
            <w:pPr>
              <w:pStyle w:val="Footer"/>
              <w:jc w:val="both"/>
            </w:pPr>
            <w:r>
              <w:t>EDF amendments</w:t>
            </w:r>
          </w:p>
        </w:tc>
      </w:tr>
      <w:tr w:rsidR="005D440C" w14:paraId="1C38288D" w14:textId="77777777" w:rsidTr="008B0164">
        <w:tc>
          <w:tcPr>
            <w:tcW w:w="4980" w:type="dxa"/>
          </w:tcPr>
          <w:p w14:paraId="69013B0B" w14:textId="77777777" w:rsidR="005D440C" w:rsidRDefault="005D440C" w:rsidP="005D440C">
            <w:pPr>
              <w:pStyle w:val="Footer"/>
            </w:pPr>
            <w:r>
              <w:t>Right to transport</w:t>
            </w:r>
          </w:p>
          <w:p w14:paraId="6F430EAD" w14:textId="77777777" w:rsidR="005D440C" w:rsidRDefault="005D440C" w:rsidP="005D440C">
            <w:pPr>
              <w:pStyle w:val="Footer"/>
            </w:pPr>
          </w:p>
          <w:p w14:paraId="7A970273" w14:textId="77777777" w:rsidR="005D440C" w:rsidRDefault="005D440C" w:rsidP="005D440C">
            <w:pPr>
              <w:pStyle w:val="Footer"/>
            </w:pPr>
            <w:r>
              <w:t>1.Carriers offering single multimodal contracts and multimodal hub managers shall establish non-discriminatory access rules for the transport of persons with disabilities, and the transport of persons with reduced mobility. Those rules shall comply with the relevant provisions on the limitation of transport of persons with disabilities and persons with reduced mobility in the Union law on passenger rights.</w:t>
            </w:r>
          </w:p>
          <w:p w14:paraId="0E45DC82" w14:textId="77777777" w:rsidR="005D440C" w:rsidRDefault="005D440C" w:rsidP="005D440C">
            <w:pPr>
              <w:pStyle w:val="Footer"/>
            </w:pPr>
          </w:p>
          <w:p w14:paraId="29291BE7" w14:textId="77777777" w:rsidR="005D440C" w:rsidRDefault="005D440C" w:rsidP="005D440C">
            <w:pPr>
              <w:pStyle w:val="Footer"/>
            </w:pPr>
            <w:r>
              <w:t>2.Reservations and tickets for multimodal journeys, whether in the form of a single multimodal contract, a combined multimodal ticket or separate multimodal tickets, shall be offered to persons with disabilities and persons with reduced mobility at no additional cost. A carrier or intermediary may not refuse to accept a reservation from, or to issue a ticket to, a person with disabilities or a person with reduced mobility or require that such person be accompanied by another person, unless this is strictly necessary in order to comply with the access rules referred to in paragraph 1.</w:t>
            </w:r>
          </w:p>
          <w:p w14:paraId="29203AFF" w14:textId="77777777" w:rsidR="005D440C" w:rsidRDefault="005D440C" w:rsidP="005D440C">
            <w:pPr>
              <w:pStyle w:val="Footer"/>
            </w:pPr>
          </w:p>
          <w:p w14:paraId="54840674" w14:textId="77777777" w:rsidR="005D440C" w:rsidRDefault="005D440C" w:rsidP="005D440C">
            <w:pPr>
              <w:pStyle w:val="Footer"/>
            </w:pPr>
            <w:r>
              <w:t>3.The access rules referred to in paragraph 1 shall be established with the active involvement of representative organisations for persons with disabilities and persons with reduced mobility and, where relevant, representatives of persons with disabilities and persons with reduced mobility.</w:t>
            </w:r>
          </w:p>
          <w:p w14:paraId="67F8645C" w14:textId="77777777" w:rsidR="005D440C" w:rsidRDefault="005D440C" w:rsidP="005D440C">
            <w:pPr>
              <w:pStyle w:val="Footer"/>
            </w:pPr>
          </w:p>
          <w:p w14:paraId="3F2EFD8E" w14:textId="77777777" w:rsidR="005D440C" w:rsidRDefault="005D440C" w:rsidP="005D440C">
            <w:pPr>
              <w:pStyle w:val="Footer"/>
            </w:pPr>
            <w:r>
              <w:t xml:space="preserve">4.Carriers offering single multimodal contracts and multimodal hub managers shall publish the access rules referred to in </w:t>
            </w:r>
            <w:r>
              <w:lastRenderedPageBreak/>
              <w:t>paragraph 1 and provide them, upon request, in accessible format.</w:t>
            </w:r>
          </w:p>
          <w:p w14:paraId="08C20C27" w14:textId="77777777" w:rsidR="005D440C" w:rsidRDefault="005D440C" w:rsidP="005D440C">
            <w:pPr>
              <w:pStyle w:val="Footer"/>
            </w:pPr>
          </w:p>
          <w:p w14:paraId="1758E64C" w14:textId="77777777" w:rsidR="005D440C" w:rsidRDefault="005D440C" w:rsidP="005D440C">
            <w:pPr>
              <w:pStyle w:val="Footer"/>
            </w:pPr>
            <w:r>
              <w:t>5.Where a carrier requires that a disabled person or person with reduced mobility be accompanied by another person who is capable of providing the assistance required in accordance with paragraph 2, the accompanying person shall be entitled to travel free of charge and to be seated, where practicable, next to the person with disabilities or to the person with reduced mobility.</w:t>
            </w:r>
          </w:p>
          <w:p w14:paraId="4887B8F1" w14:textId="77777777" w:rsidR="005D440C" w:rsidRDefault="005D440C" w:rsidP="005D440C">
            <w:pPr>
              <w:pStyle w:val="Footer"/>
            </w:pPr>
          </w:p>
          <w:p w14:paraId="792B3B94" w14:textId="19CECC65" w:rsidR="005D440C" w:rsidRDefault="005D440C" w:rsidP="005D440C">
            <w:pPr>
              <w:pStyle w:val="Footer"/>
            </w:pPr>
            <w:r>
              <w:t>6.When a carrier or intermediary makes use of the derogation provided for in Article 12 (2), it shall, upon request, inform in writing or, where necessary, in any accessible format the person with disabilities or person with reduced mobility concerned of the reasons for making use of that derogation within five working days of the refusal to accept the reservation or to issue the ticket or of the imposition of the condition of being accompanied. The carrier or intermediary shall make reasonable efforts to propose acceptable alternative transport to the person in question taking into account his or her accessibility needs</w:t>
            </w:r>
          </w:p>
          <w:p w14:paraId="0A9997E0" w14:textId="77777777" w:rsidR="005D440C" w:rsidRDefault="005D440C" w:rsidP="005D440C">
            <w:pPr>
              <w:pStyle w:val="Footer"/>
            </w:pPr>
          </w:p>
        </w:tc>
        <w:tc>
          <w:tcPr>
            <w:tcW w:w="4982" w:type="dxa"/>
          </w:tcPr>
          <w:p w14:paraId="5B3916BE" w14:textId="77777777" w:rsidR="005D440C" w:rsidRDefault="005D440C" w:rsidP="005D440C">
            <w:pPr>
              <w:pStyle w:val="Footer"/>
            </w:pPr>
            <w:r>
              <w:lastRenderedPageBreak/>
              <w:t>Right to transport</w:t>
            </w:r>
          </w:p>
          <w:p w14:paraId="382A6A14" w14:textId="77777777" w:rsidR="005D440C" w:rsidRDefault="005D440C" w:rsidP="005D440C">
            <w:pPr>
              <w:pStyle w:val="Footer"/>
            </w:pPr>
          </w:p>
          <w:p w14:paraId="4E344467" w14:textId="7540A7D9" w:rsidR="005D440C" w:rsidRDefault="005D440C" w:rsidP="005D440C">
            <w:pPr>
              <w:pStyle w:val="Footer"/>
            </w:pPr>
            <w:r>
              <w:t>1.Carriers offering single multimodal contracts and multimodal hub managers shall establish non-discriminatory access rules for the transport of persons with disabilities, and the transport of persons with reduced mobility. Those rules shall comply with the relevant provisions on the limitation of transport of persons with disabilities and persons with reduced mobility in the Union law on passenger rights.</w:t>
            </w:r>
          </w:p>
          <w:p w14:paraId="4630F3AB" w14:textId="77777777" w:rsidR="005D440C" w:rsidRDefault="005D440C" w:rsidP="005D440C">
            <w:pPr>
              <w:pStyle w:val="Footer"/>
            </w:pPr>
          </w:p>
          <w:p w14:paraId="5F00AF33" w14:textId="77777777" w:rsidR="005D440C" w:rsidRDefault="005D440C" w:rsidP="005D440C">
            <w:pPr>
              <w:pStyle w:val="Footer"/>
            </w:pPr>
            <w:r>
              <w:t>2.Reservations and tickets for multimodal journeys, whether in the form of a single multimodal contract, a combined multimodal ticket or separate multimodal tickets, shall be offered to persons with disabilities and persons with reduced mobility at no additional cost. A carrier or intermediary may not refuse to accept a reservation from, or to issue a ticket to, a person with disabilities or a person with reduced mobility or require that such person be accompanied by another person, unless this is strictly necessary in order to comply with the access rules referred to in paragraph 1.</w:t>
            </w:r>
          </w:p>
          <w:p w14:paraId="384E2DB1" w14:textId="77777777" w:rsidR="005D440C" w:rsidRDefault="005D440C" w:rsidP="005D440C">
            <w:pPr>
              <w:pStyle w:val="Footer"/>
            </w:pPr>
          </w:p>
          <w:p w14:paraId="2A3BA3F0" w14:textId="77777777" w:rsidR="005D440C" w:rsidRDefault="005D440C" w:rsidP="005D440C">
            <w:pPr>
              <w:pStyle w:val="Footer"/>
            </w:pPr>
            <w:r>
              <w:t>3.The access rules referred to in paragraph 1 shall be established with the active involvement of representative organisations for persons with disabilities and persons with reduced mobility and, where relevant, representatives of persons with disabilities and persons with reduced mobility.</w:t>
            </w:r>
          </w:p>
          <w:p w14:paraId="4D0CF059" w14:textId="77777777" w:rsidR="005D440C" w:rsidRDefault="005D440C" w:rsidP="005D440C">
            <w:pPr>
              <w:pStyle w:val="Footer"/>
            </w:pPr>
          </w:p>
          <w:p w14:paraId="75FD7D26" w14:textId="30C4368C" w:rsidR="00AB0216" w:rsidRPr="00AB0216" w:rsidRDefault="005D440C" w:rsidP="00AB0216">
            <w:pPr>
              <w:rPr>
                <w:b/>
                <w:bCs/>
              </w:rPr>
            </w:pPr>
            <w:r>
              <w:t xml:space="preserve">4.Carriers offering single multimodal contracts and multimodal hub managers shall publish the access rules referred to in paragraph 1 and provide them, </w:t>
            </w:r>
            <w:r w:rsidRPr="005D440C">
              <w:rPr>
                <w:b/>
                <w:bCs/>
                <w:strike/>
              </w:rPr>
              <w:t xml:space="preserve">upon </w:t>
            </w:r>
            <w:r w:rsidRPr="00EC6A18">
              <w:rPr>
                <w:b/>
                <w:bCs/>
                <w:strike/>
              </w:rPr>
              <w:lastRenderedPageBreak/>
              <w:t>request,</w:t>
            </w:r>
            <w:r w:rsidRPr="00EC6A18">
              <w:t xml:space="preserve"> in accessible format in accordance </w:t>
            </w:r>
            <w:r w:rsidRPr="009B4606">
              <w:rPr>
                <w:b/>
                <w:bCs/>
                <w:i/>
                <w:iCs/>
              </w:rPr>
              <w:t>with the provisions of Directive (EU) 2019/882</w:t>
            </w:r>
            <w:r w:rsidR="00AB0216" w:rsidRPr="009B4606">
              <w:rPr>
                <w:b/>
                <w:bCs/>
                <w:i/>
                <w:iCs/>
              </w:rPr>
              <w:t>. The availability of alternative accessible formats should be clearly advertised.</w:t>
            </w:r>
            <w:r w:rsidR="00AB0216" w:rsidRPr="00AB0216">
              <w:rPr>
                <w:b/>
                <w:bCs/>
              </w:rPr>
              <w:t xml:space="preserve"> </w:t>
            </w:r>
          </w:p>
          <w:p w14:paraId="046D6F16" w14:textId="18B71637" w:rsidR="005D440C" w:rsidRDefault="005D440C" w:rsidP="005D440C">
            <w:pPr>
              <w:pStyle w:val="Footer"/>
            </w:pPr>
          </w:p>
          <w:p w14:paraId="754B4FEB" w14:textId="77777777" w:rsidR="005D440C" w:rsidRDefault="005D440C" w:rsidP="005D440C">
            <w:pPr>
              <w:pStyle w:val="Footer"/>
            </w:pPr>
          </w:p>
          <w:p w14:paraId="6545DBA9" w14:textId="77777777" w:rsidR="005D440C" w:rsidRDefault="005D440C" w:rsidP="005D440C">
            <w:pPr>
              <w:pStyle w:val="Footer"/>
            </w:pPr>
            <w:r>
              <w:t>5.Where a carrier requires that a disabled person or person with reduced mobility be accompanied by another person who is capable of providing the assistance required in accordance with paragraph 2, the accompanying person shall be entitled to travel free of charge and to be seated, where practicable, next to the person with disabilities or to the person with reduced mobility.</w:t>
            </w:r>
          </w:p>
          <w:p w14:paraId="4408D4CF" w14:textId="77777777" w:rsidR="005D440C" w:rsidRDefault="005D440C" w:rsidP="005D440C">
            <w:pPr>
              <w:pStyle w:val="Footer"/>
            </w:pPr>
          </w:p>
          <w:p w14:paraId="21D8F10D" w14:textId="1BAFE787" w:rsidR="005D440C" w:rsidRDefault="005D440C" w:rsidP="005D440C">
            <w:pPr>
              <w:pStyle w:val="Footer"/>
            </w:pPr>
            <w:r>
              <w:t xml:space="preserve">6.When a carrier or intermediary makes use of the derogation provided for in Article 12 (2), it shall, upon request, inform in writing or, where necessary, in any accessible format the person with disabilities or person with reduced mobility concerned of the reasons for making use of that derogation within five working days of the refusal to accept the reservation or to issue the ticket or of the imposition of the condition of being accompanied. The carrier or intermediary shall </w:t>
            </w:r>
            <w:r w:rsidRPr="005D440C">
              <w:rPr>
                <w:b/>
                <w:bCs/>
                <w:strike/>
              </w:rPr>
              <w:t>make reasonable efforts to</w:t>
            </w:r>
            <w:r>
              <w:t xml:space="preserve"> propose acceptable alternative transport to the person in question</w:t>
            </w:r>
            <w:r w:rsidR="00AB0216">
              <w:t xml:space="preserve"> </w:t>
            </w:r>
            <w:r w:rsidR="00AB0216" w:rsidRPr="00AB0216">
              <w:rPr>
                <w:b/>
                <w:bCs/>
                <w:i/>
                <w:iCs/>
              </w:rPr>
              <w:t>and his or her accompanying person</w:t>
            </w:r>
            <w:r>
              <w:t xml:space="preserve"> taking into account his or her accessibility needs</w:t>
            </w:r>
          </w:p>
          <w:p w14:paraId="3BAAA2E6" w14:textId="22C784A9" w:rsidR="005D440C" w:rsidRPr="00CD2FF3" w:rsidRDefault="005D440C" w:rsidP="005D440C">
            <w:pPr>
              <w:pStyle w:val="Footer"/>
              <w:rPr>
                <w:b/>
              </w:rPr>
            </w:pPr>
          </w:p>
        </w:tc>
      </w:tr>
      <w:tr w:rsidR="005D440C" w14:paraId="5EE56748" w14:textId="77777777" w:rsidTr="008B0164">
        <w:tc>
          <w:tcPr>
            <w:tcW w:w="9962" w:type="dxa"/>
            <w:gridSpan w:val="2"/>
          </w:tcPr>
          <w:p w14:paraId="31785847" w14:textId="77777777" w:rsidR="005D440C" w:rsidRDefault="005D440C" w:rsidP="005D440C">
            <w:pPr>
              <w:pStyle w:val="Footer"/>
              <w:jc w:val="both"/>
            </w:pPr>
            <w:r w:rsidRPr="00AB0216">
              <w:rPr>
                <w:b/>
                <w:bCs/>
              </w:rPr>
              <w:lastRenderedPageBreak/>
              <w:t>Justification</w:t>
            </w:r>
            <w:r>
              <w:t>:</w:t>
            </w:r>
          </w:p>
          <w:p w14:paraId="70DF7854" w14:textId="77777777" w:rsidR="005D440C" w:rsidRDefault="005D440C" w:rsidP="005D440C">
            <w:pPr>
              <w:pStyle w:val="Footer"/>
              <w:jc w:val="both"/>
            </w:pPr>
          </w:p>
          <w:p w14:paraId="4C85BB53" w14:textId="4CBA0259" w:rsidR="00AB0216" w:rsidRDefault="00AB0216" w:rsidP="005D440C">
            <w:pPr>
              <w:pStyle w:val="Footer"/>
              <w:jc w:val="both"/>
            </w:pPr>
            <w:r>
              <w:t xml:space="preserve">Access rules for the carriage of persons with disability and reduced mobility should be published by default in accessible formats, specially when provided through digital means. If alternative accessible formats are provided (braille, large print) this should be clearly advertised. </w:t>
            </w:r>
          </w:p>
          <w:p w14:paraId="672D245E" w14:textId="77777777" w:rsidR="00AB0216" w:rsidRDefault="00AB0216" w:rsidP="005D440C">
            <w:pPr>
              <w:pStyle w:val="Footer"/>
              <w:jc w:val="both"/>
            </w:pPr>
          </w:p>
          <w:p w14:paraId="28C22CD2" w14:textId="50E387E2" w:rsidR="00AB0216" w:rsidRDefault="00AB0216" w:rsidP="005D440C">
            <w:pPr>
              <w:pStyle w:val="Footer"/>
              <w:jc w:val="both"/>
            </w:pPr>
            <w:r w:rsidRPr="00AB0216">
              <w:lastRenderedPageBreak/>
              <w:t>When a person with disabilities and reduced mobility is denied boarding on the basis of the derogations provided in Passenger Regulations, carriers should not only make “reasonable” efforts (Art. 12.6) to propose an alternative transport option but obliged to do so. Persons with disabilities are customers like everybody else and carriers should have the same obligations towards them as regards the transport contract. When making use of the derogations to the rights of transport, carriers or intermediaries should not only provide alternative transport to the person in question but also the accompanying person, if applicable</w:t>
            </w:r>
            <w:r w:rsidR="00E6782D">
              <w:t xml:space="preserve">. </w:t>
            </w:r>
          </w:p>
          <w:p w14:paraId="481814DE" w14:textId="77777777" w:rsidR="005D440C" w:rsidRDefault="005D440C" w:rsidP="005D440C">
            <w:pPr>
              <w:pStyle w:val="Footer"/>
              <w:jc w:val="both"/>
            </w:pPr>
          </w:p>
        </w:tc>
      </w:tr>
    </w:tbl>
    <w:p w14:paraId="21B81ECF" w14:textId="4AA0087D" w:rsidR="008B0164" w:rsidRPr="00CE6667" w:rsidRDefault="00CE6667" w:rsidP="008B0164">
      <w:pPr>
        <w:pStyle w:val="Heading2"/>
      </w:pPr>
      <w:bookmarkStart w:id="11" w:name="_Toc164171919"/>
      <w:r w:rsidRPr="00CE6667">
        <w:lastRenderedPageBreak/>
        <w:t>Amendment</w:t>
      </w:r>
      <w:r w:rsidR="00E6782D" w:rsidRPr="00CE6667">
        <w:t xml:space="preserve"> Article 13 – Information on accessibility</w:t>
      </w:r>
      <w:bookmarkEnd w:id="11"/>
    </w:p>
    <w:p w14:paraId="2F82A306" w14:textId="77777777" w:rsidR="008B0164" w:rsidRPr="00E6782D" w:rsidRDefault="008B0164" w:rsidP="008B0164">
      <w:pPr>
        <w:rPr>
          <w:lang w:val="fr-BE"/>
        </w:rPr>
      </w:pPr>
    </w:p>
    <w:tbl>
      <w:tblPr>
        <w:tblStyle w:val="TableGrid"/>
        <w:tblW w:w="0" w:type="auto"/>
        <w:tblLook w:val="04A0" w:firstRow="1" w:lastRow="0" w:firstColumn="1" w:lastColumn="0" w:noHBand="0" w:noVBand="1"/>
      </w:tblPr>
      <w:tblGrid>
        <w:gridCol w:w="4980"/>
        <w:gridCol w:w="4982"/>
      </w:tblGrid>
      <w:tr w:rsidR="008B0164" w14:paraId="7392A8BD" w14:textId="77777777" w:rsidTr="008B0164">
        <w:tc>
          <w:tcPr>
            <w:tcW w:w="4980" w:type="dxa"/>
          </w:tcPr>
          <w:p w14:paraId="41B4DD05" w14:textId="77777777" w:rsidR="008B0164" w:rsidRDefault="008B0164" w:rsidP="00E816E5">
            <w:pPr>
              <w:pStyle w:val="Footer"/>
              <w:jc w:val="both"/>
            </w:pPr>
            <w:r>
              <w:t>Commission proposal</w:t>
            </w:r>
          </w:p>
        </w:tc>
        <w:tc>
          <w:tcPr>
            <w:tcW w:w="4982" w:type="dxa"/>
          </w:tcPr>
          <w:p w14:paraId="528FD95D" w14:textId="77777777" w:rsidR="008B0164" w:rsidRDefault="008B0164" w:rsidP="00E816E5">
            <w:pPr>
              <w:pStyle w:val="Footer"/>
              <w:jc w:val="both"/>
            </w:pPr>
            <w:r>
              <w:t>EDF amendments</w:t>
            </w:r>
          </w:p>
        </w:tc>
      </w:tr>
      <w:tr w:rsidR="008B0164" w14:paraId="2A8FE7B4" w14:textId="77777777" w:rsidTr="008B0164">
        <w:tc>
          <w:tcPr>
            <w:tcW w:w="4980" w:type="dxa"/>
          </w:tcPr>
          <w:p w14:paraId="19697CFA" w14:textId="77777777" w:rsidR="00CE6667" w:rsidRDefault="00CE6667" w:rsidP="00CE6667">
            <w:pPr>
              <w:pStyle w:val="Footer"/>
            </w:pPr>
            <w:r>
              <w:t>Information on accessibility to persons with disabilities and persons with reduced mobility</w:t>
            </w:r>
          </w:p>
          <w:p w14:paraId="7EEC4966" w14:textId="77777777" w:rsidR="00CE6667" w:rsidRDefault="00CE6667" w:rsidP="00CE6667">
            <w:pPr>
              <w:pStyle w:val="Footer"/>
            </w:pPr>
          </w:p>
          <w:p w14:paraId="5C604056" w14:textId="7FB8E684" w:rsidR="008B0164" w:rsidRDefault="00CE6667" w:rsidP="00CE6667">
            <w:pPr>
              <w:pStyle w:val="Footer"/>
            </w:pPr>
            <w:r>
              <w:t xml:space="preserve">Carriers and intermediaries offering transport contracts on behalf of one or more carriers, and multimodal hub managers, shall provide persons with disabilities and persons with reduced mobility with information on the accessibility of the multimodal hub and associated facilities and of services. This information shall be provided upon request in accessible format. </w:t>
            </w:r>
          </w:p>
          <w:p w14:paraId="73910FCF" w14:textId="77777777" w:rsidR="008B0164" w:rsidRDefault="008B0164" w:rsidP="00E816E5">
            <w:pPr>
              <w:pStyle w:val="Footer"/>
            </w:pPr>
          </w:p>
        </w:tc>
        <w:tc>
          <w:tcPr>
            <w:tcW w:w="4982" w:type="dxa"/>
          </w:tcPr>
          <w:p w14:paraId="516AE3D2" w14:textId="7CF31696" w:rsidR="00CE6667" w:rsidRDefault="00CE6667" w:rsidP="00CE6667">
            <w:pPr>
              <w:pStyle w:val="Footer"/>
            </w:pPr>
            <w:r>
              <w:t>Information on accessibility to persons with disabilities and persons with reduced mobility</w:t>
            </w:r>
          </w:p>
          <w:p w14:paraId="0CB2E2C2" w14:textId="77777777" w:rsidR="00CE6667" w:rsidRDefault="00CE6667" w:rsidP="00CE6667">
            <w:pPr>
              <w:pStyle w:val="Footer"/>
            </w:pPr>
          </w:p>
          <w:p w14:paraId="45B1DC6E" w14:textId="417E7173" w:rsidR="00CE6667" w:rsidRDefault="00CE6667" w:rsidP="00CE6667">
            <w:pPr>
              <w:pStyle w:val="Footer"/>
            </w:pPr>
            <w:r>
              <w:t xml:space="preserve">Carriers and intermediaries offering transport contracts on behalf of one or more carriers, and multimodal hub managers, shall provide persons with disabilities and persons with reduced mobility with information on the accessibility of the multimodal hub and associated facilities and of services. This information shall be provided </w:t>
            </w:r>
            <w:r w:rsidRPr="00A21EA7">
              <w:rPr>
                <w:b/>
                <w:bCs/>
                <w:strike/>
              </w:rPr>
              <w:t>upon request</w:t>
            </w:r>
            <w:r>
              <w:t xml:space="preserve"> in accessible format </w:t>
            </w:r>
            <w:r w:rsidRPr="00CE6667">
              <w:rPr>
                <w:b/>
                <w:bCs/>
                <w:i/>
                <w:iCs/>
              </w:rPr>
              <w:t>in accordance with the provisions of Directive (EU) 2019/882.</w:t>
            </w:r>
            <w:r>
              <w:t xml:space="preserve"> </w:t>
            </w:r>
          </w:p>
          <w:p w14:paraId="09F22C08" w14:textId="53624B64" w:rsidR="008B0164" w:rsidRPr="00CD2FF3" w:rsidRDefault="008B0164" w:rsidP="00E816E5">
            <w:pPr>
              <w:pStyle w:val="Footer"/>
              <w:rPr>
                <w:b/>
              </w:rPr>
            </w:pPr>
          </w:p>
        </w:tc>
      </w:tr>
      <w:tr w:rsidR="008B0164" w14:paraId="47BD49E7" w14:textId="77777777" w:rsidTr="008B0164">
        <w:tc>
          <w:tcPr>
            <w:tcW w:w="9962" w:type="dxa"/>
            <w:gridSpan w:val="2"/>
          </w:tcPr>
          <w:p w14:paraId="6DB8B217" w14:textId="77777777" w:rsidR="008B0164" w:rsidRDefault="008B0164" w:rsidP="00E816E5">
            <w:pPr>
              <w:pStyle w:val="Footer"/>
              <w:jc w:val="both"/>
            </w:pPr>
            <w:r>
              <w:t>Justification:</w:t>
            </w:r>
          </w:p>
          <w:p w14:paraId="6195040E" w14:textId="77777777" w:rsidR="008B0164" w:rsidRDefault="008B0164" w:rsidP="00E816E5">
            <w:pPr>
              <w:pStyle w:val="Footer"/>
              <w:jc w:val="both"/>
            </w:pPr>
          </w:p>
          <w:p w14:paraId="3891C3AD" w14:textId="117DC8E2" w:rsidR="00CE6667" w:rsidRDefault="00CE6667" w:rsidP="00E816E5">
            <w:pPr>
              <w:pStyle w:val="Footer"/>
              <w:jc w:val="both"/>
            </w:pPr>
            <w:r>
              <w:t xml:space="preserve">See justification amendment page 7. </w:t>
            </w:r>
          </w:p>
          <w:p w14:paraId="2CC975EA" w14:textId="77777777" w:rsidR="008B0164" w:rsidRDefault="008B0164" w:rsidP="00E816E5">
            <w:pPr>
              <w:pStyle w:val="Footer"/>
              <w:jc w:val="both"/>
            </w:pPr>
          </w:p>
        </w:tc>
      </w:tr>
    </w:tbl>
    <w:p w14:paraId="43C91017" w14:textId="3B84959E" w:rsidR="008B0164" w:rsidRDefault="008B0164" w:rsidP="008B0164">
      <w:pPr>
        <w:pStyle w:val="Heading2"/>
      </w:pPr>
      <w:bookmarkStart w:id="12" w:name="_Toc164171920"/>
      <w:r>
        <w:t>A</w:t>
      </w:r>
      <w:r w:rsidR="00CE6667">
        <w:t>mendment Article 14 – Assistance to persons with disabilities and reduced mobility</w:t>
      </w:r>
      <w:bookmarkEnd w:id="12"/>
    </w:p>
    <w:p w14:paraId="137B0EC9"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2C75C46F" w14:textId="77777777" w:rsidTr="008B0164">
        <w:tc>
          <w:tcPr>
            <w:tcW w:w="4980" w:type="dxa"/>
          </w:tcPr>
          <w:p w14:paraId="72F2F2FC" w14:textId="77777777" w:rsidR="008B0164" w:rsidRDefault="008B0164" w:rsidP="00E816E5">
            <w:pPr>
              <w:pStyle w:val="Footer"/>
              <w:jc w:val="both"/>
            </w:pPr>
            <w:r>
              <w:t>Commission proposal</w:t>
            </w:r>
          </w:p>
        </w:tc>
        <w:tc>
          <w:tcPr>
            <w:tcW w:w="4982" w:type="dxa"/>
          </w:tcPr>
          <w:p w14:paraId="6D608FB3" w14:textId="77777777" w:rsidR="008B0164" w:rsidRDefault="008B0164" w:rsidP="00E816E5">
            <w:pPr>
              <w:pStyle w:val="Footer"/>
              <w:jc w:val="both"/>
            </w:pPr>
            <w:r>
              <w:t>EDF amendments</w:t>
            </w:r>
          </w:p>
        </w:tc>
      </w:tr>
      <w:tr w:rsidR="008B0164" w14:paraId="781C5F3D" w14:textId="77777777" w:rsidTr="008B0164">
        <w:tc>
          <w:tcPr>
            <w:tcW w:w="4980" w:type="dxa"/>
          </w:tcPr>
          <w:p w14:paraId="62E3130B" w14:textId="77777777" w:rsidR="00CE6667" w:rsidRDefault="00CE6667" w:rsidP="00CE6667">
            <w:pPr>
              <w:pStyle w:val="Footer"/>
            </w:pPr>
            <w:r>
              <w:t>Assistance to persons with disabilities and persons with reduced mobility</w:t>
            </w:r>
          </w:p>
          <w:p w14:paraId="3C5E7885" w14:textId="77777777" w:rsidR="00CE6667" w:rsidRDefault="00CE6667" w:rsidP="00CE6667">
            <w:pPr>
              <w:pStyle w:val="Footer"/>
            </w:pPr>
          </w:p>
          <w:p w14:paraId="0F4252E5" w14:textId="77777777" w:rsidR="00CE6667" w:rsidRDefault="00CE6667" w:rsidP="00CE6667">
            <w:pPr>
              <w:pStyle w:val="Footer"/>
            </w:pPr>
            <w:r>
              <w:t xml:space="preserve">In the context of single multimodal contracts, carriers, terminal managers and intermediaries shall cooperate to provide </w:t>
            </w:r>
            <w:r>
              <w:lastRenderedPageBreak/>
              <w:t>assistance free of charge to persons with disabilities and persons with reduced mobility, in accordance with the access rules referred to in Article 12(1), and offer a single notification mechanism, in accordance with the following:</w:t>
            </w:r>
          </w:p>
          <w:p w14:paraId="7E72E717" w14:textId="77777777" w:rsidR="00CE6667" w:rsidRDefault="00CE6667" w:rsidP="00CE6667">
            <w:pPr>
              <w:pStyle w:val="Footer"/>
            </w:pPr>
          </w:p>
          <w:p w14:paraId="19185DA3" w14:textId="77777777" w:rsidR="00CE6667" w:rsidRDefault="00CE6667" w:rsidP="00CE6667">
            <w:pPr>
              <w:pStyle w:val="Footer"/>
            </w:pPr>
            <w:r>
              <w:t>(a)assistance shall be provided  where the carrier, the intermediary with which the single multimodal contract was purchased, the terminal manager or the Single Point of Contact referred to in Article 15, where applicable, is notified of the passenger’s need for such assistance at least 48 hours before the assistance is needed; a single notification per journey shall be required; the notification shall be forwarded to all carriers, terminal managers and Single Points of Contact involved in the journey;</w:t>
            </w:r>
          </w:p>
          <w:p w14:paraId="56CCE87E" w14:textId="77777777" w:rsidR="00CE6667" w:rsidRDefault="00CE6667" w:rsidP="00CE6667">
            <w:pPr>
              <w:pStyle w:val="Footer"/>
            </w:pPr>
          </w:p>
          <w:p w14:paraId="0DFFFF0C" w14:textId="77777777" w:rsidR="00CE6667" w:rsidRDefault="00CE6667" w:rsidP="00CE6667">
            <w:pPr>
              <w:pStyle w:val="Footer"/>
            </w:pPr>
            <w:r>
              <w:t xml:space="preserve">(b)the notification shall be accepted without additional costs, irrespective of the means of communication being </w:t>
            </w:r>
            <w:proofErr w:type="gramStart"/>
            <w:r>
              <w:t>used;</w:t>
            </w:r>
            <w:proofErr w:type="gramEnd"/>
            <w:r>
              <w:t xml:space="preserve"> </w:t>
            </w:r>
          </w:p>
          <w:p w14:paraId="30E81799" w14:textId="77777777" w:rsidR="00CE6667" w:rsidRDefault="00CE6667" w:rsidP="00CE6667">
            <w:pPr>
              <w:pStyle w:val="Footer"/>
            </w:pPr>
          </w:p>
          <w:p w14:paraId="52DE10D0" w14:textId="77777777" w:rsidR="00CE6667" w:rsidRDefault="00CE6667" w:rsidP="00CE6667">
            <w:pPr>
              <w:pStyle w:val="Footer"/>
            </w:pPr>
            <w:r>
              <w:t xml:space="preserve">(c)carriers, terminal managers and intermediaries shall take all measures necessary for the reception of notifications; where ticket vendors are unable to process such notifications, they shall indicate alternative points of purchase or alternative means to make the </w:t>
            </w:r>
            <w:proofErr w:type="gramStart"/>
            <w:r>
              <w:t>notification;</w:t>
            </w:r>
            <w:proofErr w:type="gramEnd"/>
          </w:p>
          <w:p w14:paraId="2C37D94D" w14:textId="77777777" w:rsidR="00CE6667" w:rsidRDefault="00CE6667" w:rsidP="00CE6667">
            <w:pPr>
              <w:pStyle w:val="Footer"/>
            </w:pPr>
          </w:p>
          <w:p w14:paraId="75981B5D" w14:textId="77777777" w:rsidR="00CE6667" w:rsidRDefault="00CE6667" w:rsidP="00CE6667">
            <w:pPr>
              <w:pStyle w:val="Footer"/>
            </w:pPr>
            <w:r>
              <w:t xml:space="preserve">(d)if the notification is made in accordance with point (a), carriers and terminal managers shall provide assistance in such a way that the person is able to take the transport services for which he or she holds a reservation as part of the single multimodal </w:t>
            </w:r>
            <w:proofErr w:type="gramStart"/>
            <w:r>
              <w:t>contract;</w:t>
            </w:r>
            <w:proofErr w:type="gramEnd"/>
          </w:p>
          <w:p w14:paraId="675EA80F" w14:textId="77777777" w:rsidR="00CE6667" w:rsidRDefault="00CE6667" w:rsidP="00CE6667">
            <w:pPr>
              <w:pStyle w:val="Footer"/>
            </w:pPr>
          </w:p>
          <w:p w14:paraId="3562293B" w14:textId="77777777" w:rsidR="00CE6667" w:rsidRDefault="00CE6667" w:rsidP="00CE6667">
            <w:pPr>
              <w:pStyle w:val="Footer"/>
            </w:pPr>
            <w:r>
              <w:t xml:space="preserve">(e)if the notification is not made in accordance with point (a), or no such notification has been made, the carriers and </w:t>
            </w:r>
            <w:r>
              <w:lastRenderedPageBreak/>
              <w:t xml:space="preserve">terminal managers shall make all reasonable efforts to provide assistance in such a way that the person with disabilities or person with reduced mobility may </w:t>
            </w:r>
            <w:proofErr w:type="gramStart"/>
            <w:r>
              <w:t>travel;</w:t>
            </w:r>
            <w:proofErr w:type="gramEnd"/>
          </w:p>
          <w:p w14:paraId="11D497D9" w14:textId="77777777" w:rsidR="00CE6667" w:rsidRDefault="00CE6667" w:rsidP="00CE6667">
            <w:pPr>
              <w:pStyle w:val="Footer"/>
            </w:pPr>
          </w:p>
          <w:p w14:paraId="3CFD9A49" w14:textId="4386FF10" w:rsidR="008B0164" w:rsidRDefault="00CE6667" w:rsidP="00CE6667">
            <w:pPr>
              <w:pStyle w:val="Footer"/>
            </w:pPr>
            <w:r>
              <w:t>(f)an assistance dog shall be permitted to accompany a person with disability or person with reduced mobility in accordance with any relevant Union or national law.</w:t>
            </w:r>
          </w:p>
          <w:p w14:paraId="6814B2B1" w14:textId="77777777" w:rsidR="008B0164" w:rsidRDefault="008B0164" w:rsidP="00E816E5">
            <w:pPr>
              <w:pStyle w:val="Footer"/>
            </w:pPr>
          </w:p>
        </w:tc>
        <w:tc>
          <w:tcPr>
            <w:tcW w:w="4982" w:type="dxa"/>
          </w:tcPr>
          <w:p w14:paraId="73730FA7" w14:textId="77777777" w:rsidR="00CE6667" w:rsidRDefault="00CE6667" w:rsidP="00CE6667">
            <w:pPr>
              <w:pStyle w:val="Footer"/>
            </w:pPr>
            <w:r>
              <w:lastRenderedPageBreak/>
              <w:t>Assistance to persons with disabilities and persons with reduced mobility</w:t>
            </w:r>
          </w:p>
          <w:p w14:paraId="202C7C0C" w14:textId="77777777" w:rsidR="00CE6667" w:rsidRDefault="00CE6667" w:rsidP="00CE6667">
            <w:pPr>
              <w:pStyle w:val="Footer"/>
            </w:pPr>
          </w:p>
          <w:p w14:paraId="3C8C0028" w14:textId="77777777" w:rsidR="00F7379F" w:rsidRDefault="00CE6667" w:rsidP="00CE6667">
            <w:pPr>
              <w:pStyle w:val="Footer"/>
              <w:rPr>
                <w:b/>
                <w:bCs/>
              </w:rPr>
            </w:pPr>
            <w:r>
              <w:t>In the context of single multimodal contracts</w:t>
            </w:r>
            <w:r w:rsidR="00C70CFA">
              <w:t xml:space="preserve"> </w:t>
            </w:r>
            <w:r w:rsidR="00C70CFA" w:rsidRPr="006629B4">
              <w:rPr>
                <w:b/>
                <w:bCs/>
                <w:i/>
                <w:iCs/>
              </w:rPr>
              <w:t>and combined multimodal tickets</w:t>
            </w:r>
            <w:r>
              <w:t xml:space="preserve">, carriers, terminal managers and </w:t>
            </w:r>
            <w:r>
              <w:lastRenderedPageBreak/>
              <w:t>intermediaries shall cooperate to provide assistance free of charge to persons with disabilities and persons with reduced mobility, in accordance with the access rules referred to in Article 12(1)</w:t>
            </w:r>
            <w:r w:rsidR="00F7379F">
              <w:t xml:space="preserve"> </w:t>
            </w:r>
            <w:r w:rsidR="00F7379F" w:rsidRPr="006629B4">
              <w:rPr>
                <w:b/>
                <w:bCs/>
                <w:i/>
                <w:iCs/>
              </w:rPr>
              <w:t>without prenotification</w:t>
            </w:r>
            <w:r w:rsidR="00F7379F" w:rsidRPr="00F7379F">
              <w:rPr>
                <w:b/>
                <w:bCs/>
              </w:rPr>
              <w:t xml:space="preserve">. </w:t>
            </w:r>
          </w:p>
          <w:p w14:paraId="0A30239C" w14:textId="77777777" w:rsidR="00F7379F" w:rsidRDefault="00F7379F" w:rsidP="00CE6667">
            <w:pPr>
              <w:pStyle w:val="Footer"/>
              <w:rPr>
                <w:b/>
                <w:bCs/>
              </w:rPr>
            </w:pPr>
          </w:p>
          <w:p w14:paraId="79F8F4C4" w14:textId="7263BA7D" w:rsidR="00F7379F" w:rsidRPr="006629B4" w:rsidRDefault="00F7379F" w:rsidP="00CE6667">
            <w:pPr>
              <w:pStyle w:val="Footer"/>
              <w:rPr>
                <w:b/>
                <w:bCs/>
                <w:i/>
                <w:iCs/>
              </w:rPr>
            </w:pPr>
            <w:r w:rsidRPr="006629B4">
              <w:rPr>
                <w:b/>
                <w:bCs/>
                <w:i/>
                <w:iCs/>
              </w:rPr>
              <w:t>If the passenger requests assistance,</w:t>
            </w:r>
            <w:r w:rsidRPr="006629B4">
              <w:rPr>
                <w:i/>
                <w:iCs/>
              </w:rPr>
              <w:t xml:space="preserve"> </w:t>
            </w:r>
            <w:r w:rsidRPr="006629B4">
              <w:rPr>
                <w:b/>
                <w:bCs/>
                <w:i/>
                <w:iCs/>
              </w:rPr>
              <w:t xml:space="preserve">carriers and terminal managers shall provide assistance in such a way that the person is able to take the transport services for which he or she holds a reservation as part of the single multimodal </w:t>
            </w:r>
            <w:proofErr w:type="gramStart"/>
            <w:r w:rsidRPr="006629B4">
              <w:rPr>
                <w:b/>
                <w:bCs/>
                <w:i/>
                <w:iCs/>
              </w:rPr>
              <w:t>contract;</w:t>
            </w:r>
            <w:proofErr w:type="gramEnd"/>
          </w:p>
          <w:p w14:paraId="21B35469" w14:textId="77777777" w:rsidR="00F7379F" w:rsidRDefault="00F7379F" w:rsidP="00CE6667">
            <w:pPr>
              <w:pStyle w:val="Footer"/>
              <w:rPr>
                <w:b/>
                <w:bCs/>
              </w:rPr>
            </w:pPr>
          </w:p>
          <w:p w14:paraId="659F8DEE" w14:textId="27A31030" w:rsidR="00CE6667" w:rsidRPr="00F7379F" w:rsidRDefault="00F7379F" w:rsidP="00CE6667">
            <w:pPr>
              <w:pStyle w:val="Footer"/>
              <w:rPr>
                <w:b/>
                <w:bCs/>
              </w:rPr>
            </w:pPr>
            <w:r w:rsidRPr="006629B4">
              <w:rPr>
                <w:b/>
                <w:bCs/>
                <w:i/>
                <w:iCs/>
              </w:rPr>
              <w:t xml:space="preserve">If the passenger wishes to prenotify assistance, carriers, terminal managers and intermediaries shall cooperate to offer a single notification mechanism  </w:t>
            </w:r>
            <w:r w:rsidR="00CE6667" w:rsidRPr="006629B4">
              <w:rPr>
                <w:i/>
                <w:iCs/>
              </w:rPr>
              <w:t xml:space="preserve"> </w:t>
            </w:r>
            <w:r w:rsidR="00CE6667" w:rsidRPr="006629B4">
              <w:rPr>
                <w:b/>
                <w:bCs/>
                <w:i/>
                <w:iCs/>
                <w:strike/>
              </w:rPr>
              <w:t>and offer a single notification</w:t>
            </w:r>
            <w:r w:rsidR="00CE6667" w:rsidRPr="00F7379F">
              <w:rPr>
                <w:b/>
                <w:bCs/>
                <w:strike/>
              </w:rPr>
              <w:t xml:space="preserve"> mechanism, </w:t>
            </w:r>
            <w:r w:rsidR="00CE6667" w:rsidRPr="00F7379F">
              <w:rPr>
                <w:b/>
                <w:bCs/>
              </w:rPr>
              <w:t>i</w:t>
            </w:r>
            <w:r w:rsidRPr="00F7379F">
              <w:rPr>
                <w:b/>
                <w:bCs/>
              </w:rPr>
              <w:t xml:space="preserve">n </w:t>
            </w:r>
            <w:r w:rsidR="00CE6667" w:rsidRPr="00F7379F">
              <w:rPr>
                <w:b/>
                <w:bCs/>
              </w:rPr>
              <w:t>accordance with the following:</w:t>
            </w:r>
            <w:r w:rsidR="00EE5809" w:rsidRPr="00F7379F">
              <w:rPr>
                <w:b/>
                <w:bCs/>
              </w:rPr>
              <w:t xml:space="preserve"> </w:t>
            </w:r>
          </w:p>
          <w:p w14:paraId="3514DECB" w14:textId="77777777" w:rsidR="00CE6667" w:rsidRDefault="00CE6667" w:rsidP="00CE6667">
            <w:pPr>
              <w:pStyle w:val="Footer"/>
            </w:pPr>
          </w:p>
          <w:p w14:paraId="7CB3EAD5" w14:textId="2D59DBA6" w:rsidR="00CE6667" w:rsidRPr="00F7379F" w:rsidRDefault="00CE6667" w:rsidP="00CE6667">
            <w:pPr>
              <w:pStyle w:val="Footer"/>
              <w:rPr>
                <w:b/>
                <w:bCs/>
                <w:strike/>
              </w:rPr>
            </w:pPr>
            <w:r w:rsidRPr="00F7379F">
              <w:rPr>
                <w:b/>
                <w:bCs/>
                <w:strike/>
              </w:rPr>
              <w:t xml:space="preserve">(a)assistance shall be provided where the carrier, the intermediary with which the single multimodal contract </w:t>
            </w:r>
            <w:r w:rsidR="00D237EE" w:rsidRPr="00F7379F">
              <w:rPr>
                <w:b/>
                <w:bCs/>
                <w:strike/>
              </w:rPr>
              <w:t xml:space="preserve">and combined multimodal tickets </w:t>
            </w:r>
            <w:r w:rsidRPr="00F7379F">
              <w:rPr>
                <w:b/>
                <w:bCs/>
                <w:strike/>
              </w:rPr>
              <w:t xml:space="preserve">was purchased, the terminal manager or the Single Point of Contact referred to in Article 15, where applicable, is notified of the passenger’s need for such assistance at least 48 hours before the assistance is </w:t>
            </w:r>
            <w:proofErr w:type="gramStart"/>
            <w:r w:rsidRPr="00F7379F">
              <w:rPr>
                <w:b/>
                <w:bCs/>
                <w:strike/>
              </w:rPr>
              <w:t>needed</w:t>
            </w:r>
            <w:r w:rsidR="008F3605" w:rsidRPr="00F7379F">
              <w:rPr>
                <w:b/>
                <w:bCs/>
                <w:strike/>
              </w:rPr>
              <w:t xml:space="preserve">  </w:t>
            </w:r>
            <w:r w:rsidR="00033FEA" w:rsidRPr="00F7379F">
              <w:rPr>
                <w:b/>
                <w:bCs/>
                <w:strike/>
              </w:rPr>
              <w:t>at</w:t>
            </w:r>
            <w:proofErr w:type="gramEnd"/>
            <w:r w:rsidR="00033FEA" w:rsidRPr="00F7379F">
              <w:rPr>
                <w:b/>
                <w:bCs/>
                <w:strike/>
              </w:rPr>
              <w:t xml:space="preserve"> least 24h before the assistance is needed.</w:t>
            </w:r>
            <w:r w:rsidR="008F3605" w:rsidRPr="00F7379F">
              <w:rPr>
                <w:b/>
                <w:bCs/>
                <w:strike/>
              </w:rPr>
              <w:t xml:space="preserve"> A</w:t>
            </w:r>
            <w:r w:rsidRPr="00F7379F">
              <w:rPr>
                <w:b/>
                <w:bCs/>
                <w:strike/>
              </w:rPr>
              <w:t xml:space="preserve"> single notification per journey shall be required; the notification shall be forwarded to all carriers, terminal managers and Single Points of Contact involved in the </w:t>
            </w:r>
            <w:proofErr w:type="gramStart"/>
            <w:r w:rsidRPr="00F7379F">
              <w:rPr>
                <w:b/>
                <w:bCs/>
                <w:strike/>
              </w:rPr>
              <w:t>journey;</w:t>
            </w:r>
            <w:proofErr w:type="gramEnd"/>
          </w:p>
          <w:p w14:paraId="1D44EC76" w14:textId="77777777" w:rsidR="00CE6667" w:rsidRDefault="00CE6667" w:rsidP="00CE6667">
            <w:pPr>
              <w:pStyle w:val="Footer"/>
            </w:pPr>
          </w:p>
          <w:p w14:paraId="783020BD" w14:textId="77777777" w:rsidR="00CE6667" w:rsidRDefault="00CE6667" w:rsidP="00CE6667">
            <w:pPr>
              <w:pStyle w:val="Footer"/>
            </w:pPr>
            <w:r>
              <w:t xml:space="preserve">(b)the notification shall be accepted without additional costs, irrespective of the means of communication being </w:t>
            </w:r>
            <w:proofErr w:type="gramStart"/>
            <w:r>
              <w:t>used;</w:t>
            </w:r>
            <w:proofErr w:type="gramEnd"/>
            <w:r>
              <w:t xml:space="preserve"> </w:t>
            </w:r>
          </w:p>
          <w:p w14:paraId="6964E380" w14:textId="77777777" w:rsidR="00CE6667" w:rsidRDefault="00CE6667" w:rsidP="00CE6667">
            <w:pPr>
              <w:pStyle w:val="Footer"/>
            </w:pPr>
          </w:p>
          <w:p w14:paraId="037A3C23" w14:textId="37BBDBEF" w:rsidR="00CE6667" w:rsidRDefault="00CE6667" w:rsidP="00CE6667">
            <w:pPr>
              <w:pStyle w:val="Footer"/>
            </w:pPr>
            <w:r>
              <w:lastRenderedPageBreak/>
              <w:t xml:space="preserve">(c)carriers, terminal managers and intermediaries shall take all measures necessary for the reception of notifications; where ticket vendors are unable to process such notifications, they shall indicate alternative points of purchase or alternative means to make the </w:t>
            </w:r>
            <w:proofErr w:type="gramStart"/>
            <w:r>
              <w:t>notification;</w:t>
            </w:r>
            <w:proofErr w:type="gramEnd"/>
          </w:p>
          <w:p w14:paraId="0361A9E4" w14:textId="77777777" w:rsidR="00CE6667" w:rsidRDefault="00CE6667" w:rsidP="00CE6667">
            <w:pPr>
              <w:pStyle w:val="Footer"/>
            </w:pPr>
          </w:p>
          <w:p w14:paraId="54BF3285" w14:textId="77777777" w:rsidR="00CE6667" w:rsidRPr="00F7379F" w:rsidRDefault="00CE6667" w:rsidP="00CE6667">
            <w:pPr>
              <w:pStyle w:val="Footer"/>
              <w:rPr>
                <w:b/>
                <w:bCs/>
                <w:strike/>
              </w:rPr>
            </w:pPr>
            <w:r w:rsidRPr="00F7379F">
              <w:rPr>
                <w:b/>
                <w:bCs/>
                <w:strike/>
              </w:rPr>
              <w:t xml:space="preserve">(e)if the notification is not made in accordance with point (a), or no such notification has been made, the carriers and terminal managers shall make all reasonable efforts to provide assistance in such a way that the person with disabilities or person with reduced mobility may </w:t>
            </w:r>
            <w:proofErr w:type="gramStart"/>
            <w:r w:rsidRPr="00F7379F">
              <w:rPr>
                <w:b/>
                <w:bCs/>
                <w:strike/>
              </w:rPr>
              <w:t>travel;</w:t>
            </w:r>
            <w:proofErr w:type="gramEnd"/>
          </w:p>
          <w:p w14:paraId="4601F5FA" w14:textId="77777777" w:rsidR="00CE6667" w:rsidRDefault="00CE6667" w:rsidP="00CE6667">
            <w:pPr>
              <w:pStyle w:val="Footer"/>
            </w:pPr>
          </w:p>
          <w:p w14:paraId="5446539B" w14:textId="7B968ED0" w:rsidR="00CE6667" w:rsidRDefault="00CE6667" w:rsidP="00CE6667">
            <w:pPr>
              <w:pStyle w:val="Footer"/>
            </w:pPr>
            <w:r>
              <w:t>(f)an assistance dog</w:t>
            </w:r>
            <w:r w:rsidR="008D4353" w:rsidRPr="00B225DD">
              <w:rPr>
                <w:i/>
                <w:iCs/>
              </w:rPr>
              <w:t xml:space="preserve">, </w:t>
            </w:r>
            <w:r w:rsidR="008D4353" w:rsidRPr="00B225DD">
              <w:rPr>
                <w:b/>
                <w:bCs/>
                <w:i/>
                <w:iCs/>
              </w:rPr>
              <w:t>or accompanying person</w:t>
            </w:r>
            <w:r w:rsidR="008D4353">
              <w:rPr>
                <w:b/>
                <w:bCs/>
              </w:rPr>
              <w:t>,</w:t>
            </w:r>
            <w:r>
              <w:t xml:space="preserve"> shall be permitted to accompany a person with disability or person with reduced mobility in accordance with any relevant Union or national law.</w:t>
            </w:r>
          </w:p>
          <w:p w14:paraId="7D1817C6" w14:textId="77777777" w:rsidR="008B0164" w:rsidRDefault="008B0164" w:rsidP="00E816E5">
            <w:pPr>
              <w:pStyle w:val="Footer"/>
            </w:pPr>
          </w:p>
          <w:p w14:paraId="20550137" w14:textId="77777777" w:rsidR="008B0164" w:rsidRPr="00CD2FF3" w:rsidRDefault="008B0164" w:rsidP="00E816E5">
            <w:pPr>
              <w:pStyle w:val="Footer"/>
              <w:rPr>
                <w:b/>
              </w:rPr>
            </w:pPr>
            <w:r>
              <w:t xml:space="preserve"> </w:t>
            </w:r>
          </w:p>
        </w:tc>
      </w:tr>
      <w:tr w:rsidR="008B0164" w14:paraId="3D6D9586" w14:textId="77777777" w:rsidTr="008B0164">
        <w:tc>
          <w:tcPr>
            <w:tcW w:w="9962" w:type="dxa"/>
            <w:gridSpan w:val="2"/>
          </w:tcPr>
          <w:p w14:paraId="737E9334" w14:textId="77777777" w:rsidR="008B0164" w:rsidRDefault="008B0164" w:rsidP="00E816E5">
            <w:pPr>
              <w:pStyle w:val="Footer"/>
              <w:jc w:val="both"/>
            </w:pPr>
            <w:r>
              <w:lastRenderedPageBreak/>
              <w:t>Justification:</w:t>
            </w:r>
          </w:p>
          <w:p w14:paraId="59E22F65" w14:textId="77777777" w:rsidR="008B0164" w:rsidRDefault="008B0164" w:rsidP="00E816E5">
            <w:pPr>
              <w:pStyle w:val="Footer"/>
              <w:jc w:val="both"/>
            </w:pPr>
          </w:p>
          <w:p w14:paraId="40EFD20C" w14:textId="77777777" w:rsidR="008F3605" w:rsidRDefault="008F3605" w:rsidP="008F3605">
            <w:pPr>
              <w:pStyle w:val="Footer"/>
              <w:jc w:val="both"/>
            </w:pPr>
            <w:r>
              <w:t xml:space="preserve">EDF advocates for the abolition of pre-notification to book assistance, as it means that persons with disabilities and reduced mobility do not have equal access to transport, which is a binding provision of the UNCRPD. Ideally, all passengers should be able to ‘turn up and go’. In rail, some Member States have abolished or significantly reduced pre-notification in major stations. </w:t>
            </w:r>
          </w:p>
          <w:p w14:paraId="70E2CC9E" w14:textId="77777777" w:rsidR="00033FEA" w:rsidRDefault="00033FEA" w:rsidP="008F3605">
            <w:pPr>
              <w:pStyle w:val="Footer"/>
              <w:jc w:val="both"/>
            </w:pPr>
          </w:p>
          <w:p w14:paraId="017A27AE" w14:textId="77777777" w:rsidR="00033FEA" w:rsidRDefault="00033FEA" w:rsidP="008F3605">
            <w:pPr>
              <w:pStyle w:val="Footer"/>
              <w:jc w:val="both"/>
            </w:pPr>
          </w:p>
          <w:p w14:paraId="0F691EF0" w14:textId="59E6B2AC" w:rsidR="008F3605" w:rsidRDefault="008F3605" w:rsidP="008F3605">
            <w:pPr>
              <w:pStyle w:val="Footer"/>
              <w:jc w:val="both"/>
            </w:pPr>
            <w:r>
              <w:t xml:space="preserve">EDF welcomes the provision that the pre-notification will have to be accepted without additional costs, irrespective of the means of communication being used. In some cases, phone calls to request assistance are charged, creating an additional cost for persons with disabilities. </w:t>
            </w:r>
          </w:p>
          <w:p w14:paraId="31051B25" w14:textId="77777777" w:rsidR="00D74E71" w:rsidRDefault="00D74E71" w:rsidP="008F3605">
            <w:pPr>
              <w:pStyle w:val="Footer"/>
              <w:jc w:val="both"/>
            </w:pPr>
          </w:p>
          <w:p w14:paraId="10D5756E" w14:textId="2731F175" w:rsidR="00D74E71" w:rsidRDefault="00D74E71" w:rsidP="008F3605">
            <w:pPr>
              <w:pStyle w:val="Footer"/>
              <w:jc w:val="both"/>
            </w:pPr>
            <w:r>
              <w:t xml:space="preserve">The scope of the proposal is limited, as most PRM rights are only guaranteed in Single Multimodal Contracts. It would be important to extend them to other types of tickets, such as combined multimodal tickets. </w:t>
            </w:r>
          </w:p>
          <w:p w14:paraId="5541191F" w14:textId="77777777" w:rsidR="008B0164" w:rsidRDefault="008B0164" w:rsidP="00E816E5">
            <w:pPr>
              <w:pStyle w:val="Footer"/>
              <w:jc w:val="both"/>
            </w:pPr>
          </w:p>
        </w:tc>
      </w:tr>
    </w:tbl>
    <w:p w14:paraId="300E18A9" w14:textId="45870E87" w:rsidR="008B0164" w:rsidRDefault="008B0164" w:rsidP="008B0164">
      <w:pPr>
        <w:pStyle w:val="Heading2"/>
      </w:pPr>
      <w:bookmarkStart w:id="13" w:name="_Toc164171921"/>
      <w:r>
        <w:lastRenderedPageBreak/>
        <w:t>A</w:t>
      </w:r>
      <w:r w:rsidR="005E1E78">
        <w:t>mendment Article 15 - Single Points of contact for assistance</w:t>
      </w:r>
      <w:r w:rsidR="005C701C">
        <w:t xml:space="preserve"> (paragraph 1)</w:t>
      </w:r>
      <w:bookmarkEnd w:id="13"/>
      <w:r w:rsidR="005C701C">
        <w:t xml:space="preserve"> </w:t>
      </w:r>
    </w:p>
    <w:p w14:paraId="27D4E336"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57D4204C" w14:textId="77777777" w:rsidTr="008B0164">
        <w:tc>
          <w:tcPr>
            <w:tcW w:w="4980" w:type="dxa"/>
          </w:tcPr>
          <w:p w14:paraId="2D1D63F6" w14:textId="77777777" w:rsidR="008B0164" w:rsidRDefault="008B0164" w:rsidP="00E816E5">
            <w:pPr>
              <w:pStyle w:val="Footer"/>
              <w:jc w:val="both"/>
            </w:pPr>
            <w:r>
              <w:t>Commission proposal</w:t>
            </w:r>
          </w:p>
        </w:tc>
        <w:tc>
          <w:tcPr>
            <w:tcW w:w="4982" w:type="dxa"/>
          </w:tcPr>
          <w:p w14:paraId="5B90A9EF" w14:textId="77777777" w:rsidR="008B0164" w:rsidRDefault="008B0164" w:rsidP="00E816E5">
            <w:pPr>
              <w:pStyle w:val="Footer"/>
              <w:jc w:val="both"/>
            </w:pPr>
            <w:r>
              <w:t>EDF amendments</w:t>
            </w:r>
          </w:p>
        </w:tc>
      </w:tr>
      <w:tr w:rsidR="008B0164" w14:paraId="6EB29C73" w14:textId="77777777" w:rsidTr="008B0164">
        <w:tc>
          <w:tcPr>
            <w:tcW w:w="4980" w:type="dxa"/>
          </w:tcPr>
          <w:p w14:paraId="3BFEC044" w14:textId="77777777" w:rsidR="005E1E78" w:rsidRDefault="005E1E78" w:rsidP="005E1E78">
            <w:pPr>
              <w:pStyle w:val="Footer"/>
            </w:pPr>
            <w:r>
              <w:t>Single points of contact for assistance at multimodal passenger hubs</w:t>
            </w:r>
          </w:p>
          <w:p w14:paraId="3722D4E2" w14:textId="77777777" w:rsidR="005E1E78" w:rsidRDefault="005E1E78" w:rsidP="005E1E78">
            <w:pPr>
              <w:pStyle w:val="Footer"/>
            </w:pPr>
          </w:p>
          <w:p w14:paraId="4E4DB652" w14:textId="77777777" w:rsidR="005E1E78" w:rsidRDefault="005E1E78" w:rsidP="005E1E78">
            <w:pPr>
              <w:pStyle w:val="Footer"/>
            </w:pPr>
            <w:r>
              <w:t>1.Member States shall ensure that terminal managers and carriers on their territory cooperate to establish and to operate single points of contact for persons with disabilities and persons with reduced mobility at multimodal passenger hubs in the urban nodes referred to in Annex I. The terms for the operation of the single points of contact shall be established in the access rules referred to in Article 12(1). Those single points of contact shall have the responsibility to:</w:t>
            </w:r>
          </w:p>
          <w:p w14:paraId="165847ED" w14:textId="77777777" w:rsidR="005E1E78" w:rsidRDefault="005E1E78" w:rsidP="005E1E78">
            <w:pPr>
              <w:pStyle w:val="Footer"/>
            </w:pPr>
          </w:p>
          <w:p w14:paraId="53CC044C" w14:textId="77777777" w:rsidR="005E1E78" w:rsidRDefault="005E1E78" w:rsidP="005E1E78">
            <w:pPr>
              <w:pStyle w:val="Footer"/>
            </w:pPr>
            <w:r>
              <w:t xml:space="preserve">(a)accept requests for assistance at </w:t>
            </w:r>
            <w:proofErr w:type="gramStart"/>
            <w:r>
              <w:t>terminals;</w:t>
            </w:r>
            <w:proofErr w:type="gramEnd"/>
          </w:p>
          <w:p w14:paraId="54CDB019" w14:textId="77777777" w:rsidR="005E1E78" w:rsidRDefault="005E1E78" w:rsidP="005E1E78">
            <w:pPr>
              <w:pStyle w:val="Footer"/>
            </w:pPr>
          </w:p>
          <w:p w14:paraId="71E99CC6" w14:textId="77777777" w:rsidR="005E1E78" w:rsidRDefault="005E1E78" w:rsidP="005E1E78">
            <w:pPr>
              <w:pStyle w:val="Footer"/>
            </w:pPr>
            <w:r>
              <w:t xml:space="preserve">(b)communicate individual requests for assistance to terminal operators and carriers. </w:t>
            </w:r>
          </w:p>
          <w:p w14:paraId="2A305523" w14:textId="77777777" w:rsidR="005E1E78" w:rsidRDefault="005E1E78" w:rsidP="005E1E78">
            <w:pPr>
              <w:pStyle w:val="Footer"/>
            </w:pPr>
          </w:p>
          <w:p w14:paraId="7DCB2F13" w14:textId="77777777" w:rsidR="008B0164" w:rsidRDefault="008B0164" w:rsidP="005C701C">
            <w:pPr>
              <w:pStyle w:val="Footer"/>
            </w:pPr>
          </w:p>
        </w:tc>
        <w:tc>
          <w:tcPr>
            <w:tcW w:w="4982" w:type="dxa"/>
          </w:tcPr>
          <w:p w14:paraId="20150FD3" w14:textId="77777777" w:rsidR="005E1E78" w:rsidRDefault="005E1E78" w:rsidP="005E1E78">
            <w:pPr>
              <w:pStyle w:val="Footer"/>
            </w:pPr>
            <w:r>
              <w:t>Single points of contact for assistance at multimodal passenger hubs</w:t>
            </w:r>
          </w:p>
          <w:p w14:paraId="630CD9A8" w14:textId="77777777" w:rsidR="005E1E78" w:rsidRDefault="005E1E78" w:rsidP="005E1E78">
            <w:pPr>
              <w:pStyle w:val="Footer"/>
            </w:pPr>
          </w:p>
          <w:p w14:paraId="7F06F139" w14:textId="77777777" w:rsidR="005E1E78" w:rsidRDefault="005E1E78" w:rsidP="005E1E78">
            <w:pPr>
              <w:pStyle w:val="Footer"/>
            </w:pPr>
            <w:r>
              <w:t>1.Member States shall ensure that terminal managers and carriers on their territory cooperate to establish and to operate single points of contact for persons with disabilities and persons with reduced mobility at multimodal passenger hubs in the urban nodes referred to in Annex I. The terms for the operation of the single points of contact shall be established in the access rules referred to in Article 12(1). Those single points of contact shall have the responsibility to:</w:t>
            </w:r>
          </w:p>
          <w:p w14:paraId="486106D3" w14:textId="77777777" w:rsidR="005E1E78" w:rsidRDefault="005E1E78" w:rsidP="005E1E78">
            <w:pPr>
              <w:pStyle w:val="Footer"/>
            </w:pPr>
          </w:p>
          <w:p w14:paraId="4D4FB4E1" w14:textId="77777777" w:rsidR="005E1E78" w:rsidRDefault="005E1E78" w:rsidP="005E1E78">
            <w:pPr>
              <w:pStyle w:val="Footer"/>
            </w:pPr>
            <w:r>
              <w:t xml:space="preserve">(a)accept requests for assistance at </w:t>
            </w:r>
            <w:proofErr w:type="gramStart"/>
            <w:r>
              <w:t>terminals;</w:t>
            </w:r>
            <w:proofErr w:type="gramEnd"/>
          </w:p>
          <w:p w14:paraId="05DAE89E" w14:textId="77777777" w:rsidR="005E1E78" w:rsidRDefault="005E1E78" w:rsidP="005E1E78">
            <w:pPr>
              <w:pStyle w:val="Footer"/>
            </w:pPr>
          </w:p>
          <w:p w14:paraId="3A1AB6D0" w14:textId="77777777" w:rsidR="005E1E78" w:rsidRDefault="005E1E78" w:rsidP="005E1E78">
            <w:pPr>
              <w:pStyle w:val="Footer"/>
            </w:pPr>
            <w:r>
              <w:t xml:space="preserve">(b)communicate individual requests for assistance to terminal operators and carriers. </w:t>
            </w:r>
          </w:p>
          <w:p w14:paraId="26E6C835" w14:textId="77777777" w:rsidR="005E1E78" w:rsidRDefault="005E1E78" w:rsidP="005E1E78">
            <w:pPr>
              <w:pStyle w:val="Footer"/>
            </w:pPr>
          </w:p>
          <w:p w14:paraId="2B1722DA" w14:textId="72609851" w:rsidR="005E1E78" w:rsidRDefault="005E1E78" w:rsidP="006C14A5">
            <w:pPr>
              <w:pStyle w:val="Footer"/>
            </w:pPr>
            <w:r>
              <w:t>(</w:t>
            </w:r>
            <w:r w:rsidRPr="006C14A5">
              <w:rPr>
                <w:b/>
                <w:bCs/>
                <w:i/>
                <w:iCs/>
              </w:rPr>
              <w:t xml:space="preserve">c) </w:t>
            </w:r>
            <w:r w:rsidR="006C14A5" w:rsidRPr="006C14A5">
              <w:rPr>
                <w:b/>
                <w:bCs/>
                <w:i/>
                <w:iCs/>
              </w:rPr>
              <w:t xml:space="preserve"> provide information on accessibility.</w:t>
            </w:r>
          </w:p>
          <w:p w14:paraId="2DE412FE" w14:textId="77777777" w:rsidR="005E1E78" w:rsidRDefault="005E1E78" w:rsidP="005E1E78">
            <w:pPr>
              <w:pStyle w:val="Footer"/>
            </w:pPr>
          </w:p>
          <w:p w14:paraId="76D9E702" w14:textId="77777777" w:rsidR="008B0164" w:rsidRDefault="008B0164" w:rsidP="00E816E5">
            <w:pPr>
              <w:pStyle w:val="Footer"/>
            </w:pPr>
          </w:p>
          <w:p w14:paraId="2080225A" w14:textId="77777777" w:rsidR="008B0164" w:rsidRPr="00CD2FF3" w:rsidRDefault="008B0164" w:rsidP="00E816E5">
            <w:pPr>
              <w:pStyle w:val="Footer"/>
              <w:rPr>
                <w:b/>
              </w:rPr>
            </w:pPr>
            <w:r>
              <w:t xml:space="preserve"> </w:t>
            </w:r>
          </w:p>
        </w:tc>
      </w:tr>
      <w:tr w:rsidR="008B0164" w14:paraId="7F08EA6F" w14:textId="77777777" w:rsidTr="008B0164">
        <w:tc>
          <w:tcPr>
            <w:tcW w:w="9962" w:type="dxa"/>
            <w:gridSpan w:val="2"/>
          </w:tcPr>
          <w:p w14:paraId="5528EC1A" w14:textId="77777777" w:rsidR="008B0164" w:rsidRDefault="008B0164" w:rsidP="00E816E5">
            <w:pPr>
              <w:pStyle w:val="Footer"/>
              <w:jc w:val="both"/>
            </w:pPr>
            <w:r>
              <w:t>Justification:</w:t>
            </w:r>
          </w:p>
          <w:p w14:paraId="3490A0EC" w14:textId="77777777" w:rsidR="006C14A5" w:rsidRDefault="006C14A5" w:rsidP="00E816E5">
            <w:pPr>
              <w:pStyle w:val="Footer"/>
              <w:jc w:val="both"/>
            </w:pPr>
          </w:p>
          <w:p w14:paraId="0FAC7202" w14:textId="1644E248" w:rsidR="006C14A5" w:rsidRDefault="006C14A5" w:rsidP="00E816E5">
            <w:pPr>
              <w:pStyle w:val="Footer"/>
              <w:jc w:val="both"/>
            </w:pPr>
            <w:r>
              <w:t xml:space="preserve">As it is the case for </w:t>
            </w:r>
            <w:hyperlink r:id="rId17" w:history="1">
              <w:r w:rsidRPr="006C14A5">
                <w:rPr>
                  <w:rStyle w:val="Hyperlink"/>
                </w:rPr>
                <w:t>Single Point of Contact</w:t>
              </w:r>
              <w:r>
                <w:rPr>
                  <w:rStyle w:val="Hyperlink"/>
                </w:rPr>
                <w:t xml:space="preserve"> (SPC)</w:t>
              </w:r>
              <w:r w:rsidRPr="006C14A5">
                <w:rPr>
                  <w:rStyle w:val="Hyperlink"/>
                </w:rPr>
                <w:t xml:space="preserve"> under the Rail Passenger regulation (Article 24)</w:t>
              </w:r>
            </w:hyperlink>
            <w:r>
              <w:t>, SPC under the Multimodal Regulation should also be tasked with providing passengers information on accessibility.</w:t>
            </w:r>
          </w:p>
          <w:p w14:paraId="12A27FAE" w14:textId="77777777" w:rsidR="008B0164" w:rsidRDefault="008B0164" w:rsidP="00E816E5">
            <w:pPr>
              <w:pStyle w:val="Footer"/>
              <w:jc w:val="both"/>
            </w:pPr>
          </w:p>
        </w:tc>
      </w:tr>
    </w:tbl>
    <w:p w14:paraId="0B269DDB" w14:textId="1B4B4DAB" w:rsidR="00EC6A18" w:rsidRDefault="00EC6A18" w:rsidP="00EC6A18">
      <w:pPr>
        <w:pStyle w:val="Heading2"/>
      </w:pPr>
      <w:bookmarkStart w:id="14" w:name="_Toc164171922"/>
      <w:r>
        <w:t>Amendment Article 16 – Compensation in respect of mobility equipment, assistive devices and assistant dogs</w:t>
      </w:r>
      <w:bookmarkEnd w:id="14"/>
      <w:r>
        <w:t xml:space="preserve"> </w:t>
      </w:r>
    </w:p>
    <w:p w14:paraId="6382900E" w14:textId="77777777" w:rsidR="00EC6A18" w:rsidRPr="00046E92" w:rsidRDefault="00EC6A18" w:rsidP="00EC6A18"/>
    <w:tbl>
      <w:tblPr>
        <w:tblStyle w:val="TableGrid"/>
        <w:tblW w:w="0" w:type="auto"/>
        <w:tblLook w:val="04A0" w:firstRow="1" w:lastRow="0" w:firstColumn="1" w:lastColumn="0" w:noHBand="0" w:noVBand="1"/>
      </w:tblPr>
      <w:tblGrid>
        <w:gridCol w:w="4980"/>
        <w:gridCol w:w="4982"/>
      </w:tblGrid>
      <w:tr w:rsidR="00EC6A18" w14:paraId="1D287F41" w14:textId="77777777" w:rsidTr="00D87B68">
        <w:tc>
          <w:tcPr>
            <w:tcW w:w="4980" w:type="dxa"/>
          </w:tcPr>
          <w:p w14:paraId="22DD5D74" w14:textId="77777777" w:rsidR="00EC6A18" w:rsidRDefault="00EC6A18" w:rsidP="00D87B68">
            <w:pPr>
              <w:pStyle w:val="Footer"/>
              <w:jc w:val="both"/>
            </w:pPr>
            <w:r>
              <w:t>Commission proposal</w:t>
            </w:r>
          </w:p>
        </w:tc>
        <w:tc>
          <w:tcPr>
            <w:tcW w:w="4982" w:type="dxa"/>
          </w:tcPr>
          <w:p w14:paraId="2156E1FE" w14:textId="77777777" w:rsidR="00EC6A18" w:rsidRDefault="00EC6A18" w:rsidP="00D87B68">
            <w:pPr>
              <w:pStyle w:val="Footer"/>
              <w:jc w:val="both"/>
            </w:pPr>
            <w:r>
              <w:t>EDF amendments</w:t>
            </w:r>
          </w:p>
        </w:tc>
      </w:tr>
      <w:tr w:rsidR="00EC6A18" w14:paraId="5ECE375F" w14:textId="77777777" w:rsidTr="00D87B68">
        <w:tc>
          <w:tcPr>
            <w:tcW w:w="4980" w:type="dxa"/>
          </w:tcPr>
          <w:p w14:paraId="4AC20B8C" w14:textId="77777777" w:rsidR="00EC6A18" w:rsidRDefault="00EC6A18" w:rsidP="00EC6A18">
            <w:pPr>
              <w:pStyle w:val="Footer"/>
            </w:pPr>
            <w:r>
              <w:lastRenderedPageBreak/>
              <w:t xml:space="preserve">Compensation in respect of mobility equipment, assistive devices and assistance dogs </w:t>
            </w:r>
          </w:p>
          <w:p w14:paraId="1141C3F7" w14:textId="77777777" w:rsidR="00EC6A18" w:rsidRDefault="00EC6A18" w:rsidP="00EC6A18">
            <w:pPr>
              <w:pStyle w:val="Footer"/>
            </w:pPr>
          </w:p>
          <w:p w14:paraId="2307A6DC" w14:textId="77777777" w:rsidR="00EC6A18" w:rsidRDefault="00EC6A18" w:rsidP="00EC6A18">
            <w:pPr>
              <w:pStyle w:val="Footer"/>
            </w:pPr>
            <w:r>
              <w:t>1.Where terminal managers and carriers assisting persons with disabilities and persons with reduced mobility from one transport service to a connecting transport service, either in the context of a single multimodal contract or at a multimodal passenger hub, cause the loss of, or damage to, mobility equipment, including wheelchairs, and assistive devices, or the loss of, or injury to, assistance dogs used by persons with disabilities and persons with reduced mobility, they shall be liable for that loss, damage or injury, and provide compensation without undue delay. That compensation shall comprise:</w:t>
            </w:r>
          </w:p>
          <w:p w14:paraId="06220918" w14:textId="77777777" w:rsidR="00D91B34" w:rsidRDefault="00D91B34" w:rsidP="00EC6A18">
            <w:pPr>
              <w:pStyle w:val="Footer"/>
            </w:pPr>
          </w:p>
          <w:p w14:paraId="23CBCCBE" w14:textId="77777777" w:rsidR="00D91B34" w:rsidRDefault="00D91B34" w:rsidP="00D91B34">
            <w:pPr>
              <w:pStyle w:val="Footer"/>
            </w:pPr>
            <w:r>
              <w:t xml:space="preserve">(a)the cost of replacement or repair of the mobility equipment or assistive devices lost or </w:t>
            </w:r>
            <w:proofErr w:type="gramStart"/>
            <w:r>
              <w:t>damaged;</w:t>
            </w:r>
            <w:proofErr w:type="gramEnd"/>
          </w:p>
          <w:p w14:paraId="5C7A607A" w14:textId="77777777" w:rsidR="00D91B34" w:rsidRDefault="00D91B34" w:rsidP="00D91B34">
            <w:pPr>
              <w:pStyle w:val="Footer"/>
            </w:pPr>
          </w:p>
          <w:p w14:paraId="5DD3FEC9" w14:textId="77777777" w:rsidR="00D91B34" w:rsidRDefault="00D91B34" w:rsidP="00D91B34">
            <w:pPr>
              <w:pStyle w:val="Footer"/>
            </w:pPr>
            <w:r>
              <w:t xml:space="preserve">(b)the cost of replacement or the treatment of the injury of an assistance dog that was lost or </w:t>
            </w:r>
            <w:proofErr w:type="gramStart"/>
            <w:r>
              <w:t>injured;</w:t>
            </w:r>
            <w:proofErr w:type="gramEnd"/>
          </w:p>
          <w:p w14:paraId="28E25663" w14:textId="77777777" w:rsidR="00D91B34" w:rsidRDefault="00D91B34" w:rsidP="00D91B34">
            <w:pPr>
              <w:pStyle w:val="Footer"/>
            </w:pPr>
          </w:p>
          <w:p w14:paraId="0E18E6FD" w14:textId="77777777" w:rsidR="00D91B34" w:rsidRDefault="00D91B34" w:rsidP="00D91B34">
            <w:pPr>
              <w:pStyle w:val="Footer"/>
            </w:pPr>
            <w:r>
              <w:t>(c)reasonable costs of temporary replacement for mobility equipment, assistive devices or assistance dogs where such replacement is not provided or is not to be provided, by the carrier or terminal manager in accordance with paragraph 2.</w:t>
            </w:r>
          </w:p>
          <w:p w14:paraId="6C623546" w14:textId="77777777" w:rsidR="00D91B34" w:rsidRDefault="00D91B34" w:rsidP="00D91B34">
            <w:pPr>
              <w:pStyle w:val="Footer"/>
            </w:pPr>
          </w:p>
          <w:p w14:paraId="0EA2B592" w14:textId="77777777" w:rsidR="00D91B34" w:rsidRDefault="00D91B34" w:rsidP="00D91B34">
            <w:pPr>
              <w:pStyle w:val="Footer"/>
            </w:pPr>
            <w:r>
              <w:t xml:space="preserve">2.Where paragraph 1 applies, carriers and terminal managers shall rapidly make all reasonable efforts to provide immediately needed temporary replacements for mobility equipment or assistive devices. The person with disabilities or the person with reduced mobility shall be permitted to keep that temporary replacement equipment or device </w:t>
            </w:r>
            <w:r>
              <w:lastRenderedPageBreak/>
              <w:t>until the compensation referred to in paragraph 1 has been paid.</w:t>
            </w:r>
          </w:p>
          <w:p w14:paraId="131C4E53" w14:textId="77777777" w:rsidR="00D91B34" w:rsidRDefault="00D91B34" w:rsidP="00D91B34">
            <w:pPr>
              <w:pStyle w:val="Footer"/>
            </w:pPr>
          </w:p>
          <w:p w14:paraId="667370F7" w14:textId="3FF5870A" w:rsidR="00EC6A18" w:rsidRDefault="00D91B34" w:rsidP="00D91B34">
            <w:pPr>
              <w:pStyle w:val="Footer"/>
            </w:pPr>
            <w:r>
              <w:t xml:space="preserve">3.Where a carrier or terminal manager pays compensation under paragraph 1, no provision of this Regulation may be interpreted as restricting their right to seek compensation from any person, including third parties, in accordance with the applicable law.  </w:t>
            </w:r>
          </w:p>
        </w:tc>
        <w:tc>
          <w:tcPr>
            <w:tcW w:w="4982" w:type="dxa"/>
          </w:tcPr>
          <w:p w14:paraId="3D2ECE48" w14:textId="77777777" w:rsidR="00EC6A18" w:rsidRDefault="00EC6A18" w:rsidP="00EC6A18">
            <w:pPr>
              <w:pStyle w:val="Footer"/>
            </w:pPr>
            <w:r>
              <w:lastRenderedPageBreak/>
              <w:t xml:space="preserve">Compensation in respect of mobility equipment, assistive devices and assistance dogs </w:t>
            </w:r>
          </w:p>
          <w:p w14:paraId="47AC7ABF" w14:textId="77777777" w:rsidR="00EC6A18" w:rsidRDefault="00EC6A18" w:rsidP="00EC6A18">
            <w:pPr>
              <w:pStyle w:val="Footer"/>
            </w:pPr>
          </w:p>
          <w:p w14:paraId="3EEDBC04" w14:textId="027D8CE7" w:rsidR="00EC6A18" w:rsidRDefault="00EC6A18" w:rsidP="00EC6A18">
            <w:pPr>
              <w:pStyle w:val="Footer"/>
            </w:pPr>
            <w:r>
              <w:t xml:space="preserve">1.Where terminal managers and carriers assisting persons with disabilities and persons with reduced </w:t>
            </w:r>
            <w:r w:rsidRPr="00EC6A18">
              <w:t>mobility</w:t>
            </w:r>
            <w:r w:rsidRPr="00EC6A18">
              <w:rPr>
                <w:b/>
                <w:bCs/>
                <w:i/>
                <w:iCs/>
                <w:strike/>
              </w:rPr>
              <w:t xml:space="preserve"> from one transport service to a connecting transport service,</w:t>
            </w:r>
            <w:r>
              <w:t xml:space="preserve"> either in the context of a single multimodal contract </w:t>
            </w:r>
            <w:r w:rsidR="00251B4A" w:rsidRPr="00251B4A">
              <w:rPr>
                <w:i/>
                <w:iCs/>
              </w:rPr>
              <w:t xml:space="preserve">, a </w:t>
            </w:r>
            <w:r w:rsidR="00251B4A" w:rsidRPr="00251B4A">
              <w:rPr>
                <w:b/>
                <w:bCs/>
                <w:i/>
                <w:iCs/>
              </w:rPr>
              <w:t>combined multimodal ticket</w:t>
            </w:r>
            <w:r w:rsidR="00251B4A" w:rsidRPr="00251B4A">
              <w:rPr>
                <w:i/>
                <w:iCs/>
              </w:rPr>
              <w:t>,</w:t>
            </w:r>
            <w:r w:rsidR="00251B4A">
              <w:t xml:space="preserve"> </w:t>
            </w:r>
            <w:r>
              <w:t>or at a multimodal passenger hub, cause the loss of, or damage to, mobility equipment, including wheelchairs, and assistive devices, or the loss of, or injury to, assistance dogs used by persons with disabilities and persons with reduced mobility, they shall be liable for that loss, damage or injury, and provide compensation without undue delay. That compensation shall comprise:</w:t>
            </w:r>
          </w:p>
          <w:p w14:paraId="1E02F79C" w14:textId="272A9B28" w:rsidR="005C701C" w:rsidRDefault="005C701C" w:rsidP="005C701C">
            <w:pPr>
              <w:pStyle w:val="Footer"/>
            </w:pPr>
          </w:p>
          <w:p w14:paraId="36DDB23C" w14:textId="77777777" w:rsidR="00D91B34" w:rsidRDefault="00EC6A18" w:rsidP="00D91B34">
            <w:pPr>
              <w:pStyle w:val="Footer"/>
            </w:pPr>
            <w:r>
              <w:t xml:space="preserve"> </w:t>
            </w:r>
            <w:r w:rsidR="00D91B34">
              <w:t xml:space="preserve">(a)the cost of replacement or repair of the mobility equipment or assistive devices lost or </w:t>
            </w:r>
            <w:proofErr w:type="gramStart"/>
            <w:r w:rsidR="00D91B34">
              <w:t>damaged;</w:t>
            </w:r>
            <w:proofErr w:type="gramEnd"/>
          </w:p>
          <w:p w14:paraId="720B75A5" w14:textId="77777777" w:rsidR="00D91B34" w:rsidRDefault="00D91B34" w:rsidP="00D91B34">
            <w:pPr>
              <w:pStyle w:val="Footer"/>
            </w:pPr>
          </w:p>
          <w:p w14:paraId="3CAD3094" w14:textId="77777777" w:rsidR="00D91B34" w:rsidRDefault="00D91B34" w:rsidP="00D91B34">
            <w:pPr>
              <w:pStyle w:val="Footer"/>
            </w:pPr>
            <w:r>
              <w:t xml:space="preserve">(b)the cost of replacement or the treatment of the injury of an assistance dog that was lost or </w:t>
            </w:r>
            <w:proofErr w:type="gramStart"/>
            <w:r>
              <w:t>injured;</w:t>
            </w:r>
            <w:proofErr w:type="gramEnd"/>
          </w:p>
          <w:p w14:paraId="5B2D7E7F" w14:textId="77777777" w:rsidR="00D91B34" w:rsidRDefault="00D91B34" w:rsidP="00D91B34">
            <w:pPr>
              <w:pStyle w:val="Footer"/>
            </w:pPr>
          </w:p>
          <w:p w14:paraId="43A9F8C9" w14:textId="77777777" w:rsidR="00EC6A18" w:rsidRDefault="00D91B34" w:rsidP="00D91B34">
            <w:pPr>
              <w:pStyle w:val="Footer"/>
            </w:pPr>
            <w:r>
              <w:t>(c)reasonable costs of temporary replacement for mobility equipment, assistive devices or assistance dogs where such replacement is not provided or is not to be provided, by the carrier or terminal manager in accordance with paragraph 2</w:t>
            </w:r>
          </w:p>
          <w:p w14:paraId="7D56CE69" w14:textId="77777777" w:rsidR="00D91B34" w:rsidRDefault="00D91B34" w:rsidP="00D91B34"/>
          <w:p w14:paraId="06399D37" w14:textId="77777777" w:rsidR="00D91B34" w:rsidRPr="00027832" w:rsidRDefault="00D91B34" w:rsidP="00D91B34">
            <w:pPr>
              <w:pStyle w:val="Footer"/>
              <w:rPr>
                <w:b/>
                <w:bCs/>
                <w:i/>
                <w:iCs/>
              </w:rPr>
            </w:pPr>
            <w:r>
              <w:rPr>
                <w:b/>
                <w:bCs/>
                <w:i/>
                <w:iCs/>
              </w:rPr>
              <w:t>(d) any cost for the passenger derived from the loss or damage of mobility equipment or assistive device, or from the loss or injury of assistance dogs, until the temporary replacement has been provided.</w:t>
            </w:r>
          </w:p>
          <w:p w14:paraId="456FB3DC" w14:textId="77777777" w:rsidR="00D91B34" w:rsidRDefault="00D91B34" w:rsidP="00D91B34"/>
          <w:p w14:paraId="6953D47D" w14:textId="77777777" w:rsidR="00D91B34" w:rsidRDefault="00D91B34" w:rsidP="00D91B34">
            <w:pPr>
              <w:pStyle w:val="Footer"/>
            </w:pPr>
            <w:r>
              <w:lastRenderedPageBreak/>
              <w:t>2.Where paragraph 1 applies, carriers and terminal managers shall rapidly make all reasonable efforts to provide immediately needed temporary replacements for mobility equipment or assistive devices. The person with disabilities or the person with reduced mobility shall be permitted to keep that temporary replacement equipment or device until the compensation referred to in paragraph 1 has been paid.</w:t>
            </w:r>
          </w:p>
          <w:p w14:paraId="500BA9E2" w14:textId="77777777" w:rsidR="00D91B34" w:rsidRDefault="00D91B34" w:rsidP="00D91B34">
            <w:pPr>
              <w:pStyle w:val="Footer"/>
            </w:pPr>
          </w:p>
          <w:p w14:paraId="45F18D80" w14:textId="6A812136" w:rsidR="00D91B34" w:rsidRPr="00D91B34" w:rsidRDefault="00D91B34" w:rsidP="00D91B34">
            <w:r>
              <w:t xml:space="preserve">3.Where a carrier or terminal manager pays compensation under paragraph 1, no provision of this Regulation may be interpreted as restricting their right to seek compensation from any person, including third parties, in accordance with the applicable law.  </w:t>
            </w:r>
          </w:p>
        </w:tc>
      </w:tr>
      <w:tr w:rsidR="00EC6A18" w14:paraId="7D4B93FD" w14:textId="77777777" w:rsidTr="00D87B68">
        <w:tc>
          <w:tcPr>
            <w:tcW w:w="9962" w:type="dxa"/>
            <w:gridSpan w:val="2"/>
          </w:tcPr>
          <w:p w14:paraId="282F297B" w14:textId="77777777" w:rsidR="00EC6A18" w:rsidRDefault="00EC6A18" w:rsidP="00D87B68">
            <w:pPr>
              <w:pStyle w:val="Footer"/>
              <w:jc w:val="both"/>
            </w:pPr>
            <w:r>
              <w:lastRenderedPageBreak/>
              <w:t>Justification:</w:t>
            </w:r>
          </w:p>
          <w:p w14:paraId="345711BA" w14:textId="77777777" w:rsidR="00EC6A18" w:rsidRDefault="00EC6A18" w:rsidP="00D87B68">
            <w:pPr>
              <w:pStyle w:val="Footer"/>
              <w:jc w:val="both"/>
            </w:pPr>
          </w:p>
          <w:p w14:paraId="695EBC18" w14:textId="617AC56E" w:rsidR="00712D97" w:rsidRDefault="00EC6A18" w:rsidP="00712D97">
            <w:pPr>
              <w:pStyle w:val="Footer"/>
              <w:jc w:val="both"/>
            </w:pPr>
            <w:r>
              <w:t xml:space="preserve">One of the main gaps in passenger rights framework is </w:t>
            </w:r>
            <w:r w:rsidR="00712D97">
              <w:t xml:space="preserve">while bus, rail and waterborne transport do not set any limit for the liability of broken or lost mobility equipment, Regulation 1107/2006 on air travel limits it to the amount </w:t>
            </w:r>
            <w:r>
              <w:t>set by the Montreal Convention</w:t>
            </w:r>
            <w:r w:rsidR="00712D97">
              <w:t xml:space="preserve"> (approx. 1100 EUR). This amount is not sufficient to cover the replacement or damages to a wheelchair that can cost up to 10.000 EUR or more. Mobility equipment is crucial for passengers with reduced mobility or disability to remain independent and cannot be replaced easily. </w:t>
            </w:r>
          </w:p>
          <w:p w14:paraId="603D1C3A" w14:textId="77777777" w:rsidR="00712D97" w:rsidRDefault="00712D97" w:rsidP="00712D97">
            <w:pPr>
              <w:pStyle w:val="Footer"/>
              <w:jc w:val="both"/>
            </w:pPr>
          </w:p>
          <w:p w14:paraId="53B928A7" w14:textId="0779A1B4" w:rsidR="00712D97" w:rsidRDefault="00712D97" w:rsidP="00712D97">
            <w:pPr>
              <w:pStyle w:val="Footer"/>
              <w:jc w:val="both"/>
            </w:pPr>
            <w:r>
              <w:t xml:space="preserve">Aware of this situation, the Commission tried to solve the issue in its </w:t>
            </w:r>
            <w:hyperlink r:id="rId18" w:history="1">
              <w:r w:rsidRPr="00D0567F">
                <w:rPr>
                  <w:rStyle w:val="Hyperlink"/>
                </w:rPr>
                <w:t>2013 proposal amending regulations 261/2004 and 2027/97</w:t>
              </w:r>
            </w:hyperlink>
            <w:r>
              <w:t xml:space="preserve">. Unfortunately, this proposal has been blocked in the Council for more than ten years and this important issue remains unaddressed. Addressing this gap should be a priority in any update of the passenger rights framework.  </w:t>
            </w:r>
          </w:p>
          <w:p w14:paraId="3A560A14" w14:textId="77777777" w:rsidR="00712D97" w:rsidRDefault="00712D97" w:rsidP="00712D97">
            <w:pPr>
              <w:pStyle w:val="Footer"/>
              <w:jc w:val="both"/>
            </w:pPr>
          </w:p>
          <w:p w14:paraId="0FD1C3A7" w14:textId="247D2C34" w:rsidR="00712D97" w:rsidRDefault="00712D97" w:rsidP="00EC6A18">
            <w:pPr>
              <w:pStyle w:val="Footer"/>
              <w:jc w:val="both"/>
            </w:pPr>
            <w:r>
              <w:t xml:space="preserve">Whenever a passenger buys a single multimodal contract, carriers and transport operators involved in the multimodal journey should be liable for the full cost of replacement or repair of the mobility equipment, not only at connecting points. </w:t>
            </w:r>
            <w:r w:rsidR="00251B4A">
              <w:t xml:space="preserve">This should be extended to combined multimodal tickets, as the current scope of this article is limited to single multimodal tickets. </w:t>
            </w:r>
          </w:p>
        </w:tc>
      </w:tr>
    </w:tbl>
    <w:p w14:paraId="14169552" w14:textId="25AF56DD" w:rsidR="008B0164" w:rsidRDefault="008B0164" w:rsidP="008B0164">
      <w:pPr>
        <w:pStyle w:val="Heading2"/>
      </w:pPr>
      <w:bookmarkStart w:id="15" w:name="_Toc164171923"/>
      <w:r>
        <w:t>A</w:t>
      </w:r>
      <w:r w:rsidR="002B5B8F">
        <w:t>mendment to Article 17 – Service quality standards</w:t>
      </w:r>
      <w:r w:rsidR="000A206D">
        <w:t xml:space="preserve"> (paragraph 3)</w:t>
      </w:r>
      <w:bookmarkEnd w:id="15"/>
    </w:p>
    <w:p w14:paraId="416B1AF8"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5DD82A01" w14:textId="77777777" w:rsidTr="008B0164">
        <w:tc>
          <w:tcPr>
            <w:tcW w:w="4980" w:type="dxa"/>
          </w:tcPr>
          <w:p w14:paraId="44F66E11" w14:textId="77777777" w:rsidR="008B0164" w:rsidRDefault="008B0164" w:rsidP="00E816E5">
            <w:pPr>
              <w:pStyle w:val="Footer"/>
              <w:jc w:val="both"/>
            </w:pPr>
            <w:r>
              <w:t>Commission proposal</w:t>
            </w:r>
          </w:p>
        </w:tc>
        <w:tc>
          <w:tcPr>
            <w:tcW w:w="4982" w:type="dxa"/>
          </w:tcPr>
          <w:p w14:paraId="3CE95113" w14:textId="77777777" w:rsidR="008B0164" w:rsidRDefault="008B0164" w:rsidP="00E816E5">
            <w:pPr>
              <w:pStyle w:val="Footer"/>
              <w:jc w:val="both"/>
            </w:pPr>
            <w:r>
              <w:t>EDF amendments</w:t>
            </w:r>
          </w:p>
        </w:tc>
      </w:tr>
      <w:tr w:rsidR="002B5B8F" w14:paraId="05A18DF6" w14:textId="77777777" w:rsidTr="008B0164">
        <w:tc>
          <w:tcPr>
            <w:tcW w:w="4980" w:type="dxa"/>
          </w:tcPr>
          <w:p w14:paraId="767E10E2" w14:textId="77777777" w:rsidR="002B5B8F" w:rsidRDefault="002B5B8F" w:rsidP="002B5B8F">
            <w:pPr>
              <w:pStyle w:val="Footer"/>
            </w:pPr>
            <w:r>
              <w:t>Service quality standards</w:t>
            </w:r>
          </w:p>
          <w:p w14:paraId="5D5AA370" w14:textId="77777777" w:rsidR="002B5B8F" w:rsidRDefault="002B5B8F" w:rsidP="002B5B8F">
            <w:pPr>
              <w:pStyle w:val="Footer"/>
            </w:pPr>
          </w:p>
          <w:p w14:paraId="51BCF9A7" w14:textId="51F40B0A" w:rsidR="002B5B8F" w:rsidRDefault="000A206D" w:rsidP="002B5B8F">
            <w:pPr>
              <w:pStyle w:val="Footer"/>
            </w:pPr>
            <w:r>
              <w:t>(..</w:t>
            </w:r>
            <w:r w:rsidR="002B5B8F">
              <w:t>.</w:t>
            </w:r>
            <w:r>
              <w:t>)</w:t>
            </w:r>
          </w:p>
          <w:p w14:paraId="59C26205" w14:textId="77777777" w:rsidR="002B5B8F" w:rsidRDefault="002B5B8F" w:rsidP="002B5B8F">
            <w:pPr>
              <w:pStyle w:val="Footer"/>
            </w:pPr>
          </w:p>
          <w:p w14:paraId="48D05BFA" w14:textId="1137384E" w:rsidR="002B5B8F" w:rsidRDefault="002B5B8F" w:rsidP="002B5B8F">
            <w:pPr>
              <w:pStyle w:val="Footer"/>
            </w:pPr>
            <w:r>
              <w:t>3.Multimodal hub managers located in a Member State shall establish service quality standards based on the relevant items listed in Annex II. They shall monitor their performance pursuant to those standards and provide access to the information on their performance to the national public authorities on request.</w:t>
            </w:r>
          </w:p>
          <w:p w14:paraId="7C656A12" w14:textId="77777777" w:rsidR="002B5B8F" w:rsidRDefault="002B5B8F" w:rsidP="002B5B8F">
            <w:pPr>
              <w:pStyle w:val="Footer"/>
            </w:pPr>
          </w:p>
        </w:tc>
        <w:tc>
          <w:tcPr>
            <w:tcW w:w="4982" w:type="dxa"/>
          </w:tcPr>
          <w:p w14:paraId="31ADCF65" w14:textId="77777777" w:rsidR="002B5B8F" w:rsidRDefault="002B5B8F" w:rsidP="002B5B8F">
            <w:pPr>
              <w:pStyle w:val="Footer"/>
            </w:pPr>
            <w:r>
              <w:lastRenderedPageBreak/>
              <w:t>Service quality standards</w:t>
            </w:r>
          </w:p>
          <w:p w14:paraId="73FA17ED" w14:textId="77777777" w:rsidR="002B5B8F" w:rsidRDefault="002B5B8F" w:rsidP="002B5B8F">
            <w:pPr>
              <w:pStyle w:val="Footer"/>
            </w:pPr>
          </w:p>
          <w:p w14:paraId="0D669942" w14:textId="5DB17E59" w:rsidR="002B5B8F" w:rsidRDefault="000A206D" w:rsidP="002B5B8F">
            <w:pPr>
              <w:pStyle w:val="Footer"/>
            </w:pPr>
            <w:r>
              <w:t>(…)</w:t>
            </w:r>
          </w:p>
          <w:p w14:paraId="34123D63" w14:textId="77777777" w:rsidR="002B5B8F" w:rsidRDefault="002B5B8F" w:rsidP="002B5B8F">
            <w:pPr>
              <w:pStyle w:val="Footer"/>
            </w:pPr>
          </w:p>
          <w:p w14:paraId="3AC9D296" w14:textId="37FB5584" w:rsidR="002B5B8F" w:rsidRDefault="002B5B8F" w:rsidP="002B5B8F">
            <w:pPr>
              <w:pStyle w:val="Footer"/>
            </w:pPr>
            <w:r>
              <w:t xml:space="preserve">3.Multimodal hub managers located in a Member State shall establish service quality standards based on the relevant items listed in Annex II. They shall monitor their performance pursuant to those standards </w:t>
            </w:r>
            <w:r w:rsidRPr="007750A4">
              <w:rPr>
                <w:b/>
                <w:bCs/>
                <w:i/>
                <w:iCs/>
              </w:rPr>
              <w:t>and publish a report on their service quality performance on their website by [2 years after the Regulation becomes applicable], and every two years thereafter. This report shall not contain personal data.’</w:t>
            </w:r>
            <w:r>
              <w:rPr>
                <w:b/>
                <w:bCs/>
                <w:i/>
                <w:iCs/>
              </w:rPr>
              <w:t xml:space="preserve"> </w:t>
            </w:r>
            <w:r w:rsidRPr="00463366">
              <w:rPr>
                <w:b/>
                <w:bCs/>
                <w:i/>
                <w:iCs/>
              </w:rPr>
              <w:t>Terminal operators shall</w:t>
            </w:r>
            <w:r>
              <w:rPr>
                <w:i/>
                <w:iCs/>
              </w:rPr>
              <w:t xml:space="preserve"> </w:t>
            </w:r>
            <w:r>
              <w:t>provide access to the information on their performance to the national public authorities on request.</w:t>
            </w:r>
          </w:p>
          <w:p w14:paraId="655EEC71" w14:textId="2C14B699" w:rsidR="002B5B8F" w:rsidRPr="00CD2FF3" w:rsidRDefault="002B5B8F" w:rsidP="002B5B8F">
            <w:pPr>
              <w:pStyle w:val="Footer"/>
              <w:rPr>
                <w:b/>
              </w:rPr>
            </w:pPr>
          </w:p>
        </w:tc>
      </w:tr>
      <w:tr w:rsidR="002B5B8F" w14:paraId="462F547D" w14:textId="77777777" w:rsidTr="008B0164">
        <w:tc>
          <w:tcPr>
            <w:tcW w:w="9962" w:type="dxa"/>
            <w:gridSpan w:val="2"/>
          </w:tcPr>
          <w:p w14:paraId="21CFC0DB" w14:textId="77777777" w:rsidR="002B5B8F" w:rsidRDefault="002B5B8F" w:rsidP="002B5B8F">
            <w:pPr>
              <w:pStyle w:val="Footer"/>
              <w:jc w:val="both"/>
            </w:pPr>
            <w:r>
              <w:lastRenderedPageBreak/>
              <w:t>Justification:</w:t>
            </w:r>
          </w:p>
          <w:p w14:paraId="3A2644A9" w14:textId="77777777" w:rsidR="002B5B8F" w:rsidRDefault="002B5B8F" w:rsidP="002B5B8F">
            <w:pPr>
              <w:pStyle w:val="Footer"/>
              <w:jc w:val="both"/>
            </w:pPr>
          </w:p>
          <w:p w14:paraId="509F6C8F" w14:textId="433E5AB1" w:rsidR="00A960CB" w:rsidRDefault="00A960CB" w:rsidP="00A960CB">
            <w:pPr>
              <w:pStyle w:val="Footer"/>
              <w:jc w:val="both"/>
            </w:pPr>
            <w:r>
              <w:t xml:space="preserve">The obligation to publish information on the performance pursuant to the quality standards – including on complaints - should also apply to terminal operators. In the current form, only carriers will have to make this information public in their websites. Multimodal Hub Managers are also responsible for the provision of assistance, one of the key passenger rights for persons with disabilities and should also be accountable for the quality of their service, including on the number and nature of complaints received. This information would provide an accurate picture of the situation in passenger rights allow consumers to choose the transport mode that offers better service and push carriers and infrastructure managers to improve their performance. </w:t>
            </w:r>
          </w:p>
          <w:p w14:paraId="6924DC96" w14:textId="77777777" w:rsidR="002B5B8F" w:rsidRDefault="002B5B8F" w:rsidP="002B5B8F">
            <w:pPr>
              <w:pStyle w:val="Footer"/>
              <w:jc w:val="both"/>
            </w:pPr>
          </w:p>
        </w:tc>
      </w:tr>
    </w:tbl>
    <w:p w14:paraId="49107999" w14:textId="77777777" w:rsidR="000A206D" w:rsidRDefault="000A206D" w:rsidP="008B0164">
      <w:pPr>
        <w:pStyle w:val="Heading2"/>
      </w:pPr>
    </w:p>
    <w:p w14:paraId="664B662C" w14:textId="77777777" w:rsidR="000A206D" w:rsidRDefault="000A206D" w:rsidP="008B0164">
      <w:pPr>
        <w:pStyle w:val="Heading2"/>
      </w:pPr>
    </w:p>
    <w:p w14:paraId="6DDEE125" w14:textId="77777777" w:rsidR="000A206D" w:rsidRPr="000A206D" w:rsidRDefault="000A206D" w:rsidP="000A206D"/>
    <w:p w14:paraId="20C90BC4" w14:textId="2C236E4E" w:rsidR="008B0164" w:rsidRDefault="008B0164" w:rsidP="008B0164">
      <w:pPr>
        <w:pStyle w:val="Heading2"/>
      </w:pPr>
      <w:bookmarkStart w:id="16" w:name="_Toc164171924"/>
      <w:r>
        <w:t>A</w:t>
      </w:r>
      <w:r w:rsidR="0007345A">
        <w:t>mendment to Article 18 – Complaints</w:t>
      </w:r>
      <w:bookmarkEnd w:id="16"/>
      <w:r w:rsidR="0007345A">
        <w:t xml:space="preserve"> </w:t>
      </w:r>
    </w:p>
    <w:p w14:paraId="5BD51533"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6C933D87" w14:textId="77777777" w:rsidTr="008B0164">
        <w:tc>
          <w:tcPr>
            <w:tcW w:w="4980" w:type="dxa"/>
          </w:tcPr>
          <w:p w14:paraId="189B2BCF" w14:textId="77777777" w:rsidR="008B0164" w:rsidRDefault="008B0164" w:rsidP="00E816E5">
            <w:pPr>
              <w:pStyle w:val="Footer"/>
              <w:jc w:val="both"/>
            </w:pPr>
            <w:r>
              <w:t>Commission proposal</w:t>
            </w:r>
          </w:p>
        </w:tc>
        <w:tc>
          <w:tcPr>
            <w:tcW w:w="4982" w:type="dxa"/>
          </w:tcPr>
          <w:p w14:paraId="13EC555B" w14:textId="77777777" w:rsidR="008B0164" w:rsidRDefault="008B0164" w:rsidP="00E816E5">
            <w:pPr>
              <w:pStyle w:val="Footer"/>
              <w:jc w:val="both"/>
            </w:pPr>
            <w:r>
              <w:t>EDF amendments</w:t>
            </w:r>
          </w:p>
        </w:tc>
      </w:tr>
      <w:tr w:rsidR="0007345A" w14:paraId="2D1A83C2" w14:textId="77777777" w:rsidTr="008B0164">
        <w:tc>
          <w:tcPr>
            <w:tcW w:w="4980" w:type="dxa"/>
          </w:tcPr>
          <w:p w14:paraId="6CA54B0E" w14:textId="77777777" w:rsidR="0007345A" w:rsidRDefault="0007345A" w:rsidP="0007345A">
            <w:pPr>
              <w:pStyle w:val="Footer"/>
            </w:pPr>
            <w:r>
              <w:t>Complaints</w:t>
            </w:r>
          </w:p>
          <w:p w14:paraId="1C3D38D2" w14:textId="77777777" w:rsidR="0007345A" w:rsidRDefault="0007345A" w:rsidP="0007345A">
            <w:pPr>
              <w:pStyle w:val="Footer"/>
            </w:pPr>
          </w:p>
          <w:p w14:paraId="73B996F2" w14:textId="77777777" w:rsidR="0007345A" w:rsidRDefault="0007345A" w:rsidP="0007345A">
            <w:pPr>
              <w:pStyle w:val="Footer"/>
            </w:pPr>
            <w:r>
              <w:t xml:space="preserve">1.Each carrier offering single multimodal contracts or combined multimodal tickets, each intermediary offering combined multimodal tickets and each multimodal hub </w:t>
            </w:r>
            <w:r>
              <w:lastRenderedPageBreak/>
              <w:t>manager shall set up a complaint-handling mechanism for the rights and obligations covered by this Regulation in their respective fields of responsibility. They shall make their contact details and working language, or languages, widely known to passengers.</w:t>
            </w:r>
          </w:p>
          <w:p w14:paraId="31E0A6C5" w14:textId="77777777" w:rsidR="0007345A" w:rsidRDefault="0007345A" w:rsidP="0007345A">
            <w:pPr>
              <w:pStyle w:val="Footer"/>
            </w:pPr>
          </w:p>
          <w:p w14:paraId="67AC4A18" w14:textId="126A99ED" w:rsidR="0007345A" w:rsidRDefault="0007345A" w:rsidP="0007345A">
            <w:pPr>
              <w:pStyle w:val="Footer"/>
            </w:pPr>
            <w:r>
              <w:t>2.Details of the complaint-handling procedure shall be accessible to the public, including to persons with disabilities and to persons with reduced mobility. That information shall be available upon request in the official language or languages of the Member State in which the carrier, intermediary or multimodal hub manager is operating</w:t>
            </w:r>
          </w:p>
          <w:p w14:paraId="57A363D8" w14:textId="77777777" w:rsidR="0007345A" w:rsidRDefault="0007345A" w:rsidP="0007345A">
            <w:pPr>
              <w:pStyle w:val="Footer"/>
            </w:pPr>
          </w:p>
        </w:tc>
        <w:tc>
          <w:tcPr>
            <w:tcW w:w="4982" w:type="dxa"/>
          </w:tcPr>
          <w:p w14:paraId="676A8A14" w14:textId="77777777" w:rsidR="0007345A" w:rsidRDefault="0007345A" w:rsidP="0007345A">
            <w:pPr>
              <w:pStyle w:val="Footer"/>
            </w:pPr>
            <w:r>
              <w:lastRenderedPageBreak/>
              <w:t>Complaints</w:t>
            </w:r>
          </w:p>
          <w:p w14:paraId="7D401194" w14:textId="77777777" w:rsidR="0007345A" w:rsidRDefault="0007345A" w:rsidP="0007345A">
            <w:pPr>
              <w:pStyle w:val="Footer"/>
            </w:pPr>
          </w:p>
          <w:p w14:paraId="1DEF65AF" w14:textId="56A5F1DE" w:rsidR="0007345A" w:rsidRDefault="0007345A" w:rsidP="0007345A">
            <w:pPr>
              <w:pStyle w:val="Footer"/>
            </w:pPr>
            <w:r>
              <w:t xml:space="preserve">1.Each carrier offering single multimodal contracts or combined multimodal tickets, each intermediary offering combined multimodal tickets and each multimodal hub </w:t>
            </w:r>
            <w:r>
              <w:lastRenderedPageBreak/>
              <w:t>manager shall set up a complaint-handling mechanism for the rights and obligations covered by this Regulation in their respective fields of responsibility. They shall make their contact details and working language, or languages, widely known to passengers.</w:t>
            </w:r>
            <w:r w:rsidR="008D4353">
              <w:t xml:space="preserve"> </w:t>
            </w:r>
            <w:r w:rsidR="008D4353" w:rsidRPr="008D4353">
              <w:rPr>
                <w:b/>
                <w:bCs/>
                <w:i/>
                <w:iCs/>
              </w:rPr>
              <w:t>The procedure to submit complaints shall be accessible to persons with disabilities in accordance with the provisions of Directive 2019/822</w:t>
            </w:r>
            <w:r w:rsidR="008D4353">
              <w:t xml:space="preserve">. </w:t>
            </w:r>
          </w:p>
          <w:p w14:paraId="041CBB6D" w14:textId="77777777" w:rsidR="0007345A" w:rsidRDefault="0007345A" w:rsidP="0007345A">
            <w:pPr>
              <w:pStyle w:val="Footer"/>
            </w:pPr>
          </w:p>
          <w:p w14:paraId="5D4EF7B3" w14:textId="06FBB5EC" w:rsidR="0007345A" w:rsidRDefault="0007345A" w:rsidP="0007345A">
            <w:pPr>
              <w:pStyle w:val="Footer"/>
            </w:pPr>
            <w:r>
              <w:t xml:space="preserve">2.Details of the complaint-handling procedure shall be accessible to the public, including to persons with disabilities and to persons with reduced mobility </w:t>
            </w:r>
            <w:r w:rsidRPr="0007345A">
              <w:rPr>
                <w:b/>
                <w:bCs/>
                <w:i/>
                <w:iCs/>
              </w:rPr>
              <w:t>in accordance with the provisions of Directive 2019/882</w:t>
            </w:r>
            <w:r>
              <w:t>. That information shall be available upon request in the official language or languages of the Member State in which the carrier, intermediary or multimodal hub manager is operating</w:t>
            </w:r>
          </w:p>
          <w:p w14:paraId="7C4CE5D8" w14:textId="1115EF46" w:rsidR="0007345A" w:rsidRPr="00CD2FF3" w:rsidRDefault="0007345A" w:rsidP="0007345A">
            <w:pPr>
              <w:pStyle w:val="Footer"/>
              <w:rPr>
                <w:b/>
              </w:rPr>
            </w:pPr>
          </w:p>
        </w:tc>
      </w:tr>
      <w:tr w:rsidR="0007345A" w14:paraId="7071CA43" w14:textId="77777777" w:rsidTr="008B0164">
        <w:tc>
          <w:tcPr>
            <w:tcW w:w="9962" w:type="dxa"/>
            <w:gridSpan w:val="2"/>
          </w:tcPr>
          <w:p w14:paraId="6D3D7FB7" w14:textId="77777777" w:rsidR="0007345A" w:rsidRDefault="0007345A" w:rsidP="0007345A">
            <w:pPr>
              <w:pStyle w:val="Footer"/>
              <w:jc w:val="both"/>
            </w:pPr>
            <w:r>
              <w:lastRenderedPageBreak/>
              <w:t>Justification:</w:t>
            </w:r>
          </w:p>
          <w:p w14:paraId="7A13CA9F" w14:textId="77777777" w:rsidR="0007345A" w:rsidRDefault="0007345A" w:rsidP="0007345A">
            <w:pPr>
              <w:pStyle w:val="Footer"/>
              <w:jc w:val="both"/>
            </w:pPr>
          </w:p>
          <w:p w14:paraId="664E99DE" w14:textId="583ACFA9" w:rsidR="0007345A" w:rsidRDefault="0007345A" w:rsidP="0007345A">
            <w:pPr>
              <w:pStyle w:val="Footer"/>
              <w:jc w:val="both"/>
            </w:pPr>
            <w:r>
              <w:t xml:space="preserve">See explanation amendment page 7 </w:t>
            </w:r>
          </w:p>
        </w:tc>
      </w:tr>
    </w:tbl>
    <w:p w14:paraId="5C37CE36" w14:textId="77777777" w:rsidR="001A0B19" w:rsidRDefault="001A0B19" w:rsidP="001A0B19">
      <w:pPr>
        <w:rPr>
          <w:lang w:val="fr-BE"/>
        </w:rPr>
      </w:pPr>
    </w:p>
    <w:p w14:paraId="5CABE136" w14:textId="77777777" w:rsidR="000A206D" w:rsidRDefault="000A206D" w:rsidP="001A0B19">
      <w:pPr>
        <w:rPr>
          <w:lang w:val="fr-BE"/>
        </w:rPr>
      </w:pPr>
    </w:p>
    <w:p w14:paraId="1476B158" w14:textId="77777777" w:rsidR="000A206D" w:rsidRDefault="000A206D" w:rsidP="001A0B19">
      <w:pPr>
        <w:rPr>
          <w:lang w:val="fr-BE"/>
        </w:rPr>
      </w:pPr>
    </w:p>
    <w:p w14:paraId="53A46048" w14:textId="77777777" w:rsidR="000A206D" w:rsidRDefault="000A206D" w:rsidP="001A0B19">
      <w:pPr>
        <w:rPr>
          <w:lang w:val="fr-BE"/>
        </w:rPr>
      </w:pPr>
    </w:p>
    <w:p w14:paraId="1BDF1FD4" w14:textId="77777777" w:rsidR="000A206D" w:rsidRDefault="000A206D" w:rsidP="001A0B19">
      <w:pPr>
        <w:rPr>
          <w:lang w:val="fr-BE"/>
        </w:rPr>
      </w:pPr>
    </w:p>
    <w:p w14:paraId="5390C6C5" w14:textId="77777777" w:rsidR="000A206D" w:rsidRDefault="000A206D" w:rsidP="001A0B19">
      <w:pPr>
        <w:rPr>
          <w:lang w:val="fr-BE"/>
        </w:rPr>
      </w:pPr>
    </w:p>
    <w:p w14:paraId="7C746073" w14:textId="77777777" w:rsidR="000A206D" w:rsidRDefault="000A206D" w:rsidP="001A0B19">
      <w:pPr>
        <w:rPr>
          <w:lang w:val="fr-BE"/>
        </w:rPr>
      </w:pPr>
    </w:p>
    <w:p w14:paraId="58696CC4" w14:textId="29487832" w:rsidR="008B0164" w:rsidRPr="0007345A" w:rsidRDefault="0007345A" w:rsidP="008B0164">
      <w:pPr>
        <w:pStyle w:val="Heading2"/>
        <w:rPr>
          <w:lang w:val="fr-BE"/>
        </w:rPr>
      </w:pPr>
      <w:bookmarkStart w:id="17" w:name="_Toc164171925"/>
      <w:r w:rsidRPr="0007345A">
        <w:rPr>
          <w:lang w:val="fr-BE"/>
        </w:rPr>
        <w:t>Amendement Article 19 – Information on Pa</w:t>
      </w:r>
      <w:r>
        <w:rPr>
          <w:lang w:val="fr-BE"/>
        </w:rPr>
        <w:t>ssenger rights</w:t>
      </w:r>
      <w:bookmarkEnd w:id="17"/>
    </w:p>
    <w:p w14:paraId="5F7E81EE" w14:textId="77777777" w:rsidR="008B0164" w:rsidRPr="0007345A" w:rsidRDefault="008B0164" w:rsidP="008B0164">
      <w:pPr>
        <w:rPr>
          <w:lang w:val="fr-BE"/>
        </w:rPr>
      </w:pPr>
    </w:p>
    <w:tbl>
      <w:tblPr>
        <w:tblStyle w:val="TableGrid"/>
        <w:tblW w:w="0" w:type="auto"/>
        <w:tblLook w:val="04A0" w:firstRow="1" w:lastRow="0" w:firstColumn="1" w:lastColumn="0" w:noHBand="0" w:noVBand="1"/>
      </w:tblPr>
      <w:tblGrid>
        <w:gridCol w:w="4980"/>
        <w:gridCol w:w="4982"/>
      </w:tblGrid>
      <w:tr w:rsidR="008B0164" w14:paraId="326CFFB1" w14:textId="77777777" w:rsidTr="008B0164">
        <w:tc>
          <w:tcPr>
            <w:tcW w:w="4980" w:type="dxa"/>
          </w:tcPr>
          <w:p w14:paraId="134B626D" w14:textId="77777777" w:rsidR="008B0164" w:rsidRDefault="008B0164" w:rsidP="00E816E5">
            <w:pPr>
              <w:pStyle w:val="Footer"/>
              <w:jc w:val="both"/>
            </w:pPr>
            <w:r>
              <w:t>Commission proposal</w:t>
            </w:r>
          </w:p>
        </w:tc>
        <w:tc>
          <w:tcPr>
            <w:tcW w:w="4982" w:type="dxa"/>
          </w:tcPr>
          <w:p w14:paraId="4E0BB6B4" w14:textId="77777777" w:rsidR="008B0164" w:rsidRDefault="008B0164" w:rsidP="00E816E5">
            <w:pPr>
              <w:pStyle w:val="Footer"/>
              <w:jc w:val="both"/>
            </w:pPr>
            <w:r>
              <w:t>EDF amendments</w:t>
            </w:r>
          </w:p>
        </w:tc>
      </w:tr>
      <w:tr w:rsidR="0007345A" w14:paraId="13910D93" w14:textId="77777777" w:rsidTr="008B0164">
        <w:tc>
          <w:tcPr>
            <w:tcW w:w="4980" w:type="dxa"/>
          </w:tcPr>
          <w:p w14:paraId="1A99FD26" w14:textId="77777777" w:rsidR="0007345A" w:rsidRDefault="0007345A" w:rsidP="0007345A">
            <w:pPr>
              <w:pStyle w:val="Footer"/>
            </w:pPr>
          </w:p>
          <w:p w14:paraId="4AE82576" w14:textId="77777777" w:rsidR="0007345A" w:rsidRDefault="0007345A" w:rsidP="0007345A">
            <w:pPr>
              <w:pStyle w:val="Footer"/>
            </w:pPr>
            <w:r>
              <w:t>Information to passengers on their rights</w:t>
            </w:r>
          </w:p>
          <w:p w14:paraId="46F1FCB4" w14:textId="77777777" w:rsidR="0007345A" w:rsidRDefault="0007345A" w:rsidP="0007345A">
            <w:pPr>
              <w:pStyle w:val="Footer"/>
            </w:pPr>
          </w:p>
          <w:p w14:paraId="14180C40" w14:textId="3FB68A29" w:rsidR="0007345A" w:rsidRDefault="000A206D" w:rsidP="000A206D">
            <w:pPr>
              <w:pStyle w:val="Footer"/>
            </w:pPr>
            <w:r>
              <w:t>(…)</w:t>
            </w:r>
          </w:p>
          <w:p w14:paraId="799AA539" w14:textId="77777777" w:rsidR="0007345A" w:rsidRDefault="0007345A" w:rsidP="0007345A">
            <w:pPr>
              <w:pStyle w:val="Footer"/>
            </w:pPr>
          </w:p>
          <w:p w14:paraId="20915819" w14:textId="3CC181D4" w:rsidR="0007345A" w:rsidRDefault="0007345A" w:rsidP="0007345A">
            <w:pPr>
              <w:pStyle w:val="Footer"/>
            </w:pPr>
            <w:r>
              <w:t xml:space="preserve">3.Carriers and intermediaries shall provide the information under this Article, in either </w:t>
            </w:r>
            <w:r>
              <w:lastRenderedPageBreak/>
              <w:t>paper or electronic format, or by any other means, including in accessible formats. In the event of cancellation, missed connection or long delay, they shall specify where such information can be obtained.</w:t>
            </w:r>
          </w:p>
        </w:tc>
        <w:tc>
          <w:tcPr>
            <w:tcW w:w="4982" w:type="dxa"/>
          </w:tcPr>
          <w:p w14:paraId="6B68EEA5" w14:textId="77777777" w:rsidR="0007345A" w:rsidRDefault="0007345A" w:rsidP="0007345A">
            <w:pPr>
              <w:pStyle w:val="Footer"/>
            </w:pPr>
          </w:p>
          <w:p w14:paraId="339825A8" w14:textId="77777777" w:rsidR="0007345A" w:rsidRDefault="0007345A" w:rsidP="0007345A">
            <w:pPr>
              <w:pStyle w:val="Footer"/>
            </w:pPr>
            <w:r>
              <w:t>Information to passengers on their rights</w:t>
            </w:r>
          </w:p>
          <w:p w14:paraId="6EE95F4B" w14:textId="77777777" w:rsidR="0007345A" w:rsidRDefault="0007345A" w:rsidP="0007345A">
            <w:pPr>
              <w:pStyle w:val="Footer"/>
            </w:pPr>
          </w:p>
          <w:p w14:paraId="6D6EC830" w14:textId="3D73FA75" w:rsidR="0007345A" w:rsidRDefault="000A206D" w:rsidP="0007345A">
            <w:pPr>
              <w:pStyle w:val="Footer"/>
            </w:pPr>
            <w:r>
              <w:t>(…)</w:t>
            </w:r>
          </w:p>
          <w:p w14:paraId="4E02C782" w14:textId="77777777" w:rsidR="0007345A" w:rsidRDefault="0007345A" w:rsidP="0007345A">
            <w:pPr>
              <w:pStyle w:val="Footer"/>
            </w:pPr>
          </w:p>
          <w:p w14:paraId="6C765B14" w14:textId="1E65A12A" w:rsidR="0007345A" w:rsidRPr="00CD2FF3" w:rsidRDefault="0007345A" w:rsidP="0007345A">
            <w:pPr>
              <w:pStyle w:val="Footer"/>
              <w:rPr>
                <w:b/>
              </w:rPr>
            </w:pPr>
            <w:r>
              <w:t xml:space="preserve">3.Carriers and intermediaries shall provide the information under this Article, in either </w:t>
            </w:r>
            <w:r>
              <w:lastRenderedPageBreak/>
              <w:t xml:space="preserve">paper or electronic format, or by any other means, including in accessible formats </w:t>
            </w:r>
            <w:r w:rsidRPr="0007345A">
              <w:rPr>
                <w:b/>
                <w:bCs/>
                <w:i/>
                <w:iCs/>
              </w:rPr>
              <w:t xml:space="preserve">in accordance with the </w:t>
            </w:r>
            <w:r w:rsidR="006629B4">
              <w:rPr>
                <w:b/>
                <w:bCs/>
                <w:i/>
                <w:iCs/>
              </w:rPr>
              <w:t xml:space="preserve">accessibility requirements </w:t>
            </w:r>
            <w:r w:rsidRPr="0007345A">
              <w:rPr>
                <w:b/>
                <w:bCs/>
                <w:i/>
                <w:iCs/>
              </w:rPr>
              <w:t>of Directive 2019/882</w:t>
            </w:r>
            <w:r>
              <w:t>. In the event of cancellation, missed connection or long delay, they shall specify where such information can be obtained.</w:t>
            </w:r>
          </w:p>
        </w:tc>
      </w:tr>
      <w:tr w:rsidR="0007345A" w14:paraId="668D7C7C" w14:textId="77777777" w:rsidTr="008B0164">
        <w:tc>
          <w:tcPr>
            <w:tcW w:w="9962" w:type="dxa"/>
            <w:gridSpan w:val="2"/>
          </w:tcPr>
          <w:p w14:paraId="3EC27BD2" w14:textId="77777777" w:rsidR="0007345A" w:rsidRDefault="0007345A" w:rsidP="0007345A">
            <w:pPr>
              <w:pStyle w:val="Footer"/>
              <w:jc w:val="both"/>
            </w:pPr>
            <w:r>
              <w:lastRenderedPageBreak/>
              <w:t>Justification:</w:t>
            </w:r>
          </w:p>
          <w:p w14:paraId="461502B4" w14:textId="77777777" w:rsidR="0007345A" w:rsidRDefault="0007345A" w:rsidP="0007345A">
            <w:pPr>
              <w:pStyle w:val="Footer"/>
              <w:jc w:val="both"/>
            </w:pPr>
          </w:p>
          <w:p w14:paraId="7C39E986" w14:textId="0E30155C" w:rsidR="0007345A" w:rsidRDefault="0007345A" w:rsidP="0007345A">
            <w:pPr>
              <w:pStyle w:val="Footer"/>
              <w:jc w:val="both"/>
            </w:pPr>
            <w:r>
              <w:t>See explanation similar amendment page 7</w:t>
            </w:r>
          </w:p>
          <w:p w14:paraId="2F157DF2" w14:textId="77777777" w:rsidR="0007345A" w:rsidRDefault="0007345A" w:rsidP="0007345A">
            <w:pPr>
              <w:pStyle w:val="Footer"/>
              <w:jc w:val="both"/>
            </w:pPr>
          </w:p>
        </w:tc>
      </w:tr>
    </w:tbl>
    <w:p w14:paraId="115CAA2D" w14:textId="39185879" w:rsidR="005F4926" w:rsidRDefault="005F4926" w:rsidP="005F4926">
      <w:pPr>
        <w:pStyle w:val="Heading2"/>
      </w:pPr>
      <w:bookmarkStart w:id="18" w:name="_Toc164171926"/>
      <w:r>
        <w:t xml:space="preserve">Amendment to Article 20 – National Enforcement body </w:t>
      </w:r>
      <w:r w:rsidR="00554516">
        <w:t>(paragraph 3)</w:t>
      </w:r>
      <w:bookmarkEnd w:id="18"/>
      <w:r w:rsidR="00554516">
        <w:t xml:space="preserve"> </w:t>
      </w:r>
    </w:p>
    <w:p w14:paraId="2AF9412A" w14:textId="77777777" w:rsidR="005F4926" w:rsidRPr="00046E92" w:rsidRDefault="005F4926" w:rsidP="005F4926"/>
    <w:tbl>
      <w:tblPr>
        <w:tblStyle w:val="TableGrid"/>
        <w:tblW w:w="0" w:type="auto"/>
        <w:tblLook w:val="04A0" w:firstRow="1" w:lastRow="0" w:firstColumn="1" w:lastColumn="0" w:noHBand="0" w:noVBand="1"/>
      </w:tblPr>
      <w:tblGrid>
        <w:gridCol w:w="4984"/>
        <w:gridCol w:w="4978"/>
      </w:tblGrid>
      <w:tr w:rsidR="005F4926" w14:paraId="4380DAD0" w14:textId="77777777" w:rsidTr="005F4926">
        <w:tc>
          <w:tcPr>
            <w:tcW w:w="4984" w:type="dxa"/>
          </w:tcPr>
          <w:p w14:paraId="3745A04E" w14:textId="77777777" w:rsidR="005F4926" w:rsidRDefault="005F4926" w:rsidP="00FB548F">
            <w:pPr>
              <w:pStyle w:val="Footer"/>
              <w:jc w:val="both"/>
            </w:pPr>
            <w:r>
              <w:t>Commission proposal</w:t>
            </w:r>
          </w:p>
        </w:tc>
        <w:tc>
          <w:tcPr>
            <w:tcW w:w="4978" w:type="dxa"/>
          </w:tcPr>
          <w:p w14:paraId="0523A515" w14:textId="77777777" w:rsidR="005F4926" w:rsidRDefault="005F4926" w:rsidP="00FB548F">
            <w:pPr>
              <w:pStyle w:val="Footer"/>
              <w:jc w:val="both"/>
            </w:pPr>
            <w:r>
              <w:t>EDF amendments</w:t>
            </w:r>
          </w:p>
        </w:tc>
      </w:tr>
      <w:tr w:rsidR="005F4926" w14:paraId="3A712C4A" w14:textId="77777777" w:rsidTr="005F4926">
        <w:tc>
          <w:tcPr>
            <w:tcW w:w="4984" w:type="dxa"/>
          </w:tcPr>
          <w:p w14:paraId="415742A4" w14:textId="77777777" w:rsidR="005F4926" w:rsidRDefault="005F4926" w:rsidP="005F4926">
            <w:pPr>
              <w:pStyle w:val="Footer"/>
            </w:pPr>
          </w:p>
          <w:p w14:paraId="46AC8A8F" w14:textId="77777777" w:rsidR="005F4926" w:rsidRDefault="005F4926" w:rsidP="005F4926">
            <w:pPr>
              <w:pStyle w:val="Footer"/>
            </w:pPr>
            <w:r>
              <w:t>National enforcement body</w:t>
            </w:r>
          </w:p>
          <w:p w14:paraId="644C57CE" w14:textId="77777777" w:rsidR="005F4926" w:rsidRDefault="005F4926" w:rsidP="005F4926">
            <w:pPr>
              <w:pStyle w:val="Footer"/>
            </w:pPr>
          </w:p>
          <w:p w14:paraId="1043EBE2" w14:textId="4A38C062" w:rsidR="005F4926" w:rsidRDefault="00554516" w:rsidP="005F4926">
            <w:pPr>
              <w:pStyle w:val="Footer"/>
            </w:pPr>
            <w:r>
              <w:t>(…)</w:t>
            </w:r>
          </w:p>
          <w:p w14:paraId="18BD0A0E" w14:textId="77777777" w:rsidR="005F4926" w:rsidRDefault="005F4926" w:rsidP="005F4926">
            <w:pPr>
              <w:pStyle w:val="Footer"/>
            </w:pPr>
          </w:p>
          <w:p w14:paraId="4BA468B1" w14:textId="27378378" w:rsidR="005F4926" w:rsidRDefault="005F4926" w:rsidP="005F4926">
            <w:pPr>
              <w:pStyle w:val="Footer"/>
            </w:pPr>
            <w:r>
              <w:t>3.By 1 June XXXX [2 years after the Regulation becomes applicable] and every 2 years thereafter, the national enforcement bodies shall publish a report on their website on their activity in the previous 2 calendar years, containing in particular a description of actions taken in order to implement this Regulation and statistics on complaints and sanctions applied</w:t>
            </w:r>
          </w:p>
        </w:tc>
        <w:tc>
          <w:tcPr>
            <w:tcW w:w="4978" w:type="dxa"/>
          </w:tcPr>
          <w:p w14:paraId="4E2C091A" w14:textId="77777777" w:rsidR="005F4926" w:rsidRDefault="005F4926" w:rsidP="005F4926">
            <w:pPr>
              <w:pStyle w:val="Footer"/>
            </w:pPr>
          </w:p>
          <w:p w14:paraId="0A6612C0" w14:textId="77777777" w:rsidR="005F4926" w:rsidRDefault="005F4926" w:rsidP="005F4926">
            <w:pPr>
              <w:pStyle w:val="Footer"/>
            </w:pPr>
            <w:r>
              <w:t>National enforcement body</w:t>
            </w:r>
          </w:p>
          <w:p w14:paraId="08E9FD3C" w14:textId="77777777" w:rsidR="005F4926" w:rsidRDefault="005F4926" w:rsidP="005F4926">
            <w:pPr>
              <w:pStyle w:val="Footer"/>
            </w:pPr>
          </w:p>
          <w:p w14:paraId="2E398B83" w14:textId="65DFC8C3" w:rsidR="005F4926" w:rsidRDefault="00554516" w:rsidP="005F4926">
            <w:pPr>
              <w:pStyle w:val="Footer"/>
            </w:pPr>
            <w:r>
              <w:t>(…)</w:t>
            </w:r>
          </w:p>
          <w:p w14:paraId="70A9F987" w14:textId="77777777" w:rsidR="005F4926" w:rsidRDefault="005F4926" w:rsidP="005F4926">
            <w:pPr>
              <w:pStyle w:val="Footer"/>
            </w:pPr>
          </w:p>
          <w:p w14:paraId="5D0E6C86" w14:textId="77777777" w:rsidR="000176DD" w:rsidRDefault="005F4926" w:rsidP="005F4926">
            <w:pPr>
              <w:pStyle w:val="Footer"/>
            </w:pPr>
            <w:r>
              <w:t xml:space="preserve">3.By 1 June XXXX [2 years after the Regulation becomes applicable] and every 2 years thereafter, the national enforcement bodies shall publish a report on their website on their activity in the previous 2 calendar years, containing in particular a description of actions taken in order to implement this Regulation and statistics on </w:t>
            </w:r>
            <w:r w:rsidRPr="005F4926">
              <w:rPr>
                <w:b/>
                <w:bCs/>
                <w:i/>
                <w:iCs/>
              </w:rPr>
              <w:t>the number and nature of</w:t>
            </w:r>
            <w:r w:rsidR="009D6415">
              <w:rPr>
                <w:b/>
                <w:bCs/>
                <w:i/>
                <w:iCs/>
              </w:rPr>
              <w:t xml:space="preserve"> </w:t>
            </w:r>
            <w:r>
              <w:t>complaints and sanctions applied</w:t>
            </w:r>
            <w:r w:rsidR="009F394B">
              <w:t xml:space="preserve">. </w:t>
            </w:r>
          </w:p>
          <w:p w14:paraId="2CC5C707" w14:textId="099297C5" w:rsidR="005F4926" w:rsidRPr="00CD2FF3" w:rsidRDefault="005F4926" w:rsidP="005F4926">
            <w:pPr>
              <w:pStyle w:val="Footer"/>
              <w:rPr>
                <w:b/>
              </w:rPr>
            </w:pPr>
          </w:p>
        </w:tc>
      </w:tr>
      <w:tr w:rsidR="005F4926" w14:paraId="2C22D89E" w14:textId="77777777" w:rsidTr="005F4926">
        <w:tc>
          <w:tcPr>
            <w:tcW w:w="9962" w:type="dxa"/>
            <w:gridSpan w:val="2"/>
          </w:tcPr>
          <w:p w14:paraId="22BCD712" w14:textId="77777777" w:rsidR="005F4926" w:rsidRDefault="005F4926" w:rsidP="005F4926">
            <w:pPr>
              <w:pStyle w:val="Footer"/>
              <w:jc w:val="both"/>
            </w:pPr>
            <w:r>
              <w:t>Justification:</w:t>
            </w:r>
          </w:p>
          <w:p w14:paraId="41938C41" w14:textId="77777777" w:rsidR="005F4926" w:rsidRDefault="005F4926" w:rsidP="005F4926">
            <w:pPr>
              <w:pStyle w:val="Footer"/>
              <w:jc w:val="both"/>
            </w:pPr>
          </w:p>
          <w:p w14:paraId="29E52EE6" w14:textId="4C144E46" w:rsidR="005F4926" w:rsidRDefault="005F4926" w:rsidP="005F4926">
            <w:pPr>
              <w:pStyle w:val="Footer"/>
              <w:jc w:val="both"/>
            </w:pPr>
            <w:bookmarkStart w:id="19" w:name="_Hlk163648694"/>
            <w:r>
              <w:t xml:space="preserve">It is important to specify the type of </w:t>
            </w:r>
            <w:r w:rsidR="00165C74">
              <w:t xml:space="preserve">and number of </w:t>
            </w:r>
            <w:r>
              <w:t>complaints</w:t>
            </w:r>
            <w:r w:rsidR="00165C74">
              <w:t>, as statistics can be understood quite generally.</w:t>
            </w:r>
          </w:p>
          <w:bookmarkEnd w:id="19"/>
          <w:p w14:paraId="547874BA" w14:textId="77777777" w:rsidR="005F4926" w:rsidRDefault="005F4926" w:rsidP="005F4926">
            <w:pPr>
              <w:pStyle w:val="Footer"/>
              <w:jc w:val="both"/>
            </w:pPr>
          </w:p>
        </w:tc>
      </w:tr>
    </w:tbl>
    <w:p w14:paraId="5CED9D80" w14:textId="3DA3DE15" w:rsidR="008B0164" w:rsidRDefault="008B0164" w:rsidP="008B0164">
      <w:pPr>
        <w:pStyle w:val="Heading2"/>
      </w:pPr>
      <w:bookmarkStart w:id="20" w:name="_Toc164171927"/>
      <w:r>
        <w:t>A</w:t>
      </w:r>
      <w:r w:rsidR="0007345A">
        <w:t>mendment to Article 22 – Risk based approach to monitoring of compliance</w:t>
      </w:r>
      <w:r w:rsidR="00B24156">
        <w:t xml:space="preserve"> (paragraphs 4 and 6)</w:t>
      </w:r>
      <w:bookmarkEnd w:id="20"/>
    </w:p>
    <w:p w14:paraId="22C02C64" w14:textId="77777777" w:rsidR="008B0164" w:rsidRPr="00046E92" w:rsidRDefault="008B0164" w:rsidP="008B0164"/>
    <w:tbl>
      <w:tblPr>
        <w:tblStyle w:val="TableGrid"/>
        <w:tblW w:w="0" w:type="auto"/>
        <w:tblLook w:val="04A0" w:firstRow="1" w:lastRow="0" w:firstColumn="1" w:lastColumn="0" w:noHBand="0" w:noVBand="1"/>
      </w:tblPr>
      <w:tblGrid>
        <w:gridCol w:w="4980"/>
        <w:gridCol w:w="4982"/>
      </w:tblGrid>
      <w:tr w:rsidR="008B0164" w14:paraId="16CBA380" w14:textId="77777777" w:rsidTr="008B0164">
        <w:tc>
          <w:tcPr>
            <w:tcW w:w="4980" w:type="dxa"/>
          </w:tcPr>
          <w:p w14:paraId="4173B997" w14:textId="77777777" w:rsidR="008B0164" w:rsidRDefault="008B0164" w:rsidP="00E816E5">
            <w:pPr>
              <w:pStyle w:val="Footer"/>
              <w:jc w:val="both"/>
            </w:pPr>
            <w:r>
              <w:t>Commission proposal</w:t>
            </w:r>
          </w:p>
        </w:tc>
        <w:tc>
          <w:tcPr>
            <w:tcW w:w="4982" w:type="dxa"/>
          </w:tcPr>
          <w:p w14:paraId="0FA3B7B7" w14:textId="77777777" w:rsidR="008B0164" w:rsidRDefault="008B0164" w:rsidP="00E816E5">
            <w:pPr>
              <w:pStyle w:val="Footer"/>
              <w:jc w:val="both"/>
            </w:pPr>
            <w:r>
              <w:t>EDF amendments</w:t>
            </w:r>
          </w:p>
        </w:tc>
      </w:tr>
      <w:tr w:rsidR="008B0164" w14:paraId="42B62128" w14:textId="77777777" w:rsidTr="008B0164">
        <w:tc>
          <w:tcPr>
            <w:tcW w:w="4980" w:type="dxa"/>
          </w:tcPr>
          <w:p w14:paraId="658EE5F5" w14:textId="77777777" w:rsidR="0007345A" w:rsidRDefault="0007345A" w:rsidP="0007345A">
            <w:pPr>
              <w:pStyle w:val="Footer"/>
            </w:pPr>
            <w:r>
              <w:t>Risk-based approach to the monitoring of compliance with passenger rights</w:t>
            </w:r>
          </w:p>
          <w:p w14:paraId="3618C60A" w14:textId="77777777" w:rsidR="0007345A" w:rsidRDefault="0007345A" w:rsidP="0007345A">
            <w:pPr>
              <w:pStyle w:val="Footer"/>
            </w:pPr>
          </w:p>
          <w:p w14:paraId="6F7245E5" w14:textId="76A71AB5" w:rsidR="0007345A" w:rsidRDefault="005D5E10" w:rsidP="0007345A">
            <w:pPr>
              <w:pStyle w:val="Footer"/>
            </w:pPr>
            <w:r>
              <w:t>(…)</w:t>
            </w:r>
          </w:p>
          <w:p w14:paraId="56CBCF31" w14:textId="77777777" w:rsidR="0007345A" w:rsidRDefault="0007345A" w:rsidP="0007345A">
            <w:pPr>
              <w:pStyle w:val="Footer"/>
            </w:pPr>
          </w:p>
          <w:p w14:paraId="63D86756" w14:textId="77777777" w:rsidR="0007345A" w:rsidRDefault="0007345A" w:rsidP="0007345A">
            <w:pPr>
              <w:pStyle w:val="Footer"/>
            </w:pPr>
            <w:r>
              <w:t>4.Compliance monitoring activities shall be based on the assessment of risks and carried out by means of audits, inspections, interviews, verifications and examination of documents as appropriate. They shall include both announced and unannounced activities. The monitoring activities shall be proportionate to the risks identified.</w:t>
            </w:r>
          </w:p>
          <w:p w14:paraId="00013499" w14:textId="77777777" w:rsidR="0007345A" w:rsidRDefault="0007345A" w:rsidP="0007345A">
            <w:pPr>
              <w:pStyle w:val="Footer"/>
            </w:pPr>
          </w:p>
          <w:p w14:paraId="494B89B4" w14:textId="398C9B23" w:rsidR="0007345A" w:rsidRDefault="00B24156" w:rsidP="0007345A">
            <w:pPr>
              <w:pStyle w:val="Footer"/>
            </w:pPr>
            <w:r>
              <w:t>(…)</w:t>
            </w:r>
          </w:p>
          <w:p w14:paraId="71EE9A1A" w14:textId="77777777" w:rsidR="0007345A" w:rsidRDefault="0007345A" w:rsidP="0007345A">
            <w:pPr>
              <w:pStyle w:val="Footer"/>
            </w:pPr>
          </w:p>
          <w:p w14:paraId="1D4C2BEF" w14:textId="699ACBBB" w:rsidR="008B0164" w:rsidRDefault="0007345A" w:rsidP="0007345A">
            <w:pPr>
              <w:pStyle w:val="Footer"/>
            </w:pPr>
            <w:r>
              <w:t>6.The compliance monitoring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20 (3)</w:t>
            </w:r>
          </w:p>
          <w:p w14:paraId="0E3E3FC7" w14:textId="77777777" w:rsidR="008B0164" w:rsidRDefault="008B0164" w:rsidP="00E816E5">
            <w:pPr>
              <w:pStyle w:val="Footer"/>
            </w:pPr>
          </w:p>
        </w:tc>
        <w:tc>
          <w:tcPr>
            <w:tcW w:w="4982" w:type="dxa"/>
          </w:tcPr>
          <w:p w14:paraId="17AAF028" w14:textId="62286335" w:rsidR="0007345A" w:rsidRDefault="0007345A" w:rsidP="0007345A">
            <w:pPr>
              <w:pStyle w:val="Footer"/>
            </w:pPr>
            <w:r>
              <w:lastRenderedPageBreak/>
              <w:t>Risk-based approach to the monitoring of compliance with passenger rights</w:t>
            </w:r>
          </w:p>
          <w:p w14:paraId="12AC95BE" w14:textId="77777777" w:rsidR="0007345A" w:rsidRDefault="0007345A" w:rsidP="0007345A">
            <w:pPr>
              <w:pStyle w:val="Footer"/>
            </w:pPr>
          </w:p>
          <w:p w14:paraId="3358173A" w14:textId="43146104" w:rsidR="0007345A" w:rsidRDefault="005D5E10" w:rsidP="005D5E10">
            <w:pPr>
              <w:pStyle w:val="Footer"/>
            </w:pPr>
            <w:r>
              <w:t>(…)</w:t>
            </w:r>
          </w:p>
          <w:p w14:paraId="557FCAC9" w14:textId="77777777" w:rsidR="0007345A" w:rsidRDefault="0007345A" w:rsidP="0007345A">
            <w:pPr>
              <w:pStyle w:val="Footer"/>
            </w:pPr>
          </w:p>
          <w:p w14:paraId="22935C22" w14:textId="36070728" w:rsidR="0007345A" w:rsidRDefault="005F4926" w:rsidP="0007345A">
            <w:pPr>
              <w:pStyle w:val="Footer"/>
            </w:pPr>
            <w:r>
              <w:t xml:space="preserve">4.    Compliance monitoring activities shall be based on the assessment of risks and carried out by means of audits, </w:t>
            </w:r>
            <w:r w:rsidRPr="00201F3D">
              <w:rPr>
                <w:b/>
                <w:bCs/>
                <w:i/>
                <w:iCs/>
              </w:rPr>
              <w:t>website</w:t>
            </w:r>
            <w:r>
              <w:rPr>
                <w:b/>
                <w:bCs/>
                <w:i/>
                <w:iCs/>
              </w:rPr>
              <w:t xml:space="preserve"> and </w:t>
            </w:r>
            <w:r w:rsidR="006629B4">
              <w:rPr>
                <w:b/>
                <w:bCs/>
                <w:i/>
                <w:iCs/>
              </w:rPr>
              <w:t xml:space="preserve">mobile application </w:t>
            </w:r>
            <w:proofErr w:type="spellStart"/>
            <w:r w:rsidRPr="00201F3D">
              <w:rPr>
                <w:b/>
                <w:bCs/>
                <w:i/>
                <w:iCs/>
              </w:rPr>
              <w:t>eviews</w:t>
            </w:r>
            <w:proofErr w:type="spellEnd"/>
            <w:r>
              <w:rPr>
                <w:b/>
                <w:bCs/>
                <w:i/>
                <w:iCs/>
              </w:rPr>
              <w:t xml:space="preserve"> – including on </w:t>
            </w:r>
            <w:proofErr w:type="gramStart"/>
            <w:r>
              <w:rPr>
                <w:b/>
                <w:bCs/>
                <w:i/>
                <w:iCs/>
              </w:rPr>
              <w:t xml:space="preserve">accessibility </w:t>
            </w:r>
            <w:r>
              <w:t xml:space="preserve"> </w:t>
            </w:r>
            <w:r>
              <w:rPr>
                <w:b/>
                <w:bCs/>
                <w:i/>
                <w:iCs/>
              </w:rPr>
              <w:t>–</w:t>
            </w:r>
            <w:proofErr w:type="gramEnd"/>
            <w:r>
              <w:rPr>
                <w:b/>
                <w:bCs/>
                <w:i/>
                <w:iCs/>
              </w:rPr>
              <w:t xml:space="preserve"> </w:t>
            </w:r>
            <w:r>
              <w:t xml:space="preserve">inspections, interviews, verifications and examination of documents as appropriate. </w:t>
            </w:r>
            <w:r w:rsidRPr="00DD2899">
              <w:rPr>
                <w:i/>
                <w:iCs/>
              </w:rPr>
              <w:t>They shall include both announced and unannounced activities</w:t>
            </w:r>
            <w:r w:rsidRPr="00285E4C">
              <w:rPr>
                <w:b/>
                <w:bCs/>
                <w:i/>
                <w:iCs/>
              </w:rPr>
              <w:t xml:space="preserve"> </w:t>
            </w:r>
            <w:r>
              <w:rPr>
                <w:b/>
                <w:bCs/>
                <w:i/>
                <w:iCs/>
              </w:rPr>
              <w:t>which should</w:t>
            </w:r>
            <w:r w:rsidRPr="00285E4C">
              <w:rPr>
                <w:b/>
                <w:bCs/>
                <w:i/>
                <w:iCs/>
              </w:rPr>
              <w:t xml:space="preserve"> be carried out in cooperation with persons with disabilities and their representative organisations</w:t>
            </w:r>
            <w:r>
              <w:rPr>
                <w:b/>
                <w:bCs/>
                <w:i/>
                <w:iCs/>
              </w:rPr>
              <w:t>, where relevant</w:t>
            </w:r>
            <w:r>
              <w:t xml:space="preserve">.  </w:t>
            </w:r>
          </w:p>
          <w:p w14:paraId="0A425966" w14:textId="77777777" w:rsidR="0007345A" w:rsidRDefault="0007345A" w:rsidP="0007345A">
            <w:pPr>
              <w:pStyle w:val="Footer"/>
            </w:pPr>
          </w:p>
          <w:p w14:paraId="2E6C57C0" w14:textId="46F8F7A7" w:rsidR="0007345A" w:rsidRDefault="005D5E10" w:rsidP="0007345A">
            <w:pPr>
              <w:pStyle w:val="Footer"/>
            </w:pPr>
            <w:r>
              <w:t>(…)</w:t>
            </w:r>
          </w:p>
          <w:p w14:paraId="0D6F3559" w14:textId="77777777" w:rsidR="0007345A" w:rsidRDefault="0007345A" w:rsidP="0007345A">
            <w:pPr>
              <w:pStyle w:val="Footer"/>
            </w:pPr>
          </w:p>
          <w:p w14:paraId="05216181" w14:textId="02D31417" w:rsidR="008B0164" w:rsidRDefault="0007345A" w:rsidP="00E816E5">
            <w:pPr>
              <w:pStyle w:val="Footer"/>
            </w:pPr>
            <w:r>
              <w:t xml:space="preserve">6.The compliance monitoring programme under paragraph 1, the risk assessment under paragraph 2 as well as their findings shall be communicated to the Commission by 30 June XXXX [2 years after the Regulation becomes applicable], and every two years thereafter. </w:t>
            </w:r>
            <w:r w:rsidRPr="005F4926">
              <w:rPr>
                <w:b/>
                <w:bCs/>
                <w:strike/>
              </w:rPr>
              <w:t>Where applicable,</w:t>
            </w:r>
            <w:r>
              <w:t xml:space="preserve"> they shall be included in the reports referred to in Article 20 (3)</w:t>
            </w:r>
          </w:p>
          <w:p w14:paraId="6CA64BC8" w14:textId="77777777" w:rsidR="008B0164" w:rsidRPr="00CD2FF3" w:rsidRDefault="008B0164" w:rsidP="00E816E5">
            <w:pPr>
              <w:pStyle w:val="Footer"/>
              <w:rPr>
                <w:b/>
              </w:rPr>
            </w:pPr>
            <w:r>
              <w:t xml:space="preserve"> </w:t>
            </w:r>
          </w:p>
        </w:tc>
      </w:tr>
      <w:tr w:rsidR="005F4926" w14:paraId="18B28481" w14:textId="77777777" w:rsidTr="008B0164">
        <w:tc>
          <w:tcPr>
            <w:tcW w:w="9962" w:type="dxa"/>
            <w:gridSpan w:val="2"/>
          </w:tcPr>
          <w:p w14:paraId="6E6F060E" w14:textId="77777777" w:rsidR="005F4926" w:rsidRPr="00FB397E" w:rsidRDefault="005F4926" w:rsidP="005F4926">
            <w:pPr>
              <w:pStyle w:val="Footer"/>
              <w:jc w:val="both"/>
              <w:rPr>
                <w:b/>
                <w:bCs/>
              </w:rPr>
            </w:pPr>
            <w:r w:rsidRPr="00FB397E">
              <w:rPr>
                <w:b/>
                <w:bCs/>
              </w:rPr>
              <w:lastRenderedPageBreak/>
              <w:t>Justification:</w:t>
            </w:r>
          </w:p>
          <w:p w14:paraId="344837B4" w14:textId="77777777" w:rsidR="005F4926" w:rsidRDefault="005F4926" w:rsidP="005F4926">
            <w:pPr>
              <w:pStyle w:val="Footer"/>
              <w:jc w:val="both"/>
            </w:pPr>
          </w:p>
          <w:p w14:paraId="518DCE87" w14:textId="5529E7B7" w:rsidR="005F4926" w:rsidRDefault="005F4926" w:rsidP="005F4926">
            <w:pPr>
              <w:pStyle w:val="Footer"/>
              <w:jc w:val="both"/>
            </w:pPr>
            <w:r>
              <w:t xml:space="preserve">While the article already provides an indicative list of the monitoring activities that should be carried out by the National Enforcement Bodies (NEBs) it is important to specify other type of initiatives, such as the monitoring of carriers and multimodal hubs websites and applications. Such activities could help oversee of the application of accessibility obligations under multimodal regulation as well as the requirements of the European Accessibility Act (Directive 2019/882). </w:t>
            </w:r>
          </w:p>
          <w:p w14:paraId="4838FE97" w14:textId="77777777" w:rsidR="005F4926" w:rsidRDefault="005F4926" w:rsidP="005F4926">
            <w:pPr>
              <w:pStyle w:val="Footer"/>
              <w:jc w:val="both"/>
            </w:pPr>
          </w:p>
          <w:p w14:paraId="4D8BAFC3" w14:textId="77777777" w:rsidR="005F4926" w:rsidRDefault="005F4926" w:rsidP="005F4926">
            <w:pPr>
              <w:pStyle w:val="Footer"/>
              <w:jc w:val="both"/>
            </w:pPr>
            <w:r>
              <w:t xml:space="preserve">When carrying out monitoring activities, NEBs should rely on the expertise and ‘lived experience’ of persons with disabilities themselves. Their involvement would allow for the detection of shortcomings in the implementation of certain provisions of the Regulation and to make meaningful proposals to improve the existing situation. When it comes to accessibility, compliance with standards is not enough, and ongoing discussions with end users are necessary to improve the quality and usability of the service provided. </w:t>
            </w:r>
          </w:p>
          <w:p w14:paraId="02E29B91" w14:textId="77777777" w:rsidR="005F4926" w:rsidRDefault="005F4926" w:rsidP="005F4926">
            <w:pPr>
              <w:pStyle w:val="Footer"/>
              <w:jc w:val="both"/>
            </w:pPr>
          </w:p>
          <w:p w14:paraId="72614575" w14:textId="5F435198" w:rsidR="005F4926" w:rsidRDefault="005F4926" w:rsidP="005F4926">
            <w:pPr>
              <w:pStyle w:val="Footer"/>
              <w:jc w:val="both"/>
            </w:pPr>
            <w:r>
              <w:t xml:space="preserve">NEBs should always include information on the risks assessments, monitoring programme and the findings in the report they are supposed to publish every two years. </w:t>
            </w:r>
          </w:p>
        </w:tc>
      </w:tr>
    </w:tbl>
    <w:p w14:paraId="78E32EE2" w14:textId="77777777" w:rsidR="00E332E3" w:rsidRDefault="00E332E3" w:rsidP="00E332E3">
      <w:pPr>
        <w:pStyle w:val="Heading2"/>
      </w:pPr>
    </w:p>
    <w:p w14:paraId="41FCC2C7" w14:textId="04AD0892" w:rsidR="00E332E3" w:rsidRPr="00E332E3" w:rsidRDefault="00E332E3" w:rsidP="00E332E3">
      <w:pPr>
        <w:pStyle w:val="Heading2"/>
      </w:pPr>
      <w:bookmarkStart w:id="21" w:name="_Toc164171928"/>
      <w:r w:rsidRPr="00E332E3">
        <w:t>Amendment Article 24 – Cooperation between M</w:t>
      </w:r>
      <w:r>
        <w:t>ember States and the Commission</w:t>
      </w:r>
      <w:r w:rsidR="006F65DE">
        <w:t xml:space="preserve"> (paragraph 3 new)</w:t>
      </w:r>
      <w:bookmarkEnd w:id="21"/>
    </w:p>
    <w:p w14:paraId="18C9302D" w14:textId="77777777" w:rsidR="00E332E3" w:rsidRPr="00E332E3" w:rsidRDefault="00E332E3" w:rsidP="00E332E3"/>
    <w:tbl>
      <w:tblPr>
        <w:tblStyle w:val="TableGrid"/>
        <w:tblW w:w="0" w:type="auto"/>
        <w:tblLook w:val="04A0" w:firstRow="1" w:lastRow="0" w:firstColumn="1" w:lastColumn="0" w:noHBand="0" w:noVBand="1"/>
      </w:tblPr>
      <w:tblGrid>
        <w:gridCol w:w="4980"/>
        <w:gridCol w:w="4982"/>
      </w:tblGrid>
      <w:tr w:rsidR="00E332E3" w14:paraId="37DD8583" w14:textId="77777777" w:rsidTr="00D87B68">
        <w:tc>
          <w:tcPr>
            <w:tcW w:w="4980" w:type="dxa"/>
          </w:tcPr>
          <w:p w14:paraId="7949E6B1" w14:textId="77777777" w:rsidR="00E332E3" w:rsidRDefault="00E332E3" w:rsidP="00D87B68">
            <w:pPr>
              <w:pStyle w:val="Footer"/>
              <w:jc w:val="both"/>
            </w:pPr>
            <w:r>
              <w:t>Commission proposal</w:t>
            </w:r>
          </w:p>
        </w:tc>
        <w:tc>
          <w:tcPr>
            <w:tcW w:w="4982" w:type="dxa"/>
          </w:tcPr>
          <w:p w14:paraId="232404EC" w14:textId="77777777" w:rsidR="00E332E3" w:rsidRDefault="00E332E3" w:rsidP="00D87B68">
            <w:pPr>
              <w:pStyle w:val="Footer"/>
              <w:jc w:val="both"/>
            </w:pPr>
            <w:r>
              <w:t>EDF amendments</w:t>
            </w:r>
          </w:p>
        </w:tc>
      </w:tr>
      <w:tr w:rsidR="00CE2426" w14:paraId="33A1A1F2" w14:textId="77777777" w:rsidTr="00D87B68">
        <w:tc>
          <w:tcPr>
            <w:tcW w:w="4980" w:type="dxa"/>
          </w:tcPr>
          <w:p w14:paraId="7233B025" w14:textId="77777777" w:rsidR="00CE2426" w:rsidRDefault="00CE2426" w:rsidP="00CE2426">
            <w:pPr>
              <w:pStyle w:val="Footer"/>
            </w:pPr>
            <w:r>
              <w:t>Cooperation between Member States and the Commission</w:t>
            </w:r>
          </w:p>
          <w:p w14:paraId="43F97F47" w14:textId="77777777" w:rsidR="00CE2426" w:rsidRDefault="00CE2426" w:rsidP="00CE2426">
            <w:pPr>
              <w:pStyle w:val="Footer"/>
            </w:pPr>
          </w:p>
          <w:p w14:paraId="490A2742" w14:textId="7C8B0317" w:rsidR="00CE2426" w:rsidRDefault="00CE2426" w:rsidP="00CE2426">
            <w:pPr>
              <w:pStyle w:val="Footer"/>
            </w:pPr>
          </w:p>
        </w:tc>
        <w:tc>
          <w:tcPr>
            <w:tcW w:w="4982" w:type="dxa"/>
          </w:tcPr>
          <w:p w14:paraId="4AB3258C" w14:textId="77777777" w:rsidR="00CE2426" w:rsidRDefault="00CE2426" w:rsidP="00CE2426">
            <w:pPr>
              <w:pStyle w:val="Footer"/>
            </w:pPr>
            <w:r>
              <w:t>Cooperation between Member States and the Commission</w:t>
            </w:r>
          </w:p>
          <w:p w14:paraId="55B44686" w14:textId="77777777" w:rsidR="00CE2426" w:rsidRDefault="00CE2426" w:rsidP="00CE2426">
            <w:pPr>
              <w:pStyle w:val="Footer"/>
            </w:pPr>
          </w:p>
          <w:p w14:paraId="238E85C2" w14:textId="55CB8A71" w:rsidR="00CE2426" w:rsidRDefault="006F65DE" w:rsidP="006F65DE">
            <w:pPr>
              <w:pStyle w:val="Footer"/>
            </w:pPr>
            <w:r>
              <w:t>(…)</w:t>
            </w:r>
          </w:p>
          <w:p w14:paraId="0CCFC801" w14:textId="77777777" w:rsidR="00CE2426" w:rsidRDefault="00CE2426" w:rsidP="00CE2426">
            <w:pPr>
              <w:pStyle w:val="Footer"/>
              <w:rPr>
                <w:b/>
              </w:rPr>
            </w:pPr>
          </w:p>
          <w:p w14:paraId="2F44E8F5" w14:textId="593F9333" w:rsidR="00CE2426" w:rsidRDefault="00CE2426" w:rsidP="00CE2426">
            <w:pPr>
              <w:pStyle w:val="Footer"/>
            </w:pPr>
            <w:r w:rsidRPr="00CE2426">
              <w:rPr>
                <w:b/>
                <w:bCs/>
              </w:rPr>
              <w:t>(</w:t>
            </w:r>
            <w:r w:rsidRPr="00CE2426">
              <w:rPr>
                <w:b/>
                <w:bCs/>
                <w:i/>
                <w:iCs/>
              </w:rPr>
              <w:t xml:space="preserve">3 new) By 1 June XXXX [2 years after the Regulation becomes applicable] and every 2 years thereafter the Commission will publish a report that presents in a clear, easy-to-use, comparable and accessible manner all the data </w:t>
            </w:r>
            <w:r w:rsidR="001A0B19" w:rsidRPr="00CE2426">
              <w:rPr>
                <w:b/>
                <w:bCs/>
                <w:i/>
                <w:iCs/>
              </w:rPr>
              <w:t xml:space="preserve">all the data </w:t>
            </w:r>
            <w:r w:rsidR="001A0B19">
              <w:rPr>
                <w:b/>
                <w:bCs/>
                <w:i/>
                <w:iCs/>
              </w:rPr>
              <w:t xml:space="preserve"> on complaint handling and assistance </w:t>
            </w:r>
            <w:r w:rsidR="001A0B19" w:rsidRPr="00CE2426">
              <w:rPr>
                <w:b/>
                <w:bCs/>
                <w:i/>
                <w:iCs/>
              </w:rPr>
              <w:t xml:space="preserve">provided </w:t>
            </w:r>
            <w:r w:rsidR="001A0B19">
              <w:rPr>
                <w:b/>
                <w:bCs/>
                <w:i/>
                <w:iCs/>
              </w:rPr>
              <w:t xml:space="preserve">to persons with disabilities and reduced mobility </w:t>
            </w:r>
            <w:r w:rsidRPr="00CE2426">
              <w:rPr>
                <w:b/>
                <w:bCs/>
                <w:i/>
                <w:iCs/>
              </w:rPr>
              <w:t xml:space="preserve">provided by carriers and infrastructure managers </w:t>
            </w:r>
            <w:r w:rsidR="002D6CA4">
              <w:rPr>
                <w:b/>
                <w:bCs/>
                <w:i/>
                <w:iCs/>
              </w:rPr>
              <w:t>in the</w:t>
            </w:r>
            <w:r>
              <w:rPr>
                <w:b/>
                <w:bCs/>
                <w:i/>
                <w:iCs/>
              </w:rPr>
              <w:t xml:space="preserve"> service quality standards performance reports referred in</w:t>
            </w:r>
            <w:r w:rsidRPr="00CE2426">
              <w:rPr>
                <w:b/>
                <w:bCs/>
                <w:i/>
                <w:iCs/>
              </w:rPr>
              <w:t xml:space="preserve"> Article 17 of this Regulation.</w:t>
            </w:r>
            <w:r>
              <w:t xml:space="preserve"> </w:t>
            </w:r>
          </w:p>
          <w:p w14:paraId="33FAB294" w14:textId="74FA4676" w:rsidR="00CE2426" w:rsidRPr="00CD2FF3" w:rsidRDefault="00CE2426" w:rsidP="00CE2426">
            <w:pPr>
              <w:pStyle w:val="Footer"/>
              <w:rPr>
                <w:b/>
              </w:rPr>
            </w:pPr>
          </w:p>
        </w:tc>
      </w:tr>
      <w:tr w:rsidR="00CE2426" w14:paraId="5F58960E" w14:textId="77777777" w:rsidTr="00D87B68">
        <w:tc>
          <w:tcPr>
            <w:tcW w:w="9962" w:type="dxa"/>
            <w:gridSpan w:val="2"/>
          </w:tcPr>
          <w:p w14:paraId="5ACE9402" w14:textId="77777777" w:rsidR="00CE2426" w:rsidRDefault="00CE2426" w:rsidP="00CE2426">
            <w:pPr>
              <w:pStyle w:val="Footer"/>
              <w:jc w:val="both"/>
            </w:pPr>
            <w:r>
              <w:t>Justification:</w:t>
            </w:r>
          </w:p>
          <w:p w14:paraId="0162C707" w14:textId="77777777" w:rsidR="00CE2426" w:rsidRDefault="00CE2426" w:rsidP="00CE2426">
            <w:pPr>
              <w:pStyle w:val="Footer"/>
              <w:jc w:val="both"/>
            </w:pPr>
          </w:p>
          <w:p w14:paraId="1D17C873" w14:textId="6E886335" w:rsidR="00CE2426" w:rsidRDefault="00CE2426" w:rsidP="00CE2426">
            <w:pPr>
              <w:pStyle w:val="Footer"/>
              <w:jc w:val="both"/>
            </w:pPr>
            <w:r>
              <w:t xml:space="preserve">In order to allow </w:t>
            </w:r>
            <w:r w:rsidR="00B50534">
              <w:t>passengers</w:t>
            </w:r>
            <w:r>
              <w:t xml:space="preserve"> and public authorities to have an overview of carriers and infrastructure managers performance in relation to the Service Quality Standards, it is important that there is a centralised point of information that presents in a homogeneous and comparable manner all the data that has been published, including on PRM-related complaints. This is a practice that already exists in the United States, where the </w:t>
            </w:r>
            <w:hyperlink r:id="rId19" w:history="1">
              <w:r w:rsidRPr="002D6CA4">
                <w:rPr>
                  <w:rStyle w:val="Hyperlink"/>
                </w:rPr>
                <w:t>Department of Transportation publishes a yearly report</w:t>
              </w:r>
              <w:r w:rsidR="002D6CA4" w:rsidRPr="002D6CA4">
                <w:rPr>
                  <w:rStyle w:val="Hyperlink"/>
                </w:rPr>
                <w:t xml:space="preserve"> with the number and type of disability related complaints submitted to carriers operating in the United States</w:t>
              </w:r>
            </w:hyperlink>
            <w:r w:rsidR="002D6CA4">
              <w:t xml:space="preserve">. This is a good practice that should be replicated in the European Union. </w:t>
            </w:r>
          </w:p>
          <w:p w14:paraId="755BD71E" w14:textId="2A75CF04" w:rsidR="00CE2426" w:rsidRDefault="00CE2426" w:rsidP="00CE2426">
            <w:pPr>
              <w:pStyle w:val="Footer"/>
              <w:jc w:val="both"/>
            </w:pPr>
          </w:p>
        </w:tc>
      </w:tr>
    </w:tbl>
    <w:p w14:paraId="4B70D088" w14:textId="77777777" w:rsidR="00E332E3" w:rsidRDefault="00E332E3" w:rsidP="008B0164">
      <w:pPr>
        <w:pStyle w:val="Heading2"/>
      </w:pPr>
    </w:p>
    <w:p w14:paraId="13920B07" w14:textId="438B20A9" w:rsidR="008B0164" w:rsidRDefault="008B0164" w:rsidP="008B0164">
      <w:pPr>
        <w:pStyle w:val="Heading2"/>
      </w:pPr>
      <w:bookmarkStart w:id="22" w:name="_Toc164171929"/>
      <w:r>
        <w:t>A</w:t>
      </w:r>
      <w:r w:rsidR="004C7F88">
        <w:t>mendment to Annex II – Minimum Service Quality Standards</w:t>
      </w:r>
      <w:bookmarkEnd w:id="22"/>
      <w:r w:rsidR="004C7F88">
        <w:t xml:space="preserve"> </w:t>
      </w:r>
    </w:p>
    <w:p w14:paraId="64BDCDED" w14:textId="77777777" w:rsidR="008B0164" w:rsidRPr="00046E92" w:rsidRDefault="008B0164" w:rsidP="008B0164"/>
    <w:tbl>
      <w:tblPr>
        <w:tblStyle w:val="TableGrid"/>
        <w:tblW w:w="0" w:type="auto"/>
        <w:tblLook w:val="04A0" w:firstRow="1" w:lastRow="0" w:firstColumn="1" w:lastColumn="0" w:noHBand="0" w:noVBand="1"/>
      </w:tblPr>
      <w:tblGrid>
        <w:gridCol w:w="4981"/>
        <w:gridCol w:w="4981"/>
      </w:tblGrid>
      <w:tr w:rsidR="008B0164" w14:paraId="488F370C" w14:textId="77777777" w:rsidTr="00E816E5">
        <w:tc>
          <w:tcPr>
            <w:tcW w:w="5056" w:type="dxa"/>
          </w:tcPr>
          <w:p w14:paraId="6091FAC0" w14:textId="77777777" w:rsidR="008B0164" w:rsidRDefault="008B0164" w:rsidP="00E816E5">
            <w:pPr>
              <w:pStyle w:val="Footer"/>
              <w:jc w:val="both"/>
            </w:pPr>
            <w:r>
              <w:t>Commission proposal</w:t>
            </w:r>
          </w:p>
        </w:tc>
        <w:tc>
          <w:tcPr>
            <w:tcW w:w="5056" w:type="dxa"/>
          </w:tcPr>
          <w:p w14:paraId="5B4D890A" w14:textId="77777777" w:rsidR="008B0164" w:rsidRDefault="008B0164" w:rsidP="00E816E5">
            <w:pPr>
              <w:pStyle w:val="Footer"/>
              <w:jc w:val="both"/>
            </w:pPr>
            <w:r>
              <w:t>EDF amendments</w:t>
            </w:r>
          </w:p>
        </w:tc>
      </w:tr>
      <w:tr w:rsidR="008B0164" w14:paraId="567FC056" w14:textId="77777777" w:rsidTr="00E816E5">
        <w:tc>
          <w:tcPr>
            <w:tcW w:w="5056" w:type="dxa"/>
          </w:tcPr>
          <w:p w14:paraId="158862F3" w14:textId="77777777" w:rsidR="004C7F88" w:rsidRDefault="004C7F88" w:rsidP="004C7F88">
            <w:pPr>
              <w:pStyle w:val="Footer"/>
            </w:pPr>
          </w:p>
          <w:p w14:paraId="2C48C791" w14:textId="77777777" w:rsidR="004C7F88" w:rsidRDefault="004C7F88" w:rsidP="004C7F88">
            <w:pPr>
              <w:pStyle w:val="Footer"/>
            </w:pPr>
            <w:r>
              <w:t>Minimum service quality standards</w:t>
            </w:r>
          </w:p>
          <w:p w14:paraId="7F1CBD7E" w14:textId="77777777" w:rsidR="004C7F88" w:rsidRDefault="004C7F88" w:rsidP="004C7F88">
            <w:pPr>
              <w:pStyle w:val="Footer"/>
            </w:pPr>
          </w:p>
          <w:p w14:paraId="4FA2B4BB" w14:textId="6720704B" w:rsidR="004C7F88" w:rsidRDefault="00C52659" w:rsidP="004C7F88">
            <w:pPr>
              <w:pStyle w:val="Footer"/>
            </w:pPr>
            <w:r>
              <w:t>(…)</w:t>
            </w:r>
          </w:p>
          <w:p w14:paraId="2FFC41AD" w14:textId="77777777" w:rsidR="004C7F88" w:rsidRDefault="004C7F88" w:rsidP="004C7F88">
            <w:pPr>
              <w:pStyle w:val="Footer"/>
            </w:pPr>
          </w:p>
          <w:p w14:paraId="7B705838" w14:textId="77777777" w:rsidR="004C7F88" w:rsidRDefault="004C7F88" w:rsidP="004C7F88">
            <w:pPr>
              <w:pStyle w:val="Footer"/>
            </w:pPr>
            <w:r>
              <w:t>Assistance provided to persons with disabilities and persons with reduced mobility (PRM)</w:t>
            </w:r>
          </w:p>
          <w:p w14:paraId="1FF55C66" w14:textId="77777777" w:rsidR="004C7F88" w:rsidRDefault="004C7F88" w:rsidP="004C7F88">
            <w:pPr>
              <w:pStyle w:val="Footer"/>
            </w:pPr>
          </w:p>
          <w:p w14:paraId="22E678DE" w14:textId="77777777" w:rsidR="004C7F88" w:rsidRDefault="004C7F88" w:rsidP="004C7F88">
            <w:pPr>
              <w:pStyle w:val="Footer"/>
            </w:pPr>
            <w:r>
              <w:t xml:space="preserve">i.    number of denied transport services for a PRM, and the reason for </w:t>
            </w:r>
            <w:proofErr w:type="gramStart"/>
            <w:r>
              <w:t>it;</w:t>
            </w:r>
            <w:proofErr w:type="gramEnd"/>
          </w:p>
          <w:p w14:paraId="7EB79EE2" w14:textId="77777777" w:rsidR="004C7F88" w:rsidRDefault="004C7F88" w:rsidP="004C7F88">
            <w:pPr>
              <w:pStyle w:val="Footer"/>
            </w:pPr>
          </w:p>
          <w:p w14:paraId="655733D1" w14:textId="77777777" w:rsidR="004C7F88" w:rsidRDefault="004C7F88" w:rsidP="004C7F88">
            <w:pPr>
              <w:pStyle w:val="Footer"/>
            </w:pPr>
            <w:r>
              <w:t>ii.    their recognised assistance dog or their mobility equipment and the reasons for it,</w:t>
            </w:r>
          </w:p>
          <w:p w14:paraId="5D6BD288" w14:textId="77777777" w:rsidR="004C7F88" w:rsidRDefault="004C7F88" w:rsidP="004C7F88">
            <w:pPr>
              <w:pStyle w:val="Footer"/>
            </w:pPr>
          </w:p>
          <w:p w14:paraId="0C78A40B" w14:textId="77777777" w:rsidR="004C7F88" w:rsidRDefault="004C7F88" w:rsidP="004C7F88">
            <w:pPr>
              <w:pStyle w:val="Footer"/>
            </w:pPr>
            <w:r>
              <w:t>iii.    number of cases related to the loss or damages of mobility equipment and their outcome,</w:t>
            </w:r>
          </w:p>
          <w:p w14:paraId="0B39FE69" w14:textId="77777777" w:rsidR="004C7F88" w:rsidRDefault="004C7F88" w:rsidP="004C7F88">
            <w:pPr>
              <w:pStyle w:val="Footer"/>
            </w:pPr>
          </w:p>
          <w:p w14:paraId="4AE1AF67" w14:textId="77777777" w:rsidR="004C7F88" w:rsidRDefault="004C7F88" w:rsidP="004C7F88">
            <w:pPr>
              <w:pStyle w:val="Footer"/>
            </w:pPr>
            <w:r>
              <w:t>iv.    number of cases where the carrier obliged a person with disability or reduced mobility to be accompanied by someone to comply with the safety requirements,</w:t>
            </w:r>
          </w:p>
          <w:p w14:paraId="4F12D12B" w14:textId="77777777" w:rsidR="004C7F88" w:rsidRDefault="004C7F88" w:rsidP="004C7F88">
            <w:pPr>
              <w:pStyle w:val="Footer"/>
            </w:pPr>
          </w:p>
          <w:p w14:paraId="1FEF34CA" w14:textId="77777777" w:rsidR="004C7F88" w:rsidRDefault="004C7F88" w:rsidP="004C7F88">
            <w:pPr>
              <w:pStyle w:val="Footer"/>
            </w:pPr>
            <w:r>
              <w:t>v.    discussions concerning this assistance with representative organisations and, where relevant, representatives of PRM</w:t>
            </w:r>
          </w:p>
          <w:p w14:paraId="36C8FEE0" w14:textId="77777777" w:rsidR="004C7F88" w:rsidRDefault="004C7F88" w:rsidP="004C7F88">
            <w:pPr>
              <w:pStyle w:val="Footer"/>
            </w:pPr>
          </w:p>
          <w:p w14:paraId="5B317B04" w14:textId="57E6BAE1" w:rsidR="008B0164" w:rsidRDefault="004C7F88" w:rsidP="004C7F88">
            <w:pPr>
              <w:pStyle w:val="Footer"/>
            </w:pPr>
            <w:r>
              <w:t>vi.    the implementation of the disability awareness and assistance training</w:t>
            </w:r>
          </w:p>
        </w:tc>
        <w:tc>
          <w:tcPr>
            <w:tcW w:w="5056" w:type="dxa"/>
          </w:tcPr>
          <w:p w14:paraId="14491E79" w14:textId="77777777" w:rsidR="008B0164" w:rsidRDefault="008B0164" w:rsidP="00E816E5">
            <w:pPr>
              <w:pStyle w:val="Footer"/>
            </w:pPr>
          </w:p>
          <w:p w14:paraId="37BE6004" w14:textId="44A6F0F9" w:rsidR="004C7F88" w:rsidRDefault="008B0164" w:rsidP="004C7F88">
            <w:pPr>
              <w:pStyle w:val="Footer"/>
            </w:pPr>
            <w:r>
              <w:t xml:space="preserve"> </w:t>
            </w:r>
            <w:r w:rsidR="004C7F88">
              <w:t>Minimum service quality standards</w:t>
            </w:r>
          </w:p>
          <w:p w14:paraId="1D764249" w14:textId="77777777" w:rsidR="004C7F88" w:rsidRDefault="004C7F88" w:rsidP="004C7F88">
            <w:pPr>
              <w:pStyle w:val="Footer"/>
            </w:pPr>
          </w:p>
          <w:p w14:paraId="720F4AEC" w14:textId="63519758" w:rsidR="004C7F88" w:rsidRDefault="00C52659" w:rsidP="004C7F88">
            <w:pPr>
              <w:pStyle w:val="Footer"/>
            </w:pPr>
            <w:r>
              <w:t>(…)</w:t>
            </w:r>
          </w:p>
          <w:p w14:paraId="4FBA31D9" w14:textId="77777777" w:rsidR="004C7F88" w:rsidRDefault="004C7F88" w:rsidP="004C7F88">
            <w:pPr>
              <w:pStyle w:val="Footer"/>
            </w:pPr>
          </w:p>
          <w:p w14:paraId="35174440" w14:textId="77777777" w:rsidR="004C7F88" w:rsidRDefault="004C7F88" w:rsidP="004C7F88">
            <w:pPr>
              <w:pStyle w:val="Footer"/>
            </w:pPr>
            <w:r>
              <w:t>Assistance provided to persons with disabilities and persons with reduced mobility (PRM)</w:t>
            </w:r>
          </w:p>
          <w:p w14:paraId="58A20CBC" w14:textId="77777777" w:rsidR="004C7F88" w:rsidRDefault="004C7F88" w:rsidP="004C7F88">
            <w:pPr>
              <w:pStyle w:val="Footer"/>
            </w:pPr>
          </w:p>
          <w:p w14:paraId="5BCF7F0F" w14:textId="77777777" w:rsidR="004C7F88" w:rsidRDefault="004C7F88" w:rsidP="004C7F88">
            <w:pPr>
              <w:pStyle w:val="Footer"/>
            </w:pPr>
            <w:r>
              <w:t xml:space="preserve">i.    number of denied transport services for a PRM, and the reason for </w:t>
            </w:r>
            <w:proofErr w:type="gramStart"/>
            <w:r>
              <w:t>it;</w:t>
            </w:r>
            <w:proofErr w:type="gramEnd"/>
          </w:p>
          <w:p w14:paraId="424A3878" w14:textId="77777777" w:rsidR="004C7F88" w:rsidRDefault="004C7F88" w:rsidP="004C7F88">
            <w:pPr>
              <w:pStyle w:val="Footer"/>
            </w:pPr>
          </w:p>
          <w:p w14:paraId="34651B27" w14:textId="77777777" w:rsidR="004C7F88" w:rsidRDefault="004C7F88" w:rsidP="004C7F88">
            <w:pPr>
              <w:pStyle w:val="Footer"/>
            </w:pPr>
            <w:r>
              <w:t>ii.    their recognised assistance dog or their mobility equipment and the reasons for it,</w:t>
            </w:r>
          </w:p>
          <w:p w14:paraId="25CF6C8E" w14:textId="77777777" w:rsidR="004C7F88" w:rsidRDefault="004C7F88" w:rsidP="004C7F88">
            <w:pPr>
              <w:pStyle w:val="Footer"/>
            </w:pPr>
          </w:p>
          <w:p w14:paraId="21843EB5" w14:textId="77777777" w:rsidR="004C7F88" w:rsidRDefault="004C7F88" w:rsidP="004C7F88">
            <w:pPr>
              <w:pStyle w:val="Footer"/>
            </w:pPr>
            <w:r>
              <w:t>iii.    number of cases related to the loss or damages of mobility equipment and their outcome,</w:t>
            </w:r>
          </w:p>
          <w:p w14:paraId="6966654A" w14:textId="77777777" w:rsidR="004C7F88" w:rsidRDefault="004C7F88" w:rsidP="004C7F88">
            <w:pPr>
              <w:pStyle w:val="Footer"/>
            </w:pPr>
          </w:p>
          <w:p w14:paraId="1848C949" w14:textId="77777777" w:rsidR="004C7F88" w:rsidRDefault="004C7F88" w:rsidP="004C7F88">
            <w:pPr>
              <w:pStyle w:val="Footer"/>
            </w:pPr>
            <w:r>
              <w:t>iv.    number of cases where the carrier obliged a person with disability or reduced mobility to be accompanied by someone to comply with the safety requirements,</w:t>
            </w:r>
          </w:p>
          <w:p w14:paraId="1F41ECA2" w14:textId="77777777" w:rsidR="00F82447" w:rsidRDefault="00F82447" w:rsidP="004C7F88">
            <w:pPr>
              <w:pStyle w:val="Footer"/>
            </w:pPr>
          </w:p>
          <w:p w14:paraId="406B91A0" w14:textId="50A57932" w:rsidR="00F82447" w:rsidRPr="006629B4" w:rsidRDefault="006629B4" w:rsidP="004C7F88">
            <w:pPr>
              <w:pStyle w:val="Footer"/>
              <w:rPr>
                <w:i/>
                <w:iCs/>
              </w:rPr>
            </w:pPr>
            <w:r w:rsidRPr="006629B4">
              <w:rPr>
                <w:b/>
                <w:bCs/>
                <w:i/>
                <w:iCs/>
              </w:rPr>
              <w:t>(new) number of cases where the assistance was not provided or was provided with delay,</w:t>
            </w:r>
          </w:p>
          <w:p w14:paraId="3B5EC398" w14:textId="77777777" w:rsidR="004C7F88" w:rsidRDefault="004C7F88" w:rsidP="004C7F88">
            <w:pPr>
              <w:pStyle w:val="Footer"/>
            </w:pPr>
          </w:p>
          <w:p w14:paraId="3D828266" w14:textId="77777777" w:rsidR="004C7F88" w:rsidRDefault="004C7F88" w:rsidP="004C7F88">
            <w:pPr>
              <w:pStyle w:val="Footer"/>
            </w:pPr>
            <w:r>
              <w:t>v.    discussions concerning this assistance with representative organisations and, where relevant, representatives of PRM</w:t>
            </w:r>
          </w:p>
          <w:p w14:paraId="52D15746" w14:textId="77777777" w:rsidR="004C7F88" w:rsidRDefault="004C7F88" w:rsidP="004C7F88">
            <w:pPr>
              <w:pStyle w:val="Footer"/>
            </w:pPr>
          </w:p>
          <w:p w14:paraId="5422CF83" w14:textId="630B8A65" w:rsidR="008B0164" w:rsidRPr="00CD2FF3" w:rsidRDefault="004C7F88" w:rsidP="004C7F88">
            <w:pPr>
              <w:pStyle w:val="Footer"/>
              <w:rPr>
                <w:b/>
              </w:rPr>
            </w:pPr>
            <w:r>
              <w:t>vi.    the implementation of the disability awareness and assistance training</w:t>
            </w:r>
            <w:r w:rsidR="00F82447">
              <w:t xml:space="preserve"> </w:t>
            </w:r>
            <w:r w:rsidR="00F82447" w:rsidRPr="006629B4">
              <w:rPr>
                <w:b/>
                <w:bCs/>
                <w:i/>
                <w:iCs/>
              </w:rPr>
              <w:t>including the frequency of the sessions and participation of organisations representing persons with disabilities and reduced mobility.</w:t>
            </w:r>
          </w:p>
        </w:tc>
      </w:tr>
      <w:tr w:rsidR="008B0164" w14:paraId="22A909B2" w14:textId="77777777" w:rsidTr="00E816E5">
        <w:tc>
          <w:tcPr>
            <w:tcW w:w="10112" w:type="dxa"/>
            <w:gridSpan w:val="2"/>
          </w:tcPr>
          <w:p w14:paraId="7E0284B8" w14:textId="77777777" w:rsidR="008B0164" w:rsidRDefault="008B0164" w:rsidP="00E816E5">
            <w:pPr>
              <w:pStyle w:val="Footer"/>
              <w:jc w:val="both"/>
            </w:pPr>
            <w:r>
              <w:lastRenderedPageBreak/>
              <w:t>Justification:</w:t>
            </w:r>
          </w:p>
          <w:p w14:paraId="7B843B20" w14:textId="77777777" w:rsidR="00F82447" w:rsidRDefault="00F82447" w:rsidP="00E816E5">
            <w:pPr>
              <w:pStyle w:val="Footer"/>
              <w:jc w:val="both"/>
            </w:pPr>
          </w:p>
          <w:p w14:paraId="47DA7436" w14:textId="074A89EC" w:rsidR="008B0164" w:rsidRDefault="00F82447" w:rsidP="00FA7DBA">
            <w:pPr>
              <w:pStyle w:val="Footer"/>
              <w:jc w:val="both"/>
            </w:pPr>
            <w:r>
              <w:t>It is important that carriers and multimodal hubs managing authorities publicly report on the complaints relating to the quality of assistance. When it comes to disability awareness and assistance training, not only is important to know that it actually takes place, but that it takes place on a continuous basis and that organisations representing persons with disabilities are an active part of it.</w:t>
            </w:r>
          </w:p>
        </w:tc>
      </w:tr>
    </w:tbl>
    <w:p w14:paraId="60EA0BBF" w14:textId="596A0E72" w:rsidR="00B53082" w:rsidRDefault="00B53082" w:rsidP="00B53082">
      <w:pPr>
        <w:pStyle w:val="Heading1"/>
      </w:pPr>
      <w:bookmarkStart w:id="23" w:name="_Toc442200288"/>
      <w:bookmarkStart w:id="24" w:name="_Toc406768094"/>
      <w:bookmarkStart w:id="25" w:name="_Toc164171930"/>
      <w:r>
        <w:t>Related documents</w:t>
      </w:r>
      <w:bookmarkEnd w:id="23"/>
      <w:bookmarkEnd w:id="25"/>
    </w:p>
    <w:p w14:paraId="3B11C2C6" w14:textId="2BCA6906" w:rsidR="002A2989" w:rsidRDefault="002A2989" w:rsidP="007471D3">
      <w:bookmarkStart w:id="26" w:name="_Toc444075386"/>
      <w:bookmarkStart w:id="27" w:name="_Toc445184594"/>
      <w:bookmarkStart w:id="28" w:name="_Toc6724633"/>
      <w:bookmarkStart w:id="29" w:name="_Toc77131106"/>
      <w:bookmarkStart w:id="30" w:name="_Toc133309195"/>
      <w:bookmarkEnd w:id="24"/>
    </w:p>
    <w:bookmarkStart w:id="31" w:name="_Hlk163649263"/>
    <w:p w14:paraId="3369E6AB" w14:textId="6280DE29" w:rsidR="00F251D5" w:rsidRPr="002A2989" w:rsidRDefault="00000000" w:rsidP="007471D3">
      <w:r>
        <w:fldChar w:fldCharType="begin"/>
      </w:r>
      <w:r>
        <w:instrText>HYPERLINK "https://www.edf-feph.org/publications/analysis-of-the-proposal-on-multimodal-passenger-rights/"</w:instrText>
      </w:r>
      <w:r>
        <w:fldChar w:fldCharType="separate"/>
      </w:r>
      <w:r w:rsidR="00F82447" w:rsidRPr="00FA7DBA">
        <w:rPr>
          <w:rStyle w:val="Hyperlink"/>
        </w:rPr>
        <w:t>EDF Analysis of the Proposal for a Regulation on Passenger Rights in multimodal journeys</w:t>
      </w:r>
      <w:r>
        <w:rPr>
          <w:rStyle w:val="Hyperlink"/>
        </w:rPr>
        <w:fldChar w:fldCharType="end"/>
      </w:r>
      <w:r w:rsidR="00F82447" w:rsidRPr="00FA7DBA">
        <w:t xml:space="preserve"> (February 2024)</w:t>
      </w:r>
    </w:p>
    <w:p w14:paraId="00C30591" w14:textId="581E70B8" w:rsidR="00B53082" w:rsidRPr="00D15E63" w:rsidRDefault="00B53082" w:rsidP="00B53082">
      <w:pPr>
        <w:pStyle w:val="Heading1"/>
      </w:pPr>
      <w:bookmarkStart w:id="32" w:name="_Toc442200290"/>
      <w:bookmarkStart w:id="33" w:name="_Toc164171931"/>
      <w:bookmarkEnd w:id="31"/>
      <w:r w:rsidRPr="00D15E63">
        <w:t>Contact person</w:t>
      </w:r>
      <w:r w:rsidR="0072465C">
        <w:t>s</w:t>
      </w:r>
      <w:r w:rsidRPr="00D15E63">
        <w:t xml:space="preserve"> at the EDF secretariat</w:t>
      </w:r>
      <w:bookmarkEnd w:id="26"/>
      <w:bookmarkEnd w:id="27"/>
      <w:bookmarkEnd w:id="28"/>
      <w:bookmarkEnd w:id="29"/>
      <w:bookmarkEnd w:id="30"/>
      <w:bookmarkEnd w:id="32"/>
      <w:bookmarkEnd w:id="33"/>
    </w:p>
    <w:p w14:paraId="54B93E2D" w14:textId="77777777" w:rsidR="00D7792D" w:rsidRDefault="00D7792D" w:rsidP="00B53082">
      <w:pPr>
        <w:spacing w:line="276" w:lineRule="auto"/>
        <w:jc w:val="both"/>
        <w:rPr>
          <w:rFonts w:cs="Arial"/>
        </w:rPr>
      </w:pPr>
    </w:p>
    <w:p w14:paraId="61932E85" w14:textId="373ED10F" w:rsidR="00FA2D95" w:rsidRPr="00F82447" w:rsidRDefault="00F82447" w:rsidP="00B53082">
      <w:pPr>
        <w:spacing w:line="276" w:lineRule="auto"/>
        <w:jc w:val="both"/>
        <w:rPr>
          <w:rFonts w:cs="Arial"/>
        </w:rPr>
      </w:pPr>
      <w:r>
        <w:rPr>
          <w:rFonts w:cs="Arial"/>
        </w:rPr>
        <w:t>Daniel Casas Ballester – Accessibility Officer (</w:t>
      </w:r>
      <w:hyperlink r:id="rId20" w:history="1">
        <w:r w:rsidRPr="002C518B">
          <w:rPr>
            <w:rStyle w:val="Hyperlink"/>
          </w:rPr>
          <w:t>daniel.casas@edf-feph.org</w:t>
        </w:r>
      </w:hyperlink>
      <w:r>
        <w:rPr>
          <w:rStyle w:val="ui-provider"/>
        </w:rPr>
        <w:t xml:space="preserve">) </w:t>
      </w:r>
    </w:p>
    <w:p w14:paraId="666C9861" w14:textId="570EFE59" w:rsidR="00B53082" w:rsidRPr="000334DE" w:rsidRDefault="00B53082" w:rsidP="00B53082">
      <w:pPr>
        <w:spacing w:line="276" w:lineRule="auto"/>
        <w:jc w:val="both"/>
        <w:rPr>
          <w:rFonts w:cs="Arial"/>
          <w:sz w:val="28"/>
          <w:szCs w:val="28"/>
          <w:lang w:val="de-DE"/>
        </w:rPr>
      </w:pPr>
    </w:p>
    <w:p w14:paraId="6F1EA8F0" w14:textId="65313E52" w:rsidR="00B53082" w:rsidRDefault="00B53082" w:rsidP="00B53082">
      <w:pPr>
        <w:spacing w:line="276" w:lineRule="auto"/>
        <w:jc w:val="both"/>
        <w:rPr>
          <w:rFonts w:cs="Arial"/>
        </w:rPr>
      </w:pPr>
      <w:r w:rsidRPr="009904DB">
        <w:rPr>
          <w:rFonts w:cs="Arial"/>
        </w:rPr>
        <w:t xml:space="preserve">Should you have any problems in accessing the documentation, please contact the EDF Secretariat.  (Tel: +32 (0) 2 282 46 00, Email: </w:t>
      </w:r>
      <w:hyperlink r:id="rId21" w:history="1">
        <w:r w:rsidRPr="000B01FF">
          <w:rPr>
            <w:rFonts w:cs="Arial"/>
            <w:color w:val="0000FF"/>
            <w:u w:val="single"/>
          </w:rPr>
          <w:t>info@edf-feph.org</w:t>
        </w:r>
      </w:hyperlink>
      <w:r w:rsidRPr="009904DB">
        <w:rPr>
          <w:rFonts w:cs="Arial"/>
        </w:rPr>
        <w:t>).</w:t>
      </w:r>
    </w:p>
    <w:p w14:paraId="0643E804" w14:textId="0BF52B6A" w:rsidR="00DC2DCD" w:rsidRPr="00DC2DCD" w:rsidRDefault="00DC2DCD" w:rsidP="00DC2DCD"/>
    <w:p w14:paraId="60513D1F" w14:textId="5257C3EA" w:rsidR="00140C92" w:rsidRDefault="00140C92" w:rsidP="00510BF6">
      <w:pPr>
        <w:jc w:val="center"/>
      </w:pPr>
      <w:r>
        <w:rPr>
          <w:noProof/>
        </w:rPr>
        <w:drawing>
          <wp:anchor distT="0" distB="0" distL="114300" distR="114300" simplePos="0" relativeHeight="251662336" behindDoc="0" locked="0" layoutInCell="1" allowOverlap="1" wp14:anchorId="12C40508" wp14:editId="284C2255">
            <wp:simplePos x="0" y="0"/>
            <wp:positionH relativeFrom="column">
              <wp:posOffset>2623463</wp:posOffset>
            </wp:positionH>
            <wp:positionV relativeFrom="paragraph">
              <wp:posOffset>161290</wp:posOffset>
            </wp:positionV>
            <wp:extent cx="990600" cy="1004217"/>
            <wp:effectExtent l="0" t="0" r="0" b="571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0600" cy="10042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C40BD9" w14:textId="77777777" w:rsidR="00140C92" w:rsidRDefault="00140C92" w:rsidP="00510BF6">
      <w:pPr>
        <w:jc w:val="center"/>
      </w:pPr>
    </w:p>
    <w:p w14:paraId="60878252" w14:textId="0765476E" w:rsidR="00140C92" w:rsidRDefault="00140C92" w:rsidP="00510BF6">
      <w:pPr>
        <w:jc w:val="center"/>
      </w:pPr>
    </w:p>
    <w:p w14:paraId="7628996C" w14:textId="0C03D110" w:rsidR="003C04D4" w:rsidRDefault="003C04D4" w:rsidP="00510BF6">
      <w:pPr>
        <w:jc w:val="center"/>
      </w:pPr>
    </w:p>
    <w:p w14:paraId="0977F941" w14:textId="02C6D4E9" w:rsidR="00140C92" w:rsidRDefault="00140C92" w:rsidP="00510BF6">
      <w:pPr>
        <w:jc w:val="center"/>
      </w:pPr>
    </w:p>
    <w:p w14:paraId="20E2A5CB" w14:textId="31FF2A9A" w:rsidR="00140C92" w:rsidRDefault="00140C92" w:rsidP="00510BF6">
      <w:pPr>
        <w:jc w:val="center"/>
      </w:pPr>
    </w:p>
    <w:p w14:paraId="251215DC" w14:textId="41DD7070" w:rsidR="00140C92" w:rsidRDefault="00140C92" w:rsidP="00510BF6">
      <w:pPr>
        <w:jc w:val="center"/>
      </w:pPr>
    </w:p>
    <w:p w14:paraId="672F5885" w14:textId="36CE4D6F" w:rsidR="00140C92" w:rsidRPr="00140C92" w:rsidRDefault="00140C92" w:rsidP="00510BF6">
      <w:pPr>
        <w:jc w:val="center"/>
        <w:rPr>
          <w:sz w:val="22"/>
          <w:szCs w:val="22"/>
        </w:rPr>
      </w:pPr>
      <w:r w:rsidRPr="00140C92">
        <w:rPr>
          <w:sz w:val="22"/>
          <w:szCs w:val="22"/>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sectPr w:rsidR="00140C92" w:rsidRPr="00140C92" w:rsidSect="001B7AA2">
      <w:headerReference w:type="default" r:id="rId23"/>
      <w:footerReference w:type="default" r:id="rId24"/>
      <w:pgSz w:w="12240" w:h="15840"/>
      <w:pgMar w:top="1801" w:right="1134" w:bottom="1134" w:left="113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BD820" w14:textId="77777777" w:rsidR="001B7AA2" w:rsidRDefault="001B7AA2" w:rsidP="00713123">
      <w:r>
        <w:separator/>
      </w:r>
    </w:p>
  </w:endnote>
  <w:endnote w:type="continuationSeparator" w:id="0">
    <w:p w14:paraId="50FA6A24" w14:textId="77777777" w:rsidR="001B7AA2" w:rsidRDefault="001B7AA2" w:rsidP="0071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B139" w14:textId="77777777" w:rsidR="00D7792D" w:rsidRDefault="00D7792D" w:rsidP="00CF04AD">
    <w:pPr>
      <w:pStyle w:val="Footer"/>
    </w:pPr>
  </w:p>
  <w:p w14:paraId="6CF3D37C" w14:textId="77777777" w:rsidR="00D7792D" w:rsidRDefault="00D7792D">
    <w:pPr>
      <w:pStyle w:val="Footer"/>
      <w:jc w:val="center"/>
    </w:pPr>
  </w:p>
  <w:p w14:paraId="61053EF2" w14:textId="4EBC05D5" w:rsidR="00D7792D" w:rsidRDefault="00D7792D">
    <w:pPr>
      <w:pStyle w:val="Footer"/>
      <w:jc w:val="center"/>
    </w:pPr>
  </w:p>
  <w:p w14:paraId="214CB058" w14:textId="77777777" w:rsidR="00D7792D" w:rsidRDefault="00D7792D">
    <w:pPr>
      <w:pStyle w:val="Footer"/>
      <w:jc w:val="center"/>
    </w:pPr>
  </w:p>
  <w:p w14:paraId="1615DF10" w14:textId="77777777" w:rsidR="00D7792D" w:rsidRDefault="00D7792D">
    <w:pPr>
      <w:pStyle w:val="Footer"/>
      <w:jc w:val="center"/>
    </w:pPr>
  </w:p>
  <w:p w14:paraId="601B1A0A" w14:textId="77777777" w:rsidR="00D7792D" w:rsidRDefault="00B07EFB">
    <w:pPr>
      <w:pStyle w:val="Footer"/>
      <w:jc w:val="center"/>
    </w:pPr>
    <w:r>
      <w:fldChar w:fldCharType="begin"/>
    </w:r>
    <w:r w:rsidR="00D7792D">
      <w:instrText xml:space="preserve"> PAGE   \* MERGEFORMAT </w:instrText>
    </w:r>
    <w:r>
      <w:fldChar w:fldCharType="separate"/>
    </w:r>
    <w:r w:rsidR="00024D94">
      <w:rPr>
        <w:noProof/>
      </w:rPr>
      <w:t>2</w:t>
    </w:r>
    <w:r>
      <w:rPr>
        <w:noProof/>
      </w:rPr>
      <w:fldChar w:fldCharType="end"/>
    </w:r>
  </w:p>
  <w:p w14:paraId="0AC2D870" w14:textId="77777777" w:rsidR="00D7792D" w:rsidRDefault="00D77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2FD54" w14:textId="77777777" w:rsidR="001B7AA2" w:rsidRDefault="001B7AA2" w:rsidP="00713123">
      <w:r>
        <w:separator/>
      </w:r>
    </w:p>
  </w:footnote>
  <w:footnote w:type="continuationSeparator" w:id="0">
    <w:p w14:paraId="3A669D3E" w14:textId="77777777" w:rsidR="001B7AA2" w:rsidRDefault="001B7AA2" w:rsidP="00713123">
      <w:r>
        <w:continuationSeparator/>
      </w:r>
    </w:p>
  </w:footnote>
  <w:footnote w:id="1">
    <w:p w14:paraId="198BA3E3" w14:textId="77777777" w:rsidR="000B1479" w:rsidRPr="00B9116F" w:rsidRDefault="000B1479" w:rsidP="000B1479">
      <w:pPr>
        <w:pStyle w:val="FootnoteText"/>
        <w:rPr>
          <w:rFonts w:cs="Arial"/>
        </w:rPr>
      </w:pPr>
      <w:r w:rsidRPr="00B9116F">
        <w:rPr>
          <w:rStyle w:val="FootnoteReference"/>
          <w:rFonts w:cs="Arial"/>
        </w:rPr>
        <w:footnoteRef/>
      </w:r>
      <w:r w:rsidRPr="00B9116F">
        <w:rPr>
          <w:rFonts w:cs="Arial"/>
        </w:rPr>
        <w:t xml:space="preserve"> Single transport contract for a multimodal journey containing successive transport services. </w:t>
      </w:r>
    </w:p>
  </w:footnote>
  <w:footnote w:id="2">
    <w:p w14:paraId="1D1B0678" w14:textId="77777777" w:rsidR="000B1479" w:rsidRPr="00B9116F" w:rsidRDefault="000B1479" w:rsidP="000B1479">
      <w:pPr>
        <w:pStyle w:val="FootnoteText"/>
        <w:rPr>
          <w:rFonts w:cs="Arial"/>
        </w:rPr>
      </w:pPr>
      <w:r w:rsidRPr="00B9116F">
        <w:rPr>
          <w:rStyle w:val="FootnoteReference"/>
          <w:rFonts w:cs="Arial"/>
        </w:rPr>
        <w:footnoteRef/>
      </w:r>
      <w:r w:rsidRPr="00B9116F">
        <w:rPr>
          <w:rFonts w:cs="Arial"/>
        </w:rPr>
        <w:t xml:space="preserve"> Separate transport contracts combined by a carrier or intermediary that are purchased in a single payment by the passenger.</w:t>
      </w:r>
    </w:p>
  </w:footnote>
  <w:footnote w:id="3">
    <w:p w14:paraId="30D3FC9E" w14:textId="77777777" w:rsidR="000B1479" w:rsidRPr="00B9116F" w:rsidRDefault="000B1479" w:rsidP="000B1479">
      <w:pPr>
        <w:pStyle w:val="FootnoteText"/>
      </w:pPr>
      <w:r w:rsidRPr="00B9116F">
        <w:rPr>
          <w:rStyle w:val="FootnoteReference"/>
          <w:rFonts w:cs="Arial"/>
        </w:rPr>
        <w:footnoteRef/>
      </w:r>
      <w:r w:rsidRPr="00B9116F">
        <w:rPr>
          <w:rFonts w:cs="Arial"/>
        </w:rPr>
        <w:t xml:space="preserve"> Separate transport contracts which are offered together by a carrier or intermediary and are purchased in separate payments.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741F1" w14:textId="77777777" w:rsidR="00D7792D" w:rsidRDefault="00D7792D">
    <w:pPr>
      <w:pStyle w:val="Header"/>
    </w:pPr>
    <w:r>
      <w:rPr>
        <w:noProof/>
        <w:lang w:val="fr-BE" w:eastAsia="fr-BE"/>
      </w:rPr>
      <w:drawing>
        <wp:anchor distT="0" distB="0" distL="114300" distR="114300" simplePos="0" relativeHeight="251658240" behindDoc="0" locked="0" layoutInCell="1" allowOverlap="1" wp14:anchorId="563EF031" wp14:editId="4791660F">
          <wp:simplePos x="0" y="0"/>
          <wp:positionH relativeFrom="column">
            <wp:posOffset>-716280</wp:posOffset>
          </wp:positionH>
          <wp:positionV relativeFrom="paragraph">
            <wp:posOffset>-114935</wp:posOffset>
          </wp:positionV>
          <wp:extent cx="7658100" cy="1081405"/>
          <wp:effectExtent l="0" t="0" r="0" b="4445"/>
          <wp:wrapNone/>
          <wp:docPr id="17434896" name="Picture 3" descr="Description: EDF_HEADER_POSITION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DF_HEADER_POSITIONPAP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1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0B8"/>
    <w:multiLevelType w:val="hybridMultilevel"/>
    <w:tmpl w:val="37B8F8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 w15:restartNumberingAfterBreak="0">
    <w:nsid w:val="1FBB7427"/>
    <w:multiLevelType w:val="hybridMultilevel"/>
    <w:tmpl w:val="A064C7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B12AE8"/>
    <w:multiLevelType w:val="hybridMultilevel"/>
    <w:tmpl w:val="68CCF4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0474842"/>
    <w:multiLevelType w:val="hybridMultilevel"/>
    <w:tmpl w:val="DF0444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46131AE"/>
    <w:multiLevelType w:val="hybridMultilevel"/>
    <w:tmpl w:val="9FF29A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E347F65"/>
    <w:multiLevelType w:val="hybridMultilevel"/>
    <w:tmpl w:val="B2CE0174"/>
    <w:lvl w:ilvl="0" w:tplc="1F241AE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B6704A"/>
    <w:multiLevelType w:val="hybridMultilevel"/>
    <w:tmpl w:val="24E4994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4E973707"/>
    <w:multiLevelType w:val="hybridMultilevel"/>
    <w:tmpl w:val="7C649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2C0E9E"/>
    <w:multiLevelType w:val="hybridMultilevel"/>
    <w:tmpl w:val="DEF0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A780D"/>
    <w:multiLevelType w:val="hybridMultilevel"/>
    <w:tmpl w:val="BAE8F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CD00DA"/>
    <w:multiLevelType w:val="hybridMultilevel"/>
    <w:tmpl w:val="456EEABE"/>
    <w:lvl w:ilvl="0" w:tplc="4642B8A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12501"/>
    <w:multiLevelType w:val="hybridMultilevel"/>
    <w:tmpl w:val="FA48364C"/>
    <w:lvl w:ilvl="0" w:tplc="080C000B">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B306234"/>
    <w:multiLevelType w:val="hybridMultilevel"/>
    <w:tmpl w:val="84B248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3875054">
    <w:abstractNumId w:val="12"/>
  </w:num>
  <w:num w:numId="2" w16cid:durableId="1042435638">
    <w:abstractNumId w:val="5"/>
  </w:num>
  <w:num w:numId="3" w16cid:durableId="1714573108">
    <w:abstractNumId w:val="3"/>
  </w:num>
  <w:num w:numId="4" w16cid:durableId="75134366">
    <w:abstractNumId w:val="9"/>
  </w:num>
  <w:num w:numId="5" w16cid:durableId="1302925528">
    <w:abstractNumId w:val="4"/>
  </w:num>
  <w:num w:numId="6" w16cid:durableId="1441298636">
    <w:abstractNumId w:val="11"/>
  </w:num>
  <w:num w:numId="7" w16cid:durableId="903679343">
    <w:abstractNumId w:val="13"/>
  </w:num>
  <w:num w:numId="8" w16cid:durableId="689995023">
    <w:abstractNumId w:val="6"/>
  </w:num>
  <w:num w:numId="9" w16cid:durableId="2117406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0328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1442235">
    <w:abstractNumId w:val="1"/>
  </w:num>
  <w:num w:numId="12" w16cid:durableId="2031251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527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454316">
    <w:abstractNumId w:val="10"/>
  </w:num>
  <w:num w:numId="15" w16cid:durableId="2055932448">
    <w:abstractNumId w:val="8"/>
  </w:num>
  <w:num w:numId="16" w16cid:durableId="1598292855">
    <w:abstractNumId w:val="0"/>
  </w:num>
  <w:num w:numId="17" w16cid:durableId="597296930">
    <w:abstractNumId w:val="7"/>
  </w:num>
  <w:num w:numId="18" w16cid:durableId="4677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A3"/>
    <w:rsid w:val="000013A6"/>
    <w:rsid w:val="0000376A"/>
    <w:rsid w:val="00012058"/>
    <w:rsid w:val="00014906"/>
    <w:rsid w:val="000176DD"/>
    <w:rsid w:val="00024D94"/>
    <w:rsid w:val="00024E66"/>
    <w:rsid w:val="000334DE"/>
    <w:rsid w:val="00033FEA"/>
    <w:rsid w:val="00035C53"/>
    <w:rsid w:val="000449D9"/>
    <w:rsid w:val="00046E92"/>
    <w:rsid w:val="00046EF6"/>
    <w:rsid w:val="000527BF"/>
    <w:rsid w:val="00057688"/>
    <w:rsid w:val="000703C2"/>
    <w:rsid w:val="00071B60"/>
    <w:rsid w:val="0007345A"/>
    <w:rsid w:val="00077F61"/>
    <w:rsid w:val="0008383E"/>
    <w:rsid w:val="000904BC"/>
    <w:rsid w:val="00090798"/>
    <w:rsid w:val="00097DF0"/>
    <w:rsid w:val="000A206D"/>
    <w:rsid w:val="000A2A45"/>
    <w:rsid w:val="000A3286"/>
    <w:rsid w:val="000A420C"/>
    <w:rsid w:val="000A43CD"/>
    <w:rsid w:val="000B1479"/>
    <w:rsid w:val="000B7079"/>
    <w:rsid w:val="000C45E7"/>
    <w:rsid w:val="000D1DD3"/>
    <w:rsid w:val="000E1F67"/>
    <w:rsid w:val="000F127C"/>
    <w:rsid w:val="000F4AB9"/>
    <w:rsid w:val="00102DD2"/>
    <w:rsid w:val="0010365A"/>
    <w:rsid w:val="0010443E"/>
    <w:rsid w:val="00107AB2"/>
    <w:rsid w:val="001104DF"/>
    <w:rsid w:val="00112C78"/>
    <w:rsid w:val="00114151"/>
    <w:rsid w:val="00115C82"/>
    <w:rsid w:val="0012516D"/>
    <w:rsid w:val="00127997"/>
    <w:rsid w:val="001279C5"/>
    <w:rsid w:val="00131F3F"/>
    <w:rsid w:val="00133420"/>
    <w:rsid w:val="001336BF"/>
    <w:rsid w:val="00140C92"/>
    <w:rsid w:val="00144A47"/>
    <w:rsid w:val="00146723"/>
    <w:rsid w:val="0015035E"/>
    <w:rsid w:val="00151D7F"/>
    <w:rsid w:val="00151FBA"/>
    <w:rsid w:val="001527F3"/>
    <w:rsid w:val="001559E9"/>
    <w:rsid w:val="00156CE4"/>
    <w:rsid w:val="00162B87"/>
    <w:rsid w:val="00165C74"/>
    <w:rsid w:val="0017220B"/>
    <w:rsid w:val="00174153"/>
    <w:rsid w:val="001756D7"/>
    <w:rsid w:val="001774A5"/>
    <w:rsid w:val="0018436F"/>
    <w:rsid w:val="0018468C"/>
    <w:rsid w:val="0018598A"/>
    <w:rsid w:val="00191413"/>
    <w:rsid w:val="0019725C"/>
    <w:rsid w:val="001A05FE"/>
    <w:rsid w:val="001A0B19"/>
    <w:rsid w:val="001A1E05"/>
    <w:rsid w:val="001A661F"/>
    <w:rsid w:val="001A7B89"/>
    <w:rsid w:val="001B3BC7"/>
    <w:rsid w:val="001B4348"/>
    <w:rsid w:val="001B5945"/>
    <w:rsid w:val="001B7AA2"/>
    <w:rsid w:val="001C2229"/>
    <w:rsid w:val="001C43AD"/>
    <w:rsid w:val="001D3EA2"/>
    <w:rsid w:val="001D6302"/>
    <w:rsid w:val="001D7842"/>
    <w:rsid w:val="001E02FA"/>
    <w:rsid w:val="001E1B55"/>
    <w:rsid w:val="001E4079"/>
    <w:rsid w:val="001E7B97"/>
    <w:rsid w:val="001F21B2"/>
    <w:rsid w:val="00204084"/>
    <w:rsid w:val="00206A59"/>
    <w:rsid w:val="0021008D"/>
    <w:rsid w:val="0022169C"/>
    <w:rsid w:val="00221B1E"/>
    <w:rsid w:val="00222B10"/>
    <w:rsid w:val="00225C5D"/>
    <w:rsid w:val="00230FEE"/>
    <w:rsid w:val="0023691F"/>
    <w:rsid w:val="002451C7"/>
    <w:rsid w:val="002469BE"/>
    <w:rsid w:val="002519FB"/>
    <w:rsid w:val="00251B4A"/>
    <w:rsid w:val="00252E81"/>
    <w:rsid w:val="00254AE9"/>
    <w:rsid w:val="00262F8C"/>
    <w:rsid w:val="002710C1"/>
    <w:rsid w:val="00283FFE"/>
    <w:rsid w:val="002872CA"/>
    <w:rsid w:val="00291F95"/>
    <w:rsid w:val="002946CA"/>
    <w:rsid w:val="002A2989"/>
    <w:rsid w:val="002A432F"/>
    <w:rsid w:val="002A5225"/>
    <w:rsid w:val="002A6F34"/>
    <w:rsid w:val="002B10D1"/>
    <w:rsid w:val="002B5B8F"/>
    <w:rsid w:val="002B6F71"/>
    <w:rsid w:val="002C0635"/>
    <w:rsid w:val="002C1562"/>
    <w:rsid w:val="002C7839"/>
    <w:rsid w:val="002D1F1F"/>
    <w:rsid w:val="002D4B48"/>
    <w:rsid w:val="002D51ED"/>
    <w:rsid w:val="002D6A04"/>
    <w:rsid w:val="002D6CA4"/>
    <w:rsid w:val="002E18E1"/>
    <w:rsid w:val="002E7969"/>
    <w:rsid w:val="002E7E35"/>
    <w:rsid w:val="002F2335"/>
    <w:rsid w:val="002F378C"/>
    <w:rsid w:val="002F4304"/>
    <w:rsid w:val="003015B5"/>
    <w:rsid w:val="0030679B"/>
    <w:rsid w:val="00307440"/>
    <w:rsid w:val="00312270"/>
    <w:rsid w:val="00313D8F"/>
    <w:rsid w:val="0031643E"/>
    <w:rsid w:val="003164A3"/>
    <w:rsid w:val="00322EA5"/>
    <w:rsid w:val="003267E9"/>
    <w:rsid w:val="00326DCC"/>
    <w:rsid w:val="003353C6"/>
    <w:rsid w:val="00336D01"/>
    <w:rsid w:val="003478CC"/>
    <w:rsid w:val="00355E97"/>
    <w:rsid w:val="00360F73"/>
    <w:rsid w:val="003652B0"/>
    <w:rsid w:val="00372578"/>
    <w:rsid w:val="003747D9"/>
    <w:rsid w:val="00377D66"/>
    <w:rsid w:val="003823FE"/>
    <w:rsid w:val="0038443A"/>
    <w:rsid w:val="0038600B"/>
    <w:rsid w:val="00392CAD"/>
    <w:rsid w:val="00392D0F"/>
    <w:rsid w:val="00393AEE"/>
    <w:rsid w:val="003A0208"/>
    <w:rsid w:val="003A0276"/>
    <w:rsid w:val="003A0912"/>
    <w:rsid w:val="003A23BF"/>
    <w:rsid w:val="003A5A11"/>
    <w:rsid w:val="003B6E3F"/>
    <w:rsid w:val="003C04D4"/>
    <w:rsid w:val="003C25A8"/>
    <w:rsid w:val="003D1B14"/>
    <w:rsid w:val="003E4098"/>
    <w:rsid w:val="003F2B4C"/>
    <w:rsid w:val="00400EB6"/>
    <w:rsid w:val="0040137A"/>
    <w:rsid w:val="00401D6D"/>
    <w:rsid w:val="00403150"/>
    <w:rsid w:val="00405764"/>
    <w:rsid w:val="00405F3D"/>
    <w:rsid w:val="0041231C"/>
    <w:rsid w:val="004150C9"/>
    <w:rsid w:val="00417C41"/>
    <w:rsid w:val="0042014B"/>
    <w:rsid w:val="00421D83"/>
    <w:rsid w:val="00431AE5"/>
    <w:rsid w:val="00437B0B"/>
    <w:rsid w:val="004407D9"/>
    <w:rsid w:val="004439D1"/>
    <w:rsid w:val="00447D8C"/>
    <w:rsid w:val="00450AD2"/>
    <w:rsid w:val="00453587"/>
    <w:rsid w:val="004573B0"/>
    <w:rsid w:val="00462109"/>
    <w:rsid w:val="00466664"/>
    <w:rsid w:val="00472C89"/>
    <w:rsid w:val="004747F0"/>
    <w:rsid w:val="00476130"/>
    <w:rsid w:val="0048107F"/>
    <w:rsid w:val="00481DF6"/>
    <w:rsid w:val="004878BC"/>
    <w:rsid w:val="00493E5A"/>
    <w:rsid w:val="004A0D0F"/>
    <w:rsid w:val="004A500C"/>
    <w:rsid w:val="004C1593"/>
    <w:rsid w:val="004C1825"/>
    <w:rsid w:val="004C3053"/>
    <w:rsid w:val="004C7F88"/>
    <w:rsid w:val="004D04CA"/>
    <w:rsid w:val="004D13BF"/>
    <w:rsid w:val="004D2449"/>
    <w:rsid w:val="004D4247"/>
    <w:rsid w:val="004D571B"/>
    <w:rsid w:val="004E37C8"/>
    <w:rsid w:val="004E3B9F"/>
    <w:rsid w:val="004E43A6"/>
    <w:rsid w:val="004E545A"/>
    <w:rsid w:val="005003FD"/>
    <w:rsid w:val="0050069C"/>
    <w:rsid w:val="00505DA1"/>
    <w:rsid w:val="005066EF"/>
    <w:rsid w:val="0050711F"/>
    <w:rsid w:val="00510BF6"/>
    <w:rsid w:val="00511B0F"/>
    <w:rsid w:val="00517718"/>
    <w:rsid w:val="00525103"/>
    <w:rsid w:val="005251C9"/>
    <w:rsid w:val="00530738"/>
    <w:rsid w:val="005308C4"/>
    <w:rsid w:val="00531391"/>
    <w:rsid w:val="00534A10"/>
    <w:rsid w:val="00545660"/>
    <w:rsid w:val="00546C7B"/>
    <w:rsid w:val="00547377"/>
    <w:rsid w:val="005529B1"/>
    <w:rsid w:val="00554516"/>
    <w:rsid w:val="00562792"/>
    <w:rsid w:val="00566909"/>
    <w:rsid w:val="00570E6C"/>
    <w:rsid w:val="005727E5"/>
    <w:rsid w:val="00574838"/>
    <w:rsid w:val="00577687"/>
    <w:rsid w:val="00584E9B"/>
    <w:rsid w:val="0059322B"/>
    <w:rsid w:val="00593E79"/>
    <w:rsid w:val="005A73FA"/>
    <w:rsid w:val="005B0A77"/>
    <w:rsid w:val="005B466D"/>
    <w:rsid w:val="005B7CBF"/>
    <w:rsid w:val="005C4A88"/>
    <w:rsid w:val="005C5AAF"/>
    <w:rsid w:val="005C701C"/>
    <w:rsid w:val="005D440C"/>
    <w:rsid w:val="005D5E10"/>
    <w:rsid w:val="005D68E9"/>
    <w:rsid w:val="005E1D4B"/>
    <w:rsid w:val="005E1E78"/>
    <w:rsid w:val="005E325E"/>
    <w:rsid w:val="005F4926"/>
    <w:rsid w:val="00603E63"/>
    <w:rsid w:val="00603F95"/>
    <w:rsid w:val="006055B8"/>
    <w:rsid w:val="00614254"/>
    <w:rsid w:val="006155C4"/>
    <w:rsid w:val="00621305"/>
    <w:rsid w:val="006224BE"/>
    <w:rsid w:val="006224C2"/>
    <w:rsid w:val="00633B47"/>
    <w:rsid w:val="0065555C"/>
    <w:rsid w:val="0065702A"/>
    <w:rsid w:val="00657554"/>
    <w:rsid w:val="00660404"/>
    <w:rsid w:val="00661D38"/>
    <w:rsid w:val="006629B4"/>
    <w:rsid w:val="00673C82"/>
    <w:rsid w:val="00677A98"/>
    <w:rsid w:val="006841A6"/>
    <w:rsid w:val="0068542D"/>
    <w:rsid w:val="0068783D"/>
    <w:rsid w:val="00694C89"/>
    <w:rsid w:val="00697CEB"/>
    <w:rsid w:val="006A58F8"/>
    <w:rsid w:val="006A58FF"/>
    <w:rsid w:val="006A5D49"/>
    <w:rsid w:val="006C08FE"/>
    <w:rsid w:val="006C1386"/>
    <w:rsid w:val="006C14A5"/>
    <w:rsid w:val="006C358E"/>
    <w:rsid w:val="006C527A"/>
    <w:rsid w:val="006C7FF9"/>
    <w:rsid w:val="006E4C04"/>
    <w:rsid w:val="006E5153"/>
    <w:rsid w:val="006F2D76"/>
    <w:rsid w:val="006F65DE"/>
    <w:rsid w:val="006F7334"/>
    <w:rsid w:val="00700268"/>
    <w:rsid w:val="00703943"/>
    <w:rsid w:val="00705D15"/>
    <w:rsid w:val="00711F74"/>
    <w:rsid w:val="00712D97"/>
    <w:rsid w:val="00713123"/>
    <w:rsid w:val="007131A2"/>
    <w:rsid w:val="00720F58"/>
    <w:rsid w:val="00721C13"/>
    <w:rsid w:val="00722E65"/>
    <w:rsid w:val="0072465C"/>
    <w:rsid w:val="00725DA9"/>
    <w:rsid w:val="00730438"/>
    <w:rsid w:val="00730AFC"/>
    <w:rsid w:val="00732F53"/>
    <w:rsid w:val="00735459"/>
    <w:rsid w:val="00737DDB"/>
    <w:rsid w:val="00744C46"/>
    <w:rsid w:val="00745963"/>
    <w:rsid w:val="00746502"/>
    <w:rsid w:val="007471D3"/>
    <w:rsid w:val="00750D12"/>
    <w:rsid w:val="00750F3D"/>
    <w:rsid w:val="007529BE"/>
    <w:rsid w:val="00761858"/>
    <w:rsid w:val="0076537E"/>
    <w:rsid w:val="0078457A"/>
    <w:rsid w:val="0079041F"/>
    <w:rsid w:val="007929B4"/>
    <w:rsid w:val="007A14BC"/>
    <w:rsid w:val="007A16F1"/>
    <w:rsid w:val="007A507B"/>
    <w:rsid w:val="007B01A9"/>
    <w:rsid w:val="007C0DC0"/>
    <w:rsid w:val="007C1544"/>
    <w:rsid w:val="007C16AF"/>
    <w:rsid w:val="007D0759"/>
    <w:rsid w:val="007D0A98"/>
    <w:rsid w:val="007D0B97"/>
    <w:rsid w:val="007D3332"/>
    <w:rsid w:val="007D4C09"/>
    <w:rsid w:val="007E3BB5"/>
    <w:rsid w:val="00801753"/>
    <w:rsid w:val="00803AB0"/>
    <w:rsid w:val="00826436"/>
    <w:rsid w:val="00826511"/>
    <w:rsid w:val="00830CCE"/>
    <w:rsid w:val="0083652B"/>
    <w:rsid w:val="008367C0"/>
    <w:rsid w:val="00836D87"/>
    <w:rsid w:val="00847FD3"/>
    <w:rsid w:val="0085561F"/>
    <w:rsid w:val="00855824"/>
    <w:rsid w:val="00857578"/>
    <w:rsid w:val="0086065A"/>
    <w:rsid w:val="00867A53"/>
    <w:rsid w:val="00870025"/>
    <w:rsid w:val="00872C49"/>
    <w:rsid w:val="008767D4"/>
    <w:rsid w:val="00883D21"/>
    <w:rsid w:val="0088561E"/>
    <w:rsid w:val="00887636"/>
    <w:rsid w:val="00887E6C"/>
    <w:rsid w:val="008A7A97"/>
    <w:rsid w:val="008B0164"/>
    <w:rsid w:val="008B7AE1"/>
    <w:rsid w:val="008C11C7"/>
    <w:rsid w:val="008D13B0"/>
    <w:rsid w:val="008D329F"/>
    <w:rsid w:val="008D3B33"/>
    <w:rsid w:val="008D4353"/>
    <w:rsid w:val="008D5A01"/>
    <w:rsid w:val="008E1F16"/>
    <w:rsid w:val="008E3764"/>
    <w:rsid w:val="008F3605"/>
    <w:rsid w:val="008F59A1"/>
    <w:rsid w:val="008F652B"/>
    <w:rsid w:val="008F7F6D"/>
    <w:rsid w:val="00910BF8"/>
    <w:rsid w:val="0091555F"/>
    <w:rsid w:val="00916844"/>
    <w:rsid w:val="009200BB"/>
    <w:rsid w:val="00923896"/>
    <w:rsid w:val="00926D33"/>
    <w:rsid w:val="00933747"/>
    <w:rsid w:val="0093622D"/>
    <w:rsid w:val="009407D7"/>
    <w:rsid w:val="0094184F"/>
    <w:rsid w:val="009507F7"/>
    <w:rsid w:val="0095281F"/>
    <w:rsid w:val="009537D7"/>
    <w:rsid w:val="00954719"/>
    <w:rsid w:val="00954A21"/>
    <w:rsid w:val="00956C9B"/>
    <w:rsid w:val="009579DD"/>
    <w:rsid w:val="009624E4"/>
    <w:rsid w:val="00964CBC"/>
    <w:rsid w:val="00966B80"/>
    <w:rsid w:val="0097012A"/>
    <w:rsid w:val="009710B6"/>
    <w:rsid w:val="0097692A"/>
    <w:rsid w:val="009804E5"/>
    <w:rsid w:val="00985B1A"/>
    <w:rsid w:val="00985F27"/>
    <w:rsid w:val="00986151"/>
    <w:rsid w:val="00991644"/>
    <w:rsid w:val="00993EC3"/>
    <w:rsid w:val="00994B76"/>
    <w:rsid w:val="009A0CEE"/>
    <w:rsid w:val="009A1B94"/>
    <w:rsid w:val="009B151F"/>
    <w:rsid w:val="009B4606"/>
    <w:rsid w:val="009B5EAC"/>
    <w:rsid w:val="009C0EC4"/>
    <w:rsid w:val="009C29A9"/>
    <w:rsid w:val="009D25DA"/>
    <w:rsid w:val="009D3708"/>
    <w:rsid w:val="009D4E33"/>
    <w:rsid w:val="009D6415"/>
    <w:rsid w:val="009D7499"/>
    <w:rsid w:val="009D7DC0"/>
    <w:rsid w:val="009E1D78"/>
    <w:rsid w:val="009E27D3"/>
    <w:rsid w:val="009F0897"/>
    <w:rsid w:val="009F1153"/>
    <w:rsid w:val="009F394B"/>
    <w:rsid w:val="009F466A"/>
    <w:rsid w:val="00A052EA"/>
    <w:rsid w:val="00A15683"/>
    <w:rsid w:val="00A156C6"/>
    <w:rsid w:val="00A17E4D"/>
    <w:rsid w:val="00A21EA7"/>
    <w:rsid w:val="00A25B36"/>
    <w:rsid w:val="00A267B0"/>
    <w:rsid w:val="00A320FF"/>
    <w:rsid w:val="00A35347"/>
    <w:rsid w:val="00A3654C"/>
    <w:rsid w:val="00A37685"/>
    <w:rsid w:val="00A47010"/>
    <w:rsid w:val="00A55A79"/>
    <w:rsid w:val="00A633BB"/>
    <w:rsid w:val="00A64E83"/>
    <w:rsid w:val="00A659CC"/>
    <w:rsid w:val="00A65BF2"/>
    <w:rsid w:val="00A740EE"/>
    <w:rsid w:val="00A74C76"/>
    <w:rsid w:val="00A76426"/>
    <w:rsid w:val="00A8378B"/>
    <w:rsid w:val="00A90AAD"/>
    <w:rsid w:val="00A9452E"/>
    <w:rsid w:val="00A960CB"/>
    <w:rsid w:val="00AA0E02"/>
    <w:rsid w:val="00AA1856"/>
    <w:rsid w:val="00AB0216"/>
    <w:rsid w:val="00AB745F"/>
    <w:rsid w:val="00AC1564"/>
    <w:rsid w:val="00AC2401"/>
    <w:rsid w:val="00AD0811"/>
    <w:rsid w:val="00AD1A0C"/>
    <w:rsid w:val="00AD311F"/>
    <w:rsid w:val="00AD44C8"/>
    <w:rsid w:val="00AD77BB"/>
    <w:rsid w:val="00AE31F1"/>
    <w:rsid w:val="00AE37EB"/>
    <w:rsid w:val="00AE7AAD"/>
    <w:rsid w:val="00AF1204"/>
    <w:rsid w:val="00AF38EC"/>
    <w:rsid w:val="00AF5CBF"/>
    <w:rsid w:val="00B0224D"/>
    <w:rsid w:val="00B0497F"/>
    <w:rsid w:val="00B04D70"/>
    <w:rsid w:val="00B07EFB"/>
    <w:rsid w:val="00B11E57"/>
    <w:rsid w:val="00B13032"/>
    <w:rsid w:val="00B15180"/>
    <w:rsid w:val="00B22453"/>
    <w:rsid w:val="00B225DD"/>
    <w:rsid w:val="00B24156"/>
    <w:rsid w:val="00B3448E"/>
    <w:rsid w:val="00B50534"/>
    <w:rsid w:val="00B53082"/>
    <w:rsid w:val="00B54A0F"/>
    <w:rsid w:val="00B64F6E"/>
    <w:rsid w:val="00B7163F"/>
    <w:rsid w:val="00B72276"/>
    <w:rsid w:val="00B77F3D"/>
    <w:rsid w:val="00B909D6"/>
    <w:rsid w:val="00B90FCB"/>
    <w:rsid w:val="00B936EA"/>
    <w:rsid w:val="00B95240"/>
    <w:rsid w:val="00B96672"/>
    <w:rsid w:val="00B96DC6"/>
    <w:rsid w:val="00BC566D"/>
    <w:rsid w:val="00BD2BA2"/>
    <w:rsid w:val="00BD392F"/>
    <w:rsid w:val="00BD4908"/>
    <w:rsid w:val="00BD6F0D"/>
    <w:rsid w:val="00BE0055"/>
    <w:rsid w:val="00BE1D93"/>
    <w:rsid w:val="00BE480E"/>
    <w:rsid w:val="00BE72C7"/>
    <w:rsid w:val="00BF144E"/>
    <w:rsid w:val="00C0787B"/>
    <w:rsid w:val="00C33C81"/>
    <w:rsid w:val="00C34207"/>
    <w:rsid w:val="00C456F1"/>
    <w:rsid w:val="00C46502"/>
    <w:rsid w:val="00C46874"/>
    <w:rsid w:val="00C501CC"/>
    <w:rsid w:val="00C5225C"/>
    <w:rsid w:val="00C52659"/>
    <w:rsid w:val="00C550CD"/>
    <w:rsid w:val="00C56219"/>
    <w:rsid w:val="00C6543A"/>
    <w:rsid w:val="00C66002"/>
    <w:rsid w:val="00C70CFA"/>
    <w:rsid w:val="00C806BA"/>
    <w:rsid w:val="00C87093"/>
    <w:rsid w:val="00C87C7C"/>
    <w:rsid w:val="00C958D3"/>
    <w:rsid w:val="00CA4DC8"/>
    <w:rsid w:val="00CA5DFA"/>
    <w:rsid w:val="00CA78CB"/>
    <w:rsid w:val="00CC7085"/>
    <w:rsid w:val="00CC7C8B"/>
    <w:rsid w:val="00CD27BD"/>
    <w:rsid w:val="00CD2FF3"/>
    <w:rsid w:val="00CD3B73"/>
    <w:rsid w:val="00CD7A9F"/>
    <w:rsid w:val="00CE048E"/>
    <w:rsid w:val="00CE0C42"/>
    <w:rsid w:val="00CE20F4"/>
    <w:rsid w:val="00CE2426"/>
    <w:rsid w:val="00CE6667"/>
    <w:rsid w:val="00CF04AD"/>
    <w:rsid w:val="00CF3059"/>
    <w:rsid w:val="00CF46DF"/>
    <w:rsid w:val="00CF4E31"/>
    <w:rsid w:val="00CF7192"/>
    <w:rsid w:val="00D0085A"/>
    <w:rsid w:val="00D00BB4"/>
    <w:rsid w:val="00D06CF7"/>
    <w:rsid w:val="00D0766C"/>
    <w:rsid w:val="00D102D3"/>
    <w:rsid w:val="00D11B74"/>
    <w:rsid w:val="00D120F2"/>
    <w:rsid w:val="00D122C9"/>
    <w:rsid w:val="00D237EE"/>
    <w:rsid w:val="00D30A55"/>
    <w:rsid w:val="00D324B8"/>
    <w:rsid w:val="00D36E11"/>
    <w:rsid w:val="00D40546"/>
    <w:rsid w:val="00D449BD"/>
    <w:rsid w:val="00D52120"/>
    <w:rsid w:val="00D61CF4"/>
    <w:rsid w:val="00D65F1C"/>
    <w:rsid w:val="00D67E80"/>
    <w:rsid w:val="00D71308"/>
    <w:rsid w:val="00D73FC4"/>
    <w:rsid w:val="00D7486C"/>
    <w:rsid w:val="00D74E71"/>
    <w:rsid w:val="00D7792D"/>
    <w:rsid w:val="00D8530B"/>
    <w:rsid w:val="00D91B34"/>
    <w:rsid w:val="00DA01FA"/>
    <w:rsid w:val="00DA0617"/>
    <w:rsid w:val="00DA0E4B"/>
    <w:rsid w:val="00DA1B69"/>
    <w:rsid w:val="00DA4E8A"/>
    <w:rsid w:val="00DB125A"/>
    <w:rsid w:val="00DB26AC"/>
    <w:rsid w:val="00DB6F08"/>
    <w:rsid w:val="00DB70DD"/>
    <w:rsid w:val="00DC03F1"/>
    <w:rsid w:val="00DC2DCD"/>
    <w:rsid w:val="00DD1A93"/>
    <w:rsid w:val="00DD63AF"/>
    <w:rsid w:val="00DE15EC"/>
    <w:rsid w:val="00DE4025"/>
    <w:rsid w:val="00DF5F2E"/>
    <w:rsid w:val="00DF78E4"/>
    <w:rsid w:val="00E04CFE"/>
    <w:rsid w:val="00E07C13"/>
    <w:rsid w:val="00E12CCF"/>
    <w:rsid w:val="00E15B48"/>
    <w:rsid w:val="00E16BCE"/>
    <w:rsid w:val="00E16CD1"/>
    <w:rsid w:val="00E17397"/>
    <w:rsid w:val="00E22099"/>
    <w:rsid w:val="00E25209"/>
    <w:rsid w:val="00E2543C"/>
    <w:rsid w:val="00E27256"/>
    <w:rsid w:val="00E30A88"/>
    <w:rsid w:val="00E31B21"/>
    <w:rsid w:val="00E332E3"/>
    <w:rsid w:val="00E3534B"/>
    <w:rsid w:val="00E35B67"/>
    <w:rsid w:val="00E43A53"/>
    <w:rsid w:val="00E44E2F"/>
    <w:rsid w:val="00E4636D"/>
    <w:rsid w:val="00E467AF"/>
    <w:rsid w:val="00E50E89"/>
    <w:rsid w:val="00E52D43"/>
    <w:rsid w:val="00E555E1"/>
    <w:rsid w:val="00E66456"/>
    <w:rsid w:val="00E6782D"/>
    <w:rsid w:val="00E761E5"/>
    <w:rsid w:val="00E80CB1"/>
    <w:rsid w:val="00E84FB1"/>
    <w:rsid w:val="00E85380"/>
    <w:rsid w:val="00E9763D"/>
    <w:rsid w:val="00EA001D"/>
    <w:rsid w:val="00EA2B70"/>
    <w:rsid w:val="00EA42D6"/>
    <w:rsid w:val="00EA498C"/>
    <w:rsid w:val="00EB123F"/>
    <w:rsid w:val="00EB3CB1"/>
    <w:rsid w:val="00EB5E30"/>
    <w:rsid w:val="00EC6750"/>
    <w:rsid w:val="00EC6A18"/>
    <w:rsid w:val="00EE39A0"/>
    <w:rsid w:val="00EE42A8"/>
    <w:rsid w:val="00EE5809"/>
    <w:rsid w:val="00EE6ADA"/>
    <w:rsid w:val="00EF15E4"/>
    <w:rsid w:val="00EF2242"/>
    <w:rsid w:val="00EF2A26"/>
    <w:rsid w:val="00EF2B8C"/>
    <w:rsid w:val="00EF6C38"/>
    <w:rsid w:val="00F07DE0"/>
    <w:rsid w:val="00F133E8"/>
    <w:rsid w:val="00F15706"/>
    <w:rsid w:val="00F158DA"/>
    <w:rsid w:val="00F2383A"/>
    <w:rsid w:val="00F251D5"/>
    <w:rsid w:val="00F30204"/>
    <w:rsid w:val="00F3454D"/>
    <w:rsid w:val="00F40E0B"/>
    <w:rsid w:val="00F410AA"/>
    <w:rsid w:val="00F53C18"/>
    <w:rsid w:val="00F57824"/>
    <w:rsid w:val="00F66BD4"/>
    <w:rsid w:val="00F7379F"/>
    <w:rsid w:val="00F82024"/>
    <w:rsid w:val="00F82447"/>
    <w:rsid w:val="00F829A6"/>
    <w:rsid w:val="00F853A9"/>
    <w:rsid w:val="00F92431"/>
    <w:rsid w:val="00F925E8"/>
    <w:rsid w:val="00FA18A2"/>
    <w:rsid w:val="00FA190D"/>
    <w:rsid w:val="00FA2074"/>
    <w:rsid w:val="00FA2D95"/>
    <w:rsid w:val="00FA4C1B"/>
    <w:rsid w:val="00FA7DBA"/>
    <w:rsid w:val="00FB1575"/>
    <w:rsid w:val="00FB26AA"/>
    <w:rsid w:val="00FB5594"/>
    <w:rsid w:val="00FB7BFF"/>
    <w:rsid w:val="00FD136C"/>
    <w:rsid w:val="00FD36C6"/>
    <w:rsid w:val="00FD55D0"/>
    <w:rsid w:val="00FD5DE3"/>
    <w:rsid w:val="00FE09EB"/>
    <w:rsid w:val="00FF03BC"/>
    <w:rsid w:val="00FF72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9E65B1"/>
  <w15:docId w15:val="{7B19C07F-601B-4065-BC88-46B1FE27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D3"/>
    <w:rPr>
      <w:rFonts w:ascii="Arial" w:hAnsi="Arial"/>
      <w:sz w:val="24"/>
      <w:szCs w:val="24"/>
      <w:lang w:val="en-GB"/>
    </w:rPr>
  </w:style>
  <w:style w:type="paragraph" w:styleId="Heading1">
    <w:name w:val="heading 1"/>
    <w:basedOn w:val="Normal"/>
    <w:next w:val="Normal"/>
    <w:link w:val="Heading1Char"/>
    <w:autoRedefine/>
    <w:uiPriority w:val="9"/>
    <w:qFormat/>
    <w:rsid w:val="00046E92"/>
    <w:pPr>
      <w:keepNext/>
      <w:keepLines/>
      <w:spacing w:before="480"/>
      <w:outlineLvl w:val="0"/>
    </w:pPr>
    <w:rPr>
      <w:rFonts w:eastAsiaTheme="majorEastAsia" w:cstheme="majorBidi"/>
      <w:b/>
      <w:bCs/>
      <w:color w:val="0A77B3"/>
      <w:sz w:val="32"/>
      <w:szCs w:val="28"/>
    </w:rPr>
  </w:style>
  <w:style w:type="paragraph" w:styleId="Heading2">
    <w:name w:val="heading 2"/>
    <w:basedOn w:val="Normal"/>
    <w:next w:val="Normal"/>
    <w:link w:val="Heading2Char"/>
    <w:autoRedefine/>
    <w:uiPriority w:val="9"/>
    <w:unhideWhenUsed/>
    <w:qFormat/>
    <w:rsid w:val="008D3B33"/>
    <w:pPr>
      <w:keepNext/>
      <w:keepLines/>
      <w:spacing w:before="200"/>
      <w:outlineLvl w:val="1"/>
    </w:pPr>
    <w:rPr>
      <w:rFonts w:eastAsiaTheme="majorEastAsia" w:cstheme="majorBidi"/>
      <w:b/>
      <w:bCs/>
      <w:color w:val="0A77B3"/>
      <w:sz w:val="28"/>
      <w:szCs w:val="26"/>
    </w:rPr>
  </w:style>
  <w:style w:type="paragraph" w:styleId="Heading5">
    <w:name w:val="heading 5"/>
    <w:basedOn w:val="Normal"/>
    <w:next w:val="Normal"/>
    <w:autoRedefine/>
    <w:qFormat/>
    <w:rsid w:val="00C958D3"/>
    <w:pPr>
      <w:keepNext/>
      <w:jc w:val="center"/>
      <w:outlineLvl w:val="4"/>
    </w:pPr>
    <w:rPr>
      <w:b/>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15402"/>
    <w:rPr>
      <w:color w:val="0000FF"/>
      <w:u w:val="single"/>
    </w:rPr>
  </w:style>
  <w:style w:type="paragraph" w:customStyle="1" w:styleId="txt1">
    <w:name w:val="txt1"/>
    <w:basedOn w:val="Normal"/>
    <w:rsid w:val="00215402"/>
    <w:pPr>
      <w:spacing w:before="100" w:beforeAutospacing="1" w:after="100" w:afterAutospacing="1"/>
    </w:pPr>
  </w:style>
  <w:style w:type="character" w:styleId="Strong">
    <w:name w:val="Strong"/>
    <w:qFormat/>
    <w:rsid w:val="00215402"/>
    <w:rPr>
      <w:b/>
      <w:bCs/>
    </w:rPr>
  </w:style>
  <w:style w:type="character" w:customStyle="1" w:styleId="Helena">
    <w:name w:val="Helena"/>
    <w:semiHidden/>
    <w:rsid w:val="00215402"/>
    <w:rPr>
      <w:rFonts w:ascii="Arial" w:hAnsi="Arial" w:cs="Arial" w:hint="default"/>
      <w:color w:val="000000"/>
      <w:sz w:val="24"/>
      <w:szCs w:val="24"/>
    </w:rPr>
  </w:style>
  <w:style w:type="character" w:styleId="FollowedHyperlink">
    <w:name w:val="FollowedHyperlink"/>
    <w:rsid w:val="00215402"/>
    <w:rPr>
      <w:color w:val="800080"/>
      <w:u w:val="single"/>
    </w:rPr>
  </w:style>
  <w:style w:type="paragraph" w:styleId="BalloonText">
    <w:name w:val="Balloon Text"/>
    <w:basedOn w:val="Normal"/>
    <w:semiHidden/>
    <w:rsid w:val="00215402"/>
    <w:rPr>
      <w:rFonts w:ascii="Lucida Grande" w:hAnsi="Lucida Grande"/>
      <w:sz w:val="18"/>
      <w:szCs w:val="18"/>
    </w:rPr>
  </w:style>
  <w:style w:type="character" w:styleId="Emphasis">
    <w:name w:val="Emphasis"/>
    <w:qFormat/>
    <w:rsid w:val="00F57824"/>
    <w:rPr>
      <w:i/>
      <w:iCs/>
    </w:rPr>
  </w:style>
  <w:style w:type="character" w:customStyle="1" w:styleId="apple-style-span">
    <w:name w:val="apple-style-span"/>
    <w:basedOn w:val="DefaultParagraphFont"/>
    <w:rsid w:val="00F57824"/>
  </w:style>
  <w:style w:type="paragraph" w:styleId="Header">
    <w:name w:val="header"/>
    <w:basedOn w:val="Normal"/>
    <w:link w:val="HeaderChar"/>
    <w:uiPriority w:val="99"/>
    <w:unhideWhenUsed/>
    <w:rsid w:val="00713123"/>
    <w:pPr>
      <w:tabs>
        <w:tab w:val="center" w:pos="4536"/>
        <w:tab w:val="right" w:pos="9072"/>
      </w:tabs>
    </w:pPr>
  </w:style>
  <w:style w:type="character" w:customStyle="1" w:styleId="HeaderChar">
    <w:name w:val="Header Char"/>
    <w:link w:val="Header"/>
    <w:uiPriority w:val="99"/>
    <w:rsid w:val="00713123"/>
    <w:rPr>
      <w:sz w:val="24"/>
      <w:szCs w:val="24"/>
      <w:lang w:val="en-US" w:eastAsia="en-US"/>
    </w:rPr>
  </w:style>
  <w:style w:type="paragraph" w:styleId="Footer">
    <w:name w:val="footer"/>
    <w:basedOn w:val="Normal"/>
    <w:link w:val="FooterChar"/>
    <w:unhideWhenUsed/>
    <w:rsid w:val="00713123"/>
    <w:pPr>
      <w:tabs>
        <w:tab w:val="center" w:pos="4536"/>
        <w:tab w:val="right" w:pos="9072"/>
      </w:tabs>
    </w:pPr>
  </w:style>
  <w:style w:type="character" w:customStyle="1" w:styleId="FooterChar">
    <w:name w:val="Footer Char"/>
    <w:link w:val="Footer"/>
    <w:rsid w:val="00713123"/>
    <w:rPr>
      <w:sz w:val="24"/>
      <w:szCs w:val="24"/>
      <w:lang w:val="en-US" w:eastAsia="en-US"/>
    </w:rPr>
  </w:style>
  <w:style w:type="paragraph" w:styleId="NoSpacing">
    <w:name w:val="No Spacing"/>
    <w:uiPriority w:val="1"/>
    <w:qFormat/>
    <w:rsid w:val="009A0CEE"/>
    <w:rPr>
      <w:lang w:val="en-GB" w:eastAsia="fr-FR"/>
    </w:rPr>
  </w:style>
  <w:style w:type="character" w:customStyle="1" w:styleId="st">
    <w:name w:val="st"/>
    <w:rsid w:val="00C6543A"/>
  </w:style>
  <w:style w:type="character" w:styleId="CommentReference">
    <w:name w:val="annotation reference"/>
    <w:uiPriority w:val="99"/>
    <w:semiHidden/>
    <w:unhideWhenUsed/>
    <w:rsid w:val="003267E9"/>
    <w:rPr>
      <w:sz w:val="16"/>
      <w:szCs w:val="16"/>
    </w:rPr>
  </w:style>
  <w:style w:type="paragraph" w:styleId="CommentText">
    <w:name w:val="annotation text"/>
    <w:basedOn w:val="Normal"/>
    <w:link w:val="CommentTextChar"/>
    <w:uiPriority w:val="99"/>
    <w:unhideWhenUsed/>
    <w:rsid w:val="003267E9"/>
    <w:rPr>
      <w:sz w:val="20"/>
      <w:szCs w:val="20"/>
    </w:rPr>
  </w:style>
  <w:style w:type="character" w:customStyle="1" w:styleId="CommentTextChar">
    <w:name w:val="Comment Text Char"/>
    <w:basedOn w:val="DefaultParagraphFont"/>
    <w:link w:val="CommentText"/>
    <w:uiPriority w:val="99"/>
    <w:rsid w:val="003267E9"/>
  </w:style>
  <w:style w:type="paragraph" w:styleId="CommentSubject">
    <w:name w:val="annotation subject"/>
    <w:basedOn w:val="CommentText"/>
    <w:next w:val="CommentText"/>
    <w:link w:val="CommentSubjectChar"/>
    <w:uiPriority w:val="99"/>
    <w:semiHidden/>
    <w:unhideWhenUsed/>
    <w:rsid w:val="003267E9"/>
    <w:rPr>
      <w:b/>
      <w:bCs/>
    </w:rPr>
  </w:style>
  <w:style w:type="character" w:customStyle="1" w:styleId="CommentSubjectChar">
    <w:name w:val="Comment Subject Char"/>
    <w:link w:val="CommentSubject"/>
    <w:uiPriority w:val="99"/>
    <w:semiHidden/>
    <w:rsid w:val="003267E9"/>
    <w:rPr>
      <w:b/>
      <w:bCs/>
    </w:rPr>
  </w:style>
  <w:style w:type="character" w:customStyle="1" w:styleId="Heading1Char">
    <w:name w:val="Heading 1 Char"/>
    <w:basedOn w:val="DefaultParagraphFont"/>
    <w:link w:val="Heading1"/>
    <w:uiPriority w:val="9"/>
    <w:rsid w:val="00046E92"/>
    <w:rPr>
      <w:rFonts w:ascii="Arial" w:eastAsiaTheme="majorEastAsia" w:hAnsi="Arial" w:cstheme="majorBidi"/>
      <w:b/>
      <w:bCs/>
      <w:color w:val="0A77B3"/>
      <w:sz w:val="32"/>
      <w:szCs w:val="28"/>
      <w:lang w:val="en-GB"/>
    </w:rPr>
  </w:style>
  <w:style w:type="character" w:customStyle="1" w:styleId="Heading2Char">
    <w:name w:val="Heading 2 Char"/>
    <w:basedOn w:val="DefaultParagraphFont"/>
    <w:link w:val="Heading2"/>
    <w:uiPriority w:val="9"/>
    <w:rsid w:val="008D3B33"/>
    <w:rPr>
      <w:rFonts w:ascii="Arial" w:eastAsiaTheme="majorEastAsia" w:hAnsi="Arial" w:cstheme="majorBidi"/>
      <w:b/>
      <w:bCs/>
      <w:color w:val="0A77B3"/>
      <w:sz w:val="28"/>
      <w:szCs w:val="26"/>
      <w:lang w:val="en-GB"/>
    </w:rPr>
  </w:style>
  <w:style w:type="paragraph" w:styleId="Title">
    <w:name w:val="Title"/>
    <w:basedOn w:val="Normal"/>
    <w:next w:val="Normal"/>
    <w:link w:val="TitleChar"/>
    <w:uiPriority w:val="10"/>
    <w:qFormat/>
    <w:rsid w:val="00510BF6"/>
    <w:pPr>
      <w:pBdr>
        <w:bottom w:val="single" w:sz="8" w:space="4" w:color="4F81BD" w:themeColor="accent1"/>
      </w:pBdr>
      <w:spacing w:after="300"/>
      <w:contextualSpacing/>
    </w:pPr>
    <w:rPr>
      <w:rFonts w:eastAsiaTheme="majorEastAsia" w:cstheme="majorBidi"/>
      <w:b/>
      <w:color w:val="FFFFFF" w:themeColor="background1"/>
      <w:spacing w:val="5"/>
      <w:kern w:val="28"/>
      <w:sz w:val="100"/>
      <w:szCs w:val="52"/>
    </w:rPr>
  </w:style>
  <w:style w:type="character" w:customStyle="1" w:styleId="TitleChar">
    <w:name w:val="Title Char"/>
    <w:basedOn w:val="DefaultParagraphFont"/>
    <w:link w:val="Title"/>
    <w:uiPriority w:val="10"/>
    <w:rsid w:val="00510BF6"/>
    <w:rPr>
      <w:rFonts w:ascii="Arial" w:eastAsiaTheme="majorEastAsia" w:hAnsi="Arial" w:cstheme="majorBidi"/>
      <w:b/>
      <w:color w:val="FFFFFF" w:themeColor="background1"/>
      <w:spacing w:val="5"/>
      <w:kern w:val="28"/>
      <w:sz w:val="100"/>
      <w:szCs w:val="52"/>
      <w:lang w:val="en-GB"/>
    </w:rPr>
  </w:style>
  <w:style w:type="paragraph" w:styleId="Subtitle">
    <w:name w:val="Subtitle"/>
    <w:basedOn w:val="Normal"/>
    <w:next w:val="Normal"/>
    <w:link w:val="SubtitleChar"/>
    <w:uiPriority w:val="11"/>
    <w:qFormat/>
    <w:rsid w:val="00510BF6"/>
    <w:pPr>
      <w:numPr>
        <w:ilvl w:val="1"/>
      </w:numPr>
    </w:pPr>
    <w:rPr>
      <w:rFonts w:eastAsiaTheme="majorEastAsia" w:cstheme="majorBidi"/>
      <w:b/>
      <w:iCs/>
      <w:color w:val="FFFFFF" w:themeColor="background1"/>
      <w:spacing w:val="15"/>
      <w:sz w:val="32"/>
    </w:rPr>
  </w:style>
  <w:style w:type="character" w:customStyle="1" w:styleId="SubtitleChar">
    <w:name w:val="Subtitle Char"/>
    <w:basedOn w:val="DefaultParagraphFont"/>
    <w:link w:val="Subtitle"/>
    <w:uiPriority w:val="11"/>
    <w:rsid w:val="00510BF6"/>
    <w:rPr>
      <w:rFonts w:ascii="Arial" w:eastAsiaTheme="majorEastAsia" w:hAnsi="Arial" w:cstheme="majorBidi"/>
      <w:b/>
      <w:iCs/>
      <w:color w:val="FFFFFF" w:themeColor="background1"/>
      <w:spacing w:val="15"/>
      <w:sz w:val="32"/>
      <w:szCs w:val="24"/>
      <w:lang w:val="en-GB"/>
    </w:rPr>
  </w:style>
  <w:style w:type="table" w:styleId="TableGrid">
    <w:name w:val="Table Grid"/>
    <w:basedOn w:val="TableNormal"/>
    <w:uiPriority w:val="59"/>
    <w:rsid w:val="0004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066EF"/>
    <w:pPr>
      <w:spacing w:line="276" w:lineRule="auto"/>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5066EF"/>
    <w:pPr>
      <w:spacing w:after="100"/>
    </w:pPr>
  </w:style>
  <w:style w:type="paragraph" w:styleId="TOC2">
    <w:name w:val="toc 2"/>
    <w:basedOn w:val="Normal"/>
    <w:next w:val="Normal"/>
    <w:autoRedefine/>
    <w:uiPriority w:val="39"/>
    <w:unhideWhenUsed/>
    <w:rsid w:val="005066EF"/>
    <w:pPr>
      <w:spacing w:after="100"/>
      <w:ind w:left="240"/>
    </w:pPr>
  </w:style>
  <w:style w:type="paragraph" w:styleId="ListParagraph">
    <w:name w:val="List Paragraph"/>
    <w:basedOn w:val="Normal"/>
    <w:uiPriority w:val="34"/>
    <w:qFormat/>
    <w:rsid w:val="00B53082"/>
    <w:pPr>
      <w:ind w:left="720"/>
      <w:contextualSpacing/>
    </w:pPr>
  </w:style>
  <w:style w:type="paragraph" w:styleId="NormalWeb">
    <w:name w:val="Normal (Web)"/>
    <w:basedOn w:val="Normal"/>
    <w:uiPriority w:val="99"/>
    <w:unhideWhenUsed/>
    <w:rsid w:val="00DA01FA"/>
    <w:pPr>
      <w:spacing w:before="100" w:beforeAutospacing="1" w:after="100" w:afterAutospacing="1"/>
    </w:pPr>
    <w:rPr>
      <w:rFonts w:ascii="Times New Roman" w:hAnsi="Times New Roman"/>
      <w:lang w:eastAsia="en-GB"/>
    </w:rPr>
  </w:style>
  <w:style w:type="paragraph" w:customStyle="1" w:styleId="Normal1">
    <w:name w:val="Normal1"/>
    <w:basedOn w:val="Normal"/>
    <w:rsid w:val="002F37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2F378C"/>
    <w:rPr>
      <w:rFonts w:ascii="Arial" w:hAnsi="Arial"/>
      <w:sz w:val="24"/>
      <w:szCs w:val="24"/>
      <w:lang w:val="en-GB"/>
    </w:rPr>
  </w:style>
  <w:style w:type="paragraph" w:styleId="FootnoteText">
    <w:name w:val="footnote text"/>
    <w:basedOn w:val="Normal"/>
    <w:link w:val="FootnoteTextChar"/>
    <w:uiPriority w:val="99"/>
    <w:semiHidden/>
    <w:unhideWhenUsed/>
    <w:rsid w:val="00EB3CB1"/>
    <w:rPr>
      <w:sz w:val="20"/>
      <w:szCs w:val="20"/>
    </w:rPr>
  </w:style>
  <w:style w:type="character" w:customStyle="1" w:styleId="FootnoteTextChar">
    <w:name w:val="Footnote Text Char"/>
    <w:basedOn w:val="DefaultParagraphFont"/>
    <w:link w:val="FootnoteText"/>
    <w:uiPriority w:val="99"/>
    <w:semiHidden/>
    <w:rsid w:val="00EB3CB1"/>
    <w:rPr>
      <w:rFonts w:ascii="Arial" w:hAnsi="Arial"/>
      <w:lang w:val="en-GB"/>
    </w:rPr>
  </w:style>
  <w:style w:type="character" w:styleId="FootnoteReference">
    <w:name w:val="footnote reference"/>
    <w:basedOn w:val="DefaultParagraphFont"/>
    <w:uiPriority w:val="99"/>
    <w:semiHidden/>
    <w:unhideWhenUsed/>
    <w:rsid w:val="00EB3CB1"/>
    <w:rPr>
      <w:vertAlign w:val="superscript"/>
    </w:rPr>
  </w:style>
  <w:style w:type="paragraph" w:customStyle="1" w:styleId="Point0number">
    <w:name w:val="Point 0 (number)"/>
    <w:basedOn w:val="Normal"/>
    <w:rsid w:val="000334DE"/>
    <w:pPr>
      <w:numPr>
        <w:numId w:val="9"/>
      </w:numPr>
      <w:spacing w:before="120" w:after="120"/>
      <w:jc w:val="both"/>
    </w:pPr>
    <w:rPr>
      <w:rFonts w:ascii="Times New Roman" w:eastAsiaTheme="minorHAnsi" w:hAnsi="Times New Roman"/>
      <w:szCs w:val="22"/>
    </w:rPr>
  </w:style>
  <w:style w:type="paragraph" w:customStyle="1" w:styleId="Point1number">
    <w:name w:val="Point 1 (number)"/>
    <w:basedOn w:val="Normal"/>
    <w:rsid w:val="000334DE"/>
    <w:pPr>
      <w:numPr>
        <w:ilvl w:val="2"/>
        <w:numId w:val="9"/>
      </w:numPr>
      <w:spacing w:before="120" w:after="120"/>
      <w:jc w:val="both"/>
    </w:pPr>
    <w:rPr>
      <w:rFonts w:ascii="Times New Roman" w:eastAsiaTheme="minorHAnsi" w:hAnsi="Times New Roman"/>
      <w:szCs w:val="22"/>
    </w:rPr>
  </w:style>
  <w:style w:type="paragraph" w:customStyle="1" w:styleId="Point2number">
    <w:name w:val="Point 2 (number)"/>
    <w:basedOn w:val="Normal"/>
    <w:rsid w:val="000334DE"/>
    <w:pPr>
      <w:numPr>
        <w:ilvl w:val="4"/>
        <w:numId w:val="9"/>
      </w:numPr>
      <w:spacing w:before="120" w:after="120"/>
      <w:jc w:val="both"/>
    </w:pPr>
    <w:rPr>
      <w:rFonts w:ascii="Times New Roman" w:eastAsiaTheme="minorHAnsi" w:hAnsi="Times New Roman"/>
      <w:szCs w:val="22"/>
    </w:rPr>
  </w:style>
  <w:style w:type="paragraph" w:customStyle="1" w:styleId="Point3number">
    <w:name w:val="Point 3 (number)"/>
    <w:basedOn w:val="Normal"/>
    <w:rsid w:val="000334DE"/>
    <w:pPr>
      <w:numPr>
        <w:ilvl w:val="6"/>
        <w:numId w:val="9"/>
      </w:numPr>
      <w:spacing w:before="120" w:after="120"/>
      <w:jc w:val="both"/>
    </w:pPr>
    <w:rPr>
      <w:rFonts w:ascii="Times New Roman" w:eastAsiaTheme="minorHAnsi" w:hAnsi="Times New Roman"/>
      <w:szCs w:val="22"/>
    </w:rPr>
  </w:style>
  <w:style w:type="paragraph" w:customStyle="1" w:styleId="Point0letter">
    <w:name w:val="Point 0 (letter)"/>
    <w:basedOn w:val="Normal"/>
    <w:rsid w:val="000334DE"/>
    <w:pPr>
      <w:numPr>
        <w:ilvl w:val="1"/>
        <w:numId w:val="9"/>
      </w:numPr>
      <w:spacing w:before="120" w:after="120"/>
      <w:jc w:val="both"/>
    </w:pPr>
    <w:rPr>
      <w:rFonts w:ascii="Times New Roman" w:eastAsiaTheme="minorHAnsi" w:hAnsi="Times New Roman"/>
      <w:szCs w:val="22"/>
    </w:rPr>
  </w:style>
  <w:style w:type="paragraph" w:customStyle="1" w:styleId="Point1letter">
    <w:name w:val="Point 1 (letter)"/>
    <w:basedOn w:val="Normal"/>
    <w:rsid w:val="000334DE"/>
    <w:pPr>
      <w:numPr>
        <w:ilvl w:val="3"/>
        <w:numId w:val="9"/>
      </w:numPr>
      <w:spacing w:before="120" w:after="120"/>
      <w:jc w:val="both"/>
    </w:pPr>
    <w:rPr>
      <w:rFonts w:ascii="Times New Roman" w:eastAsiaTheme="minorHAnsi" w:hAnsi="Times New Roman"/>
      <w:szCs w:val="22"/>
    </w:rPr>
  </w:style>
  <w:style w:type="paragraph" w:customStyle="1" w:styleId="Point2letter">
    <w:name w:val="Point 2 (letter)"/>
    <w:basedOn w:val="Normal"/>
    <w:rsid w:val="000334DE"/>
    <w:pPr>
      <w:numPr>
        <w:ilvl w:val="5"/>
        <w:numId w:val="9"/>
      </w:numPr>
      <w:spacing w:before="120" w:after="120"/>
      <w:jc w:val="both"/>
    </w:pPr>
    <w:rPr>
      <w:rFonts w:ascii="Times New Roman" w:eastAsiaTheme="minorHAnsi" w:hAnsi="Times New Roman"/>
      <w:szCs w:val="22"/>
    </w:rPr>
  </w:style>
  <w:style w:type="paragraph" w:customStyle="1" w:styleId="Point3letter">
    <w:name w:val="Point 3 (letter)"/>
    <w:basedOn w:val="Normal"/>
    <w:rsid w:val="000334DE"/>
    <w:pPr>
      <w:numPr>
        <w:ilvl w:val="7"/>
        <w:numId w:val="9"/>
      </w:numPr>
      <w:spacing w:before="120" w:after="120"/>
      <w:jc w:val="both"/>
    </w:pPr>
    <w:rPr>
      <w:rFonts w:ascii="Times New Roman" w:eastAsiaTheme="minorHAnsi" w:hAnsi="Times New Roman"/>
      <w:szCs w:val="22"/>
    </w:rPr>
  </w:style>
  <w:style w:type="paragraph" w:customStyle="1" w:styleId="Point4letter">
    <w:name w:val="Point 4 (letter)"/>
    <w:basedOn w:val="Normal"/>
    <w:rsid w:val="000334DE"/>
    <w:pPr>
      <w:numPr>
        <w:ilvl w:val="8"/>
        <w:numId w:val="9"/>
      </w:numPr>
      <w:spacing w:before="120" w:after="120"/>
      <w:jc w:val="both"/>
    </w:pPr>
    <w:rPr>
      <w:rFonts w:ascii="Times New Roman" w:eastAsiaTheme="minorHAnsi" w:hAnsi="Times New Roman"/>
      <w:szCs w:val="22"/>
    </w:rPr>
  </w:style>
  <w:style w:type="character" w:customStyle="1" w:styleId="Mention1">
    <w:name w:val="Mention1"/>
    <w:basedOn w:val="DefaultParagraphFont"/>
    <w:uiPriority w:val="99"/>
    <w:semiHidden/>
    <w:unhideWhenUsed/>
    <w:rsid w:val="00401D6D"/>
    <w:rPr>
      <w:color w:val="2B579A"/>
      <w:shd w:val="clear" w:color="auto" w:fill="E6E6E6"/>
    </w:rPr>
  </w:style>
  <w:style w:type="character" w:styleId="UnresolvedMention">
    <w:name w:val="Unresolved Mention"/>
    <w:basedOn w:val="DefaultParagraphFont"/>
    <w:uiPriority w:val="99"/>
    <w:semiHidden/>
    <w:unhideWhenUsed/>
    <w:rsid w:val="00EB123F"/>
    <w:rPr>
      <w:color w:val="605E5C"/>
      <w:shd w:val="clear" w:color="auto" w:fill="E1DFDD"/>
    </w:rPr>
  </w:style>
  <w:style w:type="character" w:customStyle="1" w:styleId="ui-provider">
    <w:name w:val="ui-provider"/>
    <w:basedOn w:val="DefaultParagraphFont"/>
    <w:rsid w:val="00F82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0549">
      <w:bodyDiv w:val="1"/>
      <w:marLeft w:val="0"/>
      <w:marRight w:val="0"/>
      <w:marTop w:val="0"/>
      <w:marBottom w:val="0"/>
      <w:divBdr>
        <w:top w:val="none" w:sz="0" w:space="0" w:color="auto"/>
        <w:left w:val="none" w:sz="0" w:space="0" w:color="auto"/>
        <w:bottom w:val="none" w:sz="0" w:space="0" w:color="auto"/>
        <w:right w:val="none" w:sz="0" w:space="0" w:color="auto"/>
      </w:divBdr>
    </w:div>
    <w:div w:id="77748910">
      <w:bodyDiv w:val="1"/>
      <w:marLeft w:val="0"/>
      <w:marRight w:val="0"/>
      <w:marTop w:val="0"/>
      <w:marBottom w:val="0"/>
      <w:divBdr>
        <w:top w:val="none" w:sz="0" w:space="0" w:color="auto"/>
        <w:left w:val="none" w:sz="0" w:space="0" w:color="auto"/>
        <w:bottom w:val="none" w:sz="0" w:space="0" w:color="auto"/>
        <w:right w:val="none" w:sz="0" w:space="0" w:color="auto"/>
      </w:divBdr>
    </w:div>
    <w:div w:id="129636865">
      <w:bodyDiv w:val="1"/>
      <w:marLeft w:val="0"/>
      <w:marRight w:val="0"/>
      <w:marTop w:val="0"/>
      <w:marBottom w:val="0"/>
      <w:divBdr>
        <w:top w:val="none" w:sz="0" w:space="0" w:color="auto"/>
        <w:left w:val="none" w:sz="0" w:space="0" w:color="auto"/>
        <w:bottom w:val="none" w:sz="0" w:space="0" w:color="auto"/>
        <w:right w:val="none" w:sz="0" w:space="0" w:color="auto"/>
      </w:divBdr>
    </w:div>
    <w:div w:id="542249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9318">
          <w:marLeft w:val="0"/>
          <w:marRight w:val="0"/>
          <w:marTop w:val="0"/>
          <w:marBottom w:val="0"/>
          <w:divBdr>
            <w:top w:val="none" w:sz="0" w:space="0" w:color="auto"/>
            <w:left w:val="none" w:sz="0" w:space="0" w:color="auto"/>
            <w:bottom w:val="none" w:sz="0" w:space="0" w:color="auto"/>
            <w:right w:val="none" w:sz="0" w:space="0" w:color="auto"/>
          </w:divBdr>
        </w:div>
        <w:div w:id="608783386">
          <w:marLeft w:val="0"/>
          <w:marRight w:val="0"/>
          <w:marTop w:val="0"/>
          <w:marBottom w:val="0"/>
          <w:divBdr>
            <w:top w:val="none" w:sz="0" w:space="0" w:color="auto"/>
            <w:left w:val="none" w:sz="0" w:space="0" w:color="auto"/>
            <w:bottom w:val="none" w:sz="0" w:space="0" w:color="auto"/>
            <w:right w:val="none" w:sz="0" w:space="0" w:color="auto"/>
          </w:divBdr>
        </w:div>
      </w:divsChild>
    </w:div>
    <w:div w:id="542521901">
      <w:bodyDiv w:val="1"/>
      <w:marLeft w:val="0"/>
      <w:marRight w:val="0"/>
      <w:marTop w:val="0"/>
      <w:marBottom w:val="0"/>
      <w:divBdr>
        <w:top w:val="none" w:sz="0" w:space="0" w:color="auto"/>
        <w:left w:val="none" w:sz="0" w:space="0" w:color="auto"/>
        <w:bottom w:val="none" w:sz="0" w:space="0" w:color="auto"/>
        <w:right w:val="none" w:sz="0" w:space="0" w:color="auto"/>
      </w:divBdr>
    </w:div>
    <w:div w:id="543566897">
      <w:bodyDiv w:val="1"/>
      <w:marLeft w:val="0"/>
      <w:marRight w:val="0"/>
      <w:marTop w:val="0"/>
      <w:marBottom w:val="0"/>
      <w:divBdr>
        <w:top w:val="none" w:sz="0" w:space="0" w:color="auto"/>
        <w:left w:val="none" w:sz="0" w:space="0" w:color="auto"/>
        <w:bottom w:val="none" w:sz="0" w:space="0" w:color="auto"/>
        <w:right w:val="none" w:sz="0" w:space="0" w:color="auto"/>
      </w:divBdr>
    </w:div>
    <w:div w:id="627663921">
      <w:bodyDiv w:val="1"/>
      <w:marLeft w:val="0"/>
      <w:marRight w:val="0"/>
      <w:marTop w:val="0"/>
      <w:marBottom w:val="0"/>
      <w:divBdr>
        <w:top w:val="none" w:sz="0" w:space="0" w:color="auto"/>
        <w:left w:val="none" w:sz="0" w:space="0" w:color="auto"/>
        <w:bottom w:val="none" w:sz="0" w:space="0" w:color="auto"/>
        <w:right w:val="none" w:sz="0" w:space="0" w:color="auto"/>
      </w:divBdr>
    </w:div>
    <w:div w:id="909967728">
      <w:bodyDiv w:val="1"/>
      <w:marLeft w:val="0"/>
      <w:marRight w:val="0"/>
      <w:marTop w:val="0"/>
      <w:marBottom w:val="0"/>
      <w:divBdr>
        <w:top w:val="none" w:sz="0" w:space="0" w:color="auto"/>
        <w:left w:val="none" w:sz="0" w:space="0" w:color="auto"/>
        <w:bottom w:val="none" w:sz="0" w:space="0" w:color="auto"/>
        <w:right w:val="none" w:sz="0" w:space="0" w:color="auto"/>
      </w:divBdr>
    </w:div>
    <w:div w:id="938828251">
      <w:bodyDiv w:val="1"/>
      <w:marLeft w:val="0"/>
      <w:marRight w:val="0"/>
      <w:marTop w:val="0"/>
      <w:marBottom w:val="0"/>
      <w:divBdr>
        <w:top w:val="none" w:sz="0" w:space="0" w:color="auto"/>
        <w:left w:val="none" w:sz="0" w:space="0" w:color="auto"/>
        <w:bottom w:val="none" w:sz="0" w:space="0" w:color="auto"/>
        <w:right w:val="none" w:sz="0" w:space="0" w:color="auto"/>
      </w:divBdr>
    </w:div>
    <w:div w:id="980424361">
      <w:bodyDiv w:val="1"/>
      <w:marLeft w:val="0"/>
      <w:marRight w:val="0"/>
      <w:marTop w:val="0"/>
      <w:marBottom w:val="0"/>
      <w:divBdr>
        <w:top w:val="none" w:sz="0" w:space="0" w:color="auto"/>
        <w:left w:val="none" w:sz="0" w:space="0" w:color="auto"/>
        <w:bottom w:val="none" w:sz="0" w:space="0" w:color="auto"/>
        <w:right w:val="none" w:sz="0" w:space="0" w:color="auto"/>
      </w:divBdr>
    </w:div>
    <w:div w:id="1203178147">
      <w:bodyDiv w:val="1"/>
      <w:marLeft w:val="0"/>
      <w:marRight w:val="0"/>
      <w:marTop w:val="0"/>
      <w:marBottom w:val="0"/>
      <w:divBdr>
        <w:top w:val="none" w:sz="0" w:space="0" w:color="auto"/>
        <w:left w:val="none" w:sz="0" w:space="0" w:color="auto"/>
        <w:bottom w:val="none" w:sz="0" w:space="0" w:color="auto"/>
        <w:right w:val="none" w:sz="0" w:space="0" w:color="auto"/>
      </w:divBdr>
    </w:div>
    <w:div w:id="1208293623">
      <w:bodyDiv w:val="1"/>
      <w:marLeft w:val="0"/>
      <w:marRight w:val="0"/>
      <w:marTop w:val="0"/>
      <w:marBottom w:val="0"/>
      <w:divBdr>
        <w:top w:val="none" w:sz="0" w:space="0" w:color="auto"/>
        <w:left w:val="none" w:sz="0" w:space="0" w:color="auto"/>
        <w:bottom w:val="none" w:sz="0" w:space="0" w:color="auto"/>
        <w:right w:val="none" w:sz="0" w:space="0" w:color="auto"/>
      </w:divBdr>
    </w:div>
    <w:div w:id="1213734071">
      <w:bodyDiv w:val="1"/>
      <w:marLeft w:val="0"/>
      <w:marRight w:val="0"/>
      <w:marTop w:val="0"/>
      <w:marBottom w:val="0"/>
      <w:divBdr>
        <w:top w:val="none" w:sz="0" w:space="0" w:color="auto"/>
        <w:left w:val="none" w:sz="0" w:space="0" w:color="auto"/>
        <w:bottom w:val="none" w:sz="0" w:space="0" w:color="auto"/>
        <w:right w:val="none" w:sz="0" w:space="0" w:color="auto"/>
      </w:divBdr>
    </w:div>
    <w:div w:id="1280333744">
      <w:bodyDiv w:val="1"/>
      <w:marLeft w:val="0"/>
      <w:marRight w:val="0"/>
      <w:marTop w:val="0"/>
      <w:marBottom w:val="0"/>
      <w:divBdr>
        <w:top w:val="none" w:sz="0" w:space="0" w:color="auto"/>
        <w:left w:val="none" w:sz="0" w:space="0" w:color="auto"/>
        <w:bottom w:val="none" w:sz="0" w:space="0" w:color="auto"/>
        <w:right w:val="none" w:sz="0" w:space="0" w:color="auto"/>
      </w:divBdr>
    </w:div>
    <w:div w:id="1362828795">
      <w:bodyDiv w:val="1"/>
      <w:marLeft w:val="0"/>
      <w:marRight w:val="0"/>
      <w:marTop w:val="0"/>
      <w:marBottom w:val="0"/>
      <w:divBdr>
        <w:top w:val="none" w:sz="0" w:space="0" w:color="auto"/>
        <w:left w:val="none" w:sz="0" w:space="0" w:color="auto"/>
        <w:bottom w:val="none" w:sz="0" w:space="0" w:color="auto"/>
        <w:right w:val="none" w:sz="0" w:space="0" w:color="auto"/>
      </w:divBdr>
      <w:divsChild>
        <w:div w:id="49546884">
          <w:marLeft w:val="0"/>
          <w:marRight w:val="0"/>
          <w:marTop w:val="0"/>
          <w:marBottom w:val="0"/>
          <w:divBdr>
            <w:top w:val="none" w:sz="0" w:space="0" w:color="auto"/>
            <w:left w:val="none" w:sz="0" w:space="0" w:color="auto"/>
            <w:bottom w:val="none" w:sz="0" w:space="0" w:color="auto"/>
            <w:right w:val="none" w:sz="0" w:space="0" w:color="auto"/>
          </w:divBdr>
        </w:div>
        <w:div w:id="2008053684">
          <w:marLeft w:val="0"/>
          <w:marRight w:val="0"/>
          <w:marTop w:val="0"/>
          <w:marBottom w:val="0"/>
          <w:divBdr>
            <w:top w:val="none" w:sz="0" w:space="0" w:color="auto"/>
            <w:left w:val="none" w:sz="0" w:space="0" w:color="auto"/>
            <w:bottom w:val="none" w:sz="0" w:space="0" w:color="auto"/>
            <w:right w:val="none" w:sz="0" w:space="0" w:color="auto"/>
          </w:divBdr>
        </w:div>
      </w:divsChild>
    </w:div>
    <w:div w:id="1372421561">
      <w:bodyDiv w:val="1"/>
      <w:marLeft w:val="0"/>
      <w:marRight w:val="0"/>
      <w:marTop w:val="0"/>
      <w:marBottom w:val="0"/>
      <w:divBdr>
        <w:top w:val="none" w:sz="0" w:space="0" w:color="auto"/>
        <w:left w:val="none" w:sz="0" w:space="0" w:color="auto"/>
        <w:bottom w:val="none" w:sz="0" w:space="0" w:color="auto"/>
        <w:right w:val="none" w:sz="0" w:space="0" w:color="auto"/>
      </w:divBdr>
    </w:div>
    <w:div w:id="1675916077">
      <w:bodyDiv w:val="1"/>
      <w:marLeft w:val="0"/>
      <w:marRight w:val="0"/>
      <w:marTop w:val="0"/>
      <w:marBottom w:val="0"/>
      <w:divBdr>
        <w:top w:val="none" w:sz="0" w:space="0" w:color="auto"/>
        <w:left w:val="none" w:sz="0" w:space="0" w:color="auto"/>
        <w:bottom w:val="none" w:sz="0" w:space="0" w:color="auto"/>
        <w:right w:val="none" w:sz="0" w:space="0" w:color="auto"/>
      </w:divBdr>
    </w:div>
    <w:div w:id="1882325502">
      <w:bodyDiv w:val="1"/>
      <w:marLeft w:val="0"/>
      <w:marRight w:val="0"/>
      <w:marTop w:val="0"/>
      <w:marBottom w:val="0"/>
      <w:divBdr>
        <w:top w:val="none" w:sz="0" w:space="0" w:color="auto"/>
        <w:left w:val="none" w:sz="0" w:space="0" w:color="auto"/>
        <w:bottom w:val="none" w:sz="0" w:space="0" w:color="auto"/>
        <w:right w:val="none" w:sz="0" w:space="0" w:color="auto"/>
      </w:divBdr>
    </w:div>
    <w:div w:id="1888688585">
      <w:bodyDiv w:val="1"/>
      <w:marLeft w:val="0"/>
      <w:marRight w:val="0"/>
      <w:marTop w:val="0"/>
      <w:marBottom w:val="0"/>
      <w:divBdr>
        <w:top w:val="none" w:sz="0" w:space="0" w:color="auto"/>
        <w:left w:val="none" w:sz="0" w:space="0" w:color="auto"/>
        <w:bottom w:val="none" w:sz="0" w:space="0" w:color="auto"/>
        <w:right w:val="none" w:sz="0" w:space="0" w:color="auto"/>
      </w:divBdr>
      <w:divsChild>
        <w:div w:id="1651521555">
          <w:marLeft w:val="0"/>
          <w:marRight w:val="0"/>
          <w:marTop w:val="0"/>
          <w:marBottom w:val="0"/>
          <w:divBdr>
            <w:top w:val="none" w:sz="0" w:space="0" w:color="auto"/>
            <w:left w:val="none" w:sz="0" w:space="0" w:color="auto"/>
            <w:bottom w:val="none" w:sz="0" w:space="0" w:color="auto"/>
            <w:right w:val="none" w:sz="0" w:space="0" w:color="auto"/>
          </w:divBdr>
        </w:div>
        <w:div w:id="1112243899">
          <w:marLeft w:val="0"/>
          <w:marRight w:val="0"/>
          <w:marTop w:val="0"/>
          <w:marBottom w:val="0"/>
          <w:divBdr>
            <w:top w:val="none" w:sz="0" w:space="0" w:color="auto"/>
            <w:left w:val="none" w:sz="0" w:space="0" w:color="auto"/>
            <w:bottom w:val="none" w:sz="0" w:space="0" w:color="auto"/>
            <w:right w:val="none" w:sz="0" w:space="0" w:color="auto"/>
          </w:divBdr>
        </w:div>
      </w:divsChild>
    </w:div>
    <w:div w:id="1909535592">
      <w:bodyDiv w:val="1"/>
      <w:marLeft w:val="0"/>
      <w:marRight w:val="0"/>
      <w:marTop w:val="0"/>
      <w:marBottom w:val="0"/>
      <w:divBdr>
        <w:top w:val="none" w:sz="0" w:space="0" w:color="auto"/>
        <w:left w:val="none" w:sz="0" w:space="0" w:color="auto"/>
        <w:bottom w:val="none" w:sz="0" w:space="0" w:color="auto"/>
        <w:right w:val="none" w:sz="0" w:space="0" w:color="auto"/>
      </w:divBdr>
    </w:div>
    <w:div w:id="1963732466">
      <w:bodyDiv w:val="1"/>
      <w:marLeft w:val="0"/>
      <w:marRight w:val="0"/>
      <w:marTop w:val="0"/>
      <w:marBottom w:val="0"/>
      <w:divBdr>
        <w:top w:val="none" w:sz="0" w:space="0" w:color="auto"/>
        <w:left w:val="none" w:sz="0" w:space="0" w:color="auto"/>
        <w:bottom w:val="none" w:sz="0" w:space="0" w:color="auto"/>
        <w:right w:val="none" w:sz="0" w:space="0" w:color="auto"/>
      </w:divBdr>
    </w:div>
    <w:div w:id="1966504061">
      <w:bodyDiv w:val="1"/>
      <w:marLeft w:val="0"/>
      <w:marRight w:val="0"/>
      <w:marTop w:val="0"/>
      <w:marBottom w:val="0"/>
      <w:divBdr>
        <w:top w:val="none" w:sz="0" w:space="0" w:color="auto"/>
        <w:left w:val="none" w:sz="0" w:space="0" w:color="auto"/>
        <w:bottom w:val="none" w:sz="0" w:space="0" w:color="auto"/>
        <w:right w:val="none" w:sz="0" w:space="0" w:color="auto"/>
      </w:divBdr>
    </w:div>
    <w:div w:id="2051808171">
      <w:bodyDiv w:val="1"/>
      <w:marLeft w:val="0"/>
      <w:marRight w:val="0"/>
      <w:marTop w:val="0"/>
      <w:marBottom w:val="0"/>
      <w:divBdr>
        <w:top w:val="none" w:sz="0" w:space="0" w:color="auto"/>
        <w:left w:val="none" w:sz="0" w:space="0" w:color="auto"/>
        <w:bottom w:val="none" w:sz="0" w:space="0" w:color="auto"/>
        <w:right w:val="none" w:sz="0" w:space="0" w:color="auto"/>
      </w:divBdr>
      <w:divsChild>
        <w:div w:id="1055465842">
          <w:marLeft w:val="0"/>
          <w:marRight w:val="0"/>
          <w:marTop w:val="0"/>
          <w:marBottom w:val="0"/>
          <w:divBdr>
            <w:top w:val="none" w:sz="0" w:space="0" w:color="auto"/>
            <w:left w:val="none" w:sz="0" w:space="0" w:color="auto"/>
            <w:bottom w:val="none" w:sz="0" w:space="0" w:color="auto"/>
            <w:right w:val="none" w:sz="0" w:space="0" w:color="auto"/>
          </w:divBdr>
        </w:div>
        <w:div w:id="434785185">
          <w:marLeft w:val="0"/>
          <w:marRight w:val="0"/>
          <w:marTop w:val="0"/>
          <w:marBottom w:val="0"/>
          <w:divBdr>
            <w:top w:val="none" w:sz="0" w:space="0" w:color="auto"/>
            <w:left w:val="none" w:sz="0" w:space="0" w:color="auto"/>
            <w:bottom w:val="none" w:sz="0" w:space="0" w:color="auto"/>
            <w:right w:val="none" w:sz="0" w:space="0" w:color="auto"/>
          </w:divBdr>
        </w:div>
      </w:divsChild>
    </w:div>
    <w:div w:id="208956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f-feph.org/publications/analysis-of-the-proposal-on-multimodal-passenger-rights/" TargetMode="External"/><Relationship Id="rId18" Type="http://schemas.openxmlformats.org/officeDocument/2006/relationships/hyperlink" Target="https://eur-lex.europa.eu/legal-content/EN/TXT/?uri=celex%3A52013PC013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edf-feph.org" TargetMode="External"/><Relationship Id="rId7" Type="http://schemas.openxmlformats.org/officeDocument/2006/relationships/endnotes" Target="endnotes.xml"/><Relationship Id="rId12" Type="http://schemas.openxmlformats.org/officeDocument/2006/relationships/hyperlink" Target="http://www.edf-feph.org" TargetMode="External"/><Relationship Id="rId17" Type="http://schemas.openxmlformats.org/officeDocument/2006/relationships/hyperlink" Target="https://eur-lex.europa.eu/legal-content/EN/TXT/?uri=celex%3A32021R07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EN/TXT/?uri=celex%3A32021R0782" TargetMode="External"/><Relationship Id="rId20" Type="http://schemas.openxmlformats.org/officeDocument/2006/relationships/hyperlink" Target="mailto:daniel.casas@edf-fep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df-feph.o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licapps.caa.co.uk/docs/33/EC%20Regulation%201107%20%20interpretive%20guidelines.pdf" TargetMode="External"/><Relationship Id="rId23" Type="http://schemas.openxmlformats.org/officeDocument/2006/relationships/header" Target="header1.xml"/><Relationship Id="rId10" Type="http://schemas.openxmlformats.org/officeDocument/2006/relationships/hyperlink" Target="http://www.edf-feph.org" TargetMode="External"/><Relationship Id="rId19" Type="http://schemas.openxmlformats.org/officeDocument/2006/relationships/hyperlink" Target="https://www.transportation.gov/resources/individuals/aviation-consumer-protection/reporting-disability-related-complaint-data-2023" TargetMode="External"/><Relationship Id="rId4" Type="http://schemas.openxmlformats.org/officeDocument/2006/relationships/settings" Target="settings.xml"/><Relationship Id="rId9" Type="http://schemas.openxmlformats.org/officeDocument/2006/relationships/hyperlink" Target="mailto:info@edf-feph.og" TargetMode="External"/><Relationship Id="rId14" Type="http://schemas.openxmlformats.org/officeDocument/2006/relationships/hyperlink" Target="https://eur-lex.europa.eu/legal-content/EN/TXT/?uri=celex%3A32021R0782" TargetMode="External"/><Relationship Id="rId22"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128BED-A8B0-46A6-9AC0-7790F032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25</Pages>
  <Words>8449</Words>
  <Characters>46473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EDF amendments</vt:lpstr>
    </vt:vector>
  </TitlesOfParts>
  <Company>HP</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amendments</dc:title>
  <dc:creator>Marie Denninghaus</dc:creator>
  <cp:lastModifiedBy>Daniel Casas</cp:lastModifiedBy>
  <cp:revision>83</cp:revision>
  <cp:lastPrinted>2018-08-28T14:49:00Z</cp:lastPrinted>
  <dcterms:created xsi:type="dcterms:W3CDTF">2018-09-07T11:43:00Z</dcterms:created>
  <dcterms:modified xsi:type="dcterms:W3CDTF">2024-04-16T12:57:00Z</dcterms:modified>
</cp:coreProperties>
</file>