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5B43" w14:textId="69458087" w:rsidR="001E7B26" w:rsidRPr="001E7B26" w:rsidRDefault="00CC53F2" w:rsidP="001E7B26">
      <w:r w:rsidRPr="001342E7">
        <w:rPr>
          <w:noProof/>
          <w14:ligatures w14:val="standardContextual"/>
        </w:rPr>
        <w:drawing>
          <wp:anchor distT="0" distB="0" distL="114300" distR="114300" simplePos="0" relativeHeight="251658241" behindDoc="0" locked="0" layoutInCell="1" allowOverlap="1" wp14:anchorId="4EBA8A69" wp14:editId="7203ED06">
            <wp:simplePos x="0" y="0"/>
            <wp:positionH relativeFrom="column">
              <wp:posOffset>-921834</wp:posOffset>
            </wp:positionH>
            <wp:positionV relativeFrom="page">
              <wp:posOffset>-26484</wp:posOffset>
            </wp:positionV>
            <wp:extent cx="7772400" cy="2111375"/>
            <wp:effectExtent l="0" t="0" r="0" b="3175"/>
            <wp:wrapSquare wrapText="bothSides"/>
            <wp:docPr id="602447630" name="Drawing 0" descr="A banner that reads 'European Regional Disability Sum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47630" name="Drawing 0" descr="A banner that reads 'European Regional Disability Summit'"/>
                    <pic:cNvPicPr>
                      <a:picLocks noChangeAspect="1"/>
                    </pic:cNvPicPr>
                  </pic:nvPicPr>
                  <pic:blipFill rotWithShape="1">
                    <a:blip r:embed="rId11" cstate="print">
                      <a:extLst>
                        <a:ext uri="{28A0092B-C50C-407E-A947-70E740481C1C}">
                          <a14:useLocalDpi xmlns:a14="http://schemas.microsoft.com/office/drawing/2010/main" val="0"/>
                        </a:ext>
                      </a:extLst>
                    </a:blip>
                    <a:srcRect l="977" r="1"/>
                    <a:stretch/>
                  </pic:blipFill>
                  <pic:spPr bwMode="auto">
                    <a:xfrm>
                      <a:off x="0" y="0"/>
                      <a:ext cx="7772400" cy="2111375"/>
                    </a:xfrm>
                    <a:prstGeom prst="rect">
                      <a:avLst/>
                    </a:prstGeom>
                    <a:ln>
                      <a:noFill/>
                    </a:ln>
                    <a:extLst>
                      <a:ext uri="{53640926-AAD7-44D8-BBD7-CCE9431645EC}">
                        <a14:shadowObscured xmlns:a14="http://schemas.microsoft.com/office/drawing/2010/main"/>
                      </a:ext>
                    </a:extLst>
                  </pic:spPr>
                </pic:pic>
              </a:graphicData>
            </a:graphic>
          </wp:anchor>
        </w:drawing>
      </w:r>
    </w:p>
    <w:p w14:paraId="088F869A" w14:textId="77777777" w:rsidR="00EF1175" w:rsidRDefault="00EF1175" w:rsidP="00761518">
      <w:pPr>
        <w:pStyle w:val="Title"/>
        <w:jc w:val="center"/>
        <w:rPr>
          <w:b/>
          <w:bCs/>
          <w:color w:val="252253"/>
          <w:sz w:val="72"/>
          <w:szCs w:val="72"/>
        </w:rPr>
      </w:pPr>
    </w:p>
    <w:p w14:paraId="6715C010" w14:textId="6FF0EBB6" w:rsidR="003243A6" w:rsidRPr="001342E7" w:rsidRDefault="0031738D" w:rsidP="00761518">
      <w:pPr>
        <w:pStyle w:val="Title"/>
        <w:jc w:val="center"/>
        <w:rPr>
          <w:b/>
          <w:bCs/>
          <w:color w:val="252253"/>
          <w:sz w:val="72"/>
          <w:szCs w:val="72"/>
        </w:rPr>
      </w:pPr>
      <w:r w:rsidRPr="001342E7">
        <w:rPr>
          <w:b/>
          <w:bCs/>
          <w:color w:val="252253"/>
          <w:sz w:val="72"/>
          <w:szCs w:val="72"/>
        </w:rPr>
        <w:t>The Future of</w:t>
      </w:r>
      <w:r w:rsidR="00A1358E">
        <w:rPr>
          <w:b/>
          <w:bCs/>
          <w:color w:val="252253"/>
          <w:sz w:val="72"/>
          <w:szCs w:val="72"/>
        </w:rPr>
        <w:t xml:space="preserve"> Disability-</w:t>
      </w:r>
      <w:r w:rsidRPr="001342E7">
        <w:rPr>
          <w:b/>
          <w:bCs/>
          <w:color w:val="252253"/>
          <w:sz w:val="72"/>
          <w:szCs w:val="72"/>
        </w:rPr>
        <w:t xml:space="preserve"> Inclusive International Cooperation and Humanitarian Action</w:t>
      </w:r>
      <w:r w:rsidR="0006400A" w:rsidRPr="001342E7">
        <w:rPr>
          <w:b/>
          <w:bCs/>
          <w:color w:val="252253"/>
          <w:sz w:val="72"/>
          <w:szCs w:val="72"/>
        </w:rPr>
        <w:t xml:space="preserve"> </w:t>
      </w:r>
      <w:r w:rsidR="00A1358E">
        <w:rPr>
          <w:b/>
          <w:bCs/>
          <w:color w:val="252253"/>
          <w:sz w:val="72"/>
          <w:szCs w:val="72"/>
        </w:rPr>
        <w:t>Across</w:t>
      </w:r>
      <w:r w:rsidR="0006400A" w:rsidRPr="001342E7">
        <w:rPr>
          <w:b/>
          <w:bCs/>
          <w:color w:val="252253"/>
          <w:sz w:val="72"/>
          <w:szCs w:val="72"/>
        </w:rPr>
        <w:t xml:space="preserve"> Europe and Central Asia</w:t>
      </w:r>
    </w:p>
    <w:p w14:paraId="2B7ACB67" w14:textId="77777777" w:rsidR="001E7B26" w:rsidRDefault="001E7B26" w:rsidP="001E7B26"/>
    <w:p w14:paraId="74C2EC83" w14:textId="77777777" w:rsidR="008708AC" w:rsidRPr="001E7B26" w:rsidRDefault="008708AC" w:rsidP="001E7B26"/>
    <w:p w14:paraId="5513309B" w14:textId="77777777" w:rsidR="008708AC" w:rsidRDefault="784D122B" w:rsidP="008708AC">
      <w:pPr>
        <w:pStyle w:val="Subtitle"/>
        <w:jc w:val="center"/>
        <w:rPr>
          <w:b/>
          <w:bCs/>
          <w:color w:val="CF1270"/>
          <w:sz w:val="44"/>
          <w:szCs w:val="44"/>
        </w:rPr>
      </w:pPr>
      <w:r w:rsidRPr="009B4C37">
        <w:rPr>
          <w:b/>
          <w:bCs/>
          <w:color w:val="CF1270"/>
          <w:sz w:val="44"/>
          <w:szCs w:val="44"/>
        </w:rPr>
        <w:t xml:space="preserve">Regional </w:t>
      </w:r>
      <w:r w:rsidR="00367C0C" w:rsidRPr="009B4C37">
        <w:rPr>
          <w:b/>
          <w:bCs/>
          <w:color w:val="CF1270"/>
          <w:sz w:val="44"/>
          <w:szCs w:val="44"/>
        </w:rPr>
        <w:t>Pre-</w:t>
      </w:r>
      <w:r w:rsidR="0024100B" w:rsidRPr="009B4C37">
        <w:rPr>
          <w:b/>
          <w:bCs/>
          <w:color w:val="CF1270"/>
          <w:sz w:val="44"/>
          <w:szCs w:val="44"/>
        </w:rPr>
        <w:t xml:space="preserve">Summit </w:t>
      </w:r>
      <w:r w:rsidR="0031738D" w:rsidRPr="009B4C37">
        <w:rPr>
          <w:b/>
          <w:bCs/>
          <w:color w:val="CF1270"/>
          <w:sz w:val="44"/>
          <w:szCs w:val="44"/>
        </w:rPr>
        <w:t>Outcome Document</w:t>
      </w:r>
      <w:r w:rsidR="0682F796" w:rsidRPr="009B4C37">
        <w:rPr>
          <w:b/>
          <w:bCs/>
          <w:color w:val="CF1270"/>
          <w:sz w:val="44"/>
          <w:szCs w:val="44"/>
        </w:rPr>
        <w:t>: Advancing Disability Inclusion</w:t>
      </w:r>
      <w:r w:rsidR="007769B1" w:rsidRPr="009B4C37">
        <w:rPr>
          <w:b/>
          <w:bCs/>
          <w:color w:val="CF1270"/>
          <w:sz w:val="44"/>
          <w:szCs w:val="44"/>
        </w:rPr>
        <w:t xml:space="preserve"> Worldwide</w:t>
      </w:r>
    </w:p>
    <w:p w14:paraId="7DB20E7B" w14:textId="62CAF33C" w:rsidR="008708AC" w:rsidRDefault="008708AC" w:rsidP="008708AC">
      <w:pPr>
        <w:spacing w:line="278" w:lineRule="auto"/>
        <w:rPr>
          <w:b/>
          <w:bCs/>
          <w:color w:val="CF1270"/>
          <w:sz w:val="44"/>
          <w:szCs w:val="44"/>
        </w:rPr>
      </w:pPr>
    </w:p>
    <w:p w14:paraId="0C923144" w14:textId="77777777" w:rsidR="0027619E" w:rsidRDefault="0027619E" w:rsidP="008708AC">
      <w:pPr>
        <w:spacing w:line="278" w:lineRule="auto"/>
        <w:rPr>
          <w:b/>
          <w:bCs/>
          <w:color w:val="CF1270"/>
          <w:sz w:val="44"/>
          <w:szCs w:val="44"/>
        </w:rPr>
      </w:pPr>
    </w:p>
    <w:p w14:paraId="04741B81" w14:textId="0281DE91" w:rsidR="00DB1463" w:rsidRPr="0092395C" w:rsidRDefault="0027619E" w:rsidP="0092395C">
      <w:pPr>
        <w:spacing w:line="278" w:lineRule="auto"/>
        <w:rPr>
          <w:rFonts w:eastAsiaTheme="majorEastAsia" w:cstheme="majorBidi"/>
          <w:b/>
          <w:bCs/>
          <w:color w:val="CF1270"/>
          <w:spacing w:val="15"/>
          <w:sz w:val="44"/>
          <w:szCs w:val="44"/>
        </w:rPr>
      </w:pPr>
      <w:r w:rsidRPr="001342E7">
        <w:rPr>
          <w:noProof/>
        </w:rPr>
        <w:drawing>
          <wp:anchor distT="0" distB="0" distL="114300" distR="114300" simplePos="0" relativeHeight="251658240" behindDoc="0" locked="0" layoutInCell="1" allowOverlap="1" wp14:anchorId="182B7FE9" wp14:editId="779683CE">
            <wp:simplePos x="0" y="0"/>
            <wp:positionH relativeFrom="column">
              <wp:posOffset>-919480</wp:posOffset>
            </wp:positionH>
            <wp:positionV relativeFrom="paragraph">
              <wp:posOffset>297815</wp:posOffset>
            </wp:positionV>
            <wp:extent cx="7772400" cy="1487805"/>
            <wp:effectExtent l="0" t="0" r="0" b="0"/>
            <wp:wrapNone/>
            <wp:docPr id="175010458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04588"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t="83950"/>
                    <a:stretch/>
                  </pic:blipFill>
                  <pic:spPr bwMode="auto">
                    <a:xfrm>
                      <a:off x="0" y="0"/>
                      <a:ext cx="7772400"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
      <w:sdtPr>
        <w:rPr>
          <w:rFonts w:asciiTheme="minorHAnsi" w:eastAsiaTheme="minorEastAsia" w:hAnsiTheme="minorHAnsi" w:cstheme="minorBidi"/>
          <w:color w:val="auto"/>
          <w:sz w:val="24"/>
          <w:szCs w:val="24"/>
          <w:lang w:eastAsia="ja-JP"/>
        </w:rPr>
        <w:id w:val="-1215198713"/>
        <w:docPartObj>
          <w:docPartGallery w:val="Table of Contents"/>
          <w:docPartUnique/>
        </w:docPartObj>
      </w:sdtPr>
      <w:sdtEndPr>
        <w:rPr>
          <w:b/>
          <w:bCs/>
        </w:rPr>
      </w:sdtEndPr>
      <w:sdtContent>
        <w:p w14:paraId="54D9072D" w14:textId="77777777" w:rsidR="00610D0B" w:rsidRDefault="00610D0B" w:rsidP="0027619E">
          <w:pPr>
            <w:pStyle w:val="TOCHeading"/>
            <w:rPr>
              <w:rFonts w:asciiTheme="minorHAnsi" w:eastAsiaTheme="minorEastAsia" w:hAnsiTheme="minorHAnsi" w:cstheme="minorBidi"/>
              <w:color w:val="auto"/>
              <w:sz w:val="24"/>
              <w:szCs w:val="24"/>
              <w:lang w:eastAsia="ja-JP"/>
            </w:rPr>
          </w:pPr>
        </w:p>
        <w:p w14:paraId="25CCD21E" w14:textId="49E0EC60" w:rsidR="00463F41" w:rsidRPr="0027619E" w:rsidRDefault="00D60CD1" w:rsidP="0027619E">
          <w:pPr>
            <w:pStyle w:val="TOCHeading"/>
            <w:rPr>
              <w:b/>
              <w:bCs/>
              <w:color w:val="252253"/>
              <w:sz w:val="40"/>
              <w:szCs w:val="40"/>
            </w:rPr>
          </w:pPr>
          <w:r>
            <w:rPr>
              <w:b/>
              <w:bCs/>
              <w:color w:val="252253"/>
              <w:sz w:val="40"/>
              <w:szCs w:val="40"/>
            </w:rPr>
            <w:t>Table of C</w:t>
          </w:r>
          <w:r w:rsidR="009A4733" w:rsidRPr="001342E7">
            <w:rPr>
              <w:b/>
              <w:bCs/>
              <w:color w:val="252253"/>
              <w:sz w:val="40"/>
              <w:szCs w:val="40"/>
            </w:rPr>
            <w:t>ontents</w:t>
          </w:r>
        </w:p>
        <w:p w14:paraId="527DE766" w14:textId="77777777" w:rsidR="00320CD9" w:rsidRDefault="00320CD9">
          <w:pPr>
            <w:pStyle w:val="TOC1"/>
            <w:tabs>
              <w:tab w:val="right" w:leader="dot" w:pos="9350"/>
            </w:tabs>
          </w:pPr>
        </w:p>
        <w:p w14:paraId="2F48A48A" w14:textId="068EE843" w:rsidR="003F0E52" w:rsidRDefault="009A4733">
          <w:pPr>
            <w:pStyle w:val="TOC1"/>
            <w:tabs>
              <w:tab w:val="right" w:leader="dot" w:pos="9350"/>
            </w:tabs>
            <w:rPr>
              <w:noProof/>
              <w:kern w:val="2"/>
              <w:lang w:eastAsia="en-GB"/>
              <w14:ligatures w14:val="standardContextual"/>
            </w:rPr>
          </w:pPr>
          <w:r w:rsidRPr="001342E7">
            <w:fldChar w:fldCharType="begin"/>
          </w:r>
          <w:r w:rsidRPr="001342E7">
            <w:instrText xml:space="preserve"> TOC \o "1-3" \h \z \u </w:instrText>
          </w:r>
          <w:r w:rsidRPr="001342E7">
            <w:fldChar w:fldCharType="separate"/>
          </w:r>
          <w:hyperlink w:anchor="_Toc188445874" w:history="1">
            <w:r w:rsidR="003F0E52" w:rsidRPr="007C62AF">
              <w:rPr>
                <w:rStyle w:val="Hyperlink"/>
                <w:b/>
                <w:bCs/>
                <w:noProof/>
              </w:rPr>
              <w:t>Executive Summary</w:t>
            </w:r>
            <w:r w:rsidR="003F0E52">
              <w:rPr>
                <w:noProof/>
                <w:webHidden/>
              </w:rPr>
              <w:tab/>
            </w:r>
            <w:r w:rsidR="003F0E52">
              <w:rPr>
                <w:noProof/>
                <w:webHidden/>
              </w:rPr>
              <w:fldChar w:fldCharType="begin"/>
            </w:r>
            <w:r w:rsidR="003F0E52">
              <w:rPr>
                <w:noProof/>
                <w:webHidden/>
              </w:rPr>
              <w:instrText xml:space="preserve"> PAGEREF _Toc188445874 \h </w:instrText>
            </w:r>
            <w:r w:rsidR="003F0E52">
              <w:rPr>
                <w:noProof/>
                <w:webHidden/>
              </w:rPr>
            </w:r>
            <w:r w:rsidR="003F0E52">
              <w:rPr>
                <w:noProof/>
                <w:webHidden/>
              </w:rPr>
              <w:fldChar w:fldCharType="separate"/>
            </w:r>
            <w:r w:rsidR="003F0E52">
              <w:rPr>
                <w:noProof/>
                <w:webHidden/>
              </w:rPr>
              <w:t>2</w:t>
            </w:r>
            <w:r w:rsidR="003F0E52">
              <w:rPr>
                <w:noProof/>
                <w:webHidden/>
              </w:rPr>
              <w:fldChar w:fldCharType="end"/>
            </w:r>
          </w:hyperlink>
        </w:p>
        <w:p w14:paraId="10DD0B6A" w14:textId="752105B5" w:rsidR="003F0E52" w:rsidRDefault="003F0E52">
          <w:pPr>
            <w:pStyle w:val="TOC2"/>
            <w:tabs>
              <w:tab w:val="right" w:leader="dot" w:pos="9350"/>
            </w:tabs>
            <w:rPr>
              <w:noProof/>
              <w:kern w:val="2"/>
              <w:lang w:eastAsia="en-GB"/>
              <w14:ligatures w14:val="standardContextual"/>
            </w:rPr>
          </w:pPr>
          <w:hyperlink w:anchor="_Toc188445875" w:history="1">
            <w:r w:rsidRPr="007C62AF">
              <w:rPr>
                <w:rStyle w:val="Hyperlink"/>
                <w:b/>
                <w:bCs/>
                <w:noProof/>
              </w:rPr>
              <w:t>Outcome Document Purpose</w:t>
            </w:r>
            <w:r>
              <w:rPr>
                <w:noProof/>
                <w:webHidden/>
              </w:rPr>
              <w:tab/>
            </w:r>
            <w:r>
              <w:rPr>
                <w:noProof/>
                <w:webHidden/>
              </w:rPr>
              <w:fldChar w:fldCharType="begin"/>
            </w:r>
            <w:r>
              <w:rPr>
                <w:noProof/>
                <w:webHidden/>
              </w:rPr>
              <w:instrText xml:space="preserve"> PAGEREF _Toc188445875 \h </w:instrText>
            </w:r>
            <w:r>
              <w:rPr>
                <w:noProof/>
                <w:webHidden/>
              </w:rPr>
            </w:r>
            <w:r>
              <w:rPr>
                <w:noProof/>
                <w:webHidden/>
              </w:rPr>
              <w:fldChar w:fldCharType="separate"/>
            </w:r>
            <w:r>
              <w:rPr>
                <w:noProof/>
                <w:webHidden/>
              </w:rPr>
              <w:t>2</w:t>
            </w:r>
            <w:r>
              <w:rPr>
                <w:noProof/>
                <w:webHidden/>
              </w:rPr>
              <w:fldChar w:fldCharType="end"/>
            </w:r>
          </w:hyperlink>
        </w:p>
        <w:p w14:paraId="0B0BADB7" w14:textId="23799EBB" w:rsidR="003F0E52" w:rsidRDefault="003F0E52">
          <w:pPr>
            <w:pStyle w:val="TOC2"/>
            <w:tabs>
              <w:tab w:val="right" w:leader="dot" w:pos="9350"/>
            </w:tabs>
            <w:rPr>
              <w:noProof/>
              <w:kern w:val="2"/>
              <w:lang w:eastAsia="en-GB"/>
              <w14:ligatures w14:val="standardContextual"/>
            </w:rPr>
          </w:pPr>
          <w:hyperlink w:anchor="_Toc188445876" w:history="1">
            <w:r w:rsidRPr="007C62AF">
              <w:rPr>
                <w:rStyle w:val="Hyperlink"/>
                <w:rFonts w:asciiTheme="majorHAnsi" w:eastAsiaTheme="majorEastAsia" w:hAnsiTheme="majorHAnsi" w:cstheme="majorBidi"/>
                <w:b/>
                <w:bCs/>
                <w:noProof/>
              </w:rPr>
              <w:t>Outcome Document</w:t>
            </w:r>
            <w:r w:rsidRPr="007C62AF">
              <w:rPr>
                <w:rStyle w:val="Hyperlink"/>
                <w:noProof/>
              </w:rPr>
              <w:t xml:space="preserve"> </w:t>
            </w:r>
            <w:r w:rsidRPr="007C62AF">
              <w:rPr>
                <w:rStyle w:val="Hyperlink"/>
                <w:rFonts w:asciiTheme="majorHAnsi" w:eastAsiaTheme="majorEastAsia" w:hAnsiTheme="majorHAnsi" w:cstheme="majorBidi"/>
                <w:b/>
                <w:bCs/>
                <w:noProof/>
              </w:rPr>
              <w:t>Preparations</w:t>
            </w:r>
            <w:r>
              <w:rPr>
                <w:noProof/>
                <w:webHidden/>
              </w:rPr>
              <w:tab/>
            </w:r>
            <w:r>
              <w:rPr>
                <w:noProof/>
                <w:webHidden/>
              </w:rPr>
              <w:fldChar w:fldCharType="begin"/>
            </w:r>
            <w:r>
              <w:rPr>
                <w:noProof/>
                <w:webHidden/>
              </w:rPr>
              <w:instrText xml:space="preserve"> PAGEREF _Toc188445876 \h </w:instrText>
            </w:r>
            <w:r>
              <w:rPr>
                <w:noProof/>
                <w:webHidden/>
              </w:rPr>
            </w:r>
            <w:r>
              <w:rPr>
                <w:noProof/>
                <w:webHidden/>
              </w:rPr>
              <w:fldChar w:fldCharType="separate"/>
            </w:r>
            <w:r>
              <w:rPr>
                <w:noProof/>
                <w:webHidden/>
              </w:rPr>
              <w:t>3</w:t>
            </w:r>
            <w:r>
              <w:rPr>
                <w:noProof/>
                <w:webHidden/>
              </w:rPr>
              <w:fldChar w:fldCharType="end"/>
            </w:r>
          </w:hyperlink>
        </w:p>
        <w:p w14:paraId="5A13EE8A" w14:textId="2A3EE532" w:rsidR="003F0E52" w:rsidRDefault="003F0E52">
          <w:pPr>
            <w:pStyle w:val="TOC2"/>
            <w:tabs>
              <w:tab w:val="right" w:leader="dot" w:pos="9350"/>
            </w:tabs>
            <w:rPr>
              <w:noProof/>
              <w:kern w:val="2"/>
              <w:lang w:eastAsia="en-GB"/>
              <w14:ligatures w14:val="standardContextual"/>
            </w:rPr>
          </w:pPr>
          <w:hyperlink w:anchor="_Toc188445877" w:history="1">
            <w:r w:rsidRPr="007C62AF">
              <w:rPr>
                <w:rStyle w:val="Hyperlink"/>
                <w:b/>
                <w:bCs/>
                <w:noProof/>
              </w:rPr>
              <w:t>Key Outcomes</w:t>
            </w:r>
            <w:r>
              <w:rPr>
                <w:noProof/>
                <w:webHidden/>
              </w:rPr>
              <w:tab/>
            </w:r>
            <w:r>
              <w:rPr>
                <w:noProof/>
                <w:webHidden/>
              </w:rPr>
              <w:fldChar w:fldCharType="begin"/>
            </w:r>
            <w:r>
              <w:rPr>
                <w:noProof/>
                <w:webHidden/>
              </w:rPr>
              <w:instrText xml:space="preserve"> PAGEREF _Toc188445877 \h </w:instrText>
            </w:r>
            <w:r>
              <w:rPr>
                <w:noProof/>
                <w:webHidden/>
              </w:rPr>
            </w:r>
            <w:r>
              <w:rPr>
                <w:noProof/>
                <w:webHidden/>
              </w:rPr>
              <w:fldChar w:fldCharType="separate"/>
            </w:r>
            <w:r>
              <w:rPr>
                <w:noProof/>
                <w:webHidden/>
              </w:rPr>
              <w:t>3</w:t>
            </w:r>
            <w:r>
              <w:rPr>
                <w:noProof/>
                <w:webHidden/>
              </w:rPr>
              <w:fldChar w:fldCharType="end"/>
            </w:r>
          </w:hyperlink>
        </w:p>
        <w:p w14:paraId="49B312A7" w14:textId="4C35C7F9" w:rsidR="003F0E52" w:rsidRDefault="003F0E52">
          <w:pPr>
            <w:pStyle w:val="TOC2"/>
            <w:tabs>
              <w:tab w:val="right" w:leader="dot" w:pos="9350"/>
            </w:tabs>
            <w:rPr>
              <w:noProof/>
              <w:kern w:val="2"/>
              <w:lang w:eastAsia="en-GB"/>
              <w14:ligatures w14:val="standardContextual"/>
            </w:rPr>
          </w:pPr>
          <w:hyperlink w:anchor="_Toc188445878" w:history="1">
            <w:r w:rsidRPr="007C62AF">
              <w:rPr>
                <w:rStyle w:val="Hyperlink"/>
                <w:b/>
                <w:bCs/>
                <w:noProof/>
              </w:rPr>
              <w:t>Call to Action</w:t>
            </w:r>
            <w:r>
              <w:rPr>
                <w:noProof/>
                <w:webHidden/>
              </w:rPr>
              <w:tab/>
            </w:r>
            <w:r>
              <w:rPr>
                <w:noProof/>
                <w:webHidden/>
              </w:rPr>
              <w:fldChar w:fldCharType="begin"/>
            </w:r>
            <w:r>
              <w:rPr>
                <w:noProof/>
                <w:webHidden/>
              </w:rPr>
              <w:instrText xml:space="preserve"> PAGEREF _Toc188445878 \h </w:instrText>
            </w:r>
            <w:r>
              <w:rPr>
                <w:noProof/>
                <w:webHidden/>
              </w:rPr>
            </w:r>
            <w:r>
              <w:rPr>
                <w:noProof/>
                <w:webHidden/>
              </w:rPr>
              <w:fldChar w:fldCharType="separate"/>
            </w:r>
            <w:r>
              <w:rPr>
                <w:noProof/>
                <w:webHidden/>
              </w:rPr>
              <w:t>4</w:t>
            </w:r>
            <w:r>
              <w:rPr>
                <w:noProof/>
                <w:webHidden/>
              </w:rPr>
              <w:fldChar w:fldCharType="end"/>
            </w:r>
          </w:hyperlink>
        </w:p>
        <w:p w14:paraId="75DF676F" w14:textId="321D6224" w:rsidR="003F0E52" w:rsidRDefault="003F0E52">
          <w:pPr>
            <w:pStyle w:val="TOC3"/>
            <w:tabs>
              <w:tab w:val="right" w:leader="dot" w:pos="9350"/>
            </w:tabs>
            <w:rPr>
              <w:noProof/>
              <w:kern w:val="2"/>
              <w:lang w:eastAsia="en-GB"/>
              <w14:ligatures w14:val="standardContextual"/>
            </w:rPr>
          </w:pPr>
          <w:hyperlink w:anchor="_Toc188445879" w:history="1">
            <w:r w:rsidRPr="007C62AF">
              <w:rPr>
                <w:rStyle w:val="Hyperlink"/>
                <w:b/>
                <w:bCs/>
                <w:noProof/>
              </w:rPr>
              <w:t>Governments, NGOs, and Development Partners</w:t>
            </w:r>
            <w:r>
              <w:rPr>
                <w:noProof/>
                <w:webHidden/>
              </w:rPr>
              <w:tab/>
            </w:r>
            <w:r>
              <w:rPr>
                <w:noProof/>
                <w:webHidden/>
              </w:rPr>
              <w:fldChar w:fldCharType="begin"/>
            </w:r>
            <w:r>
              <w:rPr>
                <w:noProof/>
                <w:webHidden/>
              </w:rPr>
              <w:instrText xml:space="preserve"> PAGEREF _Toc188445879 \h </w:instrText>
            </w:r>
            <w:r>
              <w:rPr>
                <w:noProof/>
                <w:webHidden/>
              </w:rPr>
            </w:r>
            <w:r>
              <w:rPr>
                <w:noProof/>
                <w:webHidden/>
              </w:rPr>
              <w:fldChar w:fldCharType="separate"/>
            </w:r>
            <w:r>
              <w:rPr>
                <w:noProof/>
                <w:webHidden/>
              </w:rPr>
              <w:t>4</w:t>
            </w:r>
            <w:r>
              <w:rPr>
                <w:noProof/>
                <w:webHidden/>
              </w:rPr>
              <w:fldChar w:fldCharType="end"/>
            </w:r>
          </w:hyperlink>
        </w:p>
        <w:p w14:paraId="168FF434" w14:textId="00F4CC30" w:rsidR="003F0E52" w:rsidRDefault="003F0E52">
          <w:pPr>
            <w:pStyle w:val="TOC3"/>
            <w:tabs>
              <w:tab w:val="right" w:leader="dot" w:pos="9350"/>
            </w:tabs>
            <w:rPr>
              <w:noProof/>
              <w:kern w:val="2"/>
              <w:lang w:eastAsia="en-GB"/>
              <w14:ligatures w14:val="standardContextual"/>
            </w:rPr>
          </w:pPr>
          <w:hyperlink w:anchor="_Toc188445880" w:history="1">
            <w:r w:rsidRPr="007C62AF">
              <w:rPr>
                <w:rStyle w:val="Hyperlink"/>
                <w:b/>
                <w:bCs/>
                <w:noProof/>
              </w:rPr>
              <w:t>Organisations of Persons with Disabilities (OPDs)</w:t>
            </w:r>
            <w:r>
              <w:rPr>
                <w:noProof/>
                <w:webHidden/>
              </w:rPr>
              <w:tab/>
            </w:r>
            <w:r>
              <w:rPr>
                <w:noProof/>
                <w:webHidden/>
              </w:rPr>
              <w:fldChar w:fldCharType="begin"/>
            </w:r>
            <w:r>
              <w:rPr>
                <w:noProof/>
                <w:webHidden/>
              </w:rPr>
              <w:instrText xml:space="preserve"> PAGEREF _Toc188445880 \h </w:instrText>
            </w:r>
            <w:r>
              <w:rPr>
                <w:noProof/>
                <w:webHidden/>
              </w:rPr>
            </w:r>
            <w:r>
              <w:rPr>
                <w:noProof/>
                <w:webHidden/>
              </w:rPr>
              <w:fldChar w:fldCharType="separate"/>
            </w:r>
            <w:r>
              <w:rPr>
                <w:noProof/>
                <w:webHidden/>
              </w:rPr>
              <w:t>4</w:t>
            </w:r>
            <w:r>
              <w:rPr>
                <w:noProof/>
                <w:webHidden/>
              </w:rPr>
              <w:fldChar w:fldCharType="end"/>
            </w:r>
          </w:hyperlink>
        </w:p>
        <w:p w14:paraId="2B983181" w14:textId="7F464414" w:rsidR="003F0E52" w:rsidRDefault="003F0E52">
          <w:pPr>
            <w:pStyle w:val="TOC1"/>
            <w:tabs>
              <w:tab w:val="right" w:leader="dot" w:pos="9350"/>
            </w:tabs>
            <w:rPr>
              <w:noProof/>
              <w:kern w:val="2"/>
              <w:lang w:eastAsia="en-GB"/>
              <w14:ligatures w14:val="standardContextual"/>
            </w:rPr>
          </w:pPr>
          <w:hyperlink w:anchor="_Toc188445881" w:history="1">
            <w:r w:rsidRPr="007C62AF">
              <w:rPr>
                <w:rStyle w:val="Hyperlink"/>
                <w:b/>
                <w:bCs/>
                <w:noProof/>
              </w:rPr>
              <w:t>Background</w:t>
            </w:r>
            <w:r>
              <w:rPr>
                <w:noProof/>
                <w:webHidden/>
              </w:rPr>
              <w:tab/>
            </w:r>
            <w:r>
              <w:rPr>
                <w:noProof/>
                <w:webHidden/>
              </w:rPr>
              <w:fldChar w:fldCharType="begin"/>
            </w:r>
            <w:r>
              <w:rPr>
                <w:noProof/>
                <w:webHidden/>
              </w:rPr>
              <w:instrText xml:space="preserve"> PAGEREF _Toc188445881 \h </w:instrText>
            </w:r>
            <w:r>
              <w:rPr>
                <w:noProof/>
                <w:webHidden/>
              </w:rPr>
            </w:r>
            <w:r>
              <w:rPr>
                <w:noProof/>
                <w:webHidden/>
              </w:rPr>
              <w:fldChar w:fldCharType="separate"/>
            </w:r>
            <w:r>
              <w:rPr>
                <w:noProof/>
                <w:webHidden/>
              </w:rPr>
              <w:t>5</w:t>
            </w:r>
            <w:r>
              <w:rPr>
                <w:noProof/>
                <w:webHidden/>
              </w:rPr>
              <w:fldChar w:fldCharType="end"/>
            </w:r>
          </w:hyperlink>
        </w:p>
        <w:p w14:paraId="08AFE7B3" w14:textId="23616893" w:rsidR="003F0E52" w:rsidRDefault="003F0E52">
          <w:pPr>
            <w:pStyle w:val="TOC1"/>
            <w:tabs>
              <w:tab w:val="right" w:leader="dot" w:pos="9350"/>
            </w:tabs>
            <w:rPr>
              <w:noProof/>
              <w:kern w:val="2"/>
              <w:lang w:eastAsia="en-GB"/>
              <w14:ligatures w14:val="standardContextual"/>
            </w:rPr>
          </w:pPr>
          <w:hyperlink w:anchor="_Toc188445882" w:history="1">
            <w:r w:rsidRPr="007C62AF">
              <w:rPr>
                <w:rStyle w:val="Hyperlink"/>
                <w:b/>
                <w:bCs/>
                <w:noProof/>
              </w:rPr>
              <w:t>European Regional Disability Summit 2024</w:t>
            </w:r>
            <w:r>
              <w:rPr>
                <w:noProof/>
                <w:webHidden/>
              </w:rPr>
              <w:tab/>
            </w:r>
            <w:r>
              <w:rPr>
                <w:noProof/>
                <w:webHidden/>
              </w:rPr>
              <w:fldChar w:fldCharType="begin"/>
            </w:r>
            <w:r>
              <w:rPr>
                <w:noProof/>
                <w:webHidden/>
              </w:rPr>
              <w:instrText xml:space="preserve"> PAGEREF _Toc188445882 \h </w:instrText>
            </w:r>
            <w:r>
              <w:rPr>
                <w:noProof/>
                <w:webHidden/>
              </w:rPr>
            </w:r>
            <w:r>
              <w:rPr>
                <w:noProof/>
                <w:webHidden/>
              </w:rPr>
              <w:fldChar w:fldCharType="separate"/>
            </w:r>
            <w:r>
              <w:rPr>
                <w:noProof/>
                <w:webHidden/>
              </w:rPr>
              <w:t>7</w:t>
            </w:r>
            <w:r>
              <w:rPr>
                <w:noProof/>
                <w:webHidden/>
              </w:rPr>
              <w:fldChar w:fldCharType="end"/>
            </w:r>
          </w:hyperlink>
        </w:p>
        <w:p w14:paraId="5F587C97" w14:textId="4DDAD533" w:rsidR="003F0E52" w:rsidRDefault="003F0E52">
          <w:pPr>
            <w:pStyle w:val="TOC2"/>
            <w:tabs>
              <w:tab w:val="right" w:leader="dot" w:pos="9350"/>
            </w:tabs>
            <w:rPr>
              <w:noProof/>
              <w:kern w:val="2"/>
              <w:lang w:eastAsia="en-GB"/>
              <w14:ligatures w14:val="standardContextual"/>
            </w:rPr>
          </w:pPr>
          <w:hyperlink w:anchor="_Toc188445883" w:history="1">
            <w:r w:rsidRPr="007C62AF">
              <w:rPr>
                <w:rStyle w:val="Hyperlink"/>
                <w:b/>
                <w:bCs/>
                <w:noProof/>
              </w:rPr>
              <w:t>Pre-Summit Participants</w:t>
            </w:r>
            <w:r>
              <w:rPr>
                <w:noProof/>
                <w:webHidden/>
              </w:rPr>
              <w:tab/>
            </w:r>
            <w:r>
              <w:rPr>
                <w:noProof/>
                <w:webHidden/>
              </w:rPr>
              <w:fldChar w:fldCharType="begin"/>
            </w:r>
            <w:r>
              <w:rPr>
                <w:noProof/>
                <w:webHidden/>
              </w:rPr>
              <w:instrText xml:space="preserve"> PAGEREF _Toc188445883 \h </w:instrText>
            </w:r>
            <w:r>
              <w:rPr>
                <w:noProof/>
                <w:webHidden/>
              </w:rPr>
            </w:r>
            <w:r>
              <w:rPr>
                <w:noProof/>
                <w:webHidden/>
              </w:rPr>
              <w:fldChar w:fldCharType="separate"/>
            </w:r>
            <w:r>
              <w:rPr>
                <w:noProof/>
                <w:webHidden/>
              </w:rPr>
              <w:t>7</w:t>
            </w:r>
            <w:r>
              <w:rPr>
                <w:noProof/>
                <w:webHidden/>
              </w:rPr>
              <w:fldChar w:fldCharType="end"/>
            </w:r>
          </w:hyperlink>
        </w:p>
        <w:p w14:paraId="60B0A065" w14:textId="788EB1EA" w:rsidR="003F0E52" w:rsidRDefault="003F0E52">
          <w:pPr>
            <w:pStyle w:val="TOC2"/>
            <w:tabs>
              <w:tab w:val="right" w:leader="dot" w:pos="9350"/>
            </w:tabs>
            <w:rPr>
              <w:noProof/>
              <w:kern w:val="2"/>
              <w:lang w:eastAsia="en-GB"/>
              <w14:ligatures w14:val="standardContextual"/>
            </w:rPr>
          </w:pPr>
          <w:hyperlink w:anchor="_Toc188445884" w:history="1">
            <w:r w:rsidRPr="007C62AF">
              <w:rPr>
                <w:rStyle w:val="Hyperlink"/>
                <w:b/>
                <w:bCs/>
                <w:noProof/>
              </w:rPr>
              <w:t>Pre-Summit Objectives</w:t>
            </w:r>
            <w:r>
              <w:rPr>
                <w:noProof/>
                <w:webHidden/>
              </w:rPr>
              <w:tab/>
            </w:r>
            <w:r>
              <w:rPr>
                <w:noProof/>
                <w:webHidden/>
              </w:rPr>
              <w:fldChar w:fldCharType="begin"/>
            </w:r>
            <w:r>
              <w:rPr>
                <w:noProof/>
                <w:webHidden/>
              </w:rPr>
              <w:instrText xml:space="preserve"> PAGEREF _Toc188445884 \h </w:instrText>
            </w:r>
            <w:r>
              <w:rPr>
                <w:noProof/>
                <w:webHidden/>
              </w:rPr>
            </w:r>
            <w:r>
              <w:rPr>
                <w:noProof/>
                <w:webHidden/>
              </w:rPr>
              <w:fldChar w:fldCharType="separate"/>
            </w:r>
            <w:r>
              <w:rPr>
                <w:noProof/>
                <w:webHidden/>
              </w:rPr>
              <w:t>7</w:t>
            </w:r>
            <w:r>
              <w:rPr>
                <w:noProof/>
                <w:webHidden/>
              </w:rPr>
              <w:fldChar w:fldCharType="end"/>
            </w:r>
          </w:hyperlink>
        </w:p>
        <w:p w14:paraId="73061FF9" w14:textId="62D43541" w:rsidR="003F0E52" w:rsidRDefault="003F0E52">
          <w:pPr>
            <w:pStyle w:val="TOC2"/>
            <w:tabs>
              <w:tab w:val="right" w:leader="dot" w:pos="9350"/>
            </w:tabs>
            <w:rPr>
              <w:noProof/>
              <w:kern w:val="2"/>
              <w:lang w:eastAsia="en-GB"/>
              <w14:ligatures w14:val="standardContextual"/>
            </w:rPr>
          </w:pPr>
          <w:hyperlink w:anchor="_Toc188445885" w:history="1">
            <w:r w:rsidRPr="007C62AF">
              <w:rPr>
                <w:rStyle w:val="Hyperlink"/>
                <w:b/>
                <w:bCs/>
                <w:noProof/>
              </w:rPr>
              <w:t>Pre-Summit Outcomes</w:t>
            </w:r>
            <w:r>
              <w:rPr>
                <w:noProof/>
                <w:webHidden/>
              </w:rPr>
              <w:tab/>
            </w:r>
            <w:r>
              <w:rPr>
                <w:noProof/>
                <w:webHidden/>
              </w:rPr>
              <w:fldChar w:fldCharType="begin"/>
            </w:r>
            <w:r>
              <w:rPr>
                <w:noProof/>
                <w:webHidden/>
              </w:rPr>
              <w:instrText xml:space="preserve"> PAGEREF _Toc188445885 \h </w:instrText>
            </w:r>
            <w:r>
              <w:rPr>
                <w:noProof/>
                <w:webHidden/>
              </w:rPr>
            </w:r>
            <w:r>
              <w:rPr>
                <w:noProof/>
                <w:webHidden/>
              </w:rPr>
              <w:fldChar w:fldCharType="separate"/>
            </w:r>
            <w:r>
              <w:rPr>
                <w:noProof/>
                <w:webHidden/>
              </w:rPr>
              <w:t>8</w:t>
            </w:r>
            <w:r>
              <w:rPr>
                <w:noProof/>
                <w:webHidden/>
              </w:rPr>
              <w:fldChar w:fldCharType="end"/>
            </w:r>
          </w:hyperlink>
        </w:p>
        <w:p w14:paraId="4D059921" w14:textId="32F2218F" w:rsidR="003F0E52" w:rsidRDefault="003F0E52">
          <w:pPr>
            <w:pStyle w:val="TOC3"/>
            <w:tabs>
              <w:tab w:val="right" w:leader="dot" w:pos="9350"/>
            </w:tabs>
            <w:rPr>
              <w:noProof/>
              <w:kern w:val="2"/>
              <w:lang w:eastAsia="en-GB"/>
              <w14:ligatures w14:val="standardContextual"/>
            </w:rPr>
          </w:pPr>
          <w:hyperlink w:anchor="_Toc188445886" w:history="1">
            <w:r w:rsidRPr="007C62AF">
              <w:rPr>
                <w:rStyle w:val="Hyperlink"/>
                <w:b/>
                <w:bCs/>
                <w:noProof/>
              </w:rPr>
              <w:t>Priorities: Inclusive International Cooperation &amp; Humanitarian Action</w:t>
            </w:r>
            <w:r>
              <w:rPr>
                <w:noProof/>
                <w:webHidden/>
              </w:rPr>
              <w:tab/>
            </w:r>
            <w:r>
              <w:rPr>
                <w:noProof/>
                <w:webHidden/>
              </w:rPr>
              <w:fldChar w:fldCharType="begin"/>
            </w:r>
            <w:r>
              <w:rPr>
                <w:noProof/>
                <w:webHidden/>
              </w:rPr>
              <w:instrText xml:space="preserve"> PAGEREF _Toc188445886 \h </w:instrText>
            </w:r>
            <w:r>
              <w:rPr>
                <w:noProof/>
                <w:webHidden/>
              </w:rPr>
            </w:r>
            <w:r>
              <w:rPr>
                <w:noProof/>
                <w:webHidden/>
              </w:rPr>
              <w:fldChar w:fldCharType="separate"/>
            </w:r>
            <w:r>
              <w:rPr>
                <w:noProof/>
                <w:webHidden/>
              </w:rPr>
              <w:t>8</w:t>
            </w:r>
            <w:r>
              <w:rPr>
                <w:noProof/>
                <w:webHidden/>
              </w:rPr>
              <w:fldChar w:fldCharType="end"/>
            </w:r>
          </w:hyperlink>
        </w:p>
        <w:p w14:paraId="6AD062A0" w14:textId="659E2CD1" w:rsidR="003F0E52" w:rsidRDefault="003F0E52">
          <w:pPr>
            <w:pStyle w:val="TOC3"/>
            <w:tabs>
              <w:tab w:val="right" w:leader="dot" w:pos="9350"/>
            </w:tabs>
            <w:rPr>
              <w:noProof/>
              <w:kern w:val="2"/>
              <w:lang w:eastAsia="en-GB"/>
              <w14:ligatures w14:val="standardContextual"/>
            </w:rPr>
          </w:pPr>
          <w:hyperlink w:anchor="_Toc188445887" w:history="1">
            <w:r w:rsidRPr="007C62AF">
              <w:rPr>
                <w:rStyle w:val="Hyperlink"/>
                <w:b/>
                <w:bCs/>
                <w:noProof/>
              </w:rPr>
              <w:t>Recommendations: Inclusive International Cooperation &amp; Humanitarian Action</w:t>
            </w:r>
            <w:r>
              <w:rPr>
                <w:noProof/>
                <w:webHidden/>
              </w:rPr>
              <w:tab/>
            </w:r>
            <w:r>
              <w:rPr>
                <w:noProof/>
                <w:webHidden/>
              </w:rPr>
              <w:fldChar w:fldCharType="begin"/>
            </w:r>
            <w:r>
              <w:rPr>
                <w:noProof/>
                <w:webHidden/>
              </w:rPr>
              <w:instrText xml:space="preserve"> PAGEREF _Toc188445887 \h </w:instrText>
            </w:r>
            <w:r>
              <w:rPr>
                <w:noProof/>
                <w:webHidden/>
              </w:rPr>
            </w:r>
            <w:r>
              <w:rPr>
                <w:noProof/>
                <w:webHidden/>
              </w:rPr>
              <w:fldChar w:fldCharType="separate"/>
            </w:r>
            <w:r>
              <w:rPr>
                <w:noProof/>
                <w:webHidden/>
              </w:rPr>
              <w:t>14</w:t>
            </w:r>
            <w:r>
              <w:rPr>
                <w:noProof/>
                <w:webHidden/>
              </w:rPr>
              <w:fldChar w:fldCharType="end"/>
            </w:r>
          </w:hyperlink>
        </w:p>
        <w:p w14:paraId="0E83EC83" w14:textId="57647395" w:rsidR="002F10F2" w:rsidRPr="00610D0B" w:rsidRDefault="009A4733" w:rsidP="00463F41">
          <w:pPr>
            <w:rPr>
              <w:b/>
              <w:bCs/>
            </w:rPr>
          </w:pPr>
          <w:r w:rsidRPr="001342E7">
            <w:rPr>
              <w:b/>
              <w:bCs/>
            </w:rPr>
            <w:fldChar w:fldCharType="end"/>
          </w:r>
        </w:p>
      </w:sdtContent>
    </w:sdt>
    <w:p w14:paraId="5726C5F3" w14:textId="538E208F" w:rsidR="005917C3" w:rsidRPr="00463F41" w:rsidRDefault="005917C3" w:rsidP="00463F41">
      <w:pPr>
        <w:rPr>
          <w:rFonts w:eastAsiaTheme="majorEastAsia"/>
          <w:b/>
          <w:bCs/>
          <w:color w:val="252253"/>
          <w:sz w:val="40"/>
          <w:szCs w:val="40"/>
        </w:rPr>
      </w:pPr>
      <w:r w:rsidRPr="00463F41">
        <w:rPr>
          <w:rFonts w:eastAsiaTheme="majorEastAsia"/>
          <w:b/>
          <w:bCs/>
          <w:color w:val="252253"/>
          <w:sz w:val="40"/>
          <w:szCs w:val="40"/>
        </w:rPr>
        <w:t>More Information</w:t>
      </w:r>
      <w:r w:rsidR="00665AFB" w:rsidRPr="00463F41">
        <w:rPr>
          <w:rFonts w:eastAsiaTheme="majorEastAsia"/>
          <w:b/>
          <w:bCs/>
          <w:color w:val="252253"/>
          <w:sz w:val="40"/>
          <w:szCs w:val="40"/>
        </w:rPr>
        <w:t xml:space="preserve"> </w:t>
      </w:r>
    </w:p>
    <w:p w14:paraId="0584EFA5" w14:textId="280E126E" w:rsidR="005917C3" w:rsidRPr="0027685B" w:rsidRDefault="005917C3" w:rsidP="005917C3">
      <w:pPr>
        <w:spacing w:after="0" w:line="276" w:lineRule="auto"/>
        <w:contextualSpacing/>
        <w:rPr>
          <w:rFonts w:ascii="Aptos" w:eastAsia="MS Mincho" w:hAnsi="Aptos" w:cs="Arial"/>
          <w:color w:val="467886" w:themeColor="hyperlink"/>
          <w:u w:val="single"/>
        </w:rPr>
      </w:pPr>
      <w:r w:rsidRPr="005917C3">
        <w:rPr>
          <w:rFonts w:ascii="Aptos" w:eastAsia="MS Mincho" w:hAnsi="Aptos" w:cs="Arial"/>
        </w:rPr>
        <w:t xml:space="preserve">For more information about the </w:t>
      </w:r>
      <w:r w:rsidR="0065401D">
        <w:rPr>
          <w:rFonts w:ascii="Aptos" w:eastAsia="MS Mincho" w:hAnsi="Aptos" w:cs="Arial"/>
        </w:rPr>
        <w:t>European Regional Disability Summit</w:t>
      </w:r>
      <w:r w:rsidR="0092395C">
        <w:rPr>
          <w:rFonts w:ascii="Aptos" w:eastAsia="MS Mincho" w:hAnsi="Aptos" w:cs="Arial"/>
        </w:rPr>
        <w:t xml:space="preserve"> 2024</w:t>
      </w:r>
      <w:r w:rsidR="0065401D">
        <w:rPr>
          <w:rFonts w:ascii="Aptos" w:eastAsia="MS Mincho" w:hAnsi="Aptos" w:cs="Arial"/>
        </w:rPr>
        <w:t>,</w:t>
      </w:r>
      <w:r w:rsidRPr="005917C3">
        <w:rPr>
          <w:rFonts w:ascii="Aptos" w:eastAsia="MS Mincho" w:hAnsi="Aptos" w:cs="Arial"/>
        </w:rPr>
        <w:t xml:space="preserve"> including the full programme, please view the</w:t>
      </w:r>
      <w:r w:rsidR="0027685B">
        <w:rPr>
          <w:rFonts w:ascii="Aptos" w:eastAsia="MS Mincho" w:hAnsi="Aptos" w:cs="Arial"/>
        </w:rPr>
        <w:t xml:space="preserve"> </w:t>
      </w:r>
      <w:hyperlink r:id="rId13" w:history="1">
        <w:r w:rsidR="00F30B0B" w:rsidRPr="00F30B0B">
          <w:rPr>
            <w:rStyle w:val="Hyperlink"/>
            <w:rFonts w:ascii="Aptos" w:eastAsia="MS Mincho" w:hAnsi="Aptos" w:cs="Arial"/>
          </w:rPr>
          <w:t>pre-summit’s website</w:t>
        </w:r>
      </w:hyperlink>
      <w:r w:rsidR="00F30B0B">
        <w:rPr>
          <w:rFonts w:ascii="Aptos" w:eastAsia="MS Mincho" w:hAnsi="Aptos" w:cs="Arial"/>
        </w:rPr>
        <w:t>.</w:t>
      </w:r>
    </w:p>
    <w:p w14:paraId="21335C49" w14:textId="170F063B" w:rsidR="00D374E8" w:rsidRPr="0027685B" w:rsidRDefault="00D374E8" w:rsidP="005917C3">
      <w:pPr>
        <w:spacing w:after="0" w:line="276" w:lineRule="auto"/>
        <w:contextualSpacing/>
        <w:rPr>
          <w:rFonts w:ascii="Aptos" w:eastAsia="MS Mincho" w:hAnsi="Aptos" w:cs="Arial"/>
          <w:color w:val="467886" w:themeColor="hyperlink"/>
          <w:u w:val="single"/>
        </w:rPr>
      </w:pPr>
    </w:p>
    <w:p w14:paraId="5378D4A1" w14:textId="703B95E6" w:rsidR="00D374E8" w:rsidRPr="005917C3" w:rsidRDefault="00D374E8" w:rsidP="005917C3">
      <w:pPr>
        <w:spacing w:after="0" w:line="276" w:lineRule="auto"/>
        <w:contextualSpacing/>
        <w:rPr>
          <w:rFonts w:ascii="Aptos" w:eastAsia="MS Mincho" w:hAnsi="Aptos" w:cs="Arial"/>
        </w:rPr>
      </w:pPr>
      <w:r w:rsidRPr="0027685B">
        <w:rPr>
          <w:rFonts w:ascii="Aptos" w:eastAsia="MS Mincho" w:hAnsi="Aptos" w:cs="Arial"/>
          <w:color w:val="467886" w:themeColor="hyperlink"/>
          <w:u w:val="single"/>
        </w:rPr>
        <w:t>F</w:t>
      </w:r>
      <w:r>
        <w:rPr>
          <w:rFonts w:ascii="Aptos" w:eastAsia="MS Mincho" w:hAnsi="Aptos" w:cs="Arial"/>
        </w:rPr>
        <w:t xml:space="preserve">or more information about the Global Disability Summit 2025, please view the </w:t>
      </w:r>
      <w:hyperlink r:id="rId14" w:history="1">
        <w:r w:rsidR="0027685B" w:rsidRPr="0027685B">
          <w:rPr>
            <w:rStyle w:val="Hyperlink"/>
            <w:rFonts w:ascii="Aptos" w:eastAsia="MS Mincho" w:hAnsi="Aptos" w:cs="Arial"/>
          </w:rPr>
          <w:t>GDS2025 website</w:t>
        </w:r>
      </w:hyperlink>
      <w:r w:rsidR="0027685B">
        <w:rPr>
          <w:rFonts w:ascii="Aptos" w:eastAsia="MS Mincho" w:hAnsi="Aptos" w:cs="Arial"/>
        </w:rPr>
        <w:t>.</w:t>
      </w:r>
    </w:p>
    <w:p w14:paraId="57EA43CA" w14:textId="77777777" w:rsidR="005917C3" w:rsidRPr="005917C3" w:rsidRDefault="005917C3" w:rsidP="005917C3">
      <w:pPr>
        <w:spacing w:after="0" w:line="276" w:lineRule="auto"/>
        <w:contextualSpacing/>
        <w:rPr>
          <w:rFonts w:ascii="Aptos" w:eastAsia="MS Mincho" w:hAnsi="Aptos" w:cs="Arial"/>
        </w:rPr>
      </w:pPr>
    </w:p>
    <w:p w14:paraId="513774B9" w14:textId="77777777" w:rsidR="005917C3" w:rsidRPr="005917C3" w:rsidRDefault="005917C3" w:rsidP="005917C3">
      <w:pPr>
        <w:spacing w:after="0" w:line="276" w:lineRule="auto"/>
        <w:contextualSpacing/>
        <w:rPr>
          <w:rFonts w:ascii="Aptos" w:eastAsia="MS Mincho" w:hAnsi="Aptos" w:cs="Arial"/>
        </w:rPr>
      </w:pPr>
      <w:r w:rsidRPr="005917C3">
        <w:rPr>
          <w:rFonts w:ascii="Aptos" w:eastAsia="MS Mincho" w:hAnsi="Aptos" w:cs="Arial"/>
        </w:rPr>
        <w:t xml:space="preserve">For any questions, please contact the European Disability Forum International Cooperation team at </w:t>
      </w:r>
      <w:hyperlink r:id="rId15" w:history="1">
        <w:r w:rsidRPr="005917C3">
          <w:rPr>
            <w:rFonts w:ascii="Aptos" w:eastAsia="MS Mincho" w:hAnsi="Aptos" w:cs="Arial"/>
            <w:color w:val="467886" w:themeColor="hyperlink"/>
            <w:u w:val="single"/>
          </w:rPr>
          <w:t>international.cooperation@edf-feph.org</w:t>
        </w:r>
      </w:hyperlink>
      <w:r w:rsidRPr="005917C3">
        <w:rPr>
          <w:rFonts w:ascii="Aptos" w:eastAsia="MS Mincho" w:hAnsi="Aptos" w:cs="Arial"/>
        </w:rPr>
        <w:t>.</w:t>
      </w:r>
    </w:p>
    <w:p w14:paraId="6A6DC474" w14:textId="595B0B5D" w:rsidR="00610D0B" w:rsidRPr="00610D0B" w:rsidRDefault="0027619E">
      <w:pPr>
        <w:spacing w:line="278" w:lineRule="auto"/>
        <w:rPr>
          <w:b/>
          <w:bCs/>
          <w:color w:val="252253"/>
        </w:rPr>
      </w:pPr>
      <w:r>
        <w:rPr>
          <w:b/>
          <w:bCs/>
          <w:color w:val="252253"/>
        </w:rPr>
        <w:br w:type="page"/>
      </w:r>
    </w:p>
    <w:p w14:paraId="31788078" w14:textId="247427C6" w:rsidR="00D52BCE" w:rsidRPr="0027619E" w:rsidRDefault="00EF5CF8" w:rsidP="004E17B7">
      <w:pPr>
        <w:pStyle w:val="Heading1"/>
        <w:spacing w:before="0" w:after="0" w:line="276" w:lineRule="auto"/>
        <w:rPr>
          <w:b/>
          <w:bCs/>
          <w:color w:val="252253"/>
        </w:rPr>
      </w:pPr>
      <w:bookmarkStart w:id="0" w:name="_Toc188445874"/>
      <w:r w:rsidRPr="0027619E">
        <w:rPr>
          <w:b/>
          <w:bCs/>
          <w:color w:val="252253"/>
        </w:rPr>
        <w:lastRenderedPageBreak/>
        <w:t xml:space="preserve">Executive </w:t>
      </w:r>
      <w:r w:rsidR="00D52BCE" w:rsidRPr="0027619E">
        <w:rPr>
          <w:b/>
          <w:bCs/>
          <w:color w:val="252253"/>
        </w:rPr>
        <w:t>Summary</w:t>
      </w:r>
      <w:bookmarkEnd w:id="0"/>
      <w:r w:rsidR="00D52BCE" w:rsidRPr="0027619E">
        <w:rPr>
          <w:b/>
          <w:bCs/>
          <w:color w:val="252253"/>
        </w:rPr>
        <w:t xml:space="preserve"> </w:t>
      </w:r>
    </w:p>
    <w:p w14:paraId="478089EC" w14:textId="1721B4CF" w:rsidR="00CA1900" w:rsidRPr="001342E7" w:rsidRDefault="00CA1900" w:rsidP="00873AD4">
      <w:r w:rsidRPr="001342E7">
        <w:t xml:space="preserve">The co-hosts of the Global Disability Summit 2025 (GDS2025) recommended the organisation </w:t>
      </w:r>
      <w:r>
        <w:t>of</w:t>
      </w:r>
      <w:r w:rsidRPr="22F8D1B5">
        <w:rPr>
          <w:rFonts w:ascii="Arial" w:hAnsi="Arial" w:cs="Arial"/>
        </w:rPr>
        <w:t> </w:t>
      </w:r>
      <w:r>
        <w:t>regional</w:t>
      </w:r>
      <w:r w:rsidRPr="001342E7">
        <w:t xml:space="preserve"> pre-summits. These gatherings aim</w:t>
      </w:r>
      <w:r w:rsidR="001342E7" w:rsidRPr="001342E7">
        <w:t>ed</w:t>
      </w:r>
      <w:r w:rsidRPr="001342E7">
        <w:t xml:space="preserve"> to stimulate international collaboration and place emphasis on region-specific dialogues on international cooperation and humanitarian action that </w:t>
      </w:r>
      <w:r w:rsidR="00E35EA7" w:rsidRPr="001342E7">
        <w:t>would ultimately</w:t>
      </w:r>
      <w:r w:rsidRPr="001342E7">
        <w:t xml:space="preserve"> </w:t>
      </w:r>
      <w:r w:rsidR="00AC2A93" w:rsidRPr="00AC2A93">
        <w:t>enhanc</w:t>
      </w:r>
      <w:r w:rsidR="00AC2A93">
        <w:t>e</w:t>
      </w:r>
      <w:r w:rsidR="00AC2A93" w:rsidRPr="00AC2A93">
        <w:t xml:space="preserve"> the inclusivity and effectiveness of these efforts worldwide.</w:t>
      </w:r>
    </w:p>
    <w:p w14:paraId="747D0E7A" w14:textId="1FBF1BA4" w:rsidR="00873AD4" w:rsidRPr="00873AD4" w:rsidRDefault="00873AD4" w:rsidP="00873AD4">
      <w:r w:rsidRPr="00873AD4">
        <w:t xml:space="preserve">In response, the German Federal Ministry of Labour and Social Affairs, the European Disability Forum, and the German Disability Council convened a High-Level European Regional Disability Summit on </w:t>
      </w:r>
      <w:r w:rsidR="41A33BF9">
        <w:t>6</w:t>
      </w:r>
      <w:r w:rsidR="41A33BF9" w:rsidRPr="22F8D1B5">
        <w:rPr>
          <w:vertAlign w:val="superscript"/>
        </w:rPr>
        <w:t>th</w:t>
      </w:r>
      <w:r w:rsidR="41A33BF9">
        <w:t xml:space="preserve"> </w:t>
      </w:r>
      <w:r w:rsidRPr="00873AD4">
        <w:t xml:space="preserve">December 2024. This pre-summit aimed to raise awareness about the importance of inclusive international cooperation and humanitarian action, bringing together partners from greater Europe and Central Asia in collaboration with Organisations of Persons with Disabilities (OPDs). It focused on </w:t>
      </w:r>
      <w:r w:rsidR="00A90C8C">
        <w:t xml:space="preserve">the </w:t>
      </w:r>
      <w:r w:rsidRPr="00873AD4">
        <w:t>implement</w:t>
      </w:r>
      <w:r w:rsidR="00A90C8C">
        <w:t>atio</w:t>
      </w:r>
      <w:r w:rsidR="00D50C9E">
        <w:t>n of</w:t>
      </w:r>
      <w:r w:rsidRPr="00873AD4">
        <w:t xml:space="preserve"> the UN Convention on the Rights of Persons with Disabilities (UNCRPD) to drive progress in disability rights.</w:t>
      </w:r>
    </w:p>
    <w:p w14:paraId="54555C34" w14:textId="256F61B9" w:rsidR="00873AD4" w:rsidRPr="00873AD4" w:rsidRDefault="00873AD4" w:rsidP="00873AD4">
      <w:r w:rsidRPr="00873AD4">
        <w:t>The summit united over 800 participants, both in-person and online, including government representatives, OPDs, civil society organi</w:t>
      </w:r>
      <w:r w:rsidR="00D50C9E">
        <w:t>s</w:t>
      </w:r>
      <w:r w:rsidRPr="00873AD4">
        <w:t xml:space="preserve">ations, and private sector leaders. It served as a platform to </w:t>
      </w:r>
      <w:r>
        <w:t>d</w:t>
      </w:r>
      <w:r w:rsidR="006860EA">
        <w:t xml:space="preserve">iscuss the </w:t>
      </w:r>
      <w:r w:rsidR="00B52263">
        <w:t>future of</w:t>
      </w:r>
      <w:r w:rsidR="00811EAE">
        <w:t xml:space="preserve"> </w:t>
      </w:r>
      <w:r w:rsidR="00811EAE" w:rsidRPr="00873AD4">
        <w:t>disability</w:t>
      </w:r>
      <w:r w:rsidRPr="00873AD4">
        <w:t xml:space="preserve">-inclusive </w:t>
      </w:r>
      <w:r w:rsidR="00B52263">
        <w:t xml:space="preserve">international </w:t>
      </w:r>
      <w:r w:rsidRPr="00873AD4">
        <w:t xml:space="preserve">cooperation and </w:t>
      </w:r>
      <w:r w:rsidR="00B52263">
        <w:t>human</w:t>
      </w:r>
      <w:r w:rsidR="00067C2E">
        <w:t xml:space="preserve">itarian </w:t>
      </w:r>
      <w:r w:rsidRPr="00873AD4">
        <w:t>action,</w:t>
      </w:r>
      <w:r w:rsidR="00067C2E">
        <w:t xml:space="preserve"> while</w:t>
      </w:r>
      <w:r w:rsidRPr="00873AD4">
        <w:t xml:space="preserve"> </w:t>
      </w:r>
      <w:r w:rsidR="00811EAE">
        <w:t xml:space="preserve">highlighting </w:t>
      </w:r>
      <w:r w:rsidRPr="00873AD4">
        <w:t xml:space="preserve">systemic ableism, </w:t>
      </w:r>
      <w:r w:rsidR="00811EAE">
        <w:t>meaningful engagement with</w:t>
      </w:r>
      <w:r w:rsidRPr="00873AD4">
        <w:t xml:space="preserve"> OPDs, and develop</w:t>
      </w:r>
      <w:r w:rsidR="00811EAE">
        <w:t>ing</w:t>
      </w:r>
      <w:r w:rsidRPr="00873AD4">
        <w:t xml:space="preserve"> inclusive policies to respond to global crises such as climate change and conflicts.</w:t>
      </w:r>
    </w:p>
    <w:p w14:paraId="6389D53D" w14:textId="5C79FCC1" w:rsidR="00873AD4" w:rsidRPr="00873AD4" w:rsidRDefault="00873AD4" w:rsidP="00873AD4">
      <w:r w:rsidRPr="00873AD4">
        <w:t>Central to discussions were Articles 11 and 32 of the UNCRPD, which stress equitable inclusion during emergencies and in international cooperation. The summit also explored sustainable development,</w:t>
      </w:r>
      <w:r w:rsidR="00BA3E95">
        <w:t xml:space="preserve"> </w:t>
      </w:r>
      <w:r w:rsidR="00AB657A">
        <w:t>official development assistance,</w:t>
      </w:r>
      <w:r w:rsidR="008C0A0F">
        <w:t xml:space="preserve"> inclusive education, decent work,</w:t>
      </w:r>
      <w:r w:rsidR="00BA3E95">
        <w:t xml:space="preserve"> independent </w:t>
      </w:r>
      <w:r w:rsidR="003149A5">
        <w:t xml:space="preserve">living, </w:t>
      </w:r>
      <w:r w:rsidR="003149A5" w:rsidRPr="00873AD4">
        <w:t>gender</w:t>
      </w:r>
      <w:r w:rsidRPr="00873AD4">
        <w:t xml:space="preserve"> equality, and accessibility, highlighting successful initiatives while addressing persistent gaps in disability inclusion.</w:t>
      </w:r>
    </w:p>
    <w:p w14:paraId="3525E0DB" w14:textId="6FF8F4B6" w:rsidR="00873AD4" w:rsidRDefault="00873AD4" w:rsidP="00873AD4">
      <w:r w:rsidRPr="00873AD4">
        <w:t>By fostering high-level engagement, the summit reinforced the need for collaborative action to ensure disability inclusion remains a priority in addressing global and regional challenges.</w:t>
      </w:r>
      <w:r w:rsidR="00061E64">
        <w:t xml:space="preserve"> </w:t>
      </w:r>
      <w:r w:rsidR="00E27371">
        <w:t xml:space="preserve"> </w:t>
      </w:r>
    </w:p>
    <w:p w14:paraId="35777746" w14:textId="644B3B11" w:rsidR="00EF5CF8" w:rsidRPr="001342E7" w:rsidRDefault="00507B89" w:rsidP="00873AD4">
      <w:pPr>
        <w:pStyle w:val="Heading2"/>
        <w:rPr>
          <w:b/>
          <w:bCs/>
          <w:color w:val="CF1270"/>
        </w:rPr>
      </w:pPr>
      <w:bookmarkStart w:id="1" w:name="_Toc188445875"/>
      <w:r w:rsidRPr="001342E7">
        <w:rPr>
          <w:b/>
          <w:bCs/>
          <w:color w:val="CF1270"/>
        </w:rPr>
        <w:t xml:space="preserve">Outcome Document </w:t>
      </w:r>
      <w:r w:rsidR="00EF5CF8" w:rsidRPr="001342E7">
        <w:rPr>
          <w:b/>
          <w:bCs/>
          <w:color w:val="CF1270"/>
        </w:rPr>
        <w:t>Purpose</w:t>
      </w:r>
      <w:bookmarkEnd w:id="1"/>
    </w:p>
    <w:p w14:paraId="6C3B1B1A" w14:textId="4E626E74" w:rsidR="00A30A01" w:rsidRPr="001342E7" w:rsidRDefault="00A30A01" w:rsidP="00896268">
      <w:r w:rsidRPr="001342E7">
        <w:t>The European Regional Disability Summit Outcome Document serves as a comprehensive resource, shedding light on the priorities and recommendations for disability-inclusive international cooperation and humanitarian action, as articulated by the disability rights movement in the region</w:t>
      </w:r>
      <w:r w:rsidR="00A72C48">
        <w:t xml:space="preserve"> before, during and after the pre-summit</w:t>
      </w:r>
      <w:r w:rsidRPr="001342E7">
        <w:t xml:space="preserve">. It offers critical insights into the current state of disability inclusion, highlighting both significant achievements and </w:t>
      </w:r>
      <w:r w:rsidRPr="001342E7">
        <w:lastRenderedPageBreak/>
        <w:t>persistent challenges within existing practices, polic</w:t>
      </w:r>
      <w:r w:rsidR="00AF4715">
        <w:t>i</w:t>
      </w:r>
      <w:r w:rsidRPr="001342E7">
        <w:t>es, programmes and projects</w:t>
      </w:r>
      <w:r w:rsidR="00CC178F">
        <w:t xml:space="preserve"> </w:t>
      </w:r>
      <w:r w:rsidR="00BE49BF">
        <w:t xml:space="preserve">in the context of </w:t>
      </w:r>
      <w:r w:rsidR="00CC178F">
        <w:t>international cooperation and humanitarian action</w:t>
      </w:r>
      <w:r w:rsidRPr="001342E7">
        <w:t>.</w:t>
      </w:r>
    </w:p>
    <w:p w14:paraId="34DD5335" w14:textId="20346899" w:rsidR="00A30A01" w:rsidRPr="001342E7" w:rsidRDefault="00A30A01" w:rsidP="00896268">
      <w:r w:rsidRPr="001342E7">
        <w:t>At its heart, the Outcome Document amplifies the voices of the disability rights movement, presenting the region’s most pressing priorities for advancing disability inclusion. These priorities and recommendations are drawn from a series of consultation meetings, key insights from the pre-summit, and continuous feedback throughout the drafting process</w:t>
      </w:r>
      <w:r w:rsidR="00BE49BF">
        <w:t xml:space="preserve"> of the document itself</w:t>
      </w:r>
      <w:r w:rsidRPr="001342E7">
        <w:t>.</w:t>
      </w:r>
    </w:p>
    <w:p w14:paraId="438C37EB" w14:textId="562FAF74" w:rsidR="00A30A01" w:rsidRPr="001342E7" w:rsidRDefault="00A30A01" w:rsidP="00896268">
      <w:r w:rsidRPr="001342E7">
        <w:t xml:space="preserve">Importantly, the Outcome Document is designed to guide stakeholders in international cooperation and humanitarian action—including governments, NGOs, OPDs, and development partners—on the critical areas requiring focus and commitment. </w:t>
      </w:r>
      <w:r w:rsidR="00896268" w:rsidRPr="001342E7">
        <w:t xml:space="preserve">The hope is that it </w:t>
      </w:r>
      <w:r w:rsidRPr="001342E7">
        <w:t xml:space="preserve">serves as a strategic </w:t>
      </w:r>
      <w:r w:rsidR="00BE49BF">
        <w:t>tool,</w:t>
      </w:r>
      <w:r w:rsidRPr="001342E7">
        <w:t xml:space="preserve"> driving meaningful pledges and actions ahead of the Global Disability Summit 2025.</w:t>
      </w:r>
    </w:p>
    <w:p w14:paraId="0A6D7161" w14:textId="462C1841" w:rsidR="00896268" w:rsidRDefault="00A30A01" w:rsidP="00896268">
      <w:r w:rsidRPr="001342E7">
        <w:t xml:space="preserve">The key outcomes of </w:t>
      </w:r>
      <w:r w:rsidR="3B2485A3">
        <w:t xml:space="preserve">all </w:t>
      </w:r>
      <w:r w:rsidRPr="001342E7">
        <w:t>the pre-</w:t>
      </w:r>
      <w:r w:rsidR="00BE49BF">
        <w:t>summits</w:t>
      </w:r>
      <w:r w:rsidR="00BE49BF" w:rsidRPr="001342E7">
        <w:t xml:space="preserve"> will</w:t>
      </w:r>
      <w:r w:rsidRPr="001342E7">
        <w:t xml:space="preserve"> be presented at the Global Disability Summit 2025 in Berlin, Germany, </w:t>
      </w:r>
      <w:r w:rsidR="71213929">
        <w:t>on the 1</w:t>
      </w:r>
      <w:r w:rsidR="71213929" w:rsidRPr="22F8D1B5">
        <w:rPr>
          <w:vertAlign w:val="superscript"/>
        </w:rPr>
        <w:t>st</w:t>
      </w:r>
      <w:r w:rsidR="71213929">
        <w:t>-2</w:t>
      </w:r>
      <w:r w:rsidR="71213929" w:rsidRPr="22F8D1B5">
        <w:rPr>
          <w:vertAlign w:val="superscript"/>
        </w:rPr>
        <w:t>nd</w:t>
      </w:r>
      <w:r w:rsidR="71213929">
        <w:t xml:space="preserve"> April.</w:t>
      </w:r>
      <w:r>
        <w:t xml:space="preserve"> </w:t>
      </w:r>
      <w:r w:rsidR="3655AF18">
        <w:t xml:space="preserve">This will </w:t>
      </w:r>
      <w:r w:rsidRPr="001342E7">
        <w:t>set the stage for transformative change in disability-inclusive international cooperation and humanitarian action.</w:t>
      </w:r>
    </w:p>
    <w:p w14:paraId="347B1D65" w14:textId="45CD8BB5" w:rsidR="0006171C" w:rsidRPr="0006171C" w:rsidRDefault="0006171C" w:rsidP="0006171C">
      <w:pPr>
        <w:keepNext/>
        <w:keepLines/>
        <w:spacing w:before="160" w:after="80"/>
        <w:outlineLvl w:val="1"/>
        <w:rPr>
          <w:rFonts w:asciiTheme="majorHAnsi" w:eastAsia="MS Mincho" w:hAnsiTheme="majorHAnsi" w:cstheme="majorBidi"/>
          <w:b/>
          <w:bCs/>
          <w:color w:val="CF1270"/>
          <w:sz w:val="32"/>
          <w:szCs w:val="32"/>
        </w:rPr>
      </w:pPr>
      <w:bookmarkStart w:id="2" w:name="_Toc188445876"/>
      <w:r w:rsidRPr="0006171C">
        <w:rPr>
          <w:rFonts w:asciiTheme="majorHAnsi" w:eastAsiaTheme="majorEastAsia" w:hAnsiTheme="majorHAnsi" w:cstheme="majorBidi"/>
          <w:b/>
          <w:bCs/>
          <w:color w:val="CF1270"/>
          <w:sz w:val="32"/>
          <w:szCs w:val="32"/>
        </w:rPr>
        <w:t>Outcome Document</w:t>
      </w:r>
      <w:r w:rsidRPr="0006171C">
        <w:t xml:space="preserve"> </w:t>
      </w:r>
      <w:r w:rsidRPr="0006171C">
        <w:rPr>
          <w:rFonts w:asciiTheme="majorHAnsi" w:eastAsiaTheme="majorEastAsia" w:hAnsiTheme="majorHAnsi" w:cstheme="majorBidi"/>
          <w:b/>
          <w:bCs/>
          <w:color w:val="CF1270"/>
          <w:sz w:val="32"/>
          <w:szCs w:val="32"/>
        </w:rPr>
        <w:t>Preparation</w:t>
      </w:r>
      <w:r>
        <w:rPr>
          <w:rFonts w:asciiTheme="majorHAnsi" w:eastAsiaTheme="majorEastAsia" w:hAnsiTheme="majorHAnsi" w:cstheme="majorBidi"/>
          <w:b/>
          <w:bCs/>
          <w:color w:val="CF1270"/>
          <w:sz w:val="32"/>
          <w:szCs w:val="32"/>
        </w:rPr>
        <w:t>s</w:t>
      </w:r>
      <w:bookmarkEnd w:id="2"/>
    </w:p>
    <w:p w14:paraId="72236C80" w14:textId="77777777" w:rsidR="0006171C" w:rsidRPr="0006171C" w:rsidRDefault="0006171C" w:rsidP="0006171C">
      <w:r w:rsidRPr="0006171C">
        <w:t xml:space="preserve">This Outcome Document, including its key priorities and recommendations, were informed by several main processes: </w:t>
      </w:r>
    </w:p>
    <w:p w14:paraId="54066F46" w14:textId="77777777" w:rsidR="0006171C" w:rsidRPr="0006171C" w:rsidRDefault="0006171C" w:rsidP="003F0E52">
      <w:pPr>
        <w:pStyle w:val="ListParagraph"/>
        <w:numPr>
          <w:ilvl w:val="0"/>
          <w:numId w:val="24"/>
        </w:numPr>
      </w:pPr>
      <w:hyperlink r:id="rId16" w:history="1">
        <w:r w:rsidRPr="003F0E52">
          <w:rPr>
            <w:color w:val="467886" w:themeColor="hyperlink"/>
            <w:u w:val="single"/>
          </w:rPr>
          <w:t>Online consultations meetings</w:t>
        </w:r>
      </w:hyperlink>
      <w:r w:rsidRPr="0006171C">
        <w:t xml:space="preserve"> with OPDs organised prior to the summit in English and Russian, with interpretation in French, German, Russian, French and International Sign. </w:t>
      </w:r>
    </w:p>
    <w:p w14:paraId="15E7A52D" w14:textId="77777777" w:rsidR="0006171C" w:rsidRPr="0006171C" w:rsidRDefault="0006171C" w:rsidP="003F0E52">
      <w:pPr>
        <w:pStyle w:val="ListParagraph"/>
        <w:numPr>
          <w:ilvl w:val="0"/>
          <w:numId w:val="24"/>
        </w:numPr>
      </w:pPr>
      <w:hyperlink r:id="rId17">
        <w:r w:rsidRPr="003F0E52">
          <w:rPr>
            <w:color w:val="467886" w:themeColor="hyperlink"/>
            <w:u w:val="single"/>
          </w:rPr>
          <w:t>A comprehensive survey</w:t>
        </w:r>
      </w:hyperlink>
      <w:r w:rsidRPr="0006171C">
        <w:t xml:space="preserve"> in English, Easy-to-read, French, German, Russian and Spanish.</w:t>
      </w:r>
    </w:p>
    <w:p w14:paraId="72B87388" w14:textId="77777777" w:rsidR="0006171C" w:rsidRPr="0006171C" w:rsidRDefault="0006171C" w:rsidP="003F0E52">
      <w:pPr>
        <w:pStyle w:val="ListParagraph"/>
        <w:numPr>
          <w:ilvl w:val="0"/>
          <w:numId w:val="24"/>
        </w:numPr>
      </w:pPr>
      <w:r w:rsidRPr="0006171C">
        <w:t>Insights gathered during the European Regional Disability Summit itself.</w:t>
      </w:r>
    </w:p>
    <w:p w14:paraId="44B573A2" w14:textId="060F9BDD" w:rsidR="0006171C" w:rsidRDefault="0006171C" w:rsidP="003F0E52">
      <w:pPr>
        <w:pStyle w:val="ListParagraph"/>
        <w:numPr>
          <w:ilvl w:val="0"/>
          <w:numId w:val="24"/>
        </w:numPr>
      </w:pPr>
      <w:r w:rsidRPr="0006171C">
        <w:t xml:space="preserve">Direct feedback on the draft Outcome Document, which was collected both before and after the summit. </w:t>
      </w:r>
    </w:p>
    <w:p w14:paraId="78181B56" w14:textId="32A56D1F" w:rsidR="0006171C" w:rsidRPr="001342E7" w:rsidRDefault="0006171C" w:rsidP="0006171C">
      <w:pPr>
        <w:spacing w:after="0" w:line="276" w:lineRule="auto"/>
      </w:pPr>
      <w:r w:rsidRPr="0006171C">
        <w:t>These processes ensured a wide range of voices and perspectives were included in shaping the final recommendations and priorities.</w:t>
      </w:r>
    </w:p>
    <w:p w14:paraId="0A9F1AB2" w14:textId="6B893970" w:rsidR="004966DF" w:rsidRPr="00B52300" w:rsidRDefault="004966DF" w:rsidP="00A30A01">
      <w:pPr>
        <w:pStyle w:val="Heading2"/>
        <w:rPr>
          <w:b/>
          <w:bCs/>
          <w:color w:val="CF1270"/>
        </w:rPr>
      </w:pPr>
      <w:bookmarkStart w:id="3" w:name="_Toc188445877"/>
      <w:r w:rsidRPr="00B52300">
        <w:rPr>
          <w:b/>
          <w:bCs/>
          <w:color w:val="CF1270"/>
        </w:rPr>
        <w:t>Key Outcomes</w:t>
      </w:r>
      <w:bookmarkEnd w:id="3"/>
    </w:p>
    <w:p w14:paraId="33281419" w14:textId="32193C99" w:rsidR="00D01DF5" w:rsidRPr="00D01DF5" w:rsidRDefault="00D01DF5" w:rsidP="00D01DF5">
      <w:r w:rsidRPr="00D01DF5">
        <w:t xml:space="preserve">Key priorities raised </w:t>
      </w:r>
      <w:r>
        <w:t xml:space="preserve">as a part </w:t>
      </w:r>
      <w:r w:rsidR="00A23426">
        <w:t xml:space="preserve">of </w:t>
      </w:r>
      <w:r w:rsidR="00A23426" w:rsidRPr="00D01DF5">
        <w:t>the</w:t>
      </w:r>
      <w:r w:rsidRPr="00D01DF5">
        <w:t xml:space="preserve"> pre-summit</w:t>
      </w:r>
      <w:r w:rsidR="00A23426">
        <w:t xml:space="preserve"> include</w:t>
      </w:r>
      <w:r w:rsidRPr="00D01DF5">
        <w:t>:</w:t>
      </w:r>
    </w:p>
    <w:p w14:paraId="05B576F0" w14:textId="7B310EF7" w:rsidR="006D7E71" w:rsidRDefault="006D7E71" w:rsidP="006D7E71">
      <w:pPr>
        <w:pStyle w:val="ListParagraph"/>
        <w:numPr>
          <w:ilvl w:val="0"/>
          <w:numId w:val="14"/>
        </w:numPr>
      </w:pPr>
      <w:r>
        <w:t xml:space="preserve">Addressing </w:t>
      </w:r>
      <w:r w:rsidR="52E04C3F">
        <w:t>inconsistencies and</w:t>
      </w:r>
      <w:r>
        <w:t xml:space="preserve"> hypocrisy in European CRPD </w:t>
      </w:r>
      <w:r w:rsidR="59995D8F">
        <w:t>i</w:t>
      </w:r>
      <w:r>
        <w:t xml:space="preserve">mplementation and </w:t>
      </w:r>
      <w:r w:rsidR="045D35FA">
        <w:t>c</w:t>
      </w:r>
      <w:r>
        <w:t>ult</w:t>
      </w:r>
      <w:r w:rsidR="00B308BF">
        <w:t xml:space="preserve">ural </w:t>
      </w:r>
      <w:r w:rsidR="0A975609">
        <w:t>c</w:t>
      </w:r>
      <w:r w:rsidR="00B308BF">
        <w:t>hange</w:t>
      </w:r>
    </w:p>
    <w:p w14:paraId="778D06DA" w14:textId="1B4912FF" w:rsidR="00B308BF" w:rsidRDefault="00B308BF" w:rsidP="006D7E71">
      <w:pPr>
        <w:pStyle w:val="ListParagraph"/>
        <w:numPr>
          <w:ilvl w:val="0"/>
          <w:numId w:val="14"/>
        </w:numPr>
      </w:pPr>
      <w:r>
        <w:t xml:space="preserve">Inclusive </w:t>
      </w:r>
      <w:r w:rsidR="5BDEDCE6">
        <w:t>d</w:t>
      </w:r>
      <w:r>
        <w:t xml:space="preserve">evelopment </w:t>
      </w:r>
      <w:r w:rsidR="0FB6E8F4">
        <w:t>c</w:t>
      </w:r>
      <w:r>
        <w:t xml:space="preserve">ooperation and </w:t>
      </w:r>
      <w:r w:rsidR="1C90E5BF">
        <w:t>h</w:t>
      </w:r>
      <w:r>
        <w:t xml:space="preserve">umanitarian </w:t>
      </w:r>
      <w:r w:rsidR="2EBBA96F">
        <w:t>a</w:t>
      </w:r>
      <w:r>
        <w:t>ction</w:t>
      </w:r>
    </w:p>
    <w:p w14:paraId="27F9E594" w14:textId="61D347C7" w:rsidR="006D7E71" w:rsidRDefault="00B308BF" w:rsidP="006D7E71">
      <w:pPr>
        <w:pStyle w:val="ListParagraph"/>
        <w:numPr>
          <w:ilvl w:val="0"/>
          <w:numId w:val="14"/>
        </w:numPr>
      </w:pPr>
      <w:r>
        <w:lastRenderedPageBreak/>
        <w:t xml:space="preserve">Sustainable </w:t>
      </w:r>
      <w:r w:rsidR="3DFF40AD">
        <w:t>d</w:t>
      </w:r>
      <w:r>
        <w:t xml:space="preserve">evelopment and </w:t>
      </w:r>
      <w:r w:rsidR="0ABE68AE">
        <w:t>e</w:t>
      </w:r>
      <w:r>
        <w:t xml:space="preserve">nvironmental </w:t>
      </w:r>
      <w:r w:rsidR="69B06CFE">
        <w:t>r</w:t>
      </w:r>
      <w:r>
        <w:t>esilience</w:t>
      </w:r>
    </w:p>
    <w:p w14:paraId="14E2D0EE" w14:textId="24B7B55E" w:rsidR="00B308BF" w:rsidRDefault="00831815" w:rsidP="006D7E71">
      <w:pPr>
        <w:pStyle w:val="ListParagraph"/>
        <w:numPr>
          <w:ilvl w:val="0"/>
          <w:numId w:val="14"/>
        </w:numPr>
      </w:pPr>
      <w:r>
        <w:t xml:space="preserve">Meaningful </w:t>
      </w:r>
      <w:r w:rsidR="447A6D41">
        <w:t>p</w:t>
      </w:r>
      <w:r>
        <w:t>articipation</w:t>
      </w:r>
      <w:r w:rsidR="1D55F01F">
        <w:t>, with m</w:t>
      </w:r>
      <w:r>
        <w:t xml:space="preserve">ore than a </w:t>
      </w:r>
      <w:r w:rsidR="799F5436">
        <w:t>s</w:t>
      </w:r>
      <w:r>
        <w:t xml:space="preserve">eat at the </w:t>
      </w:r>
      <w:r w:rsidR="4261EE73">
        <w:t>t</w:t>
      </w:r>
      <w:r>
        <w:t>able</w:t>
      </w:r>
    </w:p>
    <w:p w14:paraId="5DE9D935" w14:textId="705FAD98" w:rsidR="00831815" w:rsidRDefault="00831815" w:rsidP="00831815">
      <w:pPr>
        <w:pStyle w:val="ListParagraph"/>
        <w:numPr>
          <w:ilvl w:val="0"/>
          <w:numId w:val="14"/>
        </w:numPr>
      </w:pPr>
      <w:r>
        <w:t xml:space="preserve">Deinstitutionalisation and </w:t>
      </w:r>
      <w:r w:rsidR="372A465C">
        <w:t>i</w:t>
      </w:r>
      <w:r>
        <w:t xml:space="preserve">ndependent </w:t>
      </w:r>
      <w:r w:rsidR="061B962F">
        <w:t>l</w:t>
      </w:r>
      <w:r>
        <w:t xml:space="preserve">iving </w:t>
      </w:r>
    </w:p>
    <w:p w14:paraId="4E364223" w14:textId="21938347" w:rsidR="00831815" w:rsidRDefault="00831815" w:rsidP="00831815">
      <w:pPr>
        <w:pStyle w:val="ListParagraph"/>
        <w:numPr>
          <w:ilvl w:val="0"/>
          <w:numId w:val="14"/>
        </w:numPr>
      </w:pPr>
      <w:r>
        <w:t xml:space="preserve">Poverty </w:t>
      </w:r>
      <w:r w:rsidR="0C8B0FF2">
        <w:t>r</w:t>
      </w:r>
      <w:r>
        <w:t>eduction</w:t>
      </w:r>
    </w:p>
    <w:p w14:paraId="083DB93A" w14:textId="331FF35D" w:rsidR="00831815" w:rsidRDefault="00620546" w:rsidP="00831815">
      <w:pPr>
        <w:pStyle w:val="ListParagraph"/>
        <w:numPr>
          <w:ilvl w:val="0"/>
          <w:numId w:val="14"/>
        </w:numPr>
      </w:pPr>
      <w:r>
        <w:t xml:space="preserve">Promoting </w:t>
      </w:r>
      <w:r w:rsidR="37836659">
        <w:t>a</w:t>
      </w:r>
      <w:r>
        <w:t>ccessibility</w:t>
      </w:r>
    </w:p>
    <w:p w14:paraId="150FEB68" w14:textId="5C1FAD11" w:rsidR="00620546" w:rsidRDefault="00620546" w:rsidP="00620546">
      <w:pPr>
        <w:pStyle w:val="ListParagraph"/>
        <w:numPr>
          <w:ilvl w:val="0"/>
          <w:numId w:val="14"/>
        </w:numPr>
      </w:pPr>
      <w:r>
        <w:t xml:space="preserve">Data </w:t>
      </w:r>
      <w:r w:rsidR="410D1BCD">
        <w:t>c</w:t>
      </w:r>
      <w:r>
        <w:t xml:space="preserve">ollection and </w:t>
      </w:r>
      <w:r w:rsidR="65935819">
        <w:t>e</w:t>
      </w:r>
      <w:r>
        <w:t>vidence-</w:t>
      </w:r>
      <w:r w:rsidR="5A183EFC">
        <w:t>b</w:t>
      </w:r>
      <w:r>
        <w:t xml:space="preserve">ased </w:t>
      </w:r>
      <w:r w:rsidR="4DCABE0D">
        <w:t>p</w:t>
      </w:r>
      <w:r>
        <w:t>olicy</w:t>
      </w:r>
    </w:p>
    <w:p w14:paraId="1A1FDB7F" w14:textId="04782196" w:rsidR="00620546" w:rsidRDefault="00DB3213" w:rsidP="00831815">
      <w:pPr>
        <w:pStyle w:val="ListParagraph"/>
        <w:numPr>
          <w:ilvl w:val="0"/>
          <w:numId w:val="14"/>
        </w:numPr>
      </w:pPr>
      <w:r>
        <w:t xml:space="preserve">Advocacy and </w:t>
      </w:r>
      <w:r w:rsidR="108C1C1E">
        <w:t>c</w:t>
      </w:r>
      <w:r>
        <w:t xml:space="preserve">apacity </w:t>
      </w:r>
      <w:r w:rsidR="4D6FE4FC">
        <w:t>b</w:t>
      </w:r>
      <w:r>
        <w:t>uilding</w:t>
      </w:r>
    </w:p>
    <w:p w14:paraId="15EC1C8A" w14:textId="0FAD1A69" w:rsidR="00DB3213" w:rsidRDefault="00DB3213" w:rsidP="00831815">
      <w:pPr>
        <w:pStyle w:val="ListParagraph"/>
        <w:numPr>
          <w:ilvl w:val="0"/>
          <w:numId w:val="14"/>
        </w:numPr>
      </w:pPr>
      <w:r>
        <w:t xml:space="preserve">Gender and </w:t>
      </w:r>
      <w:r w:rsidR="425B12D7">
        <w:t>i</w:t>
      </w:r>
      <w:r w:rsidR="00027568">
        <w:t xml:space="preserve">ntersectionality </w:t>
      </w:r>
    </w:p>
    <w:p w14:paraId="5CEDB952" w14:textId="1D29BBA1" w:rsidR="004402BC" w:rsidRDefault="004402BC" w:rsidP="00C43BD1">
      <w:r w:rsidRPr="004402BC">
        <w:t>Key recommendations outlined</w:t>
      </w:r>
      <w:r w:rsidR="00A23426">
        <w:t xml:space="preserve"> include</w:t>
      </w:r>
      <w:r w:rsidRPr="004402BC">
        <w:t>:</w:t>
      </w:r>
    </w:p>
    <w:p w14:paraId="395B55DD" w14:textId="644C5D61" w:rsidR="00537E24" w:rsidRDefault="00537E24" w:rsidP="004402BC">
      <w:pPr>
        <w:pStyle w:val="ListParagraph"/>
        <w:numPr>
          <w:ilvl w:val="0"/>
          <w:numId w:val="15"/>
        </w:numPr>
      </w:pPr>
      <w:r w:rsidRPr="00537E24">
        <w:t xml:space="preserve">Advocate for </w:t>
      </w:r>
      <w:r>
        <w:t>c</w:t>
      </w:r>
      <w:r w:rsidRPr="00537E24">
        <w:t xml:space="preserve">onsistency in </w:t>
      </w:r>
      <w:r>
        <w:t>d</w:t>
      </w:r>
      <w:r w:rsidRPr="00537E24">
        <w:t xml:space="preserve">isability </w:t>
      </w:r>
      <w:r>
        <w:t>r</w:t>
      </w:r>
      <w:r w:rsidRPr="00537E24">
        <w:t xml:space="preserve">ights </w:t>
      </w:r>
      <w:r>
        <w:t>i</w:t>
      </w:r>
      <w:r w:rsidRPr="00537E24">
        <w:t>mplementation</w:t>
      </w:r>
    </w:p>
    <w:p w14:paraId="259A6863" w14:textId="67E43893" w:rsidR="00027568" w:rsidRDefault="00027568" w:rsidP="004402BC">
      <w:pPr>
        <w:pStyle w:val="ListParagraph"/>
        <w:numPr>
          <w:ilvl w:val="0"/>
          <w:numId w:val="15"/>
        </w:numPr>
      </w:pPr>
      <w:r>
        <w:t xml:space="preserve">Mainstream </w:t>
      </w:r>
      <w:r w:rsidR="585B312D">
        <w:t>d</w:t>
      </w:r>
      <w:r>
        <w:t xml:space="preserve">isability </w:t>
      </w:r>
      <w:r w:rsidR="1ABB392E">
        <w:t>i</w:t>
      </w:r>
      <w:r>
        <w:t xml:space="preserve">nclusion in </w:t>
      </w:r>
      <w:r w:rsidR="0A70CA50">
        <w:t>d</w:t>
      </w:r>
      <w:r>
        <w:t xml:space="preserve">evelopment </w:t>
      </w:r>
      <w:r w:rsidR="772E97B5">
        <w:t>c</w:t>
      </w:r>
      <w:r>
        <w:t xml:space="preserve">ooperation </w:t>
      </w:r>
    </w:p>
    <w:p w14:paraId="2FA35CC2" w14:textId="7AE1D39C" w:rsidR="00027568" w:rsidRDefault="00027568" w:rsidP="00027568">
      <w:pPr>
        <w:pStyle w:val="ListParagraph"/>
        <w:numPr>
          <w:ilvl w:val="0"/>
          <w:numId w:val="15"/>
        </w:numPr>
      </w:pPr>
      <w:r>
        <w:t xml:space="preserve">Promote </w:t>
      </w:r>
      <w:r w:rsidR="6A5DBBE5">
        <w:t>l</w:t>
      </w:r>
      <w:r>
        <w:t xml:space="preserve">ocal </w:t>
      </w:r>
      <w:r w:rsidR="51D93599">
        <w:t>l</w:t>
      </w:r>
      <w:r>
        <w:t xml:space="preserve">eadership and OPD </w:t>
      </w:r>
      <w:r w:rsidR="4DEEE4FB">
        <w:t>p</w:t>
      </w:r>
      <w:r>
        <w:t>articipation</w:t>
      </w:r>
    </w:p>
    <w:p w14:paraId="4EA53E89" w14:textId="5548C8CE" w:rsidR="00537E24" w:rsidRDefault="00537E24" w:rsidP="00027568">
      <w:pPr>
        <w:pStyle w:val="ListParagraph"/>
        <w:numPr>
          <w:ilvl w:val="0"/>
          <w:numId w:val="15"/>
        </w:numPr>
      </w:pPr>
      <w:r w:rsidRPr="00537E24">
        <w:t xml:space="preserve">Increase </w:t>
      </w:r>
      <w:r>
        <w:t>f</w:t>
      </w:r>
      <w:r w:rsidRPr="00537E24">
        <w:t xml:space="preserve">unding for OPDs and </w:t>
      </w:r>
      <w:r>
        <w:t>d</w:t>
      </w:r>
      <w:r w:rsidRPr="00537E24">
        <w:t xml:space="preserve">isability </w:t>
      </w:r>
      <w:r>
        <w:t>r</w:t>
      </w:r>
      <w:r w:rsidRPr="00537E24">
        <w:t xml:space="preserve">ights </w:t>
      </w:r>
      <w:r>
        <w:t>m</w:t>
      </w:r>
      <w:r w:rsidRPr="00537E24">
        <w:t>ovements</w:t>
      </w:r>
    </w:p>
    <w:p w14:paraId="70CA7244" w14:textId="64C51667" w:rsidR="00537E24" w:rsidRDefault="00537E24" w:rsidP="00027568">
      <w:pPr>
        <w:pStyle w:val="ListParagraph"/>
        <w:numPr>
          <w:ilvl w:val="0"/>
          <w:numId w:val="15"/>
        </w:numPr>
      </w:pPr>
      <w:r w:rsidRPr="00537E24">
        <w:t xml:space="preserve">Strengthen </w:t>
      </w:r>
      <w:r w:rsidR="004202AC">
        <w:t>p</w:t>
      </w:r>
      <w:r w:rsidRPr="00537E24">
        <w:t xml:space="preserve">rotection </w:t>
      </w:r>
      <w:r w:rsidR="004202AC">
        <w:t>m</w:t>
      </w:r>
      <w:r w:rsidRPr="00537E24">
        <w:t xml:space="preserve">echanisms for </w:t>
      </w:r>
      <w:r w:rsidR="004202AC">
        <w:t>p</w:t>
      </w:r>
      <w:r w:rsidRPr="00537E24">
        <w:t xml:space="preserve">ersons with </w:t>
      </w:r>
      <w:r w:rsidR="004202AC">
        <w:t>d</w:t>
      </w:r>
      <w:r w:rsidRPr="00537E24">
        <w:t xml:space="preserve">isabilities in </w:t>
      </w:r>
      <w:r w:rsidR="004202AC">
        <w:t>c</w:t>
      </w:r>
      <w:r w:rsidRPr="00537E24">
        <w:t xml:space="preserve">onflict </w:t>
      </w:r>
      <w:r w:rsidR="004202AC">
        <w:t>z</w:t>
      </w:r>
      <w:r w:rsidRPr="00537E24">
        <w:t xml:space="preserve">ones and </w:t>
      </w:r>
      <w:r w:rsidR="004202AC">
        <w:t>h</w:t>
      </w:r>
      <w:r w:rsidRPr="00537E24">
        <w:t xml:space="preserve">umanitarian </w:t>
      </w:r>
      <w:r w:rsidR="004202AC">
        <w:t>c</w:t>
      </w:r>
      <w:r w:rsidRPr="00537E24">
        <w:t xml:space="preserve">rises including </w:t>
      </w:r>
      <w:r w:rsidR="004202AC">
        <w:t>c</w:t>
      </w:r>
      <w:r w:rsidRPr="00537E24">
        <w:t xml:space="preserve">limate </w:t>
      </w:r>
      <w:r w:rsidR="004202AC">
        <w:t>a</w:t>
      </w:r>
      <w:r w:rsidRPr="00537E24">
        <w:t>ction</w:t>
      </w:r>
    </w:p>
    <w:p w14:paraId="292A3A32" w14:textId="1C178DBD" w:rsidR="00027568" w:rsidRDefault="00027568" w:rsidP="00027568">
      <w:pPr>
        <w:pStyle w:val="ListParagraph"/>
        <w:numPr>
          <w:ilvl w:val="0"/>
          <w:numId w:val="15"/>
        </w:numPr>
      </w:pPr>
      <w:r>
        <w:t xml:space="preserve">Support </w:t>
      </w:r>
      <w:r w:rsidR="6D1652E5">
        <w:t>d</w:t>
      </w:r>
      <w:r>
        <w:t xml:space="preserve">einstitutionalisation and </w:t>
      </w:r>
      <w:r w:rsidR="56EE22DF">
        <w:t>i</w:t>
      </w:r>
      <w:r>
        <w:t xml:space="preserve">ndependent </w:t>
      </w:r>
      <w:r w:rsidR="42EBB31F">
        <w:t>l</w:t>
      </w:r>
      <w:r>
        <w:t>iving</w:t>
      </w:r>
    </w:p>
    <w:p w14:paraId="54076116" w14:textId="544EBDC6" w:rsidR="00027568" w:rsidRDefault="00027568" w:rsidP="00027568">
      <w:pPr>
        <w:pStyle w:val="ListParagraph"/>
        <w:numPr>
          <w:ilvl w:val="0"/>
          <w:numId w:val="15"/>
        </w:numPr>
      </w:pPr>
      <w:r>
        <w:t xml:space="preserve">Advance </w:t>
      </w:r>
      <w:r w:rsidR="63B34F3B">
        <w:t>i</w:t>
      </w:r>
      <w:r>
        <w:t xml:space="preserve">nclusive </w:t>
      </w:r>
      <w:r w:rsidR="2C339D30">
        <w:t>e</w:t>
      </w:r>
      <w:r>
        <w:t>ducation</w:t>
      </w:r>
    </w:p>
    <w:p w14:paraId="3A24696D" w14:textId="409D4B07" w:rsidR="00027568" w:rsidRDefault="00027568" w:rsidP="00027568">
      <w:pPr>
        <w:pStyle w:val="ListParagraph"/>
        <w:numPr>
          <w:ilvl w:val="0"/>
          <w:numId w:val="15"/>
        </w:numPr>
      </w:pPr>
      <w:r>
        <w:t xml:space="preserve">Enhance </w:t>
      </w:r>
      <w:r w:rsidR="1C6332D8">
        <w:t>d</w:t>
      </w:r>
      <w:r>
        <w:t xml:space="preserve">ata </w:t>
      </w:r>
      <w:r w:rsidR="07453D14">
        <w:t>c</w:t>
      </w:r>
      <w:r>
        <w:t xml:space="preserve">ollection for </w:t>
      </w:r>
      <w:r w:rsidR="4AC10C65">
        <w:t>e</w:t>
      </w:r>
      <w:r>
        <w:t>vidence-</w:t>
      </w:r>
      <w:r w:rsidR="36761ED7">
        <w:t>b</w:t>
      </w:r>
      <w:r>
        <w:t xml:space="preserve">ased </w:t>
      </w:r>
      <w:r w:rsidR="0A55E9E1">
        <w:t>p</w:t>
      </w:r>
      <w:r>
        <w:t xml:space="preserve">olicy </w:t>
      </w:r>
    </w:p>
    <w:p w14:paraId="21ED4BAC" w14:textId="24B5257E" w:rsidR="00027568" w:rsidRDefault="00027568" w:rsidP="00027568">
      <w:pPr>
        <w:pStyle w:val="ListParagraph"/>
        <w:numPr>
          <w:ilvl w:val="0"/>
          <w:numId w:val="15"/>
        </w:numPr>
      </w:pPr>
      <w:r>
        <w:t xml:space="preserve">Promote </w:t>
      </w:r>
      <w:r w:rsidR="1A1C8EE8">
        <w:t>a</w:t>
      </w:r>
      <w:r>
        <w:t xml:space="preserve">ccessibility, </w:t>
      </w:r>
      <w:r w:rsidR="72E4C801">
        <w:t>s</w:t>
      </w:r>
      <w:r>
        <w:t xml:space="preserve">afety and </w:t>
      </w:r>
      <w:r w:rsidR="77782AF3">
        <w:t>a</w:t>
      </w:r>
      <w:r>
        <w:t xml:space="preserve">cceptance in </w:t>
      </w:r>
      <w:r w:rsidR="5233872E">
        <w:t>a</w:t>
      </w:r>
      <w:r>
        <w:t xml:space="preserve">ll </w:t>
      </w:r>
      <w:r w:rsidR="280BAA79">
        <w:t>s</w:t>
      </w:r>
      <w:r>
        <w:t xml:space="preserve">ectors </w:t>
      </w:r>
    </w:p>
    <w:p w14:paraId="277CCD7E" w14:textId="1397B896" w:rsidR="00027568" w:rsidRDefault="00027568" w:rsidP="00027568">
      <w:pPr>
        <w:pStyle w:val="ListParagraph"/>
        <w:numPr>
          <w:ilvl w:val="0"/>
          <w:numId w:val="15"/>
        </w:numPr>
      </w:pPr>
      <w:r>
        <w:t xml:space="preserve">Implement </w:t>
      </w:r>
      <w:r w:rsidR="3A6B991C">
        <w:t>g</w:t>
      </w:r>
      <w:r>
        <w:t xml:space="preserve">ender and </w:t>
      </w:r>
      <w:r w:rsidR="658F0992">
        <w:t>i</w:t>
      </w:r>
      <w:r>
        <w:t xml:space="preserve">ntersectionality </w:t>
      </w:r>
      <w:r w:rsidR="655BD6E5">
        <w:t>a</w:t>
      </w:r>
      <w:r w:rsidR="00CC53F2">
        <w:t>pproaches</w:t>
      </w:r>
    </w:p>
    <w:p w14:paraId="42E060CF" w14:textId="6157E892" w:rsidR="009F0B92" w:rsidRPr="009F0B92" w:rsidRDefault="004966DF" w:rsidP="009F0B92">
      <w:pPr>
        <w:rPr>
          <w:b/>
          <w:bCs/>
          <w:color w:val="CF1270"/>
        </w:rPr>
      </w:pPr>
      <w:bookmarkStart w:id="4" w:name="_Toc188445878"/>
      <w:r w:rsidRPr="00B52300">
        <w:rPr>
          <w:rStyle w:val="Heading2Char"/>
          <w:b/>
          <w:bCs/>
          <w:color w:val="CF1270"/>
        </w:rPr>
        <w:t>Call to Action</w:t>
      </w:r>
      <w:bookmarkEnd w:id="4"/>
      <w:r w:rsidR="009F0B92" w:rsidRPr="001342E7">
        <w:rPr>
          <w:rStyle w:val="Heading3Char"/>
        </w:rPr>
        <w:br/>
      </w:r>
      <w:r w:rsidR="009F0B92" w:rsidRPr="009F0B92">
        <w:t xml:space="preserve">The European Regional Disability Summit 2024 issued a compelling call to national governments, NGOs, and development partners across Europe and Central Asia to take decisive action and make tangible commitments at the Global Disability Summit 2025. </w:t>
      </w:r>
    </w:p>
    <w:p w14:paraId="49E77936" w14:textId="3B1BCD74" w:rsidR="005D1078" w:rsidRPr="001342E7" w:rsidRDefault="005D1078" w:rsidP="005D1078">
      <w:bookmarkStart w:id="5" w:name="_Toc188445879"/>
      <w:r w:rsidRPr="001342E7">
        <w:rPr>
          <w:rStyle w:val="Heading3Char"/>
          <w:b/>
          <w:bCs/>
        </w:rPr>
        <w:t xml:space="preserve">Governments, NGOs, and </w:t>
      </w:r>
      <w:r w:rsidRPr="00112506">
        <w:rPr>
          <w:rStyle w:val="Heading3Char"/>
          <w:b/>
          <w:bCs/>
          <w:color w:val="0F4761"/>
        </w:rPr>
        <w:t>Development Partners</w:t>
      </w:r>
      <w:bookmarkEnd w:id="5"/>
      <w:r w:rsidRPr="001342E7">
        <w:rPr>
          <w:rStyle w:val="Heading3Char"/>
        </w:rPr>
        <w:br/>
      </w:r>
      <w:r w:rsidRPr="001342E7">
        <w:t>Th</w:t>
      </w:r>
      <w:r w:rsidR="009F0B92">
        <w:t>is</w:t>
      </w:r>
      <w:r w:rsidRPr="001342E7">
        <w:t xml:space="preserve"> Outcome Document provide</w:t>
      </w:r>
      <w:r w:rsidR="00914B20" w:rsidRPr="001342E7">
        <w:t>s</w:t>
      </w:r>
      <w:r w:rsidRPr="001342E7">
        <w:t xml:space="preserve"> a comprehensive list of recommendations to guide stakeholders in making meaningful pledges that address the urgent priorities for disability </w:t>
      </w:r>
      <w:r w:rsidR="00914B20" w:rsidRPr="001342E7">
        <w:t>-inclusive international cooperation and humanitarian action</w:t>
      </w:r>
      <w:r w:rsidRPr="001342E7">
        <w:t>.</w:t>
      </w:r>
    </w:p>
    <w:p w14:paraId="5021E8C7" w14:textId="41FE1166" w:rsidR="005D1078" w:rsidRPr="001342E7" w:rsidRDefault="001D2AF2" w:rsidP="005D1078">
      <w:r w:rsidRPr="001342E7">
        <w:t>Sei</w:t>
      </w:r>
      <w:r>
        <w:t>ze</w:t>
      </w:r>
      <w:r w:rsidR="005D1078" w:rsidRPr="001342E7">
        <w:t xml:space="preserve"> the moment—</w:t>
      </w:r>
      <w:hyperlink r:id="rId18" w:history="1">
        <w:r w:rsidR="00914B20" w:rsidRPr="001342E7">
          <w:rPr>
            <w:rStyle w:val="Hyperlink"/>
          </w:rPr>
          <w:t xml:space="preserve">make </w:t>
        </w:r>
        <w:r w:rsidR="005D1078" w:rsidRPr="001342E7">
          <w:rPr>
            <w:rStyle w:val="Hyperlink"/>
          </w:rPr>
          <w:t xml:space="preserve">commitments </w:t>
        </w:r>
        <w:r w:rsidR="00914B20" w:rsidRPr="001342E7">
          <w:rPr>
            <w:rStyle w:val="Hyperlink"/>
          </w:rPr>
          <w:t>today</w:t>
        </w:r>
      </w:hyperlink>
      <w:r w:rsidR="005D1078" w:rsidRPr="001342E7">
        <w:t>!</w:t>
      </w:r>
    </w:p>
    <w:p w14:paraId="3FEC042B" w14:textId="4A18F06E" w:rsidR="005D1078" w:rsidRPr="001342E7" w:rsidRDefault="005D1078" w:rsidP="005D1078">
      <w:bookmarkStart w:id="6" w:name="_Toc188445880"/>
      <w:r w:rsidRPr="001342E7">
        <w:rPr>
          <w:rStyle w:val="Heading3Char"/>
          <w:b/>
          <w:bCs/>
        </w:rPr>
        <w:t>Organisations of Persons with Disabilities (OPDs</w:t>
      </w:r>
      <w:r w:rsidR="00914B20" w:rsidRPr="001342E7">
        <w:rPr>
          <w:rStyle w:val="Heading3Char"/>
          <w:b/>
          <w:bCs/>
        </w:rPr>
        <w:t>)</w:t>
      </w:r>
      <w:bookmarkEnd w:id="6"/>
      <w:r w:rsidRPr="001342E7">
        <w:br/>
        <w:t>This Outcome Document serve</w:t>
      </w:r>
      <w:r w:rsidR="00AF4715">
        <w:t>s</w:t>
      </w:r>
      <w:r w:rsidRPr="001342E7">
        <w:t xml:space="preserve"> as a powerful advocacy tool for OPDs. It</w:t>
      </w:r>
      <w:r w:rsidR="00914B20" w:rsidRPr="001342E7">
        <w:t xml:space="preserve"> can be</w:t>
      </w:r>
      <w:r w:rsidRPr="001342E7">
        <w:t xml:space="preserve"> used to elevate the voices of persons with disabilities, influence policymakers, and push for accountability. OPDs </w:t>
      </w:r>
      <w:r w:rsidR="00914B20" w:rsidRPr="001342E7">
        <w:t xml:space="preserve">can </w:t>
      </w:r>
      <w:r w:rsidRPr="001342E7">
        <w:t>leverage</w:t>
      </w:r>
      <w:r w:rsidR="00914B20" w:rsidRPr="001342E7">
        <w:t xml:space="preserve"> these</w:t>
      </w:r>
      <w:r w:rsidRPr="001342E7">
        <w:t xml:space="preserve"> recommendations</w:t>
      </w:r>
      <w:r w:rsidR="00914B20" w:rsidRPr="001342E7">
        <w:t xml:space="preserve"> from the </w:t>
      </w:r>
      <w:r w:rsidR="005D5F92" w:rsidRPr="001342E7">
        <w:t xml:space="preserve">disability </w:t>
      </w:r>
      <w:r w:rsidR="005D5F92">
        <w:t xml:space="preserve">rights </w:t>
      </w:r>
      <w:r w:rsidR="00A23426" w:rsidRPr="001342E7">
        <w:lastRenderedPageBreak/>
        <w:t>movement</w:t>
      </w:r>
      <w:r w:rsidRPr="001342E7">
        <w:t xml:space="preserve"> to </w:t>
      </w:r>
      <w:r w:rsidR="00914B20" w:rsidRPr="001342E7">
        <w:t>advocate for GDS</w:t>
      </w:r>
      <w:r w:rsidRPr="001342E7">
        <w:t xml:space="preserve"> commitments aligned with the needs of persons with disabilities and to advocate for an inclusive and equitable future.</w:t>
      </w:r>
    </w:p>
    <w:p w14:paraId="4056F519" w14:textId="0D367813" w:rsidR="005D1078" w:rsidRPr="001342E7" w:rsidRDefault="005D1078" w:rsidP="00F94643">
      <w:r w:rsidRPr="001342E7">
        <w:t>Advocate for change—</w:t>
      </w:r>
      <w:r w:rsidR="00914B20" w:rsidRPr="001342E7">
        <w:t xml:space="preserve"> </w:t>
      </w:r>
      <w:hyperlink r:id="rId19" w:history="1">
        <w:r w:rsidR="00914B20" w:rsidRPr="001342E7">
          <w:rPr>
            <w:rStyle w:val="Hyperlink"/>
          </w:rPr>
          <w:t>learn more today</w:t>
        </w:r>
      </w:hyperlink>
      <w:r w:rsidRPr="001342E7">
        <w:t>!</w:t>
      </w:r>
    </w:p>
    <w:p w14:paraId="153ADEE6" w14:textId="42528440" w:rsidR="00621F09" w:rsidRPr="0027619E" w:rsidRDefault="00621F09" w:rsidP="0027619E">
      <w:pPr>
        <w:pStyle w:val="Heading1"/>
        <w:rPr>
          <w:b/>
          <w:bCs/>
          <w:color w:val="252253"/>
        </w:rPr>
      </w:pPr>
      <w:bookmarkStart w:id="7" w:name="_Toc188445881"/>
      <w:r w:rsidRPr="0027619E">
        <w:rPr>
          <w:b/>
          <w:bCs/>
          <w:color w:val="252253"/>
        </w:rPr>
        <w:t>Background</w:t>
      </w:r>
      <w:bookmarkEnd w:id="7"/>
    </w:p>
    <w:p w14:paraId="6CCC9E74" w14:textId="03F07CD2" w:rsidR="002C15EC" w:rsidRDefault="00DA6B6B" w:rsidP="00BA4F86">
      <w:r>
        <w:t xml:space="preserve">Persons with disabilities </w:t>
      </w:r>
      <w:r w:rsidRPr="00DA6B6B">
        <w:t xml:space="preserve">represent </w:t>
      </w:r>
      <w:hyperlink r:id="rId20" w:anchor=":~:text=Persons%20with%20disabilities%20make%20up,the%20poorest%20in%20their%20communities%20." w:history="1">
        <w:r w:rsidRPr="00567D1D">
          <w:rPr>
            <w:rStyle w:val="Hyperlink"/>
          </w:rPr>
          <w:t>16 percent</w:t>
        </w:r>
      </w:hyperlink>
      <w:r w:rsidRPr="00DA6B6B">
        <w:t xml:space="preserve"> of the world’s population</w:t>
      </w:r>
      <w:r>
        <w:t>. I</w:t>
      </w:r>
      <w:r w:rsidR="005226EC" w:rsidRPr="005226EC">
        <w:t xml:space="preserve">t is estimated that </w:t>
      </w:r>
      <w:hyperlink r:id="rId21" w:anchor=":~:text=Persons%20with%20disabilities%20make%20up,the%20poorest%20in%20their%20communities%20." w:history="1">
        <w:r w:rsidR="005226EC" w:rsidRPr="00567D1D">
          <w:rPr>
            <w:rStyle w:val="Hyperlink"/>
          </w:rPr>
          <w:t>80 percent</w:t>
        </w:r>
      </w:hyperlink>
      <w:r w:rsidR="005226EC" w:rsidRPr="005226EC">
        <w:t xml:space="preserve"> of persons with disabilities live in </w:t>
      </w:r>
      <w:r>
        <w:t>l</w:t>
      </w:r>
      <w:r w:rsidR="005226EC" w:rsidRPr="005226EC">
        <w:t>ow- and middle-income countries (sometimes also referred as the Global South)</w:t>
      </w:r>
      <w:r>
        <w:t xml:space="preserve">. </w:t>
      </w:r>
      <w:r w:rsidR="00F12730">
        <w:t xml:space="preserve">Unfortunately, persons with </w:t>
      </w:r>
      <w:r w:rsidR="001842A3">
        <w:t>disabilities</w:t>
      </w:r>
      <w:r w:rsidR="00F12730">
        <w:t xml:space="preserve"> across the world continue to</w:t>
      </w:r>
      <w:r w:rsidR="001842A3">
        <w:t xml:space="preserve"> </w:t>
      </w:r>
      <w:r w:rsidR="00F12730">
        <w:t>face</w:t>
      </w:r>
      <w:r w:rsidR="005A3636">
        <w:t xml:space="preserve"> </w:t>
      </w:r>
      <w:r w:rsidR="00EE57F7">
        <w:t>barriers and</w:t>
      </w:r>
      <w:r w:rsidR="001842A3">
        <w:t xml:space="preserve"> challenges. </w:t>
      </w:r>
      <w:r w:rsidR="00EE57F7">
        <w:t xml:space="preserve">These barriers include </w:t>
      </w:r>
      <w:r w:rsidR="00F12730" w:rsidRPr="00F12730">
        <w:t>discrimination and stigma on the grounds of disability; lack of accessibility to physical and virtual environments</w:t>
      </w:r>
      <w:r w:rsidR="0042173A">
        <w:t xml:space="preserve"> including transportation</w:t>
      </w:r>
      <w:r w:rsidR="002F0546">
        <w:t>, education, health</w:t>
      </w:r>
      <w:r w:rsidR="00AB0FDB">
        <w:t xml:space="preserve"> </w:t>
      </w:r>
      <w:r w:rsidR="002F0546">
        <w:t>care,</w:t>
      </w:r>
      <w:r w:rsidR="00AB0FDB">
        <w:t xml:space="preserve"> political participation</w:t>
      </w:r>
      <w:r w:rsidR="002F0546">
        <w:t xml:space="preserve"> </w:t>
      </w:r>
      <w:r w:rsidR="00EE57F7">
        <w:t xml:space="preserve">and </w:t>
      </w:r>
      <w:r w:rsidR="002F0546">
        <w:t>decent work</w:t>
      </w:r>
      <w:r w:rsidR="00F12730" w:rsidRPr="00F12730">
        <w:t>; lack of access to assistive technology</w:t>
      </w:r>
      <w:r w:rsidR="0042173A">
        <w:t xml:space="preserve"> and information</w:t>
      </w:r>
      <w:r w:rsidR="000564AD">
        <w:t xml:space="preserve"> including </w:t>
      </w:r>
      <w:r w:rsidR="000564AD" w:rsidRPr="002D6963">
        <w:rPr>
          <w:lang w:eastAsia="en-US"/>
        </w:rPr>
        <w:t>insufficient sign language interpreters</w:t>
      </w:r>
      <w:r w:rsidR="003B1D0F">
        <w:t>;</w:t>
      </w:r>
      <w:r w:rsidR="002F0546">
        <w:t xml:space="preserve"> lack of </w:t>
      </w:r>
      <w:r w:rsidR="009E309B">
        <w:t xml:space="preserve">access </w:t>
      </w:r>
      <w:r w:rsidR="00677F51">
        <w:t xml:space="preserve">to </w:t>
      </w:r>
      <w:r w:rsidR="009E309B" w:rsidRPr="00F12730">
        <w:t>essential</w:t>
      </w:r>
      <w:r w:rsidR="00F12730" w:rsidRPr="00F12730">
        <w:t xml:space="preserve"> services and rehabilitation</w:t>
      </w:r>
      <w:r w:rsidR="00677F51">
        <w:t xml:space="preserve"> such as social protection</w:t>
      </w:r>
      <w:r w:rsidR="004679F7">
        <w:t xml:space="preserve">, mental health </w:t>
      </w:r>
      <w:r w:rsidR="00677F51">
        <w:t>and independent living</w:t>
      </w:r>
      <w:r w:rsidR="001706DB">
        <w:t>;</w:t>
      </w:r>
      <w:r w:rsidR="0058112A">
        <w:t xml:space="preserve"> </w:t>
      </w:r>
      <w:r w:rsidR="00F83433">
        <w:t>lack of meaningful engagement</w:t>
      </w:r>
      <w:r w:rsidR="001706DB">
        <w:t xml:space="preserve"> opportunities;</w:t>
      </w:r>
      <w:r w:rsidR="00F83433">
        <w:t xml:space="preserve"> lack of funding, </w:t>
      </w:r>
      <w:r w:rsidR="009B13AF">
        <w:t xml:space="preserve">and </w:t>
      </w:r>
      <w:r w:rsidR="00F12730" w:rsidRPr="00F12730">
        <w:t>additional costs resulting from disability</w:t>
      </w:r>
      <w:r w:rsidR="009B13AF">
        <w:t>.</w:t>
      </w:r>
      <w:r w:rsidR="000564AD">
        <w:t xml:space="preserve"> Additionally, </w:t>
      </w:r>
      <w:r w:rsidR="000564AD" w:rsidRPr="000564AD">
        <w:t xml:space="preserve">shifting political climates increasingly place pressure on </w:t>
      </w:r>
      <w:r w:rsidR="00677F51">
        <w:t xml:space="preserve">communities most at risk </w:t>
      </w:r>
      <w:r w:rsidR="00937707">
        <w:t>of harm</w:t>
      </w:r>
      <w:r w:rsidR="000564AD" w:rsidRPr="000564AD">
        <w:t xml:space="preserve">, including the disability movement, further restricting opportunities for </w:t>
      </w:r>
      <w:r w:rsidR="00937707">
        <w:t xml:space="preserve">political participation, </w:t>
      </w:r>
      <w:r w:rsidR="000564AD" w:rsidRPr="000564AD">
        <w:t>advocacy and protest.</w:t>
      </w:r>
    </w:p>
    <w:p w14:paraId="462C72DF" w14:textId="15908866" w:rsidR="009E309B" w:rsidRDefault="009E309B" w:rsidP="00BA4F86">
      <w:r>
        <w:t>Yet, persons with disabilities</w:t>
      </w:r>
      <w:r w:rsidRPr="009E309B">
        <w:t xml:space="preserve"> </w:t>
      </w:r>
      <w:r w:rsidR="00ED0564">
        <w:t xml:space="preserve">ironically </w:t>
      </w:r>
      <w:r w:rsidR="00ED0564" w:rsidRPr="009E309B">
        <w:t>remain</w:t>
      </w:r>
      <w:r w:rsidRPr="009E309B">
        <w:t xml:space="preserve"> overlooked from initiatives</w:t>
      </w:r>
      <w:r>
        <w:t>, such as international cooperation and hum</w:t>
      </w:r>
      <w:r w:rsidR="00ED0564">
        <w:t xml:space="preserve">anitarian action, often </w:t>
      </w:r>
      <w:r w:rsidRPr="009E309B">
        <w:t xml:space="preserve">aimed at targeting those </w:t>
      </w:r>
      <w:r>
        <w:t>most at risk</w:t>
      </w:r>
      <w:r w:rsidRPr="009E309B">
        <w:t xml:space="preserve"> </w:t>
      </w:r>
      <w:r w:rsidR="00ED0564">
        <w:t xml:space="preserve">of harm </w:t>
      </w:r>
      <w:r w:rsidRPr="009E309B">
        <w:t>in society. Efforts by various development cooperation actors, such as UN agencies, government agencies, and non-profit organi</w:t>
      </w:r>
      <w:r w:rsidR="00ED0564">
        <w:t>s</w:t>
      </w:r>
      <w:r w:rsidRPr="009E309B">
        <w:t>ations (NGOs) whose goals often aim to reduce poverty, protect human rights, and increase access to services like healthcare</w:t>
      </w:r>
      <w:r w:rsidR="0025053E">
        <w:t xml:space="preserve"> and social protection</w:t>
      </w:r>
      <w:r w:rsidRPr="009E309B">
        <w:t>,</w:t>
      </w:r>
      <w:r w:rsidR="00937707">
        <w:t xml:space="preserve"> too often</w:t>
      </w:r>
      <w:r w:rsidRPr="009E309B">
        <w:t xml:space="preserve"> forget </w:t>
      </w:r>
      <w:r w:rsidR="00937707">
        <w:t xml:space="preserve">to include and protect </w:t>
      </w:r>
      <w:r w:rsidR="00ED0564">
        <w:t>persons with disabilities</w:t>
      </w:r>
      <w:r w:rsidR="00937707">
        <w:t xml:space="preserve"> in their actions.</w:t>
      </w:r>
    </w:p>
    <w:p w14:paraId="06CEF50D" w14:textId="4D3CFA9D" w:rsidR="00AB7D9C" w:rsidRDefault="00BA4F86" w:rsidP="00BA4F86">
      <w:r w:rsidRPr="00BA4F86">
        <w:t>The Global Disability Summit (GDS</w:t>
      </w:r>
      <w:r>
        <w:t>)</w:t>
      </w:r>
      <w:r w:rsidR="0F8C2122">
        <w:t>,</w:t>
      </w:r>
      <w:r w:rsidR="77D369E4">
        <w:t xml:space="preserve"> </w:t>
      </w:r>
      <w:hyperlink r:id="rId22" w:history="1">
        <w:r w:rsidR="77D369E4" w:rsidRPr="003E4596">
          <w:rPr>
            <w:rStyle w:val="Hyperlink"/>
          </w:rPr>
          <w:t>its systems of commitments</w:t>
        </w:r>
      </w:hyperlink>
      <w:r w:rsidR="0025053E">
        <w:t>,</w:t>
      </w:r>
      <w:r w:rsidRPr="00BA4F86">
        <w:t xml:space="preserve"> and its pre-regional summits are powerful platforms to mobili</w:t>
      </w:r>
      <w:r w:rsidR="001D2AF2">
        <w:t>s</w:t>
      </w:r>
      <w:r w:rsidRPr="00BA4F86">
        <w:t>e efforts and promote inclusive</w:t>
      </w:r>
      <w:r w:rsidRPr="00BA4F86">
        <w:rPr>
          <w:b/>
          <w:bCs/>
        </w:rPr>
        <w:t xml:space="preserve"> </w:t>
      </w:r>
      <w:r w:rsidR="00C706DA" w:rsidRPr="00C706DA">
        <w:rPr>
          <w:b/>
          <w:bCs/>
        </w:rPr>
        <w:t xml:space="preserve">international cooperation, </w:t>
      </w:r>
      <w:r w:rsidRPr="00BA4F86">
        <w:rPr>
          <w:b/>
          <w:bCs/>
        </w:rPr>
        <w:t xml:space="preserve">development and humanitarian action </w:t>
      </w:r>
      <w:r w:rsidRPr="00BA4F86">
        <w:t>worldwide. By convening a diverse array of stakeholders—governments, multilateral agencies, the private sector, academia, civil society organi</w:t>
      </w:r>
      <w:r w:rsidR="00EB681B">
        <w:t>s</w:t>
      </w:r>
      <w:r w:rsidRPr="00BA4F86">
        <w:t>ations, Organisations of Persons with Disabilities (OPDs), and foundations—these summits foster collaboration, meaningful engagement, and accountability to advance the global disability inclusion agenda.</w:t>
      </w:r>
      <w:r w:rsidR="00FE6977">
        <w:t xml:space="preserve"> </w:t>
      </w:r>
      <w:r w:rsidRPr="00BA4F86">
        <w:t>The summit</w:t>
      </w:r>
      <w:r w:rsidR="00CB16EC">
        <w:t>s</w:t>
      </w:r>
      <w:r w:rsidRPr="00BA4F86">
        <w:t xml:space="preserve"> emphas</w:t>
      </w:r>
      <w:r w:rsidR="00002FB2">
        <w:t>ise</w:t>
      </w:r>
      <w:r w:rsidRPr="00BA4F86">
        <w:t xml:space="preserve"> the implementation and monitoring of the United Nations Convention on the Rights of Persons with Disabilities (UNCRPD), particularly Articles 11 (</w:t>
      </w:r>
      <w:r w:rsidRPr="00BA4F86">
        <w:rPr>
          <w:b/>
          <w:bCs/>
        </w:rPr>
        <w:t>Situations of risk and humanitarian emergencies</w:t>
      </w:r>
      <w:r w:rsidRPr="00BA4F86">
        <w:t xml:space="preserve">) and 32 </w:t>
      </w:r>
      <w:r w:rsidRPr="00BA4F86">
        <w:rPr>
          <w:b/>
          <w:bCs/>
        </w:rPr>
        <w:t>(International Cooperation</w:t>
      </w:r>
      <w:r w:rsidRPr="00BA4F86">
        <w:t xml:space="preserve">), to drive meaningful </w:t>
      </w:r>
      <w:r w:rsidRPr="00BA4F86">
        <w:lastRenderedPageBreak/>
        <w:t>progress in disability rights</w:t>
      </w:r>
      <w:r w:rsidR="00002FB2">
        <w:t xml:space="preserve"> worldwide.</w:t>
      </w:r>
      <w:r w:rsidR="00ED0564" w:rsidRPr="00ED0564">
        <w:t xml:space="preserve"> </w:t>
      </w:r>
      <w:r w:rsidR="52CAEA29">
        <w:t>I</w:t>
      </w:r>
      <w:r w:rsidR="00495256" w:rsidRPr="00495256">
        <w:t>t is</w:t>
      </w:r>
      <w:r w:rsidR="0025053E">
        <w:t xml:space="preserve"> also</w:t>
      </w:r>
      <w:r w:rsidR="00495256" w:rsidRPr="00495256">
        <w:t xml:space="preserve"> crucial to emphasi</w:t>
      </w:r>
      <w:r w:rsidR="001D2AF2">
        <w:t>s</w:t>
      </w:r>
      <w:r w:rsidR="00495256" w:rsidRPr="00495256">
        <w:t xml:space="preserve">e that </w:t>
      </w:r>
      <w:r w:rsidR="00495256" w:rsidRPr="0025053E">
        <w:rPr>
          <w:b/>
          <w:bCs/>
        </w:rPr>
        <w:t xml:space="preserve">all UNCRPD </w:t>
      </w:r>
      <w:r w:rsidR="10C6A7A2" w:rsidRPr="0025053E">
        <w:rPr>
          <w:b/>
          <w:bCs/>
        </w:rPr>
        <w:t>articles</w:t>
      </w:r>
      <w:r w:rsidR="10C6A7A2">
        <w:t xml:space="preserve"> </w:t>
      </w:r>
      <w:r w:rsidR="00495256" w:rsidRPr="00495256">
        <w:t>are interconnected and must be considered, reinforcing a human rights-based approach to disability rights in discussions-related to international cooperation and humanitarian action.</w:t>
      </w:r>
    </w:p>
    <w:p w14:paraId="71CCF7F8" w14:textId="03E0BF59" w:rsidR="00BA4F86" w:rsidRDefault="3CBB755F" w:rsidP="00BA4F86">
      <w:r>
        <w:t xml:space="preserve">For instance, </w:t>
      </w:r>
      <w:r w:rsidR="540E61CC">
        <w:t>i</w:t>
      </w:r>
      <w:r w:rsidR="00ED0564">
        <w:t>nternational</w:t>
      </w:r>
      <w:r w:rsidR="00ED0564" w:rsidRPr="00ED0564">
        <w:t xml:space="preserve"> cooperation extends beyond development policy and encompass a wide range of activities, including sports competitions, cultural and educational exchanges, mentorship programmes, and more—activities that also foster mutual exchange, build relationships, and promote inclusion across many different sectors. As such, to ensure the implementation of UNCRPD Article 32 it is crucial to ensure that persons with disabilities have equal opportunities to participate in international activities, fostering inclusion and empowering individuals on a global scale. By meaningfully participating in these activities, individuals with disabilities can contribute their unique perspectives, enrich dialogues, and promote innovative solutions to global challenges. </w:t>
      </w:r>
    </w:p>
    <w:p w14:paraId="6D6FCB2B" w14:textId="3105B885" w:rsidR="00DD645B" w:rsidRDefault="00DD645B" w:rsidP="00BA4F86">
      <w:r w:rsidRPr="00DD645B">
        <w:t xml:space="preserve">The European pre-summit connected to GDS2025, known as the “European Regional Disability Summit 2024,” brought together participants from Western, Northern, Eastern, and Southern Europe, as well as the Balkans, the Caucasus, and Central Asia. In this vast region, approximately </w:t>
      </w:r>
      <w:hyperlink r:id="rId23" w:history="1">
        <w:r w:rsidRPr="00DD645B">
          <w:rPr>
            <w:rStyle w:val="Hyperlink"/>
          </w:rPr>
          <w:t>135 million persons with disabilities</w:t>
        </w:r>
      </w:hyperlink>
      <w:r w:rsidRPr="00DD645B">
        <w:t xml:space="preserve"> live in the Europe and Central Asia region. A convergence of recent challenges—including the COVID-19 pandemic, the conflict in Ukraine, climate crises, natural disasters, armed conflicts, and complex migration patterns—has intensified the barriers faced by persons with disabilities</w:t>
      </w:r>
      <w:r w:rsidR="00357306">
        <w:t xml:space="preserve"> within the region</w:t>
      </w:r>
      <w:r w:rsidRPr="00DD645B">
        <w:t xml:space="preserve"> while </w:t>
      </w:r>
      <w:r w:rsidR="00357306">
        <w:t xml:space="preserve">also </w:t>
      </w:r>
      <w:r w:rsidRPr="00DD645B">
        <w:t>highlighting the need to prioriti</w:t>
      </w:r>
      <w:r w:rsidR="001D2AF2">
        <w:t>s</w:t>
      </w:r>
      <w:r w:rsidRPr="00DD645B">
        <w:t>e disability-inclusive international cooperation and humanitarian action.</w:t>
      </w:r>
    </w:p>
    <w:p w14:paraId="5591D174" w14:textId="77777777" w:rsidR="00C03FD6" w:rsidRPr="00C03FD6" w:rsidRDefault="00C03FD6" w:rsidP="00C03FD6">
      <w:r w:rsidRPr="00C03FD6">
        <w:t>Europe and Central Asia have made significant strides in advancing the rights of persons with disabilities, both within the region and globally, through inclusive international cooperation and humanitarian action. Notable examples of effective practices include:</w:t>
      </w:r>
    </w:p>
    <w:p w14:paraId="561D3D49" w14:textId="1CDB3549" w:rsidR="00C03FD6" w:rsidRPr="00C03FD6" w:rsidRDefault="00C03FD6" w:rsidP="00C03FD6">
      <w:pPr>
        <w:numPr>
          <w:ilvl w:val="0"/>
          <w:numId w:val="21"/>
        </w:numPr>
      </w:pPr>
      <w:r>
        <w:t xml:space="preserve">The United Kingdom’s comprehensive </w:t>
      </w:r>
      <w:hyperlink r:id="rId24" w:anchor=":~:text=The%20strategy%20reaffirms%20the%20UK%E2%80%99s%20commitment%20to%20act">
        <w:r w:rsidRPr="22F8D1B5">
          <w:rPr>
            <w:rStyle w:val="Hyperlink"/>
            <w:b/>
            <w:bCs/>
          </w:rPr>
          <w:t>Strategy for Disability Inclusion (2022–2030)</w:t>
        </w:r>
      </w:hyperlink>
      <w:r>
        <w:t>, which provides a clear framework for action.</w:t>
      </w:r>
    </w:p>
    <w:p w14:paraId="3AC4F3CF" w14:textId="7ED7282C" w:rsidR="00C03FD6" w:rsidRPr="00C03FD6" w:rsidRDefault="00C03FD6" w:rsidP="00C03FD6">
      <w:pPr>
        <w:numPr>
          <w:ilvl w:val="0"/>
          <w:numId w:val="21"/>
        </w:numPr>
      </w:pPr>
      <w:r w:rsidRPr="00C03FD6">
        <w:t xml:space="preserve">The adoption of the </w:t>
      </w:r>
      <w:hyperlink r:id="rId25" w:history="1">
        <w:r w:rsidRPr="00C03FD6">
          <w:rPr>
            <w:rStyle w:val="Hyperlink"/>
            <w:b/>
            <w:bCs/>
          </w:rPr>
          <w:t>Disability Policy Marker</w:t>
        </w:r>
      </w:hyperlink>
      <w:r w:rsidRPr="00C03FD6">
        <w:t xml:space="preserve"> by countries such as Ireland, Italy, and Finland to assess and enhance disability inclusion in development projects.</w:t>
      </w:r>
    </w:p>
    <w:p w14:paraId="30CA2152" w14:textId="4B6152EE" w:rsidR="00C03FD6" w:rsidRPr="00C03FD6" w:rsidRDefault="00C03FD6" w:rsidP="00C03FD6">
      <w:pPr>
        <w:numPr>
          <w:ilvl w:val="0"/>
          <w:numId w:val="21"/>
        </w:numPr>
      </w:pPr>
      <w:r w:rsidRPr="00C03FD6">
        <w:t xml:space="preserve">The European Union’s launch of </w:t>
      </w:r>
      <w:hyperlink r:id="rId26" w:history="1">
        <w:r w:rsidRPr="00C03FD6">
          <w:rPr>
            <w:rStyle w:val="Hyperlink"/>
            <w:b/>
            <w:bCs/>
          </w:rPr>
          <w:t>guidance for its staff worldwide</w:t>
        </w:r>
      </w:hyperlink>
      <w:r w:rsidRPr="00C03FD6">
        <w:t>, aimed at integrating disability inclusion across all areas of its work.</w:t>
      </w:r>
    </w:p>
    <w:p w14:paraId="556D0774" w14:textId="1199D162" w:rsidR="00C03FD6" w:rsidRPr="00C03FD6" w:rsidRDefault="00C03FD6" w:rsidP="00C03FD6">
      <w:pPr>
        <w:numPr>
          <w:ilvl w:val="0"/>
          <w:numId w:val="21"/>
        </w:numPr>
      </w:pPr>
      <w:r w:rsidRPr="00C03FD6">
        <w:t xml:space="preserve">Montenegro’s distinction as the first country in the European Region to implement the </w:t>
      </w:r>
      <w:hyperlink r:id="rId27" w:history="1">
        <w:r w:rsidRPr="00C03FD6">
          <w:rPr>
            <w:rStyle w:val="Hyperlink"/>
            <w:b/>
            <w:bCs/>
          </w:rPr>
          <w:t>WHO Disability: Action Plan</w:t>
        </w:r>
      </w:hyperlink>
      <w:r w:rsidRPr="00C03FD6">
        <w:t xml:space="preserve"> framework.</w:t>
      </w:r>
    </w:p>
    <w:p w14:paraId="52C3BD9D" w14:textId="76EA9E30" w:rsidR="00C03FD6" w:rsidRDefault="00C03FD6" w:rsidP="00C03FD6">
      <w:pPr>
        <w:numPr>
          <w:ilvl w:val="0"/>
          <w:numId w:val="21"/>
        </w:numPr>
      </w:pPr>
      <w:r w:rsidRPr="00C03FD6">
        <w:lastRenderedPageBreak/>
        <w:t xml:space="preserve">Moldova’s implementation of the </w:t>
      </w:r>
      <w:hyperlink r:id="rId28" w:history="1">
        <w:r w:rsidRPr="00C03FD6">
          <w:rPr>
            <w:rStyle w:val="Hyperlink"/>
            <w:b/>
            <w:bCs/>
          </w:rPr>
          <w:t>Health Equity for Persons with Disabilities: Guide for Action</w:t>
        </w:r>
      </w:hyperlink>
      <w:r w:rsidRPr="00C03FD6">
        <w:t>, which led to a detailed situation report and the development of a comprehensive action plan.</w:t>
      </w:r>
    </w:p>
    <w:p w14:paraId="3FBC3299" w14:textId="4FE8916B" w:rsidR="00CE26E8" w:rsidRPr="00C03FD6" w:rsidRDefault="00CE26E8" w:rsidP="00C03FD6">
      <w:pPr>
        <w:numPr>
          <w:ilvl w:val="0"/>
          <w:numId w:val="21"/>
        </w:numPr>
      </w:pPr>
      <w:r w:rsidRPr="00CE26E8">
        <w:t xml:space="preserve">Liechtenstein and Uzbekistan </w:t>
      </w:r>
      <w:r w:rsidR="004F18A3">
        <w:t xml:space="preserve">recently </w:t>
      </w:r>
      <w:r w:rsidR="004F18A3" w:rsidRPr="00CE26E8">
        <w:t>ratified</w:t>
      </w:r>
      <w:r w:rsidRPr="00CE26E8">
        <w:t xml:space="preserve"> the UNCRPD</w:t>
      </w:r>
      <w:r>
        <w:t>.</w:t>
      </w:r>
    </w:p>
    <w:p w14:paraId="5CB997B8" w14:textId="6E3954EB" w:rsidR="004F18A3" w:rsidRDefault="001D409B" w:rsidP="001D409B">
      <w:r w:rsidRPr="001D409B">
        <w:t xml:space="preserve">While these positive examples mark progress in promoting the rights of persons with disabilities in Europe and Central Asia, as well as in partner countries, significant challenges persist. Many UNCRPD articles, including Articles 11 and 32, remain only partially implemented. Additionally, chronic underfunding continues to </w:t>
      </w:r>
      <w:r w:rsidR="001D2AF2">
        <w:t xml:space="preserve">discriminate against </w:t>
      </w:r>
      <w:r w:rsidRPr="001D409B">
        <w:t xml:space="preserve">persons with disabilities both within the broader Europe and Central Asia region and in international development efforts. Addressing these issues requires stronger collaboration among governments, NGOs, and OPDs, alongside enhanced engagement from donors, the private sector, and foundations. Their support is vital to drive innovative disability-inclusive projects, fund critical research, and advocate for systemic change. </w:t>
      </w:r>
    </w:p>
    <w:p w14:paraId="447F17F3" w14:textId="281F8838" w:rsidR="001D409B" w:rsidRDefault="001D409B" w:rsidP="001D409B">
      <w:r w:rsidRPr="001D409B">
        <w:t>GDS and its pre-summits, including the European Regional Disability Summit, aim to bridge these gaps and pave the way toward a future that is truly inclusive of persons with disabilities.</w:t>
      </w:r>
    </w:p>
    <w:p w14:paraId="736CC0CC" w14:textId="72270C02" w:rsidR="00F35DEB" w:rsidRPr="001342E7" w:rsidRDefault="00B156D5" w:rsidP="0096334A">
      <w:pPr>
        <w:pStyle w:val="Heading1"/>
        <w:spacing w:before="0" w:after="0" w:line="276" w:lineRule="auto"/>
        <w:rPr>
          <w:b/>
          <w:bCs/>
          <w:color w:val="252253"/>
        </w:rPr>
      </w:pPr>
      <w:bookmarkStart w:id="8" w:name="_Hlk177479960"/>
      <w:bookmarkStart w:id="9" w:name="_Toc188445882"/>
      <w:r w:rsidRPr="001342E7">
        <w:rPr>
          <w:b/>
          <w:bCs/>
          <w:color w:val="252253"/>
        </w:rPr>
        <w:t xml:space="preserve">European Regional Disability </w:t>
      </w:r>
      <w:bookmarkEnd w:id="8"/>
      <w:r w:rsidRPr="001342E7">
        <w:rPr>
          <w:b/>
          <w:bCs/>
          <w:color w:val="252253"/>
        </w:rPr>
        <w:t xml:space="preserve">Summit </w:t>
      </w:r>
      <w:r w:rsidR="005243C2">
        <w:rPr>
          <w:b/>
          <w:bCs/>
          <w:color w:val="252253"/>
        </w:rPr>
        <w:t>2024</w:t>
      </w:r>
      <w:bookmarkEnd w:id="9"/>
    </w:p>
    <w:p w14:paraId="2AE41D65" w14:textId="4B4DBA92" w:rsidR="007D50E5" w:rsidRPr="001342E7" w:rsidRDefault="00A42C23" w:rsidP="007D50E5">
      <w:pPr>
        <w:rPr>
          <w:lang w:eastAsia="en-US"/>
        </w:rPr>
      </w:pPr>
      <w:r w:rsidRPr="001342E7">
        <w:rPr>
          <w:lang w:eastAsia="en-US"/>
        </w:rPr>
        <w:t>T</w:t>
      </w:r>
      <w:r w:rsidR="00F35DEB" w:rsidRPr="001342E7">
        <w:rPr>
          <w:lang w:eastAsia="en-US"/>
        </w:rPr>
        <w:t>he German Federal Ministry of Labour and Social Affairs</w:t>
      </w:r>
      <w:r w:rsidR="004F18A3">
        <w:rPr>
          <w:lang w:eastAsia="en-US"/>
        </w:rPr>
        <w:t xml:space="preserve">, </w:t>
      </w:r>
      <w:r w:rsidR="00F35DEB" w:rsidRPr="001342E7">
        <w:rPr>
          <w:lang w:eastAsia="en-US"/>
        </w:rPr>
        <w:t>the European Disability Forum</w:t>
      </w:r>
      <w:r w:rsidR="004F18A3">
        <w:rPr>
          <w:lang w:eastAsia="en-US"/>
        </w:rPr>
        <w:t xml:space="preserve">, </w:t>
      </w:r>
      <w:r w:rsidR="00F35DEB" w:rsidRPr="001342E7">
        <w:rPr>
          <w:lang w:eastAsia="en-US"/>
        </w:rPr>
        <w:t xml:space="preserve">and the German </w:t>
      </w:r>
      <w:r w:rsidR="497F3EB7" w:rsidRPr="001342E7">
        <w:rPr>
          <w:lang w:eastAsia="en-US"/>
        </w:rPr>
        <w:t>Disability Council</w:t>
      </w:r>
      <w:r w:rsidR="00F35DEB" w:rsidRPr="001342E7">
        <w:rPr>
          <w:lang w:eastAsia="en-US"/>
        </w:rPr>
        <w:t xml:space="preserve"> organi</w:t>
      </w:r>
      <w:r w:rsidR="001D2AF2">
        <w:rPr>
          <w:lang w:eastAsia="en-US"/>
        </w:rPr>
        <w:t>s</w:t>
      </w:r>
      <w:r w:rsidR="00F35DEB" w:rsidRPr="001342E7">
        <w:rPr>
          <w:lang w:eastAsia="en-US"/>
        </w:rPr>
        <w:t xml:space="preserve">ed the </w:t>
      </w:r>
      <w:hyperlink r:id="rId29">
        <w:r w:rsidR="00F35DEB" w:rsidRPr="001342E7">
          <w:rPr>
            <w:rStyle w:val="Hyperlink"/>
            <w:lang w:eastAsia="en-US"/>
          </w:rPr>
          <w:t>High-Level European Regional Disability Summit</w:t>
        </w:r>
      </w:hyperlink>
      <w:r w:rsidR="00F35DEB" w:rsidRPr="001342E7">
        <w:rPr>
          <w:lang w:eastAsia="en-US"/>
        </w:rPr>
        <w:t xml:space="preserve"> in Berlin, Germany </w:t>
      </w:r>
      <w:r w:rsidR="008D4154">
        <w:rPr>
          <w:lang w:eastAsia="en-US"/>
        </w:rPr>
        <w:t xml:space="preserve">and online </w:t>
      </w:r>
      <w:r w:rsidR="00F35DEB" w:rsidRPr="001342E7">
        <w:rPr>
          <w:lang w:eastAsia="en-US"/>
        </w:rPr>
        <w:t xml:space="preserve">on </w:t>
      </w:r>
      <w:r w:rsidR="5E0C37D3" w:rsidRPr="22F8D1B5">
        <w:rPr>
          <w:lang w:eastAsia="en-US"/>
        </w:rPr>
        <w:t>the 6</w:t>
      </w:r>
      <w:r w:rsidR="5E0C37D3" w:rsidRPr="22F8D1B5">
        <w:rPr>
          <w:vertAlign w:val="superscript"/>
          <w:lang w:eastAsia="en-US"/>
        </w:rPr>
        <w:t>th</w:t>
      </w:r>
      <w:r w:rsidR="5E0C37D3" w:rsidRPr="22F8D1B5">
        <w:rPr>
          <w:lang w:eastAsia="en-US"/>
        </w:rPr>
        <w:t xml:space="preserve"> </w:t>
      </w:r>
      <w:r w:rsidR="00F35DEB" w:rsidRPr="001342E7">
        <w:rPr>
          <w:lang w:eastAsia="en-US"/>
        </w:rPr>
        <w:t>December 2024.</w:t>
      </w:r>
      <w:r w:rsidR="0051386A" w:rsidRPr="001342E7">
        <w:rPr>
          <w:lang w:eastAsia="en-US"/>
        </w:rPr>
        <w:t xml:space="preserve"> The Summit focused on international cooperation and humanitarian action. </w:t>
      </w:r>
      <w:r w:rsidR="007B5396" w:rsidRPr="001342E7">
        <w:rPr>
          <w:lang w:eastAsia="en-US"/>
        </w:rPr>
        <w:t xml:space="preserve">The event was also endorsed by the EU and the </w:t>
      </w:r>
      <w:r w:rsidR="78BF4E07" w:rsidRPr="22F8D1B5">
        <w:rPr>
          <w:lang w:eastAsia="en-US"/>
        </w:rPr>
        <w:t xml:space="preserve">Global Disability Fund (previously called the </w:t>
      </w:r>
      <w:r w:rsidR="007B5396" w:rsidRPr="001342E7">
        <w:rPr>
          <w:lang w:eastAsia="en-US"/>
        </w:rPr>
        <w:t>UN Partnership on the Rights of Persons with Disabilities</w:t>
      </w:r>
      <w:r w:rsidR="0058162F">
        <w:rPr>
          <w:lang w:eastAsia="en-US"/>
        </w:rPr>
        <w:t xml:space="preserve"> - </w:t>
      </w:r>
      <w:r w:rsidR="007B5396" w:rsidRPr="001342E7">
        <w:rPr>
          <w:lang w:eastAsia="en-US"/>
        </w:rPr>
        <w:t xml:space="preserve">PRPD), both of which provided valuable </w:t>
      </w:r>
      <w:r w:rsidR="003527AE" w:rsidRPr="001342E7">
        <w:rPr>
          <w:lang w:eastAsia="en-US"/>
        </w:rPr>
        <w:t>input</w:t>
      </w:r>
      <w:r w:rsidR="007B5396" w:rsidRPr="001342E7">
        <w:rPr>
          <w:lang w:eastAsia="en-US"/>
        </w:rPr>
        <w:t xml:space="preserve"> during the preparation phase.</w:t>
      </w:r>
    </w:p>
    <w:p w14:paraId="7D38BAD4" w14:textId="4C2BEA25" w:rsidR="00F35DEB" w:rsidRPr="005243C2" w:rsidRDefault="00CC53F2" w:rsidP="005243C2">
      <w:pPr>
        <w:pStyle w:val="Heading2"/>
        <w:rPr>
          <w:b/>
          <w:bCs/>
          <w:color w:val="CF1270"/>
        </w:rPr>
      </w:pPr>
      <w:bookmarkStart w:id="10" w:name="_Toc188445883"/>
      <w:r w:rsidRPr="005243C2">
        <w:rPr>
          <w:b/>
          <w:bCs/>
          <w:color w:val="CF1270"/>
        </w:rPr>
        <w:t xml:space="preserve">Pre-Summit </w:t>
      </w:r>
      <w:r w:rsidR="00F35DEB" w:rsidRPr="005243C2">
        <w:rPr>
          <w:b/>
          <w:bCs/>
          <w:color w:val="CF1270"/>
        </w:rPr>
        <w:t>Participants</w:t>
      </w:r>
      <w:bookmarkEnd w:id="10"/>
    </w:p>
    <w:p w14:paraId="4614ACC5" w14:textId="2E3F94A6" w:rsidR="003300E0" w:rsidRDefault="003300E0" w:rsidP="00EF2BBA">
      <w:r w:rsidRPr="003300E0">
        <w:t xml:space="preserve">The European Regional Disability Summit saw over 1,000 registrations, underscoring the strong interest in this critical event. Approximately 350 participants attended in person, representing the entire European continent, including EU Member States, Eastern and Central European countries outside the EU, the Caucasus, and Central Asian nations bridging Europe and </w:t>
      </w:r>
      <w:r w:rsidR="0014116E">
        <w:t xml:space="preserve">Central </w:t>
      </w:r>
      <w:r w:rsidRPr="003300E0">
        <w:t>Asia. Additionally, the summit welcomed an</w:t>
      </w:r>
      <w:r w:rsidR="0014116E">
        <w:t>d</w:t>
      </w:r>
      <w:r w:rsidRPr="003300E0">
        <w:t xml:space="preserve"> engaged </w:t>
      </w:r>
      <w:r w:rsidR="0014116E">
        <w:t xml:space="preserve">an </w:t>
      </w:r>
      <w:r w:rsidRPr="003300E0">
        <w:t>online audience of 500 participants, further broadening its reach and impact.</w:t>
      </w:r>
    </w:p>
    <w:p w14:paraId="64EC6F01" w14:textId="45E38FE9" w:rsidR="00F35DEB" w:rsidRPr="005243C2" w:rsidRDefault="00CC53F2" w:rsidP="005243C2">
      <w:pPr>
        <w:pStyle w:val="Heading2"/>
        <w:rPr>
          <w:b/>
          <w:bCs/>
          <w:color w:val="CF1270"/>
        </w:rPr>
      </w:pPr>
      <w:bookmarkStart w:id="11" w:name="_Toc188445884"/>
      <w:r w:rsidRPr="005243C2">
        <w:rPr>
          <w:b/>
          <w:bCs/>
          <w:color w:val="CF1270"/>
        </w:rPr>
        <w:t xml:space="preserve">Pre-Summit </w:t>
      </w:r>
      <w:r w:rsidR="00BD5326" w:rsidRPr="005243C2">
        <w:rPr>
          <w:b/>
          <w:bCs/>
          <w:color w:val="CF1270"/>
        </w:rPr>
        <w:t>Objectives</w:t>
      </w:r>
      <w:bookmarkEnd w:id="11"/>
    </w:p>
    <w:p w14:paraId="18758612" w14:textId="3CD98F61" w:rsidR="00F35DEB" w:rsidRPr="001342E7" w:rsidRDefault="00F35DEB" w:rsidP="00F35DEB">
      <w:pPr>
        <w:rPr>
          <w:rFonts w:eastAsiaTheme="majorEastAsia"/>
        </w:rPr>
      </w:pPr>
      <w:r w:rsidRPr="001342E7">
        <w:rPr>
          <w:rFonts w:eastAsiaTheme="majorEastAsia"/>
        </w:rPr>
        <w:t>The objectives of European Regional Disability Summit 2024 included: </w:t>
      </w:r>
    </w:p>
    <w:p w14:paraId="6FA51BBB" w14:textId="77777777" w:rsidR="00F35DEB" w:rsidRPr="001342E7" w:rsidRDefault="00F35DEB" w:rsidP="002566B6">
      <w:pPr>
        <w:pStyle w:val="ListParagraph"/>
        <w:numPr>
          <w:ilvl w:val="0"/>
          <w:numId w:val="10"/>
        </w:numPr>
        <w:rPr>
          <w:rFonts w:eastAsiaTheme="majorEastAsia"/>
        </w:rPr>
      </w:pPr>
      <w:r w:rsidRPr="001342E7">
        <w:rPr>
          <w:rFonts w:eastAsiaTheme="majorEastAsia"/>
        </w:rPr>
        <w:lastRenderedPageBreak/>
        <w:t>Introduce the GDS2025 and explain its relevance for European international cooperation and humanitarian action (including disaster risk reduction) </w:t>
      </w:r>
    </w:p>
    <w:p w14:paraId="17CF15B8" w14:textId="255C2657" w:rsidR="00AF2218" w:rsidRPr="00AF2218" w:rsidRDefault="00AF2218" w:rsidP="00AF2218">
      <w:pPr>
        <w:pStyle w:val="ListParagraph"/>
        <w:numPr>
          <w:ilvl w:val="0"/>
          <w:numId w:val="10"/>
        </w:numPr>
        <w:rPr>
          <w:rFonts w:eastAsiaTheme="majorEastAsia"/>
        </w:rPr>
      </w:pPr>
      <w:r w:rsidRPr="00AF2218">
        <w:rPr>
          <w:rFonts w:eastAsiaTheme="majorEastAsia"/>
        </w:rPr>
        <w:t xml:space="preserve">Present findings from the European OPDs consultation </w:t>
      </w:r>
    </w:p>
    <w:p w14:paraId="2C25C1CE" w14:textId="4EB26950" w:rsidR="00F35DEB" w:rsidRPr="001342E7" w:rsidRDefault="00F35DEB" w:rsidP="002566B6">
      <w:pPr>
        <w:pStyle w:val="ListParagraph"/>
        <w:numPr>
          <w:ilvl w:val="0"/>
          <w:numId w:val="10"/>
        </w:numPr>
        <w:rPr>
          <w:rFonts w:eastAsiaTheme="majorEastAsia"/>
        </w:rPr>
      </w:pPr>
      <w:r w:rsidRPr="001342E7">
        <w:rPr>
          <w:rFonts w:eastAsiaTheme="majorEastAsia"/>
        </w:rPr>
        <w:t xml:space="preserve">Discuss </w:t>
      </w:r>
      <w:r w:rsidR="004D49DD" w:rsidRPr="001342E7">
        <w:rPr>
          <w:rFonts w:eastAsiaTheme="majorEastAsia"/>
        </w:rPr>
        <w:t>the key</w:t>
      </w:r>
      <w:r w:rsidRPr="001342E7">
        <w:rPr>
          <w:rFonts w:eastAsiaTheme="majorEastAsia"/>
        </w:rPr>
        <w:t xml:space="preserve"> challenges and opportunities related to inclusive development for the greater European </w:t>
      </w:r>
      <w:r w:rsidR="00980914" w:rsidRPr="001342E7">
        <w:rPr>
          <w:rFonts w:eastAsiaTheme="majorEastAsia"/>
        </w:rPr>
        <w:t>r</w:t>
      </w:r>
      <w:r w:rsidRPr="001342E7">
        <w:rPr>
          <w:rFonts w:eastAsiaTheme="majorEastAsia"/>
        </w:rPr>
        <w:t>egion</w:t>
      </w:r>
    </w:p>
    <w:p w14:paraId="7F0CE46E" w14:textId="711F22F7" w:rsidR="00F35DEB" w:rsidRPr="001342E7" w:rsidRDefault="00F35DEB" w:rsidP="002566B6">
      <w:pPr>
        <w:pStyle w:val="ListParagraph"/>
        <w:numPr>
          <w:ilvl w:val="0"/>
          <w:numId w:val="10"/>
        </w:numPr>
        <w:rPr>
          <w:rFonts w:eastAsiaTheme="majorEastAsia"/>
        </w:rPr>
      </w:pPr>
      <w:r w:rsidRPr="001342E7">
        <w:rPr>
          <w:rFonts w:eastAsiaTheme="majorEastAsia"/>
        </w:rPr>
        <w:t xml:space="preserve">Use the Summit to discuss how global organisations and greater European </w:t>
      </w:r>
      <w:r w:rsidR="00980914" w:rsidRPr="001342E7">
        <w:rPr>
          <w:rFonts w:eastAsiaTheme="majorEastAsia"/>
        </w:rPr>
        <w:t>r</w:t>
      </w:r>
      <w:r w:rsidRPr="001342E7">
        <w:rPr>
          <w:rFonts w:eastAsiaTheme="majorEastAsia"/>
        </w:rPr>
        <w:t xml:space="preserve">egion Member States can support implementation of global commitments on disability-inclusive development (across health, education, employment, humanitarian situations and civil society strengthening, including women’s </w:t>
      </w:r>
      <w:r w:rsidR="00344EC0" w:rsidRPr="001342E7">
        <w:rPr>
          <w:rFonts w:eastAsiaTheme="majorEastAsia"/>
        </w:rPr>
        <w:t xml:space="preserve">and girls’ </w:t>
      </w:r>
      <w:r w:rsidRPr="001342E7">
        <w:rPr>
          <w:rFonts w:eastAsiaTheme="majorEastAsia"/>
        </w:rPr>
        <w:t>rights</w:t>
      </w:r>
      <w:r w:rsidR="00980914" w:rsidRPr="001342E7">
        <w:rPr>
          <w:rFonts w:eastAsiaTheme="majorEastAsia"/>
        </w:rPr>
        <w:t>, etc.</w:t>
      </w:r>
      <w:r w:rsidRPr="001342E7">
        <w:rPr>
          <w:rFonts w:eastAsiaTheme="majorEastAsia"/>
        </w:rPr>
        <w:t>) </w:t>
      </w:r>
    </w:p>
    <w:p w14:paraId="0BE55BF9" w14:textId="77777777" w:rsidR="004D49DD" w:rsidRPr="004D49DD" w:rsidRDefault="00F35DEB" w:rsidP="004D49DD">
      <w:pPr>
        <w:pStyle w:val="ListParagraph"/>
        <w:numPr>
          <w:ilvl w:val="0"/>
          <w:numId w:val="10"/>
        </w:numPr>
        <w:rPr>
          <w:b/>
          <w:bCs/>
          <w:color w:val="CF1270"/>
        </w:rPr>
      </w:pPr>
      <w:r w:rsidRPr="001342E7">
        <w:rPr>
          <w:rFonts w:eastAsiaTheme="majorEastAsia"/>
        </w:rPr>
        <w:t>Rally for submission of joint pledges and commitments </w:t>
      </w:r>
    </w:p>
    <w:p w14:paraId="7CA91E69" w14:textId="4DFA06D8" w:rsidR="00112506" w:rsidRPr="004D49DD" w:rsidRDefault="003C12AD" w:rsidP="004D49DD">
      <w:pPr>
        <w:pStyle w:val="Heading2"/>
        <w:rPr>
          <w:b/>
          <w:bCs/>
          <w:color w:val="CF1270"/>
        </w:rPr>
      </w:pPr>
      <w:bookmarkStart w:id="12" w:name="_Toc188445885"/>
      <w:r w:rsidRPr="004D49DD">
        <w:rPr>
          <w:b/>
          <w:bCs/>
          <w:color w:val="CF1270"/>
        </w:rPr>
        <w:t xml:space="preserve">Pre-Summit </w:t>
      </w:r>
      <w:r w:rsidR="00112506" w:rsidRPr="004D49DD">
        <w:rPr>
          <w:b/>
          <w:bCs/>
          <w:color w:val="CF1270"/>
        </w:rPr>
        <w:t>Outcomes</w:t>
      </w:r>
      <w:bookmarkEnd w:id="12"/>
    </w:p>
    <w:p w14:paraId="69A52D34" w14:textId="2151172E" w:rsidR="00276053" w:rsidRPr="00276053" w:rsidRDefault="00276053" w:rsidP="00276053">
      <w:r w:rsidRPr="00276053">
        <w:t xml:space="preserve">In the lead-up to </w:t>
      </w:r>
      <w:r>
        <w:t>GDS2025</w:t>
      </w:r>
      <w:r w:rsidRPr="00276053">
        <w:t xml:space="preserve"> and as part of the regional pre-summit, the broader disability rights movement in Europe and Central Asia calls on all partners—including national governments, NGOs, foundations, development agencies, and others—to</w:t>
      </w:r>
      <w:r>
        <w:t xml:space="preserve"> consider </w:t>
      </w:r>
      <w:r w:rsidRPr="00276053">
        <w:t>the following</w:t>
      </w:r>
      <w:r>
        <w:t xml:space="preserve"> priorities and</w:t>
      </w:r>
      <w:r w:rsidRPr="00276053">
        <w:t xml:space="preserve"> recommendations on disability-inclusive international cooperation and humanitarian action</w:t>
      </w:r>
      <w:r w:rsidR="005F3A7E">
        <w:t xml:space="preserve"> as outlined by the disability rights movement in the region</w:t>
      </w:r>
      <w:r w:rsidRPr="00276053">
        <w:t xml:space="preserve">. </w:t>
      </w:r>
      <w:r w:rsidRPr="005503A2">
        <w:rPr>
          <w:b/>
          <w:bCs/>
        </w:rPr>
        <w:t>These priorities</w:t>
      </w:r>
      <w:r w:rsidR="005F3A7E" w:rsidRPr="005503A2">
        <w:rPr>
          <w:b/>
          <w:bCs/>
        </w:rPr>
        <w:t xml:space="preserve"> and recommendations</w:t>
      </w:r>
      <w:r w:rsidRPr="005503A2">
        <w:rPr>
          <w:b/>
          <w:bCs/>
        </w:rPr>
        <w:t xml:space="preserve"> should serve as a guide when preparing </w:t>
      </w:r>
      <w:r w:rsidR="00496C07" w:rsidRPr="005503A2">
        <w:rPr>
          <w:b/>
          <w:bCs/>
        </w:rPr>
        <w:t xml:space="preserve">GDS2025 </w:t>
      </w:r>
      <w:r w:rsidRPr="005503A2">
        <w:rPr>
          <w:b/>
          <w:bCs/>
        </w:rPr>
        <w:t>commitments</w:t>
      </w:r>
      <w:r w:rsidR="00316CD8" w:rsidRPr="005503A2">
        <w:rPr>
          <w:b/>
          <w:bCs/>
        </w:rPr>
        <w:t>.</w:t>
      </w:r>
    </w:p>
    <w:p w14:paraId="59AC01A2" w14:textId="0061FFA0" w:rsidR="00D52BCE" w:rsidRPr="009E19D1" w:rsidRDefault="001F72C2" w:rsidP="009E19D1">
      <w:pPr>
        <w:pStyle w:val="Heading3"/>
        <w:rPr>
          <w:b/>
          <w:bCs/>
        </w:rPr>
      </w:pPr>
      <w:bookmarkStart w:id="13" w:name="_Toc188445886"/>
      <w:r>
        <w:rPr>
          <w:b/>
          <w:bCs/>
        </w:rPr>
        <w:t xml:space="preserve">Priorities: </w:t>
      </w:r>
      <w:r w:rsidR="00112506" w:rsidRPr="009E19D1">
        <w:rPr>
          <w:b/>
          <w:bCs/>
        </w:rPr>
        <w:t>Inclusive International</w:t>
      </w:r>
      <w:r w:rsidR="00081536" w:rsidRPr="009E19D1">
        <w:rPr>
          <w:b/>
          <w:bCs/>
        </w:rPr>
        <w:t xml:space="preserve"> Cooperation &amp; Humanitarian Action</w:t>
      </w:r>
      <w:bookmarkEnd w:id="13"/>
      <w:r w:rsidR="00081536" w:rsidRPr="009E19D1">
        <w:rPr>
          <w:b/>
          <w:bCs/>
        </w:rPr>
        <w:t xml:space="preserve"> </w:t>
      </w:r>
    </w:p>
    <w:p w14:paraId="03ECC50C" w14:textId="618C4DF1" w:rsidR="218E77C2" w:rsidRPr="001342E7" w:rsidRDefault="258B2621" w:rsidP="5BC7D23A">
      <w:pPr>
        <w:rPr>
          <w:rFonts w:eastAsiaTheme="majorEastAsia"/>
        </w:rPr>
      </w:pPr>
      <w:r w:rsidRPr="001342E7">
        <w:rPr>
          <w:rFonts w:ascii="Aptos" w:eastAsia="MS Mincho" w:hAnsi="Aptos" w:cs="Arial"/>
        </w:rPr>
        <w:t xml:space="preserve">European international cooperation and humanitarian action face several urgent priorities, particularly in relation to </w:t>
      </w:r>
      <w:r w:rsidR="00644443" w:rsidRPr="001342E7">
        <w:rPr>
          <w:rFonts w:ascii="Aptos" w:eastAsia="MS Mincho" w:hAnsi="Aptos" w:cs="Arial"/>
        </w:rPr>
        <w:t xml:space="preserve">external action </w:t>
      </w:r>
      <w:r w:rsidR="007A1CD3" w:rsidRPr="001342E7">
        <w:rPr>
          <w:rFonts w:ascii="Aptos" w:eastAsia="MS Mincho" w:hAnsi="Aptos" w:cs="Arial"/>
        </w:rPr>
        <w:t xml:space="preserve">(i.e. involvement in international affairs and relationship with foreign countries and international organisations) </w:t>
      </w:r>
      <w:r w:rsidR="00644443" w:rsidRPr="001342E7">
        <w:rPr>
          <w:rFonts w:ascii="Aptos" w:eastAsia="MS Mincho" w:hAnsi="Aptos" w:cs="Arial"/>
        </w:rPr>
        <w:t xml:space="preserve">including </w:t>
      </w:r>
      <w:r w:rsidRPr="001342E7">
        <w:rPr>
          <w:rFonts w:ascii="Aptos" w:eastAsia="MS Mincho" w:hAnsi="Aptos" w:cs="Arial"/>
        </w:rPr>
        <w:t xml:space="preserve">engagement with </w:t>
      </w:r>
      <w:r w:rsidR="00C64914" w:rsidRPr="001342E7">
        <w:rPr>
          <w:rFonts w:ascii="Aptos" w:eastAsia="MS Mincho" w:hAnsi="Aptos" w:cs="Arial"/>
        </w:rPr>
        <w:t>neighbouring</w:t>
      </w:r>
      <w:r w:rsidRPr="001342E7">
        <w:rPr>
          <w:rFonts w:ascii="Aptos" w:eastAsia="MS Mincho" w:hAnsi="Aptos" w:cs="Arial"/>
        </w:rPr>
        <w:t xml:space="preserve"> countries, and partnerships in the Caucasus and Central Asia. Ahead of the European Regional Disability Summit and during the summit itself, persons with disabilities, OPDs and inclusive-development partners within the region highlighted several </w:t>
      </w:r>
      <w:r w:rsidRPr="001342E7">
        <w:rPr>
          <w:rFonts w:ascii="Aptos" w:eastAsia="MS Mincho" w:hAnsi="Aptos" w:cs="Arial"/>
          <w:b/>
          <w:bCs/>
        </w:rPr>
        <w:t>key priorities</w:t>
      </w:r>
      <w:r w:rsidR="00DB7AD5" w:rsidRPr="001342E7">
        <w:rPr>
          <w:rFonts w:ascii="Aptos" w:eastAsia="MS Mincho" w:hAnsi="Aptos" w:cs="Arial"/>
          <w:b/>
          <w:bCs/>
        </w:rPr>
        <w:t xml:space="preserve">. </w:t>
      </w:r>
      <w:r w:rsidR="00290272" w:rsidRPr="001342E7">
        <w:rPr>
          <w:rFonts w:ascii="Aptos" w:eastAsia="MS Mincho" w:hAnsi="Aptos" w:cs="Arial"/>
        </w:rPr>
        <w:t>These priorities are listed below.</w:t>
      </w:r>
    </w:p>
    <w:p w14:paraId="616F980C" w14:textId="73F6A586" w:rsidR="63C401E7" w:rsidRPr="00D166FA" w:rsidRDefault="63C401E7" w:rsidP="009E19D1">
      <w:pPr>
        <w:pStyle w:val="Heading4"/>
        <w:rPr>
          <w:rFonts w:ascii="Aptos" w:eastAsia="MS Gothic" w:hAnsi="Aptos" w:cs="Times New Roman"/>
          <w:b/>
          <w:bCs/>
          <w:i w:val="0"/>
          <w:iCs w:val="0"/>
          <w:color w:val="501549" w:themeColor="accent5" w:themeShade="80"/>
        </w:rPr>
      </w:pPr>
      <w:r w:rsidRPr="00D166FA">
        <w:rPr>
          <w:b/>
          <w:bCs/>
          <w:i w:val="0"/>
          <w:iCs w:val="0"/>
          <w:color w:val="501549" w:themeColor="accent5" w:themeShade="80"/>
        </w:rPr>
        <w:t xml:space="preserve">Addressing </w:t>
      </w:r>
      <w:r w:rsidR="15AD6FA4" w:rsidRPr="22F8D1B5">
        <w:rPr>
          <w:b/>
          <w:bCs/>
          <w:i w:val="0"/>
          <w:iCs w:val="0"/>
          <w:color w:val="501549" w:themeColor="accent5" w:themeShade="80"/>
        </w:rPr>
        <w:t xml:space="preserve">Inconsistencies and </w:t>
      </w:r>
      <w:r w:rsidRPr="00D166FA">
        <w:rPr>
          <w:b/>
          <w:bCs/>
          <w:i w:val="0"/>
          <w:iCs w:val="0"/>
          <w:color w:val="501549" w:themeColor="accent5" w:themeShade="80"/>
        </w:rPr>
        <w:t>Hypocrisy in E</w:t>
      </w:r>
      <w:r w:rsidR="00E52F2A" w:rsidRPr="00D166FA">
        <w:rPr>
          <w:b/>
          <w:bCs/>
          <w:i w:val="0"/>
          <w:iCs w:val="0"/>
          <w:color w:val="501549" w:themeColor="accent5" w:themeShade="80"/>
        </w:rPr>
        <w:t>uropean UNCRPD</w:t>
      </w:r>
      <w:r w:rsidRPr="00D166FA">
        <w:rPr>
          <w:b/>
          <w:bCs/>
          <w:i w:val="0"/>
          <w:iCs w:val="0"/>
          <w:color w:val="501549" w:themeColor="accent5" w:themeShade="80"/>
        </w:rPr>
        <w:t xml:space="preserve"> Implementation and Cultural Change</w:t>
      </w:r>
    </w:p>
    <w:p w14:paraId="2687303E" w14:textId="795B5A43" w:rsidR="63C401E7" w:rsidRPr="001342E7" w:rsidRDefault="62989023" w:rsidP="5BC7D23A">
      <w:pPr>
        <w:pStyle w:val="ListParagraph"/>
        <w:numPr>
          <w:ilvl w:val="0"/>
          <w:numId w:val="2"/>
        </w:numPr>
        <w:spacing w:after="0" w:line="276" w:lineRule="auto"/>
        <w:rPr>
          <w:rFonts w:ascii="Aptos" w:eastAsia="MS Mincho" w:hAnsi="Aptos" w:cs="Arial"/>
        </w:rPr>
      </w:pPr>
      <w:r w:rsidRPr="001342E7">
        <w:rPr>
          <w:rFonts w:ascii="Aptos" w:eastAsia="MS Mincho" w:hAnsi="Aptos" w:cs="Arial"/>
          <w:b/>
          <w:bCs/>
        </w:rPr>
        <w:t xml:space="preserve">Consistency in </w:t>
      </w:r>
      <w:r w:rsidR="2111F291" w:rsidRPr="001342E7">
        <w:rPr>
          <w:rFonts w:ascii="Aptos" w:eastAsia="MS Mincho" w:hAnsi="Aptos" w:cs="Arial"/>
          <w:b/>
          <w:bCs/>
        </w:rPr>
        <w:t>UN</w:t>
      </w:r>
      <w:r w:rsidRPr="001342E7">
        <w:rPr>
          <w:rFonts w:ascii="Aptos" w:eastAsia="MS Mincho" w:hAnsi="Aptos" w:cs="Arial"/>
          <w:b/>
          <w:bCs/>
        </w:rPr>
        <w:t>CRPD Implementation:</w:t>
      </w:r>
      <w:r w:rsidRPr="001342E7">
        <w:rPr>
          <w:rFonts w:ascii="Aptos" w:eastAsia="MS Mincho" w:hAnsi="Aptos" w:cs="Arial"/>
        </w:rPr>
        <w:t xml:space="preserve"> </w:t>
      </w:r>
      <w:r w:rsidR="14E3BE60" w:rsidRPr="001342E7">
        <w:rPr>
          <w:rFonts w:ascii="Aptos" w:eastAsia="MS Mincho" w:hAnsi="Aptos" w:cs="Arial"/>
        </w:rPr>
        <w:t xml:space="preserve">Europe </w:t>
      </w:r>
      <w:r w:rsidRPr="001342E7">
        <w:rPr>
          <w:rFonts w:ascii="Aptos" w:eastAsia="MS Mincho" w:hAnsi="Aptos" w:cs="Arial"/>
        </w:rPr>
        <w:t>must lead by example by fully implementing the UN Convention on the Rights of Persons with Disabilities (</w:t>
      </w:r>
      <w:r w:rsidR="14E3BE60" w:rsidRPr="001342E7">
        <w:rPr>
          <w:rFonts w:ascii="Aptos" w:eastAsia="MS Mincho" w:hAnsi="Aptos" w:cs="Arial"/>
        </w:rPr>
        <w:t>UN</w:t>
      </w:r>
      <w:r w:rsidRPr="001342E7">
        <w:rPr>
          <w:rFonts w:ascii="Aptos" w:eastAsia="MS Mincho" w:hAnsi="Aptos" w:cs="Arial"/>
        </w:rPr>
        <w:t>CRPD)</w:t>
      </w:r>
      <w:r w:rsidR="73939857" w:rsidRPr="001342E7">
        <w:rPr>
          <w:rFonts w:ascii="Aptos" w:eastAsia="MS Mincho" w:hAnsi="Aptos" w:cs="Arial"/>
        </w:rPr>
        <w:t xml:space="preserve"> including the Optional Protocol</w:t>
      </w:r>
      <w:r w:rsidRPr="001342E7">
        <w:rPr>
          <w:rFonts w:ascii="Aptos" w:eastAsia="MS Mincho" w:hAnsi="Aptos" w:cs="Arial"/>
        </w:rPr>
        <w:t xml:space="preserve"> within its own borders. Hypocrisy in </w:t>
      </w:r>
      <w:r w:rsidR="0F5D4FBB" w:rsidRPr="001342E7">
        <w:rPr>
          <w:rFonts w:ascii="Aptos" w:eastAsia="MS Mincho" w:hAnsi="Aptos" w:cs="Arial"/>
        </w:rPr>
        <w:t>Europe’s</w:t>
      </w:r>
      <w:r w:rsidRPr="001342E7">
        <w:rPr>
          <w:rFonts w:ascii="Aptos" w:eastAsia="MS Mincho" w:hAnsi="Aptos" w:cs="Arial"/>
        </w:rPr>
        <w:t xml:space="preserve"> promotion of disability rights abroad while failing to fully implement these rights at home undermines its credibility and effectiveness. </w:t>
      </w:r>
      <w:r w:rsidR="204BF795" w:rsidRPr="001342E7">
        <w:rPr>
          <w:rFonts w:ascii="Aptos" w:eastAsia="MS Mincho" w:hAnsi="Aptos" w:cs="Arial"/>
        </w:rPr>
        <w:t>For example, a</w:t>
      </w:r>
      <w:r w:rsidR="37503E81" w:rsidRPr="001342E7">
        <w:rPr>
          <w:rFonts w:ascii="Aptos" w:eastAsia="MS Mincho" w:hAnsi="Aptos" w:cs="Arial"/>
        </w:rPr>
        <w:t xml:space="preserve"> </w:t>
      </w:r>
      <w:r w:rsidR="37503E81" w:rsidRPr="001342E7">
        <w:rPr>
          <w:rFonts w:ascii="Aptos" w:eastAsia="MS Mincho" w:hAnsi="Aptos" w:cs="Arial"/>
        </w:rPr>
        <w:lastRenderedPageBreak/>
        <w:t>comprehensive</w:t>
      </w:r>
      <w:r w:rsidR="37503E81" w:rsidRPr="345B3298">
        <w:rPr>
          <w:rFonts w:ascii="Aptos" w:eastAsia="MS Mincho" w:hAnsi="Aptos" w:cs="Arial"/>
        </w:rPr>
        <w:t xml:space="preserve"> </w:t>
      </w:r>
      <w:r w:rsidR="6C7B005A" w:rsidRPr="345B3298">
        <w:rPr>
          <w:rFonts w:ascii="Aptos" w:eastAsia="MS Mincho" w:hAnsi="Aptos" w:cs="Arial"/>
        </w:rPr>
        <w:t>EU internal</w:t>
      </w:r>
      <w:r w:rsidR="37503E81" w:rsidRPr="001342E7">
        <w:rPr>
          <w:rFonts w:ascii="Aptos" w:eastAsia="MS Mincho" w:hAnsi="Aptos" w:cs="Arial"/>
        </w:rPr>
        <w:t xml:space="preserve"> </w:t>
      </w:r>
      <w:r w:rsidR="37503E81" w:rsidRPr="001342E7">
        <w:rPr>
          <w:rFonts w:ascii="Aptos" w:eastAsia="MS Mincho" w:hAnsi="Aptos" w:cs="Arial"/>
          <w:b/>
          <w:bCs/>
        </w:rPr>
        <w:t>human rights strategy</w:t>
      </w:r>
      <w:r w:rsidR="37503E81" w:rsidRPr="001342E7">
        <w:rPr>
          <w:rFonts w:ascii="Aptos" w:eastAsia="MS Mincho" w:hAnsi="Aptos" w:cs="Arial"/>
        </w:rPr>
        <w:t xml:space="preserve"> should ensure </w:t>
      </w:r>
      <w:r w:rsidR="74945DAC" w:rsidRPr="345B3298">
        <w:rPr>
          <w:rFonts w:ascii="Aptos" w:eastAsia="MS Mincho" w:hAnsi="Aptos" w:cs="Arial"/>
        </w:rPr>
        <w:t xml:space="preserve">human rights, including </w:t>
      </w:r>
      <w:r w:rsidR="37503E81" w:rsidRPr="001342E7">
        <w:rPr>
          <w:rFonts w:ascii="Aptos" w:eastAsia="MS Mincho" w:hAnsi="Aptos" w:cs="Arial"/>
        </w:rPr>
        <w:t xml:space="preserve">disability rights are prioritised in all </w:t>
      </w:r>
      <w:r w:rsidR="0D36144B" w:rsidRPr="345B3298">
        <w:rPr>
          <w:rFonts w:ascii="Aptos" w:eastAsia="MS Mincho" w:hAnsi="Aptos" w:cs="Arial"/>
        </w:rPr>
        <w:t xml:space="preserve">EUs </w:t>
      </w:r>
      <w:r w:rsidR="37503E81" w:rsidRPr="001342E7">
        <w:rPr>
          <w:rFonts w:ascii="Aptos" w:eastAsia="MS Mincho" w:hAnsi="Aptos" w:cs="Arial"/>
        </w:rPr>
        <w:t xml:space="preserve">policies and actions. </w:t>
      </w:r>
    </w:p>
    <w:p w14:paraId="06789B16" w14:textId="3DCE011C" w:rsidR="69E15CD0" w:rsidRPr="001342E7" w:rsidRDefault="63C401E7" w:rsidP="00290272">
      <w:pPr>
        <w:pStyle w:val="ListParagraph"/>
        <w:numPr>
          <w:ilvl w:val="0"/>
          <w:numId w:val="2"/>
        </w:numPr>
        <w:spacing w:after="0" w:line="276" w:lineRule="auto"/>
        <w:rPr>
          <w:rFonts w:ascii="Aptos" w:eastAsia="MS Mincho" w:hAnsi="Aptos" w:cs="Arial"/>
        </w:rPr>
      </w:pPr>
      <w:r w:rsidRPr="001342E7">
        <w:rPr>
          <w:rFonts w:ascii="Aptos" w:eastAsia="MS Mincho" w:hAnsi="Aptos" w:cs="Arial"/>
          <w:b/>
          <w:bCs/>
        </w:rPr>
        <w:t xml:space="preserve">Ableism: </w:t>
      </w:r>
      <w:r w:rsidRPr="001342E7">
        <w:rPr>
          <w:rFonts w:ascii="Aptos" w:eastAsia="MS Mincho" w:hAnsi="Aptos" w:cs="Arial"/>
        </w:rPr>
        <w:t>While pushing for equal rights in other parts of the world, Europe must end ableism, the discrimination against persons with disabilities, at home and abroad.</w:t>
      </w:r>
    </w:p>
    <w:p w14:paraId="6C4B956C" w14:textId="77777777" w:rsidR="00100D96" w:rsidRPr="00D166FA" w:rsidRDefault="00100D96" w:rsidP="00D166FA">
      <w:pPr>
        <w:pStyle w:val="Heading4"/>
        <w:rPr>
          <w:rFonts w:ascii="Aptos" w:eastAsia="MS Gothic" w:hAnsi="Aptos" w:cs="Times New Roman"/>
          <w:b/>
          <w:bCs/>
          <w:i w:val="0"/>
          <w:iCs w:val="0"/>
          <w:color w:val="501549" w:themeColor="accent5" w:themeShade="80"/>
        </w:rPr>
      </w:pPr>
      <w:r w:rsidRPr="00D166FA">
        <w:rPr>
          <w:b/>
          <w:bCs/>
          <w:i w:val="0"/>
          <w:iCs w:val="0"/>
          <w:color w:val="501549" w:themeColor="accent5" w:themeShade="80"/>
        </w:rPr>
        <w:t>Inclusive Development Cooperation and Humanitarian Action</w:t>
      </w:r>
    </w:p>
    <w:p w14:paraId="36EED781" w14:textId="57104A40" w:rsidR="001963A1" w:rsidRPr="001342E7" w:rsidRDefault="00E36286" w:rsidP="00100D96">
      <w:pPr>
        <w:numPr>
          <w:ilvl w:val="0"/>
          <w:numId w:val="2"/>
        </w:numPr>
        <w:spacing w:after="0" w:line="276" w:lineRule="auto"/>
        <w:contextualSpacing/>
        <w:rPr>
          <w:rFonts w:ascii="Aptos" w:eastAsia="MS Mincho" w:hAnsi="Aptos" w:cs="Arial"/>
        </w:rPr>
      </w:pPr>
      <w:r w:rsidRPr="001342E7">
        <w:rPr>
          <w:rFonts w:ascii="Aptos" w:eastAsia="MS Mincho" w:hAnsi="Aptos" w:cs="Arial"/>
          <w:b/>
          <w:bCs/>
        </w:rPr>
        <w:t xml:space="preserve">Inclusive Development: </w:t>
      </w:r>
      <w:r w:rsidRPr="00FE282A">
        <w:rPr>
          <w:rFonts w:ascii="Aptos" w:eastAsia="MS Mincho" w:hAnsi="Aptos" w:cs="Arial"/>
        </w:rPr>
        <w:t xml:space="preserve">European international cooperation and humanitarian action must ensure disability-inclusive development principles and a human </w:t>
      </w:r>
      <w:r w:rsidR="00C64914" w:rsidRPr="00FE282A">
        <w:rPr>
          <w:rFonts w:ascii="Aptos" w:eastAsia="MS Mincho" w:hAnsi="Aptos" w:cs="Arial"/>
        </w:rPr>
        <w:t>rights-based</w:t>
      </w:r>
      <w:r w:rsidRPr="00FE282A">
        <w:rPr>
          <w:rFonts w:ascii="Aptos" w:eastAsia="MS Mincho" w:hAnsi="Aptos" w:cs="Arial"/>
        </w:rPr>
        <w:t xml:space="preserve"> approach to disability. Official Development Assistance (ODA) and aid programmes must address the rights of persons with disabilities, not least through the greater resourcing of OPDs and disability leaders. This includes designing programmes from start to finish that are driven by the priorities of OPDs and persons with disabilities </w:t>
      </w:r>
      <w:r w:rsidR="00C64914" w:rsidRPr="00FE282A">
        <w:rPr>
          <w:rFonts w:ascii="Aptos" w:eastAsia="MS Mincho" w:hAnsi="Aptos" w:cs="Arial"/>
        </w:rPr>
        <w:t>themselves and</w:t>
      </w:r>
      <w:r w:rsidRPr="00FE282A">
        <w:rPr>
          <w:rFonts w:ascii="Aptos" w:eastAsia="MS Mincho" w:hAnsi="Aptos" w:cs="Arial"/>
        </w:rPr>
        <w:t xml:space="preserve"> are accessible and inclusive of persons with disabilities in all their diversity. Investments in disability inclusive development programmes must be more carefully tracked, including the allocation of</w:t>
      </w:r>
      <w:r w:rsidR="006E2394">
        <w:rPr>
          <w:rFonts w:ascii="Aptos" w:eastAsia="MS Mincho" w:hAnsi="Aptos" w:cs="Arial"/>
        </w:rPr>
        <w:t xml:space="preserve"> long-term</w:t>
      </w:r>
      <w:r w:rsidRPr="00FE282A">
        <w:rPr>
          <w:rFonts w:ascii="Aptos" w:eastAsia="MS Mincho" w:hAnsi="Aptos" w:cs="Arial"/>
        </w:rPr>
        <w:t xml:space="preserve"> funds to OPDs</w:t>
      </w:r>
      <w:r w:rsidRPr="001342E7">
        <w:rPr>
          <w:rFonts w:ascii="Aptos" w:eastAsia="MS Mincho" w:hAnsi="Aptos" w:cs="Arial"/>
          <w:b/>
          <w:bCs/>
        </w:rPr>
        <w:t xml:space="preserve">. </w:t>
      </w:r>
    </w:p>
    <w:p w14:paraId="262568FF" w14:textId="172F5514" w:rsidR="00BA35BC" w:rsidRPr="00112506" w:rsidRDefault="009F44DA" w:rsidP="345B3298">
      <w:pPr>
        <w:numPr>
          <w:ilvl w:val="0"/>
          <w:numId w:val="2"/>
        </w:numPr>
        <w:spacing w:after="0" w:line="276" w:lineRule="auto"/>
        <w:rPr>
          <w:rFonts w:ascii="Aptos" w:eastAsia="MS Mincho" w:hAnsi="Aptos" w:cs="Arial"/>
        </w:rPr>
      </w:pPr>
      <w:r w:rsidRPr="001342E7">
        <w:rPr>
          <w:rFonts w:ascii="Aptos" w:eastAsia="MS Mincho" w:hAnsi="Aptos" w:cs="Arial"/>
          <w:b/>
          <w:bCs/>
        </w:rPr>
        <w:t xml:space="preserve">Promoting Disability Rights via a Twin-Track Approach:  </w:t>
      </w:r>
      <w:r w:rsidRPr="00FE282A">
        <w:rPr>
          <w:rFonts w:ascii="Aptos" w:eastAsia="MS Mincho" w:hAnsi="Aptos" w:cs="Arial"/>
        </w:rPr>
        <w:t xml:space="preserve">Disability needs to become an integral part of all thematic issues </w:t>
      </w:r>
      <w:r w:rsidRPr="001342E7">
        <w:rPr>
          <w:rFonts w:ascii="Aptos" w:eastAsia="MS Mincho" w:hAnsi="Aptos" w:cs="Arial"/>
        </w:rPr>
        <w:t>across all</w:t>
      </w:r>
      <w:r w:rsidRPr="00FE282A">
        <w:rPr>
          <w:rFonts w:ascii="Aptos" w:eastAsia="MS Mincho" w:hAnsi="Aptos" w:cs="Arial"/>
        </w:rPr>
        <w:t xml:space="preserve"> sectors of development from design to implementation, monitoring and evaluation of all policies and programmes (mainstreaming). In </w:t>
      </w:r>
      <w:r w:rsidRPr="001342E7">
        <w:rPr>
          <w:rFonts w:ascii="Aptos" w:eastAsia="MS Mincho" w:hAnsi="Aptos" w:cs="Arial"/>
        </w:rPr>
        <w:t>addition, historical</w:t>
      </w:r>
      <w:r w:rsidRPr="00FE282A">
        <w:rPr>
          <w:rFonts w:ascii="Aptos" w:eastAsia="MS Mincho" w:hAnsi="Aptos" w:cs="Arial"/>
        </w:rPr>
        <w:t xml:space="preserve"> discrimination and exclusive structures in society require</w:t>
      </w:r>
      <w:r w:rsidRPr="001342E7">
        <w:rPr>
          <w:rFonts w:ascii="Aptos" w:eastAsia="MS Mincho" w:hAnsi="Aptos" w:cs="Arial"/>
        </w:rPr>
        <w:t>s</w:t>
      </w:r>
      <w:r w:rsidRPr="00FE282A">
        <w:rPr>
          <w:rFonts w:ascii="Aptos" w:eastAsia="MS Mincho" w:hAnsi="Aptos" w:cs="Arial"/>
        </w:rPr>
        <w:t xml:space="preserve"> </w:t>
      </w:r>
      <w:r w:rsidRPr="0031529A">
        <w:rPr>
          <w:rFonts w:ascii="Aptos" w:eastAsia="MS Mincho" w:hAnsi="Aptos" w:cs="Arial"/>
          <w:b/>
          <w:bCs/>
        </w:rPr>
        <w:t>targeted interventions</w:t>
      </w:r>
      <w:r w:rsidRPr="00FE282A">
        <w:rPr>
          <w:rFonts w:ascii="Aptos" w:eastAsia="MS Mincho" w:hAnsi="Aptos" w:cs="Arial"/>
        </w:rPr>
        <w:t xml:space="preserve"> with a primary focus </w:t>
      </w:r>
      <w:r w:rsidR="00C64914" w:rsidRPr="00FE282A">
        <w:rPr>
          <w:rFonts w:ascii="Aptos" w:eastAsia="MS Mincho" w:hAnsi="Aptos" w:cs="Arial"/>
        </w:rPr>
        <w:t>on disability</w:t>
      </w:r>
      <w:r w:rsidRPr="00FE282A">
        <w:rPr>
          <w:rFonts w:ascii="Aptos" w:eastAsia="MS Mincho" w:hAnsi="Aptos" w:cs="Arial"/>
        </w:rPr>
        <w:t xml:space="preserve"> and the empowerment of persons with disabilities (second </w:t>
      </w:r>
      <w:r w:rsidR="471737B8" w:rsidRPr="345B3298">
        <w:rPr>
          <w:rFonts w:ascii="Aptos" w:eastAsia="MS Mincho" w:hAnsi="Aptos" w:cs="Arial"/>
        </w:rPr>
        <w:t>part</w:t>
      </w:r>
      <w:r w:rsidR="0036565D" w:rsidRPr="00FE282A">
        <w:rPr>
          <w:rFonts w:ascii="Aptos" w:eastAsia="MS Mincho" w:hAnsi="Aptos" w:cs="Arial"/>
        </w:rPr>
        <w:t xml:space="preserve"> of</w:t>
      </w:r>
      <w:r w:rsidRPr="00FE282A">
        <w:rPr>
          <w:rFonts w:ascii="Aptos" w:eastAsia="MS Mincho" w:hAnsi="Aptos" w:cs="Arial"/>
        </w:rPr>
        <w:t xml:space="preserve"> the Twin-Track Approach). Furthermore, the rights of persons with disabilities should be an integral part of political human rights </w:t>
      </w:r>
      <w:r w:rsidRPr="001342E7">
        <w:rPr>
          <w:rFonts w:ascii="Aptos" w:eastAsia="MS Mincho" w:hAnsi="Aptos" w:cs="Arial"/>
        </w:rPr>
        <w:t>and development</w:t>
      </w:r>
      <w:r w:rsidRPr="00FE282A">
        <w:rPr>
          <w:rFonts w:ascii="Aptos" w:eastAsia="MS Mincho" w:hAnsi="Aptos" w:cs="Arial"/>
        </w:rPr>
        <w:t xml:space="preserve"> dialogues among governments.</w:t>
      </w:r>
    </w:p>
    <w:p w14:paraId="02FAA32F" w14:textId="77777777" w:rsidR="00100D96" w:rsidRPr="00D166FA" w:rsidRDefault="520ED7B1" w:rsidP="00D166FA">
      <w:pPr>
        <w:pStyle w:val="Heading4"/>
        <w:rPr>
          <w:rFonts w:ascii="Aptos" w:eastAsia="MS Gothic" w:hAnsi="Aptos" w:cs="Times New Roman"/>
          <w:b/>
          <w:bCs/>
          <w:i w:val="0"/>
          <w:iCs w:val="0"/>
          <w:color w:val="501549" w:themeColor="accent5" w:themeShade="80"/>
        </w:rPr>
      </w:pPr>
      <w:r w:rsidRPr="00D166FA">
        <w:rPr>
          <w:b/>
          <w:bCs/>
          <w:i w:val="0"/>
          <w:iCs w:val="0"/>
          <w:color w:val="501549" w:themeColor="accent5" w:themeShade="80"/>
        </w:rPr>
        <w:t>Sustainable Development and Environmental Resilience</w:t>
      </w:r>
    </w:p>
    <w:p w14:paraId="561A1DF2" w14:textId="5E9FA05E" w:rsidR="00100D96" w:rsidRPr="001342E7" w:rsidRDefault="520ED7B1" w:rsidP="5BC7D23A">
      <w:pPr>
        <w:numPr>
          <w:ilvl w:val="0"/>
          <w:numId w:val="2"/>
        </w:numPr>
        <w:spacing w:after="0" w:line="276" w:lineRule="auto"/>
        <w:contextualSpacing/>
        <w:rPr>
          <w:rFonts w:ascii="Aptos" w:eastAsia="MS Mincho" w:hAnsi="Aptos" w:cs="Arial"/>
          <w:b/>
          <w:bCs/>
        </w:rPr>
      </w:pPr>
      <w:r w:rsidRPr="001342E7">
        <w:rPr>
          <w:rFonts w:ascii="Aptos" w:eastAsia="MS Mincho" w:hAnsi="Aptos" w:cs="Arial"/>
          <w:b/>
          <w:bCs/>
        </w:rPr>
        <w:t xml:space="preserve">Climate Change and Economic Diversification: </w:t>
      </w:r>
      <w:r w:rsidRPr="001342E7">
        <w:rPr>
          <w:rFonts w:ascii="Aptos" w:eastAsia="MS Mincho" w:hAnsi="Aptos" w:cs="Arial"/>
        </w:rPr>
        <w:t>In Europe and partner countries alike, fostering sustainable development is crucial. This includes enhancing resilience to climate change, promoting economic diversification, and ensuring that development efforts are inclusive and equitable to all</w:t>
      </w:r>
      <w:r w:rsidR="0036565D">
        <w:rPr>
          <w:rFonts w:ascii="Aptos" w:eastAsia="MS Mincho" w:hAnsi="Aptos" w:cs="Arial"/>
        </w:rPr>
        <w:t>,</w:t>
      </w:r>
      <w:r w:rsidRPr="001342E7">
        <w:rPr>
          <w:rFonts w:ascii="Aptos" w:eastAsia="MS Mincho" w:hAnsi="Aptos" w:cs="Arial"/>
        </w:rPr>
        <w:t xml:space="preserve"> including persons with disabilities. Any European international cooperation and humanitarian action activity related to addressing climate action must include the voices and rights of persons with disabilities and their OPDs. </w:t>
      </w:r>
    </w:p>
    <w:p w14:paraId="617321E2" w14:textId="0E39EF4F" w:rsidR="00100D96" w:rsidRPr="00FE282A" w:rsidRDefault="520ED7B1" w:rsidP="002F6DB8">
      <w:pPr>
        <w:numPr>
          <w:ilvl w:val="0"/>
          <w:numId w:val="2"/>
        </w:numPr>
        <w:spacing w:after="0" w:line="276" w:lineRule="auto"/>
        <w:contextualSpacing/>
        <w:rPr>
          <w:rFonts w:ascii="Aptos" w:eastAsia="MS Mincho" w:hAnsi="Aptos" w:cs="Arial"/>
        </w:rPr>
      </w:pPr>
      <w:r w:rsidRPr="001342E7">
        <w:rPr>
          <w:rFonts w:ascii="Aptos" w:eastAsia="MS Mincho" w:hAnsi="Aptos" w:cs="Arial"/>
          <w:b/>
          <w:bCs/>
        </w:rPr>
        <w:t>Protection from Disasters:</w:t>
      </w:r>
      <w:r w:rsidRPr="001342E7">
        <w:rPr>
          <w:rFonts w:ascii="Aptos" w:eastAsia="MS Mincho" w:hAnsi="Aptos" w:cs="Arial"/>
        </w:rPr>
        <w:t xml:space="preserve"> </w:t>
      </w:r>
      <w:r w:rsidR="2825ECCD" w:rsidRPr="22F8D1B5">
        <w:rPr>
          <w:rFonts w:ascii="Aptos" w:eastAsia="MS Mincho" w:hAnsi="Aptos" w:cs="Arial"/>
        </w:rPr>
        <w:t>E</w:t>
      </w:r>
      <w:r w:rsidRPr="001342E7">
        <w:rPr>
          <w:rFonts w:ascii="Aptos" w:eastAsia="MS Mincho" w:hAnsi="Aptos" w:cs="Arial"/>
        </w:rPr>
        <w:t xml:space="preserve">mergency preparedness and response plans </w:t>
      </w:r>
      <w:r w:rsidR="76794ADD" w:rsidRPr="22F8D1B5">
        <w:rPr>
          <w:rFonts w:ascii="Aptos" w:eastAsia="MS Mincho" w:hAnsi="Aptos" w:cs="Arial"/>
        </w:rPr>
        <w:t xml:space="preserve">must be </w:t>
      </w:r>
      <w:r w:rsidRPr="001342E7">
        <w:rPr>
          <w:rFonts w:ascii="Aptos" w:eastAsia="MS Mincho" w:hAnsi="Aptos" w:cs="Arial"/>
        </w:rPr>
        <w:t>inclusive of persons with disabilities, with specific</w:t>
      </w:r>
      <w:r w:rsidR="00DB0C0F" w:rsidRPr="001342E7">
        <w:rPr>
          <w:rFonts w:ascii="Aptos" w:eastAsia="MS Mincho" w:hAnsi="Aptos" w:cs="Arial"/>
        </w:rPr>
        <w:t xml:space="preserve"> protection</w:t>
      </w:r>
      <w:r w:rsidRPr="001342E7">
        <w:rPr>
          <w:rFonts w:ascii="Aptos" w:eastAsia="MS Mincho" w:hAnsi="Aptos" w:cs="Arial"/>
        </w:rPr>
        <w:t xml:space="preserve"> protocols during conflicts, war and disasters including </w:t>
      </w:r>
      <w:r w:rsidR="7D1568E6" w:rsidRPr="22F8D1B5">
        <w:rPr>
          <w:rFonts w:ascii="Aptos" w:eastAsia="MS Mincho" w:hAnsi="Aptos" w:cs="Arial"/>
        </w:rPr>
        <w:t xml:space="preserve">crises </w:t>
      </w:r>
      <w:r w:rsidRPr="001342E7">
        <w:rPr>
          <w:rFonts w:ascii="Aptos" w:eastAsia="MS Mincho" w:hAnsi="Aptos" w:cs="Arial"/>
        </w:rPr>
        <w:t>related to climate change.</w:t>
      </w:r>
      <w:r w:rsidR="002F6DB8" w:rsidRPr="001342E7">
        <w:t xml:space="preserve"> </w:t>
      </w:r>
      <w:r w:rsidR="002F6DB8" w:rsidRPr="001342E7">
        <w:rPr>
          <w:rFonts w:ascii="Aptos" w:eastAsia="MS Mincho" w:hAnsi="Aptos" w:cs="Arial"/>
        </w:rPr>
        <w:t xml:space="preserve">These plans </w:t>
      </w:r>
      <w:r w:rsidR="002F6DB8" w:rsidRPr="001342E7">
        <w:rPr>
          <w:rFonts w:ascii="Aptos" w:eastAsia="MS Mincho" w:hAnsi="Aptos" w:cs="Arial"/>
        </w:rPr>
        <w:lastRenderedPageBreak/>
        <w:t xml:space="preserve">need to be </w:t>
      </w:r>
      <w:r w:rsidR="00112506" w:rsidRPr="001342E7">
        <w:rPr>
          <w:rFonts w:ascii="Aptos" w:eastAsia="MS Mincho" w:hAnsi="Aptos" w:cs="Arial"/>
        </w:rPr>
        <w:t>developed with</w:t>
      </w:r>
      <w:r w:rsidR="002F6DB8" w:rsidRPr="001342E7">
        <w:rPr>
          <w:rFonts w:ascii="Aptos" w:eastAsia="MS Mincho" w:hAnsi="Aptos" w:cs="Arial"/>
        </w:rPr>
        <w:t xml:space="preserve"> the active participation of persons with disabilities and their organisations.</w:t>
      </w:r>
    </w:p>
    <w:p w14:paraId="18E7BC70" w14:textId="0C3A10CD" w:rsidR="00100D96" w:rsidRPr="00D166FA" w:rsidRDefault="00100D96" w:rsidP="00D166FA">
      <w:pPr>
        <w:pStyle w:val="Heading4"/>
        <w:rPr>
          <w:rFonts w:ascii="Aptos" w:eastAsia="MS Gothic" w:hAnsi="Aptos" w:cs="Times New Roman"/>
          <w:b/>
          <w:bCs/>
          <w:i w:val="0"/>
          <w:iCs w:val="0"/>
          <w:color w:val="501549" w:themeColor="accent5" w:themeShade="80"/>
        </w:rPr>
      </w:pPr>
      <w:r w:rsidRPr="00D166FA">
        <w:rPr>
          <w:b/>
          <w:bCs/>
          <w:i w:val="0"/>
          <w:iCs w:val="0"/>
          <w:color w:val="501549" w:themeColor="accent5" w:themeShade="80"/>
        </w:rPr>
        <w:t>Meaningful Participation</w:t>
      </w:r>
      <w:r w:rsidR="0ECB3AA5" w:rsidRPr="22F8D1B5">
        <w:rPr>
          <w:b/>
          <w:bCs/>
          <w:i w:val="0"/>
          <w:iCs w:val="0"/>
          <w:color w:val="501549" w:themeColor="accent5" w:themeShade="80"/>
        </w:rPr>
        <w:t xml:space="preserve">, </w:t>
      </w:r>
      <w:r w:rsidR="0031529A" w:rsidRPr="22F8D1B5">
        <w:rPr>
          <w:b/>
          <w:bCs/>
          <w:i w:val="0"/>
          <w:iCs w:val="0"/>
          <w:color w:val="501549" w:themeColor="accent5" w:themeShade="80"/>
        </w:rPr>
        <w:t>with More</w:t>
      </w:r>
      <w:r w:rsidR="00D30526" w:rsidRPr="00D166FA">
        <w:rPr>
          <w:b/>
          <w:bCs/>
          <w:i w:val="0"/>
          <w:iCs w:val="0"/>
          <w:color w:val="501549" w:themeColor="accent5" w:themeShade="80"/>
        </w:rPr>
        <w:t xml:space="preserve"> than a</w:t>
      </w:r>
      <w:r w:rsidRPr="00D166FA">
        <w:rPr>
          <w:b/>
          <w:bCs/>
          <w:i w:val="0"/>
          <w:iCs w:val="0"/>
          <w:color w:val="501549" w:themeColor="accent5" w:themeShade="80"/>
        </w:rPr>
        <w:t xml:space="preserve"> Seat at the Table</w:t>
      </w:r>
    </w:p>
    <w:p w14:paraId="7408F5AD" w14:textId="5D1CDD66" w:rsidR="00A30853" w:rsidRPr="00FE282A" w:rsidRDefault="00A30853" w:rsidP="00C4254E">
      <w:pPr>
        <w:numPr>
          <w:ilvl w:val="0"/>
          <w:numId w:val="2"/>
        </w:numPr>
        <w:spacing w:after="0" w:line="276" w:lineRule="auto"/>
        <w:contextualSpacing/>
        <w:rPr>
          <w:rFonts w:ascii="Aptos" w:eastAsia="MS Mincho" w:hAnsi="Aptos" w:cs="Arial"/>
        </w:rPr>
      </w:pPr>
      <w:r w:rsidRPr="001342E7">
        <w:rPr>
          <w:rFonts w:ascii="Aptos" w:eastAsia="MS Mincho" w:hAnsi="Aptos" w:cs="Arial"/>
          <w:b/>
          <w:bCs/>
        </w:rPr>
        <w:t xml:space="preserve">Local Leadership and OPD Engagement: </w:t>
      </w:r>
      <w:r w:rsidRPr="00FE282A">
        <w:rPr>
          <w:rFonts w:ascii="Aptos" w:eastAsia="MS Mincho" w:hAnsi="Aptos" w:cs="Arial"/>
        </w:rPr>
        <w:t xml:space="preserve">European international cooperation and humanitarian action policies and processes must promote local leadership by persons with disabilities and OPDs. OPDs from both </w:t>
      </w:r>
      <w:r w:rsidRPr="001342E7">
        <w:rPr>
          <w:rFonts w:ascii="Aptos" w:eastAsia="MS Mincho" w:hAnsi="Aptos" w:cs="Arial"/>
          <w:b/>
          <w:bCs/>
        </w:rPr>
        <w:t>urban and rural</w:t>
      </w:r>
      <w:r w:rsidRPr="00FE282A">
        <w:rPr>
          <w:rFonts w:ascii="Aptos" w:eastAsia="MS Mincho" w:hAnsi="Aptos" w:cs="Arial"/>
        </w:rPr>
        <w:t xml:space="preserve"> contexts including OPDs based in Eastern Europe, the Caucasus and Central Asia must be able to meaningfully participate and have a seat at decision-making tables</w:t>
      </w:r>
      <w:r w:rsidR="00632AB3">
        <w:rPr>
          <w:rFonts w:ascii="Aptos" w:eastAsia="MS Mincho" w:hAnsi="Aptos" w:cs="Arial"/>
        </w:rPr>
        <w:t xml:space="preserve">. OPDs should also </w:t>
      </w:r>
      <w:r w:rsidR="00C97C33">
        <w:rPr>
          <w:rFonts w:ascii="Aptos" w:eastAsia="MS Mincho" w:hAnsi="Aptos" w:cs="Arial"/>
        </w:rPr>
        <w:t>hold leadership</w:t>
      </w:r>
      <w:r w:rsidRPr="00FE282A">
        <w:rPr>
          <w:rFonts w:ascii="Aptos" w:eastAsia="MS Mincho" w:hAnsi="Aptos" w:cs="Arial"/>
        </w:rPr>
        <w:t xml:space="preserve"> role</w:t>
      </w:r>
      <w:r w:rsidR="00632AB3">
        <w:rPr>
          <w:rFonts w:ascii="Aptos" w:eastAsia="MS Mincho" w:hAnsi="Aptos" w:cs="Arial"/>
        </w:rPr>
        <w:t>s</w:t>
      </w:r>
      <w:r w:rsidRPr="00FE282A">
        <w:rPr>
          <w:rFonts w:ascii="Aptos" w:eastAsia="MS Mincho" w:hAnsi="Aptos" w:cs="Arial"/>
        </w:rPr>
        <w:t xml:space="preserve"> in decision-making fora to ensure their rights are represented and addressed and that decisions are driven by the priorities of local people with disabilities and their OPDs. This also includes groups within the disability movement that are often underrepresented including youth and children, women, </w:t>
      </w:r>
      <w:r w:rsidR="009D41AF">
        <w:rPr>
          <w:rFonts w:ascii="Aptos" w:eastAsia="MS Mincho" w:hAnsi="Aptos" w:cs="Arial"/>
        </w:rPr>
        <w:t>persons with intellectual disabilities, persons</w:t>
      </w:r>
      <w:r w:rsidRPr="00FE282A">
        <w:rPr>
          <w:rFonts w:ascii="Aptos" w:eastAsia="MS Mincho" w:hAnsi="Aptos" w:cs="Arial"/>
        </w:rPr>
        <w:t xml:space="preserve"> within institutionalised settings (that are at greater risk for (sexual) violence and abuse), </w:t>
      </w:r>
      <w:r w:rsidR="00C97C33" w:rsidRPr="00C97C33">
        <w:rPr>
          <w:rFonts w:ascii="Aptos" w:eastAsia="MS Mincho" w:hAnsi="Aptos" w:cs="Arial"/>
        </w:rPr>
        <w:t>members of the LGBTIQ+ community</w:t>
      </w:r>
      <w:r w:rsidR="009D41AF">
        <w:rPr>
          <w:rFonts w:ascii="Aptos" w:eastAsia="MS Mincho" w:hAnsi="Aptos" w:cs="Arial"/>
        </w:rPr>
        <w:t>,</w:t>
      </w:r>
      <w:r w:rsidR="00C97C33">
        <w:rPr>
          <w:rFonts w:ascii="Aptos" w:eastAsia="MS Mincho" w:hAnsi="Aptos" w:cs="Arial"/>
        </w:rPr>
        <w:t xml:space="preserve"> older persons,</w:t>
      </w:r>
      <w:r w:rsidR="009D41AF">
        <w:rPr>
          <w:rFonts w:ascii="Aptos" w:eastAsia="MS Mincho" w:hAnsi="Aptos" w:cs="Arial"/>
        </w:rPr>
        <w:t xml:space="preserve"> persons</w:t>
      </w:r>
      <w:r w:rsidRPr="00FE282A">
        <w:rPr>
          <w:rFonts w:ascii="Aptos" w:eastAsia="MS Mincho" w:hAnsi="Aptos" w:cs="Arial"/>
        </w:rPr>
        <w:t xml:space="preserve"> with migration backgrounds and refugees.</w:t>
      </w:r>
      <w:r w:rsidR="00D874B7">
        <w:rPr>
          <w:rFonts w:ascii="Aptos" w:eastAsia="MS Mincho" w:hAnsi="Aptos" w:cs="Arial"/>
        </w:rPr>
        <w:t xml:space="preserve"> Providing</w:t>
      </w:r>
      <w:r w:rsidR="00C4254E" w:rsidRPr="001342E7">
        <w:rPr>
          <w:rFonts w:ascii="Aptos" w:eastAsia="MS Mincho" w:hAnsi="Aptos" w:cs="Arial"/>
        </w:rPr>
        <w:t xml:space="preserve"> comprehensive accessibility </w:t>
      </w:r>
      <w:r w:rsidR="00C64914" w:rsidRPr="001342E7">
        <w:rPr>
          <w:rFonts w:ascii="Aptos" w:eastAsia="MS Mincho" w:hAnsi="Aptos" w:cs="Arial"/>
        </w:rPr>
        <w:t>of information</w:t>
      </w:r>
      <w:r w:rsidR="00C4254E" w:rsidRPr="001342E7">
        <w:rPr>
          <w:rFonts w:ascii="Aptos" w:eastAsia="MS Mincho" w:hAnsi="Aptos" w:cs="Arial"/>
        </w:rPr>
        <w:t xml:space="preserve">, processes, digital and physical environment is a </w:t>
      </w:r>
      <w:r w:rsidR="00112506" w:rsidRPr="001342E7">
        <w:rPr>
          <w:rFonts w:ascii="Aptos" w:eastAsia="MS Mincho" w:hAnsi="Aptos" w:cs="Arial"/>
        </w:rPr>
        <w:t>key requirement</w:t>
      </w:r>
      <w:r w:rsidR="00C4254E" w:rsidRPr="001342E7">
        <w:rPr>
          <w:rFonts w:ascii="Aptos" w:eastAsia="MS Mincho" w:hAnsi="Aptos" w:cs="Arial"/>
        </w:rPr>
        <w:t xml:space="preserve"> for </w:t>
      </w:r>
      <w:r w:rsidR="00D874B7">
        <w:rPr>
          <w:rFonts w:ascii="Aptos" w:eastAsia="MS Mincho" w:hAnsi="Aptos" w:cs="Arial"/>
        </w:rPr>
        <w:t xml:space="preserve">OPD engagement and </w:t>
      </w:r>
      <w:r w:rsidR="00C4254E" w:rsidRPr="001342E7">
        <w:rPr>
          <w:rFonts w:ascii="Aptos" w:eastAsia="MS Mincho" w:hAnsi="Aptos" w:cs="Arial"/>
        </w:rPr>
        <w:t>participation</w:t>
      </w:r>
      <w:r w:rsidR="00D874B7">
        <w:rPr>
          <w:rFonts w:ascii="Aptos" w:eastAsia="MS Mincho" w:hAnsi="Aptos" w:cs="Arial"/>
        </w:rPr>
        <w:t>.</w:t>
      </w:r>
    </w:p>
    <w:p w14:paraId="5B94129F" w14:textId="0A62A1F5" w:rsidR="00850777" w:rsidRPr="001342E7" w:rsidRDefault="00850777" w:rsidP="00850777">
      <w:pPr>
        <w:numPr>
          <w:ilvl w:val="0"/>
          <w:numId w:val="2"/>
        </w:numPr>
        <w:tabs>
          <w:tab w:val="num" w:pos="720"/>
        </w:tabs>
        <w:spacing w:after="0" w:line="276" w:lineRule="auto"/>
        <w:contextualSpacing/>
        <w:rPr>
          <w:rFonts w:ascii="Aptos" w:eastAsia="MS Mincho" w:hAnsi="Aptos" w:cs="Arial"/>
          <w:b/>
          <w:bCs/>
        </w:rPr>
      </w:pPr>
      <w:r w:rsidRPr="001342E7">
        <w:rPr>
          <w:rFonts w:ascii="Aptos" w:eastAsia="MS Mincho" w:hAnsi="Aptos" w:cs="Arial"/>
          <w:b/>
          <w:bCs/>
        </w:rPr>
        <w:t xml:space="preserve">Full Inclusion of Persons with Disabilities: </w:t>
      </w:r>
      <w:r w:rsidRPr="00FE282A">
        <w:rPr>
          <w:rFonts w:ascii="Aptos" w:eastAsia="MS Mincho" w:hAnsi="Aptos" w:cs="Arial"/>
        </w:rPr>
        <w:t xml:space="preserve">Implement measures to ensure persons with disabilities hold decision-making roles in all aspects of funding, programme development, and policy design related to European international cooperation and humanitarian action. This should cover all stages of the project cycle, from planning to evaluation. </w:t>
      </w:r>
      <w:r w:rsidR="00112506" w:rsidRPr="00FE282A">
        <w:rPr>
          <w:rFonts w:ascii="Aptos" w:eastAsia="MS Mincho" w:hAnsi="Aptos" w:cs="Arial"/>
        </w:rPr>
        <w:t>Persons</w:t>
      </w:r>
      <w:r w:rsidRPr="00FE282A">
        <w:rPr>
          <w:rFonts w:ascii="Aptos" w:eastAsia="MS Mincho" w:hAnsi="Aptos" w:cs="Arial"/>
        </w:rPr>
        <w:t xml:space="preserve"> with disabilities and their OPDs should have more direct involvement in funding decisions that put local priorities at the heart of resource allocation through mechanisms such as participatory grant making.</w:t>
      </w:r>
    </w:p>
    <w:p w14:paraId="74C01F59" w14:textId="1A46B534" w:rsidR="00100D96" w:rsidRPr="00D166FA" w:rsidRDefault="00100D96" w:rsidP="00D166FA">
      <w:pPr>
        <w:pStyle w:val="Heading4"/>
        <w:rPr>
          <w:rFonts w:ascii="Aptos" w:eastAsia="MS Gothic" w:hAnsi="Aptos" w:cs="Times New Roman"/>
          <w:b/>
          <w:bCs/>
          <w:i w:val="0"/>
          <w:iCs w:val="0"/>
          <w:color w:val="501549" w:themeColor="accent5" w:themeShade="80"/>
        </w:rPr>
      </w:pPr>
      <w:r w:rsidRPr="00D166FA">
        <w:rPr>
          <w:b/>
          <w:bCs/>
          <w:i w:val="0"/>
          <w:iCs w:val="0"/>
          <w:color w:val="501549" w:themeColor="accent5" w:themeShade="80"/>
        </w:rPr>
        <w:t>Deinstitutionali</w:t>
      </w:r>
      <w:r w:rsidR="00530830" w:rsidRPr="00D166FA">
        <w:rPr>
          <w:b/>
          <w:bCs/>
          <w:i w:val="0"/>
          <w:iCs w:val="0"/>
          <w:color w:val="501549" w:themeColor="accent5" w:themeShade="80"/>
        </w:rPr>
        <w:t>s</w:t>
      </w:r>
      <w:r w:rsidRPr="00D166FA">
        <w:rPr>
          <w:b/>
          <w:bCs/>
          <w:i w:val="0"/>
          <w:iCs w:val="0"/>
          <w:color w:val="501549" w:themeColor="accent5" w:themeShade="80"/>
        </w:rPr>
        <w:t>ation and Independent Living</w:t>
      </w:r>
    </w:p>
    <w:p w14:paraId="097F96C4" w14:textId="1DD8591E" w:rsidR="00100D96" w:rsidRPr="00FE282A" w:rsidRDefault="00100D96" w:rsidP="0049628C">
      <w:pPr>
        <w:numPr>
          <w:ilvl w:val="0"/>
          <w:numId w:val="2"/>
        </w:numPr>
        <w:spacing w:after="0" w:line="276" w:lineRule="auto"/>
        <w:contextualSpacing/>
        <w:rPr>
          <w:rFonts w:ascii="Aptos" w:eastAsia="MS Mincho" w:hAnsi="Aptos" w:cs="Arial"/>
        </w:rPr>
      </w:pPr>
      <w:r w:rsidRPr="001342E7">
        <w:rPr>
          <w:rFonts w:ascii="Aptos" w:eastAsia="MS Mincho" w:hAnsi="Aptos" w:cs="Arial"/>
          <w:b/>
          <w:bCs/>
        </w:rPr>
        <w:t>Community-</w:t>
      </w:r>
      <w:r w:rsidR="00D874B7">
        <w:rPr>
          <w:rFonts w:ascii="Aptos" w:eastAsia="MS Mincho" w:hAnsi="Aptos" w:cs="Arial"/>
          <w:b/>
          <w:bCs/>
        </w:rPr>
        <w:t>b</w:t>
      </w:r>
      <w:r w:rsidRPr="001342E7">
        <w:rPr>
          <w:rFonts w:ascii="Aptos" w:eastAsia="MS Mincho" w:hAnsi="Aptos" w:cs="Arial"/>
          <w:b/>
          <w:bCs/>
        </w:rPr>
        <w:t xml:space="preserve">ased </w:t>
      </w:r>
      <w:r w:rsidR="00FB6BAF" w:rsidRPr="001342E7">
        <w:rPr>
          <w:rFonts w:ascii="Aptos" w:eastAsia="MS Mincho" w:hAnsi="Aptos" w:cs="Arial"/>
          <w:b/>
          <w:bCs/>
        </w:rPr>
        <w:t>Living</w:t>
      </w:r>
      <w:r w:rsidRPr="001342E7">
        <w:rPr>
          <w:rFonts w:ascii="Aptos" w:eastAsia="MS Mincho" w:hAnsi="Aptos" w:cs="Arial"/>
          <w:b/>
          <w:bCs/>
        </w:rPr>
        <w:t xml:space="preserve">: </w:t>
      </w:r>
      <w:r w:rsidRPr="001342E7">
        <w:rPr>
          <w:rFonts w:ascii="Aptos" w:eastAsia="MS Mincho" w:hAnsi="Aptos" w:cs="Arial"/>
        </w:rPr>
        <w:t xml:space="preserve">Investing in community-based support services is essential to promote the right to independent living for persons with disabilities. European external action initiatives must avoid funding segregated settings like </w:t>
      </w:r>
      <w:r w:rsidR="2F6A3E21" w:rsidRPr="001342E7">
        <w:rPr>
          <w:rFonts w:ascii="Aptos" w:eastAsia="MS Mincho" w:hAnsi="Aptos" w:cs="Arial"/>
        </w:rPr>
        <w:t>institutions</w:t>
      </w:r>
      <w:r w:rsidR="0049628C" w:rsidRPr="001342E7">
        <w:rPr>
          <w:rFonts w:ascii="Aptos" w:eastAsia="MS Mincho" w:hAnsi="Aptos" w:cs="Arial"/>
        </w:rPr>
        <w:t xml:space="preserve">, which would be </w:t>
      </w:r>
      <w:r w:rsidR="00112506" w:rsidRPr="001342E7">
        <w:rPr>
          <w:rFonts w:ascii="Aptos" w:eastAsia="MS Mincho" w:hAnsi="Aptos" w:cs="Arial"/>
        </w:rPr>
        <w:t>in contradiction</w:t>
      </w:r>
      <w:r w:rsidR="0049628C" w:rsidRPr="001342E7">
        <w:rPr>
          <w:rFonts w:ascii="Aptos" w:eastAsia="MS Mincho" w:hAnsi="Aptos" w:cs="Arial"/>
        </w:rPr>
        <w:t xml:space="preserve"> to the </w:t>
      </w:r>
      <w:r w:rsidR="00D874B7">
        <w:rPr>
          <w:rFonts w:ascii="Aptos" w:eastAsia="MS Mincho" w:hAnsi="Aptos" w:cs="Arial"/>
        </w:rPr>
        <w:t>UN</w:t>
      </w:r>
      <w:r w:rsidR="0049628C" w:rsidRPr="001342E7">
        <w:rPr>
          <w:rFonts w:ascii="Aptos" w:eastAsia="MS Mincho" w:hAnsi="Aptos" w:cs="Arial"/>
        </w:rPr>
        <w:t>CRPD</w:t>
      </w:r>
      <w:r w:rsidR="00D874B7">
        <w:rPr>
          <w:rFonts w:ascii="Aptos" w:eastAsia="MS Mincho" w:hAnsi="Aptos" w:cs="Arial"/>
        </w:rPr>
        <w:t>.</w:t>
      </w:r>
      <w:r w:rsidRPr="001342E7">
        <w:rPr>
          <w:rFonts w:ascii="Aptos" w:eastAsia="MS Mincho" w:hAnsi="Aptos" w:cs="Arial"/>
        </w:rPr>
        <w:t xml:space="preserve"> </w:t>
      </w:r>
      <w:r w:rsidR="00D874B7">
        <w:rPr>
          <w:rFonts w:ascii="Aptos" w:eastAsia="MS Mincho" w:hAnsi="Aptos" w:cs="Arial"/>
        </w:rPr>
        <w:t>F</w:t>
      </w:r>
      <w:r w:rsidRPr="001342E7">
        <w:rPr>
          <w:rFonts w:ascii="Aptos" w:eastAsia="MS Mincho" w:hAnsi="Aptos" w:cs="Arial"/>
        </w:rPr>
        <w:t>und</w:t>
      </w:r>
      <w:r w:rsidR="00CA2912" w:rsidRPr="001342E7">
        <w:rPr>
          <w:rFonts w:ascii="Aptos" w:eastAsia="MS Mincho" w:hAnsi="Aptos" w:cs="Arial"/>
        </w:rPr>
        <w:t>ing</w:t>
      </w:r>
      <w:r w:rsidRPr="001342E7">
        <w:rPr>
          <w:rFonts w:ascii="Aptos" w:eastAsia="MS Mincho" w:hAnsi="Aptos" w:cs="Arial"/>
        </w:rPr>
        <w:t xml:space="preserve"> for services that support the inclusion of </w:t>
      </w:r>
      <w:r w:rsidR="00D874B7">
        <w:rPr>
          <w:rFonts w:ascii="Aptos" w:eastAsia="MS Mincho" w:hAnsi="Aptos" w:cs="Arial"/>
        </w:rPr>
        <w:t xml:space="preserve">persons </w:t>
      </w:r>
      <w:r w:rsidRPr="001342E7">
        <w:rPr>
          <w:rFonts w:ascii="Aptos" w:eastAsia="MS Mincho" w:hAnsi="Aptos" w:cs="Arial"/>
        </w:rPr>
        <w:t>with disabilities in</w:t>
      </w:r>
      <w:r w:rsidR="00D33125" w:rsidRPr="001342E7">
        <w:rPr>
          <w:rFonts w:ascii="Aptos" w:eastAsia="MS Mincho" w:hAnsi="Aptos" w:cs="Arial"/>
        </w:rPr>
        <w:t xml:space="preserve"> the community and</w:t>
      </w:r>
      <w:r w:rsidRPr="001342E7">
        <w:rPr>
          <w:rFonts w:ascii="Aptos" w:eastAsia="MS Mincho" w:hAnsi="Aptos" w:cs="Arial"/>
        </w:rPr>
        <w:t xml:space="preserve"> daily life, such as </w:t>
      </w:r>
      <w:r w:rsidR="00CA2912" w:rsidRPr="001342E7">
        <w:rPr>
          <w:rFonts w:ascii="Aptos" w:eastAsia="MS Mincho" w:hAnsi="Aptos" w:cs="Arial"/>
        </w:rPr>
        <w:t xml:space="preserve">personal </w:t>
      </w:r>
      <w:r w:rsidRPr="001342E7">
        <w:rPr>
          <w:rFonts w:ascii="Aptos" w:eastAsia="MS Mincho" w:hAnsi="Aptos" w:cs="Arial"/>
        </w:rPr>
        <w:t xml:space="preserve">assistance, </w:t>
      </w:r>
      <w:r w:rsidR="00CA2912" w:rsidRPr="001342E7">
        <w:rPr>
          <w:rFonts w:ascii="Aptos" w:eastAsia="MS Mincho" w:hAnsi="Aptos" w:cs="Arial"/>
        </w:rPr>
        <w:t xml:space="preserve">accessible </w:t>
      </w:r>
      <w:r w:rsidR="00476FB1" w:rsidRPr="001342E7">
        <w:rPr>
          <w:rFonts w:ascii="Aptos" w:eastAsia="MS Mincho" w:hAnsi="Aptos" w:cs="Arial"/>
        </w:rPr>
        <w:t>health</w:t>
      </w:r>
      <w:r w:rsidR="00CA2912" w:rsidRPr="001342E7">
        <w:rPr>
          <w:rFonts w:ascii="Aptos" w:eastAsia="MS Mincho" w:hAnsi="Aptos" w:cs="Arial"/>
        </w:rPr>
        <w:t xml:space="preserve"> services, </w:t>
      </w:r>
      <w:r w:rsidRPr="001342E7">
        <w:rPr>
          <w:rFonts w:ascii="Aptos" w:eastAsia="MS Mincho" w:hAnsi="Aptos" w:cs="Arial"/>
        </w:rPr>
        <w:t>access to technical aids, accessible transportation, adapted housing, and sign language interpretation</w:t>
      </w:r>
      <w:r w:rsidR="00D874B7">
        <w:rPr>
          <w:rFonts w:ascii="Aptos" w:eastAsia="MS Mincho" w:hAnsi="Aptos" w:cs="Arial"/>
        </w:rPr>
        <w:t xml:space="preserve"> must be of the highest priority to support independent living</w:t>
      </w:r>
      <w:r w:rsidRPr="001342E7">
        <w:rPr>
          <w:rFonts w:ascii="Aptos" w:eastAsia="MS Mincho" w:hAnsi="Aptos" w:cs="Arial"/>
        </w:rPr>
        <w:t>.</w:t>
      </w:r>
    </w:p>
    <w:p w14:paraId="22BC6D4C" w14:textId="68D17259" w:rsidR="2390AFB2" w:rsidRPr="0047039A" w:rsidRDefault="2390AFB2" w:rsidP="73CC4983">
      <w:pPr>
        <w:numPr>
          <w:ilvl w:val="0"/>
          <w:numId w:val="2"/>
        </w:numPr>
        <w:spacing w:after="0" w:line="276" w:lineRule="auto"/>
        <w:rPr>
          <w:rFonts w:ascii="Aptos" w:eastAsia="MS Mincho" w:hAnsi="Aptos" w:cs="Arial"/>
        </w:rPr>
      </w:pPr>
      <w:r w:rsidRPr="0047039A">
        <w:rPr>
          <w:rFonts w:ascii="Aptos" w:eastAsia="MS Mincho" w:hAnsi="Aptos" w:cs="Arial"/>
          <w:b/>
          <w:bCs/>
        </w:rPr>
        <w:t>S</w:t>
      </w:r>
      <w:r w:rsidR="4938599C" w:rsidRPr="0047039A">
        <w:rPr>
          <w:rFonts w:ascii="Aptos" w:eastAsia="MS Mincho" w:hAnsi="Aptos" w:cs="Arial"/>
          <w:b/>
          <w:bCs/>
        </w:rPr>
        <w:t xml:space="preserve">upported </w:t>
      </w:r>
      <w:r w:rsidR="002F10F2" w:rsidRPr="0047039A">
        <w:rPr>
          <w:rFonts w:ascii="Aptos" w:eastAsia="MS Mincho" w:hAnsi="Aptos" w:cs="Arial"/>
          <w:b/>
          <w:bCs/>
        </w:rPr>
        <w:t>D</w:t>
      </w:r>
      <w:r w:rsidR="4938599C" w:rsidRPr="0047039A">
        <w:rPr>
          <w:rFonts w:ascii="Aptos" w:eastAsia="MS Mincho" w:hAnsi="Aptos" w:cs="Arial"/>
          <w:b/>
          <w:bCs/>
        </w:rPr>
        <w:t>ecision</w:t>
      </w:r>
      <w:r w:rsidR="0047039A" w:rsidRPr="0047039A">
        <w:rPr>
          <w:rFonts w:ascii="Aptos" w:eastAsia="MS Mincho" w:hAnsi="Aptos" w:cs="Arial"/>
          <w:b/>
          <w:bCs/>
        </w:rPr>
        <w:t>-m</w:t>
      </w:r>
      <w:r w:rsidR="4938599C" w:rsidRPr="0047039A">
        <w:rPr>
          <w:rFonts w:ascii="Aptos" w:eastAsia="MS Mincho" w:hAnsi="Aptos" w:cs="Arial"/>
          <w:b/>
          <w:bCs/>
        </w:rPr>
        <w:t xml:space="preserve">aking: </w:t>
      </w:r>
      <w:r w:rsidR="002F10F2" w:rsidRPr="0047039A">
        <w:rPr>
          <w:rFonts w:ascii="Aptos" w:eastAsia="MS Mincho" w:hAnsi="Aptos" w:cs="Arial"/>
        </w:rPr>
        <w:t xml:space="preserve">Persons </w:t>
      </w:r>
      <w:r w:rsidR="4938599C" w:rsidRPr="0047039A">
        <w:rPr>
          <w:rFonts w:ascii="Aptos" w:eastAsia="MS Mincho" w:hAnsi="Aptos" w:cs="Arial"/>
        </w:rPr>
        <w:t>with disabilities have the right to make one’s own decisions in life, including where and with whom to live. Support</w:t>
      </w:r>
      <w:r w:rsidR="7933DC65" w:rsidRPr="0047039A">
        <w:rPr>
          <w:rFonts w:ascii="Aptos" w:eastAsia="MS Mincho" w:hAnsi="Aptos" w:cs="Arial"/>
        </w:rPr>
        <w:t xml:space="preserve"> in the </w:t>
      </w:r>
      <w:r w:rsidR="7933DC65" w:rsidRPr="0047039A">
        <w:rPr>
          <w:rFonts w:ascii="Aptos" w:eastAsia="MS Mincho" w:hAnsi="Aptos" w:cs="Arial"/>
        </w:rPr>
        <w:lastRenderedPageBreak/>
        <w:t>community, such as supported</w:t>
      </w:r>
      <w:r w:rsidR="4938599C" w:rsidRPr="0047039A">
        <w:rPr>
          <w:rFonts w:ascii="Aptos" w:eastAsia="MS Mincho" w:hAnsi="Aptos" w:cs="Arial"/>
        </w:rPr>
        <w:t xml:space="preserve"> </w:t>
      </w:r>
      <w:r w:rsidR="0FE7DF1B" w:rsidRPr="0047039A">
        <w:rPr>
          <w:rFonts w:ascii="Aptos" w:eastAsia="MS Mincho" w:hAnsi="Aptos" w:cs="Arial"/>
        </w:rPr>
        <w:t>decision-making</w:t>
      </w:r>
      <w:r w:rsidR="4938599C" w:rsidRPr="0047039A">
        <w:rPr>
          <w:rFonts w:ascii="Aptos" w:eastAsia="MS Mincho" w:hAnsi="Aptos" w:cs="Arial"/>
        </w:rPr>
        <w:t xml:space="preserve"> mechanisms</w:t>
      </w:r>
      <w:r w:rsidR="369D60A5" w:rsidRPr="0047039A">
        <w:rPr>
          <w:rFonts w:ascii="Aptos" w:eastAsia="MS Mincho" w:hAnsi="Aptos" w:cs="Arial"/>
        </w:rPr>
        <w:t xml:space="preserve"> </w:t>
      </w:r>
      <w:r w:rsidR="2779471D" w:rsidRPr="0047039A">
        <w:rPr>
          <w:rFonts w:ascii="Aptos" w:eastAsia="MS Mincho" w:hAnsi="Aptos" w:cs="Arial"/>
        </w:rPr>
        <w:t xml:space="preserve">will allow the person to be fully included in society and to exercise </w:t>
      </w:r>
      <w:r w:rsidR="00825B0E">
        <w:rPr>
          <w:rFonts w:ascii="Aptos" w:eastAsia="MS Mincho" w:hAnsi="Aptos" w:cs="Arial"/>
        </w:rPr>
        <w:t>their</w:t>
      </w:r>
      <w:r w:rsidR="2779471D" w:rsidRPr="0047039A">
        <w:rPr>
          <w:rFonts w:ascii="Aptos" w:eastAsia="MS Mincho" w:hAnsi="Aptos" w:cs="Arial"/>
        </w:rPr>
        <w:t xml:space="preserve"> legal capacity. </w:t>
      </w:r>
    </w:p>
    <w:p w14:paraId="496DB03A" w14:textId="71CBD7A2" w:rsidR="00100D96" w:rsidRPr="001342E7" w:rsidRDefault="00100D96" w:rsidP="5BC7D23A">
      <w:pPr>
        <w:numPr>
          <w:ilvl w:val="0"/>
          <w:numId w:val="2"/>
        </w:numPr>
        <w:spacing w:after="0" w:line="276" w:lineRule="auto"/>
        <w:contextualSpacing/>
        <w:rPr>
          <w:rFonts w:ascii="Aptos" w:eastAsia="MS Mincho" w:hAnsi="Aptos" w:cs="Arial"/>
          <w:b/>
          <w:bCs/>
        </w:rPr>
      </w:pPr>
      <w:r w:rsidRPr="001342E7">
        <w:rPr>
          <w:rFonts w:ascii="Aptos" w:eastAsia="MS Mincho" w:hAnsi="Aptos" w:cs="Arial"/>
          <w:b/>
          <w:bCs/>
        </w:rPr>
        <w:t>Deinstitutionali</w:t>
      </w:r>
      <w:r w:rsidR="00530830" w:rsidRPr="001342E7">
        <w:rPr>
          <w:rFonts w:ascii="Aptos" w:eastAsia="MS Mincho" w:hAnsi="Aptos" w:cs="Arial"/>
          <w:b/>
          <w:bCs/>
        </w:rPr>
        <w:t>s</w:t>
      </w:r>
      <w:r w:rsidRPr="001342E7">
        <w:rPr>
          <w:rFonts w:ascii="Aptos" w:eastAsia="MS Mincho" w:hAnsi="Aptos" w:cs="Arial"/>
          <w:b/>
          <w:bCs/>
        </w:rPr>
        <w:t xml:space="preserve">ation as an Accession Requirement: </w:t>
      </w:r>
      <w:r w:rsidRPr="001342E7">
        <w:rPr>
          <w:rFonts w:ascii="Aptos" w:eastAsia="MS Mincho" w:hAnsi="Aptos" w:cs="Arial"/>
        </w:rPr>
        <w:t>During the EU accession processes, particularly in countries like Ukraine, deinstitutionali</w:t>
      </w:r>
      <w:r w:rsidR="00530830" w:rsidRPr="001342E7">
        <w:rPr>
          <w:rFonts w:ascii="Aptos" w:eastAsia="MS Mincho" w:hAnsi="Aptos" w:cs="Arial"/>
        </w:rPr>
        <w:t>s</w:t>
      </w:r>
      <w:r w:rsidRPr="001342E7">
        <w:rPr>
          <w:rFonts w:ascii="Aptos" w:eastAsia="MS Mincho" w:hAnsi="Aptos" w:cs="Arial"/>
        </w:rPr>
        <w:t xml:space="preserve">ation should be a key reform area. This involves transitioning from institutional care to community-based services, </w:t>
      </w:r>
      <w:r w:rsidR="283446E8" w:rsidRPr="345B3298">
        <w:rPr>
          <w:rFonts w:ascii="Aptos" w:eastAsia="MS Mincho" w:hAnsi="Aptos" w:cs="Arial"/>
        </w:rPr>
        <w:t>including family support</w:t>
      </w:r>
      <w:r w:rsidRPr="345B3298">
        <w:rPr>
          <w:rFonts w:ascii="Aptos" w:eastAsia="MS Mincho" w:hAnsi="Aptos" w:cs="Arial"/>
        </w:rPr>
        <w:t xml:space="preserve">, </w:t>
      </w:r>
      <w:r w:rsidRPr="001342E7">
        <w:rPr>
          <w:rFonts w:ascii="Aptos" w:eastAsia="MS Mincho" w:hAnsi="Aptos" w:cs="Arial"/>
        </w:rPr>
        <w:t xml:space="preserve">ensuring that all individuals with disabilities, regardless of </w:t>
      </w:r>
      <w:r w:rsidR="000C66F1" w:rsidRPr="001342E7">
        <w:rPr>
          <w:rFonts w:ascii="Aptos" w:eastAsia="MS Mincho" w:hAnsi="Aptos" w:cs="Arial"/>
        </w:rPr>
        <w:t xml:space="preserve">gender, </w:t>
      </w:r>
      <w:r w:rsidRPr="001342E7">
        <w:rPr>
          <w:rFonts w:ascii="Aptos" w:eastAsia="MS Mincho" w:hAnsi="Aptos" w:cs="Arial"/>
        </w:rPr>
        <w:t>age</w:t>
      </w:r>
      <w:r w:rsidR="00042A89" w:rsidRPr="001342E7">
        <w:rPr>
          <w:rFonts w:ascii="Aptos" w:eastAsia="MS Mincho" w:hAnsi="Aptos" w:cs="Arial"/>
        </w:rPr>
        <w:t xml:space="preserve"> and disability type</w:t>
      </w:r>
      <w:r w:rsidRPr="001342E7">
        <w:rPr>
          <w:rFonts w:ascii="Aptos" w:eastAsia="MS Mincho" w:hAnsi="Aptos" w:cs="Arial"/>
        </w:rPr>
        <w:t>, can live independently.</w:t>
      </w:r>
    </w:p>
    <w:p w14:paraId="100E7FB5" w14:textId="77777777" w:rsidR="00100D96" w:rsidRPr="00D166FA" w:rsidRDefault="00100D96" w:rsidP="00D166FA">
      <w:pPr>
        <w:pStyle w:val="Heading5"/>
        <w:rPr>
          <w:rFonts w:ascii="Aptos" w:eastAsia="MS Gothic" w:hAnsi="Aptos" w:cs="Times New Roman"/>
          <w:b/>
          <w:bCs/>
          <w:color w:val="501549" w:themeColor="accent5" w:themeShade="80"/>
        </w:rPr>
      </w:pPr>
      <w:r w:rsidRPr="00D166FA">
        <w:rPr>
          <w:b/>
          <w:bCs/>
          <w:color w:val="501549" w:themeColor="accent5" w:themeShade="80"/>
        </w:rPr>
        <w:t>Poverty Reduction</w:t>
      </w:r>
    </w:p>
    <w:p w14:paraId="274719FD" w14:textId="3B2A1453" w:rsidR="005F24EC" w:rsidRPr="001342E7" w:rsidRDefault="00100D96" w:rsidP="005F24EC">
      <w:pPr>
        <w:numPr>
          <w:ilvl w:val="0"/>
          <w:numId w:val="2"/>
        </w:numPr>
        <w:spacing w:after="0" w:line="276" w:lineRule="auto"/>
        <w:contextualSpacing/>
        <w:rPr>
          <w:rFonts w:ascii="Aptos" w:eastAsia="MS Mincho" w:hAnsi="Aptos" w:cs="Arial"/>
          <w:b/>
          <w:bCs/>
        </w:rPr>
      </w:pPr>
      <w:r w:rsidRPr="001342E7">
        <w:rPr>
          <w:rFonts w:ascii="Aptos" w:eastAsia="MS Mincho" w:hAnsi="Aptos" w:cs="Arial"/>
          <w:b/>
          <w:bCs/>
        </w:rPr>
        <w:t xml:space="preserve">Inclusive Education: </w:t>
      </w:r>
      <w:r w:rsidR="005F24EC" w:rsidRPr="00FE282A">
        <w:rPr>
          <w:rFonts w:ascii="Aptos" w:eastAsia="MS Mincho" w:hAnsi="Aptos" w:cs="Arial"/>
        </w:rPr>
        <w:t>European international cooperation must prioriti</w:t>
      </w:r>
      <w:r w:rsidR="001D2AF2">
        <w:rPr>
          <w:rFonts w:ascii="Aptos" w:eastAsia="MS Mincho" w:hAnsi="Aptos" w:cs="Arial"/>
        </w:rPr>
        <w:t>s</w:t>
      </w:r>
      <w:r w:rsidR="005F24EC" w:rsidRPr="00FE282A">
        <w:rPr>
          <w:rFonts w:ascii="Aptos" w:eastAsia="MS Mincho" w:hAnsi="Aptos" w:cs="Arial"/>
        </w:rPr>
        <w:t>e inclusive education strategies that actively support students and learners with disabilities. All education-related policies, program</w:t>
      </w:r>
      <w:r w:rsidR="00AF3685">
        <w:rPr>
          <w:rFonts w:ascii="Aptos" w:eastAsia="MS Mincho" w:hAnsi="Aptos" w:cs="Arial"/>
        </w:rPr>
        <w:t>me</w:t>
      </w:r>
      <w:r w:rsidR="005F24EC" w:rsidRPr="00FE282A">
        <w:rPr>
          <w:rFonts w:ascii="Aptos" w:eastAsia="MS Mincho" w:hAnsi="Aptos" w:cs="Arial"/>
        </w:rPr>
        <w:t>s, and projects should be designed to ensure the meaningful inclusion of persons with disabilities. Achieving this requires adopting learner-</w:t>
      </w:r>
      <w:r w:rsidR="0087420C" w:rsidRPr="0087420C">
        <w:t xml:space="preserve"> </w:t>
      </w:r>
      <w:r w:rsidR="14423F4E" w:rsidRPr="345B3298">
        <w:rPr>
          <w:rFonts w:ascii="Aptos" w:eastAsia="MS Mincho" w:hAnsi="Aptos" w:cs="Arial"/>
        </w:rPr>
        <w:t>centred</w:t>
      </w:r>
      <w:r w:rsidR="005F24EC" w:rsidRPr="00FE282A">
        <w:rPr>
          <w:rFonts w:ascii="Aptos" w:eastAsia="MS Mincho" w:hAnsi="Aptos" w:cs="Arial"/>
        </w:rPr>
        <w:t xml:space="preserve"> and individuali</w:t>
      </w:r>
      <w:r w:rsidR="00D874B7">
        <w:rPr>
          <w:rFonts w:ascii="Aptos" w:eastAsia="MS Mincho" w:hAnsi="Aptos" w:cs="Arial"/>
        </w:rPr>
        <w:t>s</w:t>
      </w:r>
      <w:r w:rsidR="005F24EC" w:rsidRPr="00FE282A">
        <w:rPr>
          <w:rFonts w:ascii="Aptos" w:eastAsia="MS Mincho" w:hAnsi="Aptos" w:cs="Arial"/>
        </w:rPr>
        <w:t>ed approaches, fostering a well-trained and inclusive teacher and administrative workforce, and implementing a multisectoral approach to education. These measures will help create equitable and accessible learning environments for all.</w:t>
      </w:r>
      <w:r w:rsidR="0087420C">
        <w:rPr>
          <w:rFonts w:ascii="Aptos" w:eastAsia="MS Mincho" w:hAnsi="Aptos" w:cs="Arial"/>
        </w:rPr>
        <w:t xml:space="preserve"> Adequate funding for schools must also be provided to ensure students and learners with </w:t>
      </w:r>
      <w:r w:rsidR="00CA092E">
        <w:rPr>
          <w:rFonts w:ascii="Aptos" w:eastAsia="MS Mincho" w:hAnsi="Aptos" w:cs="Arial"/>
        </w:rPr>
        <w:t>disabilities</w:t>
      </w:r>
      <w:r w:rsidR="0087420C">
        <w:rPr>
          <w:rFonts w:ascii="Aptos" w:eastAsia="MS Mincho" w:hAnsi="Aptos" w:cs="Arial"/>
        </w:rPr>
        <w:t xml:space="preserve"> h</w:t>
      </w:r>
      <w:r w:rsidR="00CA092E">
        <w:rPr>
          <w:rFonts w:ascii="Aptos" w:eastAsia="MS Mincho" w:hAnsi="Aptos" w:cs="Arial"/>
        </w:rPr>
        <w:t>ave access to accommodations and resources, such as braille printer</w:t>
      </w:r>
      <w:r w:rsidR="00F5124C">
        <w:rPr>
          <w:rFonts w:ascii="Aptos" w:eastAsia="MS Mincho" w:hAnsi="Aptos" w:cs="Arial"/>
        </w:rPr>
        <w:t xml:space="preserve">s. </w:t>
      </w:r>
    </w:p>
    <w:p w14:paraId="74628BD1" w14:textId="5D38534B" w:rsidR="00100D96" w:rsidRPr="001342E7" w:rsidRDefault="00100D96" w:rsidP="005F24EC">
      <w:pPr>
        <w:numPr>
          <w:ilvl w:val="0"/>
          <w:numId w:val="2"/>
        </w:numPr>
        <w:spacing w:after="0" w:line="276" w:lineRule="auto"/>
        <w:contextualSpacing/>
        <w:rPr>
          <w:rFonts w:ascii="Aptos" w:eastAsia="MS Mincho" w:hAnsi="Aptos" w:cs="Arial"/>
        </w:rPr>
      </w:pPr>
      <w:r w:rsidRPr="001342E7">
        <w:rPr>
          <w:rFonts w:ascii="Aptos" w:eastAsia="MS Mincho" w:hAnsi="Aptos" w:cs="Arial"/>
          <w:b/>
          <w:bCs/>
        </w:rPr>
        <w:t xml:space="preserve">Equal Employment Opportunities: </w:t>
      </w:r>
      <w:r w:rsidRPr="001342E7">
        <w:rPr>
          <w:rFonts w:ascii="Aptos" w:eastAsia="MS Mincho" w:hAnsi="Aptos" w:cs="Arial"/>
        </w:rPr>
        <w:t xml:space="preserve">European international cooperation activities must support meaningful employment opportunities </w:t>
      </w:r>
      <w:r w:rsidR="00AF3685">
        <w:rPr>
          <w:rFonts w:ascii="Aptos" w:eastAsia="MS Mincho" w:hAnsi="Aptos" w:cs="Arial"/>
        </w:rPr>
        <w:t xml:space="preserve">and decent work </w:t>
      </w:r>
      <w:r w:rsidRPr="001342E7">
        <w:rPr>
          <w:rFonts w:ascii="Aptos" w:eastAsia="MS Mincho" w:hAnsi="Aptos" w:cs="Arial"/>
        </w:rPr>
        <w:t xml:space="preserve">for persons with disabilities and </w:t>
      </w:r>
      <w:r w:rsidR="00184AAD" w:rsidRPr="001342E7">
        <w:rPr>
          <w:rFonts w:ascii="Aptos" w:eastAsia="MS Mincho" w:hAnsi="Aptos" w:cs="Arial"/>
        </w:rPr>
        <w:t xml:space="preserve">must abstain from </w:t>
      </w:r>
      <w:r w:rsidRPr="001342E7">
        <w:rPr>
          <w:rFonts w:ascii="Aptos" w:eastAsia="MS Mincho" w:hAnsi="Aptos" w:cs="Arial"/>
        </w:rPr>
        <w:t xml:space="preserve">funding segregated employment of persons with disabilities such as sheltered workshops. </w:t>
      </w:r>
    </w:p>
    <w:p w14:paraId="039AB722" w14:textId="09C5AF21" w:rsidR="00100D96" w:rsidRPr="001342E7" w:rsidRDefault="0CB8F05F" w:rsidP="00100D96">
      <w:pPr>
        <w:numPr>
          <w:ilvl w:val="0"/>
          <w:numId w:val="2"/>
        </w:numPr>
        <w:spacing w:after="0" w:line="276" w:lineRule="auto"/>
        <w:contextualSpacing/>
        <w:rPr>
          <w:rFonts w:ascii="Aptos" w:eastAsia="MS Mincho" w:hAnsi="Aptos" w:cs="Arial"/>
        </w:rPr>
      </w:pPr>
      <w:r w:rsidRPr="001342E7">
        <w:rPr>
          <w:rFonts w:ascii="Aptos" w:eastAsia="MS Mincho" w:hAnsi="Aptos" w:cs="Arial"/>
          <w:b/>
          <w:bCs/>
        </w:rPr>
        <w:t>Disability</w:t>
      </w:r>
      <w:r w:rsidR="00F5124C">
        <w:rPr>
          <w:rFonts w:ascii="Aptos" w:eastAsia="MS Mincho" w:hAnsi="Aptos" w:cs="Arial"/>
          <w:b/>
          <w:bCs/>
        </w:rPr>
        <w:t>-</w:t>
      </w:r>
      <w:r w:rsidRPr="001342E7">
        <w:rPr>
          <w:rFonts w:ascii="Aptos" w:eastAsia="MS Mincho" w:hAnsi="Aptos" w:cs="Arial"/>
          <w:b/>
          <w:bCs/>
        </w:rPr>
        <w:t xml:space="preserve">Inclusive Social Protection: </w:t>
      </w:r>
      <w:r w:rsidRPr="001342E7">
        <w:rPr>
          <w:rFonts w:ascii="Aptos" w:eastAsia="MS Mincho" w:hAnsi="Aptos" w:cs="Arial"/>
        </w:rPr>
        <w:t>Social protection is crucial for persons with disabilities to address the systemic and persistent barriers that affect their lives and lead to higher levels of poverty</w:t>
      </w:r>
      <w:r w:rsidR="00020F7D" w:rsidRPr="001342E7">
        <w:rPr>
          <w:rFonts w:ascii="Aptos" w:eastAsia="MS Mincho" w:hAnsi="Aptos" w:cs="Arial"/>
        </w:rPr>
        <w:t xml:space="preserve">. </w:t>
      </w:r>
      <w:r w:rsidRPr="001342E7">
        <w:rPr>
          <w:rFonts w:ascii="Aptos" w:eastAsia="MS Mincho" w:hAnsi="Aptos" w:cs="Arial"/>
        </w:rPr>
        <w:t xml:space="preserve">All international cooperation initiatives must be </w:t>
      </w:r>
      <w:r w:rsidR="45463780" w:rsidRPr="001342E7">
        <w:rPr>
          <w:rFonts w:ascii="Aptos" w:eastAsia="MS Mincho" w:hAnsi="Aptos" w:cs="Arial"/>
        </w:rPr>
        <w:t>i</w:t>
      </w:r>
      <w:r w:rsidRPr="001342E7">
        <w:rPr>
          <w:rFonts w:ascii="Aptos" w:eastAsia="MS Mincho" w:hAnsi="Aptos" w:cs="Arial"/>
        </w:rPr>
        <w:t xml:space="preserve">nclusive of persons with disabilities to reduce inequality and </w:t>
      </w:r>
      <w:r w:rsidR="521E85BB" w:rsidRPr="001342E7">
        <w:rPr>
          <w:rFonts w:ascii="Aptos" w:eastAsia="MS Mincho" w:hAnsi="Aptos" w:cs="Arial"/>
        </w:rPr>
        <w:t>ensure</w:t>
      </w:r>
      <w:r w:rsidRPr="001342E7">
        <w:rPr>
          <w:rFonts w:ascii="Aptos" w:eastAsia="MS Mincho" w:hAnsi="Aptos" w:cs="Arial"/>
        </w:rPr>
        <w:t xml:space="preserve"> the well-being of persons with disabilities across different income levels and in various challenging circumstances.</w:t>
      </w:r>
    </w:p>
    <w:p w14:paraId="29F594BA" w14:textId="31CC52CC" w:rsidR="00100D96" w:rsidRPr="001342E7" w:rsidRDefault="002C303E" w:rsidP="00020F7D">
      <w:pPr>
        <w:numPr>
          <w:ilvl w:val="0"/>
          <w:numId w:val="2"/>
        </w:numPr>
        <w:spacing w:after="0" w:line="276" w:lineRule="auto"/>
        <w:contextualSpacing/>
        <w:rPr>
          <w:rFonts w:ascii="Aptos" w:eastAsia="MS Mincho" w:hAnsi="Aptos" w:cs="Arial"/>
          <w:b/>
          <w:bCs/>
        </w:rPr>
      </w:pPr>
      <w:r w:rsidRPr="001342E7">
        <w:rPr>
          <w:rFonts w:ascii="Aptos" w:eastAsia="MS Mincho" w:hAnsi="Aptos" w:cs="Arial"/>
          <w:b/>
          <w:bCs/>
        </w:rPr>
        <w:t xml:space="preserve">Stigma and Discrimination: </w:t>
      </w:r>
      <w:r w:rsidRPr="00FE282A">
        <w:rPr>
          <w:rFonts w:ascii="Aptos" w:eastAsia="MS Mincho" w:hAnsi="Aptos" w:cs="Arial"/>
        </w:rPr>
        <w:t>To reduce poverty and to ensure equal education and employment opportunities for persons with disabilities, international cooperation activities must work in partnership with OPDs and local communities, to eliminate negative stigmas and end discrimination that often prevent persons with disabilities from enrolling in mainstream schools or obtaining employment in the open labour market</w:t>
      </w:r>
      <w:r w:rsidRPr="001342E7">
        <w:rPr>
          <w:rFonts w:ascii="Aptos" w:eastAsia="MS Mincho" w:hAnsi="Aptos" w:cs="Arial"/>
          <w:b/>
          <w:bCs/>
        </w:rPr>
        <w:t xml:space="preserve">. </w:t>
      </w:r>
      <w:r w:rsidR="00100D96" w:rsidRPr="001342E7">
        <w:rPr>
          <w:rFonts w:ascii="Aptos" w:eastAsia="MS Mincho" w:hAnsi="Aptos" w:cs="Arial"/>
          <w:b/>
          <w:bCs/>
        </w:rPr>
        <w:t xml:space="preserve"> </w:t>
      </w:r>
    </w:p>
    <w:p w14:paraId="4D5762E2" w14:textId="765D2D7C" w:rsidR="00100D96" w:rsidRPr="00D166FA" w:rsidRDefault="00100D96" w:rsidP="00D166FA">
      <w:pPr>
        <w:pStyle w:val="Heading4"/>
        <w:rPr>
          <w:rFonts w:ascii="Aptos" w:eastAsia="MS Gothic" w:hAnsi="Aptos" w:cs="Times New Roman"/>
          <w:b/>
          <w:bCs/>
          <w:i w:val="0"/>
          <w:iCs w:val="0"/>
          <w:color w:val="501549" w:themeColor="accent5" w:themeShade="80"/>
        </w:rPr>
      </w:pPr>
      <w:r w:rsidRPr="00D166FA">
        <w:rPr>
          <w:b/>
          <w:bCs/>
          <w:i w:val="0"/>
          <w:iCs w:val="0"/>
          <w:color w:val="501549" w:themeColor="accent5" w:themeShade="80"/>
        </w:rPr>
        <w:t>Promot</w:t>
      </w:r>
      <w:r w:rsidR="00620546" w:rsidRPr="00D166FA">
        <w:rPr>
          <w:b/>
          <w:bCs/>
          <w:i w:val="0"/>
          <w:iCs w:val="0"/>
          <w:color w:val="501549" w:themeColor="accent5" w:themeShade="80"/>
        </w:rPr>
        <w:t>ing</w:t>
      </w:r>
      <w:r w:rsidRPr="00D166FA">
        <w:rPr>
          <w:b/>
          <w:bCs/>
          <w:i w:val="0"/>
          <w:iCs w:val="0"/>
          <w:color w:val="501549" w:themeColor="accent5" w:themeShade="80"/>
        </w:rPr>
        <w:t xml:space="preserve"> Accessibility</w:t>
      </w:r>
    </w:p>
    <w:p w14:paraId="2C796499" w14:textId="0762EFE8" w:rsidR="00100D96" w:rsidRPr="001342E7" w:rsidRDefault="00782BEE" w:rsidP="007D7056">
      <w:pPr>
        <w:numPr>
          <w:ilvl w:val="0"/>
          <w:numId w:val="2"/>
        </w:numPr>
        <w:spacing w:after="0" w:line="276" w:lineRule="auto"/>
        <w:contextualSpacing/>
        <w:rPr>
          <w:rFonts w:ascii="Aptos" w:eastAsia="MS Mincho" w:hAnsi="Aptos" w:cs="Arial"/>
        </w:rPr>
      </w:pPr>
      <w:r w:rsidRPr="001342E7">
        <w:rPr>
          <w:rFonts w:ascii="Aptos" w:eastAsia="MS Mincho" w:hAnsi="Aptos" w:cs="Arial"/>
          <w:b/>
          <w:bCs/>
        </w:rPr>
        <w:t>Infrastructure</w:t>
      </w:r>
      <w:r w:rsidR="001F15C4" w:rsidRPr="001342E7">
        <w:rPr>
          <w:rFonts w:ascii="Aptos" w:eastAsia="MS Mincho" w:hAnsi="Aptos" w:cs="Arial"/>
          <w:b/>
          <w:bCs/>
        </w:rPr>
        <w:t>, Technology and Information</w:t>
      </w:r>
      <w:r w:rsidR="00100D96" w:rsidRPr="001342E7">
        <w:rPr>
          <w:rFonts w:ascii="Aptos" w:eastAsia="MS Mincho" w:hAnsi="Aptos" w:cs="Arial"/>
        </w:rPr>
        <w:t xml:space="preserve">: European international cooperation must continuously promote accessibility in all areas of life, including education, </w:t>
      </w:r>
      <w:r w:rsidR="00100D96" w:rsidRPr="001342E7">
        <w:rPr>
          <w:rFonts w:ascii="Aptos" w:eastAsia="MS Mincho" w:hAnsi="Aptos" w:cs="Arial"/>
        </w:rPr>
        <w:lastRenderedPageBreak/>
        <w:t>health</w:t>
      </w:r>
      <w:r w:rsidR="00DB7AD5" w:rsidRPr="001342E7">
        <w:rPr>
          <w:rFonts w:ascii="Aptos" w:eastAsia="MS Mincho" w:hAnsi="Aptos" w:cs="Arial"/>
        </w:rPr>
        <w:t xml:space="preserve"> </w:t>
      </w:r>
      <w:r w:rsidR="00100D96" w:rsidRPr="001342E7">
        <w:rPr>
          <w:rFonts w:ascii="Aptos" w:eastAsia="MS Mincho" w:hAnsi="Aptos" w:cs="Arial"/>
        </w:rPr>
        <w:t>care, employment, technology, Artificial Intelligence (AI), communications (including media), information and public infrastructure. This includes providing financial resources and technical support for creating accessible environments and service</w:t>
      </w:r>
      <w:r w:rsidR="007D7056" w:rsidRPr="001342E7">
        <w:rPr>
          <w:rFonts w:ascii="Aptos" w:eastAsia="MS Mincho" w:hAnsi="Aptos" w:cs="Arial"/>
        </w:rPr>
        <w:t>s, and the provision of reasonable accommodation.</w:t>
      </w:r>
    </w:p>
    <w:p w14:paraId="6CE0CEDF" w14:textId="7E11CD7C" w:rsidR="00100D96" w:rsidRPr="001342E7" w:rsidRDefault="00100D96" w:rsidP="00100D96">
      <w:pPr>
        <w:numPr>
          <w:ilvl w:val="0"/>
          <w:numId w:val="2"/>
        </w:numPr>
        <w:spacing w:after="0" w:line="276" w:lineRule="auto"/>
        <w:contextualSpacing/>
        <w:rPr>
          <w:rFonts w:ascii="Aptos" w:eastAsia="MS Mincho" w:hAnsi="Aptos" w:cs="Arial"/>
        </w:rPr>
      </w:pPr>
      <w:r w:rsidRPr="001342E7">
        <w:rPr>
          <w:rFonts w:ascii="Aptos" w:eastAsia="MS Mincho" w:hAnsi="Aptos" w:cs="Arial"/>
          <w:b/>
          <w:bCs/>
        </w:rPr>
        <w:t>Health</w:t>
      </w:r>
      <w:r w:rsidR="00DB7AD5" w:rsidRPr="001342E7">
        <w:rPr>
          <w:rFonts w:ascii="Aptos" w:eastAsia="MS Mincho" w:hAnsi="Aptos" w:cs="Arial"/>
          <w:b/>
          <w:bCs/>
        </w:rPr>
        <w:t xml:space="preserve"> C</w:t>
      </w:r>
      <w:r w:rsidRPr="001342E7">
        <w:rPr>
          <w:rFonts w:ascii="Aptos" w:eastAsia="MS Mincho" w:hAnsi="Aptos" w:cs="Arial"/>
          <w:b/>
          <w:bCs/>
        </w:rPr>
        <w:t>are Access:</w:t>
      </w:r>
      <w:r w:rsidRPr="00FE282A">
        <w:rPr>
          <w:rFonts w:ascii="Aptos" w:eastAsia="MS Mincho" w:hAnsi="Aptos" w:cs="Arial"/>
        </w:rPr>
        <w:t xml:space="preserve"> </w:t>
      </w:r>
      <w:r w:rsidR="00AE3039" w:rsidRPr="00FE282A">
        <w:rPr>
          <w:rFonts w:ascii="Aptos" w:eastAsia="MS Mincho" w:hAnsi="Aptos" w:cs="Arial"/>
        </w:rPr>
        <w:t>Facilitate access to mainstream health</w:t>
      </w:r>
      <w:r w:rsidR="007652B0">
        <w:rPr>
          <w:rFonts w:ascii="Aptos" w:eastAsia="MS Mincho" w:hAnsi="Aptos" w:cs="Arial"/>
        </w:rPr>
        <w:t xml:space="preserve"> </w:t>
      </w:r>
      <w:r w:rsidR="00AE3039" w:rsidRPr="00FE282A">
        <w:rPr>
          <w:rFonts w:ascii="Aptos" w:eastAsia="MS Mincho" w:hAnsi="Aptos" w:cs="Arial"/>
        </w:rPr>
        <w:t xml:space="preserve">care services that are tailored to meet the requirements of </w:t>
      </w:r>
      <w:r w:rsidR="00FF5CB8" w:rsidRPr="001342E7">
        <w:rPr>
          <w:rFonts w:ascii="Aptos" w:eastAsia="MS Mincho" w:hAnsi="Aptos" w:cs="Arial"/>
        </w:rPr>
        <w:t xml:space="preserve">persons </w:t>
      </w:r>
      <w:r w:rsidR="00AE3039" w:rsidRPr="00FE282A">
        <w:rPr>
          <w:rFonts w:ascii="Aptos" w:eastAsia="MS Mincho" w:hAnsi="Aptos" w:cs="Arial"/>
        </w:rPr>
        <w:t xml:space="preserve">with disabilities, including the training of healthcare professionals to uphold the right to respectful care for </w:t>
      </w:r>
      <w:r w:rsidR="00ED395E" w:rsidRPr="001342E7">
        <w:rPr>
          <w:rFonts w:ascii="Aptos" w:eastAsia="MS Mincho" w:hAnsi="Aptos" w:cs="Arial"/>
        </w:rPr>
        <w:t>persons with disabilities</w:t>
      </w:r>
      <w:r w:rsidR="00AE3039" w:rsidRPr="00FE282A">
        <w:rPr>
          <w:rFonts w:ascii="Aptos" w:eastAsia="MS Mincho" w:hAnsi="Aptos" w:cs="Arial"/>
        </w:rPr>
        <w:t xml:space="preserve"> living with stigmatised or poorly understood long-term health conditions</w:t>
      </w:r>
      <w:r w:rsidR="00ED395E" w:rsidRPr="001342E7">
        <w:rPr>
          <w:rFonts w:ascii="Aptos" w:eastAsia="MS Mincho" w:hAnsi="Aptos" w:cs="Arial"/>
        </w:rPr>
        <w:t>, and promote access to assistive devices</w:t>
      </w:r>
      <w:r w:rsidR="2B983E20" w:rsidRPr="345B3298">
        <w:rPr>
          <w:rFonts w:ascii="Aptos" w:eastAsia="MS Mincho" w:hAnsi="Aptos" w:cs="Arial"/>
        </w:rPr>
        <w:t>.</w:t>
      </w:r>
    </w:p>
    <w:p w14:paraId="7021C0B1" w14:textId="6B2F4E6C" w:rsidR="00100D96" w:rsidRPr="001342E7" w:rsidRDefault="00100D96" w:rsidP="5BC7D23A">
      <w:pPr>
        <w:numPr>
          <w:ilvl w:val="0"/>
          <w:numId w:val="2"/>
        </w:numPr>
        <w:spacing w:after="0" w:line="276" w:lineRule="auto"/>
        <w:contextualSpacing/>
        <w:rPr>
          <w:rFonts w:ascii="Aptos" w:eastAsia="MS Mincho" w:hAnsi="Aptos" w:cs="Arial"/>
        </w:rPr>
      </w:pPr>
      <w:r w:rsidRPr="001342E7">
        <w:rPr>
          <w:rFonts w:ascii="Aptos" w:eastAsia="MS Mincho" w:hAnsi="Aptos" w:cs="Arial"/>
          <w:b/>
          <w:bCs/>
        </w:rPr>
        <w:t>Public Infrastructure:</w:t>
      </w:r>
      <w:r w:rsidRPr="001342E7">
        <w:rPr>
          <w:rFonts w:ascii="Aptos" w:eastAsia="MS Mincho" w:hAnsi="Aptos" w:cs="Arial"/>
        </w:rPr>
        <w:t xml:space="preserve"> </w:t>
      </w:r>
      <w:r w:rsidR="00DB7A25" w:rsidRPr="001342E7">
        <w:rPr>
          <w:rFonts w:ascii="Aptos" w:eastAsia="MS Mincho" w:hAnsi="Aptos" w:cs="Arial"/>
        </w:rPr>
        <w:t xml:space="preserve">Appropriate measures to ensure to persons with disabilities </w:t>
      </w:r>
      <w:r w:rsidR="005C45BE" w:rsidRPr="001342E7">
        <w:rPr>
          <w:rFonts w:ascii="Aptos" w:eastAsia="MS Mincho" w:hAnsi="Aptos" w:cs="Arial"/>
        </w:rPr>
        <w:t xml:space="preserve">have </w:t>
      </w:r>
      <w:r w:rsidR="00DB7A25" w:rsidRPr="001342E7">
        <w:rPr>
          <w:rFonts w:ascii="Aptos" w:eastAsia="MS Mincho" w:hAnsi="Aptos" w:cs="Arial"/>
        </w:rPr>
        <w:t>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is essential.</w:t>
      </w:r>
      <w:r w:rsidR="004120F0" w:rsidRPr="001342E7">
        <w:rPr>
          <w:rFonts w:ascii="Aptos" w:eastAsia="MS Mincho" w:hAnsi="Aptos" w:cs="Arial"/>
        </w:rPr>
        <w:t xml:space="preserve"> European international cooperation must i</w:t>
      </w:r>
      <w:r w:rsidRPr="001342E7">
        <w:rPr>
          <w:rFonts w:ascii="Aptos" w:eastAsia="MS Mincho" w:hAnsi="Aptos" w:cs="Arial"/>
        </w:rPr>
        <w:t>nvest in accessible transportation, public spaces</w:t>
      </w:r>
      <w:r w:rsidR="008F0D86">
        <w:rPr>
          <w:rFonts w:ascii="Aptos" w:eastAsia="MS Mincho" w:hAnsi="Aptos" w:cs="Arial"/>
        </w:rPr>
        <w:t xml:space="preserve"> (including voting facil</w:t>
      </w:r>
      <w:r w:rsidR="00A72F15">
        <w:rPr>
          <w:rFonts w:ascii="Aptos" w:eastAsia="MS Mincho" w:hAnsi="Aptos" w:cs="Arial"/>
        </w:rPr>
        <w:t>ities),</w:t>
      </w:r>
      <w:r w:rsidRPr="001342E7">
        <w:rPr>
          <w:rFonts w:ascii="Aptos" w:eastAsia="MS Mincho" w:hAnsi="Aptos" w:cs="Arial"/>
        </w:rPr>
        <w:t xml:space="preserve"> </w:t>
      </w:r>
      <w:r w:rsidR="0096418A" w:rsidRPr="001342E7">
        <w:rPr>
          <w:rFonts w:ascii="Aptos" w:eastAsia="MS Mincho" w:hAnsi="Aptos" w:cs="Arial"/>
        </w:rPr>
        <w:t xml:space="preserve">information </w:t>
      </w:r>
      <w:r w:rsidRPr="001342E7">
        <w:rPr>
          <w:rFonts w:ascii="Aptos" w:eastAsia="MS Mincho" w:hAnsi="Aptos" w:cs="Arial"/>
        </w:rPr>
        <w:t>and communication tools to eliminate barriers to mobility and participation</w:t>
      </w:r>
      <w:r w:rsidR="0096418A" w:rsidRPr="001342E7">
        <w:rPr>
          <w:rFonts w:ascii="Aptos" w:eastAsia="MS Mincho" w:hAnsi="Aptos" w:cs="Arial"/>
        </w:rPr>
        <w:t xml:space="preserve"> in society</w:t>
      </w:r>
      <w:r w:rsidRPr="001342E7">
        <w:rPr>
          <w:rFonts w:ascii="Aptos" w:eastAsia="MS Mincho" w:hAnsi="Aptos" w:cs="Arial"/>
        </w:rPr>
        <w:t>.</w:t>
      </w:r>
    </w:p>
    <w:p w14:paraId="59EA2922" w14:textId="77777777" w:rsidR="00100D96" w:rsidRPr="00D166FA" w:rsidRDefault="00100D96" w:rsidP="00D166FA">
      <w:pPr>
        <w:pStyle w:val="Heading4"/>
        <w:rPr>
          <w:rFonts w:ascii="Aptos" w:eastAsia="MS Gothic" w:hAnsi="Aptos" w:cs="Times New Roman"/>
          <w:b/>
          <w:bCs/>
          <w:i w:val="0"/>
          <w:iCs w:val="0"/>
          <w:color w:val="501549" w:themeColor="accent5" w:themeShade="80"/>
        </w:rPr>
      </w:pPr>
      <w:r w:rsidRPr="00D166FA">
        <w:rPr>
          <w:b/>
          <w:bCs/>
          <w:i w:val="0"/>
          <w:iCs w:val="0"/>
          <w:color w:val="501549" w:themeColor="accent5" w:themeShade="80"/>
        </w:rPr>
        <w:t>Data Collection and Evidence-Based Policy</w:t>
      </w:r>
    </w:p>
    <w:p w14:paraId="0738D5B2" w14:textId="0337BE0D" w:rsidR="00100D96" w:rsidRPr="001342E7" w:rsidRDefault="00100D96" w:rsidP="00100D96">
      <w:pPr>
        <w:numPr>
          <w:ilvl w:val="0"/>
          <w:numId w:val="2"/>
        </w:numPr>
        <w:spacing w:after="0" w:line="276" w:lineRule="auto"/>
        <w:contextualSpacing/>
        <w:rPr>
          <w:rFonts w:ascii="Aptos" w:eastAsia="MS Mincho" w:hAnsi="Aptos" w:cs="Arial"/>
          <w:b/>
          <w:bCs/>
        </w:rPr>
      </w:pPr>
      <w:r w:rsidRPr="001342E7">
        <w:rPr>
          <w:rFonts w:ascii="Aptos" w:eastAsia="MS Mincho" w:hAnsi="Aptos" w:cs="Arial"/>
          <w:b/>
          <w:bCs/>
        </w:rPr>
        <w:t>Improved Data Collection:</w:t>
      </w:r>
      <w:r w:rsidRPr="001342E7">
        <w:rPr>
          <w:rFonts w:ascii="Aptos" w:eastAsia="MS Mincho" w:hAnsi="Aptos" w:cs="Arial"/>
        </w:rPr>
        <w:t xml:space="preserve"> The collection of disaggregated data by disability</w:t>
      </w:r>
      <w:r w:rsidR="00681542" w:rsidRPr="001342E7">
        <w:rPr>
          <w:rFonts w:ascii="Aptos" w:eastAsia="MS Mincho" w:hAnsi="Aptos" w:cs="Arial"/>
        </w:rPr>
        <w:t xml:space="preserve">, </w:t>
      </w:r>
      <w:r w:rsidR="0FDB4942" w:rsidRPr="001342E7">
        <w:rPr>
          <w:rFonts w:ascii="Aptos" w:eastAsia="MS Mincho" w:hAnsi="Aptos" w:cs="Arial"/>
        </w:rPr>
        <w:t>age and</w:t>
      </w:r>
      <w:r w:rsidRPr="001342E7">
        <w:rPr>
          <w:rFonts w:ascii="Aptos" w:eastAsia="MS Mincho" w:hAnsi="Aptos" w:cs="Arial"/>
        </w:rPr>
        <w:t xml:space="preserve"> </w:t>
      </w:r>
      <w:r w:rsidR="00681542" w:rsidRPr="001342E7">
        <w:rPr>
          <w:rFonts w:ascii="Aptos" w:eastAsia="MS Mincho" w:hAnsi="Aptos" w:cs="Arial"/>
        </w:rPr>
        <w:t>gender</w:t>
      </w:r>
      <w:r w:rsidRPr="001342E7">
        <w:rPr>
          <w:rFonts w:ascii="Aptos" w:eastAsia="MS Mincho" w:hAnsi="Aptos" w:cs="Arial"/>
        </w:rPr>
        <w:t xml:space="preserve"> is crucial. </w:t>
      </w:r>
      <w:r w:rsidR="132BA556" w:rsidRPr="001342E7">
        <w:rPr>
          <w:rFonts w:ascii="Aptos" w:eastAsia="MS Mincho" w:hAnsi="Aptos" w:cs="Arial"/>
        </w:rPr>
        <w:t>Accurate and</w:t>
      </w:r>
      <w:r w:rsidR="615E5A05" w:rsidRPr="001342E7">
        <w:rPr>
          <w:rFonts w:ascii="Aptos" w:eastAsia="MS Mincho" w:hAnsi="Aptos" w:cs="Arial"/>
        </w:rPr>
        <w:t xml:space="preserve"> comprehensive </w:t>
      </w:r>
      <w:r w:rsidRPr="001342E7">
        <w:rPr>
          <w:rFonts w:ascii="Aptos" w:eastAsia="MS Mincho" w:hAnsi="Aptos" w:cs="Arial"/>
        </w:rPr>
        <w:t>data enables better understanding of the challenges faced by persons with disabilities, leading to more effective budgeting and resource allocation, ensuring that interventions are targeted and impactful.</w:t>
      </w:r>
    </w:p>
    <w:p w14:paraId="28A39053" w14:textId="2514F060" w:rsidR="5174F3BB" w:rsidRPr="001342E7" w:rsidRDefault="5174F3BB" w:rsidP="218E77C2">
      <w:pPr>
        <w:numPr>
          <w:ilvl w:val="0"/>
          <w:numId w:val="2"/>
        </w:numPr>
        <w:spacing w:after="0" w:line="276" w:lineRule="auto"/>
        <w:contextualSpacing/>
        <w:rPr>
          <w:rFonts w:ascii="Aptos" w:eastAsia="MS Mincho" w:hAnsi="Aptos" w:cs="Arial"/>
        </w:rPr>
      </w:pPr>
      <w:r w:rsidRPr="001342E7">
        <w:rPr>
          <w:rFonts w:ascii="Aptos" w:eastAsia="MS Mincho" w:hAnsi="Aptos" w:cs="Arial"/>
          <w:b/>
          <w:bCs/>
        </w:rPr>
        <w:t>T</w:t>
      </w:r>
      <w:r w:rsidR="3D4D00E1" w:rsidRPr="001342E7">
        <w:rPr>
          <w:rFonts w:ascii="Aptos" w:eastAsia="MS Mincho" w:hAnsi="Aptos" w:cs="Arial"/>
          <w:b/>
          <w:bCs/>
        </w:rPr>
        <w:t xml:space="preserve">he Washington Group Set of Questions: </w:t>
      </w:r>
      <w:r w:rsidR="3D4D00E1" w:rsidRPr="001342E7">
        <w:rPr>
          <w:rFonts w:ascii="Aptos" w:eastAsia="MS Mincho" w:hAnsi="Aptos" w:cs="Arial"/>
        </w:rPr>
        <w:t xml:space="preserve">To improve data collection, </w:t>
      </w:r>
      <w:r w:rsidR="00BA7E1A">
        <w:rPr>
          <w:rFonts w:ascii="Aptos" w:eastAsia="MS Mincho" w:hAnsi="Aptos" w:cs="Arial"/>
        </w:rPr>
        <w:t xml:space="preserve">stakeholders </w:t>
      </w:r>
      <w:r w:rsidR="001D2AF2">
        <w:rPr>
          <w:rFonts w:ascii="Aptos" w:eastAsia="MS Mincho" w:hAnsi="Aptos" w:cs="Arial"/>
        </w:rPr>
        <w:t>should utilise</w:t>
      </w:r>
      <w:r w:rsidR="3D4D00E1" w:rsidRPr="001342E7">
        <w:rPr>
          <w:rFonts w:ascii="Aptos" w:eastAsia="MS Mincho" w:hAnsi="Aptos" w:cs="Arial"/>
        </w:rPr>
        <w:t xml:space="preserve"> the Washington Group Set of Questions in national surveys and data-gathering initiatives. This set of questions is designed to capture information on disability prevalence and the barriers persons with disabilities face, allowing for more reliable and consistent data that informs policy and resource allocation.</w:t>
      </w:r>
    </w:p>
    <w:p w14:paraId="2A6AC710" w14:textId="3211FF84" w:rsidR="00100D96" w:rsidRPr="001342E7" w:rsidRDefault="339BBF04" w:rsidP="5BC7D23A">
      <w:pPr>
        <w:numPr>
          <w:ilvl w:val="0"/>
          <w:numId w:val="2"/>
        </w:numPr>
        <w:spacing w:after="0" w:line="276" w:lineRule="auto"/>
        <w:contextualSpacing/>
        <w:rPr>
          <w:rFonts w:ascii="Aptos" w:eastAsia="Aptos" w:hAnsi="Aptos" w:cs="Aptos"/>
        </w:rPr>
      </w:pPr>
      <w:r w:rsidRPr="001342E7">
        <w:rPr>
          <w:rFonts w:ascii="Aptos" w:eastAsia="Aptos" w:hAnsi="Aptos" w:cs="Aptos"/>
          <w:b/>
          <w:bCs/>
        </w:rPr>
        <w:t>T</w:t>
      </w:r>
      <w:r w:rsidR="24F2A5A2" w:rsidRPr="001342E7">
        <w:rPr>
          <w:rFonts w:ascii="Aptos" w:eastAsia="Aptos" w:hAnsi="Aptos" w:cs="Aptos"/>
          <w:b/>
          <w:bCs/>
        </w:rPr>
        <w:t>he OECD DAC Disability Policy Marker</w:t>
      </w:r>
      <w:r w:rsidR="24F2A5A2" w:rsidRPr="001342E7">
        <w:rPr>
          <w:rFonts w:ascii="Aptos" w:eastAsia="Aptos" w:hAnsi="Aptos" w:cs="Aptos"/>
        </w:rPr>
        <w:t xml:space="preserve">: Encourage the use of the </w:t>
      </w:r>
      <w:r w:rsidR="24F2A5A2" w:rsidRPr="00346269">
        <w:rPr>
          <w:rFonts w:ascii="Aptos" w:eastAsia="Aptos" w:hAnsi="Aptos" w:cs="Aptos"/>
          <w:b/>
          <w:bCs/>
        </w:rPr>
        <w:t>OECD DAC</w:t>
      </w:r>
      <w:r w:rsidR="5496C3C3" w:rsidRPr="001342E7">
        <w:rPr>
          <w:rFonts w:ascii="Aptos" w:eastAsia="Aptos" w:hAnsi="Aptos" w:cs="Aptos"/>
          <w:b/>
          <w:bCs/>
        </w:rPr>
        <w:t xml:space="preserve"> (</w:t>
      </w:r>
      <w:r w:rsidR="5496C3C3" w:rsidRPr="001342E7">
        <w:rPr>
          <w:rFonts w:ascii="Aptos" w:eastAsia="Aptos" w:hAnsi="Aptos" w:cs="Aptos"/>
        </w:rPr>
        <w:t>Organisation for Economic Co-operation and Development's Development Assistance Committee)</w:t>
      </w:r>
      <w:r w:rsidR="24F2A5A2" w:rsidRPr="001342E7">
        <w:rPr>
          <w:rFonts w:ascii="Aptos" w:eastAsia="Aptos" w:hAnsi="Aptos" w:cs="Aptos"/>
          <w:b/>
          <w:bCs/>
        </w:rPr>
        <w:t xml:space="preserve"> Disability Policy Marker</w:t>
      </w:r>
      <w:r w:rsidR="24F2A5A2" w:rsidRPr="001342E7">
        <w:rPr>
          <w:rFonts w:ascii="Aptos" w:eastAsia="Aptos" w:hAnsi="Aptos" w:cs="Aptos"/>
        </w:rPr>
        <w:t xml:space="preserve"> in monitoring and evaluation processes to assess and track disability inclusion in European international cooperation and humanitarian action projects.</w:t>
      </w:r>
      <w:r w:rsidR="0005482A" w:rsidRPr="001342E7">
        <w:t xml:space="preserve"> </w:t>
      </w:r>
      <w:r w:rsidR="0005482A" w:rsidRPr="001342E7">
        <w:rPr>
          <w:rFonts w:ascii="Aptos" w:eastAsia="Aptos" w:hAnsi="Aptos" w:cs="Aptos"/>
        </w:rPr>
        <w:t>Explore the creation of a new Purpose Marker specifically for tracking the allocation to, and use of funds by, OPDs.</w:t>
      </w:r>
    </w:p>
    <w:p w14:paraId="5D636988" w14:textId="77777777" w:rsidR="00100D96" w:rsidRPr="00D166FA" w:rsidRDefault="00100D96" w:rsidP="00D166FA">
      <w:pPr>
        <w:pStyle w:val="Heading4"/>
        <w:rPr>
          <w:rFonts w:ascii="Aptos" w:eastAsia="MS Gothic" w:hAnsi="Aptos" w:cs="Times New Roman"/>
          <w:b/>
          <w:bCs/>
          <w:i w:val="0"/>
          <w:iCs w:val="0"/>
          <w:color w:val="501549" w:themeColor="accent5" w:themeShade="80"/>
        </w:rPr>
      </w:pPr>
      <w:r w:rsidRPr="00D166FA">
        <w:rPr>
          <w:b/>
          <w:bCs/>
          <w:i w:val="0"/>
          <w:iCs w:val="0"/>
          <w:color w:val="501549" w:themeColor="accent5" w:themeShade="80"/>
        </w:rPr>
        <w:lastRenderedPageBreak/>
        <w:t>Advocacy and Capacity Building</w:t>
      </w:r>
    </w:p>
    <w:p w14:paraId="49D47380" w14:textId="04E4C046" w:rsidR="00100D96" w:rsidRPr="00477AC2" w:rsidRDefault="00100D96" w:rsidP="00CC4D01">
      <w:pPr>
        <w:numPr>
          <w:ilvl w:val="0"/>
          <w:numId w:val="2"/>
        </w:numPr>
        <w:spacing w:after="0" w:line="276" w:lineRule="auto"/>
        <w:contextualSpacing/>
        <w:rPr>
          <w:rFonts w:ascii="Aptos" w:eastAsia="MS Mincho" w:hAnsi="Aptos" w:cs="Arial"/>
          <w:b/>
          <w:bCs/>
        </w:rPr>
      </w:pPr>
      <w:r w:rsidRPr="001342E7">
        <w:rPr>
          <w:rFonts w:ascii="Aptos" w:eastAsia="MS Mincho" w:hAnsi="Aptos" w:cs="Arial"/>
          <w:b/>
          <w:bCs/>
        </w:rPr>
        <w:t>Support for</w:t>
      </w:r>
      <w:r w:rsidR="00CC4D01" w:rsidRPr="001342E7">
        <w:rPr>
          <w:rFonts w:ascii="Aptos" w:eastAsia="MS Mincho" w:hAnsi="Aptos" w:cs="Arial"/>
          <w:b/>
          <w:bCs/>
        </w:rPr>
        <w:t xml:space="preserve"> and Resourcing of</w:t>
      </w:r>
      <w:r w:rsidRPr="001342E7">
        <w:rPr>
          <w:rFonts w:ascii="Aptos" w:eastAsia="MS Mincho" w:hAnsi="Aptos" w:cs="Arial"/>
          <w:b/>
          <w:bCs/>
        </w:rPr>
        <w:t xml:space="preserve"> OPDs</w:t>
      </w:r>
      <w:r w:rsidRPr="00FE282A">
        <w:rPr>
          <w:rFonts w:ascii="Aptos" w:eastAsia="MS Mincho" w:hAnsi="Aptos" w:cs="Arial"/>
        </w:rPr>
        <w:t xml:space="preserve">: </w:t>
      </w:r>
      <w:r w:rsidR="00CC4D01" w:rsidRPr="00FE282A">
        <w:rPr>
          <w:rFonts w:ascii="Aptos" w:eastAsia="MS Mincho" w:hAnsi="Aptos" w:cs="Arial"/>
        </w:rPr>
        <w:t xml:space="preserve">Increasing capacity-building and funding opportunities for OPDs is vital. OPDs play a crucial role in advocating for and advancing the rights of persons with disabilities and ensuring that policies and legislation are rights-based and inclusive. Funding for OPDs must increase and should be more accessible, longer-term, and more flexible so that it can be used in response to OPDs’ own priorities, including for strengthening the capacity and sustainability of organisations and disability movements. Official Development Assistance to </w:t>
      </w:r>
      <w:r w:rsidR="00CC4D01" w:rsidRPr="00477AC2">
        <w:rPr>
          <w:rFonts w:ascii="Aptos" w:eastAsia="MS Mincho" w:hAnsi="Aptos" w:cs="Arial"/>
          <w:b/>
          <w:bCs/>
        </w:rPr>
        <w:t>projects targeting persons with disabilities</w:t>
      </w:r>
      <w:r w:rsidR="00CC4D01" w:rsidRPr="00FE282A">
        <w:rPr>
          <w:rFonts w:ascii="Aptos" w:eastAsia="MS Mincho" w:hAnsi="Aptos" w:cs="Arial"/>
        </w:rPr>
        <w:t xml:space="preserve">, particularly those led by or in genuine partnership with OPDs, </w:t>
      </w:r>
      <w:r w:rsidR="00CC4D01" w:rsidRPr="00477AC2">
        <w:rPr>
          <w:rFonts w:ascii="Aptos" w:eastAsia="MS Mincho" w:hAnsi="Aptos" w:cs="Arial"/>
          <w:b/>
          <w:bCs/>
        </w:rPr>
        <w:t xml:space="preserve">must be increased. </w:t>
      </w:r>
    </w:p>
    <w:p w14:paraId="765FE152" w14:textId="6987D590" w:rsidR="00100D96" w:rsidRPr="001342E7" w:rsidRDefault="00100D96" w:rsidP="00100D96">
      <w:pPr>
        <w:numPr>
          <w:ilvl w:val="0"/>
          <w:numId w:val="2"/>
        </w:numPr>
        <w:spacing w:after="0" w:line="276" w:lineRule="auto"/>
        <w:contextualSpacing/>
        <w:rPr>
          <w:rFonts w:ascii="Aptos" w:eastAsia="MS Mincho" w:hAnsi="Aptos" w:cs="Arial"/>
          <w:b/>
          <w:bCs/>
        </w:rPr>
      </w:pPr>
      <w:r w:rsidRPr="001342E7">
        <w:rPr>
          <w:rFonts w:ascii="Aptos" w:eastAsia="MS Mincho" w:hAnsi="Aptos" w:cs="Arial"/>
          <w:b/>
          <w:bCs/>
        </w:rPr>
        <w:t>Best Practices:</w:t>
      </w:r>
      <w:r w:rsidRPr="001342E7">
        <w:rPr>
          <w:rFonts w:ascii="Aptos" w:eastAsia="MS Mincho" w:hAnsi="Aptos" w:cs="Arial"/>
        </w:rPr>
        <w:t xml:space="preserve"> European international cooperation should prioriti</w:t>
      </w:r>
      <w:r w:rsidR="00DB7AD5" w:rsidRPr="001342E7">
        <w:rPr>
          <w:rFonts w:ascii="Aptos" w:eastAsia="MS Mincho" w:hAnsi="Aptos" w:cs="Arial"/>
        </w:rPr>
        <w:t>s</w:t>
      </w:r>
      <w:r w:rsidRPr="001342E7">
        <w:rPr>
          <w:rFonts w:ascii="Aptos" w:eastAsia="MS Mincho" w:hAnsi="Aptos" w:cs="Arial"/>
        </w:rPr>
        <w:t xml:space="preserve">e the sharing of best practices and experiences in advancing disability rights. This includes mentorship, study visits, and other forms of knowledge exchange that can empower disability rights leaders in </w:t>
      </w:r>
      <w:r w:rsidR="00112506" w:rsidRPr="001342E7">
        <w:rPr>
          <w:rFonts w:ascii="Aptos" w:eastAsia="MS Mincho" w:hAnsi="Aptos" w:cs="Arial"/>
        </w:rPr>
        <w:t>neighbouring</w:t>
      </w:r>
      <w:r w:rsidRPr="001342E7">
        <w:rPr>
          <w:rFonts w:ascii="Aptos" w:eastAsia="MS Mincho" w:hAnsi="Aptos" w:cs="Arial"/>
        </w:rPr>
        <w:t xml:space="preserve"> countries,</w:t>
      </w:r>
      <w:r w:rsidR="00784084" w:rsidRPr="001342E7">
        <w:rPr>
          <w:rFonts w:ascii="Aptos" w:eastAsia="MS Mincho" w:hAnsi="Aptos" w:cs="Arial"/>
        </w:rPr>
        <w:t xml:space="preserve"> the Cauc</w:t>
      </w:r>
      <w:r w:rsidR="00532EBA" w:rsidRPr="001342E7">
        <w:rPr>
          <w:rFonts w:ascii="Aptos" w:eastAsia="MS Mincho" w:hAnsi="Aptos" w:cs="Arial"/>
        </w:rPr>
        <w:t>a</w:t>
      </w:r>
      <w:r w:rsidR="00784084" w:rsidRPr="001342E7">
        <w:rPr>
          <w:rFonts w:ascii="Aptos" w:eastAsia="MS Mincho" w:hAnsi="Aptos" w:cs="Arial"/>
        </w:rPr>
        <w:t>s</w:t>
      </w:r>
      <w:r w:rsidR="00532EBA" w:rsidRPr="001342E7">
        <w:rPr>
          <w:rFonts w:ascii="Aptos" w:eastAsia="MS Mincho" w:hAnsi="Aptos" w:cs="Arial"/>
        </w:rPr>
        <w:t>u</w:t>
      </w:r>
      <w:r w:rsidR="00784084" w:rsidRPr="001342E7">
        <w:rPr>
          <w:rFonts w:ascii="Aptos" w:eastAsia="MS Mincho" w:hAnsi="Aptos" w:cs="Arial"/>
        </w:rPr>
        <w:t>s,</w:t>
      </w:r>
      <w:r w:rsidRPr="001342E7">
        <w:rPr>
          <w:rFonts w:ascii="Aptos" w:eastAsia="MS Mincho" w:hAnsi="Aptos" w:cs="Arial"/>
        </w:rPr>
        <w:t xml:space="preserve"> Central Asia and </w:t>
      </w:r>
      <w:r w:rsidR="00235C0B">
        <w:rPr>
          <w:rFonts w:ascii="Aptos" w:eastAsia="MS Mincho" w:hAnsi="Aptos" w:cs="Arial"/>
        </w:rPr>
        <w:t xml:space="preserve">other </w:t>
      </w:r>
      <w:r w:rsidRPr="001342E7">
        <w:rPr>
          <w:rFonts w:ascii="Aptos" w:eastAsia="MS Mincho" w:hAnsi="Aptos" w:cs="Arial"/>
        </w:rPr>
        <w:t>partner countries.</w:t>
      </w:r>
    </w:p>
    <w:p w14:paraId="6EEB8355" w14:textId="6E46626F" w:rsidR="00100D96" w:rsidRPr="001342E7" w:rsidRDefault="00100D96" w:rsidP="1847779E">
      <w:pPr>
        <w:numPr>
          <w:ilvl w:val="0"/>
          <w:numId w:val="2"/>
        </w:numPr>
        <w:spacing w:after="0" w:line="276" w:lineRule="auto"/>
        <w:contextualSpacing/>
        <w:rPr>
          <w:rFonts w:ascii="Aptos" w:eastAsia="MS Mincho" w:hAnsi="Aptos" w:cs="Arial"/>
        </w:rPr>
      </w:pPr>
      <w:r w:rsidRPr="001342E7">
        <w:rPr>
          <w:rFonts w:ascii="Aptos" w:eastAsia="MS Mincho" w:hAnsi="Aptos" w:cs="Arial"/>
          <w:b/>
          <w:bCs/>
        </w:rPr>
        <w:t xml:space="preserve">Legal Capacity and Representation: </w:t>
      </w:r>
      <w:r w:rsidRPr="001342E7">
        <w:rPr>
          <w:rFonts w:ascii="Aptos" w:eastAsia="MS Mincho" w:hAnsi="Aptos" w:cs="Arial"/>
        </w:rPr>
        <w:t>Ensuring that persons with disabilities across the globe have legal capacity</w:t>
      </w:r>
      <w:r w:rsidR="00E8461A" w:rsidRPr="001342E7">
        <w:rPr>
          <w:rFonts w:ascii="Aptos" w:eastAsia="MS Mincho" w:hAnsi="Aptos" w:cs="Arial"/>
        </w:rPr>
        <w:t>, can make decisions about their own lives</w:t>
      </w:r>
      <w:r w:rsidRPr="001342E7">
        <w:rPr>
          <w:rFonts w:ascii="Aptos" w:eastAsia="MS Mincho" w:hAnsi="Aptos" w:cs="Arial"/>
        </w:rPr>
        <w:t xml:space="preserve"> and </w:t>
      </w:r>
      <w:r w:rsidR="00E8461A" w:rsidRPr="001342E7">
        <w:rPr>
          <w:rFonts w:ascii="Aptos" w:eastAsia="MS Mincho" w:hAnsi="Aptos" w:cs="Arial"/>
        </w:rPr>
        <w:t xml:space="preserve">have </w:t>
      </w:r>
      <w:r w:rsidRPr="001342E7">
        <w:rPr>
          <w:rFonts w:ascii="Aptos" w:eastAsia="MS Mincho" w:hAnsi="Aptos" w:cs="Arial"/>
        </w:rPr>
        <w:t>opportunities to participate in political and advocacy processes is essential. This includes ensuring accessibility to voting and other forms of civic participation, as well as supporting persons with disabilities in advocacy efforts.</w:t>
      </w:r>
    </w:p>
    <w:p w14:paraId="7C65F5B3" w14:textId="34D43AD7" w:rsidR="385C8FFE" w:rsidRPr="001342E7" w:rsidRDefault="385C8FFE" w:rsidP="00450277">
      <w:pPr>
        <w:numPr>
          <w:ilvl w:val="0"/>
          <w:numId w:val="2"/>
        </w:numPr>
        <w:spacing w:after="0" w:line="276" w:lineRule="auto"/>
        <w:contextualSpacing/>
        <w:rPr>
          <w:rFonts w:ascii="Aptos" w:eastAsia="MS Mincho" w:hAnsi="Aptos" w:cs="Arial"/>
        </w:rPr>
      </w:pPr>
      <w:r w:rsidRPr="001342E7">
        <w:rPr>
          <w:rFonts w:ascii="Aptos" w:eastAsia="MS Mincho" w:hAnsi="Aptos" w:cs="Arial"/>
          <w:b/>
          <w:bCs/>
        </w:rPr>
        <w:t xml:space="preserve">Participation by Youth and Children: </w:t>
      </w:r>
      <w:r w:rsidR="005E2151" w:rsidRPr="00FE282A">
        <w:rPr>
          <w:rFonts w:ascii="Aptos" w:eastAsia="MS Mincho" w:hAnsi="Aptos" w:cs="Arial"/>
        </w:rPr>
        <w:t>Prioritising youth involvement in the disability movement is essential for fostering future leaders. Increased, and more flexible, funding for youth-led OPDs is critical to the success of this strategy.</w:t>
      </w:r>
      <w:r w:rsidR="00450277" w:rsidRPr="001342E7">
        <w:rPr>
          <w:rFonts w:ascii="Aptos" w:eastAsia="MS Mincho" w:hAnsi="Aptos" w:cs="Arial"/>
        </w:rPr>
        <w:t xml:space="preserve"> Building the capacity of young advocates, particularly those </w:t>
      </w:r>
      <w:r w:rsidR="0027619E" w:rsidRPr="001342E7">
        <w:rPr>
          <w:rFonts w:ascii="Aptos" w:eastAsia="MS Mincho" w:hAnsi="Aptos" w:cs="Arial"/>
        </w:rPr>
        <w:t>with disabilities</w:t>
      </w:r>
      <w:r w:rsidR="00450277" w:rsidRPr="001342E7">
        <w:rPr>
          <w:rFonts w:ascii="Aptos" w:eastAsia="MS Mincho" w:hAnsi="Aptos" w:cs="Arial"/>
        </w:rPr>
        <w:t>, based on their expressed capacity</w:t>
      </w:r>
      <w:r w:rsidR="00235C0B">
        <w:rPr>
          <w:rFonts w:ascii="Aptos" w:eastAsia="MS Mincho" w:hAnsi="Aptos" w:cs="Arial"/>
        </w:rPr>
        <w:t>-</w:t>
      </w:r>
      <w:r w:rsidR="00450277" w:rsidRPr="001342E7">
        <w:rPr>
          <w:rFonts w:ascii="Aptos" w:eastAsia="MS Mincho" w:hAnsi="Aptos" w:cs="Arial"/>
        </w:rPr>
        <w:t xml:space="preserve">building needs, </w:t>
      </w:r>
      <w:r w:rsidR="00235C0B" w:rsidRPr="001342E7">
        <w:rPr>
          <w:rFonts w:ascii="Aptos" w:eastAsia="MS Mincho" w:hAnsi="Aptos" w:cs="Arial"/>
        </w:rPr>
        <w:t>is necessary</w:t>
      </w:r>
      <w:r w:rsidR="00450277" w:rsidRPr="001342E7">
        <w:rPr>
          <w:rFonts w:ascii="Aptos" w:eastAsia="MS Mincho" w:hAnsi="Aptos" w:cs="Arial"/>
        </w:rPr>
        <w:t xml:space="preserve"> to improve their understanding of issues like </w:t>
      </w:r>
      <w:r w:rsidR="00FA6CA8" w:rsidRPr="001342E7">
        <w:rPr>
          <w:rFonts w:ascii="Aptos" w:eastAsia="MS Mincho" w:hAnsi="Aptos" w:cs="Arial"/>
        </w:rPr>
        <w:t xml:space="preserve">governance </w:t>
      </w:r>
      <w:r w:rsidR="005E2151" w:rsidRPr="00FE282A">
        <w:rPr>
          <w:rFonts w:ascii="Aptos" w:eastAsia="MS Mincho" w:hAnsi="Aptos" w:cs="Arial"/>
        </w:rPr>
        <w:t>structures, effective advocacy strategies, and the</w:t>
      </w:r>
      <w:r w:rsidR="00450277" w:rsidRPr="001342E7">
        <w:rPr>
          <w:rFonts w:ascii="Aptos" w:eastAsia="MS Mincho" w:hAnsi="Aptos" w:cs="Arial"/>
        </w:rPr>
        <w:t xml:space="preserve"> </w:t>
      </w:r>
      <w:r w:rsidR="00235C0B">
        <w:rPr>
          <w:rFonts w:ascii="Aptos" w:eastAsia="MS Mincho" w:hAnsi="Aptos" w:cs="Arial"/>
        </w:rPr>
        <w:t>UN</w:t>
      </w:r>
      <w:r w:rsidR="005E2151" w:rsidRPr="00FE282A">
        <w:rPr>
          <w:rFonts w:ascii="Aptos" w:eastAsia="MS Mincho" w:hAnsi="Aptos" w:cs="Arial"/>
        </w:rPr>
        <w:t>CRPD.</w:t>
      </w:r>
      <w:r w:rsidR="005E2151" w:rsidRPr="001342E7">
        <w:rPr>
          <w:rFonts w:ascii="Aptos" w:eastAsia="MS Mincho" w:hAnsi="Aptos" w:cs="Arial"/>
          <w:b/>
          <w:bCs/>
        </w:rPr>
        <w:t xml:space="preserve"> </w:t>
      </w:r>
    </w:p>
    <w:p w14:paraId="104E30B5" w14:textId="77777777" w:rsidR="00100D96" w:rsidRPr="00D166FA" w:rsidRDefault="00100D96" w:rsidP="00D166FA">
      <w:pPr>
        <w:pStyle w:val="Heading4"/>
        <w:rPr>
          <w:rFonts w:ascii="Aptos" w:eastAsia="MS Gothic" w:hAnsi="Aptos" w:cs="Times New Roman"/>
          <w:b/>
          <w:bCs/>
          <w:i w:val="0"/>
          <w:iCs w:val="0"/>
          <w:color w:val="501549" w:themeColor="accent5" w:themeShade="80"/>
        </w:rPr>
      </w:pPr>
      <w:r w:rsidRPr="00D166FA">
        <w:rPr>
          <w:b/>
          <w:bCs/>
          <w:i w:val="0"/>
          <w:iCs w:val="0"/>
          <w:color w:val="501549" w:themeColor="accent5" w:themeShade="80"/>
        </w:rPr>
        <w:t>Gender and Intersectionality</w:t>
      </w:r>
    </w:p>
    <w:p w14:paraId="22AF5211" w14:textId="2C29D385" w:rsidR="00100D96" w:rsidRPr="001342E7" w:rsidRDefault="00100D96" w:rsidP="00100D96">
      <w:pPr>
        <w:numPr>
          <w:ilvl w:val="0"/>
          <w:numId w:val="2"/>
        </w:numPr>
        <w:spacing w:after="0" w:line="276" w:lineRule="auto"/>
        <w:contextualSpacing/>
        <w:rPr>
          <w:rFonts w:ascii="Aptos" w:eastAsia="MS Mincho" w:hAnsi="Aptos" w:cs="Arial"/>
          <w:b/>
          <w:bCs/>
        </w:rPr>
      </w:pPr>
      <w:r w:rsidRPr="001342E7">
        <w:rPr>
          <w:rFonts w:ascii="Aptos" w:eastAsia="MS Mincho" w:hAnsi="Aptos" w:cs="Arial"/>
          <w:b/>
          <w:bCs/>
        </w:rPr>
        <w:t>Marginali</w:t>
      </w:r>
      <w:r w:rsidR="00DB7AD5" w:rsidRPr="001342E7">
        <w:rPr>
          <w:rFonts w:ascii="Aptos" w:eastAsia="MS Mincho" w:hAnsi="Aptos" w:cs="Arial"/>
          <w:b/>
          <w:bCs/>
        </w:rPr>
        <w:t>s</w:t>
      </w:r>
      <w:r w:rsidRPr="001342E7">
        <w:rPr>
          <w:rFonts w:ascii="Aptos" w:eastAsia="MS Mincho" w:hAnsi="Aptos" w:cs="Arial"/>
          <w:b/>
          <w:bCs/>
        </w:rPr>
        <w:t>ed Groups:</w:t>
      </w:r>
      <w:r w:rsidRPr="001342E7">
        <w:rPr>
          <w:rFonts w:ascii="Aptos" w:eastAsia="MS Mincho" w:hAnsi="Aptos" w:cs="Arial"/>
        </w:rPr>
        <w:t xml:space="preserve"> European international cooperation should prioriti</w:t>
      </w:r>
      <w:r w:rsidR="00DB7AD5" w:rsidRPr="001342E7">
        <w:rPr>
          <w:rFonts w:ascii="Aptos" w:eastAsia="MS Mincho" w:hAnsi="Aptos" w:cs="Arial"/>
        </w:rPr>
        <w:t>s</w:t>
      </w:r>
      <w:r w:rsidRPr="001342E7">
        <w:rPr>
          <w:rFonts w:ascii="Aptos" w:eastAsia="MS Mincho" w:hAnsi="Aptos" w:cs="Arial"/>
        </w:rPr>
        <w:t xml:space="preserve">e the </w:t>
      </w:r>
      <w:r w:rsidR="008A347C" w:rsidRPr="001342E7">
        <w:rPr>
          <w:rFonts w:ascii="Aptos" w:eastAsia="MS Mincho" w:hAnsi="Aptos" w:cs="Arial"/>
        </w:rPr>
        <w:t xml:space="preserve">rights </w:t>
      </w:r>
      <w:r w:rsidRPr="001342E7">
        <w:rPr>
          <w:rFonts w:ascii="Aptos" w:eastAsia="MS Mincho" w:hAnsi="Aptos" w:cs="Arial"/>
        </w:rPr>
        <w:t>of the most marginali</w:t>
      </w:r>
      <w:r w:rsidR="00DB7AD5" w:rsidRPr="001342E7">
        <w:rPr>
          <w:rFonts w:ascii="Aptos" w:eastAsia="MS Mincho" w:hAnsi="Aptos" w:cs="Arial"/>
        </w:rPr>
        <w:t>s</w:t>
      </w:r>
      <w:r w:rsidRPr="001342E7">
        <w:rPr>
          <w:rFonts w:ascii="Aptos" w:eastAsia="MS Mincho" w:hAnsi="Aptos" w:cs="Arial"/>
        </w:rPr>
        <w:t xml:space="preserve">ed groups, including women and girls with disabilities, deafblind persons, persons with disabilities living in rural communities, </w:t>
      </w:r>
      <w:r w:rsidR="00BA35BC" w:rsidRPr="001342E7">
        <w:rPr>
          <w:rFonts w:ascii="Aptos" w:eastAsia="MS Mincho" w:hAnsi="Aptos" w:cs="Arial"/>
        </w:rPr>
        <w:t xml:space="preserve">persons with </w:t>
      </w:r>
      <w:r w:rsidR="4BB0B5CF" w:rsidRPr="345B3298">
        <w:rPr>
          <w:rFonts w:ascii="Aptos" w:eastAsia="MS Mincho" w:hAnsi="Aptos" w:cs="Arial"/>
        </w:rPr>
        <w:t>psychosocial disabilities</w:t>
      </w:r>
      <w:r w:rsidR="00BA35BC" w:rsidRPr="001342E7">
        <w:rPr>
          <w:rFonts w:ascii="Aptos" w:eastAsia="MS Mincho" w:hAnsi="Aptos" w:cs="Arial"/>
        </w:rPr>
        <w:t xml:space="preserve">, </w:t>
      </w:r>
      <w:r w:rsidRPr="001342E7">
        <w:rPr>
          <w:rFonts w:ascii="Aptos" w:eastAsia="MS Mincho" w:hAnsi="Aptos" w:cs="Arial"/>
        </w:rPr>
        <w:t>refugees and migrants with disabilities, indigenous persons,</w:t>
      </w:r>
      <w:r w:rsidR="00B72FA4" w:rsidRPr="001342E7">
        <w:t xml:space="preserve"> </w:t>
      </w:r>
      <w:r w:rsidR="00B72FA4" w:rsidRPr="001342E7">
        <w:rPr>
          <w:rFonts w:ascii="Aptos" w:eastAsia="MS Mincho" w:hAnsi="Aptos" w:cs="Arial"/>
        </w:rPr>
        <w:t>members of the LGBTIQ+ community,</w:t>
      </w:r>
      <w:r w:rsidR="0056275B" w:rsidRPr="001342E7">
        <w:rPr>
          <w:rFonts w:ascii="Aptos" w:eastAsia="MS Mincho" w:hAnsi="Aptos" w:cs="Arial"/>
        </w:rPr>
        <w:t xml:space="preserve"> older persons</w:t>
      </w:r>
      <w:r w:rsidRPr="001342E7">
        <w:rPr>
          <w:rFonts w:ascii="Aptos" w:eastAsia="MS Mincho" w:hAnsi="Aptos" w:cs="Arial"/>
        </w:rPr>
        <w:t xml:space="preserve"> and linguistic minorities. Intersectional approaches that consider multiple forms of discrimination are necessary to ensure inclusive development, which is also why development cooperation must include a </w:t>
      </w:r>
      <w:r w:rsidRPr="00223382">
        <w:rPr>
          <w:rFonts w:ascii="Aptos" w:eastAsia="MS Mincho" w:hAnsi="Aptos" w:cs="Arial"/>
          <w:b/>
          <w:bCs/>
        </w:rPr>
        <w:t>targeted approach</w:t>
      </w:r>
      <w:r w:rsidR="00953DD2" w:rsidRPr="001342E7">
        <w:rPr>
          <w:rFonts w:ascii="Aptos" w:eastAsia="MS Mincho" w:hAnsi="Aptos" w:cs="Arial"/>
        </w:rPr>
        <w:t>, including greater resourcing of OPDs who represent and work directly with marginalised groups.</w:t>
      </w:r>
    </w:p>
    <w:p w14:paraId="3AEC2680" w14:textId="374C4AE2" w:rsidR="00100D96" w:rsidRPr="001342E7" w:rsidRDefault="00100D96" w:rsidP="00100D96">
      <w:pPr>
        <w:numPr>
          <w:ilvl w:val="0"/>
          <w:numId w:val="2"/>
        </w:numPr>
        <w:spacing w:after="0" w:line="276" w:lineRule="auto"/>
        <w:contextualSpacing/>
        <w:rPr>
          <w:rFonts w:ascii="Aptos" w:eastAsia="MS Mincho" w:hAnsi="Aptos" w:cs="Arial"/>
          <w:b/>
          <w:bCs/>
        </w:rPr>
      </w:pPr>
      <w:r w:rsidRPr="001342E7">
        <w:rPr>
          <w:rFonts w:ascii="Aptos" w:eastAsia="MS Mincho" w:hAnsi="Aptos" w:cs="Arial"/>
          <w:b/>
          <w:bCs/>
        </w:rPr>
        <w:lastRenderedPageBreak/>
        <w:t>Gender-Based Violence and Reproductive Rights:</w:t>
      </w:r>
      <w:r w:rsidRPr="001342E7">
        <w:rPr>
          <w:rFonts w:ascii="Aptos" w:eastAsia="MS Mincho" w:hAnsi="Aptos" w:cs="Arial"/>
        </w:rPr>
        <w:t xml:space="preserve"> Addressing gender-based violence and ensuring sexual and reproductive </w:t>
      </w:r>
      <w:r w:rsidR="5B189201" w:rsidRPr="345B3298">
        <w:rPr>
          <w:rFonts w:ascii="Aptos" w:eastAsia="MS Mincho" w:hAnsi="Aptos" w:cs="Arial"/>
        </w:rPr>
        <w:t xml:space="preserve">health and </w:t>
      </w:r>
      <w:r w:rsidRPr="001342E7">
        <w:rPr>
          <w:rFonts w:ascii="Aptos" w:eastAsia="MS Mincho" w:hAnsi="Aptos" w:cs="Arial"/>
        </w:rPr>
        <w:t>rights for persons with disabilities are urgent priorities. This includes creating safe spaces, access to justice, and comprehensive support services. European international cooperation cannot overlook women and girls with disabilities</w:t>
      </w:r>
      <w:r w:rsidR="00223382">
        <w:rPr>
          <w:rFonts w:ascii="Aptos" w:eastAsia="MS Mincho" w:hAnsi="Aptos" w:cs="Arial"/>
        </w:rPr>
        <w:t xml:space="preserve"> in these discussions</w:t>
      </w:r>
      <w:r w:rsidRPr="001342E7">
        <w:rPr>
          <w:rFonts w:ascii="Aptos" w:eastAsia="MS Mincho" w:hAnsi="Aptos" w:cs="Arial"/>
        </w:rPr>
        <w:t>.</w:t>
      </w:r>
    </w:p>
    <w:p w14:paraId="2AC6ABE7" w14:textId="6F56E5EE" w:rsidR="00100D96" w:rsidRPr="001342E7" w:rsidRDefault="00100D96" w:rsidP="5BC7D23A">
      <w:pPr>
        <w:numPr>
          <w:ilvl w:val="0"/>
          <w:numId w:val="2"/>
        </w:numPr>
        <w:spacing w:after="0" w:line="276" w:lineRule="auto"/>
        <w:contextualSpacing/>
        <w:rPr>
          <w:rFonts w:ascii="Aptos" w:eastAsia="MS Mincho" w:hAnsi="Aptos" w:cs="Arial"/>
          <w:b/>
          <w:bCs/>
        </w:rPr>
      </w:pPr>
      <w:r w:rsidRPr="001342E7">
        <w:rPr>
          <w:rFonts w:ascii="Aptos" w:eastAsia="MS Mincho" w:hAnsi="Aptos" w:cs="Arial"/>
          <w:b/>
          <w:bCs/>
        </w:rPr>
        <w:t xml:space="preserve">Deaf Communities: </w:t>
      </w:r>
      <w:r w:rsidRPr="001342E7">
        <w:rPr>
          <w:rFonts w:ascii="Aptos" w:eastAsia="MS Mincho" w:hAnsi="Aptos" w:cs="Arial"/>
        </w:rPr>
        <w:t>Deaf individuals</w:t>
      </w:r>
      <w:r w:rsidR="5C4B0A14" w:rsidRPr="001342E7">
        <w:rPr>
          <w:rFonts w:ascii="Aptos" w:eastAsia="MS Mincho" w:hAnsi="Aptos" w:cs="Arial"/>
        </w:rPr>
        <w:t xml:space="preserve"> often </w:t>
      </w:r>
      <w:r w:rsidRPr="001342E7">
        <w:rPr>
          <w:rFonts w:ascii="Aptos" w:eastAsia="MS Mincho" w:hAnsi="Aptos" w:cs="Arial"/>
        </w:rPr>
        <w:t>face significant barriers due to language and accessibility issues. International efforts should focus on promoting Sign Language acquisition</w:t>
      </w:r>
      <w:r w:rsidR="008448A7" w:rsidRPr="001342E7">
        <w:rPr>
          <w:rFonts w:ascii="Aptos" w:eastAsia="MS Mincho" w:hAnsi="Aptos" w:cs="Arial"/>
        </w:rPr>
        <w:t xml:space="preserve"> for all</w:t>
      </w:r>
      <w:r w:rsidRPr="001342E7">
        <w:rPr>
          <w:rFonts w:ascii="Aptos" w:eastAsia="MS Mincho" w:hAnsi="Aptos" w:cs="Arial"/>
        </w:rPr>
        <w:t>, early intervention for deaf children and their families, and the recognition of national sign languages.</w:t>
      </w:r>
      <w:r w:rsidR="007830C4" w:rsidRPr="001342E7">
        <w:rPr>
          <w:rFonts w:ascii="Aptos" w:eastAsia="MS Mincho" w:hAnsi="Aptos" w:cs="Arial"/>
        </w:rPr>
        <w:t xml:space="preserve"> For example, to promote the inclusion of Deaf communities</w:t>
      </w:r>
      <w:r w:rsidR="0098399C" w:rsidRPr="001342E7">
        <w:rPr>
          <w:rFonts w:ascii="Aptos" w:eastAsia="MS Mincho" w:hAnsi="Aptos" w:cs="Arial"/>
        </w:rPr>
        <w:t xml:space="preserve"> States should</w:t>
      </w:r>
      <w:r w:rsidR="00BB1081" w:rsidRPr="001342E7">
        <w:rPr>
          <w:rFonts w:ascii="Aptos" w:eastAsia="MS Mincho" w:hAnsi="Aptos" w:cs="Arial"/>
        </w:rPr>
        <w:t>:</w:t>
      </w:r>
      <w:r w:rsidR="0098399C" w:rsidRPr="001342E7">
        <w:rPr>
          <w:rFonts w:ascii="Aptos" w:eastAsia="MS Mincho" w:hAnsi="Aptos" w:cs="Arial"/>
        </w:rPr>
        <w:t xml:space="preserve"> m</w:t>
      </w:r>
      <w:r w:rsidR="007830C4" w:rsidRPr="001342E7">
        <w:rPr>
          <w:rFonts w:ascii="Aptos" w:eastAsia="MS Mincho" w:hAnsi="Aptos" w:cs="Arial"/>
        </w:rPr>
        <w:t>andate the teaching of national sign languages (e.g., LSM) as a compulsory subject in all primary and secondary schools</w:t>
      </w:r>
      <w:r w:rsidR="0098399C" w:rsidRPr="001342E7">
        <w:rPr>
          <w:rFonts w:ascii="Aptos" w:eastAsia="MS Mincho" w:hAnsi="Aptos" w:cs="Arial"/>
        </w:rPr>
        <w:t>; p</w:t>
      </w:r>
      <w:r w:rsidR="007830C4" w:rsidRPr="001342E7">
        <w:rPr>
          <w:rFonts w:ascii="Aptos" w:eastAsia="MS Mincho" w:hAnsi="Aptos" w:cs="Arial"/>
        </w:rPr>
        <w:t>rovide free and accessible sign language courses for adults who did not learn it in school, utilising a variety of learning modalities (online, in-person, etc.)</w:t>
      </w:r>
      <w:r w:rsidR="0098399C" w:rsidRPr="001342E7">
        <w:rPr>
          <w:rFonts w:ascii="Aptos" w:eastAsia="MS Mincho" w:hAnsi="Aptos" w:cs="Arial"/>
        </w:rPr>
        <w:t xml:space="preserve">; </w:t>
      </w:r>
      <w:r w:rsidR="00C97C33">
        <w:rPr>
          <w:rFonts w:ascii="Aptos" w:eastAsia="MS Mincho" w:hAnsi="Aptos" w:cs="Arial"/>
        </w:rPr>
        <w:t>e</w:t>
      </w:r>
      <w:r w:rsidR="007830C4" w:rsidRPr="001342E7">
        <w:rPr>
          <w:rFonts w:ascii="Aptos" w:eastAsia="MS Mincho" w:hAnsi="Aptos" w:cs="Arial"/>
        </w:rPr>
        <w:t>nsure all educational materials and assessments are available in sign language</w:t>
      </w:r>
      <w:r w:rsidR="00C97C33">
        <w:rPr>
          <w:rFonts w:ascii="Aptos" w:eastAsia="MS Mincho" w:hAnsi="Aptos" w:cs="Arial"/>
        </w:rPr>
        <w:t xml:space="preserve"> and</w:t>
      </w:r>
      <w:r w:rsidR="007830C4" w:rsidRPr="001342E7">
        <w:rPr>
          <w:rFonts w:ascii="Aptos" w:eastAsia="MS Mincho" w:hAnsi="Aptos" w:cs="Arial"/>
        </w:rPr>
        <w:t xml:space="preserve"> </w:t>
      </w:r>
      <w:r w:rsidR="35577EAD" w:rsidRPr="345B3298">
        <w:rPr>
          <w:rFonts w:ascii="Aptos" w:eastAsia="MS Mincho" w:hAnsi="Aptos" w:cs="Arial"/>
        </w:rPr>
        <w:t>i</w:t>
      </w:r>
      <w:r w:rsidR="007830C4" w:rsidRPr="345B3298">
        <w:rPr>
          <w:rFonts w:ascii="Aptos" w:eastAsia="MS Mincho" w:hAnsi="Aptos" w:cs="Arial"/>
        </w:rPr>
        <w:t>nvest</w:t>
      </w:r>
      <w:r w:rsidR="007830C4" w:rsidRPr="001342E7">
        <w:rPr>
          <w:rFonts w:ascii="Aptos" w:eastAsia="MS Mincho" w:hAnsi="Aptos" w:cs="Arial"/>
        </w:rPr>
        <w:t xml:space="preserve"> in the training and certification of qualified sign language interpreters.  </w:t>
      </w:r>
    </w:p>
    <w:p w14:paraId="6C40FB7C" w14:textId="1405CD9F" w:rsidR="0031477A" w:rsidRPr="001F72C2" w:rsidRDefault="001F72C2" w:rsidP="001F72C2">
      <w:pPr>
        <w:pStyle w:val="Heading3"/>
        <w:rPr>
          <w:b/>
          <w:bCs/>
          <w:sz w:val="36"/>
          <w:szCs w:val="36"/>
        </w:rPr>
      </w:pPr>
      <w:bookmarkStart w:id="14" w:name="_Toc188445887"/>
      <w:r w:rsidRPr="001F72C2">
        <w:rPr>
          <w:b/>
          <w:bCs/>
        </w:rPr>
        <w:t xml:space="preserve">Recommendations: </w:t>
      </w:r>
      <w:r w:rsidR="00C64914" w:rsidRPr="001F72C2">
        <w:rPr>
          <w:b/>
          <w:bCs/>
        </w:rPr>
        <w:t>Inclusive International Cooperation &amp; Humanitarian Action</w:t>
      </w:r>
      <w:bookmarkEnd w:id="14"/>
      <w:r w:rsidR="009B4C37" w:rsidRPr="001F72C2">
        <w:rPr>
          <w:b/>
          <w:bCs/>
        </w:rPr>
        <w:t xml:space="preserve">  </w:t>
      </w:r>
    </w:p>
    <w:p w14:paraId="02CBE322" w14:textId="3E1B2178" w:rsidR="00FF70B3" w:rsidRPr="001F72C2" w:rsidRDefault="00C80FFD" w:rsidP="00FF70B3">
      <w:pPr>
        <w:rPr>
          <w:color w:val="000000" w:themeColor="text1"/>
        </w:rPr>
      </w:pPr>
      <w:r w:rsidRPr="001342E7">
        <w:t xml:space="preserve">Based on the </w:t>
      </w:r>
      <w:r w:rsidR="36971E7E" w:rsidRPr="001342E7">
        <w:t>above-mentioned</w:t>
      </w:r>
      <w:r w:rsidRPr="001342E7">
        <w:t xml:space="preserve"> urgent priorities related to disability-inclusive </w:t>
      </w:r>
      <w:r w:rsidR="00673198">
        <w:t xml:space="preserve">development, international cooperation </w:t>
      </w:r>
      <w:r w:rsidR="00FD07C3" w:rsidRPr="001342E7">
        <w:t xml:space="preserve">and humanitarian action, persons with disabilities and OPDs, wish to highlight the following </w:t>
      </w:r>
      <w:r w:rsidR="787D7CCD" w:rsidRPr="001342E7">
        <w:t>10</w:t>
      </w:r>
      <w:r w:rsidR="00FD07C3" w:rsidRPr="001342E7">
        <w:t xml:space="preserve"> recommendations to ensure the </w:t>
      </w:r>
      <w:r w:rsidR="00FD07C3" w:rsidRPr="001342E7">
        <w:rPr>
          <w:b/>
          <w:bCs/>
        </w:rPr>
        <w:t xml:space="preserve">future of Disability-Inclusive European International Cooperation and Humanitarian </w:t>
      </w:r>
      <w:r w:rsidR="00FD07C3" w:rsidRPr="22F8D1B5">
        <w:rPr>
          <w:b/>
          <w:bCs/>
        </w:rPr>
        <w:t>Action</w:t>
      </w:r>
      <w:r w:rsidR="00FD07C3" w:rsidRPr="001342E7">
        <w:rPr>
          <w:b/>
          <w:bCs/>
        </w:rPr>
        <w:t>:</w:t>
      </w:r>
    </w:p>
    <w:p w14:paraId="5EF8DA95" w14:textId="642C9C8C" w:rsidR="00687B71" w:rsidRPr="00D05035" w:rsidRDefault="00687B71" w:rsidP="00687B71">
      <w:pPr>
        <w:numPr>
          <w:ilvl w:val="0"/>
          <w:numId w:val="22"/>
        </w:numPr>
        <w:tabs>
          <w:tab w:val="left" w:pos="3969"/>
        </w:tabs>
        <w:contextualSpacing/>
        <w:rPr>
          <w:rFonts w:ascii="Aptos" w:eastAsia="MS Mincho" w:hAnsi="Aptos" w:cs="Arial"/>
          <w:color w:val="000000" w:themeColor="text1"/>
        </w:rPr>
      </w:pPr>
      <w:bookmarkStart w:id="15" w:name="_Hlk188434169"/>
      <w:r w:rsidRPr="00D05035">
        <w:rPr>
          <w:rFonts w:ascii="Aptos" w:eastAsia="MS Mincho" w:hAnsi="Aptos" w:cs="Arial"/>
          <w:b/>
          <w:color w:val="000000" w:themeColor="text1"/>
        </w:rPr>
        <w:t>Advocate for Consistency in Disability Rights Implementation:</w:t>
      </w:r>
      <w:bookmarkEnd w:id="15"/>
      <w:r w:rsidRPr="00D05035">
        <w:rPr>
          <w:rFonts w:ascii="Aptos" w:eastAsia="MS Mincho" w:hAnsi="Aptos" w:cs="Arial"/>
          <w:b/>
          <w:color w:val="000000" w:themeColor="text1"/>
        </w:rPr>
        <w:t xml:space="preserve"> </w:t>
      </w:r>
      <w:r w:rsidRPr="00D05035">
        <w:rPr>
          <w:rFonts w:ascii="Aptos" w:eastAsia="MS Mincho" w:hAnsi="Aptos" w:cs="Arial"/>
          <w:color w:val="000000" w:themeColor="text1"/>
        </w:rPr>
        <w:t xml:space="preserve">Address the </w:t>
      </w:r>
      <w:r w:rsidR="00673198">
        <w:rPr>
          <w:rFonts w:ascii="Aptos" w:eastAsia="MS Mincho" w:hAnsi="Aptos" w:cs="Arial"/>
          <w:color w:val="000000" w:themeColor="text1"/>
        </w:rPr>
        <w:t xml:space="preserve">inconsistency and </w:t>
      </w:r>
      <w:r w:rsidRPr="00D05035">
        <w:rPr>
          <w:rFonts w:ascii="Aptos" w:eastAsia="MS Mincho" w:hAnsi="Aptos" w:cs="Arial"/>
          <w:color w:val="000000" w:themeColor="text1"/>
        </w:rPr>
        <w:t xml:space="preserve">hypocrisy in Europe’s promotion of </w:t>
      </w:r>
      <w:r w:rsidR="49387503" w:rsidRPr="00D05035">
        <w:rPr>
          <w:rFonts w:ascii="Aptos" w:eastAsia="MS Mincho" w:hAnsi="Aptos" w:cs="Arial"/>
          <w:color w:val="000000" w:themeColor="text1"/>
        </w:rPr>
        <w:t>human</w:t>
      </w:r>
      <w:r w:rsidRPr="00D05035">
        <w:rPr>
          <w:rFonts w:ascii="Aptos" w:eastAsia="MS Mincho" w:hAnsi="Aptos" w:cs="Arial"/>
          <w:color w:val="000000" w:themeColor="text1"/>
        </w:rPr>
        <w:t xml:space="preserve"> rights abroad by ensuring </w:t>
      </w:r>
      <w:r w:rsidR="6BBB4D40" w:rsidRPr="00D05035">
        <w:rPr>
          <w:rFonts w:ascii="Aptos" w:eastAsia="MS Mincho" w:hAnsi="Aptos" w:cs="Arial"/>
          <w:color w:val="000000" w:themeColor="text1"/>
        </w:rPr>
        <w:t>human rights for all</w:t>
      </w:r>
      <w:r w:rsidR="1CF0C5A6" w:rsidRPr="00D05035">
        <w:rPr>
          <w:rFonts w:ascii="Aptos" w:eastAsia="MS Mincho" w:hAnsi="Aptos" w:cs="Arial"/>
          <w:color w:val="000000" w:themeColor="text1"/>
        </w:rPr>
        <w:t>, including disability rights</w:t>
      </w:r>
      <w:r w:rsidR="6BBB4D40" w:rsidRPr="00D05035">
        <w:rPr>
          <w:rFonts w:ascii="Aptos" w:eastAsia="MS Mincho" w:hAnsi="Aptos" w:cs="Arial"/>
          <w:color w:val="000000" w:themeColor="text1"/>
        </w:rPr>
        <w:t xml:space="preserve"> and</w:t>
      </w:r>
      <w:r w:rsidRPr="00D05035">
        <w:rPr>
          <w:rFonts w:ascii="Aptos" w:eastAsia="MS Mincho" w:hAnsi="Aptos" w:cs="Arial"/>
          <w:color w:val="000000" w:themeColor="text1"/>
        </w:rPr>
        <w:t xml:space="preserve"> full implementation of the UN Convention on the Rights of Persons with Disabilities within the region</w:t>
      </w:r>
      <w:r w:rsidR="4170C19D" w:rsidRPr="00D05035">
        <w:rPr>
          <w:rFonts w:ascii="Aptos" w:eastAsia="MS Mincho" w:hAnsi="Aptos" w:cs="Arial"/>
          <w:color w:val="000000" w:themeColor="text1"/>
        </w:rPr>
        <w:t xml:space="preserve"> by adopting an EU internal human rights strategy</w:t>
      </w:r>
      <w:r w:rsidRPr="00D05035">
        <w:rPr>
          <w:rFonts w:ascii="Aptos" w:eastAsia="MS Mincho" w:hAnsi="Aptos" w:cs="Arial"/>
          <w:color w:val="000000" w:themeColor="text1"/>
        </w:rPr>
        <w:t>. Lead by example in ending ableism, disability discrimination, and promoting equal rights both domestically and internationally.</w:t>
      </w:r>
    </w:p>
    <w:p w14:paraId="59392440" w14:textId="7F5D8BE1" w:rsidR="00687B71" w:rsidRDefault="00015EF0" w:rsidP="00687B71">
      <w:pPr>
        <w:numPr>
          <w:ilvl w:val="0"/>
          <w:numId w:val="22"/>
        </w:numPr>
        <w:contextualSpacing/>
        <w:rPr>
          <w:rFonts w:ascii="Aptos" w:eastAsia="MS Mincho" w:hAnsi="Aptos" w:cs="Arial"/>
          <w:color w:val="000000" w:themeColor="text1"/>
        </w:rPr>
      </w:pPr>
      <w:r w:rsidRPr="001F72C2">
        <w:rPr>
          <w:rFonts w:ascii="Aptos" w:eastAsia="MS Mincho" w:hAnsi="Aptos" w:cs="Arial"/>
          <w:b/>
          <w:bCs/>
          <w:color w:val="000000" w:themeColor="text1"/>
        </w:rPr>
        <w:t>Mainstream Disability Inclusion in Development Cooperation:</w:t>
      </w:r>
      <w:r w:rsidRPr="001F72C2">
        <w:rPr>
          <w:rFonts w:ascii="Aptos" w:eastAsia="MS Mincho" w:hAnsi="Aptos" w:cs="Arial"/>
          <w:color w:val="000000" w:themeColor="text1"/>
        </w:rPr>
        <w:t xml:space="preserve"> Fully </w:t>
      </w:r>
      <w:r w:rsidR="007B49F1" w:rsidRPr="001F72C2">
        <w:rPr>
          <w:rFonts w:ascii="Aptos" w:eastAsia="MS Mincho" w:hAnsi="Aptos" w:cs="Arial"/>
          <w:color w:val="000000" w:themeColor="text1"/>
        </w:rPr>
        <w:t>incorporate</w:t>
      </w:r>
      <w:r w:rsidRPr="001F72C2">
        <w:rPr>
          <w:rFonts w:ascii="Aptos" w:eastAsia="MS Mincho" w:hAnsi="Aptos" w:cs="Arial"/>
          <w:color w:val="000000" w:themeColor="text1"/>
        </w:rPr>
        <w:t xml:space="preserve"> inclusive development</w:t>
      </w:r>
      <w:r w:rsidR="00673198">
        <w:rPr>
          <w:rFonts w:ascii="Aptos" w:eastAsia="MS Mincho" w:hAnsi="Aptos" w:cs="Arial"/>
          <w:color w:val="000000" w:themeColor="text1"/>
        </w:rPr>
        <w:t xml:space="preserve"> practices</w:t>
      </w:r>
      <w:r w:rsidRPr="001F72C2">
        <w:rPr>
          <w:rFonts w:ascii="Aptos" w:eastAsia="MS Mincho" w:hAnsi="Aptos" w:cs="Arial"/>
          <w:color w:val="000000" w:themeColor="text1"/>
        </w:rPr>
        <w:t xml:space="preserve"> and a rights-based approach across all European international cooperation and humanitarian action</w:t>
      </w:r>
      <w:r w:rsidR="00673198">
        <w:rPr>
          <w:rFonts w:ascii="Aptos" w:eastAsia="MS Mincho" w:hAnsi="Aptos" w:cs="Arial"/>
          <w:color w:val="000000" w:themeColor="text1"/>
        </w:rPr>
        <w:t xml:space="preserve"> activities</w:t>
      </w:r>
      <w:r w:rsidRPr="001F72C2">
        <w:rPr>
          <w:rFonts w:ascii="Aptos" w:eastAsia="MS Mincho" w:hAnsi="Aptos" w:cs="Arial"/>
          <w:color w:val="000000" w:themeColor="text1"/>
        </w:rPr>
        <w:t xml:space="preserve">. This includes ensuring that disability </w:t>
      </w:r>
      <w:r w:rsidR="00EF0BD7" w:rsidRPr="001F72C2">
        <w:rPr>
          <w:rFonts w:ascii="Aptos" w:eastAsia="MS Mincho" w:hAnsi="Aptos" w:cs="Arial"/>
          <w:color w:val="000000" w:themeColor="text1"/>
        </w:rPr>
        <w:t xml:space="preserve">rights </w:t>
      </w:r>
      <w:r w:rsidRPr="001F72C2">
        <w:rPr>
          <w:rFonts w:ascii="Aptos" w:eastAsia="MS Mincho" w:hAnsi="Aptos" w:cs="Arial"/>
          <w:color w:val="000000" w:themeColor="text1"/>
        </w:rPr>
        <w:t>are embedded from the design to the implementation and evaluation of all program</w:t>
      </w:r>
      <w:r w:rsidR="00902187" w:rsidRPr="001F72C2">
        <w:rPr>
          <w:rFonts w:ascii="Aptos" w:eastAsia="MS Mincho" w:hAnsi="Aptos" w:cs="Arial"/>
          <w:color w:val="000000" w:themeColor="text1"/>
        </w:rPr>
        <w:t>me</w:t>
      </w:r>
      <w:r w:rsidRPr="001F72C2">
        <w:rPr>
          <w:rFonts w:ascii="Aptos" w:eastAsia="MS Mincho" w:hAnsi="Aptos" w:cs="Arial"/>
          <w:color w:val="000000" w:themeColor="text1"/>
        </w:rPr>
        <w:t>s, policies and projects.</w:t>
      </w:r>
      <w:r w:rsidR="0056092F" w:rsidRPr="001F72C2">
        <w:rPr>
          <w:color w:val="000000" w:themeColor="text1"/>
        </w:rPr>
        <w:t xml:space="preserve"> </w:t>
      </w:r>
    </w:p>
    <w:p w14:paraId="3133D225" w14:textId="77777777" w:rsidR="00687B71" w:rsidRDefault="00687B71" w:rsidP="00687B71">
      <w:pPr>
        <w:numPr>
          <w:ilvl w:val="0"/>
          <w:numId w:val="22"/>
        </w:numPr>
        <w:contextualSpacing/>
        <w:rPr>
          <w:rFonts w:ascii="Aptos" w:eastAsia="MS Mincho" w:hAnsi="Aptos" w:cs="Arial"/>
          <w:color w:val="000000" w:themeColor="text1"/>
        </w:rPr>
      </w:pPr>
      <w:r w:rsidRPr="00687B71">
        <w:rPr>
          <w:rFonts w:ascii="Aptos" w:eastAsia="MS Mincho" w:hAnsi="Aptos" w:cs="Arial"/>
          <w:b/>
          <w:bCs/>
          <w:color w:val="000000" w:themeColor="text1"/>
        </w:rPr>
        <w:t>Promote Local Leadership and OPD Participation:</w:t>
      </w:r>
      <w:r w:rsidRPr="00687B71">
        <w:rPr>
          <w:rFonts w:ascii="Aptos" w:eastAsia="MS Mincho" w:hAnsi="Aptos" w:cs="Arial"/>
          <w:color w:val="000000" w:themeColor="text1"/>
        </w:rPr>
        <w:t xml:space="preserve"> Strengthen the participation and leadership of OPDs from both urban and rural areas in decision-making processes. Ensure that OPDs have meaningful involvement in decision-making </w:t>
      </w:r>
      <w:r w:rsidRPr="00687B71">
        <w:rPr>
          <w:rFonts w:ascii="Aptos" w:eastAsia="MS Mincho" w:hAnsi="Aptos" w:cs="Arial"/>
          <w:color w:val="000000" w:themeColor="text1"/>
        </w:rPr>
        <w:lastRenderedPageBreak/>
        <w:t>about planning, implementation, and monitoring of development cooperation and humanitarian initiatives.</w:t>
      </w:r>
      <w:r w:rsidRPr="00687B71" w:rsidDel="00224556">
        <w:rPr>
          <w:rFonts w:ascii="Aptos" w:eastAsia="MS Mincho" w:hAnsi="Aptos" w:cs="Arial"/>
          <w:color w:val="000000" w:themeColor="text1"/>
        </w:rPr>
        <w:t xml:space="preserve"> </w:t>
      </w:r>
    </w:p>
    <w:p w14:paraId="76EF29A6" w14:textId="6E13CBBC" w:rsidR="00687B71" w:rsidRPr="00687B71" w:rsidRDefault="00687B71" w:rsidP="00687B71">
      <w:pPr>
        <w:numPr>
          <w:ilvl w:val="0"/>
          <w:numId w:val="22"/>
        </w:numPr>
        <w:contextualSpacing/>
        <w:rPr>
          <w:rFonts w:ascii="Aptos" w:eastAsia="MS Mincho" w:hAnsi="Aptos" w:cs="Arial"/>
          <w:color w:val="000000" w:themeColor="text1"/>
        </w:rPr>
      </w:pPr>
      <w:r w:rsidRPr="00687B71">
        <w:rPr>
          <w:rFonts w:ascii="Aptos" w:eastAsia="MS Mincho" w:hAnsi="Aptos" w:cs="Arial"/>
          <w:b/>
          <w:bCs/>
          <w:color w:val="000000" w:themeColor="text1"/>
        </w:rPr>
        <w:t xml:space="preserve">Increase Funding for OPDs and Disability Rights Movements: </w:t>
      </w:r>
      <w:r w:rsidRPr="00687B71">
        <w:rPr>
          <w:rFonts w:ascii="Aptos" w:eastAsia="MS Mincho" w:hAnsi="Aptos" w:cs="Arial"/>
          <w:color w:val="000000" w:themeColor="text1"/>
        </w:rPr>
        <w:t xml:space="preserve">Increase funding for OPDs and ensure it is more accessible, long-term, and more flexible so that it can be used in response to </w:t>
      </w:r>
      <w:r w:rsidRPr="00673198">
        <w:rPr>
          <w:rFonts w:ascii="Aptos" w:eastAsia="MS Mincho" w:hAnsi="Aptos" w:cs="Arial"/>
          <w:b/>
          <w:bCs/>
          <w:color w:val="000000" w:themeColor="text1"/>
        </w:rPr>
        <w:t>OPDs’ own priorities</w:t>
      </w:r>
      <w:r w:rsidRPr="00687B71">
        <w:rPr>
          <w:rFonts w:ascii="Aptos" w:eastAsia="MS Mincho" w:hAnsi="Aptos" w:cs="Arial"/>
          <w:color w:val="000000" w:themeColor="text1"/>
        </w:rPr>
        <w:t xml:space="preserve">, including financial, administrative and human resources capacities of OPDs and for strengthening the capacity and sustainability of organisations and disability movements. </w:t>
      </w:r>
      <w:r w:rsidRPr="345B3298">
        <w:rPr>
          <w:rFonts w:ascii="Aptos" w:eastAsia="MS Mincho" w:hAnsi="Aptos" w:cs="Arial"/>
          <w:color w:val="000000" w:themeColor="text1"/>
        </w:rPr>
        <w:t>Furthe</w:t>
      </w:r>
      <w:r w:rsidR="26A3852F" w:rsidRPr="345B3298">
        <w:rPr>
          <w:rFonts w:ascii="Aptos" w:eastAsia="MS Mincho" w:hAnsi="Aptos" w:cs="Arial"/>
          <w:color w:val="000000" w:themeColor="text1"/>
        </w:rPr>
        <w:t>r</w:t>
      </w:r>
      <w:r w:rsidRPr="00687B71">
        <w:rPr>
          <w:rFonts w:ascii="Aptos" w:eastAsia="MS Mincho" w:hAnsi="Aptos" w:cs="Arial"/>
          <w:color w:val="000000" w:themeColor="text1"/>
        </w:rPr>
        <w:t>, persons with disabilities and their OPDs should have more direct involvement in funding decisions that put local priorities at the heart of resource allocation through mechanisms such as participatory gran</w:t>
      </w:r>
      <w:r w:rsidR="00673198">
        <w:rPr>
          <w:rFonts w:ascii="Aptos" w:eastAsia="MS Mincho" w:hAnsi="Aptos" w:cs="Arial"/>
          <w:color w:val="000000" w:themeColor="text1"/>
        </w:rPr>
        <w:t>t-</w:t>
      </w:r>
      <w:r w:rsidRPr="00687B71">
        <w:rPr>
          <w:rFonts w:ascii="Aptos" w:eastAsia="MS Mincho" w:hAnsi="Aptos" w:cs="Arial"/>
          <w:color w:val="000000" w:themeColor="text1"/>
        </w:rPr>
        <w:t xml:space="preserve">making. </w:t>
      </w:r>
    </w:p>
    <w:p w14:paraId="39F2F447" w14:textId="77777777" w:rsidR="00687B71" w:rsidRDefault="00687B71" w:rsidP="00687B71">
      <w:pPr>
        <w:numPr>
          <w:ilvl w:val="0"/>
          <w:numId w:val="22"/>
        </w:numPr>
        <w:contextualSpacing/>
        <w:rPr>
          <w:rFonts w:ascii="Aptos" w:eastAsia="MS Mincho" w:hAnsi="Aptos" w:cs="Arial"/>
          <w:color w:val="000000" w:themeColor="text1"/>
        </w:rPr>
      </w:pPr>
      <w:r w:rsidRPr="00687B71">
        <w:rPr>
          <w:rFonts w:ascii="Aptos" w:eastAsia="MS Mincho" w:hAnsi="Aptos" w:cs="Arial"/>
          <w:b/>
          <w:bCs/>
          <w:color w:val="000000" w:themeColor="text1"/>
        </w:rPr>
        <w:t>Strengthen Protection Mechanisms for Persons with Disabilities in Conflict Zones and Humanitarian Crises including Climate Action:</w:t>
      </w:r>
      <w:r w:rsidRPr="00687B71">
        <w:rPr>
          <w:rFonts w:ascii="Aptos" w:eastAsia="MS Mincho" w:hAnsi="Aptos" w:cs="Arial"/>
          <w:color w:val="000000" w:themeColor="text1"/>
        </w:rPr>
        <w:t xml:space="preserve"> Increase funding for programmes that prioritise the safety and rights of persons with disabilities in conflict zones, humanitarian crises and natural disasters including climate action. Ensure OPDs are actively involved in the design and implementation of these programmes, particularly in creating accessible early warning systems, emergency response strategies, disaster risk reduction, support services (including mental health services) and climate action strategies. </w:t>
      </w:r>
    </w:p>
    <w:p w14:paraId="6DB45443" w14:textId="4D5A941C" w:rsidR="00687B71" w:rsidRPr="00D05035" w:rsidRDefault="00015EF0" w:rsidP="00687B71">
      <w:pPr>
        <w:numPr>
          <w:ilvl w:val="0"/>
          <w:numId w:val="22"/>
        </w:numPr>
        <w:contextualSpacing/>
        <w:rPr>
          <w:rFonts w:ascii="Aptos" w:eastAsia="Aptos" w:hAnsi="Aptos" w:cs="Aptos"/>
        </w:rPr>
      </w:pPr>
      <w:r w:rsidRPr="00D05035">
        <w:rPr>
          <w:rFonts w:ascii="Aptos" w:eastAsia="MS Mincho" w:hAnsi="Aptos" w:cs="Arial"/>
          <w:b/>
          <w:bCs/>
          <w:color w:val="000000" w:themeColor="text1"/>
        </w:rPr>
        <w:t>Support Deinstitutionali</w:t>
      </w:r>
      <w:r w:rsidR="006063F1" w:rsidRPr="00D05035">
        <w:rPr>
          <w:rFonts w:ascii="Aptos" w:eastAsia="MS Mincho" w:hAnsi="Aptos" w:cs="Arial"/>
          <w:b/>
          <w:bCs/>
          <w:color w:val="000000" w:themeColor="text1"/>
        </w:rPr>
        <w:t>s</w:t>
      </w:r>
      <w:r w:rsidRPr="00D05035">
        <w:rPr>
          <w:rFonts w:ascii="Aptos" w:eastAsia="MS Mincho" w:hAnsi="Aptos" w:cs="Arial"/>
          <w:b/>
          <w:bCs/>
          <w:color w:val="000000" w:themeColor="text1"/>
        </w:rPr>
        <w:t>ation and Independent Living:</w:t>
      </w:r>
      <w:r w:rsidRPr="00D05035">
        <w:rPr>
          <w:rFonts w:ascii="Aptos" w:eastAsia="MS Mincho" w:hAnsi="Aptos" w:cs="Arial"/>
          <w:color w:val="000000" w:themeColor="text1"/>
        </w:rPr>
        <w:t xml:space="preserve"> Allocate resources to promote community-based services </w:t>
      </w:r>
      <w:r w:rsidR="40C48951" w:rsidRPr="00D05035">
        <w:rPr>
          <w:rFonts w:ascii="Aptos" w:eastAsia="MS Mincho" w:hAnsi="Aptos" w:cs="Arial"/>
          <w:color w:val="000000" w:themeColor="text1"/>
        </w:rPr>
        <w:t xml:space="preserve">and family support </w:t>
      </w:r>
      <w:r w:rsidRPr="00D05035">
        <w:rPr>
          <w:rFonts w:ascii="Aptos" w:eastAsia="MS Mincho" w:hAnsi="Aptos" w:cs="Arial"/>
          <w:color w:val="000000" w:themeColor="text1"/>
        </w:rPr>
        <w:t>over institutional care, particularly in the context of EU accession processes. Prioriti</w:t>
      </w:r>
      <w:r w:rsidR="001D2AF2" w:rsidRPr="00D05035">
        <w:rPr>
          <w:rFonts w:ascii="Aptos" w:eastAsia="MS Mincho" w:hAnsi="Aptos" w:cs="Arial"/>
          <w:color w:val="000000" w:themeColor="text1"/>
        </w:rPr>
        <w:t>s</w:t>
      </w:r>
      <w:r w:rsidRPr="00D05035">
        <w:rPr>
          <w:rFonts w:ascii="Aptos" w:eastAsia="MS Mincho" w:hAnsi="Aptos" w:cs="Arial"/>
          <w:color w:val="000000" w:themeColor="text1"/>
        </w:rPr>
        <w:t>e deinstitutionali</w:t>
      </w:r>
      <w:r w:rsidR="006063F1" w:rsidRPr="00D05035">
        <w:rPr>
          <w:rFonts w:ascii="Aptos" w:eastAsia="MS Mincho" w:hAnsi="Aptos" w:cs="Arial"/>
          <w:color w:val="000000" w:themeColor="text1"/>
        </w:rPr>
        <w:t>s</w:t>
      </w:r>
      <w:r w:rsidRPr="00D05035">
        <w:rPr>
          <w:rFonts w:ascii="Aptos" w:eastAsia="MS Mincho" w:hAnsi="Aptos" w:cs="Arial"/>
          <w:color w:val="000000" w:themeColor="text1"/>
        </w:rPr>
        <w:t xml:space="preserve">ation as a key reform area, focusing </w:t>
      </w:r>
      <w:r w:rsidR="351A7A38" w:rsidRPr="00D05035">
        <w:rPr>
          <w:rFonts w:ascii="Aptos" w:eastAsia="MS Mincho" w:hAnsi="Aptos" w:cs="Arial"/>
          <w:color w:val="000000" w:themeColor="text1"/>
        </w:rPr>
        <w:t>community-based</w:t>
      </w:r>
      <w:r w:rsidR="7DA3C291" w:rsidRPr="00D05035">
        <w:rPr>
          <w:rFonts w:ascii="Aptos" w:eastAsia="MS Mincho" w:hAnsi="Aptos" w:cs="Arial"/>
          <w:color w:val="000000" w:themeColor="text1"/>
        </w:rPr>
        <w:t xml:space="preserve"> living, having the right to make one’s own decision and being support in making these decision</w:t>
      </w:r>
      <w:r w:rsidR="00D05035" w:rsidRPr="00D05035">
        <w:rPr>
          <w:rFonts w:ascii="Aptos" w:eastAsia="MS Mincho" w:hAnsi="Aptos" w:cs="Arial"/>
          <w:color w:val="000000" w:themeColor="text1"/>
        </w:rPr>
        <w:t>s</w:t>
      </w:r>
      <w:r w:rsidR="7DA3C291" w:rsidRPr="00D05035">
        <w:rPr>
          <w:rFonts w:ascii="Aptos" w:eastAsia="MS Mincho" w:hAnsi="Aptos" w:cs="Arial"/>
          <w:color w:val="000000" w:themeColor="text1"/>
        </w:rPr>
        <w:t>, including deciding</w:t>
      </w:r>
      <w:r w:rsidR="75E1F205" w:rsidRPr="00D05035">
        <w:rPr>
          <w:rFonts w:ascii="Aptos" w:eastAsia="Aptos" w:hAnsi="Aptos" w:cs="Aptos"/>
        </w:rPr>
        <w:t xml:space="preserve"> where and with whom to live. </w:t>
      </w:r>
    </w:p>
    <w:p w14:paraId="682171AA" w14:textId="20354639" w:rsidR="00687B71" w:rsidRDefault="00015EF0" w:rsidP="00687B71">
      <w:pPr>
        <w:numPr>
          <w:ilvl w:val="0"/>
          <w:numId w:val="22"/>
        </w:numPr>
        <w:contextualSpacing/>
        <w:rPr>
          <w:rFonts w:ascii="Aptos" w:eastAsia="MS Mincho" w:hAnsi="Aptos" w:cs="Arial"/>
          <w:color w:val="000000" w:themeColor="text1"/>
        </w:rPr>
      </w:pPr>
      <w:r w:rsidRPr="00687B71">
        <w:rPr>
          <w:rFonts w:ascii="Aptos" w:eastAsia="MS Mincho" w:hAnsi="Aptos" w:cs="Arial"/>
          <w:b/>
          <w:bCs/>
          <w:color w:val="000000" w:themeColor="text1"/>
        </w:rPr>
        <w:t>Advance Inclusive Education and Employment:</w:t>
      </w:r>
      <w:r w:rsidRPr="00687B71">
        <w:rPr>
          <w:rFonts w:ascii="Aptos" w:eastAsia="MS Mincho" w:hAnsi="Aptos" w:cs="Arial"/>
          <w:color w:val="000000" w:themeColor="text1"/>
        </w:rPr>
        <w:t xml:space="preserve"> Ensure that all education and employment initiatives funded by European international cooperation are fully </w:t>
      </w:r>
      <w:r w:rsidRPr="00273D16">
        <w:rPr>
          <w:rFonts w:ascii="Aptos" w:eastAsia="MS Mincho" w:hAnsi="Aptos" w:cs="Arial"/>
          <w:color w:val="000000" w:themeColor="text1"/>
        </w:rPr>
        <w:t>inclusive of persons with disabilities</w:t>
      </w:r>
      <w:r w:rsidR="0A646BE3" w:rsidRPr="00273D16">
        <w:rPr>
          <w:rFonts w:ascii="Aptos" w:eastAsia="MS Mincho" w:hAnsi="Aptos" w:cs="Arial"/>
          <w:color w:val="000000" w:themeColor="text1"/>
        </w:rPr>
        <w:t>, and that no EU funding is used to build segregated education facilities.</w:t>
      </w:r>
      <w:r w:rsidRPr="00273D16">
        <w:rPr>
          <w:rFonts w:ascii="Aptos" w:eastAsia="MS Mincho" w:hAnsi="Aptos" w:cs="Arial"/>
          <w:color w:val="000000" w:themeColor="text1"/>
        </w:rPr>
        <w:t xml:space="preserve"> This includes supporting inclusive </w:t>
      </w:r>
      <w:r w:rsidR="0013753A" w:rsidRPr="00273D16">
        <w:rPr>
          <w:rFonts w:ascii="Aptos" w:eastAsia="MS Mincho" w:hAnsi="Aptos" w:cs="Arial"/>
          <w:color w:val="000000" w:themeColor="text1"/>
        </w:rPr>
        <w:t xml:space="preserve">mainstream </w:t>
      </w:r>
      <w:r w:rsidRPr="00273D16">
        <w:rPr>
          <w:rFonts w:ascii="Aptos" w:eastAsia="MS Mincho" w:hAnsi="Aptos" w:cs="Arial"/>
          <w:color w:val="000000" w:themeColor="text1"/>
        </w:rPr>
        <w:t>education systems</w:t>
      </w:r>
      <w:r w:rsidR="13DB2543" w:rsidRPr="00273D16">
        <w:rPr>
          <w:rFonts w:ascii="Aptos" w:eastAsia="MS Mincho" w:hAnsi="Aptos" w:cs="Arial"/>
          <w:color w:val="000000" w:themeColor="text1"/>
        </w:rPr>
        <w:t>, including training teachers and all relevant professionals regarding disability rights</w:t>
      </w:r>
      <w:r w:rsidRPr="00273D16">
        <w:rPr>
          <w:rFonts w:ascii="Aptos" w:eastAsia="MS Mincho" w:hAnsi="Aptos" w:cs="Arial"/>
          <w:color w:val="000000" w:themeColor="text1"/>
        </w:rPr>
        <w:t xml:space="preserve"> and promoting equal employment opportunities through accessible workplace</w:t>
      </w:r>
      <w:r w:rsidR="006D255E" w:rsidRPr="00273D16">
        <w:rPr>
          <w:rFonts w:ascii="Aptos" w:eastAsia="MS Mincho" w:hAnsi="Aptos" w:cs="Arial"/>
          <w:color w:val="000000" w:themeColor="text1"/>
        </w:rPr>
        <w:t>s in the open labour market</w:t>
      </w:r>
      <w:r w:rsidR="006D255E" w:rsidRPr="00687B71">
        <w:rPr>
          <w:rFonts w:ascii="Aptos" w:eastAsia="MS Mincho" w:hAnsi="Aptos" w:cs="Arial"/>
          <w:color w:val="000000" w:themeColor="text1"/>
        </w:rPr>
        <w:t>, while</w:t>
      </w:r>
      <w:r w:rsidR="006063F1" w:rsidRPr="00687B71">
        <w:rPr>
          <w:rFonts w:ascii="Aptos" w:eastAsia="MS Mincho" w:hAnsi="Aptos" w:cs="Arial"/>
          <w:color w:val="000000" w:themeColor="text1"/>
        </w:rPr>
        <w:t xml:space="preserve"> also</w:t>
      </w:r>
      <w:r w:rsidR="006D255E" w:rsidRPr="00687B71">
        <w:rPr>
          <w:rFonts w:ascii="Aptos" w:eastAsia="MS Mincho" w:hAnsi="Aptos" w:cs="Arial"/>
          <w:color w:val="000000" w:themeColor="text1"/>
        </w:rPr>
        <w:t xml:space="preserve"> guaranteeing</w:t>
      </w:r>
      <w:r w:rsidRPr="00687B71">
        <w:rPr>
          <w:rFonts w:ascii="Aptos" w:eastAsia="MS Mincho" w:hAnsi="Aptos" w:cs="Arial"/>
          <w:color w:val="000000" w:themeColor="text1"/>
        </w:rPr>
        <w:t xml:space="preserve"> non-discrimination against persons with disabilities.</w:t>
      </w:r>
    </w:p>
    <w:p w14:paraId="0C282AAB" w14:textId="77777777" w:rsidR="00687B71" w:rsidRDefault="00687B71" w:rsidP="00687B71">
      <w:pPr>
        <w:numPr>
          <w:ilvl w:val="0"/>
          <w:numId w:val="22"/>
        </w:numPr>
        <w:contextualSpacing/>
        <w:rPr>
          <w:rFonts w:ascii="Aptos" w:eastAsia="MS Mincho" w:hAnsi="Aptos" w:cs="Arial"/>
          <w:color w:val="000000" w:themeColor="text1"/>
        </w:rPr>
      </w:pPr>
      <w:r w:rsidRPr="00687B71">
        <w:rPr>
          <w:rFonts w:ascii="Aptos" w:eastAsia="MS Mincho" w:hAnsi="Aptos" w:cs="Arial"/>
          <w:b/>
          <w:bCs/>
          <w:color w:val="000000" w:themeColor="text1"/>
        </w:rPr>
        <w:t>Promote Accessibility, Safety and Acceptance in All Sectors:</w:t>
      </w:r>
      <w:r w:rsidRPr="00687B71">
        <w:rPr>
          <w:rFonts w:ascii="Aptos" w:eastAsia="MS Mincho" w:hAnsi="Aptos" w:cs="Arial"/>
          <w:color w:val="000000" w:themeColor="text1"/>
        </w:rPr>
        <w:t xml:space="preserve"> Fund and implement initiatives that ensure accessibility in transportation, education, health care including mental health, employment, technology, public infrastructure, climate action and other critical areas. This includes both physical accessibility and digital inclusion.</w:t>
      </w:r>
      <w:r w:rsidRPr="00687B71">
        <w:rPr>
          <w:color w:val="000000" w:themeColor="text1"/>
        </w:rPr>
        <w:t xml:space="preserve"> </w:t>
      </w:r>
      <w:r w:rsidRPr="00687B71">
        <w:rPr>
          <w:rFonts w:ascii="Aptos" w:eastAsia="MS Mincho" w:hAnsi="Aptos" w:cs="Arial"/>
          <w:color w:val="000000" w:themeColor="text1"/>
        </w:rPr>
        <w:t xml:space="preserve">Ensure State guarantees for the safety of accessible spaces </w:t>
      </w:r>
      <w:r w:rsidRPr="00687B71">
        <w:rPr>
          <w:rFonts w:ascii="Aptos" w:eastAsia="MS Mincho" w:hAnsi="Aptos" w:cs="Arial"/>
          <w:color w:val="000000" w:themeColor="text1"/>
        </w:rPr>
        <w:lastRenderedPageBreak/>
        <w:t>created for persons with disabilities during the implementation of programmes, policies, and projects.</w:t>
      </w:r>
    </w:p>
    <w:p w14:paraId="00604C94" w14:textId="77777777" w:rsidR="00687B71" w:rsidRDefault="00015EF0" w:rsidP="00687B71">
      <w:pPr>
        <w:numPr>
          <w:ilvl w:val="0"/>
          <w:numId w:val="22"/>
        </w:numPr>
        <w:contextualSpacing/>
        <w:rPr>
          <w:rFonts w:ascii="Aptos" w:eastAsia="MS Mincho" w:hAnsi="Aptos" w:cs="Arial"/>
          <w:color w:val="000000" w:themeColor="text1"/>
        </w:rPr>
      </w:pPr>
      <w:r w:rsidRPr="00687B71">
        <w:rPr>
          <w:rFonts w:ascii="Aptos" w:eastAsia="MS Mincho" w:hAnsi="Aptos" w:cs="Arial"/>
          <w:b/>
          <w:bCs/>
          <w:color w:val="000000" w:themeColor="text1"/>
        </w:rPr>
        <w:t>Enhance Data Collection for Evidence-Based Policy:</w:t>
      </w:r>
      <w:r w:rsidRPr="00687B71">
        <w:rPr>
          <w:rFonts w:ascii="Aptos" w:eastAsia="MS Mincho" w:hAnsi="Aptos" w:cs="Arial"/>
          <w:color w:val="000000" w:themeColor="text1"/>
        </w:rPr>
        <w:t xml:space="preserve"> Improve the collection and use of disaggregated data by disability, gender, and </w:t>
      </w:r>
      <w:r w:rsidR="004B70AF" w:rsidRPr="00687B71">
        <w:rPr>
          <w:rFonts w:ascii="Aptos" w:eastAsia="MS Mincho" w:hAnsi="Aptos" w:cs="Arial"/>
          <w:color w:val="000000" w:themeColor="text1"/>
        </w:rPr>
        <w:t>age</w:t>
      </w:r>
      <w:r w:rsidRPr="00687B71">
        <w:rPr>
          <w:rFonts w:ascii="Aptos" w:eastAsia="MS Mincho" w:hAnsi="Aptos" w:cs="Arial"/>
          <w:color w:val="000000" w:themeColor="text1"/>
        </w:rPr>
        <w:t>. This data is essential for informed policymaking, effective resource allocation, and the monitoring of progress toward disability inclusion.</w:t>
      </w:r>
      <w:r w:rsidR="007402F0" w:rsidRPr="00687B71">
        <w:rPr>
          <w:color w:val="000000" w:themeColor="text1"/>
        </w:rPr>
        <w:t xml:space="preserve"> </w:t>
      </w:r>
      <w:r w:rsidR="007402F0" w:rsidRPr="00687B71">
        <w:rPr>
          <w:rFonts w:ascii="Aptos" w:eastAsia="MS Mincho" w:hAnsi="Aptos" w:cs="Arial"/>
          <w:color w:val="000000" w:themeColor="text1"/>
        </w:rPr>
        <w:t xml:space="preserve">To ensure efficient and comparable data collection on disability, States should consider developing harmonised data collection protocols and guidelines based on the Washington Group Set of Questions to ensure consistency across data collection methods, establish a central repository for standardised disability data across all States, and invest in data management training for data collectors and analysts.  </w:t>
      </w:r>
    </w:p>
    <w:p w14:paraId="5CA4A3A7" w14:textId="1F189B8F" w:rsidR="00015EF0" w:rsidRPr="00687B71" w:rsidRDefault="00015EF0" w:rsidP="00687B71">
      <w:pPr>
        <w:numPr>
          <w:ilvl w:val="0"/>
          <w:numId w:val="22"/>
        </w:numPr>
        <w:contextualSpacing/>
        <w:rPr>
          <w:rFonts w:ascii="Aptos" w:eastAsia="MS Mincho" w:hAnsi="Aptos" w:cs="Arial"/>
          <w:color w:val="000000" w:themeColor="text1"/>
        </w:rPr>
      </w:pPr>
      <w:r w:rsidRPr="00687B71">
        <w:rPr>
          <w:rFonts w:ascii="Aptos" w:eastAsia="MS Mincho" w:hAnsi="Aptos" w:cs="Arial"/>
          <w:b/>
          <w:bCs/>
          <w:color w:val="000000" w:themeColor="text1"/>
        </w:rPr>
        <w:t>Implement Gender and Intersectionality Approaches:</w:t>
      </w:r>
      <w:r w:rsidRPr="00687B71">
        <w:rPr>
          <w:rFonts w:ascii="Aptos" w:eastAsia="MS Mincho" w:hAnsi="Aptos" w:cs="Arial"/>
          <w:color w:val="000000" w:themeColor="text1"/>
        </w:rPr>
        <w:t xml:space="preserve"> Prioriti</w:t>
      </w:r>
      <w:r w:rsidR="00752784" w:rsidRPr="00687B71">
        <w:rPr>
          <w:rFonts w:ascii="Aptos" w:eastAsia="MS Mincho" w:hAnsi="Aptos" w:cs="Arial"/>
          <w:color w:val="000000" w:themeColor="text1"/>
        </w:rPr>
        <w:t>s</w:t>
      </w:r>
      <w:r w:rsidRPr="00687B71">
        <w:rPr>
          <w:rFonts w:ascii="Aptos" w:eastAsia="MS Mincho" w:hAnsi="Aptos" w:cs="Arial"/>
          <w:color w:val="000000" w:themeColor="text1"/>
        </w:rPr>
        <w:t xml:space="preserve">e the </w:t>
      </w:r>
      <w:r w:rsidR="007A6D20" w:rsidRPr="00687B71">
        <w:rPr>
          <w:rFonts w:ascii="Aptos" w:eastAsia="MS Mincho" w:hAnsi="Aptos" w:cs="Arial"/>
          <w:color w:val="000000" w:themeColor="text1"/>
        </w:rPr>
        <w:t xml:space="preserve">rights </w:t>
      </w:r>
      <w:r w:rsidRPr="00687B71">
        <w:rPr>
          <w:rFonts w:ascii="Aptos" w:eastAsia="MS Mincho" w:hAnsi="Aptos" w:cs="Arial"/>
          <w:color w:val="000000" w:themeColor="text1"/>
        </w:rPr>
        <w:t>of marginali</w:t>
      </w:r>
      <w:r w:rsidR="00752784" w:rsidRPr="00687B71">
        <w:rPr>
          <w:rFonts w:ascii="Aptos" w:eastAsia="MS Mincho" w:hAnsi="Aptos" w:cs="Arial"/>
          <w:color w:val="000000" w:themeColor="text1"/>
        </w:rPr>
        <w:t>s</w:t>
      </w:r>
      <w:r w:rsidRPr="00687B71">
        <w:rPr>
          <w:rFonts w:ascii="Aptos" w:eastAsia="MS Mincho" w:hAnsi="Aptos" w:cs="Arial"/>
          <w:color w:val="000000" w:themeColor="text1"/>
        </w:rPr>
        <w:t>ed groups by incorporating intersectional approaches in all policies and program</w:t>
      </w:r>
      <w:r w:rsidR="00752784" w:rsidRPr="00687B71">
        <w:rPr>
          <w:rFonts w:ascii="Aptos" w:eastAsia="MS Mincho" w:hAnsi="Aptos" w:cs="Arial"/>
          <w:color w:val="000000" w:themeColor="text1"/>
        </w:rPr>
        <w:t>me</w:t>
      </w:r>
      <w:r w:rsidRPr="00687B71">
        <w:rPr>
          <w:rFonts w:ascii="Aptos" w:eastAsia="MS Mincho" w:hAnsi="Aptos" w:cs="Arial"/>
          <w:color w:val="000000" w:themeColor="text1"/>
        </w:rPr>
        <w:t xml:space="preserve">s. Address gender-based violence, </w:t>
      </w:r>
      <w:r w:rsidR="41E19ACD" w:rsidRPr="22F8D1B5">
        <w:rPr>
          <w:rFonts w:ascii="Aptos" w:eastAsia="MS Mincho" w:hAnsi="Aptos" w:cs="Arial"/>
          <w:color w:val="000000" w:themeColor="text1"/>
        </w:rPr>
        <w:t xml:space="preserve">coercion, </w:t>
      </w:r>
      <w:r w:rsidRPr="00687B71">
        <w:rPr>
          <w:rFonts w:ascii="Aptos" w:eastAsia="MS Mincho" w:hAnsi="Aptos" w:cs="Arial"/>
          <w:color w:val="000000" w:themeColor="text1"/>
        </w:rPr>
        <w:t>reproductive rights, and promote the recognition of national sign languages.</w:t>
      </w:r>
    </w:p>
    <w:p w14:paraId="535C9B5C" w14:textId="77777777" w:rsidR="0077734D" w:rsidRDefault="0077734D" w:rsidP="00C01E85"/>
    <w:sectPr w:rsidR="0077734D" w:rsidSect="00FE282A">
      <w:footerReference w:type="default" r:id="rId30"/>
      <w:headerReference w:type="first" r:id="rId31"/>
      <w:footerReference w:type="first" r:id="rId32"/>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B0B9" w14:textId="77777777" w:rsidR="00B60373" w:rsidRPr="001342E7" w:rsidRDefault="00B60373" w:rsidP="003E73C6">
      <w:pPr>
        <w:spacing w:after="0" w:line="240" w:lineRule="auto"/>
      </w:pPr>
      <w:r w:rsidRPr="001342E7">
        <w:separator/>
      </w:r>
    </w:p>
  </w:endnote>
  <w:endnote w:type="continuationSeparator" w:id="0">
    <w:p w14:paraId="72E66CF4" w14:textId="77777777" w:rsidR="00B60373" w:rsidRPr="001342E7" w:rsidRDefault="00B60373" w:rsidP="003E73C6">
      <w:pPr>
        <w:spacing w:after="0" w:line="240" w:lineRule="auto"/>
      </w:pPr>
      <w:r w:rsidRPr="001342E7">
        <w:continuationSeparator/>
      </w:r>
    </w:p>
  </w:endnote>
  <w:endnote w:type="continuationNotice" w:id="1">
    <w:p w14:paraId="3F693553" w14:textId="77777777" w:rsidR="00B60373" w:rsidRPr="001342E7" w:rsidRDefault="00B60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544916"/>
      <w:docPartObj>
        <w:docPartGallery w:val="Page Numbers (Bottom of Page)"/>
        <w:docPartUnique/>
      </w:docPartObj>
    </w:sdtPr>
    <w:sdtEndPr/>
    <w:sdtContent>
      <w:p w14:paraId="24735DFC" w14:textId="67FCFC90" w:rsidR="003E73C6" w:rsidRPr="001342E7" w:rsidRDefault="003E73C6">
        <w:pPr>
          <w:pStyle w:val="Footer"/>
          <w:jc w:val="center"/>
        </w:pPr>
        <w:r w:rsidRPr="001342E7">
          <w:fldChar w:fldCharType="begin"/>
        </w:r>
        <w:r w:rsidRPr="001342E7">
          <w:instrText xml:space="preserve"> PAGE   \* MERGEFORMAT </w:instrText>
        </w:r>
        <w:r w:rsidRPr="001342E7">
          <w:fldChar w:fldCharType="separate"/>
        </w:r>
        <w:r w:rsidRPr="001342E7">
          <w:t>2</w:t>
        </w:r>
        <w:r w:rsidRPr="001342E7">
          <w:fldChar w:fldCharType="end"/>
        </w:r>
      </w:p>
    </w:sdtContent>
  </w:sdt>
  <w:p w14:paraId="1B3C9F4C" w14:textId="77777777" w:rsidR="003E73C6" w:rsidRPr="001342E7" w:rsidRDefault="003E7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07EE" w14:textId="15B8DF1B" w:rsidR="00FD26FC" w:rsidRPr="001342E7" w:rsidRDefault="00FD26FC" w:rsidP="00FD26FC">
    <w:pPr>
      <w:pStyle w:val="Footer"/>
    </w:pPr>
  </w:p>
  <w:p w14:paraId="4BB7F8B4" w14:textId="128200AA" w:rsidR="00FD26FC" w:rsidRPr="00FD26FC" w:rsidRDefault="00FD26FC" w:rsidP="00FD26FC">
    <w:pPr>
      <w:pStyle w:val="Footer"/>
    </w:pPr>
  </w:p>
  <w:p w14:paraId="3ED79104" w14:textId="13483FF9" w:rsidR="00FD26FC" w:rsidRPr="001342E7" w:rsidRDefault="00FD26FC" w:rsidP="00FD2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5054" w14:textId="77777777" w:rsidR="00B60373" w:rsidRPr="001342E7" w:rsidRDefault="00B60373" w:rsidP="003E73C6">
      <w:pPr>
        <w:spacing w:after="0" w:line="240" w:lineRule="auto"/>
      </w:pPr>
      <w:r w:rsidRPr="001342E7">
        <w:separator/>
      </w:r>
    </w:p>
  </w:footnote>
  <w:footnote w:type="continuationSeparator" w:id="0">
    <w:p w14:paraId="5E46A925" w14:textId="77777777" w:rsidR="00B60373" w:rsidRPr="001342E7" w:rsidRDefault="00B60373" w:rsidP="003E73C6">
      <w:pPr>
        <w:spacing w:after="0" w:line="240" w:lineRule="auto"/>
      </w:pPr>
      <w:r w:rsidRPr="001342E7">
        <w:continuationSeparator/>
      </w:r>
    </w:p>
  </w:footnote>
  <w:footnote w:type="continuationNotice" w:id="1">
    <w:p w14:paraId="778A69B5" w14:textId="77777777" w:rsidR="00B60373" w:rsidRPr="001342E7" w:rsidRDefault="00B60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E097" w14:textId="167006DE" w:rsidR="00714911" w:rsidRPr="001342E7" w:rsidRDefault="00714911" w:rsidP="00AA0E83">
    <w:pPr>
      <w:pStyle w:val="Header"/>
      <w:rPr>
        <w14:ligatures w14:val="standardContextual"/>
      </w:rPr>
    </w:pPr>
  </w:p>
  <w:p w14:paraId="4B212F6B" w14:textId="2C4DAF88" w:rsidR="00BE33CD" w:rsidRPr="001342E7" w:rsidRDefault="00BE33CD" w:rsidP="00AA0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7C7"/>
    <w:multiLevelType w:val="hybridMultilevel"/>
    <w:tmpl w:val="2320F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06014"/>
    <w:multiLevelType w:val="hybridMultilevel"/>
    <w:tmpl w:val="1242CE16"/>
    <w:lvl w:ilvl="0" w:tplc="D0723712">
      <w:start w:val="1"/>
      <w:numFmt w:val="decimal"/>
      <w:lvlText w:val="%1."/>
      <w:lvlJc w:val="left"/>
      <w:pPr>
        <w:ind w:left="1080" w:hanging="360"/>
      </w:pPr>
      <w:rPr>
        <w:rFonts w:hint="default"/>
        <w:b w:val="0"/>
        <w:b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1234F8"/>
    <w:multiLevelType w:val="hybridMultilevel"/>
    <w:tmpl w:val="9DEA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F5971"/>
    <w:multiLevelType w:val="hybridMultilevel"/>
    <w:tmpl w:val="17DE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65225"/>
    <w:multiLevelType w:val="multilevel"/>
    <w:tmpl w:val="30EA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3334C"/>
    <w:multiLevelType w:val="multilevel"/>
    <w:tmpl w:val="3E10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12751"/>
    <w:multiLevelType w:val="multilevel"/>
    <w:tmpl w:val="0512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DB3465"/>
    <w:multiLevelType w:val="multilevel"/>
    <w:tmpl w:val="7DB4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71BD5"/>
    <w:multiLevelType w:val="multilevel"/>
    <w:tmpl w:val="034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916D7"/>
    <w:multiLevelType w:val="hybridMultilevel"/>
    <w:tmpl w:val="DEF6087A"/>
    <w:lvl w:ilvl="0" w:tplc="AAF61EC2">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F503E"/>
    <w:multiLevelType w:val="hybridMultilevel"/>
    <w:tmpl w:val="4CFCEE2C"/>
    <w:lvl w:ilvl="0" w:tplc="20000001">
      <w:start w:val="1"/>
      <w:numFmt w:val="bullet"/>
      <w:lvlText w:val=""/>
      <w:lvlJc w:val="left"/>
      <w:pPr>
        <w:ind w:left="1485" w:hanging="360"/>
      </w:pPr>
      <w:rPr>
        <w:rFonts w:ascii="Symbol" w:hAnsi="Symbol" w:hint="default"/>
      </w:rPr>
    </w:lvl>
    <w:lvl w:ilvl="1" w:tplc="20000003" w:tentative="1">
      <w:start w:val="1"/>
      <w:numFmt w:val="bullet"/>
      <w:lvlText w:val="o"/>
      <w:lvlJc w:val="left"/>
      <w:pPr>
        <w:ind w:left="2205" w:hanging="360"/>
      </w:pPr>
      <w:rPr>
        <w:rFonts w:ascii="Courier New" w:hAnsi="Courier New" w:cs="Courier New" w:hint="default"/>
      </w:rPr>
    </w:lvl>
    <w:lvl w:ilvl="2" w:tplc="20000005" w:tentative="1">
      <w:start w:val="1"/>
      <w:numFmt w:val="bullet"/>
      <w:lvlText w:val=""/>
      <w:lvlJc w:val="left"/>
      <w:pPr>
        <w:ind w:left="2925" w:hanging="360"/>
      </w:pPr>
      <w:rPr>
        <w:rFonts w:ascii="Wingdings" w:hAnsi="Wingdings" w:hint="default"/>
      </w:rPr>
    </w:lvl>
    <w:lvl w:ilvl="3" w:tplc="20000001" w:tentative="1">
      <w:start w:val="1"/>
      <w:numFmt w:val="bullet"/>
      <w:lvlText w:val=""/>
      <w:lvlJc w:val="left"/>
      <w:pPr>
        <w:ind w:left="3645" w:hanging="360"/>
      </w:pPr>
      <w:rPr>
        <w:rFonts w:ascii="Symbol" w:hAnsi="Symbol" w:hint="default"/>
      </w:rPr>
    </w:lvl>
    <w:lvl w:ilvl="4" w:tplc="20000003" w:tentative="1">
      <w:start w:val="1"/>
      <w:numFmt w:val="bullet"/>
      <w:lvlText w:val="o"/>
      <w:lvlJc w:val="left"/>
      <w:pPr>
        <w:ind w:left="4365" w:hanging="360"/>
      </w:pPr>
      <w:rPr>
        <w:rFonts w:ascii="Courier New" w:hAnsi="Courier New" w:cs="Courier New" w:hint="default"/>
      </w:rPr>
    </w:lvl>
    <w:lvl w:ilvl="5" w:tplc="20000005" w:tentative="1">
      <w:start w:val="1"/>
      <w:numFmt w:val="bullet"/>
      <w:lvlText w:val=""/>
      <w:lvlJc w:val="left"/>
      <w:pPr>
        <w:ind w:left="5085" w:hanging="360"/>
      </w:pPr>
      <w:rPr>
        <w:rFonts w:ascii="Wingdings" w:hAnsi="Wingdings" w:hint="default"/>
      </w:rPr>
    </w:lvl>
    <w:lvl w:ilvl="6" w:tplc="20000001" w:tentative="1">
      <w:start w:val="1"/>
      <w:numFmt w:val="bullet"/>
      <w:lvlText w:val=""/>
      <w:lvlJc w:val="left"/>
      <w:pPr>
        <w:ind w:left="5805" w:hanging="360"/>
      </w:pPr>
      <w:rPr>
        <w:rFonts w:ascii="Symbol" w:hAnsi="Symbol" w:hint="default"/>
      </w:rPr>
    </w:lvl>
    <w:lvl w:ilvl="7" w:tplc="20000003" w:tentative="1">
      <w:start w:val="1"/>
      <w:numFmt w:val="bullet"/>
      <w:lvlText w:val="o"/>
      <w:lvlJc w:val="left"/>
      <w:pPr>
        <w:ind w:left="6525" w:hanging="360"/>
      </w:pPr>
      <w:rPr>
        <w:rFonts w:ascii="Courier New" w:hAnsi="Courier New" w:cs="Courier New" w:hint="default"/>
      </w:rPr>
    </w:lvl>
    <w:lvl w:ilvl="8" w:tplc="20000005" w:tentative="1">
      <w:start w:val="1"/>
      <w:numFmt w:val="bullet"/>
      <w:lvlText w:val=""/>
      <w:lvlJc w:val="left"/>
      <w:pPr>
        <w:ind w:left="7245" w:hanging="360"/>
      </w:pPr>
      <w:rPr>
        <w:rFonts w:ascii="Wingdings" w:hAnsi="Wingdings" w:hint="default"/>
      </w:rPr>
    </w:lvl>
  </w:abstractNum>
  <w:abstractNum w:abstractNumId="11" w15:restartNumberingAfterBreak="0">
    <w:nsid w:val="3E5A536B"/>
    <w:multiLevelType w:val="multilevel"/>
    <w:tmpl w:val="C8C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1B7CD7"/>
    <w:multiLevelType w:val="hybridMultilevel"/>
    <w:tmpl w:val="412CA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55020F"/>
    <w:multiLevelType w:val="hybridMultilevel"/>
    <w:tmpl w:val="DEF6087A"/>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82335C"/>
    <w:multiLevelType w:val="multilevel"/>
    <w:tmpl w:val="22C4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D5655"/>
    <w:multiLevelType w:val="hybridMultilevel"/>
    <w:tmpl w:val="DD7A40AA"/>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B4380C"/>
    <w:multiLevelType w:val="hybridMultilevel"/>
    <w:tmpl w:val="BD864100"/>
    <w:lvl w:ilvl="0" w:tplc="51D4C9AE">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E6E0B"/>
    <w:multiLevelType w:val="multilevel"/>
    <w:tmpl w:val="B5C6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2C773A"/>
    <w:multiLevelType w:val="multilevel"/>
    <w:tmpl w:val="9BE8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E7488"/>
    <w:multiLevelType w:val="hybridMultilevel"/>
    <w:tmpl w:val="9670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470A5"/>
    <w:multiLevelType w:val="multilevel"/>
    <w:tmpl w:val="5D1A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7F1925"/>
    <w:multiLevelType w:val="multilevel"/>
    <w:tmpl w:val="D2A6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3C3234"/>
    <w:multiLevelType w:val="hybridMultilevel"/>
    <w:tmpl w:val="E1762180"/>
    <w:lvl w:ilvl="0" w:tplc="8E583278">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EA75FA"/>
    <w:multiLevelType w:val="hybridMultilevel"/>
    <w:tmpl w:val="F6547EA2"/>
    <w:lvl w:ilvl="0" w:tplc="8426357A">
      <w:start w:val="1"/>
      <w:numFmt w:val="bullet"/>
      <w:lvlText w:val="-"/>
      <w:lvlJc w:val="left"/>
      <w:pPr>
        <w:ind w:left="720" w:hanging="360"/>
      </w:pPr>
      <w:rPr>
        <w:rFonts w:ascii="Aptos" w:eastAsiaTheme="minorEastAsia" w:hAnsi="Aptos"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623794">
    <w:abstractNumId w:val="9"/>
  </w:num>
  <w:num w:numId="2" w16cid:durableId="785739747">
    <w:abstractNumId w:val="23"/>
  </w:num>
  <w:num w:numId="3" w16cid:durableId="1110514010">
    <w:abstractNumId w:val="5"/>
  </w:num>
  <w:num w:numId="4" w16cid:durableId="1426536290">
    <w:abstractNumId w:val="17"/>
  </w:num>
  <w:num w:numId="5" w16cid:durableId="21252279">
    <w:abstractNumId w:val="7"/>
  </w:num>
  <w:num w:numId="6" w16cid:durableId="1221675372">
    <w:abstractNumId w:val="21"/>
  </w:num>
  <w:num w:numId="7" w16cid:durableId="1927297822">
    <w:abstractNumId w:val="11"/>
  </w:num>
  <w:num w:numId="8" w16cid:durableId="656156574">
    <w:abstractNumId w:val="0"/>
  </w:num>
  <w:num w:numId="9" w16cid:durableId="1520849286">
    <w:abstractNumId w:val="12"/>
  </w:num>
  <w:num w:numId="10" w16cid:durableId="388722560">
    <w:abstractNumId w:val="1"/>
  </w:num>
  <w:num w:numId="11" w16cid:durableId="471753679">
    <w:abstractNumId w:val="10"/>
  </w:num>
  <w:num w:numId="12" w16cid:durableId="35086669">
    <w:abstractNumId w:val="20"/>
  </w:num>
  <w:num w:numId="13" w16cid:durableId="57293692">
    <w:abstractNumId w:val="6"/>
  </w:num>
  <w:num w:numId="14" w16cid:durableId="1899318511">
    <w:abstractNumId w:val="16"/>
  </w:num>
  <w:num w:numId="15" w16cid:durableId="2069187978">
    <w:abstractNumId w:val="22"/>
  </w:num>
  <w:num w:numId="16" w16cid:durableId="629670270">
    <w:abstractNumId w:val="8"/>
  </w:num>
  <w:num w:numId="17" w16cid:durableId="1050109013">
    <w:abstractNumId w:val="18"/>
  </w:num>
  <w:num w:numId="18" w16cid:durableId="1806043972">
    <w:abstractNumId w:val="14"/>
  </w:num>
  <w:num w:numId="19" w16cid:durableId="880633576">
    <w:abstractNumId w:val="3"/>
  </w:num>
  <w:num w:numId="20" w16cid:durableId="1358046570">
    <w:abstractNumId w:val="2"/>
  </w:num>
  <w:num w:numId="21" w16cid:durableId="1720351772">
    <w:abstractNumId w:val="4"/>
  </w:num>
  <w:num w:numId="22" w16cid:durableId="984549510">
    <w:abstractNumId w:val="15"/>
  </w:num>
  <w:num w:numId="23" w16cid:durableId="909147677">
    <w:abstractNumId w:val="13"/>
  </w:num>
  <w:num w:numId="24" w16cid:durableId="7975751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8D"/>
    <w:rsid w:val="00001FA6"/>
    <w:rsid w:val="00002FB2"/>
    <w:rsid w:val="00012472"/>
    <w:rsid w:val="000143AD"/>
    <w:rsid w:val="00014CC3"/>
    <w:rsid w:val="00015EF0"/>
    <w:rsid w:val="00020B58"/>
    <w:rsid w:val="00020D27"/>
    <w:rsid w:val="00020F7D"/>
    <w:rsid w:val="00026062"/>
    <w:rsid w:val="000269A2"/>
    <w:rsid w:val="00027568"/>
    <w:rsid w:val="00027893"/>
    <w:rsid w:val="00032A51"/>
    <w:rsid w:val="000357FA"/>
    <w:rsid w:val="00036462"/>
    <w:rsid w:val="00037D49"/>
    <w:rsid w:val="00042A89"/>
    <w:rsid w:val="000434B0"/>
    <w:rsid w:val="00046C62"/>
    <w:rsid w:val="0005482A"/>
    <w:rsid w:val="000564AD"/>
    <w:rsid w:val="00060A06"/>
    <w:rsid w:val="0006171C"/>
    <w:rsid w:val="00061E64"/>
    <w:rsid w:val="0006400A"/>
    <w:rsid w:val="00067866"/>
    <w:rsid w:val="00067C2E"/>
    <w:rsid w:val="000706A6"/>
    <w:rsid w:val="00081536"/>
    <w:rsid w:val="00082B1A"/>
    <w:rsid w:val="00086563"/>
    <w:rsid w:val="000A04CB"/>
    <w:rsid w:val="000A186B"/>
    <w:rsid w:val="000A4F1C"/>
    <w:rsid w:val="000A7185"/>
    <w:rsid w:val="000C3D45"/>
    <w:rsid w:val="000C4A7E"/>
    <w:rsid w:val="000C5E32"/>
    <w:rsid w:val="000C66F1"/>
    <w:rsid w:val="000D0393"/>
    <w:rsid w:val="000D319D"/>
    <w:rsid w:val="000D36D3"/>
    <w:rsid w:val="000E06C7"/>
    <w:rsid w:val="000E2C51"/>
    <w:rsid w:val="000F59A2"/>
    <w:rsid w:val="00100D96"/>
    <w:rsid w:val="00105B63"/>
    <w:rsid w:val="00107E63"/>
    <w:rsid w:val="00112506"/>
    <w:rsid w:val="001162FE"/>
    <w:rsid w:val="00120AD9"/>
    <w:rsid w:val="001342E7"/>
    <w:rsid w:val="00135576"/>
    <w:rsid w:val="0013753A"/>
    <w:rsid w:val="0014080A"/>
    <w:rsid w:val="0014116E"/>
    <w:rsid w:val="001424D1"/>
    <w:rsid w:val="0015050C"/>
    <w:rsid w:val="001706DB"/>
    <w:rsid w:val="0017173D"/>
    <w:rsid w:val="00174B29"/>
    <w:rsid w:val="001842A3"/>
    <w:rsid w:val="00184AAD"/>
    <w:rsid w:val="001908E4"/>
    <w:rsid w:val="00190BBB"/>
    <w:rsid w:val="00194258"/>
    <w:rsid w:val="001963A1"/>
    <w:rsid w:val="001A1B4C"/>
    <w:rsid w:val="001A63F9"/>
    <w:rsid w:val="001B39BB"/>
    <w:rsid w:val="001C566F"/>
    <w:rsid w:val="001C5FED"/>
    <w:rsid w:val="001D26B9"/>
    <w:rsid w:val="001D2AF2"/>
    <w:rsid w:val="001D409B"/>
    <w:rsid w:val="001D4435"/>
    <w:rsid w:val="001D49E5"/>
    <w:rsid w:val="001D5C26"/>
    <w:rsid w:val="001E3D7C"/>
    <w:rsid w:val="001E4420"/>
    <w:rsid w:val="001E45F7"/>
    <w:rsid w:val="001E491C"/>
    <w:rsid w:val="001E7B26"/>
    <w:rsid w:val="001F15C4"/>
    <w:rsid w:val="001F72C2"/>
    <w:rsid w:val="00202C99"/>
    <w:rsid w:val="002054B4"/>
    <w:rsid w:val="002133BD"/>
    <w:rsid w:val="00213DCE"/>
    <w:rsid w:val="00223382"/>
    <w:rsid w:val="00224556"/>
    <w:rsid w:val="002322D6"/>
    <w:rsid w:val="00235C0B"/>
    <w:rsid w:val="0024100B"/>
    <w:rsid w:val="0024260E"/>
    <w:rsid w:val="00244F60"/>
    <w:rsid w:val="0024656E"/>
    <w:rsid w:val="0025053E"/>
    <w:rsid w:val="002566B6"/>
    <w:rsid w:val="00261174"/>
    <w:rsid w:val="00265E33"/>
    <w:rsid w:val="00267C62"/>
    <w:rsid w:val="00272F70"/>
    <w:rsid w:val="002732E3"/>
    <w:rsid w:val="00273D16"/>
    <w:rsid w:val="0027457B"/>
    <w:rsid w:val="00276053"/>
    <w:rsid w:val="0027619E"/>
    <w:rsid w:val="0027685B"/>
    <w:rsid w:val="00277DA1"/>
    <w:rsid w:val="0028384B"/>
    <w:rsid w:val="00283E60"/>
    <w:rsid w:val="00290272"/>
    <w:rsid w:val="00294361"/>
    <w:rsid w:val="002A1854"/>
    <w:rsid w:val="002A2EDC"/>
    <w:rsid w:val="002B47BD"/>
    <w:rsid w:val="002C15EC"/>
    <w:rsid w:val="002C2560"/>
    <w:rsid w:val="002C303E"/>
    <w:rsid w:val="002C3938"/>
    <w:rsid w:val="002D36F8"/>
    <w:rsid w:val="002D6963"/>
    <w:rsid w:val="002E24B1"/>
    <w:rsid w:val="002F0546"/>
    <w:rsid w:val="002F10F2"/>
    <w:rsid w:val="002F1195"/>
    <w:rsid w:val="002F6DB8"/>
    <w:rsid w:val="002F7ED5"/>
    <w:rsid w:val="00302AEB"/>
    <w:rsid w:val="003073E4"/>
    <w:rsid w:val="0031477A"/>
    <w:rsid w:val="003149A5"/>
    <w:rsid w:val="00314AFD"/>
    <w:rsid w:val="0031529A"/>
    <w:rsid w:val="00315B66"/>
    <w:rsid w:val="00316CD8"/>
    <w:rsid w:val="0031738D"/>
    <w:rsid w:val="00317AF8"/>
    <w:rsid w:val="00320CD9"/>
    <w:rsid w:val="0032145F"/>
    <w:rsid w:val="00321B8C"/>
    <w:rsid w:val="003243A6"/>
    <w:rsid w:val="003300E0"/>
    <w:rsid w:val="0033BA26"/>
    <w:rsid w:val="00344EC0"/>
    <w:rsid w:val="003458C7"/>
    <w:rsid w:val="00346269"/>
    <w:rsid w:val="00346854"/>
    <w:rsid w:val="003527AE"/>
    <w:rsid w:val="00355A51"/>
    <w:rsid w:val="00357306"/>
    <w:rsid w:val="003619B4"/>
    <w:rsid w:val="0036565D"/>
    <w:rsid w:val="00367C0C"/>
    <w:rsid w:val="00374102"/>
    <w:rsid w:val="00381DB9"/>
    <w:rsid w:val="003A18F7"/>
    <w:rsid w:val="003A669B"/>
    <w:rsid w:val="003B158F"/>
    <w:rsid w:val="003B1D0F"/>
    <w:rsid w:val="003B5C15"/>
    <w:rsid w:val="003B7224"/>
    <w:rsid w:val="003C12AD"/>
    <w:rsid w:val="003C60DD"/>
    <w:rsid w:val="003D14CE"/>
    <w:rsid w:val="003D1C95"/>
    <w:rsid w:val="003E047E"/>
    <w:rsid w:val="003E4596"/>
    <w:rsid w:val="003E4EEF"/>
    <w:rsid w:val="003E5749"/>
    <w:rsid w:val="003E73C6"/>
    <w:rsid w:val="003F0E52"/>
    <w:rsid w:val="004120F0"/>
    <w:rsid w:val="004121E9"/>
    <w:rsid w:val="0041394A"/>
    <w:rsid w:val="00415389"/>
    <w:rsid w:val="004202AC"/>
    <w:rsid w:val="0042173A"/>
    <w:rsid w:val="0042512C"/>
    <w:rsid w:val="0043026E"/>
    <w:rsid w:val="004306F7"/>
    <w:rsid w:val="00432E86"/>
    <w:rsid w:val="004347A0"/>
    <w:rsid w:val="00435263"/>
    <w:rsid w:val="004402BC"/>
    <w:rsid w:val="00447563"/>
    <w:rsid w:val="00450277"/>
    <w:rsid w:val="00452232"/>
    <w:rsid w:val="00460CD8"/>
    <w:rsid w:val="00463F41"/>
    <w:rsid w:val="0046712E"/>
    <w:rsid w:val="004679F7"/>
    <w:rsid w:val="0047039A"/>
    <w:rsid w:val="00476FB1"/>
    <w:rsid w:val="00477AC2"/>
    <w:rsid w:val="00481D62"/>
    <w:rsid w:val="00482DDB"/>
    <w:rsid w:val="00487790"/>
    <w:rsid w:val="004879D4"/>
    <w:rsid w:val="00495256"/>
    <w:rsid w:val="0049628C"/>
    <w:rsid w:val="004966DF"/>
    <w:rsid w:val="00496C07"/>
    <w:rsid w:val="00496D07"/>
    <w:rsid w:val="004B0C62"/>
    <w:rsid w:val="004B5B4F"/>
    <w:rsid w:val="004B5E97"/>
    <w:rsid w:val="004B70AF"/>
    <w:rsid w:val="004C1DC2"/>
    <w:rsid w:val="004C3203"/>
    <w:rsid w:val="004C4AEA"/>
    <w:rsid w:val="004C57F8"/>
    <w:rsid w:val="004D1CE7"/>
    <w:rsid w:val="004D49DD"/>
    <w:rsid w:val="004D5D9E"/>
    <w:rsid w:val="004D7036"/>
    <w:rsid w:val="004D7D1F"/>
    <w:rsid w:val="004E17B7"/>
    <w:rsid w:val="004E5210"/>
    <w:rsid w:val="004F18A3"/>
    <w:rsid w:val="004F4495"/>
    <w:rsid w:val="004F724F"/>
    <w:rsid w:val="00501AEB"/>
    <w:rsid w:val="00501DE4"/>
    <w:rsid w:val="00507B89"/>
    <w:rsid w:val="0051386A"/>
    <w:rsid w:val="00514199"/>
    <w:rsid w:val="005177E5"/>
    <w:rsid w:val="00521CA7"/>
    <w:rsid w:val="005226EC"/>
    <w:rsid w:val="005243C2"/>
    <w:rsid w:val="00524B6B"/>
    <w:rsid w:val="00525D4B"/>
    <w:rsid w:val="005276DF"/>
    <w:rsid w:val="0053013C"/>
    <w:rsid w:val="00530277"/>
    <w:rsid w:val="00530830"/>
    <w:rsid w:val="00532EBA"/>
    <w:rsid w:val="0053453A"/>
    <w:rsid w:val="00537E24"/>
    <w:rsid w:val="005477C1"/>
    <w:rsid w:val="005503A2"/>
    <w:rsid w:val="005536AF"/>
    <w:rsid w:val="005550C6"/>
    <w:rsid w:val="0056092F"/>
    <w:rsid w:val="0056275B"/>
    <w:rsid w:val="005678DE"/>
    <w:rsid w:val="00567D1D"/>
    <w:rsid w:val="00570258"/>
    <w:rsid w:val="0057548D"/>
    <w:rsid w:val="0058112A"/>
    <w:rsid w:val="0058162F"/>
    <w:rsid w:val="005867BB"/>
    <w:rsid w:val="0058732C"/>
    <w:rsid w:val="005901DB"/>
    <w:rsid w:val="005917C3"/>
    <w:rsid w:val="005940BB"/>
    <w:rsid w:val="00596F8D"/>
    <w:rsid w:val="005A182D"/>
    <w:rsid w:val="005A3636"/>
    <w:rsid w:val="005B02A0"/>
    <w:rsid w:val="005B4F29"/>
    <w:rsid w:val="005C30F9"/>
    <w:rsid w:val="005C45BE"/>
    <w:rsid w:val="005D09A0"/>
    <w:rsid w:val="005D0B91"/>
    <w:rsid w:val="005D1078"/>
    <w:rsid w:val="005D2998"/>
    <w:rsid w:val="005D2EB0"/>
    <w:rsid w:val="005D5F92"/>
    <w:rsid w:val="005E2151"/>
    <w:rsid w:val="005E2240"/>
    <w:rsid w:val="005F2112"/>
    <w:rsid w:val="005F24EC"/>
    <w:rsid w:val="005F3A7E"/>
    <w:rsid w:val="005F47F8"/>
    <w:rsid w:val="005F580C"/>
    <w:rsid w:val="00604F6F"/>
    <w:rsid w:val="006063F1"/>
    <w:rsid w:val="00606B94"/>
    <w:rsid w:val="00610D0B"/>
    <w:rsid w:val="00615E3F"/>
    <w:rsid w:val="00620546"/>
    <w:rsid w:val="00621F09"/>
    <w:rsid w:val="00632AB3"/>
    <w:rsid w:val="00640056"/>
    <w:rsid w:val="00644443"/>
    <w:rsid w:val="006500D7"/>
    <w:rsid w:val="0065261F"/>
    <w:rsid w:val="0065401D"/>
    <w:rsid w:val="00656A30"/>
    <w:rsid w:val="006605DA"/>
    <w:rsid w:val="00660E25"/>
    <w:rsid w:val="00661F2D"/>
    <w:rsid w:val="00662002"/>
    <w:rsid w:val="00665AFB"/>
    <w:rsid w:val="00670179"/>
    <w:rsid w:val="00673198"/>
    <w:rsid w:val="00674581"/>
    <w:rsid w:val="00676085"/>
    <w:rsid w:val="006778AA"/>
    <w:rsid w:val="00677F51"/>
    <w:rsid w:val="00680CE5"/>
    <w:rsid w:val="00681542"/>
    <w:rsid w:val="006826B7"/>
    <w:rsid w:val="00685B45"/>
    <w:rsid w:val="006860EA"/>
    <w:rsid w:val="00687B71"/>
    <w:rsid w:val="00687BC9"/>
    <w:rsid w:val="00690130"/>
    <w:rsid w:val="006A6F28"/>
    <w:rsid w:val="006C01AB"/>
    <w:rsid w:val="006C31BC"/>
    <w:rsid w:val="006C4641"/>
    <w:rsid w:val="006C79CD"/>
    <w:rsid w:val="006D1E8F"/>
    <w:rsid w:val="006D255E"/>
    <w:rsid w:val="006D7E71"/>
    <w:rsid w:val="006E2394"/>
    <w:rsid w:val="006E607A"/>
    <w:rsid w:val="006F259E"/>
    <w:rsid w:val="006F3C50"/>
    <w:rsid w:val="007004EA"/>
    <w:rsid w:val="00705716"/>
    <w:rsid w:val="00705C9F"/>
    <w:rsid w:val="00705EB1"/>
    <w:rsid w:val="007129BB"/>
    <w:rsid w:val="00714911"/>
    <w:rsid w:val="00716FC6"/>
    <w:rsid w:val="007363C4"/>
    <w:rsid w:val="00736991"/>
    <w:rsid w:val="007402F0"/>
    <w:rsid w:val="00752784"/>
    <w:rsid w:val="00752952"/>
    <w:rsid w:val="00754006"/>
    <w:rsid w:val="007601AA"/>
    <w:rsid w:val="00761518"/>
    <w:rsid w:val="00762384"/>
    <w:rsid w:val="007652B0"/>
    <w:rsid w:val="007668D1"/>
    <w:rsid w:val="00770EAA"/>
    <w:rsid w:val="007769B1"/>
    <w:rsid w:val="0077734D"/>
    <w:rsid w:val="00782BEE"/>
    <w:rsid w:val="007830C4"/>
    <w:rsid w:val="00784084"/>
    <w:rsid w:val="00790B33"/>
    <w:rsid w:val="00797770"/>
    <w:rsid w:val="007A1CD3"/>
    <w:rsid w:val="007A2A7C"/>
    <w:rsid w:val="007A2D5B"/>
    <w:rsid w:val="007A6937"/>
    <w:rsid w:val="007A6D20"/>
    <w:rsid w:val="007B49F1"/>
    <w:rsid w:val="007B5396"/>
    <w:rsid w:val="007C04CE"/>
    <w:rsid w:val="007C19A7"/>
    <w:rsid w:val="007C6607"/>
    <w:rsid w:val="007D0BD2"/>
    <w:rsid w:val="007D50E5"/>
    <w:rsid w:val="007D609E"/>
    <w:rsid w:val="007D7056"/>
    <w:rsid w:val="007D706D"/>
    <w:rsid w:val="007E4F96"/>
    <w:rsid w:val="007F2C89"/>
    <w:rsid w:val="007F74A8"/>
    <w:rsid w:val="00806B55"/>
    <w:rsid w:val="00811EAE"/>
    <w:rsid w:val="00813770"/>
    <w:rsid w:val="00813A40"/>
    <w:rsid w:val="00817B47"/>
    <w:rsid w:val="00820B20"/>
    <w:rsid w:val="00824CC8"/>
    <w:rsid w:val="00825B0E"/>
    <w:rsid w:val="00831815"/>
    <w:rsid w:val="00831E48"/>
    <w:rsid w:val="00832362"/>
    <w:rsid w:val="0083437D"/>
    <w:rsid w:val="0083464A"/>
    <w:rsid w:val="008366E2"/>
    <w:rsid w:val="008448A7"/>
    <w:rsid w:val="00847DDD"/>
    <w:rsid w:val="00850777"/>
    <w:rsid w:val="008511C7"/>
    <w:rsid w:val="00863C4B"/>
    <w:rsid w:val="00864266"/>
    <w:rsid w:val="008708AC"/>
    <w:rsid w:val="00872D5F"/>
    <w:rsid w:val="00873AD4"/>
    <w:rsid w:val="0087420C"/>
    <w:rsid w:val="00874867"/>
    <w:rsid w:val="008748D9"/>
    <w:rsid w:val="00883023"/>
    <w:rsid w:val="00885DE0"/>
    <w:rsid w:val="008951C1"/>
    <w:rsid w:val="00895BCB"/>
    <w:rsid w:val="00896268"/>
    <w:rsid w:val="008A059F"/>
    <w:rsid w:val="008A347C"/>
    <w:rsid w:val="008B36B1"/>
    <w:rsid w:val="008C0A0F"/>
    <w:rsid w:val="008C5685"/>
    <w:rsid w:val="008D154E"/>
    <w:rsid w:val="008D330C"/>
    <w:rsid w:val="008D3774"/>
    <w:rsid w:val="008D4154"/>
    <w:rsid w:val="008D4420"/>
    <w:rsid w:val="008D7963"/>
    <w:rsid w:val="008E41C9"/>
    <w:rsid w:val="008E7F4A"/>
    <w:rsid w:val="008F0D86"/>
    <w:rsid w:val="00900F43"/>
    <w:rsid w:val="00902187"/>
    <w:rsid w:val="0091033C"/>
    <w:rsid w:val="00914B20"/>
    <w:rsid w:val="00914DE7"/>
    <w:rsid w:val="009151B7"/>
    <w:rsid w:val="009160EF"/>
    <w:rsid w:val="009173ED"/>
    <w:rsid w:val="0092395C"/>
    <w:rsid w:val="00924C4C"/>
    <w:rsid w:val="00926834"/>
    <w:rsid w:val="009314C6"/>
    <w:rsid w:val="00931D1B"/>
    <w:rsid w:val="00932F9F"/>
    <w:rsid w:val="00934B17"/>
    <w:rsid w:val="00937707"/>
    <w:rsid w:val="00953DD2"/>
    <w:rsid w:val="0095520C"/>
    <w:rsid w:val="0096334A"/>
    <w:rsid w:val="00963822"/>
    <w:rsid w:val="0096418A"/>
    <w:rsid w:val="00967750"/>
    <w:rsid w:val="00972966"/>
    <w:rsid w:val="0097331C"/>
    <w:rsid w:val="00974BB8"/>
    <w:rsid w:val="00980914"/>
    <w:rsid w:val="00982243"/>
    <w:rsid w:val="0098399C"/>
    <w:rsid w:val="00996791"/>
    <w:rsid w:val="009A4504"/>
    <w:rsid w:val="009A4733"/>
    <w:rsid w:val="009A6F97"/>
    <w:rsid w:val="009B13AF"/>
    <w:rsid w:val="009B37EE"/>
    <w:rsid w:val="009B4C37"/>
    <w:rsid w:val="009C2BEB"/>
    <w:rsid w:val="009C548F"/>
    <w:rsid w:val="009D17EE"/>
    <w:rsid w:val="009D41AF"/>
    <w:rsid w:val="009E19D1"/>
    <w:rsid w:val="009E2C59"/>
    <w:rsid w:val="009E309B"/>
    <w:rsid w:val="009E3B7E"/>
    <w:rsid w:val="009F0B92"/>
    <w:rsid w:val="009F0C97"/>
    <w:rsid w:val="009F2AD5"/>
    <w:rsid w:val="009F44DA"/>
    <w:rsid w:val="009F64BB"/>
    <w:rsid w:val="00A000E6"/>
    <w:rsid w:val="00A1358E"/>
    <w:rsid w:val="00A23426"/>
    <w:rsid w:val="00A24F02"/>
    <w:rsid w:val="00A30853"/>
    <w:rsid w:val="00A30A01"/>
    <w:rsid w:val="00A37688"/>
    <w:rsid w:val="00A42C23"/>
    <w:rsid w:val="00A53790"/>
    <w:rsid w:val="00A54DC7"/>
    <w:rsid w:val="00A57D59"/>
    <w:rsid w:val="00A72C48"/>
    <w:rsid w:val="00A72F15"/>
    <w:rsid w:val="00A7381F"/>
    <w:rsid w:val="00A8632E"/>
    <w:rsid w:val="00A90C8C"/>
    <w:rsid w:val="00A93F23"/>
    <w:rsid w:val="00AA0E02"/>
    <w:rsid w:val="00AA0E83"/>
    <w:rsid w:val="00AA7420"/>
    <w:rsid w:val="00AB0FDB"/>
    <w:rsid w:val="00AB657A"/>
    <w:rsid w:val="00AB7D9C"/>
    <w:rsid w:val="00AC233A"/>
    <w:rsid w:val="00AC2A93"/>
    <w:rsid w:val="00AC494C"/>
    <w:rsid w:val="00AC5414"/>
    <w:rsid w:val="00AD5257"/>
    <w:rsid w:val="00AD5873"/>
    <w:rsid w:val="00AE3039"/>
    <w:rsid w:val="00AE3180"/>
    <w:rsid w:val="00AE6A72"/>
    <w:rsid w:val="00AF0D76"/>
    <w:rsid w:val="00AF2218"/>
    <w:rsid w:val="00AF3685"/>
    <w:rsid w:val="00AF4715"/>
    <w:rsid w:val="00AF543A"/>
    <w:rsid w:val="00AF5E49"/>
    <w:rsid w:val="00AF7830"/>
    <w:rsid w:val="00B006E1"/>
    <w:rsid w:val="00B1343F"/>
    <w:rsid w:val="00B156D5"/>
    <w:rsid w:val="00B17514"/>
    <w:rsid w:val="00B308BF"/>
    <w:rsid w:val="00B31D5A"/>
    <w:rsid w:val="00B33846"/>
    <w:rsid w:val="00B5179A"/>
    <w:rsid w:val="00B52263"/>
    <w:rsid w:val="00B52300"/>
    <w:rsid w:val="00B52B11"/>
    <w:rsid w:val="00B57EFB"/>
    <w:rsid w:val="00B60373"/>
    <w:rsid w:val="00B67FB4"/>
    <w:rsid w:val="00B72FA4"/>
    <w:rsid w:val="00B7795E"/>
    <w:rsid w:val="00B80FF7"/>
    <w:rsid w:val="00B855C3"/>
    <w:rsid w:val="00B857DB"/>
    <w:rsid w:val="00B8687D"/>
    <w:rsid w:val="00B929F2"/>
    <w:rsid w:val="00BA35BC"/>
    <w:rsid w:val="00BA3E95"/>
    <w:rsid w:val="00BA4F86"/>
    <w:rsid w:val="00BA51A1"/>
    <w:rsid w:val="00BA5A51"/>
    <w:rsid w:val="00BA79E4"/>
    <w:rsid w:val="00BA7E1A"/>
    <w:rsid w:val="00BB1081"/>
    <w:rsid w:val="00BB1E80"/>
    <w:rsid w:val="00BB29BF"/>
    <w:rsid w:val="00BB5387"/>
    <w:rsid w:val="00BC1608"/>
    <w:rsid w:val="00BC1B6D"/>
    <w:rsid w:val="00BC2EB5"/>
    <w:rsid w:val="00BD5326"/>
    <w:rsid w:val="00BD5B44"/>
    <w:rsid w:val="00BE22BB"/>
    <w:rsid w:val="00BE33CD"/>
    <w:rsid w:val="00BE34DA"/>
    <w:rsid w:val="00BE49BF"/>
    <w:rsid w:val="00BF1F52"/>
    <w:rsid w:val="00BF5FAB"/>
    <w:rsid w:val="00BF64F3"/>
    <w:rsid w:val="00C007B4"/>
    <w:rsid w:val="00C01E85"/>
    <w:rsid w:val="00C03FD6"/>
    <w:rsid w:val="00C06999"/>
    <w:rsid w:val="00C130B8"/>
    <w:rsid w:val="00C169F3"/>
    <w:rsid w:val="00C21367"/>
    <w:rsid w:val="00C217E6"/>
    <w:rsid w:val="00C2383A"/>
    <w:rsid w:val="00C37597"/>
    <w:rsid w:val="00C37A3A"/>
    <w:rsid w:val="00C4254E"/>
    <w:rsid w:val="00C43BD1"/>
    <w:rsid w:val="00C550E0"/>
    <w:rsid w:val="00C575DA"/>
    <w:rsid w:val="00C64914"/>
    <w:rsid w:val="00C66D93"/>
    <w:rsid w:val="00C706DA"/>
    <w:rsid w:val="00C729D0"/>
    <w:rsid w:val="00C72B54"/>
    <w:rsid w:val="00C751E4"/>
    <w:rsid w:val="00C75981"/>
    <w:rsid w:val="00C76051"/>
    <w:rsid w:val="00C80FFD"/>
    <w:rsid w:val="00C8237B"/>
    <w:rsid w:val="00C8450E"/>
    <w:rsid w:val="00C93632"/>
    <w:rsid w:val="00C9608D"/>
    <w:rsid w:val="00C97C33"/>
    <w:rsid w:val="00CA092E"/>
    <w:rsid w:val="00CA161E"/>
    <w:rsid w:val="00CA1900"/>
    <w:rsid w:val="00CA2656"/>
    <w:rsid w:val="00CA2912"/>
    <w:rsid w:val="00CA4EF4"/>
    <w:rsid w:val="00CA6410"/>
    <w:rsid w:val="00CB16EC"/>
    <w:rsid w:val="00CB2EE7"/>
    <w:rsid w:val="00CC178F"/>
    <w:rsid w:val="00CC4D01"/>
    <w:rsid w:val="00CC53F2"/>
    <w:rsid w:val="00CD0F71"/>
    <w:rsid w:val="00CD1B08"/>
    <w:rsid w:val="00CD1C46"/>
    <w:rsid w:val="00CD1ED6"/>
    <w:rsid w:val="00CD5346"/>
    <w:rsid w:val="00CE26E8"/>
    <w:rsid w:val="00CE53D8"/>
    <w:rsid w:val="00CF27EC"/>
    <w:rsid w:val="00CF3360"/>
    <w:rsid w:val="00CF38E4"/>
    <w:rsid w:val="00CF740C"/>
    <w:rsid w:val="00D01DF5"/>
    <w:rsid w:val="00D05035"/>
    <w:rsid w:val="00D05BB8"/>
    <w:rsid w:val="00D11A23"/>
    <w:rsid w:val="00D12DFB"/>
    <w:rsid w:val="00D13FAF"/>
    <w:rsid w:val="00D166FA"/>
    <w:rsid w:val="00D30526"/>
    <w:rsid w:val="00D309F9"/>
    <w:rsid w:val="00D315D8"/>
    <w:rsid w:val="00D32592"/>
    <w:rsid w:val="00D33125"/>
    <w:rsid w:val="00D35525"/>
    <w:rsid w:val="00D36918"/>
    <w:rsid w:val="00D374E8"/>
    <w:rsid w:val="00D4579E"/>
    <w:rsid w:val="00D50C9E"/>
    <w:rsid w:val="00D52541"/>
    <w:rsid w:val="00D52BCE"/>
    <w:rsid w:val="00D54182"/>
    <w:rsid w:val="00D60CD1"/>
    <w:rsid w:val="00D60FFA"/>
    <w:rsid w:val="00D616A3"/>
    <w:rsid w:val="00D67EAA"/>
    <w:rsid w:val="00D72F90"/>
    <w:rsid w:val="00D8200D"/>
    <w:rsid w:val="00D84631"/>
    <w:rsid w:val="00D8719A"/>
    <w:rsid w:val="00D874B7"/>
    <w:rsid w:val="00D96B34"/>
    <w:rsid w:val="00DA5041"/>
    <w:rsid w:val="00DA6B6B"/>
    <w:rsid w:val="00DB0C0F"/>
    <w:rsid w:val="00DB1463"/>
    <w:rsid w:val="00DB1F04"/>
    <w:rsid w:val="00DB3213"/>
    <w:rsid w:val="00DB5965"/>
    <w:rsid w:val="00DB7A25"/>
    <w:rsid w:val="00DB7AD5"/>
    <w:rsid w:val="00DC0853"/>
    <w:rsid w:val="00DC3D80"/>
    <w:rsid w:val="00DC4602"/>
    <w:rsid w:val="00DD1729"/>
    <w:rsid w:val="00DD27AB"/>
    <w:rsid w:val="00DD2B2F"/>
    <w:rsid w:val="00DD33F8"/>
    <w:rsid w:val="00DD34FE"/>
    <w:rsid w:val="00DD645B"/>
    <w:rsid w:val="00DD73F8"/>
    <w:rsid w:val="00DE0458"/>
    <w:rsid w:val="00DE67CB"/>
    <w:rsid w:val="00DF025C"/>
    <w:rsid w:val="00E125E9"/>
    <w:rsid w:val="00E14A0D"/>
    <w:rsid w:val="00E20D35"/>
    <w:rsid w:val="00E23528"/>
    <w:rsid w:val="00E27371"/>
    <w:rsid w:val="00E32A52"/>
    <w:rsid w:val="00E34C5B"/>
    <w:rsid w:val="00E35EA7"/>
    <w:rsid w:val="00E36286"/>
    <w:rsid w:val="00E529E5"/>
    <w:rsid w:val="00E52F2A"/>
    <w:rsid w:val="00E67263"/>
    <w:rsid w:val="00E74EBD"/>
    <w:rsid w:val="00E8461A"/>
    <w:rsid w:val="00E92F1B"/>
    <w:rsid w:val="00E944FC"/>
    <w:rsid w:val="00E97615"/>
    <w:rsid w:val="00EB681B"/>
    <w:rsid w:val="00EC3336"/>
    <w:rsid w:val="00ED0564"/>
    <w:rsid w:val="00ED395E"/>
    <w:rsid w:val="00ED636D"/>
    <w:rsid w:val="00ED7C1A"/>
    <w:rsid w:val="00EE013D"/>
    <w:rsid w:val="00EE3B7B"/>
    <w:rsid w:val="00EE57F7"/>
    <w:rsid w:val="00EE72CA"/>
    <w:rsid w:val="00EF00B5"/>
    <w:rsid w:val="00EF0BD7"/>
    <w:rsid w:val="00EF1175"/>
    <w:rsid w:val="00EF26EE"/>
    <w:rsid w:val="00EF2BBA"/>
    <w:rsid w:val="00EF5CF8"/>
    <w:rsid w:val="00F00C11"/>
    <w:rsid w:val="00F02527"/>
    <w:rsid w:val="00F12730"/>
    <w:rsid w:val="00F128C3"/>
    <w:rsid w:val="00F26DBB"/>
    <w:rsid w:val="00F30B0B"/>
    <w:rsid w:val="00F32A1D"/>
    <w:rsid w:val="00F34AAE"/>
    <w:rsid w:val="00F35DEB"/>
    <w:rsid w:val="00F41DF2"/>
    <w:rsid w:val="00F42997"/>
    <w:rsid w:val="00F5124C"/>
    <w:rsid w:val="00F53A63"/>
    <w:rsid w:val="00F616F1"/>
    <w:rsid w:val="00F629B4"/>
    <w:rsid w:val="00F6304F"/>
    <w:rsid w:val="00F70732"/>
    <w:rsid w:val="00F71237"/>
    <w:rsid w:val="00F8194E"/>
    <w:rsid w:val="00F83433"/>
    <w:rsid w:val="00F87719"/>
    <w:rsid w:val="00F94643"/>
    <w:rsid w:val="00F95F6C"/>
    <w:rsid w:val="00F96ACA"/>
    <w:rsid w:val="00FA5C25"/>
    <w:rsid w:val="00FA6CA8"/>
    <w:rsid w:val="00FB394C"/>
    <w:rsid w:val="00FB4E6E"/>
    <w:rsid w:val="00FB4F8C"/>
    <w:rsid w:val="00FB6BAF"/>
    <w:rsid w:val="00FC5173"/>
    <w:rsid w:val="00FC58F3"/>
    <w:rsid w:val="00FD07C3"/>
    <w:rsid w:val="00FD1190"/>
    <w:rsid w:val="00FD26FC"/>
    <w:rsid w:val="00FD467F"/>
    <w:rsid w:val="00FD4850"/>
    <w:rsid w:val="00FE041A"/>
    <w:rsid w:val="00FE282A"/>
    <w:rsid w:val="00FE3DE4"/>
    <w:rsid w:val="00FE6977"/>
    <w:rsid w:val="00FF583E"/>
    <w:rsid w:val="00FF5CB8"/>
    <w:rsid w:val="00FF6754"/>
    <w:rsid w:val="00FF70B3"/>
    <w:rsid w:val="0175F51E"/>
    <w:rsid w:val="02804801"/>
    <w:rsid w:val="02BA4147"/>
    <w:rsid w:val="02D4D7B6"/>
    <w:rsid w:val="02E9CB89"/>
    <w:rsid w:val="031F968A"/>
    <w:rsid w:val="03BA72B6"/>
    <w:rsid w:val="03CC62AD"/>
    <w:rsid w:val="03D9A459"/>
    <w:rsid w:val="045D35FA"/>
    <w:rsid w:val="04D41740"/>
    <w:rsid w:val="05D3A48D"/>
    <w:rsid w:val="05E4F26B"/>
    <w:rsid w:val="061B962F"/>
    <w:rsid w:val="061FA456"/>
    <w:rsid w:val="06740622"/>
    <w:rsid w:val="0682F796"/>
    <w:rsid w:val="06B293EB"/>
    <w:rsid w:val="073E9DE9"/>
    <w:rsid w:val="073EE00C"/>
    <w:rsid w:val="07453D14"/>
    <w:rsid w:val="08ACFE10"/>
    <w:rsid w:val="0994BBE7"/>
    <w:rsid w:val="0A23101B"/>
    <w:rsid w:val="0A55E9E1"/>
    <w:rsid w:val="0A58C171"/>
    <w:rsid w:val="0A60A94F"/>
    <w:rsid w:val="0A646BE3"/>
    <w:rsid w:val="0A70CA50"/>
    <w:rsid w:val="0A975609"/>
    <w:rsid w:val="0ABE68AE"/>
    <w:rsid w:val="0AC3C24C"/>
    <w:rsid w:val="0B2096F4"/>
    <w:rsid w:val="0B574DB1"/>
    <w:rsid w:val="0B7D277A"/>
    <w:rsid w:val="0C213C94"/>
    <w:rsid w:val="0C8B0FF2"/>
    <w:rsid w:val="0CB8F05F"/>
    <w:rsid w:val="0D2845D8"/>
    <w:rsid w:val="0D35980C"/>
    <w:rsid w:val="0D36144B"/>
    <w:rsid w:val="0D5BAF1C"/>
    <w:rsid w:val="0D994EA4"/>
    <w:rsid w:val="0E2155F2"/>
    <w:rsid w:val="0E331515"/>
    <w:rsid w:val="0E6B7E9C"/>
    <w:rsid w:val="0EA0C1EE"/>
    <w:rsid w:val="0EC1BC2F"/>
    <w:rsid w:val="0ECB3AA5"/>
    <w:rsid w:val="0F1731AD"/>
    <w:rsid w:val="0F3ADEB1"/>
    <w:rsid w:val="0F5D4FBB"/>
    <w:rsid w:val="0F728DAF"/>
    <w:rsid w:val="0F8C2122"/>
    <w:rsid w:val="0FB47F21"/>
    <w:rsid w:val="0FB6E8F4"/>
    <w:rsid w:val="0FDB4942"/>
    <w:rsid w:val="0FE7DF1B"/>
    <w:rsid w:val="107C41E5"/>
    <w:rsid w:val="107D3D56"/>
    <w:rsid w:val="108C1C1E"/>
    <w:rsid w:val="10953400"/>
    <w:rsid w:val="10C6A7A2"/>
    <w:rsid w:val="10DE7EDA"/>
    <w:rsid w:val="114962D7"/>
    <w:rsid w:val="11EB3E7C"/>
    <w:rsid w:val="125588A7"/>
    <w:rsid w:val="132BA556"/>
    <w:rsid w:val="138FF383"/>
    <w:rsid w:val="13B5C308"/>
    <w:rsid w:val="13DB2543"/>
    <w:rsid w:val="1429FF6B"/>
    <w:rsid w:val="14423F4E"/>
    <w:rsid w:val="1454C9F4"/>
    <w:rsid w:val="14E3BE60"/>
    <w:rsid w:val="14ED7273"/>
    <w:rsid w:val="1545FA9C"/>
    <w:rsid w:val="159C4862"/>
    <w:rsid w:val="15AD6FA4"/>
    <w:rsid w:val="15BD26EE"/>
    <w:rsid w:val="160400C9"/>
    <w:rsid w:val="16586CAA"/>
    <w:rsid w:val="16A21B1D"/>
    <w:rsid w:val="17066CD0"/>
    <w:rsid w:val="17232337"/>
    <w:rsid w:val="17F9F181"/>
    <w:rsid w:val="1847779E"/>
    <w:rsid w:val="18798578"/>
    <w:rsid w:val="192434FB"/>
    <w:rsid w:val="19C270D3"/>
    <w:rsid w:val="1A1C8EE8"/>
    <w:rsid w:val="1A85F772"/>
    <w:rsid w:val="1A87325F"/>
    <w:rsid w:val="1ABB392E"/>
    <w:rsid w:val="1AC5BDB1"/>
    <w:rsid w:val="1AE5C417"/>
    <w:rsid w:val="1AFD5395"/>
    <w:rsid w:val="1B312309"/>
    <w:rsid w:val="1B42AF59"/>
    <w:rsid w:val="1BCEB96E"/>
    <w:rsid w:val="1BF49A16"/>
    <w:rsid w:val="1C6332D8"/>
    <w:rsid w:val="1C90E5BF"/>
    <w:rsid w:val="1C950E87"/>
    <w:rsid w:val="1CB22EBA"/>
    <w:rsid w:val="1CF0C5A6"/>
    <w:rsid w:val="1CF33C49"/>
    <w:rsid w:val="1D55F01F"/>
    <w:rsid w:val="1D73E5FE"/>
    <w:rsid w:val="1D79F684"/>
    <w:rsid w:val="1DAD2B6B"/>
    <w:rsid w:val="1DCEC49B"/>
    <w:rsid w:val="1E21E586"/>
    <w:rsid w:val="1E2FB2DB"/>
    <w:rsid w:val="1F01D2D8"/>
    <w:rsid w:val="1F41DF98"/>
    <w:rsid w:val="204BF795"/>
    <w:rsid w:val="2078D50C"/>
    <w:rsid w:val="20C83863"/>
    <w:rsid w:val="20CE1B91"/>
    <w:rsid w:val="20EB1AAA"/>
    <w:rsid w:val="2102BAAB"/>
    <w:rsid w:val="2111F291"/>
    <w:rsid w:val="218E77C2"/>
    <w:rsid w:val="21B061B7"/>
    <w:rsid w:val="2249A211"/>
    <w:rsid w:val="225D1BE1"/>
    <w:rsid w:val="22679710"/>
    <w:rsid w:val="226F2D57"/>
    <w:rsid w:val="22804753"/>
    <w:rsid w:val="22A235E0"/>
    <w:rsid w:val="22D9DC8B"/>
    <w:rsid w:val="22E1418D"/>
    <w:rsid w:val="22F8D1B5"/>
    <w:rsid w:val="22FDB459"/>
    <w:rsid w:val="2390AFB2"/>
    <w:rsid w:val="23BB2793"/>
    <w:rsid w:val="23C65136"/>
    <w:rsid w:val="24B1A2BB"/>
    <w:rsid w:val="24C8BB4E"/>
    <w:rsid w:val="24E8AACD"/>
    <w:rsid w:val="24F2A5A2"/>
    <w:rsid w:val="254B341D"/>
    <w:rsid w:val="258B2621"/>
    <w:rsid w:val="26688CFA"/>
    <w:rsid w:val="26A3852F"/>
    <w:rsid w:val="26C1667F"/>
    <w:rsid w:val="27627100"/>
    <w:rsid w:val="2779471D"/>
    <w:rsid w:val="2789796B"/>
    <w:rsid w:val="27C33B45"/>
    <w:rsid w:val="280BAA79"/>
    <w:rsid w:val="2811CED1"/>
    <w:rsid w:val="2825ECCD"/>
    <w:rsid w:val="283446E8"/>
    <w:rsid w:val="285A7D7A"/>
    <w:rsid w:val="2898F67C"/>
    <w:rsid w:val="28FBC9DE"/>
    <w:rsid w:val="29305F38"/>
    <w:rsid w:val="296BF734"/>
    <w:rsid w:val="297F6EEE"/>
    <w:rsid w:val="2985B009"/>
    <w:rsid w:val="29D83257"/>
    <w:rsid w:val="2A32E201"/>
    <w:rsid w:val="2A955289"/>
    <w:rsid w:val="2AC22FF4"/>
    <w:rsid w:val="2B2B419D"/>
    <w:rsid w:val="2B2E0524"/>
    <w:rsid w:val="2B3F93E7"/>
    <w:rsid w:val="2B983E20"/>
    <w:rsid w:val="2BC4BAAC"/>
    <w:rsid w:val="2C339D30"/>
    <w:rsid w:val="2C4CAA04"/>
    <w:rsid w:val="2D049A33"/>
    <w:rsid w:val="2DDA21C7"/>
    <w:rsid w:val="2E557265"/>
    <w:rsid w:val="2E9793A1"/>
    <w:rsid w:val="2EBBA96F"/>
    <w:rsid w:val="2F10D384"/>
    <w:rsid w:val="2F3F7BD2"/>
    <w:rsid w:val="2F6A3E21"/>
    <w:rsid w:val="3034172D"/>
    <w:rsid w:val="30466FE4"/>
    <w:rsid w:val="30E1A6D7"/>
    <w:rsid w:val="3156FFB6"/>
    <w:rsid w:val="3199DA3B"/>
    <w:rsid w:val="31C5E815"/>
    <w:rsid w:val="323894AB"/>
    <w:rsid w:val="32A10F50"/>
    <w:rsid w:val="338F388A"/>
    <w:rsid w:val="339BBF04"/>
    <w:rsid w:val="345B3298"/>
    <w:rsid w:val="3482614B"/>
    <w:rsid w:val="34A2A527"/>
    <w:rsid w:val="34D74C53"/>
    <w:rsid w:val="34E88345"/>
    <w:rsid w:val="351A7A38"/>
    <w:rsid w:val="35577EAD"/>
    <w:rsid w:val="35658148"/>
    <w:rsid w:val="35E43856"/>
    <w:rsid w:val="3644606C"/>
    <w:rsid w:val="3655AF18"/>
    <w:rsid w:val="36761ED7"/>
    <w:rsid w:val="36971E7E"/>
    <w:rsid w:val="369D60A5"/>
    <w:rsid w:val="372A465C"/>
    <w:rsid w:val="3744172C"/>
    <w:rsid w:val="37503E81"/>
    <w:rsid w:val="3759C365"/>
    <w:rsid w:val="37836659"/>
    <w:rsid w:val="37A251AD"/>
    <w:rsid w:val="37A8A929"/>
    <w:rsid w:val="37F93467"/>
    <w:rsid w:val="37FE21A4"/>
    <w:rsid w:val="38157676"/>
    <w:rsid w:val="38234E97"/>
    <w:rsid w:val="385C8FFE"/>
    <w:rsid w:val="38A252FA"/>
    <w:rsid w:val="38AF06B2"/>
    <w:rsid w:val="38C4B4D3"/>
    <w:rsid w:val="38D6FC59"/>
    <w:rsid w:val="39E9F6D5"/>
    <w:rsid w:val="3A6B991C"/>
    <w:rsid w:val="3B2485A3"/>
    <w:rsid w:val="3B290864"/>
    <w:rsid w:val="3B4D3166"/>
    <w:rsid w:val="3BA4665F"/>
    <w:rsid w:val="3BB42BB0"/>
    <w:rsid w:val="3BC8EB66"/>
    <w:rsid w:val="3BCF4B5A"/>
    <w:rsid w:val="3BE79B8C"/>
    <w:rsid w:val="3C02C75D"/>
    <w:rsid w:val="3C1ABCD4"/>
    <w:rsid w:val="3CBB755F"/>
    <w:rsid w:val="3CFB8CD4"/>
    <w:rsid w:val="3D4D00E1"/>
    <w:rsid w:val="3D531DED"/>
    <w:rsid w:val="3D622524"/>
    <w:rsid w:val="3DFF40AD"/>
    <w:rsid w:val="3E10A20C"/>
    <w:rsid w:val="3E2D6181"/>
    <w:rsid w:val="3E3960D2"/>
    <w:rsid w:val="3E5915A0"/>
    <w:rsid w:val="3ECBD9ED"/>
    <w:rsid w:val="3EDACBDF"/>
    <w:rsid w:val="3EEE55DA"/>
    <w:rsid w:val="3F15F691"/>
    <w:rsid w:val="3F3AEC40"/>
    <w:rsid w:val="3F5BCF3D"/>
    <w:rsid w:val="3F889688"/>
    <w:rsid w:val="3FE13A20"/>
    <w:rsid w:val="4008D3E8"/>
    <w:rsid w:val="4053183F"/>
    <w:rsid w:val="40581C11"/>
    <w:rsid w:val="405FD650"/>
    <w:rsid w:val="40B8C2D6"/>
    <w:rsid w:val="40C48951"/>
    <w:rsid w:val="410D1BCD"/>
    <w:rsid w:val="414FDB06"/>
    <w:rsid w:val="4170C19D"/>
    <w:rsid w:val="417BB33D"/>
    <w:rsid w:val="4185A18F"/>
    <w:rsid w:val="41A33BF9"/>
    <w:rsid w:val="41E19ACD"/>
    <w:rsid w:val="41E2A611"/>
    <w:rsid w:val="425B12D7"/>
    <w:rsid w:val="4261EE73"/>
    <w:rsid w:val="42EBB31F"/>
    <w:rsid w:val="42F6036E"/>
    <w:rsid w:val="435AB3EF"/>
    <w:rsid w:val="43649E87"/>
    <w:rsid w:val="43672465"/>
    <w:rsid w:val="439224FA"/>
    <w:rsid w:val="441B6A43"/>
    <w:rsid w:val="4458D114"/>
    <w:rsid w:val="447A6D41"/>
    <w:rsid w:val="448AA4B0"/>
    <w:rsid w:val="449501A5"/>
    <w:rsid w:val="4533DF73"/>
    <w:rsid w:val="45463780"/>
    <w:rsid w:val="45F1093C"/>
    <w:rsid w:val="46098B69"/>
    <w:rsid w:val="4638E76D"/>
    <w:rsid w:val="46555BEB"/>
    <w:rsid w:val="46DF6AB1"/>
    <w:rsid w:val="471737B8"/>
    <w:rsid w:val="473A90A9"/>
    <w:rsid w:val="47D4C664"/>
    <w:rsid w:val="483B7898"/>
    <w:rsid w:val="4938599C"/>
    <w:rsid w:val="49387503"/>
    <w:rsid w:val="497F3EB7"/>
    <w:rsid w:val="49DCFEE8"/>
    <w:rsid w:val="49FB3F4E"/>
    <w:rsid w:val="4A1AD30D"/>
    <w:rsid w:val="4AC10C65"/>
    <w:rsid w:val="4ADB9500"/>
    <w:rsid w:val="4B67C73C"/>
    <w:rsid w:val="4BB0B5CF"/>
    <w:rsid w:val="4BEC1DF4"/>
    <w:rsid w:val="4C1A2BBC"/>
    <w:rsid w:val="4C24B25B"/>
    <w:rsid w:val="4C92478C"/>
    <w:rsid w:val="4C970662"/>
    <w:rsid w:val="4CB744C3"/>
    <w:rsid w:val="4D4FB7C3"/>
    <w:rsid w:val="4D6FE4FC"/>
    <w:rsid w:val="4DB01389"/>
    <w:rsid w:val="4DCABE0D"/>
    <w:rsid w:val="4DDEA573"/>
    <w:rsid w:val="4DEEE4FB"/>
    <w:rsid w:val="4F341E44"/>
    <w:rsid w:val="4F389143"/>
    <w:rsid w:val="4F38BFA4"/>
    <w:rsid w:val="4FA85FBD"/>
    <w:rsid w:val="4FAD2121"/>
    <w:rsid w:val="4FB06654"/>
    <w:rsid w:val="503DBFCB"/>
    <w:rsid w:val="50F9FAF0"/>
    <w:rsid w:val="50FE5A26"/>
    <w:rsid w:val="513E7BB2"/>
    <w:rsid w:val="5174F3BB"/>
    <w:rsid w:val="51D4F604"/>
    <w:rsid w:val="51D93599"/>
    <w:rsid w:val="520ED7B1"/>
    <w:rsid w:val="521856D5"/>
    <w:rsid w:val="521E85BB"/>
    <w:rsid w:val="5233872E"/>
    <w:rsid w:val="5298DDAB"/>
    <w:rsid w:val="52CAEA29"/>
    <w:rsid w:val="52E04C3F"/>
    <w:rsid w:val="5374F2D9"/>
    <w:rsid w:val="540E61CC"/>
    <w:rsid w:val="54275D9A"/>
    <w:rsid w:val="548EF480"/>
    <w:rsid w:val="5496C3C3"/>
    <w:rsid w:val="54F1C121"/>
    <w:rsid w:val="5515CC69"/>
    <w:rsid w:val="555B2635"/>
    <w:rsid w:val="55D36439"/>
    <w:rsid w:val="56EE22DF"/>
    <w:rsid w:val="5742F080"/>
    <w:rsid w:val="578BA4A7"/>
    <w:rsid w:val="5796D27B"/>
    <w:rsid w:val="57A324CC"/>
    <w:rsid w:val="57DCD2B1"/>
    <w:rsid w:val="585B312D"/>
    <w:rsid w:val="5860EEC7"/>
    <w:rsid w:val="58B851CB"/>
    <w:rsid w:val="58C8FD18"/>
    <w:rsid w:val="59995D8F"/>
    <w:rsid w:val="599E558D"/>
    <w:rsid w:val="5A183EFC"/>
    <w:rsid w:val="5A3F39FA"/>
    <w:rsid w:val="5A959969"/>
    <w:rsid w:val="5A9666C3"/>
    <w:rsid w:val="5AB13495"/>
    <w:rsid w:val="5AC1F324"/>
    <w:rsid w:val="5AE96C59"/>
    <w:rsid w:val="5B07FB7C"/>
    <w:rsid w:val="5B189201"/>
    <w:rsid w:val="5B896AD3"/>
    <w:rsid w:val="5BC7D23A"/>
    <w:rsid w:val="5BDEDCE6"/>
    <w:rsid w:val="5C218F37"/>
    <w:rsid w:val="5C3BB83A"/>
    <w:rsid w:val="5C4B0A14"/>
    <w:rsid w:val="5C56C514"/>
    <w:rsid w:val="5C794198"/>
    <w:rsid w:val="5E0C37D3"/>
    <w:rsid w:val="5EB92E03"/>
    <w:rsid w:val="5ED2C3DC"/>
    <w:rsid w:val="5EE76FC6"/>
    <w:rsid w:val="5F68E165"/>
    <w:rsid w:val="5F9D2831"/>
    <w:rsid w:val="5FE59838"/>
    <w:rsid w:val="60338E42"/>
    <w:rsid w:val="60A840BE"/>
    <w:rsid w:val="60AE6D86"/>
    <w:rsid w:val="60E1D7A6"/>
    <w:rsid w:val="615E5A05"/>
    <w:rsid w:val="616A966F"/>
    <w:rsid w:val="61ABA54E"/>
    <w:rsid w:val="623B52C5"/>
    <w:rsid w:val="62735D85"/>
    <w:rsid w:val="627E3D9A"/>
    <w:rsid w:val="629753C7"/>
    <w:rsid w:val="62989023"/>
    <w:rsid w:val="629BFBC2"/>
    <w:rsid w:val="62A3A94B"/>
    <w:rsid w:val="62A4325C"/>
    <w:rsid w:val="62C11F73"/>
    <w:rsid w:val="62FD4F19"/>
    <w:rsid w:val="63B34F3B"/>
    <w:rsid w:val="63C401E7"/>
    <w:rsid w:val="63DFAF10"/>
    <w:rsid w:val="6425FF1A"/>
    <w:rsid w:val="64DF95AB"/>
    <w:rsid w:val="651FBC22"/>
    <w:rsid w:val="655BD6E5"/>
    <w:rsid w:val="65647392"/>
    <w:rsid w:val="658F0992"/>
    <w:rsid w:val="65935819"/>
    <w:rsid w:val="66186BE2"/>
    <w:rsid w:val="66518C9A"/>
    <w:rsid w:val="665A4244"/>
    <w:rsid w:val="66D6E0D9"/>
    <w:rsid w:val="67FFAC83"/>
    <w:rsid w:val="68071FFB"/>
    <w:rsid w:val="6856284C"/>
    <w:rsid w:val="68D91C06"/>
    <w:rsid w:val="69B06CFE"/>
    <w:rsid w:val="69E15CD0"/>
    <w:rsid w:val="6A5DBBE5"/>
    <w:rsid w:val="6A717676"/>
    <w:rsid w:val="6B22163E"/>
    <w:rsid w:val="6B3B85A3"/>
    <w:rsid w:val="6BA1F250"/>
    <w:rsid w:val="6BBB4D40"/>
    <w:rsid w:val="6BE420DB"/>
    <w:rsid w:val="6C6FD1DE"/>
    <w:rsid w:val="6C7B005A"/>
    <w:rsid w:val="6C80EC1C"/>
    <w:rsid w:val="6D1652E5"/>
    <w:rsid w:val="6D2BBD2B"/>
    <w:rsid w:val="6D393A18"/>
    <w:rsid w:val="6D96C3F7"/>
    <w:rsid w:val="6DE9F1F6"/>
    <w:rsid w:val="6E0BD9B7"/>
    <w:rsid w:val="6E1A6459"/>
    <w:rsid w:val="6EFA0A65"/>
    <w:rsid w:val="6F01902D"/>
    <w:rsid w:val="6FDDAD85"/>
    <w:rsid w:val="700834F4"/>
    <w:rsid w:val="706A3E86"/>
    <w:rsid w:val="70CD5225"/>
    <w:rsid w:val="71213929"/>
    <w:rsid w:val="71E13146"/>
    <w:rsid w:val="724999E2"/>
    <w:rsid w:val="729574FC"/>
    <w:rsid w:val="72E4C801"/>
    <w:rsid w:val="731FE057"/>
    <w:rsid w:val="7348EA3C"/>
    <w:rsid w:val="73939857"/>
    <w:rsid w:val="73CC4983"/>
    <w:rsid w:val="740BDC61"/>
    <w:rsid w:val="74945DAC"/>
    <w:rsid w:val="74C53245"/>
    <w:rsid w:val="7515E5F4"/>
    <w:rsid w:val="751DFFDD"/>
    <w:rsid w:val="7522FC7A"/>
    <w:rsid w:val="7585955E"/>
    <w:rsid w:val="75A7CAC4"/>
    <w:rsid w:val="75ACEF87"/>
    <w:rsid w:val="75E1F205"/>
    <w:rsid w:val="76794ADD"/>
    <w:rsid w:val="769E8F32"/>
    <w:rsid w:val="76AD2FBA"/>
    <w:rsid w:val="76C34F84"/>
    <w:rsid w:val="76FE90D9"/>
    <w:rsid w:val="772E97B5"/>
    <w:rsid w:val="775472E0"/>
    <w:rsid w:val="77560B58"/>
    <w:rsid w:val="77782AF3"/>
    <w:rsid w:val="778C797A"/>
    <w:rsid w:val="77A4EC66"/>
    <w:rsid w:val="77D369E4"/>
    <w:rsid w:val="7840AF88"/>
    <w:rsid w:val="784D122B"/>
    <w:rsid w:val="785CABC6"/>
    <w:rsid w:val="787D7CCD"/>
    <w:rsid w:val="78BB8937"/>
    <w:rsid w:val="78BF4E07"/>
    <w:rsid w:val="7933DC65"/>
    <w:rsid w:val="797C3BEC"/>
    <w:rsid w:val="799F5436"/>
    <w:rsid w:val="79A06179"/>
    <w:rsid w:val="79D6F9C8"/>
    <w:rsid w:val="79E4F4B8"/>
    <w:rsid w:val="7A103903"/>
    <w:rsid w:val="7AA2D300"/>
    <w:rsid w:val="7B0B3B8F"/>
    <w:rsid w:val="7B3A43E1"/>
    <w:rsid w:val="7B4202EB"/>
    <w:rsid w:val="7B4DBE1B"/>
    <w:rsid w:val="7BC1F47E"/>
    <w:rsid w:val="7C070422"/>
    <w:rsid w:val="7D1568E6"/>
    <w:rsid w:val="7D2EBCFF"/>
    <w:rsid w:val="7D6EE0F3"/>
    <w:rsid w:val="7DA3C291"/>
    <w:rsid w:val="7DE0B35F"/>
    <w:rsid w:val="7F057738"/>
    <w:rsid w:val="7F11B104"/>
    <w:rsid w:val="7F52BAC9"/>
    <w:rsid w:val="7FE5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F0191"/>
  <w15:chartTrackingRefBased/>
  <w15:docId w15:val="{8A8F551F-FDA3-42C3-993E-337D037A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71C"/>
    <w:pPr>
      <w:spacing w:line="279" w:lineRule="auto"/>
    </w:pPr>
    <w:rPr>
      <w:rFonts w:eastAsiaTheme="minorEastAsia"/>
      <w:kern w:val="0"/>
      <w:lang w:val="en-GB" w:eastAsia="ja-JP"/>
      <w14:ligatures w14:val="none"/>
    </w:rPr>
  </w:style>
  <w:style w:type="paragraph" w:styleId="Heading1">
    <w:name w:val="heading 1"/>
    <w:basedOn w:val="Normal"/>
    <w:next w:val="Normal"/>
    <w:link w:val="Heading1Char"/>
    <w:uiPriority w:val="9"/>
    <w:qFormat/>
    <w:rsid w:val="00317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7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7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7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7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7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7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7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7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38D"/>
    <w:rPr>
      <w:rFonts w:eastAsiaTheme="majorEastAsia" w:cstheme="majorBidi"/>
      <w:color w:val="272727" w:themeColor="text1" w:themeTint="D8"/>
    </w:rPr>
  </w:style>
  <w:style w:type="paragraph" w:styleId="Title">
    <w:name w:val="Title"/>
    <w:basedOn w:val="Normal"/>
    <w:next w:val="Normal"/>
    <w:link w:val="TitleChar"/>
    <w:uiPriority w:val="10"/>
    <w:qFormat/>
    <w:rsid w:val="00317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38D"/>
    <w:pPr>
      <w:spacing w:before="160"/>
      <w:jc w:val="center"/>
    </w:pPr>
    <w:rPr>
      <w:i/>
      <w:iCs/>
      <w:color w:val="404040" w:themeColor="text1" w:themeTint="BF"/>
    </w:rPr>
  </w:style>
  <w:style w:type="character" w:customStyle="1" w:styleId="QuoteChar">
    <w:name w:val="Quote Char"/>
    <w:basedOn w:val="DefaultParagraphFont"/>
    <w:link w:val="Quote"/>
    <w:uiPriority w:val="29"/>
    <w:rsid w:val="0031738D"/>
    <w:rPr>
      <w:i/>
      <w:iCs/>
      <w:color w:val="404040" w:themeColor="text1" w:themeTint="BF"/>
    </w:rPr>
  </w:style>
  <w:style w:type="paragraph" w:styleId="ListParagraph">
    <w:name w:val="List Paragraph"/>
    <w:basedOn w:val="Normal"/>
    <w:uiPriority w:val="34"/>
    <w:qFormat/>
    <w:rsid w:val="0031738D"/>
    <w:pPr>
      <w:ind w:left="720"/>
      <w:contextualSpacing/>
    </w:pPr>
  </w:style>
  <w:style w:type="character" w:styleId="IntenseEmphasis">
    <w:name w:val="Intense Emphasis"/>
    <w:basedOn w:val="DefaultParagraphFont"/>
    <w:uiPriority w:val="21"/>
    <w:qFormat/>
    <w:rsid w:val="0031738D"/>
    <w:rPr>
      <w:i/>
      <w:iCs/>
      <w:color w:val="0F4761" w:themeColor="accent1" w:themeShade="BF"/>
    </w:rPr>
  </w:style>
  <w:style w:type="paragraph" w:styleId="IntenseQuote">
    <w:name w:val="Intense Quote"/>
    <w:basedOn w:val="Normal"/>
    <w:next w:val="Normal"/>
    <w:link w:val="IntenseQuoteChar"/>
    <w:uiPriority w:val="30"/>
    <w:qFormat/>
    <w:rsid w:val="00317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38D"/>
    <w:rPr>
      <w:i/>
      <w:iCs/>
      <w:color w:val="0F4761" w:themeColor="accent1" w:themeShade="BF"/>
    </w:rPr>
  </w:style>
  <w:style w:type="character" w:styleId="IntenseReference">
    <w:name w:val="Intense Reference"/>
    <w:basedOn w:val="DefaultParagraphFont"/>
    <w:uiPriority w:val="32"/>
    <w:qFormat/>
    <w:rsid w:val="0031738D"/>
    <w:rPr>
      <w:b/>
      <w:bCs/>
      <w:smallCaps/>
      <w:color w:val="0F4761" w:themeColor="accent1" w:themeShade="BF"/>
      <w:spacing w:val="5"/>
    </w:rPr>
  </w:style>
  <w:style w:type="character" w:styleId="Hyperlink">
    <w:name w:val="Hyperlink"/>
    <w:basedOn w:val="DefaultParagraphFont"/>
    <w:uiPriority w:val="99"/>
    <w:unhideWhenUsed/>
    <w:rsid w:val="00FE3DE4"/>
    <w:rPr>
      <w:color w:val="467886" w:themeColor="hyperlink"/>
      <w:u w:val="single"/>
    </w:rPr>
  </w:style>
  <w:style w:type="character" w:styleId="UnresolvedMention">
    <w:name w:val="Unresolved Mention"/>
    <w:basedOn w:val="DefaultParagraphFont"/>
    <w:uiPriority w:val="99"/>
    <w:semiHidden/>
    <w:unhideWhenUsed/>
    <w:rsid w:val="00FE3DE4"/>
    <w:rPr>
      <w:color w:val="605E5C"/>
      <w:shd w:val="clear" w:color="auto" w:fill="E1DFDD"/>
    </w:rPr>
  </w:style>
  <w:style w:type="paragraph" w:styleId="Header">
    <w:name w:val="header"/>
    <w:basedOn w:val="Normal"/>
    <w:link w:val="HeaderChar"/>
    <w:uiPriority w:val="99"/>
    <w:unhideWhenUsed/>
    <w:rsid w:val="003E7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3C6"/>
    <w:rPr>
      <w:rFonts w:eastAsiaTheme="minorEastAsia"/>
      <w:kern w:val="0"/>
      <w:lang w:eastAsia="ja-JP"/>
      <w14:ligatures w14:val="none"/>
    </w:rPr>
  </w:style>
  <w:style w:type="paragraph" w:styleId="Footer">
    <w:name w:val="footer"/>
    <w:basedOn w:val="Normal"/>
    <w:link w:val="FooterChar"/>
    <w:uiPriority w:val="99"/>
    <w:unhideWhenUsed/>
    <w:rsid w:val="003E7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3C6"/>
    <w:rPr>
      <w:rFonts w:eastAsiaTheme="minorEastAsia"/>
      <w:kern w:val="0"/>
      <w:lang w:eastAsia="ja-JP"/>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51E4"/>
    <w:pPr>
      <w:spacing w:after="0" w:line="240" w:lineRule="auto"/>
    </w:pPr>
    <w:rPr>
      <w:rFonts w:eastAsiaTheme="minorEastAsia"/>
      <w:kern w:val="0"/>
      <w:lang w:eastAsia="ja-JP"/>
      <w14:ligatures w14:val="none"/>
    </w:rPr>
  </w:style>
  <w:style w:type="paragraph" w:styleId="FootnoteText">
    <w:name w:val="footnote text"/>
    <w:basedOn w:val="Normal"/>
    <w:link w:val="FootnoteTextChar"/>
    <w:uiPriority w:val="99"/>
    <w:semiHidden/>
    <w:unhideWhenUsed/>
    <w:rsid w:val="00140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080A"/>
    <w:rPr>
      <w:rFonts w:eastAsiaTheme="minorEastAsia"/>
      <w:kern w:val="0"/>
      <w:sz w:val="20"/>
      <w:szCs w:val="20"/>
      <w:lang w:eastAsia="ja-JP"/>
      <w14:ligatures w14:val="none"/>
    </w:rPr>
  </w:style>
  <w:style w:type="character" w:styleId="FootnoteReference">
    <w:name w:val="footnote reference"/>
    <w:basedOn w:val="DefaultParagraphFont"/>
    <w:uiPriority w:val="99"/>
    <w:semiHidden/>
    <w:unhideWhenUsed/>
    <w:rsid w:val="0014080A"/>
    <w:rPr>
      <w:vertAlign w:val="superscript"/>
    </w:rPr>
  </w:style>
  <w:style w:type="paragraph" w:styleId="CommentSubject">
    <w:name w:val="annotation subject"/>
    <w:basedOn w:val="CommentText"/>
    <w:next w:val="CommentText"/>
    <w:link w:val="CommentSubjectChar"/>
    <w:uiPriority w:val="99"/>
    <w:semiHidden/>
    <w:unhideWhenUsed/>
    <w:rsid w:val="007B5396"/>
    <w:rPr>
      <w:b/>
      <w:bCs/>
    </w:rPr>
  </w:style>
  <w:style w:type="character" w:customStyle="1" w:styleId="CommentSubjectChar">
    <w:name w:val="Comment Subject Char"/>
    <w:basedOn w:val="CommentTextChar"/>
    <w:link w:val="CommentSubject"/>
    <w:uiPriority w:val="99"/>
    <w:semiHidden/>
    <w:rsid w:val="007B5396"/>
    <w:rPr>
      <w:rFonts w:eastAsiaTheme="minorEastAsia"/>
      <w:b/>
      <w:bCs/>
      <w:kern w:val="0"/>
      <w:sz w:val="20"/>
      <w:szCs w:val="20"/>
      <w:lang w:eastAsia="ja-JP"/>
      <w14:ligatures w14:val="none"/>
    </w:rPr>
  </w:style>
  <w:style w:type="character" w:styleId="FollowedHyperlink">
    <w:name w:val="FollowedHyperlink"/>
    <w:basedOn w:val="DefaultParagraphFont"/>
    <w:uiPriority w:val="99"/>
    <w:semiHidden/>
    <w:unhideWhenUsed/>
    <w:rsid w:val="00F34AAE"/>
    <w:rPr>
      <w:color w:val="96607D" w:themeColor="followedHyperlink"/>
      <w:u w:val="single"/>
    </w:rPr>
  </w:style>
  <w:style w:type="paragraph" w:styleId="TOCHeading">
    <w:name w:val="TOC Heading"/>
    <w:basedOn w:val="Heading1"/>
    <w:next w:val="Normal"/>
    <w:uiPriority w:val="39"/>
    <w:unhideWhenUsed/>
    <w:qFormat/>
    <w:rsid w:val="009A4733"/>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9A4733"/>
    <w:pPr>
      <w:spacing w:after="100"/>
    </w:pPr>
  </w:style>
  <w:style w:type="paragraph" w:styleId="TOC2">
    <w:name w:val="toc 2"/>
    <w:basedOn w:val="Normal"/>
    <w:next w:val="Normal"/>
    <w:autoRedefine/>
    <w:uiPriority w:val="39"/>
    <w:unhideWhenUsed/>
    <w:rsid w:val="009A4733"/>
    <w:pPr>
      <w:spacing w:after="100"/>
      <w:ind w:left="240"/>
    </w:pPr>
  </w:style>
  <w:style w:type="paragraph" w:styleId="TOC3">
    <w:name w:val="toc 3"/>
    <w:basedOn w:val="Normal"/>
    <w:next w:val="Normal"/>
    <w:autoRedefine/>
    <w:uiPriority w:val="39"/>
    <w:unhideWhenUsed/>
    <w:rsid w:val="009A4733"/>
    <w:pPr>
      <w:spacing w:after="100"/>
      <w:ind w:left="480"/>
    </w:pPr>
  </w:style>
  <w:style w:type="character" w:styleId="Mention">
    <w:name w:val="Mention"/>
    <w:basedOn w:val="DefaultParagraphFont"/>
    <w:uiPriority w:val="99"/>
    <w:unhideWhenUsed/>
    <w:rsid w:val="009C2B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622">
      <w:bodyDiv w:val="1"/>
      <w:marLeft w:val="0"/>
      <w:marRight w:val="0"/>
      <w:marTop w:val="0"/>
      <w:marBottom w:val="0"/>
      <w:divBdr>
        <w:top w:val="none" w:sz="0" w:space="0" w:color="auto"/>
        <w:left w:val="none" w:sz="0" w:space="0" w:color="auto"/>
        <w:bottom w:val="none" w:sz="0" w:space="0" w:color="auto"/>
        <w:right w:val="none" w:sz="0" w:space="0" w:color="auto"/>
      </w:divBdr>
    </w:div>
    <w:div w:id="75907270">
      <w:bodyDiv w:val="1"/>
      <w:marLeft w:val="0"/>
      <w:marRight w:val="0"/>
      <w:marTop w:val="0"/>
      <w:marBottom w:val="0"/>
      <w:divBdr>
        <w:top w:val="none" w:sz="0" w:space="0" w:color="auto"/>
        <w:left w:val="none" w:sz="0" w:space="0" w:color="auto"/>
        <w:bottom w:val="none" w:sz="0" w:space="0" w:color="auto"/>
        <w:right w:val="none" w:sz="0" w:space="0" w:color="auto"/>
      </w:divBdr>
    </w:div>
    <w:div w:id="515581129">
      <w:bodyDiv w:val="1"/>
      <w:marLeft w:val="0"/>
      <w:marRight w:val="0"/>
      <w:marTop w:val="0"/>
      <w:marBottom w:val="0"/>
      <w:divBdr>
        <w:top w:val="none" w:sz="0" w:space="0" w:color="auto"/>
        <w:left w:val="none" w:sz="0" w:space="0" w:color="auto"/>
        <w:bottom w:val="none" w:sz="0" w:space="0" w:color="auto"/>
        <w:right w:val="none" w:sz="0" w:space="0" w:color="auto"/>
      </w:divBdr>
    </w:div>
    <w:div w:id="540168625">
      <w:bodyDiv w:val="1"/>
      <w:marLeft w:val="0"/>
      <w:marRight w:val="0"/>
      <w:marTop w:val="0"/>
      <w:marBottom w:val="0"/>
      <w:divBdr>
        <w:top w:val="none" w:sz="0" w:space="0" w:color="auto"/>
        <w:left w:val="none" w:sz="0" w:space="0" w:color="auto"/>
        <w:bottom w:val="none" w:sz="0" w:space="0" w:color="auto"/>
        <w:right w:val="none" w:sz="0" w:space="0" w:color="auto"/>
      </w:divBdr>
      <w:divsChild>
        <w:div w:id="1188836410">
          <w:marLeft w:val="0"/>
          <w:marRight w:val="0"/>
          <w:marTop w:val="0"/>
          <w:marBottom w:val="0"/>
          <w:divBdr>
            <w:top w:val="none" w:sz="0" w:space="0" w:color="auto"/>
            <w:left w:val="none" w:sz="0" w:space="0" w:color="auto"/>
            <w:bottom w:val="none" w:sz="0" w:space="0" w:color="auto"/>
            <w:right w:val="none" w:sz="0" w:space="0" w:color="auto"/>
          </w:divBdr>
        </w:div>
        <w:div w:id="598296114">
          <w:marLeft w:val="0"/>
          <w:marRight w:val="0"/>
          <w:marTop w:val="0"/>
          <w:marBottom w:val="0"/>
          <w:divBdr>
            <w:top w:val="none" w:sz="0" w:space="0" w:color="auto"/>
            <w:left w:val="none" w:sz="0" w:space="0" w:color="auto"/>
            <w:bottom w:val="none" w:sz="0" w:space="0" w:color="auto"/>
            <w:right w:val="none" w:sz="0" w:space="0" w:color="auto"/>
          </w:divBdr>
        </w:div>
        <w:div w:id="242957846">
          <w:marLeft w:val="0"/>
          <w:marRight w:val="0"/>
          <w:marTop w:val="0"/>
          <w:marBottom w:val="0"/>
          <w:divBdr>
            <w:top w:val="none" w:sz="0" w:space="0" w:color="auto"/>
            <w:left w:val="none" w:sz="0" w:space="0" w:color="auto"/>
            <w:bottom w:val="none" w:sz="0" w:space="0" w:color="auto"/>
            <w:right w:val="none" w:sz="0" w:space="0" w:color="auto"/>
          </w:divBdr>
        </w:div>
        <w:div w:id="1682078291">
          <w:marLeft w:val="0"/>
          <w:marRight w:val="0"/>
          <w:marTop w:val="0"/>
          <w:marBottom w:val="0"/>
          <w:divBdr>
            <w:top w:val="none" w:sz="0" w:space="0" w:color="auto"/>
            <w:left w:val="none" w:sz="0" w:space="0" w:color="auto"/>
            <w:bottom w:val="none" w:sz="0" w:space="0" w:color="auto"/>
            <w:right w:val="none" w:sz="0" w:space="0" w:color="auto"/>
          </w:divBdr>
        </w:div>
        <w:div w:id="1713771105">
          <w:marLeft w:val="0"/>
          <w:marRight w:val="0"/>
          <w:marTop w:val="0"/>
          <w:marBottom w:val="0"/>
          <w:divBdr>
            <w:top w:val="none" w:sz="0" w:space="0" w:color="auto"/>
            <w:left w:val="none" w:sz="0" w:space="0" w:color="auto"/>
            <w:bottom w:val="none" w:sz="0" w:space="0" w:color="auto"/>
            <w:right w:val="none" w:sz="0" w:space="0" w:color="auto"/>
          </w:divBdr>
        </w:div>
        <w:div w:id="751199456">
          <w:marLeft w:val="0"/>
          <w:marRight w:val="0"/>
          <w:marTop w:val="0"/>
          <w:marBottom w:val="0"/>
          <w:divBdr>
            <w:top w:val="none" w:sz="0" w:space="0" w:color="auto"/>
            <w:left w:val="none" w:sz="0" w:space="0" w:color="auto"/>
            <w:bottom w:val="none" w:sz="0" w:space="0" w:color="auto"/>
            <w:right w:val="none" w:sz="0" w:space="0" w:color="auto"/>
          </w:divBdr>
        </w:div>
        <w:div w:id="2089616568">
          <w:marLeft w:val="0"/>
          <w:marRight w:val="0"/>
          <w:marTop w:val="0"/>
          <w:marBottom w:val="0"/>
          <w:divBdr>
            <w:top w:val="none" w:sz="0" w:space="0" w:color="auto"/>
            <w:left w:val="none" w:sz="0" w:space="0" w:color="auto"/>
            <w:bottom w:val="none" w:sz="0" w:space="0" w:color="auto"/>
            <w:right w:val="none" w:sz="0" w:space="0" w:color="auto"/>
          </w:divBdr>
        </w:div>
      </w:divsChild>
    </w:div>
    <w:div w:id="548340469">
      <w:bodyDiv w:val="1"/>
      <w:marLeft w:val="0"/>
      <w:marRight w:val="0"/>
      <w:marTop w:val="0"/>
      <w:marBottom w:val="0"/>
      <w:divBdr>
        <w:top w:val="none" w:sz="0" w:space="0" w:color="auto"/>
        <w:left w:val="none" w:sz="0" w:space="0" w:color="auto"/>
        <w:bottom w:val="none" w:sz="0" w:space="0" w:color="auto"/>
        <w:right w:val="none" w:sz="0" w:space="0" w:color="auto"/>
      </w:divBdr>
    </w:div>
    <w:div w:id="799224530">
      <w:bodyDiv w:val="1"/>
      <w:marLeft w:val="0"/>
      <w:marRight w:val="0"/>
      <w:marTop w:val="0"/>
      <w:marBottom w:val="0"/>
      <w:divBdr>
        <w:top w:val="none" w:sz="0" w:space="0" w:color="auto"/>
        <w:left w:val="none" w:sz="0" w:space="0" w:color="auto"/>
        <w:bottom w:val="none" w:sz="0" w:space="0" w:color="auto"/>
        <w:right w:val="none" w:sz="0" w:space="0" w:color="auto"/>
      </w:divBdr>
      <w:divsChild>
        <w:div w:id="1569149005">
          <w:marLeft w:val="0"/>
          <w:marRight w:val="0"/>
          <w:marTop w:val="0"/>
          <w:marBottom w:val="0"/>
          <w:divBdr>
            <w:top w:val="none" w:sz="0" w:space="0" w:color="auto"/>
            <w:left w:val="none" w:sz="0" w:space="0" w:color="auto"/>
            <w:bottom w:val="none" w:sz="0" w:space="0" w:color="auto"/>
            <w:right w:val="none" w:sz="0" w:space="0" w:color="auto"/>
          </w:divBdr>
        </w:div>
        <w:div w:id="1065108522">
          <w:marLeft w:val="0"/>
          <w:marRight w:val="0"/>
          <w:marTop w:val="0"/>
          <w:marBottom w:val="0"/>
          <w:divBdr>
            <w:top w:val="none" w:sz="0" w:space="0" w:color="auto"/>
            <w:left w:val="none" w:sz="0" w:space="0" w:color="auto"/>
            <w:bottom w:val="none" w:sz="0" w:space="0" w:color="auto"/>
            <w:right w:val="none" w:sz="0" w:space="0" w:color="auto"/>
          </w:divBdr>
        </w:div>
        <w:div w:id="643973775">
          <w:marLeft w:val="0"/>
          <w:marRight w:val="0"/>
          <w:marTop w:val="0"/>
          <w:marBottom w:val="0"/>
          <w:divBdr>
            <w:top w:val="none" w:sz="0" w:space="0" w:color="auto"/>
            <w:left w:val="none" w:sz="0" w:space="0" w:color="auto"/>
            <w:bottom w:val="none" w:sz="0" w:space="0" w:color="auto"/>
            <w:right w:val="none" w:sz="0" w:space="0" w:color="auto"/>
          </w:divBdr>
        </w:div>
        <w:div w:id="1908831972">
          <w:marLeft w:val="0"/>
          <w:marRight w:val="0"/>
          <w:marTop w:val="0"/>
          <w:marBottom w:val="0"/>
          <w:divBdr>
            <w:top w:val="none" w:sz="0" w:space="0" w:color="auto"/>
            <w:left w:val="none" w:sz="0" w:space="0" w:color="auto"/>
            <w:bottom w:val="none" w:sz="0" w:space="0" w:color="auto"/>
            <w:right w:val="none" w:sz="0" w:space="0" w:color="auto"/>
          </w:divBdr>
        </w:div>
      </w:divsChild>
    </w:div>
    <w:div w:id="845365125">
      <w:bodyDiv w:val="1"/>
      <w:marLeft w:val="0"/>
      <w:marRight w:val="0"/>
      <w:marTop w:val="0"/>
      <w:marBottom w:val="0"/>
      <w:divBdr>
        <w:top w:val="none" w:sz="0" w:space="0" w:color="auto"/>
        <w:left w:val="none" w:sz="0" w:space="0" w:color="auto"/>
        <w:bottom w:val="none" w:sz="0" w:space="0" w:color="auto"/>
        <w:right w:val="none" w:sz="0" w:space="0" w:color="auto"/>
      </w:divBdr>
    </w:div>
    <w:div w:id="1036000819">
      <w:bodyDiv w:val="1"/>
      <w:marLeft w:val="0"/>
      <w:marRight w:val="0"/>
      <w:marTop w:val="0"/>
      <w:marBottom w:val="0"/>
      <w:divBdr>
        <w:top w:val="none" w:sz="0" w:space="0" w:color="auto"/>
        <w:left w:val="none" w:sz="0" w:space="0" w:color="auto"/>
        <w:bottom w:val="none" w:sz="0" w:space="0" w:color="auto"/>
        <w:right w:val="none" w:sz="0" w:space="0" w:color="auto"/>
      </w:divBdr>
    </w:div>
    <w:div w:id="1184513457">
      <w:bodyDiv w:val="1"/>
      <w:marLeft w:val="0"/>
      <w:marRight w:val="0"/>
      <w:marTop w:val="0"/>
      <w:marBottom w:val="0"/>
      <w:divBdr>
        <w:top w:val="none" w:sz="0" w:space="0" w:color="auto"/>
        <w:left w:val="none" w:sz="0" w:space="0" w:color="auto"/>
        <w:bottom w:val="none" w:sz="0" w:space="0" w:color="auto"/>
        <w:right w:val="none" w:sz="0" w:space="0" w:color="auto"/>
      </w:divBdr>
    </w:div>
    <w:div w:id="1393164324">
      <w:bodyDiv w:val="1"/>
      <w:marLeft w:val="0"/>
      <w:marRight w:val="0"/>
      <w:marTop w:val="0"/>
      <w:marBottom w:val="0"/>
      <w:divBdr>
        <w:top w:val="none" w:sz="0" w:space="0" w:color="auto"/>
        <w:left w:val="none" w:sz="0" w:space="0" w:color="auto"/>
        <w:bottom w:val="none" w:sz="0" w:space="0" w:color="auto"/>
        <w:right w:val="none" w:sz="0" w:space="0" w:color="auto"/>
      </w:divBdr>
    </w:div>
    <w:div w:id="1563248291">
      <w:bodyDiv w:val="1"/>
      <w:marLeft w:val="0"/>
      <w:marRight w:val="0"/>
      <w:marTop w:val="0"/>
      <w:marBottom w:val="0"/>
      <w:divBdr>
        <w:top w:val="none" w:sz="0" w:space="0" w:color="auto"/>
        <w:left w:val="none" w:sz="0" w:space="0" w:color="auto"/>
        <w:bottom w:val="none" w:sz="0" w:space="0" w:color="auto"/>
        <w:right w:val="none" w:sz="0" w:space="0" w:color="auto"/>
      </w:divBdr>
    </w:div>
    <w:div w:id="1846089830">
      <w:bodyDiv w:val="1"/>
      <w:marLeft w:val="0"/>
      <w:marRight w:val="0"/>
      <w:marTop w:val="0"/>
      <w:marBottom w:val="0"/>
      <w:divBdr>
        <w:top w:val="none" w:sz="0" w:space="0" w:color="auto"/>
        <w:left w:val="none" w:sz="0" w:space="0" w:color="auto"/>
        <w:bottom w:val="none" w:sz="0" w:space="0" w:color="auto"/>
        <w:right w:val="none" w:sz="0" w:space="0" w:color="auto"/>
      </w:divBdr>
    </w:div>
    <w:div w:id="1932199871">
      <w:bodyDiv w:val="1"/>
      <w:marLeft w:val="0"/>
      <w:marRight w:val="0"/>
      <w:marTop w:val="0"/>
      <w:marBottom w:val="0"/>
      <w:divBdr>
        <w:top w:val="none" w:sz="0" w:space="0" w:color="auto"/>
        <w:left w:val="none" w:sz="0" w:space="0" w:color="auto"/>
        <w:bottom w:val="none" w:sz="0" w:space="0" w:color="auto"/>
        <w:right w:val="none" w:sz="0" w:space="0" w:color="auto"/>
      </w:divBdr>
    </w:div>
    <w:div w:id="2081975050">
      <w:bodyDiv w:val="1"/>
      <w:marLeft w:val="0"/>
      <w:marRight w:val="0"/>
      <w:marTop w:val="0"/>
      <w:marBottom w:val="0"/>
      <w:divBdr>
        <w:top w:val="none" w:sz="0" w:space="0" w:color="auto"/>
        <w:left w:val="none" w:sz="0" w:space="0" w:color="auto"/>
        <w:bottom w:val="none" w:sz="0" w:space="0" w:color="auto"/>
        <w:right w:val="none" w:sz="0" w:space="0" w:color="auto"/>
      </w:divBdr>
      <w:divsChild>
        <w:div w:id="172064323">
          <w:marLeft w:val="0"/>
          <w:marRight w:val="0"/>
          <w:marTop w:val="0"/>
          <w:marBottom w:val="0"/>
          <w:divBdr>
            <w:top w:val="none" w:sz="0" w:space="0" w:color="auto"/>
            <w:left w:val="none" w:sz="0" w:space="0" w:color="auto"/>
            <w:bottom w:val="none" w:sz="0" w:space="0" w:color="auto"/>
            <w:right w:val="none" w:sz="0" w:space="0" w:color="auto"/>
          </w:divBdr>
        </w:div>
        <w:div w:id="1831172528">
          <w:marLeft w:val="0"/>
          <w:marRight w:val="0"/>
          <w:marTop w:val="0"/>
          <w:marBottom w:val="0"/>
          <w:divBdr>
            <w:top w:val="none" w:sz="0" w:space="0" w:color="auto"/>
            <w:left w:val="none" w:sz="0" w:space="0" w:color="auto"/>
            <w:bottom w:val="none" w:sz="0" w:space="0" w:color="auto"/>
            <w:right w:val="none" w:sz="0" w:space="0" w:color="auto"/>
          </w:divBdr>
        </w:div>
        <w:div w:id="228809277">
          <w:marLeft w:val="0"/>
          <w:marRight w:val="0"/>
          <w:marTop w:val="0"/>
          <w:marBottom w:val="0"/>
          <w:divBdr>
            <w:top w:val="none" w:sz="0" w:space="0" w:color="auto"/>
            <w:left w:val="none" w:sz="0" w:space="0" w:color="auto"/>
            <w:bottom w:val="none" w:sz="0" w:space="0" w:color="auto"/>
            <w:right w:val="none" w:sz="0" w:space="0" w:color="auto"/>
          </w:divBdr>
        </w:div>
        <w:div w:id="1857578137">
          <w:marLeft w:val="0"/>
          <w:marRight w:val="0"/>
          <w:marTop w:val="0"/>
          <w:marBottom w:val="0"/>
          <w:divBdr>
            <w:top w:val="none" w:sz="0" w:space="0" w:color="auto"/>
            <w:left w:val="none" w:sz="0" w:space="0" w:color="auto"/>
            <w:bottom w:val="none" w:sz="0" w:space="0" w:color="auto"/>
            <w:right w:val="none" w:sz="0" w:space="0" w:color="auto"/>
          </w:divBdr>
        </w:div>
        <w:div w:id="2044288572">
          <w:marLeft w:val="0"/>
          <w:marRight w:val="0"/>
          <w:marTop w:val="0"/>
          <w:marBottom w:val="0"/>
          <w:divBdr>
            <w:top w:val="none" w:sz="0" w:space="0" w:color="auto"/>
            <w:left w:val="none" w:sz="0" w:space="0" w:color="auto"/>
            <w:bottom w:val="none" w:sz="0" w:space="0" w:color="auto"/>
            <w:right w:val="none" w:sz="0" w:space="0" w:color="auto"/>
          </w:divBdr>
        </w:div>
        <w:div w:id="1114711090">
          <w:marLeft w:val="0"/>
          <w:marRight w:val="0"/>
          <w:marTop w:val="0"/>
          <w:marBottom w:val="0"/>
          <w:divBdr>
            <w:top w:val="none" w:sz="0" w:space="0" w:color="auto"/>
            <w:left w:val="none" w:sz="0" w:space="0" w:color="auto"/>
            <w:bottom w:val="none" w:sz="0" w:space="0" w:color="auto"/>
            <w:right w:val="none" w:sz="0" w:space="0" w:color="auto"/>
          </w:divBdr>
        </w:div>
        <w:div w:id="921527399">
          <w:marLeft w:val="0"/>
          <w:marRight w:val="0"/>
          <w:marTop w:val="0"/>
          <w:marBottom w:val="0"/>
          <w:divBdr>
            <w:top w:val="none" w:sz="0" w:space="0" w:color="auto"/>
            <w:left w:val="none" w:sz="0" w:space="0" w:color="auto"/>
            <w:bottom w:val="none" w:sz="0" w:space="0" w:color="auto"/>
            <w:right w:val="none" w:sz="0" w:space="0" w:color="auto"/>
          </w:divBdr>
        </w:div>
      </w:divsChild>
    </w:div>
    <w:div w:id="2121604882">
      <w:bodyDiv w:val="1"/>
      <w:marLeft w:val="0"/>
      <w:marRight w:val="0"/>
      <w:marTop w:val="0"/>
      <w:marBottom w:val="0"/>
      <w:divBdr>
        <w:top w:val="none" w:sz="0" w:space="0" w:color="auto"/>
        <w:left w:val="none" w:sz="0" w:space="0" w:color="auto"/>
        <w:bottom w:val="none" w:sz="0" w:space="0" w:color="auto"/>
        <w:right w:val="none" w:sz="0" w:space="0" w:color="auto"/>
      </w:divBdr>
      <w:divsChild>
        <w:div w:id="577977856">
          <w:marLeft w:val="0"/>
          <w:marRight w:val="0"/>
          <w:marTop w:val="0"/>
          <w:marBottom w:val="0"/>
          <w:divBdr>
            <w:top w:val="none" w:sz="0" w:space="0" w:color="auto"/>
            <w:left w:val="none" w:sz="0" w:space="0" w:color="auto"/>
            <w:bottom w:val="none" w:sz="0" w:space="0" w:color="auto"/>
            <w:right w:val="none" w:sz="0" w:space="0" w:color="auto"/>
          </w:divBdr>
          <w:divsChild>
            <w:div w:id="997221549">
              <w:marLeft w:val="0"/>
              <w:marRight w:val="0"/>
              <w:marTop w:val="0"/>
              <w:marBottom w:val="0"/>
              <w:divBdr>
                <w:top w:val="none" w:sz="0" w:space="0" w:color="auto"/>
                <w:left w:val="none" w:sz="0" w:space="0" w:color="auto"/>
                <w:bottom w:val="none" w:sz="0" w:space="0" w:color="auto"/>
                <w:right w:val="none" w:sz="0" w:space="0" w:color="auto"/>
              </w:divBdr>
            </w:div>
            <w:div w:id="1747191822">
              <w:marLeft w:val="0"/>
              <w:marRight w:val="0"/>
              <w:marTop w:val="0"/>
              <w:marBottom w:val="0"/>
              <w:divBdr>
                <w:top w:val="none" w:sz="0" w:space="0" w:color="auto"/>
                <w:left w:val="none" w:sz="0" w:space="0" w:color="auto"/>
                <w:bottom w:val="none" w:sz="0" w:space="0" w:color="auto"/>
                <w:right w:val="none" w:sz="0" w:space="0" w:color="auto"/>
              </w:divBdr>
            </w:div>
            <w:div w:id="930087905">
              <w:marLeft w:val="0"/>
              <w:marRight w:val="0"/>
              <w:marTop w:val="0"/>
              <w:marBottom w:val="0"/>
              <w:divBdr>
                <w:top w:val="none" w:sz="0" w:space="0" w:color="auto"/>
                <w:left w:val="none" w:sz="0" w:space="0" w:color="auto"/>
                <w:bottom w:val="none" w:sz="0" w:space="0" w:color="auto"/>
                <w:right w:val="none" w:sz="0" w:space="0" w:color="auto"/>
              </w:divBdr>
            </w:div>
            <w:div w:id="1487235881">
              <w:marLeft w:val="0"/>
              <w:marRight w:val="0"/>
              <w:marTop w:val="0"/>
              <w:marBottom w:val="0"/>
              <w:divBdr>
                <w:top w:val="none" w:sz="0" w:space="0" w:color="auto"/>
                <w:left w:val="none" w:sz="0" w:space="0" w:color="auto"/>
                <w:bottom w:val="none" w:sz="0" w:space="0" w:color="auto"/>
                <w:right w:val="none" w:sz="0" w:space="0" w:color="auto"/>
              </w:divBdr>
            </w:div>
          </w:divsChild>
        </w:div>
        <w:div w:id="45691073">
          <w:marLeft w:val="0"/>
          <w:marRight w:val="0"/>
          <w:marTop w:val="0"/>
          <w:marBottom w:val="0"/>
          <w:divBdr>
            <w:top w:val="none" w:sz="0" w:space="0" w:color="auto"/>
            <w:left w:val="none" w:sz="0" w:space="0" w:color="auto"/>
            <w:bottom w:val="none" w:sz="0" w:space="0" w:color="auto"/>
            <w:right w:val="none" w:sz="0" w:space="0" w:color="auto"/>
          </w:divBdr>
          <w:divsChild>
            <w:div w:id="1250386060">
              <w:marLeft w:val="0"/>
              <w:marRight w:val="0"/>
              <w:marTop w:val="0"/>
              <w:marBottom w:val="0"/>
              <w:divBdr>
                <w:top w:val="none" w:sz="0" w:space="0" w:color="auto"/>
                <w:left w:val="none" w:sz="0" w:space="0" w:color="auto"/>
                <w:bottom w:val="none" w:sz="0" w:space="0" w:color="auto"/>
                <w:right w:val="none" w:sz="0" w:space="0" w:color="auto"/>
              </w:divBdr>
            </w:div>
            <w:div w:id="2124959007">
              <w:marLeft w:val="0"/>
              <w:marRight w:val="0"/>
              <w:marTop w:val="0"/>
              <w:marBottom w:val="0"/>
              <w:divBdr>
                <w:top w:val="none" w:sz="0" w:space="0" w:color="auto"/>
                <w:left w:val="none" w:sz="0" w:space="0" w:color="auto"/>
                <w:bottom w:val="none" w:sz="0" w:space="0" w:color="auto"/>
                <w:right w:val="none" w:sz="0" w:space="0" w:color="auto"/>
              </w:divBdr>
            </w:div>
            <w:div w:id="9236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s.de/DE/Soziales/Teilhabe-und-Inklusion/European-Regional-Disability-Summit/european-regional-disability-summit-english.html" TargetMode="External"/><Relationship Id="rId18" Type="http://schemas.openxmlformats.org/officeDocument/2006/relationships/hyperlink" Target="https://gds.idata.tools/home" TargetMode="External"/><Relationship Id="rId26" Type="http://schemas.openxmlformats.org/officeDocument/2006/relationships/hyperlink" Target="https://wikis.ec.europa.eu/display/ExactExternalWiki/Leaving+no+one+behind+-+Disability+inclusion+in+EU+external+action" TargetMode="External"/><Relationship Id="rId3" Type="http://schemas.openxmlformats.org/officeDocument/2006/relationships/customXml" Target="../customXml/item3.xml"/><Relationship Id="rId21" Type="http://schemas.openxmlformats.org/officeDocument/2006/relationships/hyperlink" Target="https://www.undp.org/geneva/disability-inclusion-and-resilienc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df-feph.org/survey-opd-input-ahead-of-disability-summits/" TargetMode="External"/><Relationship Id="rId25" Type="http://schemas.openxmlformats.org/officeDocument/2006/relationships/hyperlink" Target="https://www.edf-feph.org/projects/mapping-disability-inclusiveness-of-european-member-states-development-and-humanitarianai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f-feph.org/gds-workshops-opd-consultations/" TargetMode="External"/><Relationship Id="rId20" Type="http://schemas.openxmlformats.org/officeDocument/2006/relationships/hyperlink" Target="https://www.undp.org/geneva/disability-inclusion-and-resilience" TargetMode="External"/><Relationship Id="rId29" Type="http://schemas.openxmlformats.org/officeDocument/2006/relationships/hyperlink" Target="https://www.bmas.de/DE/Soziales/Teilhabe-und-Inklusion/European-Regional-Disability-Summit/european-regional-disability-summit-english.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fcdo-disability-inclusion-and-rights-strategy-2022-to-2030"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international.cooperation@edf-feph.org" TargetMode="External"/><Relationship Id="rId23" Type="http://schemas.openxmlformats.org/officeDocument/2006/relationships/hyperlink" Target="https://www.who.int/europe/health-topics/disability" TargetMode="External"/><Relationship Id="rId28" Type="http://schemas.openxmlformats.org/officeDocument/2006/relationships/hyperlink" Target="https://www.who.int/publications/i/item/9789240101517" TargetMode="External"/><Relationship Id="rId10" Type="http://schemas.openxmlformats.org/officeDocument/2006/relationships/endnotes" Target="endnotes.xml"/><Relationship Id="rId19" Type="http://schemas.openxmlformats.org/officeDocument/2006/relationships/hyperlink" Target="https://www.edf-feph.org/gds-toolkit-opd-engagemen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baldisabilitysummit.org/" TargetMode="External"/><Relationship Id="rId22" Type="http://schemas.openxmlformats.org/officeDocument/2006/relationships/hyperlink" Target="https://gds.idata.tools/home" TargetMode="External"/><Relationship Id="rId27" Type="http://schemas.openxmlformats.org/officeDocument/2006/relationships/hyperlink" Target="https://www.who.int/news-room/feature-stories/detail/montenegro--the-first-country-in-the-european-region-to-implement-the-who-disability-guide-for-action" TargetMode="External"/><Relationship Id="rId30" Type="http://schemas.openxmlformats.org/officeDocument/2006/relationships/footer" Target="footer1.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4A34CA5B-C802-46AA-8E66-3F0E667E26FB}">
    <t:Anchor>
      <t:Comment id="1605200117"/>
    </t:Anchor>
    <t:History>
      <t:Event id="{54B89D34-CA0F-4FB8-BFD3-ED8FE45EDBB8}" time="2024-11-08T11:53:25.5Z">
        <t:Attribution userId="S::marion.steff@edf-feph.org::ec10c335-d335-47a8-b584-1b61dec0cc6d" userProvider="AD" userName="Marion Steff"/>
        <t:Anchor>
          <t:Comment id="886062283"/>
        </t:Anchor>
        <t:Create/>
      </t:Event>
      <t:Event id="{F88A4F65-8EEA-4A1B-8DE2-2A10E6DB5C02}" time="2024-11-08T11:53:25.5Z">
        <t:Attribution userId="S::marion.steff@edf-feph.org::ec10c335-d335-47a8-b584-1b61dec0cc6d" userProvider="AD" userName="Marion Steff"/>
        <t:Anchor>
          <t:Comment id="886062283"/>
        </t:Anchor>
        <t:Assign userId="S::ansofie.leenknecht@edf-feph.org::0b42260d-c519-4214-a968-50d5531fc0e3" userProvider="AD" userName="An-Sofie Leenknecht"/>
      </t:Event>
      <t:Event id="{15DB828B-CAFE-437A-8E36-A559FF498E5A}" time="2024-11-08T11:53:25.5Z">
        <t:Attribution userId="S::marion.steff@edf-feph.org::ec10c335-d335-47a8-b584-1b61dec0cc6d" userProvider="AD" userName="Marion Steff"/>
        <t:Anchor>
          <t:Comment id="886062283"/>
        </t:Anchor>
        <t:SetTitle title="…you calling for a strategy to apply the European Convention on Human Rights and the EU Charter of Fundamental Rights? I think we can discuss this maybe as a commitments the EU could make for the GDS. What do you think @An-Sofie Leenknecht @Erika Huds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Date xmlns="0fe2a510-a2c2-4b20-ace0-d2dc9aae6186" xsi:nil="true"/>
    <Person xmlns="0fe2a510-a2c2-4b20-ace0-d2dc9aae6186" xsi:nil="true"/>
    <SharedWithUsers xmlns="ac37fd43-1c6c-4dd3-9001-a3de47387395">
      <UserInfo>
        <DisplayName/>
        <AccountId xsi:nil="true"/>
        <AccountType/>
      </UserInfo>
    </SharedWithUsers>
    <lcf76f155ced4ddcb4097134ff3c332f xmlns="0fe2a510-a2c2-4b20-ace0-d2dc9aae6186">
      <Terms xmlns="http://schemas.microsoft.com/office/infopath/2007/PartnerControls"/>
    </lcf76f155ced4ddcb4097134ff3c332f>
    <TaxCatchAll xmlns="ac37fd43-1c6c-4dd3-9001-a3de473873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E1C49-B1BB-4A92-8037-397C02C146E0}">
  <ds:schemaRef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ac37fd43-1c6c-4dd3-9001-a3de47387395"/>
    <ds:schemaRef ds:uri="0fe2a510-a2c2-4b20-ace0-d2dc9aae6186"/>
    <ds:schemaRef ds:uri="http://schemas.microsoft.com/office/2006/metadata/properties"/>
  </ds:schemaRefs>
</ds:datastoreItem>
</file>

<file path=customXml/itemProps2.xml><?xml version="1.0" encoding="utf-8"?>
<ds:datastoreItem xmlns:ds="http://schemas.openxmlformats.org/officeDocument/2006/customXml" ds:itemID="{22496EE3-4A38-4652-9181-B2A4220AB6E4}">
  <ds:schemaRefs>
    <ds:schemaRef ds:uri="http://schemas.microsoft.com/sharepoint/v3/contenttype/forms"/>
  </ds:schemaRefs>
</ds:datastoreItem>
</file>

<file path=customXml/itemProps3.xml><?xml version="1.0" encoding="utf-8"?>
<ds:datastoreItem xmlns:ds="http://schemas.openxmlformats.org/officeDocument/2006/customXml" ds:itemID="{92F2FD0D-EAA6-46B3-B479-E0B8203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7AA88-117D-436B-A1F5-9F9DE686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6005</Words>
  <Characters>34229</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40154</CharactersWithSpaces>
  <SharedDoc>false</SharedDoc>
  <HLinks>
    <vt:vector size="210" baseType="variant">
      <vt:variant>
        <vt:i4>4259942</vt:i4>
      </vt:variant>
      <vt:variant>
        <vt:i4>180</vt:i4>
      </vt:variant>
      <vt:variant>
        <vt:i4>0</vt:i4>
      </vt:variant>
      <vt:variant>
        <vt:i4>5</vt:i4>
      </vt:variant>
      <vt:variant>
        <vt:lpwstr>mailto:international.cooperation@edf-feph.org</vt:lpwstr>
      </vt:variant>
      <vt:variant>
        <vt:lpwstr/>
      </vt:variant>
      <vt:variant>
        <vt:i4>6750317</vt:i4>
      </vt:variant>
      <vt:variant>
        <vt:i4>177</vt:i4>
      </vt:variant>
      <vt:variant>
        <vt:i4>0</vt:i4>
      </vt:variant>
      <vt:variant>
        <vt:i4>5</vt:i4>
      </vt:variant>
      <vt:variant>
        <vt:lpwstr>https://www.edf-feph.org/survey-opd-input-ahead-of-disability-summits/</vt:lpwstr>
      </vt:variant>
      <vt:variant>
        <vt:lpwstr/>
      </vt:variant>
      <vt:variant>
        <vt:i4>1376277</vt:i4>
      </vt:variant>
      <vt:variant>
        <vt:i4>174</vt:i4>
      </vt:variant>
      <vt:variant>
        <vt:i4>0</vt:i4>
      </vt:variant>
      <vt:variant>
        <vt:i4>5</vt:i4>
      </vt:variant>
      <vt:variant>
        <vt:lpwstr>https://www.edf-feph.org/gds-workshops-opd-consultations/</vt:lpwstr>
      </vt:variant>
      <vt:variant>
        <vt:lpwstr/>
      </vt:variant>
      <vt:variant>
        <vt:i4>3145787</vt:i4>
      </vt:variant>
      <vt:variant>
        <vt:i4>171</vt:i4>
      </vt:variant>
      <vt:variant>
        <vt:i4>0</vt:i4>
      </vt:variant>
      <vt:variant>
        <vt:i4>5</vt:i4>
      </vt:variant>
      <vt:variant>
        <vt:lpwstr>https://www.bmas.de/DE/Soziales/Teilhabe-und-Inklusion/European-Regional-Disability-Summit/european-regional-disability-summit-english.html</vt:lpwstr>
      </vt:variant>
      <vt:variant>
        <vt:lpwstr/>
      </vt:variant>
      <vt:variant>
        <vt:i4>2162812</vt:i4>
      </vt:variant>
      <vt:variant>
        <vt:i4>168</vt:i4>
      </vt:variant>
      <vt:variant>
        <vt:i4>0</vt:i4>
      </vt:variant>
      <vt:variant>
        <vt:i4>5</vt:i4>
      </vt:variant>
      <vt:variant>
        <vt:lpwstr>https://www.who.int/news-room/feature-stories/detail/montenegro--the-first-country-in-the-european-region-to-implement-the-who-disability-guide-for-action</vt:lpwstr>
      </vt:variant>
      <vt:variant>
        <vt:lpwstr/>
      </vt:variant>
      <vt:variant>
        <vt:i4>8192098</vt:i4>
      </vt:variant>
      <vt:variant>
        <vt:i4>165</vt:i4>
      </vt:variant>
      <vt:variant>
        <vt:i4>0</vt:i4>
      </vt:variant>
      <vt:variant>
        <vt:i4>5</vt:i4>
      </vt:variant>
      <vt:variant>
        <vt:lpwstr>https://wikis.ec.europa.eu/display/ExactExternalWiki/Leaving+no+one+behind+-+Disability+inclusion+in+EU+external+action</vt:lpwstr>
      </vt:variant>
      <vt:variant>
        <vt:lpwstr/>
      </vt:variant>
      <vt:variant>
        <vt:i4>1572952</vt:i4>
      </vt:variant>
      <vt:variant>
        <vt:i4>162</vt:i4>
      </vt:variant>
      <vt:variant>
        <vt:i4>0</vt:i4>
      </vt:variant>
      <vt:variant>
        <vt:i4>5</vt:i4>
      </vt:variant>
      <vt:variant>
        <vt:lpwstr>https://www.edf-feph.org/projects/mapping-disability-inclusiveness-of-european-member-states-development-and-humanitarianaid/</vt:lpwstr>
      </vt:variant>
      <vt:variant>
        <vt:lpwstr/>
      </vt:variant>
      <vt:variant>
        <vt:i4>7471138</vt:i4>
      </vt:variant>
      <vt:variant>
        <vt:i4>159</vt:i4>
      </vt:variant>
      <vt:variant>
        <vt:i4>0</vt:i4>
      </vt:variant>
      <vt:variant>
        <vt:i4>5</vt:i4>
      </vt:variant>
      <vt:variant>
        <vt:lpwstr>https://www.gov.uk/government/publications/fcdo-disability-inclusion-and-rights-strategy-2022-to-2030</vt:lpwstr>
      </vt:variant>
      <vt:variant>
        <vt:lpwstr>:~:text=The%20strategy%20reaffirms%20the%20UK%E2%80%99s%20commitment%20to%20act</vt:lpwstr>
      </vt:variant>
      <vt:variant>
        <vt:i4>5636110</vt:i4>
      </vt:variant>
      <vt:variant>
        <vt:i4>156</vt:i4>
      </vt:variant>
      <vt:variant>
        <vt:i4>0</vt:i4>
      </vt:variant>
      <vt:variant>
        <vt:i4>5</vt:i4>
      </vt:variant>
      <vt:variant>
        <vt:lpwstr>https://www.edf-feph.org/gds-toolkit-opd-engagement/</vt:lpwstr>
      </vt:variant>
      <vt:variant>
        <vt:lpwstr/>
      </vt:variant>
      <vt:variant>
        <vt:i4>4390992</vt:i4>
      </vt:variant>
      <vt:variant>
        <vt:i4>153</vt:i4>
      </vt:variant>
      <vt:variant>
        <vt:i4>0</vt:i4>
      </vt:variant>
      <vt:variant>
        <vt:i4>5</vt:i4>
      </vt:variant>
      <vt:variant>
        <vt:lpwstr>https://gds.idata.tools/home</vt:lpwstr>
      </vt:variant>
      <vt:variant>
        <vt:lpwstr/>
      </vt:variant>
      <vt:variant>
        <vt:i4>1572912</vt:i4>
      </vt:variant>
      <vt:variant>
        <vt:i4>146</vt:i4>
      </vt:variant>
      <vt:variant>
        <vt:i4>0</vt:i4>
      </vt:variant>
      <vt:variant>
        <vt:i4>5</vt:i4>
      </vt:variant>
      <vt:variant>
        <vt:lpwstr/>
      </vt:variant>
      <vt:variant>
        <vt:lpwstr>_Toc187666071</vt:lpwstr>
      </vt:variant>
      <vt:variant>
        <vt:i4>1572912</vt:i4>
      </vt:variant>
      <vt:variant>
        <vt:i4>140</vt:i4>
      </vt:variant>
      <vt:variant>
        <vt:i4>0</vt:i4>
      </vt:variant>
      <vt:variant>
        <vt:i4>5</vt:i4>
      </vt:variant>
      <vt:variant>
        <vt:lpwstr/>
      </vt:variant>
      <vt:variant>
        <vt:lpwstr>_Toc187666070</vt:lpwstr>
      </vt:variant>
      <vt:variant>
        <vt:i4>1638448</vt:i4>
      </vt:variant>
      <vt:variant>
        <vt:i4>134</vt:i4>
      </vt:variant>
      <vt:variant>
        <vt:i4>0</vt:i4>
      </vt:variant>
      <vt:variant>
        <vt:i4>5</vt:i4>
      </vt:variant>
      <vt:variant>
        <vt:lpwstr/>
      </vt:variant>
      <vt:variant>
        <vt:lpwstr>_Toc187666069</vt:lpwstr>
      </vt:variant>
      <vt:variant>
        <vt:i4>1638448</vt:i4>
      </vt:variant>
      <vt:variant>
        <vt:i4>128</vt:i4>
      </vt:variant>
      <vt:variant>
        <vt:i4>0</vt:i4>
      </vt:variant>
      <vt:variant>
        <vt:i4>5</vt:i4>
      </vt:variant>
      <vt:variant>
        <vt:lpwstr/>
      </vt:variant>
      <vt:variant>
        <vt:lpwstr>_Toc187666068</vt:lpwstr>
      </vt:variant>
      <vt:variant>
        <vt:i4>1638448</vt:i4>
      </vt:variant>
      <vt:variant>
        <vt:i4>122</vt:i4>
      </vt:variant>
      <vt:variant>
        <vt:i4>0</vt:i4>
      </vt:variant>
      <vt:variant>
        <vt:i4>5</vt:i4>
      </vt:variant>
      <vt:variant>
        <vt:lpwstr/>
      </vt:variant>
      <vt:variant>
        <vt:lpwstr>_Toc187666067</vt:lpwstr>
      </vt:variant>
      <vt:variant>
        <vt:i4>1638448</vt:i4>
      </vt:variant>
      <vt:variant>
        <vt:i4>116</vt:i4>
      </vt:variant>
      <vt:variant>
        <vt:i4>0</vt:i4>
      </vt:variant>
      <vt:variant>
        <vt:i4>5</vt:i4>
      </vt:variant>
      <vt:variant>
        <vt:lpwstr/>
      </vt:variant>
      <vt:variant>
        <vt:lpwstr>_Toc187666066</vt:lpwstr>
      </vt:variant>
      <vt:variant>
        <vt:i4>1638448</vt:i4>
      </vt:variant>
      <vt:variant>
        <vt:i4>110</vt:i4>
      </vt:variant>
      <vt:variant>
        <vt:i4>0</vt:i4>
      </vt:variant>
      <vt:variant>
        <vt:i4>5</vt:i4>
      </vt:variant>
      <vt:variant>
        <vt:lpwstr/>
      </vt:variant>
      <vt:variant>
        <vt:lpwstr>_Toc187666065</vt:lpwstr>
      </vt:variant>
      <vt:variant>
        <vt:i4>1638448</vt:i4>
      </vt:variant>
      <vt:variant>
        <vt:i4>104</vt:i4>
      </vt:variant>
      <vt:variant>
        <vt:i4>0</vt:i4>
      </vt:variant>
      <vt:variant>
        <vt:i4>5</vt:i4>
      </vt:variant>
      <vt:variant>
        <vt:lpwstr/>
      </vt:variant>
      <vt:variant>
        <vt:lpwstr>_Toc187666064</vt:lpwstr>
      </vt:variant>
      <vt:variant>
        <vt:i4>1638448</vt:i4>
      </vt:variant>
      <vt:variant>
        <vt:i4>98</vt:i4>
      </vt:variant>
      <vt:variant>
        <vt:i4>0</vt:i4>
      </vt:variant>
      <vt:variant>
        <vt:i4>5</vt:i4>
      </vt:variant>
      <vt:variant>
        <vt:lpwstr/>
      </vt:variant>
      <vt:variant>
        <vt:lpwstr>_Toc187666063</vt:lpwstr>
      </vt:variant>
      <vt:variant>
        <vt:i4>1638448</vt:i4>
      </vt:variant>
      <vt:variant>
        <vt:i4>92</vt:i4>
      </vt:variant>
      <vt:variant>
        <vt:i4>0</vt:i4>
      </vt:variant>
      <vt:variant>
        <vt:i4>5</vt:i4>
      </vt:variant>
      <vt:variant>
        <vt:lpwstr/>
      </vt:variant>
      <vt:variant>
        <vt:lpwstr>_Toc187666062</vt:lpwstr>
      </vt:variant>
      <vt:variant>
        <vt:i4>1638448</vt:i4>
      </vt:variant>
      <vt:variant>
        <vt:i4>86</vt:i4>
      </vt:variant>
      <vt:variant>
        <vt:i4>0</vt:i4>
      </vt:variant>
      <vt:variant>
        <vt:i4>5</vt:i4>
      </vt:variant>
      <vt:variant>
        <vt:lpwstr/>
      </vt:variant>
      <vt:variant>
        <vt:lpwstr>_Toc187666061</vt:lpwstr>
      </vt:variant>
      <vt:variant>
        <vt:i4>1638448</vt:i4>
      </vt:variant>
      <vt:variant>
        <vt:i4>80</vt:i4>
      </vt:variant>
      <vt:variant>
        <vt:i4>0</vt:i4>
      </vt:variant>
      <vt:variant>
        <vt:i4>5</vt:i4>
      </vt:variant>
      <vt:variant>
        <vt:lpwstr/>
      </vt:variant>
      <vt:variant>
        <vt:lpwstr>_Toc187666060</vt:lpwstr>
      </vt:variant>
      <vt:variant>
        <vt:i4>1703984</vt:i4>
      </vt:variant>
      <vt:variant>
        <vt:i4>74</vt:i4>
      </vt:variant>
      <vt:variant>
        <vt:i4>0</vt:i4>
      </vt:variant>
      <vt:variant>
        <vt:i4>5</vt:i4>
      </vt:variant>
      <vt:variant>
        <vt:lpwstr/>
      </vt:variant>
      <vt:variant>
        <vt:lpwstr>_Toc187666059</vt:lpwstr>
      </vt:variant>
      <vt:variant>
        <vt:i4>1703984</vt:i4>
      </vt:variant>
      <vt:variant>
        <vt:i4>68</vt:i4>
      </vt:variant>
      <vt:variant>
        <vt:i4>0</vt:i4>
      </vt:variant>
      <vt:variant>
        <vt:i4>5</vt:i4>
      </vt:variant>
      <vt:variant>
        <vt:lpwstr/>
      </vt:variant>
      <vt:variant>
        <vt:lpwstr>_Toc187666058</vt:lpwstr>
      </vt:variant>
      <vt:variant>
        <vt:i4>1703984</vt:i4>
      </vt:variant>
      <vt:variant>
        <vt:i4>62</vt:i4>
      </vt:variant>
      <vt:variant>
        <vt:i4>0</vt:i4>
      </vt:variant>
      <vt:variant>
        <vt:i4>5</vt:i4>
      </vt:variant>
      <vt:variant>
        <vt:lpwstr/>
      </vt:variant>
      <vt:variant>
        <vt:lpwstr>_Toc187666057</vt:lpwstr>
      </vt:variant>
      <vt:variant>
        <vt:i4>1703984</vt:i4>
      </vt:variant>
      <vt:variant>
        <vt:i4>56</vt:i4>
      </vt:variant>
      <vt:variant>
        <vt:i4>0</vt:i4>
      </vt:variant>
      <vt:variant>
        <vt:i4>5</vt:i4>
      </vt:variant>
      <vt:variant>
        <vt:lpwstr/>
      </vt:variant>
      <vt:variant>
        <vt:lpwstr>_Toc187666056</vt:lpwstr>
      </vt:variant>
      <vt:variant>
        <vt:i4>1703984</vt:i4>
      </vt:variant>
      <vt:variant>
        <vt:i4>50</vt:i4>
      </vt:variant>
      <vt:variant>
        <vt:i4>0</vt:i4>
      </vt:variant>
      <vt:variant>
        <vt:i4>5</vt:i4>
      </vt:variant>
      <vt:variant>
        <vt:lpwstr/>
      </vt:variant>
      <vt:variant>
        <vt:lpwstr>_Toc187666055</vt:lpwstr>
      </vt:variant>
      <vt:variant>
        <vt:i4>1703984</vt:i4>
      </vt:variant>
      <vt:variant>
        <vt:i4>44</vt:i4>
      </vt:variant>
      <vt:variant>
        <vt:i4>0</vt:i4>
      </vt:variant>
      <vt:variant>
        <vt:i4>5</vt:i4>
      </vt:variant>
      <vt:variant>
        <vt:lpwstr/>
      </vt:variant>
      <vt:variant>
        <vt:lpwstr>_Toc187666054</vt:lpwstr>
      </vt:variant>
      <vt:variant>
        <vt:i4>1703984</vt:i4>
      </vt:variant>
      <vt:variant>
        <vt:i4>38</vt:i4>
      </vt:variant>
      <vt:variant>
        <vt:i4>0</vt:i4>
      </vt:variant>
      <vt:variant>
        <vt:i4>5</vt:i4>
      </vt:variant>
      <vt:variant>
        <vt:lpwstr/>
      </vt:variant>
      <vt:variant>
        <vt:lpwstr>_Toc187666053</vt:lpwstr>
      </vt:variant>
      <vt:variant>
        <vt:i4>1703984</vt:i4>
      </vt:variant>
      <vt:variant>
        <vt:i4>32</vt:i4>
      </vt:variant>
      <vt:variant>
        <vt:i4>0</vt:i4>
      </vt:variant>
      <vt:variant>
        <vt:i4>5</vt:i4>
      </vt:variant>
      <vt:variant>
        <vt:lpwstr/>
      </vt:variant>
      <vt:variant>
        <vt:lpwstr>_Toc187666052</vt:lpwstr>
      </vt:variant>
      <vt:variant>
        <vt:i4>1703984</vt:i4>
      </vt:variant>
      <vt:variant>
        <vt:i4>26</vt:i4>
      </vt:variant>
      <vt:variant>
        <vt:i4>0</vt:i4>
      </vt:variant>
      <vt:variant>
        <vt:i4>5</vt:i4>
      </vt:variant>
      <vt:variant>
        <vt:lpwstr/>
      </vt:variant>
      <vt:variant>
        <vt:lpwstr>_Toc187666051</vt:lpwstr>
      </vt:variant>
      <vt:variant>
        <vt:i4>1703984</vt:i4>
      </vt:variant>
      <vt:variant>
        <vt:i4>20</vt:i4>
      </vt:variant>
      <vt:variant>
        <vt:i4>0</vt:i4>
      </vt:variant>
      <vt:variant>
        <vt:i4>5</vt:i4>
      </vt:variant>
      <vt:variant>
        <vt:lpwstr/>
      </vt:variant>
      <vt:variant>
        <vt:lpwstr>_Toc187666050</vt:lpwstr>
      </vt:variant>
      <vt:variant>
        <vt:i4>1769520</vt:i4>
      </vt:variant>
      <vt:variant>
        <vt:i4>14</vt:i4>
      </vt:variant>
      <vt:variant>
        <vt:i4>0</vt:i4>
      </vt:variant>
      <vt:variant>
        <vt:i4>5</vt:i4>
      </vt:variant>
      <vt:variant>
        <vt:lpwstr/>
      </vt:variant>
      <vt:variant>
        <vt:lpwstr>_Toc187666049</vt:lpwstr>
      </vt:variant>
      <vt:variant>
        <vt:i4>1769520</vt:i4>
      </vt:variant>
      <vt:variant>
        <vt:i4>8</vt:i4>
      </vt:variant>
      <vt:variant>
        <vt:i4>0</vt:i4>
      </vt:variant>
      <vt:variant>
        <vt:i4>5</vt:i4>
      </vt:variant>
      <vt:variant>
        <vt:lpwstr/>
      </vt:variant>
      <vt:variant>
        <vt:lpwstr>_Toc187666048</vt:lpwstr>
      </vt:variant>
      <vt:variant>
        <vt:i4>1769520</vt:i4>
      </vt:variant>
      <vt:variant>
        <vt:i4>2</vt:i4>
      </vt:variant>
      <vt:variant>
        <vt:i4>0</vt:i4>
      </vt:variant>
      <vt:variant>
        <vt:i4>5</vt:i4>
      </vt:variant>
      <vt:variant>
        <vt:lpwstr/>
      </vt:variant>
      <vt:variant>
        <vt:lpwstr>_Toc187666047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Hudson</dc:creator>
  <cp:keywords/>
  <dc:description/>
  <cp:lastModifiedBy>Erika Hudson</cp:lastModifiedBy>
  <cp:revision>2</cp:revision>
  <dcterms:created xsi:type="dcterms:W3CDTF">2025-01-28T20:58:00Z</dcterms:created>
  <dcterms:modified xsi:type="dcterms:W3CDTF">2025-01-28T20:58:00Z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0x010100E63139957FA64942B449677A35AF2335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